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7AFDD" w14:textId="77777777" w:rsidR="00684FF6" w:rsidRPr="00684FF6" w:rsidRDefault="00684FF6" w:rsidP="00684FF6">
      <w:pPr>
        <w:bidi w:val="0"/>
        <w:jc w:val="center"/>
        <w:rPr>
          <w:rFonts w:ascii="Sakkal Majalla" w:eastAsia="Calibri" w:hAnsi="Sakkal Majalla" w:cs="Sakkal Majalla" w:hint="cs"/>
          <w:kern w:val="2"/>
          <w:sz w:val="48"/>
          <w:szCs w:val="48"/>
          <w:u w:val="single"/>
          <w:rtl/>
        </w:rPr>
      </w:pPr>
    </w:p>
    <w:p w14:paraId="5E22AA12" w14:textId="77777777" w:rsidR="00684FF6" w:rsidRPr="00684FF6" w:rsidRDefault="00684FF6" w:rsidP="00684FF6">
      <w:pPr>
        <w:jc w:val="center"/>
        <w:rPr>
          <w:rFonts w:ascii="Sakkal Majalla" w:eastAsia="Calibri" w:hAnsi="Sakkal Majalla" w:cs="Sakkal Majalla"/>
          <w:b/>
          <w:bCs/>
          <w:kern w:val="2"/>
          <w:sz w:val="48"/>
          <w:szCs w:val="48"/>
          <w:u w:val="single"/>
          <w:rtl/>
        </w:rPr>
      </w:pPr>
    </w:p>
    <w:p w14:paraId="72E35DE3" w14:textId="77777777" w:rsidR="00684FF6" w:rsidRPr="00684FF6" w:rsidRDefault="00684FF6" w:rsidP="00684FF6">
      <w:pPr>
        <w:jc w:val="center"/>
        <w:rPr>
          <w:rFonts w:ascii="Sakkal Majalla" w:eastAsia="Calibri" w:hAnsi="Sakkal Majalla" w:cs="Sakkal Majalla"/>
          <w:b/>
          <w:bCs/>
          <w:kern w:val="2"/>
          <w:sz w:val="48"/>
          <w:szCs w:val="48"/>
          <w:u w:val="single"/>
          <w:rtl/>
        </w:rPr>
      </w:pPr>
    </w:p>
    <w:p w14:paraId="1795B624" w14:textId="77777777" w:rsidR="00684FF6" w:rsidRPr="00684FF6" w:rsidRDefault="00684FF6" w:rsidP="00684FF6">
      <w:pPr>
        <w:jc w:val="center"/>
        <w:rPr>
          <w:rFonts w:ascii="Sakkal Majalla" w:eastAsia="Calibri" w:hAnsi="Sakkal Majalla" w:cs="Sakkal Majalla"/>
          <w:b/>
          <w:bCs/>
          <w:kern w:val="2"/>
          <w:sz w:val="48"/>
          <w:szCs w:val="48"/>
          <w:u w:val="single"/>
          <w:rtl/>
        </w:rPr>
      </w:pPr>
    </w:p>
    <w:p w14:paraId="65795379" w14:textId="77777777" w:rsidR="00684FF6" w:rsidRPr="00684FF6" w:rsidRDefault="00684FF6" w:rsidP="00684FF6">
      <w:pPr>
        <w:jc w:val="center"/>
        <w:rPr>
          <w:rFonts w:ascii="Sakkal Majalla" w:eastAsia="Calibri" w:hAnsi="Sakkal Majalla" w:cs="Sakkal Majalla" w:hint="cs"/>
          <w:b/>
          <w:bCs/>
          <w:kern w:val="2"/>
          <w:sz w:val="48"/>
          <w:szCs w:val="48"/>
          <w:u w:val="single"/>
          <w:rtl/>
        </w:rPr>
      </w:pPr>
    </w:p>
    <w:p w14:paraId="7A844556" w14:textId="77777777" w:rsidR="00684FF6" w:rsidRPr="00684FF6" w:rsidRDefault="00684FF6" w:rsidP="00684FF6">
      <w:pPr>
        <w:jc w:val="center"/>
        <w:rPr>
          <w:rFonts w:ascii="Sakkal Majalla" w:eastAsia="Calibri" w:hAnsi="Sakkal Majalla" w:cs="Sakkal Majalla"/>
          <w:b/>
          <w:bCs/>
          <w:kern w:val="2"/>
          <w:sz w:val="48"/>
          <w:szCs w:val="48"/>
          <w:u w:val="single"/>
          <w:rtl/>
        </w:rPr>
      </w:pPr>
    </w:p>
    <w:p w14:paraId="3F64E22A" w14:textId="77777777" w:rsidR="00684FF6" w:rsidRPr="00684FF6" w:rsidRDefault="00684FF6" w:rsidP="00684FF6">
      <w:pPr>
        <w:keepNext/>
        <w:keepLines/>
        <w:spacing w:before="240" w:after="0"/>
        <w:jc w:val="center"/>
        <w:outlineLvl w:val="0"/>
        <w:rPr>
          <w:rFonts w:ascii="Calibri Light" w:eastAsia="Times New Roman" w:hAnsi="Calibri Light" w:cs="Simplified Arabic"/>
          <w:bCs/>
          <w:kern w:val="2"/>
          <w:sz w:val="32"/>
          <w:szCs w:val="40"/>
          <w:u w:val="single"/>
          <w:rtl/>
        </w:rPr>
      </w:pPr>
      <w:bookmarkStart w:id="0" w:name="_Toc235804666"/>
      <w:r w:rsidRPr="00684FF6">
        <w:rPr>
          <w:rFonts w:ascii="Calibri Light" w:eastAsia="Times New Roman" w:hAnsi="Calibri Light" w:cs="Simplified Arabic"/>
          <w:bCs/>
          <w:kern w:val="2"/>
          <w:sz w:val="32"/>
          <w:szCs w:val="40"/>
          <w:u w:val="single"/>
          <w:rtl/>
        </w:rPr>
        <w:t>الفصل الأول</w:t>
      </w:r>
      <w:bookmarkEnd w:id="0"/>
    </w:p>
    <w:p w14:paraId="1C452AB8" w14:textId="77777777" w:rsidR="00684FF6" w:rsidRPr="00684FF6" w:rsidRDefault="00684FF6" w:rsidP="00684FF6">
      <w:pPr>
        <w:jc w:val="center"/>
        <w:rPr>
          <w:rFonts w:ascii="Sakkal Majalla" w:eastAsia="Calibri" w:hAnsi="Sakkal Majalla" w:cs="Sakkal Majalla"/>
          <w:kern w:val="2"/>
          <w:sz w:val="40"/>
          <w:szCs w:val="40"/>
        </w:rPr>
      </w:pPr>
      <w:r w:rsidRPr="00684FF6">
        <w:rPr>
          <w:rFonts w:ascii="Sakkal Majalla" w:eastAsia="Calibri" w:hAnsi="Sakkal Majalla" w:cs="Sakkal Majalla"/>
          <w:kern w:val="2"/>
          <w:sz w:val="40"/>
          <w:szCs w:val="40"/>
          <w:rtl/>
        </w:rPr>
        <w:t>الإطار العام للبحث</w:t>
      </w:r>
    </w:p>
    <w:p w14:paraId="248496EF" w14:textId="77777777" w:rsidR="00684FF6" w:rsidRPr="00684FF6" w:rsidRDefault="00684FF6" w:rsidP="00684FF6">
      <w:pPr>
        <w:bidi w:val="0"/>
        <w:jc w:val="center"/>
        <w:rPr>
          <w:rFonts w:ascii="Sakkal Majalla" w:eastAsia="Calibri" w:hAnsi="Sakkal Majalla" w:cs="Sakkal Majalla"/>
          <w:kern w:val="2"/>
          <w:sz w:val="28"/>
          <w:szCs w:val="28"/>
        </w:rPr>
      </w:pPr>
      <w:r w:rsidRPr="00684FF6">
        <w:rPr>
          <w:rFonts w:ascii="Sakkal Majalla" w:eastAsia="Calibri" w:hAnsi="Sakkal Majalla" w:cs="Sakkal Majalla"/>
          <w:kern w:val="2"/>
          <w:sz w:val="28"/>
          <w:szCs w:val="28"/>
          <w:rtl/>
        </w:rPr>
        <w:br w:type="page"/>
      </w:r>
    </w:p>
    <w:p w14:paraId="0D9F0A3F" w14:textId="77777777" w:rsidR="00684FF6" w:rsidRPr="00684FF6" w:rsidRDefault="00684FF6" w:rsidP="00684FF6">
      <w:pPr>
        <w:keepNext/>
        <w:keepLines/>
        <w:spacing w:before="40" w:after="0"/>
        <w:outlineLvl w:val="1"/>
        <w:rPr>
          <w:rFonts w:ascii="Calibri Light" w:eastAsia="Times New Roman" w:hAnsi="Calibri Light" w:cs="Simplified Arabic"/>
          <w:bCs/>
          <w:kern w:val="2"/>
          <w:sz w:val="26"/>
          <w:szCs w:val="36"/>
          <w:u w:val="single"/>
          <w:rtl/>
        </w:rPr>
      </w:pPr>
      <w:bookmarkStart w:id="1" w:name="_Toc235804667"/>
      <w:r w:rsidRPr="00684FF6">
        <w:rPr>
          <w:rFonts w:ascii="Calibri Light" w:eastAsia="Times New Roman" w:hAnsi="Calibri Light" w:cs="Simplified Arabic"/>
          <w:bCs/>
          <w:kern w:val="2"/>
          <w:sz w:val="26"/>
          <w:szCs w:val="36"/>
          <w:u w:val="single"/>
          <w:rtl/>
        </w:rPr>
        <w:lastRenderedPageBreak/>
        <w:t>1-1 المقدمة:</w:t>
      </w:r>
      <w:bookmarkEnd w:id="1"/>
    </w:p>
    <w:p w14:paraId="2958C7F0"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t>يلعب قطاع الطيران المدني في المملكة العربية السعودية دورًا مهمًا جدًا في تحقيق رؤية المملكة 2030 (رؤية المملكة العربية السعودية 2030، 2016). تسعى هذه الرؤية إلى تنويع الاقتصاد من خلال تحسين كفاءة القطاعات المختلفة ونمو مصادر الدخل المتنوعة. وهذا يتطلب تنفيذ استراتيجيات مختلفة لتحقيق الأهداف. نظرًا لأهمية قطاع الطيران المدني، كان من الضروري إعادة هيكلة شاملة لجميع مطارات المملكة. بالإضافة إلى ذلك، فإن قطاع الطيران المدني مهم أيضًا في تحقيق أهداف المملكة في قطاعات النقل واللوجستيات والسياحة، ولذلك فإن إعادة هيكلة الآليات المختلفة في المملكة ضرورية أيضًا.</w:t>
      </w:r>
    </w:p>
    <w:p w14:paraId="4DFB0CBE" w14:textId="77777777" w:rsidR="00684FF6" w:rsidRPr="00684FF6" w:rsidRDefault="00684FF6" w:rsidP="00684FF6">
      <w:pPr>
        <w:spacing w:before="100" w:beforeAutospacing="1" w:after="100" w:afterAutospacing="1" w:line="360" w:lineRule="auto"/>
        <w:ind w:firstLine="720"/>
        <w:jc w:val="both"/>
        <w:rPr>
          <w:rFonts w:ascii="Simplified Arabic" w:eastAsia="Times New Roman" w:hAnsi="Simplified Arabic" w:cs="Simplified Arabic"/>
          <w:sz w:val="28"/>
          <w:szCs w:val="28"/>
          <w:rtl/>
          <w:lang w:val=""/>
          <w14:ligatures w14:val="none"/>
        </w:rPr>
      </w:pPr>
      <w:r w:rsidRPr="00684FF6">
        <w:rPr>
          <w:rFonts w:ascii="Simplified Arabic" w:eastAsia="Aptos" w:hAnsi="Simplified Arabic" w:cs="Simplified Arabic"/>
          <w:sz w:val="28"/>
          <w:szCs w:val="28"/>
          <w:rtl/>
          <w:lang w:bidi="ar-EG"/>
        </w:rPr>
        <w:t xml:space="preserve">تشكيل شركة "تجمع مطارات الثاني </w:t>
      </w:r>
      <w:r w:rsidRPr="00684FF6">
        <w:rPr>
          <w:rFonts w:ascii="Times New Roman" w:eastAsia="Aptos" w:hAnsi="Times New Roman" w:cs="Times New Roman"/>
          <w:sz w:val="28"/>
          <w:szCs w:val="28"/>
          <w:lang w:bidi="ar-EG"/>
        </w:rPr>
        <w:t>Cluster 2</w:t>
      </w:r>
      <w:r w:rsidRPr="00684FF6">
        <w:rPr>
          <w:rFonts w:ascii="Simplified Arabic" w:eastAsia="Aptos" w:hAnsi="Simplified Arabic" w:cs="Simplified Arabic"/>
          <w:sz w:val="28"/>
          <w:szCs w:val="28"/>
          <w:rtl/>
          <w:lang w:bidi="ar-EG"/>
        </w:rPr>
        <w:t xml:space="preserve">" في عام 2022 كان أول نموذج من نوعه في المملكة يهدف إلى دمج إدارة وتشغيل عدة مطارات إقليمية وعالمية. ومن أهداف شركة "تجمع مطارات الثاني </w:t>
      </w:r>
      <w:r w:rsidRPr="00684FF6">
        <w:rPr>
          <w:rFonts w:ascii="Times New Roman" w:eastAsia="Aptos" w:hAnsi="Times New Roman" w:cs="Times New Roman"/>
          <w:sz w:val="28"/>
          <w:szCs w:val="28"/>
          <w:lang w:bidi="ar-EG"/>
        </w:rPr>
        <w:t>Cluster 2</w:t>
      </w:r>
      <w:r w:rsidRPr="00684FF6">
        <w:rPr>
          <w:rFonts w:ascii="Simplified Arabic" w:eastAsia="Aptos" w:hAnsi="Simplified Arabic" w:cs="Simplified Arabic"/>
          <w:sz w:val="28"/>
          <w:szCs w:val="28"/>
          <w:rtl/>
          <w:lang w:bidi="ar-EG"/>
        </w:rPr>
        <w:t xml:space="preserve">" تحسين الفعالية التشغيلية وخلق ميزات تكاليف، بالإضافة إلى وضع إطار لمعايير الأداء (شركة تجمع مطارات الثاني، 2024). لا تقتصر فعالية هذا التحول على إعادة هيكلة عمليات الشركة، بل تتحدد بقدرة الشركة على تنفيذ المشاريع الرأسمالية والتشغيلية ضمن قيود الزمن والتكلفة والجودة كما هو معرف بمعايير إدارة المشاريع </w:t>
      </w:r>
      <w:r w:rsidRPr="00684FF6">
        <w:rPr>
          <w:rFonts w:ascii="Simplified Arabic" w:eastAsia="Times New Roman" w:hAnsi="Simplified Arabic" w:cs="Simplified Arabic"/>
          <w:sz w:val="28"/>
          <w:szCs w:val="28"/>
          <w:rtl/>
          <w:lang w:val=""/>
          <w14:ligatures w14:val="none"/>
        </w:rPr>
        <w:t>(</w:t>
      </w:r>
      <w:r w:rsidRPr="00684FF6">
        <w:rPr>
          <w:rFonts w:ascii="Times New Roman" w:eastAsia="Times New Roman" w:hAnsi="Times New Roman" w:cs="Times New Roman"/>
          <w:sz w:val="28"/>
          <w:szCs w:val="28"/>
          <w:lang w:val=""/>
          <w14:ligatures w14:val="none"/>
        </w:rPr>
        <w:t>Project Management Institute [PMI]</w:t>
      </w:r>
      <w:r w:rsidRPr="00684FF6">
        <w:rPr>
          <w:rFonts w:ascii="Simplified Arabic" w:eastAsia="Times New Roman" w:hAnsi="Simplified Arabic" w:cs="Simplified Arabic"/>
          <w:sz w:val="28"/>
          <w:szCs w:val="28"/>
          <w:lang w:val=""/>
          <w14:ligatures w14:val="none"/>
        </w:rPr>
        <w:t>, 2021</w:t>
      </w:r>
      <w:r w:rsidRPr="00684FF6">
        <w:rPr>
          <w:rFonts w:ascii="Simplified Arabic" w:eastAsia="Times New Roman" w:hAnsi="Simplified Arabic" w:cs="Simplified Arabic"/>
          <w:sz w:val="28"/>
          <w:szCs w:val="28"/>
          <w:rtl/>
          <w:lang w:val=""/>
          <w14:ligatures w14:val="none"/>
        </w:rPr>
        <w:t>).</w:t>
      </w:r>
    </w:p>
    <w:p w14:paraId="3324A499"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t xml:space="preserve">يصبح دراسة كفاءة تنفيذ المشاريع في بيئة كهذه أكثر أهمية بسبب الطبيعة المعقدة جدًا لصناعة الطيران. تتوافق المشاريع مع الجوانب الهندسية والتشغيلية والأمنية للمبادرة وتشمل العديد من أصحاب المصلحة مثل العميل والمقاولين والمشغلين والسلطات الموافقة. تسهم كل هذه العوامل في تعرض المشاريع لصعوبات في إدارة الوقت والتكلفة والتنظيم، بالإضافة إلى التحكم في المخاطر. إن التغيرات التي شهدتها الصناعة منذ </w:t>
      </w:r>
      <w:r w:rsidRPr="00684FF6">
        <w:rPr>
          <w:rFonts w:ascii="Simplified Arabic" w:eastAsia="Aptos" w:hAnsi="Simplified Arabic" w:cs="Simplified Arabic"/>
          <w:sz w:val="28"/>
          <w:szCs w:val="28"/>
          <w:rtl/>
          <w:lang w:bidi="ar-EG"/>
        </w:rPr>
        <w:lastRenderedPageBreak/>
        <w:t>2022 أدت إلى بيئة عمل جديدة زادت من الحاجة إلى تقييم، من خلال البحث، مدى نجاح الصناعة في التغلب على هذه التحديات.</w:t>
      </w:r>
    </w:p>
    <w:p w14:paraId="1FCB57AD"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t xml:space="preserve">لذلك، تهدف هذه الدراسة إلى فحص القضايا المتعلقة بكفاءة تنفيذ مشاريع الطيران في المملكة العربية السعودية، وسيتم إجراء دراسة تحليلية مكتبية لشركة "تجمع مطارات الثاني </w:t>
      </w:r>
      <w:r w:rsidRPr="00684FF6">
        <w:rPr>
          <w:rFonts w:ascii="Times New Roman" w:eastAsia="Aptos" w:hAnsi="Times New Roman" w:cs="Times New Roman"/>
          <w:sz w:val="28"/>
          <w:szCs w:val="28"/>
          <w:lang w:bidi="ar-EG"/>
        </w:rPr>
        <w:t>Cluster 2</w:t>
      </w:r>
      <w:r w:rsidRPr="00684FF6">
        <w:rPr>
          <w:rFonts w:ascii="Simplified Arabic" w:eastAsia="Aptos" w:hAnsi="Simplified Arabic" w:cs="Simplified Arabic"/>
          <w:sz w:val="28"/>
          <w:szCs w:val="28"/>
          <w:rtl/>
          <w:lang w:bidi="ar-EG"/>
        </w:rPr>
        <w:t>". تسعى الدراسة إلى معالجة النظرية والمفاهيم المتعلقة بكفاءة تنفيذ المشاريع، وفحص الأبعاد المادية والزمنية والمالية إلى جانب عوامل الحوكمة والتنظيم والمخاطر المتعلقة بنجاح أو فشل هذه المشاريع. وستوفر الدراسة في النهاية إطارًا علميًا لأصحاب المصلحة في هذه الصناعة الحساسة.</w:t>
      </w:r>
    </w:p>
    <w:p w14:paraId="56EF565F" w14:textId="77777777" w:rsidR="00684FF6" w:rsidRPr="00684FF6" w:rsidRDefault="00684FF6" w:rsidP="00684FF6">
      <w:pPr>
        <w:bidi w:val="0"/>
        <w:jc w:val="center"/>
        <w:rPr>
          <w:rFonts w:ascii="Sakkal Majalla" w:eastAsia="Calibri" w:hAnsi="Sakkal Majalla" w:cs="Sakkal Majalla"/>
          <w:kern w:val="2"/>
          <w:sz w:val="28"/>
          <w:szCs w:val="28"/>
        </w:rPr>
      </w:pPr>
      <w:r w:rsidRPr="00684FF6">
        <w:rPr>
          <w:rFonts w:ascii="Sakkal Majalla" w:eastAsia="Calibri" w:hAnsi="Sakkal Majalla" w:cs="Sakkal Majalla"/>
          <w:kern w:val="2"/>
          <w:sz w:val="28"/>
          <w:szCs w:val="28"/>
          <w:rtl/>
        </w:rPr>
        <w:br w:type="page"/>
      </w:r>
    </w:p>
    <w:p w14:paraId="36D16223" w14:textId="77777777" w:rsidR="00684FF6" w:rsidRPr="00684FF6" w:rsidRDefault="00684FF6" w:rsidP="00684FF6">
      <w:pPr>
        <w:keepNext/>
        <w:keepLines/>
        <w:spacing w:before="40" w:after="0" w:line="360" w:lineRule="auto"/>
        <w:jc w:val="both"/>
        <w:outlineLvl w:val="1"/>
        <w:rPr>
          <w:rFonts w:ascii="Calibri Light" w:eastAsia="Times New Roman" w:hAnsi="Calibri Light" w:cs="Simplified Arabic"/>
          <w:bCs/>
          <w:kern w:val="2"/>
          <w:sz w:val="26"/>
          <w:szCs w:val="36"/>
          <w:u w:val="single"/>
          <w:rtl/>
        </w:rPr>
      </w:pPr>
      <w:bookmarkStart w:id="2" w:name="_Toc235804668"/>
      <w:r w:rsidRPr="00684FF6">
        <w:rPr>
          <w:rFonts w:ascii="Calibri Light" w:eastAsia="Times New Roman" w:hAnsi="Calibri Light" w:cs="Simplified Arabic"/>
          <w:bCs/>
          <w:kern w:val="2"/>
          <w:sz w:val="26"/>
          <w:szCs w:val="36"/>
          <w:u w:val="single"/>
          <w:rtl/>
        </w:rPr>
        <w:lastRenderedPageBreak/>
        <w:t>1-2 مشكلة الدراسة</w:t>
      </w:r>
      <w:bookmarkEnd w:id="2"/>
    </w:p>
    <w:p w14:paraId="19AEBA93" w14:textId="77777777" w:rsidR="00684FF6" w:rsidRPr="00684FF6" w:rsidRDefault="00684FF6" w:rsidP="00684FF6">
      <w:pPr>
        <w:spacing w:before="100" w:beforeAutospacing="1" w:after="100" w:afterAutospacing="1" w:line="360" w:lineRule="auto"/>
        <w:ind w:firstLine="720"/>
        <w:jc w:val="both"/>
        <w:rPr>
          <w:rFonts w:ascii="Simplified Arabic" w:eastAsia="Times New Roman" w:hAnsi="Simplified Arabic" w:cs="Simplified Arabic"/>
          <w:sz w:val="28"/>
          <w:szCs w:val="28"/>
          <w:lang w:val=""/>
          <w14:ligatures w14:val="none"/>
        </w:rPr>
      </w:pPr>
      <w:r w:rsidRPr="00684FF6">
        <w:rPr>
          <w:rFonts w:ascii="Simplified Arabic" w:eastAsia="Aptos" w:hAnsi="Simplified Arabic" w:cs="Simplified Arabic"/>
          <w:sz w:val="28"/>
          <w:szCs w:val="28"/>
          <w:rtl/>
          <w:lang w:bidi="ar-EG"/>
        </w:rPr>
        <w:t xml:space="preserve">على الرغم من الاستثمارات التي أُجريت في قطاع الطيران المدني وإعادة هيكلة المؤسسات من خلال إنشاء نماذج إدارة مثل شركة "تجمع مطارات الثاني </w:t>
      </w:r>
      <w:r w:rsidRPr="00684FF6">
        <w:rPr>
          <w:rFonts w:ascii="Times New Roman" w:eastAsia="Aptos" w:hAnsi="Times New Roman" w:cs="Times New Roman"/>
          <w:sz w:val="24"/>
          <w:szCs w:val="24"/>
          <w:lang w:bidi="ar-EG"/>
        </w:rPr>
        <w:t>Cluster 2</w:t>
      </w:r>
      <w:r w:rsidRPr="00684FF6">
        <w:rPr>
          <w:rFonts w:ascii="Simplified Arabic" w:eastAsia="Aptos" w:hAnsi="Simplified Arabic" w:cs="Simplified Arabic"/>
          <w:sz w:val="28"/>
          <w:szCs w:val="28"/>
          <w:rtl/>
          <w:lang w:bidi="ar-EG"/>
        </w:rPr>
        <w:t xml:space="preserve">"، لا تزال المملكة العربية السعودية تواجه تحديات في التنفيذ التشغيلي وفعالية مثل هذه الأطر. وترجع التحديات التي تواجهها المشاريع الحكومية والبنى التحتية بشكل أساسي إلى قصور متعلق بالتخطيط غير الكافي وغياب إدارة المخاطر، مما يظهر في عدم القدرة على الالتزام بالمواعيد النهائية للمشاريع وضمن القيود الميزانية </w:t>
      </w:r>
      <w:r w:rsidRPr="00684FF6">
        <w:rPr>
          <w:rFonts w:ascii="Simplified Arabic" w:eastAsia="Times New Roman" w:hAnsi="Simplified Arabic" w:cs="Simplified Arabic"/>
          <w:sz w:val="28"/>
          <w:szCs w:val="28"/>
          <w:rtl/>
          <w:lang w:val=""/>
          <w14:ligatures w14:val="none"/>
        </w:rPr>
        <w:t>(</w:t>
      </w:r>
      <w:r w:rsidRPr="00684FF6">
        <w:rPr>
          <w:rFonts w:ascii="Simplified Arabic" w:eastAsia="Times New Roman" w:hAnsi="Simplified Arabic" w:cs="Simplified Arabic"/>
          <w:sz w:val="28"/>
          <w:szCs w:val="28"/>
          <w:lang w:val=""/>
          <w14:ligatures w14:val="none"/>
        </w:rPr>
        <w:t>Al-Kharashi &amp; Skit more, 2009</w:t>
      </w:r>
      <w:r w:rsidRPr="00684FF6">
        <w:rPr>
          <w:rFonts w:ascii="Simplified Arabic" w:eastAsia="Times New Roman" w:hAnsi="Simplified Arabic" w:cs="Simplified Arabic"/>
          <w:sz w:val="28"/>
          <w:szCs w:val="28"/>
          <w:rtl/>
          <w:lang w:val=""/>
          <w14:ligatures w14:val="none"/>
        </w:rPr>
        <w:t>).</w:t>
      </w:r>
    </w:p>
    <w:p w14:paraId="5F38556B"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t xml:space="preserve">تمثل هذه التحديات عوائق أكبر في قطاع الطيران بسبب التحديات التقنية والإدارية وحتى الأمنية المركبة في القطاع. ومع مراعاة السلامة وضغوط الوقت للمشروع، فإن مشاركة العديد من أصحاب المصلحة المختلفين (المستشارين، المقاولين، المشغلين، السلطات التنظيمية) تخلق قيودًا “حقيقية” على التنفيذ </w:t>
      </w:r>
      <w:r w:rsidRPr="00684FF6">
        <w:rPr>
          <w:rFonts w:ascii="Simplified Arabic" w:eastAsia="Times New Roman" w:hAnsi="Simplified Arabic" w:cs="Simplified Arabic"/>
          <w:sz w:val="28"/>
          <w:szCs w:val="28"/>
          <w:rtl/>
          <w:lang w:val=""/>
          <w14:ligatures w14:val="none"/>
        </w:rPr>
        <w:t>(</w:t>
      </w:r>
      <w:r w:rsidRPr="00684FF6">
        <w:rPr>
          <w:rFonts w:ascii="Simplified Arabic" w:eastAsia="Times New Roman" w:hAnsi="Simplified Arabic" w:cs="Simplified Arabic"/>
          <w:sz w:val="28"/>
          <w:szCs w:val="28"/>
          <w:lang w:val=""/>
          <w14:ligatures w14:val="none"/>
        </w:rPr>
        <w:t>Mok et al., 2015</w:t>
      </w:r>
      <w:r w:rsidRPr="00684FF6">
        <w:rPr>
          <w:rFonts w:ascii="Simplified Arabic" w:eastAsia="Times New Roman" w:hAnsi="Simplified Arabic" w:cs="Simplified Arabic"/>
          <w:sz w:val="28"/>
          <w:szCs w:val="28"/>
          <w:rtl/>
          <w:lang w:val=""/>
          <w14:ligatures w14:val="none"/>
        </w:rPr>
        <w:t>).</w:t>
      </w:r>
      <w:r w:rsidRPr="00684FF6">
        <w:rPr>
          <w:rFonts w:ascii="Simplified Arabic" w:eastAsia="Aptos" w:hAnsi="Simplified Arabic" w:cs="Simplified Arabic"/>
          <w:sz w:val="28"/>
          <w:szCs w:val="28"/>
          <w:rtl/>
          <w:lang w:bidi="ar-EG"/>
        </w:rPr>
        <w:t xml:space="preserve"> في سياق الأدبيات الدولية حول تمويل وبناء وتشغيل مشاريع وبنى تحتية ذات علاقة بالطيران، هناك ميل إلى التفاؤل المفرط في تقدير الزمن والتكاليف في المراحل الأولى من تخطيط المشروع، والذي يؤدي حتمًا إلى قيود كبيرة على الميزانية أثناء تنفيذ المشروع </w:t>
      </w:r>
      <w:r w:rsidRPr="00684FF6">
        <w:rPr>
          <w:rFonts w:ascii="Simplified Arabic" w:eastAsia="Times New Roman" w:hAnsi="Simplified Arabic" w:cs="Simplified Arabic"/>
          <w:sz w:val="28"/>
          <w:szCs w:val="28"/>
          <w:rtl/>
          <w:lang w:val=""/>
          <w14:ligatures w14:val="none"/>
        </w:rPr>
        <w:t>(</w:t>
      </w:r>
      <w:r w:rsidRPr="00684FF6">
        <w:rPr>
          <w:rFonts w:ascii="Simplified Arabic" w:eastAsia="Times New Roman" w:hAnsi="Simplified Arabic" w:cs="Simplified Arabic"/>
          <w:sz w:val="28"/>
          <w:szCs w:val="28"/>
          <w:lang w:val=""/>
          <w14:ligatures w14:val="none"/>
        </w:rPr>
        <w:t>Flyvbjerg &amp; Gardner, 2023</w:t>
      </w:r>
      <w:r w:rsidRPr="00684FF6">
        <w:rPr>
          <w:rFonts w:ascii="Simplified Arabic" w:eastAsia="Times New Roman" w:hAnsi="Simplified Arabic" w:cs="Simplified Arabic"/>
          <w:sz w:val="28"/>
          <w:szCs w:val="28"/>
          <w:rtl/>
          <w:lang w:val=""/>
          <w14:ligatures w14:val="none"/>
        </w:rPr>
        <w:t>).</w:t>
      </w:r>
    </w:p>
    <w:p w14:paraId="0F31D6AC"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t xml:space="preserve">رغم وجود بعض الأدبيات التي تبحث في عوامل فشل المشاريع الحكومية النموذجية ونماذج إدارة مشاريع الطيران المطورة في سياقات مثل أوروبا وأستراليا </w:t>
      </w:r>
      <w:r w:rsidRPr="00684FF6">
        <w:rPr>
          <w:rFonts w:ascii="Simplified Arabic" w:eastAsia="Times New Roman" w:hAnsi="Simplified Arabic" w:cs="Simplified Arabic"/>
          <w:sz w:val="28"/>
          <w:szCs w:val="28"/>
          <w:rtl/>
          <w:lang w:val=""/>
          <w14:ligatures w14:val="none"/>
        </w:rPr>
        <w:t>(</w:t>
      </w:r>
      <w:r w:rsidRPr="00684FF6">
        <w:rPr>
          <w:rFonts w:ascii="Simplified Arabic" w:eastAsia="Times New Roman" w:hAnsi="Simplified Arabic" w:cs="Simplified Arabic"/>
          <w:sz w:val="28"/>
          <w:szCs w:val="28"/>
          <w:lang w:val=""/>
          <w14:ligatures w14:val="none"/>
        </w:rPr>
        <w:t>Novák et al., 2024</w:t>
      </w:r>
      <w:r w:rsidRPr="00684FF6">
        <w:rPr>
          <w:rFonts w:ascii="Simplified Arabic" w:eastAsia="Times New Roman" w:hAnsi="Simplified Arabic" w:cs="Simplified Arabic"/>
          <w:sz w:val="28"/>
          <w:szCs w:val="28"/>
          <w:rtl/>
          <w:lang w:val=""/>
          <w14:ligatures w14:val="none"/>
        </w:rPr>
        <w:t xml:space="preserve">)، </w:t>
      </w:r>
      <w:r w:rsidRPr="00684FF6">
        <w:rPr>
          <w:rFonts w:ascii="Simplified Arabic" w:eastAsia="Aptos" w:hAnsi="Simplified Arabic" w:cs="Simplified Arabic"/>
          <w:sz w:val="28"/>
          <w:szCs w:val="28"/>
          <w:rtl/>
          <w:lang w:bidi="ar-EG"/>
        </w:rPr>
        <w:t xml:space="preserve">فإن الدراسات التي تقيس كفاءة إدارة مشاريع الطيران في سياق نماذج التجميع الجديدة للمطارات في السعودية نادرة جدًا. ويرتبط هذا أيضًا بعدم وجود نموذج تحليلي يبحث في العلاقات بين الوقت والمال والأشخاص والمخاطر والتكنولوجيا </w:t>
      </w:r>
      <w:r w:rsidRPr="00684FF6">
        <w:rPr>
          <w:rFonts w:ascii="Simplified Arabic" w:eastAsia="Aptos" w:hAnsi="Simplified Arabic" w:cs="Simplified Arabic"/>
          <w:sz w:val="28"/>
          <w:szCs w:val="28"/>
          <w:rtl/>
          <w:lang w:bidi="ar-EG"/>
        </w:rPr>
        <w:lastRenderedPageBreak/>
        <w:t xml:space="preserve">والحوكمة في شركة "تجمع مطارات الثاني </w:t>
      </w:r>
      <w:r w:rsidRPr="00684FF6">
        <w:rPr>
          <w:rFonts w:ascii="Times New Roman" w:eastAsia="Aptos" w:hAnsi="Times New Roman" w:cs="Times New Roman"/>
          <w:sz w:val="24"/>
          <w:szCs w:val="24"/>
          <w:lang w:bidi="ar-EG"/>
        </w:rPr>
        <w:t>Cluster 2</w:t>
      </w:r>
      <w:r w:rsidRPr="00684FF6">
        <w:rPr>
          <w:rFonts w:ascii="Simplified Arabic" w:eastAsia="Aptos" w:hAnsi="Simplified Arabic" w:cs="Simplified Arabic"/>
          <w:sz w:val="28"/>
          <w:szCs w:val="28"/>
          <w:rtl/>
          <w:lang w:bidi="ar-EG"/>
        </w:rPr>
        <w:t>" ضمن البيئة المعقدة في السعودية، بدلًا من تحليل المتغيرات بشكل منفصل.</w:t>
      </w:r>
    </w:p>
    <w:p w14:paraId="06052E13"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t xml:space="preserve">استنادًا لما سبق، يسعى هذا البحث للإجابة على السؤال الرئيسي التالي: ما هي العقبات التي تعيق التسليم الكفء لمشاريع الطيران في السعودية خلال الفترة 2022–2026، وكيف يمكن لشركة "تجمع مطارات الثاني </w:t>
      </w:r>
      <w:r w:rsidRPr="00684FF6">
        <w:rPr>
          <w:rFonts w:ascii="Times New Roman" w:eastAsia="Aptos" w:hAnsi="Times New Roman" w:cs="Times New Roman"/>
          <w:sz w:val="24"/>
          <w:szCs w:val="24"/>
          <w:lang w:bidi="ar-EG"/>
        </w:rPr>
        <w:t>Cluster 2</w:t>
      </w:r>
      <w:r w:rsidRPr="00684FF6">
        <w:rPr>
          <w:rFonts w:ascii="Simplified Arabic" w:eastAsia="Aptos" w:hAnsi="Simplified Arabic" w:cs="Simplified Arabic"/>
          <w:sz w:val="28"/>
          <w:szCs w:val="28"/>
          <w:rtl/>
          <w:lang w:bidi="ar-EG"/>
        </w:rPr>
        <w:t>" الاستفادة من النتائج لتعزيز كفاءة تنفيذ المشاريع؟</w:t>
      </w:r>
    </w:p>
    <w:p w14:paraId="0FC53B1D" w14:textId="77777777" w:rsidR="00684FF6" w:rsidRPr="00684FF6" w:rsidRDefault="00684FF6" w:rsidP="00684FF6">
      <w:pPr>
        <w:bidi w:val="0"/>
        <w:jc w:val="center"/>
        <w:rPr>
          <w:rFonts w:ascii="Sakkal Majalla" w:eastAsia="Calibri" w:hAnsi="Sakkal Majalla" w:cs="Sakkal Majalla"/>
          <w:kern w:val="2"/>
          <w:sz w:val="28"/>
          <w:szCs w:val="28"/>
          <w:rtl/>
        </w:rPr>
      </w:pPr>
      <w:r w:rsidRPr="00684FF6">
        <w:rPr>
          <w:rFonts w:ascii="Sakkal Majalla" w:eastAsia="Calibri" w:hAnsi="Sakkal Majalla" w:cs="Sakkal Majalla"/>
          <w:kern w:val="2"/>
          <w:sz w:val="28"/>
          <w:szCs w:val="28"/>
          <w:rtl/>
        </w:rPr>
        <w:br w:type="page"/>
      </w:r>
    </w:p>
    <w:p w14:paraId="1C798175" w14:textId="77777777" w:rsidR="00684FF6" w:rsidRPr="00684FF6" w:rsidRDefault="00684FF6" w:rsidP="00684FF6">
      <w:pPr>
        <w:keepNext/>
        <w:keepLines/>
        <w:spacing w:before="40" w:after="0" w:line="360" w:lineRule="auto"/>
        <w:jc w:val="both"/>
        <w:outlineLvl w:val="1"/>
        <w:rPr>
          <w:rFonts w:ascii="Calibri Light" w:eastAsia="Times New Roman" w:hAnsi="Calibri Light" w:cs="Simplified Arabic"/>
          <w:bCs/>
          <w:kern w:val="2"/>
          <w:sz w:val="26"/>
          <w:szCs w:val="36"/>
          <w:u w:val="single"/>
          <w:rtl/>
        </w:rPr>
      </w:pPr>
      <w:bookmarkStart w:id="3" w:name="_Toc235804669"/>
      <w:r w:rsidRPr="00684FF6">
        <w:rPr>
          <w:rFonts w:ascii="Calibri Light" w:eastAsia="Times New Roman" w:hAnsi="Calibri Light" w:cs="Simplified Arabic"/>
          <w:bCs/>
          <w:kern w:val="2"/>
          <w:sz w:val="26"/>
          <w:szCs w:val="36"/>
          <w:u w:val="single"/>
          <w:rtl/>
        </w:rPr>
        <w:lastRenderedPageBreak/>
        <w:t>1-3 أهمية الدراسة</w:t>
      </w:r>
      <w:bookmarkEnd w:id="3"/>
      <w:r w:rsidRPr="00684FF6">
        <w:rPr>
          <w:rFonts w:ascii="Calibri Light" w:eastAsia="Times New Roman" w:hAnsi="Calibri Light" w:cs="Simplified Arabic"/>
          <w:bCs/>
          <w:kern w:val="2"/>
          <w:sz w:val="26"/>
          <w:szCs w:val="36"/>
          <w:u w:val="single"/>
          <w:rtl/>
        </w:rPr>
        <w:t xml:space="preserve"> </w:t>
      </w:r>
    </w:p>
    <w:p w14:paraId="7C6828A3"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t xml:space="preserve">تكمن أهمية هذه الدراسة في ارتباطها المباشر بالتحول الاستراتيجي لقطاع الطيران المدني في المملكة العربية السعودية. تتوافق الدراسة مع التركيز التنموي لرؤية 2030 فيما يتعلق بقطاع النقل الجوي، والذي يعتبر حاسمًا لتنويع الاقتصاد وتعزيز مكانة المملكة في خدمات اللوجستيات. المشاريع الرأسمالية والتشغيلية التي تقودها شركة "تجمع مطارات الثاني </w:t>
      </w:r>
      <w:r w:rsidRPr="00684FF6">
        <w:rPr>
          <w:rFonts w:ascii="Times New Roman" w:eastAsia="Aptos" w:hAnsi="Times New Roman" w:cs="Times New Roman"/>
          <w:sz w:val="24"/>
          <w:szCs w:val="24"/>
          <w:lang w:bidi="ar-EG"/>
        </w:rPr>
        <w:t>Cluster 2</w:t>
      </w:r>
      <w:r w:rsidRPr="00684FF6">
        <w:rPr>
          <w:rFonts w:ascii="Simplified Arabic" w:eastAsia="Aptos" w:hAnsi="Simplified Arabic" w:cs="Simplified Arabic"/>
          <w:sz w:val="28"/>
          <w:szCs w:val="28"/>
          <w:rtl/>
          <w:lang w:bidi="ar-EG"/>
        </w:rPr>
        <w:t xml:space="preserve">" هي استثمارات ضخمة تتطلب تقديم خدمات عالية الجودة وفي الوقت المحدد </w:t>
      </w:r>
      <w:r w:rsidRPr="00684FF6">
        <w:rPr>
          <w:rFonts w:ascii="Simplified Arabic" w:eastAsia="Aptos" w:hAnsi="Simplified Arabic" w:cs="Simplified Arabic"/>
          <w:sz w:val="28"/>
          <w:szCs w:val="28"/>
          <w:rtl/>
        </w:rPr>
        <w:t>(</w:t>
      </w:r>
      <w:r w:rsidRPr="00684FF6">
        <w:rPr>
          <w:rFonts w:ascii="Simplified Arabic" w:eastAsia="Aptos" w:hAnsi="Simplified Arabic" w:cs="Simplified Arabic"/>
          <w:sz w:val="28"/>
          <w:szCs w:val="28"/>
        </w:rPr>
        <w:t>Project Management Institute [PMI], 2021</w:t>
      </w:r>
      <w:r w:rsidRPr="00684FF6">
        <w:rPr>
          <w:rFonts w:ascii="Simplified Arabic" w:eastAsia="Aptos" w:hAnsi="Simplified Arabic" w:cs="Simplified Arabic"/>
          <w:sz w:val="28"/>
          <w:szCs w:val="28"/>
          <w:rtl/>
        </w:rPr>
        <w:t>)</w:t>
      </w:r>
      <w:r w:rsidRPr="00684FF6">
        <w:rPr>
          <w:rFonts w:ascii="Simplified Arabic" w:eastAsia="Aptos" w:hAnsi="Simplified Arabic" w:cs="Simplified Arabic"/>
          <w:sz w:val="28"/>
          <w:szCs w:val="28"/>
          <w:rtl/>
          <w:lang w:bidi="ar-EG"/>
        </w:rPr>
        <w:t>. وأي تأثير سلبي على كفاءة تنفيذ المشاريع سيؤثر سلبًا على العمليات وتقديم الخدمات للمطارات.</w:t>
      </w:r>
    </w:p>
    <w:p w14:paraId="42EBEBD4"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t xml:space="preserve">هذه الدراسة إضافة قيمة إلى المجال حيث تبتعد عن التركيز التقليدي للدراسات حول أسباب فشل المشاريع الحكومية، كما هو مناقش في الأدبيات الحالية. تستكشف أبعادًا أخرى، مثل كفاءة المشاريع الحديثة، بما في ذلك النموذج المؤسسي الناشئ لشركة "تجمع مطارات الثاني </w:t>
      </w:r>
      <w:r w:rsidRPr="00684FF6">
        <w:rPr>
          <w:rFonts w:ascii="Times New Roman" w:eastAsia="Aptos" w:hAnsi="Times New Roman" w:cs="Times New Roman"/>
          <w:sz w:val="24"/>
          <w:szCs w:val="24"/>
          <w:lang w:bidi="ar-EG"/>
        </w:rPr>
        <w:t>Cluster 2</w:t>
      </w:r>
      <w:r w:rsidRPr="00684FF6">
        <w:rPr>
          <w:rFonts w:ascii="Simplified Arabic" w:eastAsia="Aptos" w:hAnsi="Simplified Arabic" w:cs="Simplified Arabic"/>
          <w:sz w:val="28"/>
          <w:szCs w:val="28"/>
          <w:rtl/>
          <w:lang w:bidi="ar-EG"/>
        </w:rPr>
        <w:t>". لا تغطي الأدبيات الحالية مشاريع هذه الشركة وتبعاتها الإدارية بصورة كافية. لذلك، ستوفر هذه الدراسة أول رؤى باللغة العربية حول إدارة مشاريع الطيران في العالم العربي، حيث معظم الدراسات ذات الصلة تركز على المشاريع والخدمات العامة، ولا تأخذ في الاعتبار الطابع الخاص لصناعة الطيران.</w:t>
      </w:r>
    </w:p>
    <w:p w14:paraId="6FC2EC2B"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t xml:space="preserve">من الناحية العملية، ستوفر هذه الدراسة إطارًا تحليليًا لصانعي القرار والجهات التنفيذية في شركة "تجمع مطارات الثاني </w:t>
      </w:r>
      <w:r w:rsidRPr="00684FF6">
        <w:rPr>
          <w:rFonts w:ascii="Times New Roman" w:eastAsia="Aptos" w:hAnsi="Times New Roman" w:cs="Times New Roman"/>
          <w:sz w:val="24"/>
          <w:szCs w:val="24"/>
          <w:lang w:bidi="ar-EG"/>
        </w:rPr>
        <w:t>Cluster 2</w:t>
      </w:r>
      <w:r w:rsidRPr="00684FF6">
        <w:rPr>
          <w:rFonts w:ascii="Simplified Arabic" w:eastAsia="Aptos" w:hAnsi="Simplified Arabic" w:cs="Simplified Arabic"/>
          <w:sz w:val="28"/>
          <w:szCs w:val="28"/>
          <w:rtl/>
          <w:lang w:bidi="ar-EG"/>
        </w:rPr>
        <w:t>" وغيرها من المؤسسات المماثلة في المستقبل. ستمكنهم من تصميم آليات التخطيط، وإنشاء أنظمة رقابة، وتحسين التنسيق المؤسسي، ودمج التقنيات الحديثة في إدارة المشاريع.</w:t>
      </w:r>
    </w:p>
    <w:p w14:paraId="23EB2AC1" w14:textId="77777777" w:rsidR="00684FF6" w:rsidRPr="00684FF6" w:rsidRDefault="00684FF6" w:rsidP="00684FF6">
      <w:pPr>
        <w:bidi w:val="0"/>
        <w:jc w:val="center"/>
        <w:rPr>
          <w:rFonts w:ascii="Sakkal Majalla" w:eastAsia="Calibri" w:hAnsi="Sakkal Majalla" w:cs="Sakkal Majalla"/>
          <w:kern w:val="2"/>
          <w:sz w:val="28"/>
          <w:szCs w:val="28"/>
        </w:rPr>
      </w:pPr>
      <w:r w:rsidRPr="00684FF6">
        <w:rPr>
          <w:rFonts w:ascii="Sakkal Majalla" w:eastAsia="Calibri" w:hAnsi="Sakkal Majalla" w:cs="Sakkal Majalla"/>
          <w:kern w:val="2"/>
          <w:sz w:val="28"/>
          <w:szCs w:val="28"/>
          <w:rtl/>
        </w:rPr>
        <w:br w:type="page"/>
      </w:r>
    </w:p>
    <w:p w14:paraId="0FD3EEC8" w14:textId="77777777" w:rsidR="00684FF6" w:rsidRPr="00684FF6" w:rsidRDefault="00684FF6" w:rsidP="00684FF6">
      <w:pPr>
        <w:keepNext/>
        <w:keepLines/>
        <w:spacing w:before="40" w:after="0"/>
        <w:outlineLvl w:val="1"/>
        <w:rPr>
          <w:rFonts w:ascii="Calibri Light" w:eastAsia="Times New Roman" w:hAnsi="Calibri Light" w:cs="Simplified Arabic"/>
          <w:bCs/>
          <w:kern w:val="2"/>
          <w:sz w:val="26"/>
          <w:szCs w:val="36"/>
          <w:u w:val="single"/>
          <w:rtl/>
        </w:rPr>
      </w:pPr>
      <w:bookmarkStart w:id="4" w:name="_Toc235804670"/>
      <w:r w:rsidRPr="00684FF6">
        <w:rPr>
          <w:rFonts w:ascii="Calibri Light" w:eastAsia="Times New Roman" w:hAnsi="Calibri Light" w:cs="Simplified Arabic"/>
          <w:bCs/>
          <w:kern w:val="2"/>
          <w:sz w:val="26"/>
          <w:szCs w:val="36"/>
          <w:u w:val="single"/>
          <w:rtl/>
        </w:rPr>
        <w:lastRenderedPageBreak/>
        <w:t>1-4 أهداف الدراسة</w:t>
      </w:r>
      <w:bookmarkEnd w:id="4"/>
      <w:r w:rsidRPr="00684FF6">
        <w:rPr>
          <w:rFonts w:ascii="Calibri Light" w:eastAsia="Times New Roman" w:hAnsi="Calibri Light" w:cs="Simplified Arabic"/>
          <w:bCs/>
          <w:kern w:val="2"/>
          <w:sz w:val="26"/>
          <w:szCs w:val="36"/>
          <w:u w:val="single"/>
          <w:rtl/>
        </w:rPr>
        <w:t xml:space="preserve"> </w:t>
      </w:r>
    </w:p>
    <w:p w14:paraId="507C18C4"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rPr>
      </w:pPr>
      <w:r w:rsidRPr="00684FF6">
        <w:rPr>
          <w:rFonts w:ascii="Simplified Arabic" w:eastAsia="Aptos" w:hAnsi="Simplified Arabic" w:cs="Simplified Arabic"/>
          <w:sz w:val="28"/>
          <w:szCs w:val="28"/>
          <w:rtl/>
          <w:lang w:bidi="ar-EG"/>
        </w:rPr>
        <w:t xml:space="preserve">تحدد هذه الدراسة عدة أهداف تساعد في فهم إدارة مشاريع الطيران في السعودية، وبشكل خاص في شركة "تجمع مطارات الثاني </w:t>
      </w:r>
      <w:r w:rsidRPr="00684FF6">
        <w:rPr>
          <w:rFonts w:ascii="Times New Roman" w:eastAsia="Aptos" w:hAnsi="Times New Roman" w:cs="Times New Roman"/>
          <w:sz w:val="24"/>
          <w:szCs w:val="24"/>
          <w:lang w:bidi="ar-EG"/>
        </w:rPr>
        <w:t>Cluster 2</w:t>
      </w:r>
      <w:r w:rsidRPr="00684FF6">
        <w:rPr>
          <w:rFonts w:ascii="Simplified Arabic" w:eastAsia="Aptos" w:hAnsi="Simplified Arabic" w:cs="Simplified Arabic"/>
          <w:sz w:val="28"/>
          <w:szCs w:val="28"/>
          <w:rtl/>
          <w:lang w:bidi="ar-EG"/>
        </w:rPr>
        <w:t>". تشمل الأهداف الأساسية:</w:t>
      </w:r>
    </w:p>
    <w:p w14:paraId="43CEF430" w14:textId="77777777" w:rsidR="00684FF6" w:rsidRPr="00684FF6" w:rsidRDefault="00684FF6" w:rsidP="00684FF6">
      <w:pPr>
        <w:numPr>
          <w:ilvl w:val="0"/>
          <w:numId w:val="11"/>
        </w:numPr>
        <w:spacing w:before="100" w:beforeAutospacing="1" w:after="100" w:afterAutospacing="1" w:line="360" w:lineRule="auto"/>
        <w:contextualSpacing/>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t>اقتراح المفاهيم والأطر النظرية حول كفاءة تنفيذ المشاريع، خاصة في مجالات البنية التحتية والنقل الجوي، من خلال استعراض الأدبيات والأبحاث الحالية.</w:t>
      </w:r>
    </w:p>
    <w:p w14:paraId="757ABF3C" w14:textId="77777777" w:rsidR="00684FF6" w:rsidRPr="00684FF6" w:rsidRDefault="00684FF6" w:rsidP="00684FF6">
      <w:pPr>
        <w:numPr>
          <w:ilvl w:val="0"/>
          <w:numId w:val="11"/>
        </w:numPr>
        <w:spacing w:before="100" w:beforeAutospacing="1" w:after="100" w:afterAutospacing="1" w:line="360" w:lineRule="auto"/>
        <w:contextualSpacing/>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t>التعرف على وتصنيف العوامل التي تؤثر على الكفاءة عبر الأبعاد الزمنية، المالية، التنظيمية، مخاطرة، تقنية، وحوكمة. والتركيز على العلاقات بين العوامل وكيفية تأثيرها على تحقيق الأهداف التشغيلية العامة للمشروع.</w:t>
      </w:r>
    </w:p>
    <w:p w14:paraId="01074CEC" w14:textId="77777777" w:rsidR="00684FF6" w:rsidRPr="00684FF6" w:rsidRDefault="00684FF6" w:rsidP="00684FF6">
      <w:pPr>
        <w:numPr>
          <w:ilvl w:val="0"/>
          <w:numId w:val="11"/>
        </w:numPr>
        <w:spacing w:before="100" w:beforeAutospacing="1" w:after="100" w:afterAutospacing="1" w:line="360" w:lineRule="auto"/>
        <w:contextualSpacing/>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t>استخدام التحليل المكتبي لاستخراج الدروس المستفادة من الدراسات السابقة والمشاريع المماثلة على الصعيد الوطني والدولي، وربط هذه الدروس بسياق العمل في شركة تربط بين المطارات الثانية لتحقيق فهم لأكثر العوامل تأثيرًا.</w:t>
      </w:r>
    </w:p>
    <w:p w14:paraId="101EB169" w14:textId="77777777" w:rsidR="00684FF6" w:rsidRPr="00684FF6" w:rsidRDefault="00684FF6" w:rsidP="00684FF6">
      <w:pPr>
        <w:numPr>
          <w:ilvl w:val="0"/>
          <w:numId w:val="11"/>
        </w:numPr>
        <w:spacing w:before="100" w:beforeAutospacing="1" w:after="100" w:afterAutospacing="1" w:line="360" w:lineRule="auto"/>
        <w:contextualSpacing/>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t>تطوير إطار تحليلي منهجي وموثوق لتقييم كفاءة تنفيذ المشاريع في قطاع الطيران السعودي، مما يعزز أداء القطاع مع تقليل احتمالات التأخير وتجاوز الميزانية.</w:t>
      </w:r>
    </w:p>
    <w:p w14:paraId="0488BB0D" w14:textId="77777777" w:rsidR="00684FF6" w:rsidRPr="00684FF6" w:rsidRDefault="00684FF6" w:rsidP="00684FF6">
      <w:pPr>
        <w:numPr>
          <w:ilvl w:val="0"/>
          <w:numId w:val="11"/>
        </w:numPr>
        <w:spacing w:before="100" w:beforeAutospacing="1" w:after="100" w:afterAutospacing="1" w:line="360" w:lineRule="auto"/>
        <w:contextualSpacing/>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t>تقديم نتائج هذه الدراسة، مع توصياتها، لمساعدة صانعي القرار في الجهات التنفيذية على اعتماد سياسات محسنة لإدارة المشاريع ولتطوير مستويات الأداء المؤسسي في مجال مشاريع الطيران.</w:t>
      </w:r>
    </w:p>
    <w:p w14:paraId="0C7C9FA8" w14:textId="77777777" w:rsidR="00684FF6" w:rsidRPr="00684FF6" w:rsidRDefault="00684FF6" w:rsidP="00684FF6">
      <w:pPr>
        <w:bidi w:val="0"/>
        <w:jc w:val="center"/>
        <w:rPr>
          <w:rFonts w:ascii="Sakkal Majalla" w:eastAsia="Calibri" w:hAnsi="Sakkal Majalla" w:cs="Sakkal Majalla"/>
          <w:kern w:val="2"/>
          <w:sz w:val="28"/>
          <w:szCs w:val="28"/>
        </w:rPr>
      </w:pPr>
      <w:r w:rsidRPr="00684FF6">
        <w:rPr>
          <w:rFonts w:ascii="Sakkal Majalla" w:eastAsia="Calibri" w:hAnsi="Sakkal Majalla" w:cs="Sakkal Majalla"/>
          <w:kern w:val="2"/>
          <w:sz w:val="28"/>
          <w:szCs w:val="28"/>
          <w:rtl/>
        </w:rPr>
        <w:br w:type="page"/>
      </w:r>
    </w:p>
    <w:p w14:paraId="24059529" w14:textId="77777777" w:rsidR="00684FF6" w:rsidRPr="00684FF6" w:rsidRDefault="00684FF6" w:rsidP="00684FF6">
      <w:pPr>
        <w:spacing w:line="360" w:lineRule="auto"/>
        <w:jc w:val="both"/>
        <w:rPr>
          <w:rFonts w:ascii="Sakkal Majalla" w:eastAsia="Calibri" w:hAnsi="Sakkal Majalla" w:cs="Sakkal Majalla"/>
          <w:kern w:val="2"/>
          <w:sz w:val="36"/>
          <w:szCs w:val="36"/>
          <w:u w:val="single"/>
          <w:rtl/>
        </w:rPr>
      </w:pPr>
      <w:r w:rsidRPr="00684FF6">
        <w:rPr>
          <w:rFonts w:ascii="Sakkal Majalla" w:eastAsia="Calibri" w:hAnsi="Sakkal Majalla" w:cs="Sakkal Majalla"/>
          <w:kern w:val="2"/>
          <w:sz w:val="36"/>
          <w:szCs w:val="36"/>
          <w:u w:val="single"/>
          <w:rtl/>
        </w:rPr>
        <w:lastRenderedPageBreak/>
        <w:t xml:space="preserve">1-5 أسئلة الدراسة </w:t>
      </w:r>
    </w:p>
    <w:p w14:paraId="05380CAB"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lang w:bidi="ar-EG"/>
        </w:rPr>
      </w:pPr>
      <w:r w:rsidRPr="00684FF6">
        <w:rPr>
          <w:rFonts w:ascii="Simplified Arabic" w:eastAsia="Aptos" w:hAnsi="Simplified Arabic" w:cs="Simplified Arabic"/>
          <w:sz w:val="28"/>
          <w:szCs w:val="28"/>
          <w:rtl/>
          <w:lang w:bidi="ar-EG"/>
        </w:rPr>
        <w:t>نظرًا لأهمية كفاءة تنفيذ المشاريع في تحقيق الأهداف الاستراتيجية والتنموية، ستجيب هذه الدراسة عن سلسلة من الأسئلة التي ستشكل الخطوط العريضة للتحليل النظري للفصول التالية.</w:t>
      </w:r>
    </w:p>
    <w:p w14:paraId="524AB1E2"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t>أولاً: السؤال الرئيسي</w:t>
      </w:r>
    </w:p>
    <w:p w14:paraId="1696FE50"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t xml:space="preserve">- ما الذي يؤثر على كفاءة تنفيذ مشاريع الطيران في المملكة العربية السعودية وكيف يمكن تحليله واستخدامه لتحسين أداء شركة "تجمع مطارات الثاني </w:t>
      </w:r>
      <w:r w:rsidRPr="00684FF6">
        <w:rPr>
          <w:rFonts w:ascii="Simplified Arabic" w:eastAsia="Aptos" w:hAnsi="Simplified Arabic" w:cs="Simplified Arabic"/>
          <w:sz w:val="28"/>
          <w:szCs w:val="28"/>
          <w:lang w:bidi="ar-EG"/>
        </w:rPr>
        <w:t>Cluster 2</w:t>
      </w:r>
      <w:r w:rsidRPr="00684FF6">
        <w:rPr>
          <w:rFonts w:ascii="Simplified Arabic" w:eastAsia="Aptos" w:hAnsi="Simplified Arabic" w:cs="Simplified Arabic"/>
          <w:sz w:val="28"/>
          <w:szCs w:val="28"/>
          <w:rtl/>
          <w:lang w:bidi="ar-EG"/>
        </w:rPr>
        <w:t>"؟</w:t>
      </w:r>
    </w:p>
    <w:p w14:paraId="39A6FEB5"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t>ثانياً: الأسئلة الفرعية</w:t>
      </w:r>
    </w:p>
    <w:p w14:paraId="56862FB5" w14:textId="77777777" w:rsidR="00684FF6" w:rsidRPr="00684FF6" w:rsidRDefault="00684FF6" w:rsidP="00684FF6">
      <w:pPr>
        <w:numPr>
          <w:ilvl w:val="0"/>
          <w:numId w:val="12"/>
        </w:numPr>
        <w:spacing w:before="100" w:beforeAutospacing="1" w:after="100" w:afterAutospacing="1" w:line="360" w:lineRule="auto"/>
        <w:contextualSpacing/>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t>كيف تؤثر العوامل المرتبطة بالوقت، وهي جودة جدولة الوقت والالتزام بجدول التنفيذ ومراقبته، على كفاءة تنفيذ مشاريع الطيران؟</w:t>
      </w:r>
    </w:p>
    <w:p w14:paraId="74E1174E" w14:textId="77777777" w:rsidR="00684FF6" w:rsidRPr="00684FF6" w:rsidRDefault="00684FF6" w:rsidP="00684FF6">
      <w:pPr>
        <w:numPr>
          <w:ilvl w:val="0"/>
          <w:numId w:val="12"/>
        </w:numPr>
        <w:spacing w:before="100" w:beforeAutospacing="1" w:after="100" w:afterAutospacing="1" w:line="360" w:lineRule="auto"/>
        <w:contextualSpacing/>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t>كيف تؤثر السيطرة على التكاليف والمالية على كفاءة تنفيذ المشاريع؟</w:t>
      </w:r>
    </w:p>
    <w:p w14:paraId="7A480265" w14:textId="77777777" w:rsidR="00684FF6" w:rsidRPr="00684FF6" w:rsidRDefault="00684FF6" w:rsidP="00684FF6">
      <w:pPr>
        <w:numPr>
          <w:ilvl w:val="0"/>
          <w:numId w:val="12"/>
        </w:numPr>
        <w:spacing w:before="100" w:beforeAutospacing="1" w:after="100" w:afterAutospacing="1" w:line="360" w:lineRule="auto"/>
        <w:contextualSpacing/>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t>كيف يؤثر مستوى وجودة التنسيق والدمج بين المؤسسات المنفذة على كفاءة تنفيذ المشاريع ومستوى الانحرافات التشغيلية؟</w:t>
      </w:r>
    </w:p>
    <w:p w14:paraId="3790CEA8" w14:textId="77777777" w:rsidR="00684FF6" w:rsidRPr="00684FF6" w:rsidRDefault="00684FF6" w:rsidP="00684FF6">
      <w:pPr>
        <w:numPr>
          <w:ilvl w:val="0"/>
          <w:numId w:val="12"/>
        </w:numPr>
        <w:spacing w:before="100" w:beforeAutospacing="1" w:after="100" w:afterAutospacing="1" w:line="360" w:lineRule="auto"/>
        <w:contextualSpacing/>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t>كيف تؤثر ممارسات إدارة المخاطر والتخفيف من المخاطر على كفاءة تنفيذ المشروع واحتمالية تجاوز الوقت والتكاليف؟</w:t>
      </w:r>
    </w:p>
    <w:p w14:paraId="4954E783" w14:textId="77777777" w:rsidR="00684FF6" w:rsidRPr="00684FF6" w:rsidRDefault="00684FF6" w:rsidP="00684FF6">
      <w:pPr>
        <w:numPr>
          <w:ilvl w:val="0"/>
          <w:numId w:val="12"/>
        </w:numPr>
        <w:spacing w:before="100" w:beforeAutospacing="1" w:after="100" w:afterAutospacing="1" w:line="360" w:lineRule="auto"/>
        <w:contextualSpacing/>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t>ما هو تأثير تبني وتنفيذ التحول الرقمي وأنظمة التكنولوجيا المتقدمة على كفاءة تنفيذ المشاريع؟</w:t>
      </w:r>
    </w:p>
    <w:p w14:paraId="59425651" w14:textId="77777777" w:rsidR="00684FF6" w:rsidRPr="00684FF6" w:rsidRDefault="00684FF6" w:rsidP="00684FF6">
      <w:pPr>
        <w:numPr>
          <w:ilvl w:val="0"/>
          <w:numId w:val="12"/>
        </w:numPr>
        <w:spacing w:before="100" w:beforeAutospacing="1" w:after="100" w:afterAutospacing="1" w:line="360" w:lineRule="auto"/>
        <w:contextualSpacing/>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lastRenderedPageBreak/>
        <w:t>كيف تؤثر آليات حوكمة الشركات المختلفة على كفاءة تنفيذ مشاريع الطيران؟</w:t>
      </w:r>
    </w:p>
    <w:p w14:paraId="60F65770"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t>تشكل إجابات هذه الأسئلة أساس التحليل المعروض في الفصول التالية من البحث، كل منها يرتبط مباشرة بفرضية من الفرضيات الستة التي سيتم التحقيق فيها في الفصل الرابع.</w:t>
      </w:r>
    </w:p>
    <w:p w14:paraId="658540BF" w14:textId="77777777" w:rsidR="00684FF6" w:rsidRPr="00684FF6" w:rsidRDefault="00684FF6" w:rsidP="00684FF6">
      <w:pPr>
        <w:bidi w:val="0"/>
        <w:jc w:val="center"/>
        <w:rPr>
          <w:rFonts w:ascii="Sakkal Majalla" w:eastAsia="Calibri" w:hAnsi="Sakkal Majalla" w:cs="Sakkal Majalla"/>
          <w:kern w:val="2"/>
          <w:sz w:val="28"/>
          <w:szCs w:val="28"/>
          <w:rtl/>
        </w:rPr>
      </w:pPr>
      <w:r w:rsidRPr="00684FF6">
        <w:rPr>
          <w:rFonts w:ascii="Sakkal Majalla" w:eastAsia="Calibri" w:hAnsi="Sakkal Majalla" w:cs="Sakkal Majalla"/>
          <w:kern w:val="2"/>
          <w:sz w:val="28"/>
          <w:szCs w:val="28"/>
          <w:rtl/>
        </w:rPr>
        <w:br w:type="page"/>
      </w:r>
    </w:p>
    <w:p w14:paraId="4411D027" w14:textId="77777777" w:rsidR="00684FF6" w:rsidRPr="00684FF6" w:rsidRDefault="00684FF6" w:rsidP="00684FF6">
      <w:pPr>
        <w:keepNext/>
        <w:keepLines/>
        <w:spacing w:before="40" w:after="0" w:line="360" w:lineRule="auto"/>
        <w:jc w:val="both"/>
        <w:outlineLvl w:val="1"/>
        <w:rPr>
          <w:rFonts w:ascii="Calibri Light" w:eastAsia="Times New Roman" w:hAnsi="Calibri Light" w:cs="Simplified Arabic"/>
          <w:bCs/>
          <w:kern w:val="2"/>
          <w:sz w:val="26"/>
          <w:szCs w:val="36"/>
          <w:u w:val="single"/>
          <w:rtl/>
        </w:rPr>
      </w:pPr>
      <w:bookmarkStart w:id="5" w:name="_Toc235804671"/>
      <w:r w:rsidRPr="00684FF6">
        <w:rPr>
          <w:rFonts w:ascii="Calibri Light" w:eastAsia="Times New Roman" w:hAnsi="Calibri Light" w:cs="Simplified Arabic"/>
          <w:bCs/>
          <w:kern w:val="2"/>
          <w:sz w:val="26"/>
          <w:szCs w:val="36"/>
          <w:u w:val="single"/>
          <w:rtl/>
        </w:rPr>
        <w:lastRenderedPageBreak/>
        <w:t>1-6 فرضيات الدراسة</w:t>
      </w:r>
      <w:bookmarkEnd w:id="5"/>
    </w:p>
    <w:p w14:paraId="7A6B502A"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t>استنادًا إلى نظريات إدارة المشاريع، تمت صياغة الفرضيات التالية من مشكلة البحث والأسئلة. لا تتطلب هذه الفرضيات جمع بيانات ميدانية، حيث سيتم تقييم صحتها من خلال مراجعة الأدبيات والوثائق ذات الصلة:</w:t>
      </w:r>
    </w:p>
    <w:p w14:paraId="01EF5FF6" w14:textId="77777777" w:rsidR="00684FF6" w:rsidRPr="00684FF6" w:rsidRDefault="00684FF6" w:rsidP="00684FF6">
      <w:pPr>
        <w:numPr>
          <w:ilvl w:val="0"/>
          <w:numId w:val="13"/>
        </w:numPr>
        <w:spacing w:before="100" w:beforeAutospacing="1" w:after="100" w:afterAutospacing="1" w:line="360" w:lineRule="auto"/>
        <w:jc w:val="both"/>
        <w:rPr>
          <w:rFonts w:ascii="Simplified Arabic" w:eastAsia="Times New Roman" w:hAnsi="Simplified Arabic" w:cs="Simplified Arabic"/>
          <w:sz w:val="28"/>
          <w:szCs w:val="28"/>
          <w:rtl/>
          <w:lang w:val="" w:bidi="ar-EG"/>
          <w14:ligatures w14:val="none"/>
        </w:rPr>
      </w:pPr>
      <w:r w:rsidRPr="00684FF6">
        <w:rPr>
          <w:rFonts w:ascii="Times New Roman" w:eastAsia="Times New Roman" w:hAnsi="Times New Roman" w:cs="Times New Roman"/>
          <w:sz w:val="28"/>
          <w:szCs w:val="28"/>
          <w:rtl/>
          <w:lang w:val=""/>
          <w14:ligatures w14:val="none"/>
        </w:rPr>
        <w:t>​</w:t>
      </w:r>
      <w:r w:rsidRPr="00684FF6">
        <w:rPr>
          <w:rFonts w:ascii="Simplified Arabic" w:eastAsia="Times New Roman" w:hAnsi="Simplified Arabic" w:cs="Simplified Arabic"/>
          <w:sz w:val="28"/>
          <w:szCs w:val="28"/>
          <w:rtl/>
          <w:lang w:val=""/>
          <w14:ligatures w14:val="none"/>
        </w:rPr>
        <w:t>الفرضية الأولى (</w:t>
      </w:r>
      <w:r w:rsidRPr="00684FF6">
        <w:rPr>
          <w:rFonts w:ascii="Times New Roman" w:eastAsia="Times New Roman" w:hAnsi="Times New Roman" w:cs="Times New Roman"/>
          <w:sz w:val="24"/>
          <w:szCs w:val="24"/>
          <w:lang w:val=""/>
          <w14:ligatures w14:val="none"/>
        </w:rPr>
        <w:t>H1</w:t>
      </w:r>
      <w:r w:rsidRPr="00684FF6">
        <w:rPr>
          <w:rFonts w:ascii="Simplified Arabic" w:eastAsia="Times New Roman" w:hAnsi="Simplified Arabic" w:cs="Simplified Arabic"/>
          <w:sz w:val="28"/>
          <w:szCs w:val="28"/>
          <w:rtl/>
          <w:lang w:val=""/>
          <w14:ligatures w14:val="none"/>
        </w:rPr>
        <w:t xml:space="preserve">): </w:t>
      </w:r>
      <w:r w:rsidRPr="00684FF6">
        <w:rPr>
          <w:rFonts w:ascii="Simplified Arabic" w:eastAsia="Aptos" w:hAnsi="Simplified Arabic" w:cs="Simplified Arabic"/>
          <w:sz w:val="28"/>
          <w:szCs w:val="28"/>
          <w:rtl/>
          <w:lang w:bidi="ar-EG"/>
        </w:rPr>
        <w:t>ترتبط جودة تخطيط الوقت والمتابعة لجدول التنفيذ ارتباطًا إيجابيًا وملحوظًا بمستوى كفاءة تنفيذ مشاريع الطيران في المملكة العربية السعودية.</w:t>
      </w:r>
    </w:p>
    <w:p w14:paraId="574107DA" w14:textId="77777777" w:rsidR="00684FF6" w:rsidRPr="00684FF6" w:rsidRDefault="00684FF6" w:rsidP="00684FF6">
      <w:pPr>
        <w:numPr>
          <w:ilvl w:val="0"/>
          <w:numId w:val="13"/>
        </w:numPr>
        <w:spacing w:before="100" w:beforeAutospacing="1" w:after="100" w:afterAutospacing="1" w:line="360" w:lineRule="auto"/>
        <w:contextualSpacing/>
        <w:jc w:val="both"/>
        <w:rPr>
          <w:rFonts w:ascii="Simplified Arabic" w:eastAsia="Aptos" w:hAnsi="Simplified Arabic" w:cs="Simplified Arabic"/>
          <w:sz w:val="28"/>
          <w:szCs w:val="28"/>
          <w:rtl/>
          <w:lang w:bidi="ar-EG"/>
        </w:rPr>
      </w:pPr>
      <w:r w:rsidRPr="00684FF6">
        <w:rPr>
          <w:rFonts w:ascii="Times New Roman" w:eastAsia="Calibri" w:hAnsi="Times New Roman" w:cs="Times New Roman"/>
          <w:kern w:val="2"/>
          <w:sz w:val="28"/>
          <w:szCs w:val="28"/>
          <w:rtl/>
        </w:rPr>
        <w:t>​</w:t>
      </w:r>
      <w:r w:rsidRPr="00684FF6">
        <w:rPr>
          <w:rFonts w:ascii="Simplified Arabic" w:eastAsia="Calibri" w:hAnsi="Simplified Arabic" w:cs="Simplified Arabic"/>
          <w:kern w:val="2"/>
          <w:sz w:val="28"/>
          <w:szCs w:val="28"/>
          <w:rtl/>
        </w:rPr>
        <w:t>الفرضية الثانية (</w:t>
      </w:r>
      <w:r w:rsidRPr="00684FF6">
        <w:rPr>
          <w:rFonts w:ascii="Times New Roman" w:eastAsia="Times New Roman" w:hAnsi="Times New Roman" w:cs="Times New Roman"/>
          <w:sz w:val="24"/>
          <w:szCs w:val="24"/>
          <w:lang w:val=""/>
          <w14:ligatures w14:val="none"/>
        </w:rPr>
        <w:t>H2</w:t>
      </w:r>
      <w:r w:rsidRPr="00684FF6">
        <w:rPr>
          <w:rFonts w:ascii="Simplified Arabic" w:eastAsia="Calibri" w:hAnsi="Simplified Arabic" w:cs="Simplified Arabic"/>
          <w:kern w:val="2"/>
          <w:sz w:val="28"/>
          <w:szCs w:val="28"/>
          <w:rtl/>
        </w:rPr>
        <w:t xml:space="preserve">): </w:t>
      </w:r>
      <w:r w:rsidRPr="00684FF6">
        <w:rPr>
          <w:rFonts w:ascii="Simplified Arabic" w:eastAsia="Aptos" w:hAnsi="Simplified Arabic" w:cs="Simplified Arabic"/>
          <w:sz w:val="28"/>
          <w:szCs w:val="28"/>
          <w:rtl/>
          <w:lang w:bidi="ar-EG"/>
        </w:rPr>
        <w:t>توجد علاقة إيجابية بين كفاءة إدارة تكاليف المشروع والسيطرة المالية وفعالية تنفيذ مشاريع الطيران.</w:t>
      </w:r>
    </w:p>
    <w:p w14:paraId="74D72BD5" w14:textId="77777777" w:rsidR="00684FF6" w:rsidRPr="00684FF6" w:rsidRDefault="00684FF6" w:rsidP="00684FF6">
      <w:pPr>
        <w:numPr>
          <w:ilvl w:val="0"/>
          <w:numId w:val="13"/>
        </w:numPr>
        <w:spacing w:before="100" w:beforeAutospacing="1" w:after="100" w:afterAutospacing="1" w:line="360" w:lineRule="auto"/>
        <w:jc w:val="both"/>
        <w:rPr>
          <w:rFonts w:ascii="Simplified Arabic" w:eastAsia="Times New Roman" w:hAnsi="Simplified Arabic" w:cs="Simplified Arabic"/>
          <w:sz w:val="28"/>
          <w:szCs w:val="28"/>
          <w:rtl/>
          <w:lang w:val="" w:bidi="ar-EG"/>
          <w14:ligatures w14:val="none"/>
        </w:rPr>
      </w:pPr>
      <w:r w:rsidRPr="00684FF6">
        <w:rPr>
          <w:rFonts w:ascii="Times New Roman" w:eastAsia="Times New Roman" w:hAnsi="Times New Roman" w:cs="Times New Roman"/>
          <w:sz w:val="28"/>
          <w:szCs w:val="28"/>
          <w:rtl/>
          <w:lang w:val=""/>
          <w14:ligatures w14:val="none"/>
        </w:rPr>
        <w:t>​</w:t>
      </w:r>
      <w:r w:rsidRPr="00684FF6">
        <w:rPr>
          <w:rFonts w:ascii="Simplified Arabic" w:eastAsia="Times New Roman" w:hAnsi="Simplified Arabic" w:cs="Simplified Arabic"/>
          <w:sz w:val="28"/>
          <w:szCs w:val="28"/>
          <w:rtl/>
          <w:lang w:val=""/>
          <w14:ligatures w14:val="none"/>
        </w:rPr>
        <w:t>الفرضية الثالثة (</w:t>
      </w:r>
      <w:r w:rsidRPr="00684FF6">
        <w:rPr>
          <w:rFonts w:ascii="Times New Roman" w:eastAsia="Times New Roman" w:hAnsi="Times New Roman" w:cs="Times New Roman"/>
          <w:sz w:val="24"/>
          <w:szCs w:val="24"/>
          <w:lang w:val=""/>
          <w14:ligatures w14:val="none"/>
        </w:rPr>
        <w:t>H3</w:t>
      </w:r>
      <w:r w:rsidRPr="00684FF6">
        <w:rPr>
          <w:rFonts w:ascii="Simplified Arabic" w:eastAsia="Times New Roman" w:hAnsi="Simplified Arabic" w:cs="Simplified Arabic"/>
          <w:sz w:val="28"/>
          <w:szCs w:val="28"/>
          <w:rtl/>
          <w:lang w:val=""/>
          <w14:ligatures w14:val="none"/>
        </w:rPr>
        <w:t xml:space="preserve">): </w:t>
      </w:r>
      <w:r w:rsidRPr="00684FF6">
        <w:rPr>
          <w:rFonts w:ascii="Simplified Arabic" w:eastAsia="Aptos" w:hAnsi="Simplified Arabic" w:cs="Simplified Arabic"/>
          <w:sz w:val="28"/>
          <w:szCs w:val="28"/>
          <w:rtl/>
          <w:lang w:bidi="ar-EG"/>
        </w:rPr>
        <w:t>يسهم مستوى التنسيق والدمج بين المؤسسات/المنظمات ذات الصلة في كفاءة تنفيذ المشروع ويقلل من انحراف نتائج الأهداف.</w:t>
      </w:r>
    </w:p>
    <w:p w14:paraId="7DB981F6" w14:textId="77777777" w:rsidR="00684FF6" w:rsidRPr="00684FF6" w:rsidRDefault="00684FF6" w:rsidP="00684FF6">
      <w:pPr>
        <w:numPr>
          <w:ilvl w:val="0"/>
          <w:numId w:val="13"/>
        </w:numPr>
        <w:spacing w:before="100" w:beforeAutospacing="1" w:after="100" w:afterAutospacing="1" w:line="360" w:lineRule="auto"/>
        <w:jc w:val="both"/>
        <w:rPr>
          <w:rFonts w:ascii="Simplified Arabic" w:eastAsia="Times New Roman" w:hAnsi="Simplified Arabic" w:cs="Simplified Arabic"/>
          <w:sz w:val="28"/>
          <w:szCs w:val="28"/>
          <w:rtl/>
          <w:lang w:val="" w:bidi="ar-EG"/>
          <w14:ligatures w14:val="none"/>
        </w:rPr>
      </w:pPr>
      <w:r w:rsidRPr="00684FF6">
        <w:rPr>
          <w:rFonts w:ascii="Times New Roman" w:eastAsia="Times New Roman" w:hAnsi="Times New Roman" w:cs="Times New Roman"/>
          <w:sz w:val="28"/>
          <w:szCs w:val="28"/>
          <w:rtl/>
          <w:lang w:val=""/>
          <w14:ligatures w14:val="none"/>
        </w:rPr>
        <w:t>​</w:t>
      </w:r>
      <w:r w:rsidRPr="00684FF6">
        <w:rPr>
          <w:rFonts w:ascii="Simplified Arabic" w:eastAsia="Times New Roman" w:hAnsi="Simplified Arabic" w:cs="Simplified Arabic"/>
          <w:sz w:val="28"/>
          <w:szCs w:val="28"/>
          <w:rtl/>
          <w:lang w:val=""/>
          <w14:ligatures w14:val="none"/>
        </w:rPr>
        <w:t>الفرضية الرابعة (</w:t>
      </w:r>
      <w:r w:rsidRPr="00684FF6">
        <w:rPr>
          <w:rFonts w:ascii="Times New Roman" w:eastAsia="Times New Roman" w:hAnsi="Times New Roman" w:cs="Times New Roman"/>
          <w:sz w:val="24"/>
          <w:szCs w:val="24"/>
          <w:lang w:val=""/>
          <w14:ligatures w14:val="none"/>
        </w:rPr>
        <w:t>H4</w:t>
      </w:r>
      <w:r w:rsidRPr="00684FF6">
        <w:rPr>
          <w:rFonts w:ascii="Simplified Arabic" w:eastAsia="Times New Roman" w:hAnsi="Simplified Arabic" w:cs="Simplified Arabic"/>
          <w:sz w:val="28"/>
          <w:szCs w:val="28"/>
          <w:rtl/>
          <w:lang w:val=""/>
          <w14:ligatures w14:val="none"/>
        </w:rPr>
        <w:t xml:space="preserve">): </w:t>
      </w:r>
      <w:r w:rsidRPr="00684FF6">
        <w:rPr>
          <w:rFonts w:ascii="Simplified Arabic" w:eastAsia="Aptos" w:hAnsi="Simplified Arabic" w:cs="Simplified Arabic"/>
          <w:sz w:val="28"/>
          <w:szCs w:val="28"/>
          <w:rtl/>
          <w:lang w:bidi="ar-EG"/>
        </w:rPr>
        <w:t>ترتبط كفاءة إدارة مخاطر المشروع ارتباطًا إيجابيًا بمستوى كفاءة تنفيذ المشروع وتقليل المخاطر المتعلقة بتجاوز الميزانية والوقت المخططين.</w:t>
      </w:r>
    </w:p>
    <w:p w14:paraId="50BBB6AC" w14:textId="77777777" w:rsidR="00684FF6" w:rsidRPr="00684FF6" w:rsidRDefault="00684FF6" w:rsidP="00684FF6">
      <w:pPr>
        <w:numPr>
          <w:ilvl w:val="0"/>
          <w:numId w:val="13"/>
        </w:numPr>
        <w:spacing w:before="100" w:beforeAutospacing="1" w:after="100" w:afterAutospacing="1" w:line="360" w:lineRule="auto"/>
        <w:jc w:val="both"/>
        <w:rPr>
          <w:rFonts w:ascii="Simplified Arabic" w:eastAsia="Times New Roman" w:hAnsi="Simplified Arabic" w:cs="Simplified Arabic"/>
          <w:sz w:val="28"/>
          <w:szCs w:val="28"/>
          <w:rtl/>
          <w:lang w:val="" w:bidi="ar-EG"/>
          <w14:ligatures w14:val="none"/>
        </w:rPr>
      </w:pPr>
      <w:r w:rsidRPr="00684FF6">
        <w:rPr>
          <w:rFonts w:ascii="Times New Roman" w:eastAsia="Times New Roman" w:hAnsi="Times New Roman" w:cs="Times New Roman"/>
          <w:sz w:val="28"/>
          <w:szCs w:val="28"/>
          <w:rtl/>
          <w:lang w:val=""/>
          <w14:ligatures w14:val="none"/>
        </w:rPr>
        <w:t>​</w:t>
      </w:r>
      <w:r w:rsidRPr="00684FF6">
        <w:rPr>
          <w:rFonts w:ascii="Simplified Arabic" w:eastAsia="Times New Roman" w:hAnsi="Simplified Arabic" w:cs="Simplified Arabic"/>
          <w:sz w:val="28"/>
          <w:szCs w:val="28"/>
          <w:rtl/>
          <w:lang w:val=""/>
          <w14:ligatures w14:val="none"/>
        </w:rPr>
        <w:t>الفرضية الخامسة (</w:t>
      </w:r>
      <w:r w:rsidRPr="00684FF6">
        <w:rPr>
          <w:rFonts w:ascii="Times New Roman" w:eastAsia="Times New Roman" w:hAnsi="Times New Roman" w:cs="Times New Roman"/>
          <w:sz w:val="24"/>
          <w:szCs w:val="24"/>
          <w:lang w:val=""/>
          <w14:ligatures w14:val="none"/>
        </w:rPr>
        <w:t>H5</w:t>
      </w:r>
      <w:r w:rsidRPr="00684FF6">
        <w:rPr>
          <w:rFonts w:ascii="Simplified Arabic" w:eastAsia="Times New Roman" w:hAnsi="Simplified Arabic" w:cs="Simplified Arabic"/>
          <w:sz w:val="28"/>
          <w:szCs w:val="28"/>
          <w:rtl/>
          <w:lang w:val=""/>
          <w14:ligatures w14:val="none"/>
        </w:rPr>
        <w:t xml:space="preserve">): </w:t>
      </w:r>
      <w:r w:rsidRPr="00684FF6">
        <w:rPr>
          <w:rFonts w:ascii="Simplified Arabic" w:eastAsia="Aptos" w:hAnsi="Simplified Arabic" w:cs="Simplified Arabic"/>
          <w:sz w:val="28"/>
          <w:szCs w:val="28"/>
          <w:rtl/>
          <w:lang w:bidi="ar-EG"/>
        </w:rPr>
        <w:t>يرتبط مستوى التغير في تنفيذ التقنيات الرقمية والأدوات التقنية الحديثة، بما في ذلك نمذجة معلومات البناء (</w:t>
      </w:r>
      <w:r w:rsidRPr="00684FF6">
        <w:rPr>
          <w:rFonts w:ascii="Times New Roman" w:eastAsia="Times New Roman" w:hAnsi="Times New Roman" w:cs="Times New Roman"/>
          <w:sz w:val="24"/>
          <w:szCs w:val="24"/>
          <w:lang w:val=""/>
          <w14:ligatures w14:val="none"/>
        </w:rPr>
        <w:t>BIM</w:t>
      </w:r>
      <w:r w:rsidRPr="00684FF6">
        <w:rPr>
          <w:rFonts w:ascii="Simplified Arabic" w:eastAsia="Aptos" w:hAnsi="Simplified Arabic" w:cs="Simplified Arabic"/>
          <w:sz w:val="28"/>
          <w:szCs w:val="28"/>
          <w:rtl/>
          <w:lang w:bidi="ar-EG"/>
        </w:rPr>
        <w:t>)، بمستوى كفاءة تنفيذ المشروع.</w:t>
      </w:r>
    </w:p>
    <w:p w14:paraId="4C5BCB83" w14:textId="77777777" w:rsidR="00684FF6" w:rsidRPr="00684FF6" w:rsidRDefault="00684FF6" w:rsidP="00684FF6">
      <w:pPr>
        <w:numPr>
          <w:ilvl w:val="0"/>
          <w:numId w:val="13"/>
        </w:numPr>
        <w:spacing w:before="100" w:beforeAutospacing="1" w:after="100" w:afterAutospacing="1" w:line="360" w:lineRule="auto"/>
        <w:jc w:val="both"/>
        <w:rPr>
          <w:rFonts w:ascii="Simplified Arabic" w:eastAsia="Times New Roman" w:hAnsi="Simplified Arabic" w:cs="Simplified Arabic"/>
          <w:sz w:val="28"/>
          <w:szCs w:val="28"/>
          <w:rtl/>
          <w:lang w:val="" w:bidi="ar-EG"/>
          <w14:ligatures w14:val="none"/>
        </w:rPr>
      </w:pPr>
      <w:r w:rsidRPr="00684FF6">
        <w:rPr>
          <w:rFonts w:ascii="Times New Roman" w:eastAsia="Times New Roman" w:hAnsi="Times New Roman" w:cs="Times New Roman"/>
          <w:sz w:val="28"/>
          <w:szCs w:val="28"/>
          <w:rtl/>
          <w:lang w:val=""/>
          <w14:ligatures w14:val="none"/>
        </w:rPr>
        <w:t>​</w:t>
      </w:r>
      <w:r w:rsidRPr="00684FF6">
        <w:rPr>
          <w:rFonts w:ascii="Simplified Arabic" w:eastAsia="Times New Roman" w:hAnsi="Simplified Arabic" w:cs="Simplified Arabic"/>
          <w:sz w:val="28"/>
          <w:szCs w:val="28"/>
          <w:rtl/>
          <w:lang w:val=""/>
          <w14:ligatures w14:val="none"/>
        </w:rPr>
        <w:t>الفرضية السادسة (</w:t>
      </w:r>
      <w:r w:rsidRPr="00684FF6">
        <w:rPr>
          <w:rFonts w:ascii="Times New Roman" w:eastAsia="Times New Roman" w:hAnsi="Times New Roman" w:cs="Times New Roman"/>
          <w:sz w:val="24"/>
          <w:szCs w:val="24"/>
          <w:lang w:val=""/>
          <w14:ligatures w14:val="none"/>
        </w:rPr>
        <w:t>H6</w:t>
      </w:r>
      <w:r w:rsidRPr="00684FF6">
        <w:rPr>
          <w:rFonts w:ascii="Simplified Arabic" w:eastAsia="Times New Roman" w:hAnsi="Simplified Arabic" w:cs="Simplified Arabic"/>
          <w:sz w:val="28"/>
          <w:szCs w:val="28"/>
          <w:rtl/>
          <w:lang w:val=""/>
          <w14:ligatures w14:val="none"/>
        </w:rPr>
        <w:t xml:space="preserve">): </w:t>
      </w:r>
      <w:r w:rsidRPr="00684FF6">
        <w:rPr>
          <w:rFonts w:ascii="Simplified Arabic" w:eastAsia="Aptos" w:hAnsi="Simplified Arabic" w:cs="Simplified Arabic"/>
          <w:sz w:val="28"/>
          <w:szCs w:val="28"/>
          <w:rtl/>
          <w:lang w:bidi="ar-EG"/>
        </w:rPr>
        <w:t>توجد علاقة إيجابية بين حوكمة الشركات وتنفيذ مشاريع الطيران داخل آليات الحوكمة المختلفة.</w:t>
      </w:r>
    </w:p>
    <w:p w14:paraId="789B310F"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rPr>
      </w:pPr>
      <w:r w:rsidRPr="00684FF6">
        <w:rPr>
          <w:rFonts w:ascii="Times New Roman" w:eastAsia="Calibri" w:hAnsi="Times New Roman" w:cs="Times New Roman"/>
          <w:kern w:val="2"/>
          <w:sz w:val="28"/>
          <w:szCs w:val="28"/>
          <w:rtl/>
        </w:rPr>
        <w:lastRenderedPageBreak/>
        <w:t>​</w:t>
      </w:r>
      <w:r w:rsidRPr="00684FF6">
        <w:rPr>
          <w:rFonts w:ascii="Simplified Arabic" w:eastAsia="Aptos" w:hAnsi="Simplified Arabic" w:cs="Simplified Arabic"/>
          <w:sz w:val="28"/>
          <w:szCs w:val="28"/>
          <w:rtl/>
          <w:lang w:bidi="ar-EG"/>
        </w:rPr>
        <w:t xml:space="preserve"> تشكل هذه الفرضيات الأساس التخطيطي للدراسة لدمج النظرية والممارسة في بيئة المجموعة الثانية من المطارات، وسيتم فحص صحتها تحليليًا في الفصل الرابع.</w:t>
      </w:r>
    </w:p>
    <w:p w14:paraId="74B60FCC" w14:textId="77777777" w:rsidR="00684FF6" w:rsidRPr="00684FF6" w:rsidRDefault="00684FF6" w:rsidP="00684FF6">
      <w:pPr>
        <w:bidi w:val="0"/>
        <w:spacing w:before="100" w:beforeAutospacing="1" w:after="100" w:afterAutospacing="1" w:line="240" w:lineRule="auto"/>
        <w:jc w:val="center"/>
        <w:rPr>
          <w:rFonts w:ascii="Simplified Arabic" w:eastAsia="Times New Roman" w:hAnsi="Simplified Arabic" w:cs="Simplified Arabic"/>
          <w:sz w:val="28"/>
          <w:szCs w:val="28"/>
          <w:lang w:val=""/>
          <w14:ligatures w14:val="none"/>
        </w:rPr>
      </w:pPr>
      <w:r w:rsidRPr="00684FF6">
        <w:rPr>
          <w:rFonts w:ascii="Simplified Arabic" w:eastAsia="Times New Roman" w:hAnsi="Simplified Arabic" w:cs="Simplified Arabic"/>
          <w:sz w:val="28"/>
          <w:szCs w:val="28"/>
          <w:rtl/>
          <w:lang w:val=""/>
          <w14:ligatures w14:val="none"/>
        </w:rPr>
        <w:br w:type="page"/>
      </w:r>
    </w:p>
    <w:p w14:paraId="0788EEFD" w14:textId="77777777" w:rsidR="00684FF6" w:rsidRPr="00684FF6" w:rsidRDefault="00684FF6" w:rsidP="00684FF6">
      <w:pPr>
        <w:keepNext/>
        <w:keepLines/>
        <w:spacing w:before="40" w:after="0" w:line="360" w:lineRule="auto"/>
        <w:jc w:val="both"/>
        <w:outlineLvl w:val="1"/>
        <w:rPr>
          <w:rFonts w:ascii="Simplified Arabic" w:eastAsia="Times New Roman" w:hAnsi="Simplified Arabic" w:cs="Simplified Arabic"/>
          <w:bCs/>
          <w:kern w:val="2"/>
          <w:sz w:val="26"/>
          <w:szCs w:val="36"/>
          <w:u w:val="single"/>
          <w:rtl/>
        </w:rPr>
      </w:pPr>
      <w:bookmarkStart w:id="6" w:name="_Toc235804672"/>
      <w:r w:rsidRPr="00684FF6">
        <w:rPr>
          <w:rFonts w:ascii="Simplified Arabic" w:eastAsia="Times New Roman" w:hAnsi="Simplified Arabic" w:cs="Simplified Arabic"/>
          <w:bCs/>
          <w:kern w:val="2"/>
          <w:sz w:val="26"/>
          <w:szCs w:val="36"/>
          <w:u w:val="single"/>
          <w:rtl/>
        </w:rPr>
        <w:lastRenderedPageBreak/>
        <w:t>1-7 النظرية العلمية المتبعة لإعداد البحث</w:t>
      </w:r>
      <w:bookmarkEnd w:id="6"/>
    </w:p>
    <w:p w14:paraId="2B45065A"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lang w:bidi="ar-EG"/>
        </w:rPr>
      </w:pPr>
      <w:r w:rsidRPr="00684FF6">
        <w:rPr>
          <w:rFonts w:ascii="Simplified Arabic" w:eastAsia="Aptos" w:hAnsi="Simplified Arabic" w:cs="Simplified Arabic"/>
          <w:sz w:val="28"/>
          <w:szCs w:val="28"/>
          <w:rtl/>
          <w:lang w:bidi="ar-EG"/>
        </w:rPr>
        <w:t>سعت هذه الدراسة إلى فهم النماذج والنظريات العلمية المعروضة في أدبيات إدارة المشاريع لبناء تحليلاتها الخاصة للفرضيات الست المقترحة. تم اختيار كل من النماذج لأنها تتعلق بشكل مباشر بالدراسة، كما ستوضح تحليلات الفصول الثالثة والرابعة. ضمن السياق الخاص بشركة تجميع المطارات الثانية، كان الهدف بناء أساس نظري متين ومنهجي لدمج المفاهيم والآثار العملية لشركة التجميع. النماذج المستخدمة هي إدارة القيمة المكتسبة، المثلث الحديدي (الزمن، التكلفة، الجودة)، نظرية التجمعات الصناعية، إدارة مخاطر المحافظ، النسخة الرقمية ونمذجة معلومات البناء (</w:t>
      </w:r>
      <w:r w:rsidRPr="00684FF6">
        <w:rPr>
          <w:rFonts w:ascii="Times New Roman" w:eastAsia="Aptos" w:hAnsi="Times New Roman" w:cs="Times New Roman"/>
          <w:sz w:val="24"/>
          <w:szCs w:val="24"/>
          <w:lang w:bidi="ar-EG"/>
        </w:rPr>
        <w:t>BIM</w:t>
      </w:r>
      <w:r w:rsidRPr="00684FF6">
        <w:rPr>
          <w:rFonts w:ascii="Simplified Arabic" w:eastAsia="Aptos" w:hAnsi="Simplified Arabic" w:cs="Simplified Arabic"/>
          <w:sz w:val="28"/>
          <w:szCs w:val="28"/>
          <w:rtl/>
          <w:lang w:bidi="ar-EG"/>
        </w:rPr>
        <w:t>)، وإطار حوكمة الشركات.</w:t>
      </w:r>
    </w:p>
    <w:p w14:paraId="12116524" w14:textId="77777777" w:rsidR="00684FF6" w:rsidRPr="00684FF6" w:rsidRDefault="00684FF6" w:rsidP="00684FF6">
      <w:pPr>
        <w:spacing w:before="100" w:beforeAutospacing="1" w:after="100" w:afterAutospacing="1" w:line="360" w:lineRule="auto"/>
        <w:outlineLvl w:val="2"/>
        <w:rPr>
          <w:rFonts w:ascii="Simplified Arabic" w:eastAsia="Times New Roman" w:hAnsi="Simplified Arabic" w:cs="Simplified Arabic"/>
          <w:b/>
          <w:bCs/>
          <w:sz w:val="28"/>
          <w:szCs w:val="28"/>
          <w:u w:val="single"/>
          <w:rtl/>
          <w:lang w:val=""/>
          <w14:ligatures w14:val="none"/>
        </w:rPr>
      </w:pPr>
      <w:bookmarkStart w:id="7" w:name="_Toc235804673"/>
      <w:r w:rsidRPr="00684FF6">
        <w:rPr>
          <w:rFonts w:ascii="Times New Roman" w:eastAsia="Times New Roman" w:hAnsi="Times New Roman" w:cs="Times New Roman"/>
          <w:b/>
          <w:bCs/>
          <w:sz w:val="28"/>
          <w:szCs w:val="28"/>
          <w:u w:val="single"/>
          <w:rtl/>
          <w:lang w:val=""/>
          <w14:ligatures w14:val="none"/>
        </w:rPr>
        <w:t>​</w:t>
      </w:r>
      <w:r w:rsidRPr="00684FF6">
        <w:rPr>
          <w:rFonts w:ascii="Times New Roman" w:eastAsia="Times New Roman" w:hAnsi="Times New Roman" w:cs="Simplified Arabic"/>
          <w:sz w:val="27"/>
          <w:szCs w:val="32"/>
          <w:u w:val="single"/>
          <w:rtl/>
          <w:lang w:val=""/>
          <w14:ligatures w14:val="none"/>
        </w:rPr>
        <w:t>أولاً: نظرية القيمة المكتسبة (</w:t>
      </w:r>
      <w:r w:rsidRPr="00684FF6">
        <w:rPr>
          <w:rFonts w:ascii="Times New Roman" w:eastAsia="Times New Roman" w:hAnsi="Times New Roman" w:cs="Simplified Arabic"/>
          <w:sz w:val="28"/>
          <w:szCs w:val="28"/>
          <w:u w:val="single"/>
          <w:lang w:val=""/>
          <w14:ligatures w14:val="none"/>
        </w:rPr>
        <w:t>Earned Value Management</w:t>
      </w:r>
      <w:r w:rsidRPr="00684FF6">
        <w:rPr>
          <w:rFonts w:ascii="Times New Roman" w:eastAsia="Times New Roman" w:hAnsi="Times New Roman" w:cs="Simplified Arabic"/>
          <w:sz w:val="27"/>
          <w:szCs w:val="32"/>
          <w:u w:val="single"/>
          <w:rtl/>
          <w:lang w:val=""/>
          <w14:ligatures w14:val="none"/>
        </w:rPr>
        <w:t>)</w:t>
      </w:r>
      <w:bookmarkEnd w:id="7"/>
    </w:p>
    <w:p w14:paraId="4061E3A1"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lang w:bidi="ar-EG"/>
        </w:rPr>
      </w:pPr>
      <w:r w:rsidRPr="00684FF6">
        <w:rPr>
          <w:rFonts w:ascii="Times New Roman" w:eastAsia="Calibri" w:hAnsi="Times New Roman" w:cs="Times New Roman"/>
          <w:kern w:val="2"/>
          <w:sz w:val="28"/>
          <w:szCs w:val="28"/>
          <w:rtl/>
        </w:rPr>
        <w:t>​</w:t>
      </w:r>
      <w:r w:rsidRPr="00684FF6">
        <w:rPr>
          <w:rFonts w:ascii="Simplified Arabic" w:eastAsia="Aptos" w:hAnsi="Simplified Arabic" w:cs="Simplified Arabic"/>
          <w:sz w:val="28"/>
          <w:szCs w:val="28"/>
          <w:rtl/>
          <w:lang w:bidi="ar-EG"/>
        </w:rPr>
        <w:t xml:space="preserve"> تدمج إدارة القيمة المكتسبة (</w:t>
      </w:r>
      <w:r w:rsidRPr="00684FF6">
        <w:rPr>
          <w:rFonts w:ascii="Times New Roman" w:eastAsia="Aptos" w:hAnsi="Times New Roman" w:cs="Times New Roman"/>
          <w:sz w:val="24"/>
          <w:szCs w:val="24"/>
          <w:lang w:bidi="ar-EG"/>
        </w:rPr>
        <w:t>EVM</w:t>
      </w:r>
      <w:r w:rsidRPr="00684FF6">
        <w:rPr>
          <w:rFonts w:ascii="Simplified Arabic" w:eastAsia="Aptos" w:hAnsi="Simplified Arabic" w:cs="Simplified Arabic"/>
          <w:sz w:val="28"/>
          <w:szCs w:val="28"/>
          <w:rtl/>
          <w:lang w:bidi="ar-EG"/>
        </w:rPr>
        <w:t>) الأبعاد الأساسية الثلاثة لإدارة المشاريع (نطاق العمل، الوقت، والتكلفة) في إطار تحليلي يُستخدم لتقييم الحالة الفعلية للمشروع مقارنة بما هو مخطط (</w:t>
      </w:r>
      <w:r w:rsidRPr="00684FF6">
        <w:rPr>
          <w:rFonts w:ascii="Simplified Arabic" w:eastAsia="Aptos" w:hAnsi="Simplified Arabic" w:cs="Simplified Arabic"/>
          <w:sz w:val="28"/>
          <w:szCs w:val="28"/>
          <w:lang w:bidi="ar-EG"/>
        </w:rPr>
        <w:t>PMI, 2021</w:t>
      </w:r>
      <w:r w:rsidRPr="00684FF6">
        <w:rPr>
          <w:rFonts w:ascii="Simplified Arabic" w:eastAsia="Aptos" w:hAnsi="Simplified Arabic" w:cs="Simplified Arabic"/>
          <w:sz w:val="28"/>
          <w:szCs w:val="28"/>
          <w:rtl/>
          <w:lang w:bidi="ar-EG"/>
        </w:rPr>
        <w:t>). تعتمد هذه المنهجية على ثلاثة مؤشرات رئيسية: القيمة المخططة (</w:t>
      </w:r>
      <w:r w:rsidRPr="00684FF6">
        <w:rPr>
          <w:rFonts w:ascii="Times New Roman" w:eastAsia="Aptos" w:hAnsi="Times New Roman" w:cs="Times New Roman"/>
          <w:sz w:val="24"/>
          <w:szCs w:val="24"/>
          <w:lang w:bidi="ar-EG"/>
        </w:rPr>
        <w:t>PV</w:t>
      </w:r>
      <w:r w:rsidRPr="00684FF6">
        <w:rPr>
          <w:rFonts w:ascii="Simplified Arabic" w:eastAsia="Aptos" w:hAnsi="Simplified Arabic" w:cs="Simplified Arabic"/>
          <w:sz w:val="28"/>
          <w:szCs w:val="28"/>
          <w:rtl/>
          <w:lang w:bidi="ar-EG"/>
        </w:rPr>
        <w:t>)، وهي الميزانية المخصصة للعمل المخطط؛ القيمة المكتسبة (</w:t>
      </w:r>
      <w:r w:rsidRPr="00684FF6">
        <w:rPr>
          <w:rFonts w:ascii="Times New Roman" w:eastAsia="Aptos" w:hAnsi="Times New Roman" w:cs="Times New Roman"/>
          <w:sz w:val="24"/>
          <w:szCs w:val="24"/>
          <w:lang w:bidi="ar-EG"/>
        </w:rPr>
        <w:t>EV</w:t>
      </w:r>
      <w:r w:rsidRPr="00684FF6">
        <w:rPr>
          <w:rFonts w:ascii="Simplified Arabic" w:eastAsia="Aptos" w:hAnsi="Simplified Arabic" w:cs="Simplified Arabic"/>
          <w:sz w:val="28"/>
          <w:szCs w:val="28"/>
          <w:rtl/>
          <w:lang w:bidi="ar-EG"/>
        </w:rPr>
        <w:t>)، وهي قيمة العمل المنجز؛ والتكلفة الفعلية (</w:t>
      </w:r>
      <w:r w:rsidRPr="00684FF6">
        <w:rPr>
          <w:rFonts w:ascii="Times New Roman" w:eastAsia="Aptos" w:hAnsi="Times New Roman" w:cs="Times New Roman"/>
          <w:sz w:val="24"/>
          <w:szCs w:val="24"/>
          <w:lang w:bidi="ar-EG"/>
        </w:rPr>
        <w:t>AC</w:t>
      </w:r>
      <w:r w:rsidRPr="00684FF6">
        <w:rPr>
          <w:rFonts w:ascii="Simplified Arabic" w:eastAsia="Aptos" w:hAnsi="Simplified Arabic" w:cs="Simplified Arabic"/>
          <w:sz w:val="28"/>
          <w:szCs w:val="28"/>
          <w:rtl/>
          <w:lang w:bidi="ar-EG"/>
        </w:rPr>
        <w:t>)، وهي التكلفة التي تكبدت لإنجاز العمل. يمكن من خلال مقارنة هذه المؤشرات الثلاث استنتاج مؤشرات أداء أخرى مثل مؤشر أداء الجدول الزمني (</w:t>
      </w:r>
      <w:r w:rsidRPr="00684FF6">
        <w:rPr>
          <w:rFonts w:ascii="Times New Roman" w:eastAsia="Aptos" w:hAnsi="Times New Roman" w:cs="Times New Roman"/>
          <w:sz w:val="24"/>
          <w:szCs w:val="24"/>
          <w:lang w:bidi="ar-EG"/>
        </w:rPr>
        <w:t>SPI</w:t>
      </w:r>
      <w:r w:rsidRPr="00684FF6">
        <w:rPr>
          <w:rFonts w:ascii="Simplified Arabic" w:eastAsia="Aptos" w:hAnsi="Simplified Arabic" w:cs="Simplified Arabic"/>
          <w:sz w:val="28"/>
          <w:szCs w:val="28"/>
          <w:rtl/>
          <w:lang w:bidi="ar-EG"/>
        </w:rPr>
        <w:t>) ومؤشر أداء التكلفة (</w:t>
      </w:r>
      <w:r w:rsidRPr="00684FF6">
        <w:rPr>
          <w:rFonts w:ascii="Times New Roman" w:eastAsia="Aptos" w:hAnsi="Times New Roman" w:cs="Times New Roman"/>
          <w:sz w:val="24"/>
          <w:szCs w:val="24"/>
          <w:lang w:bidi="ar-EG"/>
        </w:rPr>
        <w:t>CPI</w:t>
      </w:r>
      <w:r w:rsidRPr="00684FF6">
        <w:rPr>
          <w:rFonts w:ascii="Simplified Arabic" w:eastAsia="Aptos" w:hAnsi="Simplified Arabic" w:cs="Simplified Arabic"/>
          <w:sz w:val="28"/>
          <w:szCs w:val="28"/>
          <w:rtl/>
          <w:lang w:bidi="ar-EG"/>
        </w:rPr>
        <w:t>)، واللتين تُستخدمان لاكتشاف الانحرافات في أداء المشروع قبل حدوث فجوة الأداء.</w:t>
      </w:r>
    </w:p>
    <w:p w14:paraId="06667142"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lastRenderedPageBreak/>
        <w:t xml:space="preserve">تكمن قيمة استخدام هذا الإطار في هذه الدراسة في أنه يوفر أساسًا لتحليل التزام مشاريع </w:t>
      </w:r>
      <w:r w:rsidRPr="00684FF6">
        <w:rPr>
          <w:rFonts w:ascii="Times New Roman" w:eastAsia="Aptos" w:hAnsi="Times New Roman" w:cs="Times New Roman"/>
          <w:sz w:val="24"/>
          <w:szCs w:val="24"/>
          <w:lang w:bidi="ar-EG"/>
        </w:rPr>
        <w:t>Cluster 2</w:t>
      </w:r>
      <w:r w:rsidRPr="00684FF6">
        <w:rPr>
          <w:rFonts w:ascii="Simplified Arabic" w:eastAsia="Aptos" w:hAnsi="Simplified Arabic" w:cs="Simplified Arabic"/>
          <w:sz w:val="28"/>
          <w:szCs w:val="28"/>
          <w:rtl/>
          <w:lang w:bidi="ar-EG"/>
        </w:rPr>
        <w:t xml:space="preserve"> بجداولها وميزانياتها، من منظور وصفي، والتحول نحو تقييمات كمية أكثر دقة. وهذا يتوافق مع الفرضيتين الأولى والثانية بشأن التخطيط والسيطرة المالية، على التوالي.</w:t>
      </w:r>
    </w:p>
    <w:p w14:paraId="23139552" w14:textId="77777777" w:rsidR="00684FF6" w:rsidRPr="00684FF6" w:rsidRDefault="00684FF6" w:rsidP="00684FF6">
      <w:pPr>
        <w:spacing w:before="100" w:beforeAutospacing="1" w:after="100" w:afterAutospacing="1" w:line="360" w:lineRule="auto"/>
        <w:outlineLvl w:val="2"/>
        <w:rPr>
          <w:rFonts w:ascii="Times New Roman" w:eastAsia="Times New Roman" w:hAnsi="Times New Roman" w:cs="Simplified Arabic"/>
          <w:b/>
          <w:bCs/>
          <w:sz w:val="27"/>
          <w:szCs w:val="32"/>
          <w:u w:val="single"/>
          <w:rtl/>
          <w:lang w:val=""/>
          <w14:ligatures w14:val="none"/>
        </w:rPr>
      </w:pPr>
      <w:bookmarkStart w:id="8" w:name="_Toc235804674"/>
      <w:r w:rsidRPr="00684FF6">
        <w:rPr>
          <w:rFonts w:ascii="Times New Roman" w:eastAsia="Times New Roman" w:hAnsi="Times New Roman" w:cs="Times New Roman"/>
          <w:b/>
          <w:bCs/>
          <w:sz w:val="27"/>
          <w:szCs w:val="32"/>
          <w:u w:val="single"/>
          <w:rtl/>
          <w:lang w:val=""/>
          <w14:ligatures w14:val="none"/>
        </w:rPr>
        <w:t>​</w:t>
      </w:r>
      <w:r w:rsidRPr="00684FF6">
        <w:rPr>
          <w:rFonts w:ascii="Times New Roman" w:eastAsia="Times New Roman" w:hAnsi="Times New Roman" w:cs="Simplified Arabic"/>
          <w:b/>
          <w:bCs/>
          <w:sz w:val="27"/>
          <w:szCs w:val="32"/>
          <w:u w:val="single"/>
          <w:rtl/>
          <w:lang w:val=""/>
          <w14:ligatures w14:val="none"/>
        </w:rPr>
        <w:t>ثانياً: مثلث الأداء (</w:t>
      </w:r>
      <w:r w:rsidRPr="00684FF6">
        <w:rPr>
          <w:rFonts w:ascii="Times New Roman" w:eastAsia="Times New Roman" w:hAnsi="Times New Roman" w:cs="Simplified Arabic"/>
          <w:b/>
          <w:bCs/>
          <w:sz w:val="28"/>
          <w:szCs w:val="28"/>
          <w:u w:val="single"/>
          <w:lang w:val=""/>
          <w14:ligatures w14:val="none"/>
        </w:rPr>
        <w:t>Iron Triangle</w:t>
      </w:r>
      <w:r w:rsidRPr="00684FF6">
        <w:rPr>
          <w:rFonts w:ascii="Times New Roman" w:eastAsia="Times New Roman" w:hAnsi="Times New Roman" w:cs="Simplified Arabic"/>
          <w:b/>
          <w:bCs/>
          <w:sz w:val="27"/>
          <w:szCs w:val="32"/>
          <w:u w:val="single"/>
          <w:rtl/>
          <w:lang w:val=""/>
          <w14:ligatures w14:val="none"/>
        </w:rPr>
        <w:t>)</w:t>
      </w:r>
      <w:bookmarkEnd w:id="8"/>
    </w:p>
    <w:p w14:paraId="415421F0"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lang w:bidi="ar-EG"/>
        </w:rPr>
      </w:pPr>
      <w:r w:rsidRPr="00684FF6">
        <w:rPr>
          <w:rFonts w:ascii="Times New Roman" w:eastAsia="Calibri" w:hAnsi="Times New Roman" w:cs="Times New Roman"/>
          <w:kern w:val="2"/>
          <w:sz w:val="28"/>
          <w:szCs w:val="28"/>
          <w:rtl/>
        </w:rPr>
        <w:t>​</w:t>
      </w:r>
      <w:r w:rsidRPr="00684FF6">
        <w:rPr>
          <w:rFonts w:ascii="Simplified Arabic" w:eastAsia="Aptos" w:hAnsi="Simplified Arabic" w:cs="Simplified Arabic"/>
          <w:sz w:val="28"/>
          <w:szCs w:val="28"/>
          <w:rtl/>
          <w:lang w:bidi="ar-EG"/>
        </w:rPr>
        <w:t xml:space="preserve"> مثلث الأداء (القيود الثلاثية) هو أحد أقدم الأطر المعروفة في إدارة المشاريع. يُذكر أن المشروع ينجح عندما يتم الحفاظ على توازن بين ثلاثة قيود: الزمن (الالتزام بالجدول المعتمد)، التكاليف (الالتزام بميزانية المشروع)، والنطاق/الجودة (تسليم ما تم تحديده). المبدأ هو أنه عندما يتغير أحد القيود، تتأثر القيود الأخرى. على سبيل المثال، تنفيذ مشروع بسرعة زائدة غالبًا سيؤدي إلى الإخلال إما بالميزانية، أو بجودة النطاق، أو بكليهما </w:t>
      </w:r>
      <w:r w:rsidRPr="00684FF6">
        <w:rPr>
          <w:rFonts w:ascii="Simplified Arabic" w:eastAsia="Times New Roman" w:hAnsi="Simplified Arabic" w:cs="Simplified Arabic"/>
          <w:sz w:val="28"/>
          <w:szCs w:val="28"/>
          <w:rtl/>
          <w:lang w:val=""/>
          <w14:ligatures w14:val="none"/>
        </w:rPr>
        <w:t>(</w:t>
      </w:r>
      <w:r w:rsidRPr="00684FF6">
        <w:rPr>
          <w:rFonts w:ascii="Simplified Arabic" w:eastAsia="Times New Roman" w:hAnsi="Simplified Arabic" w:cs="Simplified Arabic"/>
          <w:sz w:val="28"/>
          <w:szCs w:val="28"/>
          <w:lang w:val=""/>
          <w14:ligatures w14:val="none"/>
        </w:rPr>
        <w:t>Kerzner, 2022</w:t>
      </w:r>
      <w:r w:rsidRPr="00684FF6">
        <w:rPr>
          <w:rFonts w:ascii="Simplified Arabic" w:eastAsia="Times New Roman" w:hAnsi="Simplified Arabic" w:cs="Simplified Arabic"/>
          <w:sz w:val="28"/>
          <w:szCs w:val="28"/>
          <w:rtl/>
          <w14:ligatures w14:val="none"/>
        </w:rPr>
        <w:t>;</w:t>
      </w:r>
      <w:r w:rsidRPr="00684FF6">
        <w:rPr>
          <w:rFonts w:ascii="Simplified Arabic" w:eastAsia="Times New Roman" w:hAnsi="Simplified Arabic" w:cs="Simplified Arabic"/>
          <w:sz w:val="28"/>
          <w:szCs w:val="28"/>
          <w:rtl/>
          <w:lang w:val=""/>
          <w14:ligatures w14:val="none"/>
        </w:rPr>
        <w:t xml:space="preserve"> </w:t>
      </w:r>
      <w:r w:rsidRPr="00684FF6">
        <w:rPr>
          <w:rFonts w:ascii="Simplified Arabic" w:eastAsia="Times New Roman" w:hAnsi="Simplified Arabic" w:cs="Simplified Arabic"/>
          <w:sz w:val="28"/>
          <w:szCs w:val="28"/>
          <w:lang w:val=""/>
          <w14:ligatures w14:val="none"/>
        </w:rPr>
        <w:t>PMI, 2021</w:t>
      </w:r>
      <w:r w:rsidRPr="00684FF6">
        <w:rPr>
          <w:rFonts w:ascii="Simplified Arabic" w:eastAsia="Times New Roman" w:hAnsi="Simplified Arabic" w:cs="Simplified Arabic"/>
          <w:sz w:val="28"/>
          <w:szCs w:val="28"/>
          <w:rtl/>
          <w:lang w:val=""/>
          <w14:ligatures w14:val="none"/>
        </w:rPr>
        <w:t>).</w:t>
      </w:r>
    </w:p>
    <w:p w14:paraId="53A6C20A"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rPr>
      </w:pPr>
      <w:r w:rsidRPr="00684FF6">
        <w:rPr>
          <w:rFonts w:ascii="Simplified Arabic" w:eastAsia="Aptos" w:hAnsi="Simplified Arabic" w:cs="Simplified Arabic"/>
          <w:sz w:val="28"/>
          <w:szCs w:val="28"/>
          <w:rtl/>
          <w:lang w:bidi="ar-EG"/>
        </w:rPr>
        <w:t>على الرغم من وجود أطر أكثر حداثة ومرونة تمتد لتشمل، على سبيل المثال، رضا الأطراف المعنية أو حتى الاستدامة، يظل المثلث الأداء الأصلي إطارًا أساسيًا في إدارة المشاريع، وسيتم استخدامه بشكل جيد، خاصة في تحليل الفرضيتين الأولى والثانية من هذا البحث، بخصوص التحكم في الجدولة والتمويل، على الترتيب، في سياق الفعالية العامة للتنفيذ.</w:t>
      </w:r>
    </w:p>
    <w:p w14:paraId="3F6EC8E8" w14:textId="77777777" w:rsidR="00684FF6" w:rsidRPr="00684FF6" w:rsidRDefault="00684FF6" w:rsidP="00684FF6">
      <w:pPr>
        <w:spacing w:before="100" w:beforeAutospacing="1" w:after="100" w:afterAutospacing="1" w:line="360" w:lineRule="auto"/>
        <w:outlineLvl w:val="2"/>
        <w:rPr>
          <w:rFonts w:ascii="Times New Roman" w:eastAsia="Times New Roman" w:hAnsi="Times New Roman" w:cs="Simplified Arabic"/>
          <w:b/>
          <w:bCs/>
          <w:sz w:val="27"/>
          <w:szCs w:val="32"/>
          <w:u w:val="single"/>
          <w:rtl/>
          <w:lang w:val=""/>
          <w14:ligatures w14:val="none"/>
        </w:rPr>
      </w:pPr>
      <w:bookmarkStart w:id="9" w:name="_Toc235804675"/>
      <w:r w:rsidRPr="00684FF6">
        <w:rPr>
          <w:rFonts w:ascii="Times New Roman" w:eastAsia="Times New Roman" w:hAnsi="Times New Roman" w:cs="Times New Roman"/>
          <w:b/>
          <w:bCs/>
          <w:sz w:val="27"/>
          <w:szCs w:val="32"/>
          <w:u w:val="single"/>
          <w:rtl/>
          <w:lang w:val=""/>
          <w14:ligatures w14:val="none"/>
        </w:rPr>
        <w:t>​</w:t>
      </w:r>
      <w:r w:rsidRPr="00684FF6">
        <w:rPr>
          <w:rFonts w:ascii="Times New Roman" w:eastAsia="Times New Roman" w:hAnsi="Times New Roman" w:cs="Simplified Arabic"/>
          <w:b/>
          <w:bCs/>
          <w:sz w:val="27"/>
          <w:szCs w:val="32"/>
          <w:u w:val="single"/>
          <w:rtl/>
          <w:lang w:val=""/>
          <w14:ligatures w14:val="none"/>
        </w:rPr>
        <w:t>ثالثاً: نظرية التجمعات الصناعية (</w:t>
      </w:r>
      <w:r w:rsidRPr="00684FF6">
        <w:rPr>
          <w:rFonts w:ascii="Times New Roman" w:eastAsia="Times New Roman" w:hAnsi="Times New Roman" w:cs="Simplified Arabic"/>
          <w:b/>
          <w:bCs/>
          <w:sz w:val="28"/>
          <w:szCs w:val="28"/>
          <w:u w:val="single"/>
          <w:lang w:val=""/>
          <w14:ligatures w14:val="none"/>
        </w:rPr>
        <w:t>Cluster Theory</w:t>
      </w:r>
      <w:r w:rsidRPr="00684FF6">
        <w:rPr>
          <w:rFonts w:ascii="Times New Roman" w:eastAsia="Times New Roman" w:hAnsi="Times New Roman" w:cs="Simplified Arabic"/>
          <w:b/>
          <w:bCs/>
          <w:sz w:val="27"/>
          <w:szCs w:val="32"/>
          <w:u w:val="single"/>
          <w:rtl/>
          <w:lang w:val=""/>
          <w14:ligatures w14:val="none"/>
        </w:rPr>
        <w:t>)</w:t>
      </w:r>
      <w:bookmarkEnd w:id="9"/>
    </w:p>
    <w:p w14:paraId="181E4CDE"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lang w:bidi="ar-EG"/>
        </w:rPr>
      </w:pPr>
      <w:r w:rsidRPr="00684FF6">
        <w:rPr>
          <w:rFonts w:ascii="Times New Roman" w:eastAsia="Calibri" w:hAnsi="Times New Roman" w:cs="Times New Roman"/>
          <w:kern w:val="2"/>
          <w:sz w:val="28"/>
          <w:szCs w:val="28"/>
          <w:rtl/>
        </w:rPr>
        <w:t>​</w:t>
      </w:r>
      <w:r w:rsidRPr="00684FF6">
        <w:rPr>
          <w:rFonts w:ascii="Simplified Arabic" w:eastAsia="Aptos" w:hAnsi="Simplified Arabic" w:cs="Simplified Arabic"/>
          <w:sz w:val="28"/>
          <w:szCs w:val="28"/>
          <w:rtl/>
          <w:lang w:bidi="ar-EG"/>
        </w:rPr>
        <w:t xml:space="preserve"> في وصف الشركات والمؤسسات المترابطة المركزة جغرافيًا في صناعة أو قطاع معين، قدم </w:t>
      </w:r>
      <w:r w:rsidRPr="00684FF6">
        <w:rPr>
          <w:rFonts w:ascii="Times New Roman" w:eastAsia="Aptos" w:hAnsi="Times New Roman" w:cs="Times New Roman"/>
          <w:sz w:val="24"/>
          <w:szCs w:val="24"/>
          <w:lang w:bidi="ar-EG"/>
        </w:rPr>
        <w:t>Porter</w:t>
      </w:r>
      <w:r w:rsidRPr="00684FF6">
        <w:rPr>
          <w:rFonts w:ascii="Times New Roman" w:eastAsia="Times New Roman" w:hAnsi="Times New Roman" w:cs="Times New Roman"/>
          <w:sz w:val="24"/>
          <w:szCs w:val="24"/>
          <w:lang w:val=""/>
          <w14:ligatures w14:val="none"/>
        </w:rPr>
        <w:t xml:space="preserve"> (1998)</w:t>
      </w:r>
      <w:r w:rsidRPr="00684FF6">
        <w:rPr>
          <w:rFonts w:ascii="Times New Roman" w:eastAsia="Aptos" w:hAnsi="Times New Roman" w:cs="Times New Roman"/>
          <w:sz w:val="28"/>
          <w:szCs w:val="28"/>
          <w:rtl/>
          <w:lang w:bidi="ar-EG"/>
        </w:rPr>
        <w:t xml:space="preserve"> </w:t>
      </w:r>
      <w:r w:rsidRPr="00684FF6">
        <w:rPr>
          <w:rFonts w:ascii="Simplified Arabic" w:eastAsia="Aptos" w:hAnsi="Simplified Arabic" w:cs="Simplified Arabic"/>
          <w:sz w:val="28"/>
          <w:szCs w:val="28"/>
          <w:rtl/>
          <w:lang w:bidi="ar-EG"/>
        </w:rPr>
        <w:t xml:space="preserve">مفهوم "التجمعات". كان يعتقد أن تجميع عدد من الشركات والمؤسسات المماثلة تحت إطار تنظيمي </w:t>
      </w:r>
      <w:r w:rsidRPr="00684FF6">
        <w:rPr>
          <w:rFonts w:ascii="Simplified Arabic" w:eastAsia="Aptos" w:hAnsi="Simplified Arabic" w:cs="Simplified Arabic"/>
          <w:sz w:val="28"/>
          <w:szCs w:val="28"/>
          <w:rtl/>
          <w:lang w:bidi="ar-EG"/>
        </w:rPr>
        <w:lastRenderedPageBreak/>
        <w:t>و/أو جغرافي معين يعزز الميزة التنافسية من خلال تحقيق وفورات الحجم وتوفير قنوات لنقل المعرفة والخبرة، بالإضافة إلى توحيد معايير الأداء والجودة بين وحدات التجمع. تنطبق هذه النظرية في هذا السياق لأن التسمية "</w:t>
      </w:r>
      <w:r w:rsidRPr="00684FF6">
        <w:rPr>
          <w:rFonts w:ascii="Times New Roman" w:eastAsia="Times New Roman" w:hAnsi="Times New Roman" w:cs="Times New Roman"/>
          <w:sz w:val="24"/>
          <w:szCs w:val="24"/>
          <w:lang w:val=""/>
          <w14:ligatures w14:val="none"/>
        </w:rPr>
        <w:t>Cluster 2</w:t>
      </w:r>
      <w:r w:rsidRPr="00684FF6">
        <w:rPr>
          <w:rFonts w:ascii="Simplified Arabic" w:eastAsia="Aptos" w:hAnsi="Simplified Arabic" w:cs="Simplified Arabic"/>
          <w:sz w:val="28"/>
          <w:szCs w:val="28"/>
          <w:rtl/>
          <w:lang w:bidi="ar-EG"/>
        </w:rPr>
        <w:t>" هي تجسيد لتطبيق هذه المنطق التنظيمي في التعامل مع مجموعة من المطارات الإقليمية والدولية ضمن إطار مؤسسي واحد.</w:t>
      </w:r>
    </w:p>
    <w:p w14:paraId="5D77994B"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t>توفر هذه النظرية أساسًا لفهم نظرية "التجمعات الصناعية"، والتي تركز على تنفيذ تجمعات المشاريع المزدحمة داخل المطارات الإقليمية. هذا مرتبط مباشرة بتركيز الفرضية الثالثة على تأثيرات التنسيق والتكامل المؤسسي على كفاءة المشاريع.</w:t>
      </w:r>
    </w:p>
    <w:p w14:paraId="5040B85F" w14:textId="77777777" w:rsidR="00684FF6" w:rsidRPr="00684FF6" w:rsidRDefault="00684FF6" w:rsidP="00684FF6">
      <w:pPr>
        <w:spacing w:before="100" w:beforeAutospacing="1" w:after="100" w:afterAutospacing="1" w:line="360" w:lineRule="auto"/>
        <w:outlineLvl w:val="2"/>
        <w:rPr>
          <w:rFonts w:ascii="Times New Roman" w:eastAsia="Times New Roman" w:hAnsi="Times New Roman" w:cs="Simplified Arabic"/>
          <w:b/>
          <w:bCs/>
          <w:sz w:val="27"/>
          <w:szCs w:val="32"/>
          <w:u w:val="single"/>
          <w:rtl/>
          <w:lang w:val=""/>
          <w14:ligatures w14:val="none"/>
        </w:rPr>
      </w:pPr>
      <w:bookmarkStart w:id="10" w:name="_Toc235804676"/>
      <w:r w:rsidRPr="00684FF6">
        <w:rPr>
          <w:rFonts w:ascii="Times New Roman" w:eastAsia="Times New Roman" w:hAnsi="Times New Roman" w:cs="Times New Roman"/>
          <w:b/>
          <w:bCs/>
          <w:sz w:val="27"/>
          <w:szCs w:val="32"/>
          <w:u w:val="single"/>
          <w:rtl/>
          <w:lang w:val=""/>
          <w14:ligatures w14:val="none"/>
        </w:rPr>
        <w:t>​</w:t>
      </w:r>
      <w:r w:rsidRPr="00684FF6">
        <w:rPr>
          <w:rFonts w:ascii="Times New Roman" w:eastAsia="Times New Roman" w:hAnsi="Times New Roman" w:cs="Simplified Arabic"/>
          <w:b/>
          <w:bCs/>
          <w:sz w:val="27"/>
          <w:szCs w:val="32"/>
          <w:u w:val="single"/>
          <w:rtl/>
          <w:lang w:val=""/>
          <w14:ligatures w14:val="none"/>
        </w:rPr>
        <w:t>رابعاً: إدارة مخاطر المحافظ (</w:t>
      </w:r>
      <w:r w:rsidRPr="00684FF6">
        <w:rPr>
          <w:rFonts w:ascii="Times New Roman" w:eastAsia="Times New Roman" w:hAnsi="Times New Roman" w:cs="Simplified Arabic"/>
          <w:b/>
          <w:bCs/>
          <w:sz w:val="28"/>
          <w:szCs w:val="28"/>
          <w:u w:val="single"/>
          <w:lang w:val=""/>
          <w14:ligatures w14:val="none"/>
        </w:rPr>
        <w:t>Portfolio Risk Management</w:t>
      </w:r>
      <w:r w:rsidRPr="00684FF6">
        <w:rPr>
          <w:rFonts w:ascii="Times New Roman" w:eastAsia="Times New Roman" w:hAnsi="Times New Roman" w:cs="Simplified Arabic"/>
          <w:b/>
          <w:bCs/>
          <w:sz w:val="27"/>
          <w:szCs w:val="32"/>
          <w:u w:val="single"/>
          <w:rtl/>
          <w:lang w:val=""/>
          <w14:ligatures w14:val="none"/>
        </w:rPr>
        <w:t>)</w:t>
      </w:r>
      <w:bookmarkEnd w:id="10"/>
    </w:p>
    <w:p w14:paraId="5DEE0474"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lang w:bidi="ar-EG"/>
        </w:rPr>
      </w:pPr>
      <w:r w:rsidRPr="00684FF6">
        <w:rPr>
          <w:rFonts w:ascii="Times New Roman" w:eastAsia="Calibri" w:hAnsi="Times New Roman" w:cs="Times New Roman"/>
          <w:kern w:val="2"/>
          <w:sz w:val="28"/>
          <w:szCs w:val="28"/>
          <w:rtl/>
        </w:rPr>
        <w:t>​</w:t>
      </w:r>
      <w:r w:rsidRPr="00684FF6">
        <w:rPr>
          <w:rFonts w:ascii="Simplified Arabic" w:eastAsia="Aptos" w:hAnsi="Simplified Arabic" w:cs="Simplified Arabic"/>
          <w:sz w:val="28"/>
          <w:szCs w:val="28"/>
          <w:rtl/>
          <w:lang w:bidi="ar-EG"/>
        </w:rPr>
        <w:t xml:space="preserve"> إدارة المخاطر ضرورية عند التعامل مع مشاريع معقدة واسعة النطاق ومرتكزة على رأس المال. أظهرت العديد من الدراسات وجود علاقة إيجابية بين إدارة المخاطر ونجاح المشاريع </w:t>
      </w:r>
      <w:r w:rsidRPr="00684FF6">
        <w:rPr>
          <w:rFonts w:ascii="Simplified Arabic" w:eastAsia="Times New Roman" w:hAnsi="Simplified Arabic" w:cs="Simplified Arabic"/>
          <w:sz w:val="28"/>
          <w:szCs w:val="28"/>
          <w:rtl/>
          <w:lang w:val=""/>
          <w14:ligatures w14:val="none"/>
        </w:rPr>
        <w:t>(</w:t>
      </w:r>
      <w:r w:rsidRPr="00684FF6">
        <w:rPr>
          <w:rFonts w:ascii="Simplified Arabic" w:eastAsia="Times New Roman" w:hAnsi="Simplified Arabic" w:cs="Simplified Arabic"/>
          <w:sz w:val="28"/>
          <w:szCs w:val="28"/>
          <w:lang w:val=""/>
          <w14:ligatures w14:val="none"/>
        </w:rPr>
        <w:t>de Carvalho &amp; Rabechini Junior, 2015</w:t>
      </w:r>
      <w:r w:rsidRPr="00684FF6">
        <w:rPr>
          <w:rFonts w:ascii="Simplified Arabic" w:eastAsia="Times New Roman" w:hAnsi="Simplified Arabic" w:cs="Simplified Arabic"/>
          <w:sz w:val="28"/>
          <w:szCs w:val="28"/>
          <w:rtl/>
          <w:lang w:val=""/>
          <w14:ligatures w14:val="none"/>
        </w:rPr>
        <w:t>).</w:t>
      </w:r>
      <w:r w:rsidRPr="00684FF6">
        <w:rPr>
          <w:rFonts w:ascii="Simplified Arabic" w:eastAsia="Times New Roman" w:hAnsi="Simplified Arabic" w:cs="Simplified Arabic"/>
          <w:sz w:val="28"/>
          <w:szCs w:val="28"/>
          <w:lang w:val=""/>
          <w14:ligatures w14:val="none"/>
        </w:rPr>
        <w:t xml:space="preserve"> </w:t>
      </w:r>
      <w:r w:rsidRPr="00684FF6">
        <w:rPr>
          <w:rFonts w:ascii="Simplified Arabic" w:eastAsia="Aptos" w:hAnsi="Simplified Arabic" w:cs="Simplified Arabic"/>
          <w:sz w:val="28"/>
          <w:szCs w:val="28"/>
          <w:rtl/>
          <w:lang w:bidi="ar-EG"/>
        </w:rPr>
        <w:t>يركز نموذج إدارة مخاطر المحفظة على موازنة المخاطر على مستوى جميع محفظة المشاريع بدلاً من وحدات العمليات الفردية التي تتحمل عبء المخاطر. يتيح النموذج إنشاء سجل مركزي للمخاطر، مما يضمن موقفًا نشطًا وملتزمًا لإدارة المخاطر، ويؤمن دعمًا ماليًا وفنيًا للحد من الآثار السلبية لعبء المخاطر على جدول المشروع.</w:t>
      </w:r>
    </w:p>
    <w:p w14:paraId="0F2DBE38"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lang w:bidi="ar-EG"/>
        </w:rPr>
      </w:pPr>
      <w:r w:rsidRPr="00684FF6">
        <w:rPr>
          <w:rFonts w:ascii="Simplified Arabic" w:eastAsia="Aptos" w:hAnsi="Simplified Arabic" w:cs="Simplified Arabic"/>
          <w:sz w:val="28"/>
          <w:szCs w:val="28"/>
          <w:rtl/>
          <w:lang w:bidi="ar-EG"/>
        </w:rPr>
        <w:t xml:space="preserve">تظهر ملاءمة النموذج عندما نحلل بيئة المطارات من الجيل الثاني. يسمح نموذج تجميع المطارات بالإدارة المركزية للمخاطر والمعايير الموحدة للاستجابة، بدلاً من إدارة المطارات لمخاطرها بشكل منفرد. يتوافق </w:t>
      </w:r>
      <w:r w:rsidRPr="00684FF6">
        <w:rPr>
          <w:rFonts w:ascii="Simplified Arabic" w:eastAsia="Aptos" w:hAnsi="Simplified Arabic" w:cs="Simplified Arabic"/>
          <w:sz w:val="28"/>
          <w:szCs w:val="28"/>
          <w:rtl/>
          <w:lang w:bidi="ar-EG"/>
        </w:rPr>
        <w:lastRenderedPageBreak/>
        <w:t>هذا النموذج تمامًا مع الفرضية الرابعة للدراسة التي تنص على أن اعتماد ودمج أنظمة وعمليات إدارة المخاطر سيكون له تأثير إيجابي على كفاءة تنفيذ المشاريع، مع تقليل التكاليف والتجاوزات الزمنية.</w:t>
      </w:r>
    </w:p>
    <w:p w14:paraId="68E72948" w14:textId="77777777" w:rsidR="00684FF6" w:rsidRPr="00684FF6" w:rsidRDefault="00684FF6" w:rsidP="00684FF6">
      <w:pPr>
        <w:spacing w:before="100" w:beforeAutospacing="1" w:after="100" w:afterAutospacing="1" w:line="360" w:lineRule="auto"/>
        <w:outlineLvl w:val="2"/>
        <w:rPr>
          <w:rFonts w:ascii="Times New Roman" w:eastAsia="Times New Roman" w:hAnsi="Times New Roman" w:cs="Simplified Arabic"/>
          <w:b/>
          <w:bCs/>
          <w:sz w:val="27"/>
          <w:szCs w:val="32"/>
          <w:u w:val="single"/>
          <w:rtl/>
          <w:lang w:val=""/>
          <w14:ligatures w14:val="none"/>
        </w:rPr>
      </w:pPr>
      <w:bookmarkStart w:id="11" w:name="_Toc235804677"/>
      <w:r w:rsidRPr="00684FF6">
        <w:rPr>
          <w:rFonts w:ascii="Times New Roman" w:eastAsia="Times New Roman" w:hAnsi="Times New Roman" w:cs="Times New Roman"/>
          <w:b/>
          <w:bCs/>
          <w:sz w:val="27"/>
          <w:szCs w:val="32"/>
          <w:u w:val="single"/>
          <w:rtl/>
          <w:lang w:val=""/>
          <w14:ligatures w14:val="none"/>
        </w:rPr>
        <w:t>​</w:t>
      </w:r>
      <w:r w:rsidRPr="00684FF6">
        <w:rPr>
          <w:rFonts w:ascii="Times New Roman" w:eastAsia="Times New Roman" w:hAnsi="Times New Roman" w:cs="Simplified Arabic"/>
          <w:b/>
          <w:bCs/>
          <w:sz w:val="27"/>
          <w:szCs w:val="32"/>
          <w:u w:val="single"/>
          <w:rtl/>
          <w:lang w:val=""/>
          <w14:ligatures w14:val="none"/>
        </w:rPr>
        <w:t>خامساً: التوأمة الرقمية ونمذجة معلومات البناء (</w:t>
      </w:r>
      <w:r w:rsidRPr="00684FF6">
        <w:rPr>
          <w:rFonts w:ascii="Times New Roman" w:eastAsia="Times New Roman" w:hAnsi="Times New Roman" w:cs="Simplified Arabic"/>
          <w:b/>
          <w:bCs/>
          <w:sz w:val="28"/>
          <w:szCs w:val="28"/>
          <w:u w:val="single"/>
          <w:lang w:val=""/>
          <w14:ligatures w14:val="none"/>
        </w:rPr>
        <w:t>Digital Twin / BIM</w:t>
      </w:r>
      <w:r w:rsidRPr="00684FF6">
        <w:rPr>
          <w:rFonts w:ascii="Times New Roman" w:eastAsia="Times New Roman" w:hAnsi="Times New Roman" w:cs="Simplified Arabic"/>
          <w:b/>
          <w:bCs/>
          <w:sz w:val="27"/>
          <w:szCs w:val="32"/>
          <w:u w:val="single"/>
          <w:rtl/>
          <w:lang w:val=""/>
          <w14:ligatures w14:val="none"/>
        </w:rPr>
        <w:t>)</w:t>
      </w:r>
      <w:bookmarkEnd w:id="11"/>
    </w:p>
    <w:p w14:paraId="07279F2E"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lang w:bidi="ar-EG"/>
        </w:rPr>
      </w:pPr>
      <w:r w:rsidRPr="00684FF6">
        <w:rPr>
          <w:rFonts w:ascii="Times New Roman" w:eastAsia="Calibri" w:hAnsi="Times New Roman" w:cs="Times New Roman"/>
          <w:kern w:val="2"/>
          <w:sz w:val="28"/>
          <w:szCs w:val="28"/>
          <w:rtl/>
        </w:rPr>
        <w:t>​</w:t>
      </w:r>
      <w:r w:rsidRPr="00684FF6">
        <w:rPr>
          <w:rFonts w:ascii="Simplified Arabic" w:eastAsia="Aptos" w:hAnsi="Simplified Arabic" w:cs="Simplified Arabic"/>
          <w:sz w:val="28"/>
          <w:szCs w:val="28"/>
          <w:rtl/>
          <w:lang w:bidi="ar-EG"/>
        </w:rPr>
        <w:t xml:space="preserve"> نموذج معلومات البناء (</w:t>
      </w:r>
      <w:r w:rsidRPr="00684FF6">
        <w:rPr>
          <w:rFonts w:ascii="Times New Roman" w:eastAsia="Times New Roman" w:hAnsi="Times New Roman" w:cs="Times New Roman"/>
          <w:sz w:val="24"/>
          <w:szCs w:val="24"/>
          <w:lang w:val=""/>
          <w14:ligatures w14:val="none"/>
        </w:rPr>
        <w:t>BIM</w:t>
      </w:r>
      <w:r w:rsidRPr="00684FF6">
        <w:rPr>
          <w:rFonts w:ascii="Simplified Arabic" w:eastAsia="Aptos" w:hAnsi="Simplified Arabic" w:cs="Simplified Arabic"/>
          <w:sz w:val="28"/>
          <w:szCs w:val="28"/>
          <w:rtl/>
          <w:lang w:bidi="ar-EG"/>
        </w:rPr>
        <w:t>) يأخذ عملية التصميم الهندسي إلى ما بعد قيودها التقليدية بهدف تحقيق التوأم الرقمي للمشروع. يوصف التوأم الرقمي بأنه محاكاة لتنفيذ المشروع تتكامل مع الأبعاد الزمنية والمالية للمشروع (</w:t>
      </w:r>
      <w:r w:rsidRPr="00684FF6">
        <w:rPr>
          <w:rFonts w:ascii="Simplified Arabic" w:eastAsia="Calibri" w:hAnsi="Simplified Arabic" w:cs="Simplified Arabic"/>
          <w:kern w:val="2"/>
          <w:sz w:val="28"/>
          <w:szCs w:val="28"/>
        </w:rPr>
        <w:t>Bryde et al., 2013</w:t>
      </w:r>
      <w:r w:rsidRPr="00684FF6">
        <w:rPr>
          <w:rFonts w:ascii="Simplified Arabic" w:eastAsia="Aptos" w:hAnsi="Simplified Arabic" w:cs="Simplified Arabic"/>
          <w:sz w:val="28"/>
          <w:szCs w:val="28"/>
          <w:rtl/>
          <w:lang w:bidi="ar-EG"/>
        </w:rPr>
        <w:t>). تتيح هذه التقنية اكتشاف وحل النزاعات والتعارضات في التصميم الهندسي داخل المشروع الافتراضي، مما يقلل من أوامر التغيير وإعادة العمل التي تستهلك الوقت وتكون ضرورية أثناء تنفيذ المشروع الفعلي.</w:t>
      </w:r>
    </w:p>
    <w:p w14:paraId="16124A08"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rPr>
      </w:pPr>
      <w:r w:rsidRPr="00684FF6">
        <w:rPr>
          <w:rFonts w:ascii="Simplified Arabic" w:eastAsia="Aptos" w:hAnsi="Simplified Arabic" w:cs="Simplified Arabic"/>
          <w:sz w:val="28"/>
          <w:szCs w:val="28"/>
          <w:rtl/>
          <w:lang w:bidi="ar-EG"/>
        </w:rPr>
        <w:t>يعد هذا الإطار حيويًا في مشاريع المطارات نظرًا لتعقيدها الهندسي الشديد وكثافة أنظمة الإلكتروميكانيك والأمن المترابطة. فإن الاستخدام الناجح للحلول الرقمية يساعد على تفكيك "عزلة المعلومات" بين الجهات المنفذة من خلال توفير بيئة بيانات مشتركة وموحدة. يتوافق ذلك مع الفرضية الخامسة للدراسة، التي تنص على أن تطوير أدوات التحول الرقمي</w:t>
      </w:r>
      <w:r w:rsidRPr="00684FF6">
        <w:rPr>
          <w:rFonts w:ascii="Simplified Arabic" w:eastAsia="Calibri" w:hAnsi="Simplified Arabic" w:cs="Simplified Arabic"/>
          <w:kern w:val="2"/>
          <w:sz w:val="28"/>
          <w:szCs w:val="28"/>
          <w:rtl/>
        </w:rPr>
        <w:t>، وفي مقدمتها نمذجة معلومات البناء، يسهم بصورة إيجابية في رفع كفاءة تنفيذ مشاريع الطيران.</w:t>
      </w:r>
    </w:p>
    <w:p w14:paraId="56AECFB9" w14:textId="77777777" w:rsidR="00684FF6" w:rsidRPr="00684FF6" w:rsidRDefault="00684FF6" w:rsidP="00684FF6">
      <w:pPr>
        <w:spacing w:before="100" w:beforeAutospacing="1" w:after="100" w:afterAutospacing="1" w:line="360" w:lineRule="auto"/>
        <w:outlineLvl w:val="2"/>
        <w:rPr>
          <w:rFonts w:ascii="Times New Roman" w:eastAsia="Times New Roman" w:hAnsi="Times New Roman" w:cs="Simplified Arabic"/>
          <w:b/>
          <w:bCs/>
          <w:sz w:val="27"/>
          <w:szCs w:val="32"/>
          <w:u w:val="single"/>
          <w:rtl/>
          <w:lang w:val=""/>
          <w14:ligatures w14:val="none"/>
        </w:rPr>
      </w:pPr>
      <w:bookmarkStart w:id="12" w:name="_Toc235804678"/>
      <w:r w:rsidRPr="00684FF6">
        <w:rPr>
          <w:rFonts w:ascii="Times New Roman" w:eastAsia="Times New Roman" w:hAnsi="Times New Roman" w:cs="Times New Roman"/>
          <w:b/>
          <w:bCs/>
          <w:sz w:val="27"/>
          <w:szCs w:val="32"/>
          <w:u w:val="single"/>
          <w:rtl/>
          <w:lang w:val=""/>
          <w14:ligatures w14:val="none"/>
        </w:rPr>
        <w:t>​</w:t>
      </w:r>
      <w:r w:rsidRPr="00684FF6">
        <w:rPr>
          <w:rFonts w:ascii="Times New Roman" w:eastAsia="Times New Roman" w:hAnsi="Times New Roman" w:cs="Simplified Arabic"/>
          <w:b/>
          <w:bCs/>
          <w:sz w:val="27"/>
          <w:szCs w:val="32"/>
          <w:u w:val="single"/>
          <w:rtl/>
          <w:lang w:val=""/>
          <w14:ligatures w14:val="none"/>
        </w:rPr>
        <w:t>سادساً: الحوكمة المؤسسية (</w:t>
      </w:r>
      <w:r w:rsidRPr="00684FF6">
        <w:rPr>
          <w:rFonts w:ascii="Times New Roman" w:eastAsia="Times New Roman" w:hAnsi="Times New Roman" w:cs="Simplified Arabic"/>
          <w:b/>
          <w:bCs/>
          <w:sz w:val="28"/>
          <w:szCs w:val="28"/>
          <w:u w:val="single"/>
          <w:lang w:val=""/>
          <w14:ligatures w14:val="none"/>
        </w:rPr>
        <w:t>Corporate Governance</w:t>
      </w:r>
      <w:r w:rsidRPr="00684FF6">
        <w:rPr>
          <w:rFonts w:ascii="Times New Roman" w:eastAsia="Times New Roman" w:hAnsi="Times New Roman" w:cs="Simplified Arabic"/>
          <w:b/>
          <w:bCs/>
          <w:sz w:val="27"/>
          <w:szCs w:val="32"/>
          <w:u w:val="single"/>
          <w:rtl/>
          <w:lang w:val=""/>
          <w14:ligatures w14:val="none"/>
        </w:rPr>
        <w:t>)</w:t>
      </w:r>
      <w:bookmarkEnd w:id="12"/>
    </w:p>
    <w:p w14:paraId="0B63DC9A"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t>تشير حوكمة المشروع إلى الهياكل التي تمنح السلطات والمسؤوليات اللازمة للتحكم والإشراف على التسليمات والنتائج والقيمة الناتجة من المشاريع والبرامج والمحافظ (</w:t>
      </w:r>
      <w:r w:rsidRPr="00684FF6">
        <w:rPr>
          <w:rFonts w:ascii="Simplified Arabic" w:eastAsia="Aptos" w:hAnsi="Simplified Arabic" w:cs="Simplified Arabic"/>
          <w:sz w:val="28"/>
          <w:szCs w:val="28"/>
          <w:lang w:bidi="ar-EG"/>
        </w:rPr>
        <w:t xml:space="preserve">Association for Project </w:t>
      </w:r>
      <w:r w:rsidRPr="00684FF6">
        <w:rPr>
          <w:rFonts w:ascii="Simplified Arabic" w:eastAsia="Aptos" w:hAnsi="Simplified Arabic" w:cs="Simplified Arabic"/>
          <w:sz w:val="28"/>
          <w:szCs w:val="28"/>
          <w:lang w:bidi="ar-EG"/>
        </w:rPr>
        <w:lastRenderedPageBreak/>
        <w:t>Management [APM], 2019</w:t>
      </w:r>
      <w:r w:rsidRPr="00684FF6">
        <w:rPr>
          <w:rFonts w:ascii="Simplified Arabic" w:eastAsia="Aptos" w:hAnsi="Simplified Arabic" w:cs="Simplified Arabic"/>
          <w:sz w:val="28"/>
          <w:szCs w:val="28"/>
          <w:rtl/>
          <w:lang w:bidi="ar-EG"/>
        </w:rPr>
        <w:t>). من منظور إدارة المشاريع، يتم توضيح الحوكمة من خلال الهياكل التنظيمية التي تحدد السلطة لاتخاذ القرارات، ووسائل الإشراف وتقييم الأداء، والمسؤولية لمواجهة النتائج التي لا تتوافق مع المعلمات المحددة، مع ضمان تنفيذ المشاريع وفقًا للأهداف الإستراتيجية للمنظمة.</w:t>
      </w:r>
    </w:p>
    <w:p w14:paraId="1112C51B"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lang w:bidi="ar-EG"/>
        </w:rPr>
      </w:pPr>
      <w:r w:rsidRPr="00684FF6">
        <w:rPr>
          <w:rFonts w:ascii="Simplified Arabic" w:eastAsia="Aptos" w:hAnsi="Simplified Arabic" w:cs="Simplified Arabic"/>
          <w:sz w:val="28"/>
          <w:szCs w:val="28"/>
          <w:rtl/>
          <w:lang w:bidi="ar-EG"/>
        </w:rPr>
        <w:t>تعد حوكمة الشركات ضرورية بشكل خاص في بيئات المشاريع الأكثر تعقيدًا مثل مشروع تجمع المطار الثاني، والذي يتسم بوجود العديد من الجهات التشغيلية والمقاولين. في مثل هذه الحالات، فإن غياب هيكل حوكمة واضح لإدارة العلاقات بين المقاولين والجهات، وتقليل التكرار أو تداخل السلطات، سيؤدي إلى العديد من التحديات. يتوافق هذا السيناريو مع الفرضية السادسة للدراسة التي تفترض أن حوكمة الشركات ستعزز كفاءة عمليات المشروع، على الرغم من أن آليات حوكمة الشركات المختلفة سيكون لها تأثيرات مختلفة.</w:t>
      </w:r>
      <w:r w:rsidRPr="00684FF6">
        <w:rPr>
          <w:rFonts w:ascii="Sakkal Majalla" w:eastAsia="Calibri" w:hAnsi="Sakkal Majalla" w:cs="Sakkal Majalla"/>
          <w:kern w:val="2"/>
          <w:sz w:val="48"/>
          <w:szCs w:val="48"/>
          <w:u w:val="single"/>
          <w:rtl/>
        </w:rPr>
        <w:br w:type="page"/>
      </w:r>
    </w:p>
    <w:p w14:paraId="18206963" w14:textId="77777777" w:rsidR="00684FF6" w:rsidRPr="00684FF6" w:rsidRDefault="00684FF6" w:rsidP="00684FF6">
      <w:pPr>
        <w:jc w:val="center"/>
        <w:rPr>
          <w:rFonts w:ascii="Sakkal Majalla" w:eastAsia="Calibri" w:hAnsi="Sakkal Majalla" w:cs="Sakkal Majalla"/>
          <w:b/>
          <w:bCs/>
          <w:kern w:val="2"/>
          <w:sz w:val="48"/>
          <w:szCs w:val="48"/>
          <w:u w:val="single"/>
          <w:rtl/>
        </w:rPr>
      </w:pPr>
    </w:p>
    <w:p w14:paraId="2E77C6DE" w14:textId="77777777" w:rsidR="00684FF6" w:rsidRPr="00684FF6" w:rsidRDefault="00684FF6" w:rsidP="00684FF6">
      <w:pPr>
        <w:jc w:val="center"/>
        <w:rPr>
          <w:rFonts w:ascii="Sakkal Majalla" w:eastAsia="Calibri" w:hAnsi="Sakkal Majalla" w:cs="Sakkal Majalla"/>
          <w:b/>
          <w:bCs/>
          <w:kern w:val="2"/>
          <w:sz w:val="48"/>
          <w:szCs w:val="48"/>
          <w:u w:val="single"/>
          <w:rtl/>
        </w:rPr>
      </w:pPr>
    </w:p>
    <w:p w14:paraId="44150C90" w14:textId="77777777" w:rsidR="00684FF6" w:rsidRPr="00684FF6" w:rsidRDefault="00684FF6" w:rsidP="00684FF6">
      <w:pPr>
        <w:jc w:val="center"/>
        <w:rPr>
          <w:rFonts w:ascii="Sakkal Majalla" w:eastAsia="Calibri" w:hAnsi="Sakkal Majalla" w:cs="Sakkal Majalla"/>
          <w:b/>
          <w:bCs/>
          <w:kern w:val="2"/>
          <w:sz w:val="48"/>
          <w:szCs w:val="48"/>
          <w:u w:val="single"/>
          <w:rtl/>
        </w:rPr>
      </w:pPr>
    </w:p>
    <w:p w14:paraId="768FC8F3" w14:textId="77777777" w:rsidR="00684FF6" w:rsidRPr="00684FF6" w:rsidRDefault="00684FF6" w:rsidP="00684FF6">
      <w:pPr>
        <w:jc w:val="center"/>
        <w:rPr>
          <w:rFonts w:ascii="Sakkal Majalla" w:eastAsia="Calibri" w:hAnsi="Sakkal Majalla" w:cs="Sakkal Majalla"/>
          <w:b/>
          <w:bCs/>
          <w:kern w:val="2"/>
          <w:sz w:val="48"/>
          <w:szCs w:val="48"/>
          <w:u w:val="single"/>
          <w:rtl/>
        </w:rPr>
      </w:pPr>
    </w:p>
    <w:p w14:paraId="051D0DEA" w14:textId="77777777" w:rsidR="00684FF6" w:rsidRPr="00684FF6" w:rsidRDefault="00684FF6" w:rsidP="00684FF6">
      <w:pPr>
        <w:jc w:val="center"/>
        <w:rPr>
          <w:rFonts w:ascii="Sakkal Majalla" w:eastAsia="Calibri" w:hAnsi="Sakkal Majalla" w:cs="Sakkal Majalla"/>
          <w:b/>
          <w:bCs/>
          <w:kern w:val="2"/>
          <w:sz w:val="48"/>
          <w:szCs w:val="48"/>
          <w:u w:val="single"/>
          <w:rtl/>
        </w:rPr>
      </w:pPr>
    </w:p>
    <w:p w14:paraId="46AB7265" w14:textId="77777777" w:rsidR="00684FF6" w:rsidRPr="00684FF6" w:rsidRDefault="00684FF6" w:rsidP="00684FF6">
      <w:pPr>
        <w:jc w:val="center"/>
        <w:rPr>
          <w:rFonts w:ascii="Sakkal Majalla" w:eastAsia="Calibri" w:hAnsi="Sakkal Majalla" w:cs="Sakkal Majalla"/>
          <w:b/>
          <w:bCs/>
          <w:kern w:val="2"/>
          <w:sz w:val="48"/>
          <w:szCs w:val="48"/>
          <w:u w:val="single"/>
          <w:rtl/>
        </w:rPr>
      </w:pPr>
    </w:p>
    <w:p w14:paraId="3A5062DC" w14:textId="77777777" w:rsidR="00684FF6" w:rsidRPr="00684FF6" w:rsidRDefault="00684FF6" w:rsidP="00684FF6">
      <w:pPr>
        <w:keepNext/>
        <w:keepLines/>
        <w:spacing w:before="240" w:after="0"/>
        <w:jc w:val="center"/>
        <w:outlineLvl w:val="0"/>
        <w:rPr>
          <w:rFonts w:ascii="Calibri Light" w:eastAsia="Times New Roman" w:hAnsi="Calibri Light" w:cs="Simplified Arabic"/>
          <w:bCs/>
          <w:kern w:val="2"/>
          <w:sz w:val="32"/>
          <w:szCs w:val="40"/>
          <w:u w:val="single"/>
          <w:rtl/>
        </w:rPr>
      </w:pPr>
      <w:bookmarkStart w:id="13" w:name="_Toc235804679"/>
      <w:r w:rsidRPr="00684FF6">
        <w:rPr>
          <w:rFonts w:ascii="Calibri Light" w:eastAsia="Times New Roman" w:hAnsi="Calibri Light" w:cs="Simplified Arabic"/>
          <w:bCs/>
          <w:kern w:val="2"/>
          <w:sz w:val="32"/>
          <w:szCs w:val="40"/>
          <w:u w:val="single"/>
          <w:rtl/>
        </w:rPr>
        <w:t>الفصل الثاني</w:t>
      </w:r>
      <w:bookmarkEnd w:id="13"/>
    </w:p>
    <w:p w14:paraId="38ED676A" w14:textId="77777777" w:rsidR="00684FF6" w:rsidRPr="00684FF6" w:rsidRDefault="00684FF6" w:rsidP="00684FF6">
      <w:pPr>
        <w:jc w:val="center"/>
        <w:rPr>
          <w:rFonts w:ascii="Simplified Arabic" w:eastAsia="Calibri" w:hAnsi="Simplified Arabic" w:cs="Simplified Arabic"/>
          <w:kern w:val="2"/>
          <w:sz w:val="40"/>
          <w:szCs w:val="40"/>
          <w:rtl/>
        </w:rPr>
      </w:pPr>
      <w:r w:rsidRPr="00684FF6">
        <w:rPr>
          <w:rFonts w:ascii="Simplified Arabic" w:eastAsia="Calibri" w:hAnsi="Simplified Arabic" w:cs="Simplified Arabic"/>
          <w:kern w:val="2"/>
          <w:sz w:val="40"/>
          <w:szCs w:val="40"/>
          <w:rtl/>
        </w:rPr>
        <w:t>الدراسات السابقة والإطار النظري</w:t>
      </w:r>
    </w:p>
    <w:p w14:paraId="06A53104" w14:textId="77777777" w:rsidR="00684FF6" w:rsidRPr="00684FF6" w:rsidRDefault="00684FF6" w:rsidP="00684FF6">
      <w:pPr>
        <w:bidi w:val="0"/>
        <w:jc w:val="center"/>
        <w:rPr>
          <w:rFonts w:ascii="Times New Roman" w:eastAsia="Times New Roman" w:hAnsi="Times New Roman" w:cs="Times New Roman"/>
          <w:sz w:val="24"/>
          <w:szCs w:val="24"/>
          <w14:ligatures w14:val="none"/>
        </w:rPr>
      </w:pPr>
      <w:r w:rsidRPr="00684FF6">
        <w:rPr>
          <w:rFonts w:ascii="Calibri" w:eastAsia="Calibri" w:hAnsi="Calibri" w:cs="Arial"/>
          <w:kern w:val="2"/>
          <w:rtl/>
        </w:rPr>
        <w:br w:type="page"/>
      </w:r>
    </w:p>
    <w:p w14:paraId="0A562253" w14:textId="77777777" w:rsidR="00684FF6" w:rsidRPr="00684FF6" w:rsidRDefault="00684FF6" w:rsidP="00684FF6">
      <w:pPr>
        <w:keepNext/>
        <w:keepLines/>
        <w:spacing w:before="40" w:after="0"/>
        <w:outlineLvl w:val="1"/>
        <w:rPr>
          <w:rFonts w:ascii="Calibri Light" w:eastAsia="Times New Roman" w:hAnsi="Calibri Light" w:cs="Simplified Arabic"/>
          <w:bCs/>
          <w:kern w:val="2"/>
          <w:sz w:val="26"/>
          <w:szCs w:val="36"/>
          <w:u w:val="single"/>
        </w:rPr>
      </w:pPr>
      <w:bookmarkStart w:id="14" w:name="_Toc235804680"/>
      <w:r w:rsidRPr="00684FF6">
        <w:rPr>
          <w:rFonts w:ascii="Calibri Light" w:eastAsia="Times New Roman" w:hAnsi="Calibri Light" w:cs="Simplified Arabic"/>
          <w:bCs/>
          <w:kern w:val="2"/>
          <w:sz w:val="26"/>
          <w:szCs w:val="36"/>
          <w:u w:val="single"/>
          <w:rtl/>
        </w:rPr>
        <w:lastRenderedPageBreak/>
        <w:t>2-1 مقدمة</w:t>
      </w:r>
      <w:bookmarkEnd w:id="14"/>
    </w:p>
    <w:p w14:paraId="256F82A6"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t>سيتم في هذا الفصل تحليل البُنى والإطار النظري للعوامل التي تؤثر على كفاءة مشاريع الطيران. كما سيوفر خلفية شاملة لمشكلة البحث ويحدد مكانة هذا البحث في المجال العام للدراسة.</w:t>
      </w:r>
    </w:p>
    <w:p w14:paraId="41F3F27F"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t>يتكون الفصل من قسمين رئيسيين، لكنهما مرتبطان، على النحو التالي:</w:t>
      </w:r>
    </w:p>
    <w:p w14:paraId="46AAC3F5"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b/>
          <w:bCs/>
          <w:sz w:val="28"/>
          <w:szCs w:val="28"/>
          <w:rtl/>
          <w:lang w:bidi="ar-EG"/>
        </w:rPr>
        <w:t>الدراسات السابقة:</w:t>
      </w:r>
      <w:r w:rsidRPr="00684FF6">
        <w:rPr>
          <w:rFonts w:ascii="Simplified Arabic" w:eastAsia="Aptos" w:hAnsi="Simplified Arabic" w:cs="Simplified Arabic"/>
          <w:sz w:val="28"/>
          <w:szCs w:val="28"/>
          <w:rtl/>
          <w:lang w:bidi="ar-EG"/>
        </w:rPr>
        <w:t xml:space="preserve"> يفحص هذا القسم الدراسات والأبحاث المنشورة والتقارير الاستراتيجية ذات الصلة بموضوع الدراسة الحالية. تُصنف هذه الدراسات إلى أربع مجموعات تربط بمحاور الفرضيات الست، حيث تمثل كل مجموعة بعدًا مميزًا من التحليل. تشمل هذه الأبعاد كفاءة تنفيذ أدوات الحكومة وتحول المؤسسات الحكومية، والنماذج النسبية لإدارة المطارات، نضج نماذج الإدارة وأسباب الفشل، وحوكمة التحول الرقمي والمشاريع. الهدف الرئيسي من هذا التحليل هو جمع الآراء السائدة في الأدبيات ووصف المجالات التي تفتقر إلى البحث الكافي والتي تحتاج إلى تحقيق تجريبي.</w:t>
      </w:r>
    </w:p>
    <w:p w14:paraId="202C7555"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b/>
          <w:bCs/>
          <w:sz w:val="28"/>
          <w:szCs w:val="28"/>
          <w:rtl/>
          <w:lang w:bidi="ar-EG"/>
        </w:rPr>
        <w:t>الإطار النظري:</w:t>
      </w:r>
      <w:r w:rsidRPr="00684FF6">
        <w:rPr>
          <w:rFonts w:ascii="Simplified Arabic" w:eastAsia="Aptos" w:hAnsi="Simplified Arabic" w:cs="Simplified Arabic"/>
          <w:sz w:val="28"/>
          <w:szCs w:val="28"/>
          <w:rtl/>
          <w:lang w:bidi="ar-EG"/>
        </w:rPr>
        <w:t xml:space="preserve"> يطور هذا القسم إطار الدراسة النظري من خلال ثلاث خطوات. الأول هو تصور كفاءة إدارة المشاريع، يتبعه نظرية الإدارة المتكاملة لمجموعة المطار الثاني وحوكمة أصوله، مع الخطوة الأخيرة وهي نظرية الإدارة المتكاملة لمجموعة المطار الثاني وبيئاتها العملية. يُعد هذا القسم أساسًا لدمج الإطار النظري ومنهجية البحث العلمي التي ستُفصل في الفصل الثالث.</w:t>
      </w:r>
    </w:p>
    <w:p w14:paraId="649E03DC" w14:textId="77777777" w:rsidR="00684FF6" w:rsidRPr="00684FF6" w:rsidRDefault="00684FF6" w:rsidP="00684FF6">
      <w:pPr>
        <w:bidi w:val="0"/>
        <w:jc w:val="center"/>
        <w:rPr>
          <w:rFonts w:ascii="Times New Roman" w:eastAsia="Times New Roman" w:hAnsi="Times New Roman" w:cs="Times New Roman"/>
          <w:sz w:val="24"/>
          <w:szCs w:val="24"/>
          <w14:ligatures w14:val="none"/>
        </w:rPr>
      </w:pPr>
      <w:r w:rsidRPr="00684FF6">
        <w:rPr>
          <w:rFonts w:ascii="Calibri" w:eastAsia="Calibri" w:hAnsi="Calibri" w:cs="Arial"/>
          <w:kern w:val="2"/>
          <w:rtl/>
        </w:rPr>
        <w:br w:type="page"/>
      </w:r>
    </w:p>
    <w:p w14:paraId="1D0701CA" w14:textId="77777777" w:rsidR="00684FF6" w:rsidRPr="00684FF6" w:rsidRDefault="00684FF6" w:rsidP="00684FF6">
      <w:pPr>
        <w:keepNext/>
        <w:keepLines/>
        <w:spacing w:before="40" w:after="0" w:line="360" w:lineRule="auto"/>
        <w:outlineLvl w:val="1"/>
        <w:rPr>
          <w:rFonts w:ascii="Calibri Light" w:eastAsia="Times New Roman" w:hAnsi="Calibri Light" w:cs="Simplified Arabic"/>
          <w:bCs/>
          <w:kern w:val="2"/>
          <w:sz w:val="26"/>
          <w:szCs w:val="36"/>
          <w:u w:val="single"/>
        </w:rPr>
      </w:pPr>
      <w:bookmarkStart w:id="15" w:name="_Toc235804681"/>
      <w:r w:rsidRPr="00684FF6">
        <w:rPr>
          <w:rFonts w:ascii="Times New Roman" w:eastAsia="Times New Roman" w:hAnsi="Times New Roman" w:cs="Times New Roman"/>
          <w:bCs/>
          <w:kern w:val="2"/>
          <w:sz w:val="26"/>
          <w:szCs w:val="36"/>
          <w:u w:val="single"/>
          <w:rtl/>
        </w:rPr>
        <w:lastRenderedPageBreak/>
        <w:t>​</w:t>
      </w:r>
      <w:r w:rsidRPr="00684FF6">
        <w:rPr>
          <w:rFonts w:ascii="Calibri Light" w:eastAsia="Times New Roman" w:hAnsi="Calibri Light" w:cs="Simplified Arabic"/>
          <w:bCs/>
          <w:kern w:val="2"/>
          <w:sz w:val="26"/>
          <w:szCs w:val="36"/>
          <w:u w:val="single"/>
          <w:rtl/>
        </w:rPr>
        <w:t>2-2 الدراسات السابقة والتقارير الاستراتيجية</w:t>
      </w:r>
      <w:bookmarkEnd w:id="15"/>
      <w:r w:rsidRPr="00684FF6">
        <w:rPr>
          <w:rFonts w:ascii="Calibri Light" w:eastAsia="Times New Roman" w:hAnsi="Calibri Light" w:cs="Simplified Arabic"/>
          <w:bCs/>
          <w:kern w:val="2"/>
          <w:sz w:val="26"/>
          <w:szCs w:val="36"/>
          <w:u w:val="single"/>
          <w:rtl/>
        </w:rPr>
        <w:t xml:space="preserve"> </w:t>
      </w:r>
    </w:p>
    <w:p w14:paraId="30DC6751"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t>لتطوير الدراسة ووضع سياق لها، تم الاطلاع على عدة دراسات وتقارير استراتيجية تتعلق بكفاءة إدارة المشاريع والأصول داخل صناعة الطيران. تم تجميع هذه المصادر إلى أربع مجموعات مترابطة للمساعدة في تنظيم عرض وتحليل كل فرضية من دراسات البحث: كفاءة مشاريع الحكومة وتحول المؤسسات، إدارة المطارات، نضج المشاريع وأسباب فشل المشاريع، وحوكمة المشاريع والتحول الرقمي.</w:t>
      </w:r>
    </w:p>
    <w:p w14:paraId="12746C77" w14:textId="77777777" w:rsidR="00684FF6" w:rsidRPr="00684FF6" w:rsidRDefault="00684FF6" w:rsidP="00684FF6">
      <w:pPr>
        <w:spacing w:line="360" w:lineRule="auto"/>
        <w:jc w:val="both"/>
        <w:rPr>
          <w:rFonts w:ascii="Simplified Arabic" w:eastAsia="Calibri" w:hAnsi="Simplified Arabic" w:cs="Simplified Arabic"/>
          <w:kern w:val="2"/>
          <w:sz w:val="28"/>
          <w:szCs w:val="28"/>
          <w:u w:val="single"/>
          <w:lang w:bidi="ar-EG"/>
        </w:rPr>
      </w:pPr>
    </w:p>
    <w:p w14:paraId="1771C323" w14:textId="77777777" w:rsidR="00684FF6" w:rsidRPr="00684FF6" w:rsidRDefault="00684FF6" w:rsidP="00684FF6">
      <w:pPr>
        <w:keepNext/>
        <w:keepLines/>
        <w:spacing w:before="40" w:after="0" w:line="360" w:lineRule="auto"/>
        <w:jc w:val="both"/>
        <w:outlineLvl w:val="3"/>
        <w:rPr>
          <w:rFonts w:ascii="Simplified Arabic" w:eastAsia="Times New Roman" w:hAnsi="Simplified Arabic" w:cs="Simplified Arabic"/>
          <w:i/>
          <w:kern w:val="2"/>
          <w:szCs w:val="28"/>
          <w:u w:val="single"/>
        </w:rPr>
      </w:pPr>
      <w:bookmarkStart w:id="16" w:name="_Toc235804682"/>
      <w:r w:rsidRPr="00684FF6">
        <w:rPr>
          <w:rFonts w:ascii="Simplified Arabic" w:eastAsia="Times New Roman" w:hAnsi="Simplified Arabic" w:cs="Simplified Arabic"/>
          <w:i/>
          <w:kern w:val="2"/>
          <w:szCs w:val="28"/>
          <w:u w:val="single"/>
          <w:rtl/>
        </w:rPr>
        <w:t>المجموعة الأولى: دراسات وتقارير حول كفاءة المشاريع الحكومية وتحول المؤسسات</w:t>
      </w:r>
      <w:bookmarkEnd w:id="16"/>
    </w:p>
    <w:p w14:paraId="0257C825" w14:textId="77777777" w:rsidR="00684FF6" w:rsidRPr="00684FF6" w:rsidRDefault="00684FF6" w:rsidP="00684FF6">
      <w:pPr>
        <w:numPr>
          <w:ilvl w:val="0"/>
          <w:numId w:val="4"/>
        </w:numPr>
        <w:spacing w:before="100" w:beforeAutospacing="1" w:after="100" w:afterAutospacing="1" w:line="360" w:lineRule="auto"/>
        <w:jc w:val="both"/>
        <w:rPr>
          <w:rFonts w:ascii="Simplified Arabic" w:eastAsia="Times New Roman" w:hAnsi="Simplified Arabic" w:cs="Simplified Arabic"/>
          <w:kern w:val="2"/>
          <w:sz w:val="28"/>
          <w:szCs w:val="28"/>
          <w:rtl/>
        </w:rPr>
      </w:pPr>
      <w:r w:rsidRPr="00684FF6">
        <w:rPr>
          <w:rFonts w:ascii="Times New Roman" w:eastAsia="Times New Roman" w:hAnsi="Times New Roman" w:cs="Times New Roman"/>
          <w:kern w:val="2"/>
          <w:rtl/>
        </w:rPr>
        <w:t>​</w:t>
      </w:r>
      <w:r w:rsidRPr="00684FF6">
        <w:rPr>
          <w:rFonts w:ascii="Simplified Arabic" w:eastAsia="Times New Roman" w:hAnsi="Simplified Arabic" w:cs="Simplified Arabic"/>
          <w:b/>
          <w:bCs/>
          <w:kern w:val="2"/>
          <w:sz w:val="28"/>
          <w:szCs w:val="28"/>
          <w:rtl/>
        </w:rPr>
        <w:t>المركز الوطني لنظم الموارد الحكومية (</w:t>
      </w:r>
      <w:r w:rsidRPr="00684FF6">
        <w:rPr>
          <w:rFonts w:ascii="Simplified Arabic" w:eastAsia="Times New Roman" w:hAnsi="Simplified Arabic" w:cs="Simplified Arabic"/>
          <w:b/>
          <w:bCs/>
          <w:kern w:val="2"/>
          <w:sz w:val="28"/>
          <w:szCs w:val="28"/>
        </w:rPr>
        <w:t>NCGR, 2023</w:t>
      </w:r>
      <w:r w:rsidRPr="00684FF6">
        <w:rPr>
          <w:rFonts w:ascii="Simplified Arabic" w:eastAsia="Times New Roman" w:hAnsi="Simplified Arabic" w:cs="Simplified Arabic"/>
          <w:b/>
          <w:bCs/>
          <w:kern w:val="2"/>
          <w:sz w:val="28"/>
          <w:szCs w:val="28"/>
          <w:rtl/>
        </w:rPr>
        <w:t>):</w:t>
      </w:r>
      <w:r w:rsidRPr="00684FF6">
        <w:rPr>
          <w:rFonts w:ascii="Simplified Arabic" w:eastAsia="Times New Roman" w:hAnsi="Simplified Arabic" w:cs="Simplified Arabic"/>
          <w:kern w:val="2"/>
          <w:sz w:val="28"/>
          <w:szCs w:val="28"/>
          <w:rtl/>
        </w:rPr>
        <w:t xml:space="preserve"> </w:t>
      </w:r>
      <w:r w:rsidRPr="00684FF6">
        <w:rPr>
          <w:rFonts w:ascii="Simplified Arabic" w:eastAsia="Aptos" w:hAnsi="Simplified Arabic" w:cs="Simplified Arabic"/>
          <w:sz w:val="28"/>
          <w:szCs w:val="28"/>
          <w:rtl/>
          <w:lang w:bidi="ar-EG"/>
        </w:rPr>
        <w:t>تركز خطة المركز (2022-2025) على تحسين فاعلية وكفاءة إدارة موارد الحكومة. تهدف إلى الابتكار المرن في تطوير وإدارة الموارد والأنظمة بما يتماشى مع أفضل الممارسات الدولية. تضع الاستراتيجية كثيرًا من التركيز على مستويات أعلى من نضج إدارة المشاريع، والبرامج، والمحافظ (</w:t>
      </w:r>
      <w:r w:rsidRPr="00684FF6">
        <w:rPr>
          <w:rFonts w:ascii="Times New Roman" w:eastAsia="Aptos" w:hAnsi="Times New Roman" w:cs="Times New Roman"/>
          <w:sz w:val="24"/>
          <w:szCs w:val="24"/>
          <w:lang w:bidi="ar-EG"/>
        </w:rPr>
        <w:t>P3M3</w:t>
      </w:r>
      <w:r w:rsidRPr="00684FF6">
        <w:rPr>
          <w:rFonts w:ascii="Simplified Arabic" w:eastAsia="Aptos" w:hAnsi="Simplified Arabic" w:cs="Simplified Arabic"/>
          <w:sz w:val="28"/>
          <w:szCs w:val="28"/>
          <w:rtl/>
          <w:lang w:bidi="ar-EG"/>
        </w:rPr>
        <w:t xml:space="preserve">). يتوقع المركز أن يحدث تحسين نوعي في كفاءة أداء الحكومة من خلال إدارة المشاريع والبرامج والمحافظ </w:t>
      </w:r>
      <w:r w:rsidRPr="00684FF6">
        <w:rPr>
          <w:rFonts w:ascii="Simplified Arabic" w:eastAsia="Times New Roman" w:hAnsi="Simplified Arabic" w:cs="Simplified Arabic"/>
          <w:kern w:val="2"/>
          <w:sz w:val="28"/>
          <w:szCs w:val="28"/>
          <w:rtl/>
        </w:rPr>
        <w:t>(</w:t>
      </w:r>
      <w:r w:rsidRPr="00684FF6">
        <w:rPr>
          <w:rFonts w:ascii="Simplified Arabic" w:eastAsia="Times New Roman" w:hAnsi="Simplified Arabic" w:cs="Simplified Arabic"/>
          <w:kern w:val="2"/>
          <w:sz w:val="28"/>
          <w:szCs w:val="28"/>
        </w:rPr>
        <w:t>NCGR, 2023</w:t>
      </w:r>
      <w:r w:rsidRPr="00684FF6">
        <w:rPr>
          <w:rFonts w:ascii="Simplified Arabic" w:eastAsia="Times New Roman" w:hAnsi="Simplified Arabic" w:cs="Simplified Arabic"/>
          <w:kern w:val="2"/>
          <w:sz w:val="28"/>
          <w:szCs w:val="28"/>
          <w:rtl/>
        </w:rPr>
        <w:t xml:space="preserve">). </w:t>
      </w:r>
      <w:r w:rsidRPr="00684FF6">
        <w:rPr>
          <w:rFonts w:ascii="Simplified Arabic" w:eastAsia="Aptos" w:hAnsi="Simplified Arabic" w:cs="Simplified Arabic"/>
          <w:sz w:val="28"/>
          <w:szCs w:val="28"/>
          <w:rtl/>
          <w:lang w:bidi="ar-EG"/>
        </w:rPr>
        <w:t>ترتبط هذه الرؤى مباشرةً بهذه الدراسة التي تهدف إلى تحليل فاعلية إدارة المشاريع في الكيانات التشغيلية الحديثة.</w:t>
      </w:r>
    </w:p>
    <w:p w14:paraId="7CA5F048" w14:textId="77777777" w:rsidR="00684FF6" w:rsidRPr="00684FF6" w:rsidRDefault="00684FF6" w:rsidP="00684FF6">
      <w:pPr>
        <w:numPr>
          <w:ilvl w:val="0"/>
          <w:numId w:val="4"/>
        </w:numPr>
        <w:spacing w:before="100" w:beforeAutospacing="1" w:after="100" w:afterAutospacing="1" w:line="360" w:lineRule="auto"/>
        <w:jc w:val="both"/>
        <w:rPr>
          <w:rFonts w:ascii="Simplified Arabic" w:eastAsia="Times New Roman" w:hAnsi="Simplified Arabic" w:cs="Simplified Arabic"/>
          <w:kern w:val="2"/>
          <w:sz w:val="28"/>
          <w:szCs w:val="28"/>
          <w:rtl/>
        </w:rPr>
      </w:pPr>
      <w:r w:rsidRPr="00684FF6">
        <w:rPr>
          <w:rFonts w:ascii="Times New Roman" w:eastAsia="Times New Roman" w:hAnsi="Times New Roman" w:cs="Times New Roman"/>
          <w:kern w:val="2"/>
          <w:sz w:val="28"/>
          <w:szCs w:val="28"/>
          <w:rtl/>
        </w:rPr>
        <w:t>​</w:t>
      </w:r>
      <w:r w:rsidRPr="00684FF6">
        <w:rPr>
          <w:rFonts w:ascii="Simplified Arabic" w:eastAsia="Times New Roman" w:hAnsi="Simplified Arabic" w:cs="Simplified Arabic"/>
          <w:b/>
          <w:bCs/>
          <w:kern w:val="2"/>
          <w:sz w:val="28"/>
          <w:szCs w:val="28"/>
          <w:rtl/>
        </w:rPr>
        <w:t>هيئة كفاءة الإنفاق والمشروعات الحكومية (</w:t>
      </w:r>
      <w:r w:rsidRPr="00684FF6">
        <w:rPr>
          <w:rFonts w:ascii="Simplified Arabic" w:eastAsia="Times New Roman" w:hAnsi="Simplified Arabic" w:cs="Simplified Arabic"/>
          <w:b/>
          <w:bCs/>
          <w:kern w:val="2"/>
          <w:sz w:val="28"/>
          <w:szCs w:val="28"/>
        </w:rPr>
        <w:t>EXPRO, 2024</w:t>
      </w:r>
      <w:r w:rsidRPr="00684FF6">
        <w:rPr>
          <w:rFonts w:ascii="Simplified Arabic" w:eastAsia="Times New Roman" w:hAnsi="Simplified Arabic" w:cs="Simplified Arabic"/>
          <w:b/>
          <w:bCs/>
          <w:kern w:val="2"/>
          <w:sz w:val="28"/>
          <w:szCs w:val="28"/>
          <w:rtl/>
        </w:rPr>
        <w:t>):</w:t>
      </w:r>
      <w:r w:rsidRPr="00684FF6">
        <w:rPr>
          <w:rFonts w:ascii="Simplified Arabic" w:eastAsia="Times New Roman" w:hAnsi="Simplified Arabic" w:cs="Simplified Arabic"/>
          <w:kern w:val="2"/>
          <w:sz w:val="28"/>
          <w:szCs w:val="28"/>
          <w:rtl/>
        </w:rPr>
        <w:t xml:space="preserve"> نشرت هيئة كفاءة الإنفاق والمشاريع الحكومية دليلًا عن «اختبار وتشغيل تجريبي للمشاريع». وأكدت على الحاجة إلى منهجية دقيقة لدمج الأنظمة للمشاريع الأساسية. وعلاوة على ذلك، ادعت أن كفاءة تنفيذ المشروع تتحدد من خلال البناء الشامل وإطار الحوكمة الفعالة لإدارة المشاريع الذي يضمن توافق</w:t>
      </w:r>
      <w:r w:rsidRPr="00684FF6">
        <w:rPr>
          <w:rFonts w:ascii="Simplified Arabic" w:eastAsia="Aptos" w:hAnsi="Simplified Arabic" w:cs="Simplified Arabic"/>
          <w:sz w:val="28"/>
          <w:szCs w:val="28"/>
          <w:rtl/>
          <w:lang w:bidi="ar-EG"/>
        </w:rPr>
        <w:t xml:space="preserve"> الإدارة والعملاء </w:t>
      </w:r>
      <w:r w:rsidRPr="00684FF6">
        <w:rPr>
          <w:rFonts w:ascii="Simplified Arabic" w:eastAsia="Aptos" w:hAnsi="Simplified Arabic" w:cs="Simplified Arabic"/>
          <w:sz w:val="28"/>
          <w:szCs w:val="28"/>
          <w:rtl/>
          <w:lang w:bidi="ar-EG"/>
        </w:rPr>
        <w:lastRenderedPageBreak/>
        <w:t>والمقاولين (</w:t>
      </w:r>
      <w:r w:rsidRPr="00684FF6">
        <w:rPr>
          <w:rFonts w:ascii="Simplified Arabic" w:eastAsia="Times New Roman" w:hAnsi="Simplified Arabic" w:cs="Simplified Arabic"/>
          <w:kern w:val="2"/>
          <w:sz w:val="28"/>
          <w:szCs w:val="28"/>
        </w:rPr>
        <w:t>EXPRO, 2024</w:t>
      </w:r>
      <w:r w:rsidRPr="00684FF6">
        <w:rPr>
          <w:rFonts w:ascii="Simplified Arabic" w:eastAsia="Aptos" w:hAnsi="Simplified Arabic" w:cs="Simplified Arabic"/>
          <w:sz w:val="28"/>
          <w:szCs w:val="28"/>
          <w:rtl/>
          <w:lang w:bidi="ar-EG"/>
        </w:rPr>
        <w:t>). يدعم هذا المستند ضرورة وجود حوكمة وتقييم دقيق لمشاريع المطارات لضمان الكفاءة في التنفيذ.</w:t>
      </w:r>
    </w:p>
    <w:p w14:paraId="04FFE6E2" w14:textId="77777777" w:rsidR="00684FF6" w:rsidRPr="00684FF6" w:rsidRDefault="00684FF6" w:rsidP="00684FF6">
      <w:pPr>
        <w:numPr>
          <w:ilvl w:val="0"/>
          <w:numId w:val="4"/>
        </w:numPr>
        <w:spacing w:before="100" w:beforeAutospacing="1" w:after="100" w:afterAutospacing="1" w:line="360" w:lineRule="auto"/>
        <w:jc w:val="both"/>
        <w:rPr>
          <w:rFonts w:ascii="Simplified Arabic" w:eastAsia="Times New Roman" w:hAnsi="Simplified Arabic" w:cs="Simplified Arabic"/>
          <w:kern w:val="2"/>
          <w:sz w:val="28"/>
          <w:szCs w:val="28"/>
          <w:rtl/>
        </w:rPr>
      </w:pPr>
      <w:r w:rsidRPr="00684FF6">
        <w:rPr>
          <w:rFonts w:ascii="Times New Roman" w:eastAsia="Times New Roman" w:hAnsi="Times New Roman" w:cs="Times New Roman"/>
          <w:kern w:val="2"/>
          <w:sz w:val="28"/>
          <w:szCs w:val="28"/>
          <w:rtl/>
        </w:rPr>
        <w:t>​</w:t>
      </w:r>
      <w:r w:rsidRPr="00684FF6">
        <w:rPr>
          <w:rFonts w:ascii="Simplified Arabic" w:eastAsia="Times New Roman" w:hAnsi="Simplified Arabic" w:cs="Simplified Arabic"/>
          <w:b/>
          <w:bCs/>
          <w:kern w:val="2"/>
          <w:sz w:val="28"/>
          <w:szCs w:val="28"/>
          <w:rtl/>
        </w:rPr>
        <w:t>دراسة (</w:t>
      </w:r>
      <w:r w:rsidRPr="00684FF6">
        <w:rPr>
          <w:rFonts w:ascii="Simplified Arabic" w:eastAsia="Times New Roman" w:hAnsi="Simplified Arabic" w:cs="Simplified Arabic"/>
          <w:b/>
          <w:bCs/>
          <w:kern w:val="2"/>
          <w:sz w:val="28"/>
          <w:szCs w:val="28"/>
        </w:rPr>
        <w:t>Al-Saadi &amp; Abdou, 2016</w:t>
      </w:r>
      <w:r w:rsidRPr="00684FF6">
        <w:rPr>
          <w:rFonts w:ascii="Simplified Arabic" w:eastAsia="Times New Roman" w:hAnsi="Simplified Arabic" w:cs="Simplified Arabic"/>
          <w:b/>
          <w:bCs/>
          <w:kern w:val="2"/>
          <w:sz w:val="28"/>
          <w:szCs w:val="28"/>
          <w:rtl/>
        </w:rPr>
        <w:t>):</w:t>
      </w:r>
      <w:r w:rsidRPr="00684FF6">
        <w:rPr>
          <w:rFonts w:ascii="Simplified Arabic" w:eastAsia="Times New Roman" w:hAnsi="Simplified Arabic" w:cs="Simplified Arabic"/>
          <w:kern w:val="2"/>
          <w:sz w:val="28"/>
          <w:szCs w:val="28"/>
          <w:rtl/>
        </w:rPr>
        <w:t xml:space="preserve"> </w:t>
      </w:r>
      <w:r w:rsidRPr="00684FF6">
        <w:rPr>
          <w:rFonts w:ascii="Simplified Arabic" w:eastAsia="Times New Roman" w:hAnsi="Simplified Arabic" w:cs="Simplified Arabic"/>
          <w:kern w:val="2"/>
          <w:sz w:val="28"/>
          <w:szCs w:val="28"/>
          <w:rtl/>
          <w:lang w:bidi="ar-EG"/>
        </w:rPr>
        <w:t xml:space="preserve">تناولت الدراسة </w:t>
      </w:r>
      <w:r w:rsidRPr="00684FF6">
        <w:rPr>
          <w:rFonts w:ascii="Simplified Arabic" w:eastAsia="Aptos" w:hAnsi="Simplified Arabic" w:cs="Simplified Arabic"/>
          <w:sz w:val="28"/>
          <w:szCs w:val="28"/>
          <w:rtl/>
          <w:lang w:bidi="ar-EG"/>
        </w:rPr>
        <w:t xml:space="preserve">عوامل النجاح الحاسمة </w:t>
      </w:r>
      <w:r w:rsidRPr="00684FF6">
        <w:rPr>
          <w:rFonts w:ascii="Simplified Arabic" w:eastAsia="Times New Roman" w:hAnsi="Simplified Arabic" w:cs="Simplified Arabic"/>
          <w:kern w:val="2"/>
          <w:sz w:val="28"/>
          <w:szCs w:val="28"/>
          <w:rtl/>
        </w:rPr>
        <w:t>(</w:t>
      </w:r>
      <w:r w:rsidRPr="00684FF6">
        <w:rPr>
          <w:rFonts w:ascii="Times New Roman" w:eastAsia="Aptos" w:hAnsi="Times New Roman" w:cs="Times New Roman"/>
          <w:sz w:val="24"/>
          <w:szCs w:val="24"/>
          <w:lang w:bidi="ar-EG"/>
        </w:rPr>
        <w:t>Critical Success Factors</w:t>
      </w:r>
      <w:r w:rsidRPr="00684FF6">
        <w:rPr>
          <w:rFonts w:ascii="Simplified Arabic" w:eastAsia="Times New Roman" w:hAnsi="Simplified Arabic" w:cs="Simplified Arabic"/>
          <w:kern w:val="2"/>
          <w:sz w:val="28"/>
          <w:szCs w:val="28"/>
          <w:rtl/>
        </w:rPr>
        <w:t xml:space="preserve">) لمشاريع </w:t>
      </w:r>
      <w:r w:rsidRPr="00684FF6">
        <w:rPr>
          <w:rFonts w:ascii="Simplified Arabic" w:eastAsia="Aptos" w:hAnsi="Simplified Arabic" w:cs="Simplified Arabic"/>
          <w:sz w:val="28"/>
          <w:szCs w:val="28"/>
          <w:rtl/>
          <w:lang w:bidi="ar-EG"/>
        </w:rPr>
        <w:t>الشراكات بين القطاعين العام والخاص (</w:t>
      </w:r>
      <w:r w:rsidRPr="00684FF6">
        <w:rPr>
          <w:rFonts w:ascii="Times New Roman" w:eastAsia="Aptos" w:hAnsi="Times New Roman" w:cs="Times New Roman"/>
          <w:sz w:val="24"/>
          <w:szCs w:val="24"/>
          <w:lang w:bidi="ar-EG"/>
        </w:rPr>
        <w:t>PPPs</w:t>
      </w:r>
      <w:r w:rsidRPr="00684FF6">
        <w:rPr>
          <w:rFonts w:ascii="Simplified Arabic" w:eastAsia="Aptos" w:hAnsi="Simplified Arabic" w:cs="Simplified Arabic"/>
          <w:sz w:val="28"/>
          <w:szCs w:val="28"/>
          <w:rtl/>
          <w:lang w:bidi="ar-EG"/>
        </w:rPr>
        <w:t>). هذه الدراسة تمت في الإمارات العربية المتحدة لأنها السوق الأكبر للشراكات بين القطاعين العام والخاص بين دول مجلس التعاون الخليجي. اعتمدت هذه الدراسة على المنهج النوعي من خلال إجراء أحد وعشرين مقابلة مغلقة وسؤال المشاركين لترتيب العوامل التي يرونها مهمة لنجاح الشراكات بين القطاعين العام والخاص وشرح سبب ذلك. تضم العوامل الخمسة الأبرز عوامل نجاح حاسمة تشمل إنشاء إطار قانوني وتنظيمي سليم وفعال؛ مشاركة المخاطر والمسؤوليات؛ تحديد وفهم نطاق المشروع ومتطلبات العميل؛ إعداد دراسات الجدوى المالية بشكل دقيق ومتقن، والهندسة القيمية؛ وتطبيق نظام إدارة القيمة في جميع مراحل المشروع (</w:t>
      </w:r>
      <w:r w:rsidRPr="00684FF6">
        <w:rPr>
          <w:rFonts w:ascii="Simplified Arabic" w:eastAsia="Times New Roman" w:hAnsi="Simplified Arabic" w:cs="Simplified Arabic"/>
          <w:kern w:val="2"/>
          <w:sz w:val="28"/>
          <w:szCs w:val="28"/>
        </w:rPr>
        <w:t>Al-Saadi &amp; Abdou, 2016</w:t>
      </w:r>
      <w:r w:rsidRPr="00684FF6">
        <w:rPr>
          <w:rFonts w:ascii="Simplified Arabic" w:eastAsia="Aptos" w:hAnsi="Simplified Arabic" w:cs="Simplified Arabic"/>
          <w:sz w:val="28"/>
          <w:szCs w:val="28"/>
          <w:rtl/>
          <w:lang w:bidi="ar-EG"/>
        </w:rPr>
        <w:t>). هناك ثلاثة أسباب تجعل هذه الدراسة ذات صلة خاصة بدراستنا: الأول أن الدراسة أُجريت في الخليج، والسعودية لها رؤية سوق بنية تحتية مماثلة مع العديد من الفاعلين؛ الثاني أن نتائج "التوزيع السليم للمخاطر" و"وضوح نطاق المشروع" تلامسان قسمي توزيع المخاطر والتنسيق المؤسسي في دراستنا؛ الثالث أن هذه الدراسة تؤيد الحجة أن التنفيذ الفعال لمشاريع البنية التحتية يتطلب إدارة العلاقات بين أصحاب المصلحة، بالإضافة إلى الإطار التنظيمي والقانوني، باعتبارها عوامل مهمة.</w:t>
      </w:r>
    </w:p>
    <w:p w14:paraId="684925B8" w14:textId="77777777" w:rsidR="00684FF6" w:rsidRPr="00684FF6" w:rsidRDefault="00684FF6" w:rsidP="00684FF6">
      <w:pPr>
        <w:spacing w:line="360" w:lineRule="auto"/>
        <w:jc w:val="both"/>
        <w:rPr>
          <w:rFonts w:ascii="Simplified Arabic" w:eastAsia="Calibri" w:hAnsi="Simplified Arabic" w:cs="Simplified Arabic"/>
          <w:kern w:val="2"/>
          <w:sz w:val="28"/>
          <w:szCs w:val="28"/>
          <w:u w:val="single"/>
        </w:rPr>
      </w:pPr>
    </w:p>
    <w:p w14:paraId="5938F7D5" w14:textId="77777777" w:rsidR="00684FF6" w:rsidRPr="00684FF6" w:rsidRDefault="00684FF6" w:rsidP="00684FF6">
      <w:pPr>
        <w:keepNext/>
        <w:keepLines/>
        <w:spacing w:before="40" w:after="0" w:line="360" w:lineRule="auto"/>
        <w:jc w:val="both"/>
        <w:outlineLvl w:val="3"/>
        <w:rPr>
          <w:rFonts w:ascii="Simplified Arabic" w:eastAsia="Times New Roman" w:hAnsi="Simplified Arabic" w:cs="Simplified Arabic"/>
          <w:i/>
          <w:kern w:val="2"/>
          <w:szCs w:val="28"/>
          <w:u w:val="single"/>
        </w:rPr>
      </w:pPr>
      <w:bookmarkStart w:id="17" w:name="_Toc235804683"/>
      <w:r w:rsidRPr="00684FF6">
        <w:rPr>
          <w:rFonts w:ascii="Simplified Arabic" w:eastAsia="Times New Roman" w:hAnsi="Simplified Arabic" w:cs="Simplified Arabic"/>
          <w:i/>
          <w:kern w:val="2"/>
          <w:szCs w:val="28"/>
          <w:u w:val="single"/>
          <w:rtl/>
        </w:rPr>
        <w:lastRenderedPageBreak/>
        <w:t>المجموعة الثانية: دراسات وتقارير تناولت نماذج الإدارة المجمعة للمطارات (</w:t>
      </w:r>
      <w:r w:rsidRPr="00684FF6">
        <w:rPr>
          <w:rFonts w:ascii="Times New Roman" w:eastAsia="Times New Roman" w:hAnsi="Times New Roman" w:cs="Times New Roman"/>
          <w:iCs/>
          <w:kern w:val="2"/>
          <w:sz w:val="24"/>
          <w:szCs w:val="24"/>
          <w:u w:val="single"/>
        </w:rPr>
        <w:t>Cluster Management</w:t>
      </w:r>
      <w:r w:rsidRPr="00684FF6">
        <w:rPr>
          <w:rFonts w:ascii="Simplified Arabic" w:eastAsia="Times New Roman" w:hAnsi="Simplified Arabic" w:cs="Simplified Arabic"/>
          <w:i/>
          <w:kern w:val="2"/>
          <w:szCs w:val="28"/>
          <w:u w:val="single"/>
          <w:rtl/>
        </w:rPr>
        <w:t>)</w:t>
      </w:r>
      <w:bookmarkEnd w:id="17"/>
    </w:p>
    <w:p w14:paraId="7988871C" w14:textId="77777777" w:rsidR="00684FF6" w:rsidRPr="00684FF6" w:rsidRDefault="00684FF6" w:rsidP="00684FF6">
      <w:pPr>
        <w:numPr>
          <w:ilvl w:val="0"/>
          <w:numId w:val="5"/>
        </w:numPr>
        <w:spacing w:before="100" w:beforeAutospacing="1" w:after="100" w:afterAutospacing="1" w:line="360" w:lineRule="auto"/>
        <w:jc w:val="both"/>
        <w:rPr>
          <w:rFonts w:ascii="Simplified Arabic" w:eastAsia="Times New Roman" w:hAnsi="Simplified Arabic" w:cs="Simplified Arabic"/>
          <w:kern w:val="2"/>
          <w:rtl/>
        </w:rPr>
      </w:pPr>
      <w:r w:rsidRPr="00684FF6">
        <w:rPr>
          <w:rFonts w:ascii="Times New Roman" w:eastAsia="Times New Roman" w:hAnsi="Times New Roman" w:cs="Times New Roman"/>
          <w:kern w:val="2"/>
          <w:rtl/>
        </w:rPr>
        <w:t>​</w:t>
      </w:r>
      <w:r w:rsidRPr="00684FF6">
        <w:rPr>
          <w:rFonts w:ascii="Simplified Arabic" w:eastAsia="Times New Roman" w:hAnsi="Simplified Arabic" w:cs="Simplified Arabic"/>
          <w:b/>
          <w:bCs/>
          <w:kern w:val="2"/>
          <w:rtl/>
        </w:rPr>
        <w:t>استراتيجية شركة تجمع مطارات الثاني (</w:t>
      </w:r>
      <w:r w:rsidRPr="00684FF6">
        <w:rPr>
          <w:rFonts w:ascii="Simplified Arabic" w:eastAsia="Times New Roman" w:hAnsi="Simplified Arabic" w:cs="Simplified Arabic"/>
          <w:b/>
          <w:bCs/>
          <w:kern w:val="2"/>
        </w:rPr>
        <w:t>Cluster 2, 2024</w:t>
      </w:r>
      <w:r w:rsidRPr="00684FF6">
        <w:rPr>
          <w:rFonts w:ascii="Simplified Arabic" w:eastAsia="Times New Roman" w:hAnsi="Simplified Arabic" w:cs="Simplified Arabic"/>
          <w:b/>
          <w:bCs/>
          <w:kern w:val="2"/>
          <w:rtl/>
        </w:rPr>
        <w:t>):</w:t>
      </w:r>
      <w:r w:rsidRPr="00684FF6">
        <w:rPr>
          <w:rFonts w:ascii="Simplified Arabic" w:eastAsia="Times New Roman" w:hAnsi="Simplified Arabic" w:cs="Simplified Arabic"/>
          <w:kern w:val="2"/>
          <w:rtl/>
        </w:rPr>
        <w:t xml:space="preserve"> </w:t>
      </w:r>
      <w:r w:rsidRPr="00684FF6">
        <w:rPr>
          <w:rFonts w:ascii="Simplified Arabic" w:eastAsia="Aptos" w:hAnsi="Simplified Arabic" w:cs="Simplified Arabic"/>
          <w:sz w:val="24"/>
          <w:szCs w:val="24"/>
          <w:rtl/>
          <w:lang w:bidi="ar-EG"/>
        </w:rPr>
        <w:t>الأهداف المعلنة لاستراتيجية التجمع هي حافز لتعزيز الجوانب التجارية والتشغيلية والسلامة للأعمال بالإضافة إلى تجربة العملاء. وتذكر أن الشركة تركز على الفاعلية والكفاءة التشغيلية، بالإضافة إلى الاستخدام المسؤول للموارد والرقمنة والاستدامة البيئية، وذلك في سياق رؤية السعودية 2030 (</w:t>
      </w:r>
      <w:r w:rsidRPr="00684FF6">
        <w:rPr>
          <w:rFonts w:ascii="Simplified Arabic" w:eastAsia="Times New Roman" w:hAnsi="Simplified Arabic" w:cs="Simplified Arabic"/>
          <w:kern w:val="2"/>
        </w:rPr>
        <w:t>Cluster 2, 2024</w:t>
      </w:r>
      <w:r w:rsidRPr="00684FF6">
        <w:rPr>
          <w:rFonts w:ascii="Simplified Arabic" w:eastAsia="Aptos" w:hAnsi="Simplified Arabic" w:cs="Simplified Arabic"/>
          <w:sz w:val="24"/>
          <w:szCs w:val="24"/>
          <w:rtl/>
          <w:lang w:bidi="ar-EG"/>
        </w:rPr>
        <w:t>). كما تمثل الاستراتيجية التحول الرئيسي الأول لنموذج التشغيل وإدارة المشاريع الرأسمالية في قطاع الطيران السعودي.</w:t>
      </w:r>
    </w:p>
    <w:p w14:paraId="05B42A1F" w14:textId="77777777" w:rsidR="00684FF6" w:rsidRPr="00684FF6" w:rsidRDefault="00684FF6" w:rsidP="00684FF6">
      <w:pPr>
        <w:numPr>
          <w:ilvl w:val="0"/>
          <w:numId w:val="5"/>
        </w:numPr>
        <w:spacing w:before="100" w:beforeAutospacing="1" w:after="100" w:afterAutospacing="1" w:line="360" w:lineRule="auto"/>
        <w:jc w:val="both"/>
        <w:rPr>
          <w:rFonts w:ascii="Simplified Arabic" w:eastAsia="Times New Roman" w:hAnsi="Simplified Arabic" w:cs="Simplified Arabic"/>
          <w:kern w:val="2"/>
          <w:rtl/>
        </w:rPr>
      </w:pPr>
      <w:r w:rsidRPr="00684FF6">
        <w:rPr>
          <w:rFonts w:ascii="Times New Roman" w:eastAsia="Times New Roman" w:hAnsi="Times New Roman" w:cs="Times New Roman"/>
          <w:kern w:val="2"/>
          <w:rtl/>
        </w:rPr>
        <w:t>​</w:t>
      </w:r>
      <w:r w:rsidRPr="00684FF6">
        <w:rPr>
          <w:rFonts w:ascii="Simplified Arabic" w:eastAsia="Times New Roman" w:hAnsi="Simplified Arabic" w:cs="Simplified Arabic"/>
          <w:b/>
          <w:bCs/>
          <w:kern w:val="2"/>
          <w:rtl/>
        </w:rPr>
        <w:t>دراسة (</w:t>
      </w:r>
      <w:r w:rsidRPr="00684FF6">
        <w:rPr>
          <w:rFonts w:ascii="Simplified Arabic" w:eastAsia="Times New Roman" w:hAnsi="Simplified Arabic" w:cs="Simplified Arabic"/>
          <w:b/>
          <w:bCs/>
          <w:kern w:val="2"/>
        </w:rPr>
        <w:t>Fasone &amp; Zapata-Aguirre, 2016</w:t>
      </w:r>
      <w:r w:rsidRPr="00684FF6">
        <w:rPr>
          <w:rFonts w:ascii="Simplified Arabic" w:eastAsia="Times New Roman" w:hAnsi="Simplified Arabic" w:cs="Simplified Arabic"/>
          <w:b/>
          <w:bCs/>
          <w:kern w:val="2"/>
          <w:rtl/>
        </w:rPr>
        <w:t>):</w:t>
      </w:r>
      <w:r w:rsidRPr="00684FF6">
        <w:rPr>
          <w:rFonts w:ascii="Simplified Arabic" w:eastAsia="Times New Roman" w:hAnsi="Simplified Arabic" w:cs="Simplified Arabic"/>
          <w:kern w:val="2"/>
          <w:rtl/>
        </w:rPr>
        <w:t xml:space="preserve"> </w:t>
      </w:r>
      <w:r w:rsidRPr="00684FF6">
        <w:rPr>
          <w:rFonts w:ascii="Simplified Arabic" w:eastAsia="Aptos" w:hAnsi="Simplified Arabic" w:cs="Simplified Arabic"/>
          <w:sz w:val="24"/>
          <w:szCs w:val="24"/>
          <w:rtl/>
          <w:lang w:bidi="ar-EG"/>
        </w:rPr>
        <w:t>تستعرض هذه الدراسة الأدبيات مركزة على تحليل أداء المطارات واستخدام تحليل مغلف البيانات (</w:t>
      </w:r>
      <w:r w:rsidRPr="00684FF6">
        <w:rPr>
          <w:rFonts w:ascii="Times New Roman" w:eastAsia="Aptos" w:hAnsi="Times New Roman" w:cs="Times New Roman"/>
          <w:sz w:val="24"/>
          <w:szCs w:val="24"/>
          <w:lang w:bidi="ar-EG"/>
        </w:rPr>
        <w:t>DEA</w:t>
      </w:r>
      <w:r w:rsidRPr="00684FF6">
        <w:rPr>
          <w:rFonts w:ascii="Simplified Arabic" w:eastAsia="Aptos" w:hAnsi="Simplified Arabic" w:cs="Simplified Arabic"/>
          <w:sz w:val="24"/>
          <w:szCs w:val="24"/>
          <w:rtl/>
          <w:lang w:bidi="ar-EG"/>
        </w:rPr>
        <w:t>). يشير الكُتّاب إلى أدلة على الاهتمام المتزايد بقياس أداء المطارات وإدارتها، وتعقيد المقارنة والمعايرة. تؤكد الدراسة أن تحليل أداء المطارات هو خطوة أساسية للإدارة الفعالة للمطارات (</w:t>
      </w:r>
      <w:r w:rsidRPr="00684FF6">
        <w:rPr>
          <w:rFonts w:ascii="Simplified Arabic" w:eastAsia="Times New Roman" w:hAnsi="Simplified Arabic" w:cs="Simplified Arabic"/>
          <w:kern w:val="2"/>
        </w:rPr>
        <w:t>Fasone &amp; Zapata-Aguirre, 2016</w:t>
      </w:r>
      <w:r w:rsidRPr="00684FF6">
        <w:rPr>
          <w:rFonts w:ascii="Simplified Arabic" w:eastAsia="Aptos" w:hAnsi="Simplified Arabic" w:cs="Simplified Arabic"/>
          <w:sz w:val="24"/>
          <w:szCs w:val="24"/>
          <w:rtl/>
          <w:lang w:bidi="ar-EG"/>
        </w:rPr>
        <w:t>). تعزز هذه الدراسة حجتنا الرئيسية في هذا البحث، وهي تحليل أداء المطارات وإدارتها، والأداء التشغيلي لأنظمة المطارات على وجه الخصوص.</w:t>
      </w:r>
    </w:p>
    <w:p w14:paraId="6BC09EEE" w14:textId="77777777" w:rsidR="00684FF6" w:rsidRPr="00684FF6" w:rsidRDefault="00684FF6" w:rsidP="00684FF6">
      <w:pPr>
        <w:numPr>
          <w:ilvl w:val="0"/>
          <w:numId w:val="5"/>
        </w:numPr>
        <w:spacing w:before="100" w:beforeAutospacing="1" w:after="100" w:afterAutospacing="1" w:line="360" w:lineRule="auto"/>
        <w:jc w:val="both"/>
        <w:rPr>
          <w:rFonts w:ascii="Simplified Arabic" w:eastAsia="Times New Roman" w:hAnsi="Simplified Arabic" w:cs="Simplified Arabic"/>
          <w:kern w:val="2"/>
          <w:rtl/>
        </w:rPr>
      </w:pPr>
      <w:r w:rsidRPr="00684FF6">
        <w:rPr>
          <w:rFonts w:ascii="Times New Roman" w:eastAsia="Times New Roman" w:hAnsi="Times New Roman" w:cs="Times New Roman"/>
          <w:kern w:val="2"/>
          <w:rtl/>
        </w:rPr>
        <w:t>​</w:t>
      </w:r>
      <w:r w:rsidRPr="00684FF6">
        <w:rPr>
          <w:rFonts w:ascii="Simplified Arabic" w:eastAsia="Times New Roman" w:hAnsi="Simplified Arabic" w:cs="Simplified Arabic"/>
          <w:b/>
          <w:bCs/>
          <w:kern w:val="2"/>
          <w:rtl/>
        </w:rPr>
        <w:t>دراسة (</w:t>
      </w:r>
      <w:r w:rsidRPr="00684FF6">
        <w:rPr>
          <w:rFonts w:ascii="Simplified Arabic" w:eastAsia="Times New Roman" w:hAnsi="Simplified Arabic" w:cs="Simplified Arabic"/>
          <w:b/>
          <w:bCs/>
          <w:kern w:val="2"/>
        </w:rPr>
        <w:t>Novák A., et al., 2024</w:t>
      </w:r>
      <w:r w:rsidRPr="00684FF6">
        <w:rPr>
          <w:rFonts w:ascii="Simplified Arabic" w:eastAsia="Times New Roman" w:hAnsi="Simplified Arabic" w:cs="Simplified Arabic"/>
          <w:b/>
          <w:bCs/>
          <w:kern w:val="2"/>
          <w:rtl/>
        </w:rPr>
        <w:t>):</w:t>
      </w:r>
      <w:r w:rsidRPr="00684FF6">
        <w:rPr>
          <w:rFonts w:ascii="Simplified Arabic" w:eastAsia="Times New Roman" w:hAnsi="Simplified Arabic" w:cs="Simplified Arabic"/>
          <w:kern w:val="2"/>
          <w:rtl/>
        </w:rPr>
        <w:t xml:space="preserve"> </w:t>
      </w:r>
      <w:r w:rsidRPr="00684FF6">
        <w:rPr>
          <w:rFonts w:ascii="Simplified Arabic" w:eastAsia="Aptos" w:hAnsi="Simplified Arabic" w:cs="Simplified Arabic"/>
          <w:sz w:val="24"/>
          <w:szCs w:val="24"/>
          <w:rtl/>
          <w:lang w:bidi="ar-EG"/>
        </w:rPr>
        <w:t>استكشفت هذه الدراسة بناء نماذج مثالية لأنظمة المطارات الإقليمية في أوروبا الوسطى وكرواتيا وفوائد إدراج أنظمة المطارات. استخدمت تحليل التجمعات لتصنيف المطارات وفقًا لمجموعة من المقاييس الأدائية والاقتصادية. وُجد أن نماذج الإدارة والتنظيم كان لها تأثير واضح على اقتصاديات المطارات الإقليمية (</w:t>
      </w:r>
      <w:r w:rsidRPr="00684FF6">
        <w:rPr>
          <w:rFonts w:ascii="Simplified Arabic" w:eastAsia="Times New Roman" w:hAnsi="Simplified Arabic" w:cs="Simplified Arabic"/>
          <w:kern w:val="2"/>
        </w:rPr>
        <w:t>Novák A., et al., 2024</w:t>
      </w:r>
      <w:r w:rsidRPr="00684FF6">
        <w:rPr>
          <w:rFonts w:ascii="Simplified Arabic" w:eastAsia="Aptos" w:hAnsi="Simplified Arabic" w:cs="Simplified Arabic"/>
          <w:sz w:val="24"/>
          <w:szCs w:val="24"/>
          <w:rtl/>
          <w:lang w:bidi="ar-EG"/>
        </w:rPr>
        <w:t>). يتوافق هذا مع نموذج شركة "تجمع مطارات الثاني"، حيث تُدار عدد من المطارات تحت مظلة إدارة واحدة لزيادة الكفاءة التشغيلية.</w:t>
      </w:r>
    </w:p>
    <w:p w14:paraId="579E0F17" w14:textId="77777777" w:rsidR="00684FF6" w:rsidRPr="00684FF6" w:rsidRDefault="00684FF6" w:rsidP="00684FF6">
      <w:pPr>
        <w:spacing w:line="360" w:lineRule="auto"/>
        <w:jc w:val="both"/>
        <w:rPr>
          <w:rFonts w:ascii="Simplified Arabic" w:eastAsia="Calibri" w:hAnsi="Simplified Arabic" w:cs="Simplified Arabic"/>
          <w:kern w:val="2"/>
          <w:sz w:val="28"/>
          <w:szCs w:val="28"/>
          <w:u w:val="single"/>
        </w:rPr>
      </w:pPr>
    </w:p>
    <w:p w14:paraId="65B5BE4B" w14:textId="77777777" w:rsidR="00684FF6" w:rsidRPr="00684FF6" w:rsidRDefault="00684FF6" w:rsidP="00684FF6">
      <w:pPr>
        <w:keepNext/>
        <w:keepLines/>
        <w:spacing w:before="40" w:after="0" w:line="360" w:lineRule="auto"/>
        <w:jc w:val="both"/>
        <w:outlineLvl w:val="3"/>
        <w:rPr>
          <w:rFonts w:ascii="Simplified Arabic" w:eastAsia="Times New Roman" w:hAnsi="Simplified Arabic" w:cs="Simplified Arabic"/>
          <w:i/>
          <w:kern w:val="2"/>
          <w:szCs w:val="28"/>
          <w:u w:val="single"/>
        </w:rPr>
      </w:pPr>
      <w:bookmarkStart w:id="18" w:name="_Toc235804684"/>
      <w:r w:rsidRPr="00684FF6">
        <w:rPr>
          <w:rFonts w:ascii="Times New Roman" w:eastAsia="Times New Roman" w:hAnsi="Times New Roman" w:cs="Times New Roman"/>
          <w:i/>
          <w:kern w:val="2"/>
          <w:szCs w:val="28"/>
          <w:u w:val="single"/>
          <w:rtl/>
        </w:rPr>
        <w:lastRenderedPageBreak/>
        <w:t>​</w:t>
      </w:r>
      <w:r w:rsidRPr="00684FF6">
        <w:rPr>
          <w:rFonts w:ascii="Simplified Arabic" w:eastAsia="Times New Roman" w:hAnsi="Simplified Arabic" w:cs="Simplified Arabic"/>
          <w:i/>
          <w:kern w:val="2"/>
          <w:szCs w:val="28"/>
          <w:u w:val="single"/>
          <w:rtl/>
        </w:rPr>
        <w:t xml:space="preserve"> المجموعة الثالثة: دراسات تناولت نضج إدارة المشاريع وأسباب تعثرها في السياقين المحلي والدولي</w:t>
      </w:r>
      <w:bookmarkEnd w:id="18"/>
    </w:p>
    <w:p w14:paraId="08523464" w14:textId="77777777" w:rsidR="00684FF6" w:rsidRPr="00684FF6" w:rsidRDefault="00684FF6" w:rsidP="00684FF6">
      <w:pPr>
        <w:numPr>
          <w:ilvl w:val="0"/>
          <w:numId w:val="6"/>
        </w:numPr>
        <w:spacing w:before="100" w:beforeAutospacing="1" w:after="100" w:afterAutospacing="1" w:line="360" w:lineRule="auto"/>
        <w:jc w:val="both"/>
        <w:rPr>
          <w:rFonts w:ascii="Simplified Arabic" w:eastAsia="Times New Roman" w:hAnsi="Simplified Arabic" w:cs="Simplified Arabic"/>
          <w:kern w:val="2"/>
          <w:rtl/>
        </w:rPr>
      </w:pPr>
      <w:r w:rsidRPr="00684FF6">
        <w:rPr>
          <w:rFonts w:ascii="Times New Roman" w:eastAsia="Times New Roman" w:hAnsi="Times New Roman" w:cs="Times New Roman"/>
          <w:kern w:val="2"/>
          <w:rtl/>
        </w:rPr>
        <w:t>​</w:t>
      </w:r>
      <w:r w:rsidRPr="00684FF6">
        <w:rPr>
          <w:rFonts w:ascii="Simplified Arabic" w:eastAsia="Times New Roman" w:hAnsi="Simplified Arabic" w:cs="Simplified Arabic"/>
          <w:b/>
          <w:bCs/>
          <w:kern w:val="2"/>
          <w:rtl/>
        </w:rPr>
        <w:t>دراسة (</w:t>
      </w:r>
      <w:r w:rsidRPr="00684FF6">
        <w:rPr>
          <w:rFonts w:ascii="Simplified Arabic" w:eastAsia="Times New Roman" w:hAnsi="Simplified Arabic" w:cs="Simplified Arabic"/>
          <w:b/>
          <w:bCs/>
          <w:kern w:val="2"/>
        </w:rPr>
        <w:t>Al-</w:t>
      </w:r>
      <w:proofErr w:type="spellStart"/>
      <w:r w:rsidRPr="00684FF6">
        <w:rPr>
          <w:rFonts w:ascii="Simplified Arabic" w:eastAsia="Times New Roman" w:hAnsi="Simplified Arabic" w:cs="Simplified Arabic"/>
          <w:b/>
          <w:bCs/>
          <w:kern w:val="2"/>
        </w:rPr>
        <w:t>Kharashi</w:t>
      </w:r>
      <w:proofErr w:type="spellEnd"/>
      <w:r w:rsidRPr="00684FF6">
        <w:rPr>
          <w:rFonts w:ascii="Simplified Arabic" w:eastAsia="Times New Roman" w:hAnsi="Simplified Arabic" w:cs="Simplified Arabic"/>
          <w:b/>
          <w:bCs/>
          <w:kern w:val="2"/>
        </w:rPr>
        <w:t xml:space="preserve"> &amp; </w:t>
      </w:r>
      <w:proofErr w:type="spellStart"/>
      <w:r w:rsidRPr="00684FF6">
        <w:rPr>
          <w:rFonts w:ascii="Simplified Arabic" w:eastAsia="Times New Roman" w:hAnsi="Simplified Arabic" w:cs="Simplified Arabic"/>
          <w:b/>
          <w:bCs/>
          <w:kern w:val="2"/>
        </w:rPr>
        <w:t>Skitmore</w:t>
      </w:r>
      <w:proofErr w:type="spellEnd"/>
      <w:r w:rsidRPr="00684FF6">
        <w:rPr>
          <w:rFonts w:ascii="Simplified Arabic" w:eastAsia="Times New Roman" w:hAnsi="Simplified Arabic" w:cs="Simplified Arabic"/>
          <w:b/>
          <w:bCs/>
          <w:kern w:val="2"/>
        </w:rPr>
        <w:t>, 2009</w:t>
      </w:r>
      <w:r w:rsidRPr="00684FF6">
        <w:rPr>
          <w:rFonts w:ascii="Simplified Arabic" w:eastAsia="Times New Roman" w:hAnsi="Simplified Arabic" w:cs="Simplified Arabic"/>
          <w:b/>
          <w:bCs/>
          <w:kern w:val="2"/>
          <w:rtl/>
        </w:rPr>
        <w:t>):</w:t>
      </w:r>
      <w:r w:rsidRPr="00684FF6">
        <w:rPr>
          <w:rFonts w:ascii="Simplified Arabic" w:eastAsia="Times New Roman" w:hAnsi="Simplified Arabic" w:cs="Simplified Arabic"/>
          <w:kern w:val="2"/>
          <w:rtl/>
        </w:rPr>
        <w:t xml:space="preserve"> </w:t>
      </w:r>
      <w:r w:rsidRPr="00684FF6">
        <w:rPr>
          <w:rFonts w:ascii="Simplified Arabic" w:eastAsia="Aptos" w:hAnsi="Simplified Arabic" w:cs="Simplified Arabic"/>
          <w:sz w:val="24"/>
          <w:szCs w:val="24"/>
          <w:rtl/>
          <w:lang w:bidi="ar-EG"/>
        </w:rPr>
        <w:t>تعد هذه الدراسة من أوائل الدراسات التي تقيم أداء مشاريع القطاع العام في المملكة العربية السعودية. وكان الهدف منها تحديد العوامل الأساسية التي تتسبب في التأخير بالمشاريع وعدم الكفاءة في تنفيذها. بناءً على مسح ميداني للمقاولين والاستشاريين ومديري المشروعات، أكدت الدراسة أن فشل المشاريع يُعزى إلى عدم وجود خطة واضحة ومفصلة في المرحلة المبكرة، نقص التواصل مع أصحاب المصلحة، نقص القدرة الإدارية. وتدعم هذه الدراسة بحثنا بمثال نموذج مجموعة المطارات، الذي يقدم نموذج حوكمة أكثر تكاملًا لحل المشكلات الإدارية المزمنة والتقليدية.</w:t>
      </w:r>
    </w:p>
    <w:p w14:paraId="54B09E71" w14:textId="77777777" w:rsidR="00684FF6" w:rsidRPr="00684FF6" w:rsidRDefault="00684FF6" w:rsidP="00684FF6">
      <w:pPr>
        <w:numPr>
          <w:ilvl w:val="0"/>
          <w:numId w:val="6"/>
        </w:numPr>
        <w:spacing w:before="100" w:beforeAutospacing="1" w:after="100" w:afterAutospacing="1" w:line="360" w:lineRule="auto"/>
        <w:jc w:val="both"/>
        <w:rPr>
          <w:rFonts w:ascii="Simplified Arabic" w:eastAsia="Times New Roman" w:hAnsi="Simplified Arabic" w:cs="Simplified Arabic"/>
          <w:kern w:val="2"/>
          <w:rtl/>
        </w:rPr>
      </w:pPr>
      <w:r w:rsidRPr="00684FF6">
        <w:rPr>
          <w:rFonts w:ascii="Times New Roman" w:eastAsia="Times New Roman" w:hAnsi="Times New Roman" w:cs="Times New Roman"/>
          <w:kern w:val="2"/>
          <w:rtl/>
        </w:rPr>
        <w:t>​</w:t>
      </w:r>
      <w:r w:rsidRPr="00684FF6">
        <w:rPr>
          <w:rFonts w:ascii="Simplified Arabic" w:eastAsia="Times New Roman" w:hAnsi="Simplified Arabic" w:cs="Simplified Arabic"/>
          <w:b/>
          <w:bCs/>
          <w:kern w:val="2"/>
          <w:rtl/>
        </w:rPr>
        <w:t>دراسة (</w:t>
      </w:r>
      <w:r w:rsidRPr="00684FF6">
        <w:rPr>
          <w:rFonts w:ascii="Simplified Arabic" w:eastAsia="Times New Roman" w:hAnsi="Simplified Arabic" w:cs="Simplified Arabic"/>
          <w:b/>
          <w:bCs/>
          <w:kern w:val="2"/>
        </w:rPr>
        <w:t xml:space="preserve">de Carvalho &amp; </w:t>
      </w:r>
      <w:proofErr w:type="spellStart"/>
      <w:r w:rsidRPr="00684FF6">
        <w:rPr>
          <w:rFonts w:ascii="Simplified Arabic" w:eastAsia="Times New Roman" w:hAnsi="Simplified Arabic" w:cs="Simplified Arabic"/>
          <w:b/>
          <w:bCs/>
          <w:kern w:val="2"/>
        </w:rPr>
        <w:t>Rabechini</w:t>
      </w:r>
      <w:proofErr w:type="spellEnd"/>
      <w:r w:rsidRPr="00684FF6">
        <w:rPr>
          <w:rFonts w:ascii="Simplified Arabic" w:eastAsia="Times New Roman" w:hAnsi="Simplified Arabic" w:cs="Simplified Arabic"/>
          <w:b/>
          <w:bCs/>
          <w:kern w:val="2"/>
        </w:rPr>
        <w:t xml:space="preserve"> Junior, 2015</w:t>
      </w:r>
      <w:r w:rsidRPr="00684FF6">
        <w:rPr>
          <w:rFonts w:ascii="Simplified Arabic" w:eastAsia="Times New Roman" w:hAnsi="Simplified Arabic" w:cs="Simplified Arabic"/>
          <w:b/>
          <w:bCs/>
          <w:kern w:val="2"/>
          <w:rtl/>
        </w:rPr>
        <w:t>):</w:t>
      </w:r>
      <w:r w:rsidRPr="00684FF6">
        <w:rPr>
          <w:rFonts w:ascii="Simplified Arabic" w:eastAsia="Times New Roman" w:hAnsi="Simplified Arabic" w:cs="Simplified Arabic"/>
          <w:kern w:val="2"/>
          <w:rtl/>
        </w:rPr>
        <w:t xml:space="preserve"> </w:t>
      </w:r>
      <w:r w:rsidRPr="00684FF6">
        <w:rPr>
          <w:rFonts w:ascii="Simplified Arabic" w:eastAsia="Aptos" w:hAnsi="Simplified Arabic" w:cs="Simplified Arabic"/>
          <w:sz w:val="24"/>
          <w:szCs w:val="24"/>
          <w:rtl/>
          <w:lang w:bidi="ar-EG"/>
        </w:rPr>
        <w:t xml:space="preserve">قام هذا البحث بتحليل تأثير إدارة المخاطر على نتائج المشروع عند النظر إلى درجة تعقيد المشروع. صمم الباحثون منهجية هجينة مدمجة مع المكونات الصلبة واللينة لممارسات إدارة المخاطر. وتم ذلك من خلال مراجعة الأدبيات لبناء الإطار المفاهيمي، ثم التحقق منه استنادًا إلى دراسة ميدانية. تم تحليل البيانات المجمعة من خلال طريقة المعادلات الهيكلية ودراسة 263 مشروعًا ضمن 8 قطاعات اقتصادية مختلفة. وأكد البحث أن المكون المرن لإدارة المخاطر هو الأهم في نجاح المشروع وشرح 10.7% من التباين، بينما شرح المكون الصلب 25.3% من التباين من خلال ارتباط مهم </w:t>
      </w:r>
      <w:r w:rsidRPr="00684FF6">
        <w:rPr>
          <w:rFonts w:ascii="Simplified Arabic" w:eastAsia="Times New Roman" w:hAnsi="Simplified Arabic" w:cs="Simplified Arabic"/>
          <w:kern w:val="2"/>
          <w:sz w:val="24"/>
          <w:rtl/>
        </w:rPr>
        <w:t>(</w:t>
      </w:r>
      <w:r w:rsidRPr="00684FF6">
        <w:rPr>
          <w:rFonts w:ascii="Simplified Arabic" w:eastAsia="Times New Roman" w:hAnsi="Simplified Arabic" w:cs="Simplified Arabic"/>
          <w:kern w:val="2"/>
          <w:sz w:val="24"/>
        </w:rPr>
        <w:t xml:space="preserve">de Carvalho &amp; </w:t>
      </w:r>
      <w:proofErr w:type="spellStart"/>
      <w:r w:rsidRPr="00684FF6">
        <w:rPr>
          <w:rFonts w:ascii="Simplified Arabic" w:eastAsia="Times New Roman" w:hAnsi="Simplified Arabic" w:cs="Simplified Arabic"/>
          <w:kern w:val="2"/>
          <w:sz w:val="24"/>
        </w:rPr>
        <w:t>Rabechini</w:t>
      </w:r>
      <w:proofErr w:type="spellEnd"/>
      <w:r w:rsidRPr="00684FF6">
        <w:rPr>
          <w:rFonts w:ascii="Simplified Arabic" w:eastAsia="Times New Roman" w:hAnsi="Simplified Arabic" w:cs="Simplified Arabic"/>
          <w:kern w:val="2"/>
          <w:sz w:val="24"/>
        </w:rPr>
        <w:t xml:space="preserve"> Junior, 2015</w:t>
      </w:r>
      <w:r w:rsidRPr="00684FF6">
        <w:rPr>
          <w:rFonts w:ascii="Simplified Arabic" w:eastAsia="Times New Roman" w:hAnsi="Simplified Arabic" w:cs="Simplified Arabic"/>
          <w:kern w:val="2"/>
          <w:sz w:val="24"/>
          <w:rtl/>
        </w:rPr>
        <w:t xml:space="preserve">). </w:t>
      </w:r>
      <w:r w:rsidRPr="00684FF6">
        <w:rPr>
          <w:rFonts w:ascii="Simplified Arabic" w:eastAsia="Aptos" w:hAnsi="Simplified Arabic" w:cs="Simplified Arabic"/>
          <w:sz w:val="24"/>
          <w:szCs w:val="24"/>
          <w:rtl/>
          <w:lang w:bidi="ar-EG"/>
        </w:rPr>
        <w:t>وتتوافق هذه النتائج مع الدور الوظيفي لـ شركة "تجمع مطارات الثاني" الذي يهدف إلى توحيد وتناغم ممارسات إدارة المخاطر والاستجابة داخل المطارَات التابعة لها. وأكد البحث أن المكونات الأساسية والثانوية لممارسات إدارة المخاطر المستخدمة تؤثر بشكل كبير على نجاح الشركة، إلى جانب الكفاءات التنظيمية والبشرية.</w:t>
      </w:r>
    </w:p>
    <w:p w14:paraId="16BB4525" w14:textId="77777777" w:rsidR="00684FF6" w:rsidRPr="00684FF6" w:rsidRDefault="00684FF6" w:rsidP="00684FF6">
      <w:pPr>
        <w:numPr>
          <w:ilvl w:val="0"/>
          <w:numId w:val="6"/>
        </w:numPr>
        <w:spacing w:before="100" w:beforeAutospacing="1" w:after="100" w:afterAutospacing="1" w:line="360" w:lineRule="auto"/>
        <w:jc w:val="both"/>
        <w:rPr>
          <w:rFonts w:ascii="Simplified Arabic" w:eastAsia="Times New Roman" w:hAnsi="Simplified Arabic" w:cs="Simplified Arabic"/>
          <w:kern w:val="2"/>
          <w:rtl/>
        </w:rPr>
      </w:pPr>
      <w:r w:rsidRPr="00684FF6">
        <w:rPr>
          <w:rFonts w:ascii="Times New Roman" w:eastAsia="Times New Roman" w:hAnsi="Times New Roman" w:cs="Times New Roman"/>
          <w:kern w:val="2"/>
          <w:rtl/>
        </w:rPr>
        <w:t>​</w:t>
      </w:r>
      <w:r w:rsidRPr="00684FF6">
        <w:rPr>
          <w:rFonts w:ascii="Simplified Arabic" w:eastAsia="Times New Roman" w:hAnsi="Simplified Arabic" w:cs="Simplified Arabic"/>
          <w:b/>
          <w:bCs/>
          <w:kern w:val="2"/>
          <w:rtl/>
        </w:rPr>
        <w:t>دراسة (</w:t>
      </w:r>
      <w:r w:rsidRPr="00684FF6">
        <w:rPr>
          <w:rFonts w:ascii="Simplified Arabic" w:eastAsia="Times New Roman" w:hAnsi="Simplified Arabic" w:cs="Simplified Arabic"/>
          <w:b/>
          <w:bCs/>
          <w:kern w:val="2"/>
        </w:rPr>
        <w:t>Adler &amp; Liebert, 2014</w:t>
      </w:r>
      <w:r w:rsidRPr="00684FF6">
        <w:rPr>
          <w:rFonts w:ascii="Simplified Arabic" w:eastAsia="Times New Roman" w:hAnsi="Simplified Arabic" w:cs="Simplified Arabic"/>
          <w:b/>
          <w:bCs/>
          <w:kern w:val="2"/>
          <w:rtl/>
        </w:rPr>
        <w:t>):</w:t>
      </w:r>
      <w:r w:rsidRPr="00684FF6">
        <w:rPr>
          <w:rFonts w:ascii="Simplified Arabic" w:eastAsia="Times New Roman" w:hAnsi="Simplified Arabic" w:cs="Simplified Arabic"/>
          <w:kern w:val="2"/>
          <w:rtl/>
        </w:rPr>
        <w:t xml:space="preserve"> </w:t>
      </w:r>
      <w:r w:rsidRPr="00684FF6">
        <w:rPr>
          <w:rFonts w:ascii="Simplified Arabic" w:eastAsia="Aptos" w:hAnsi="Simplified Arabic" w:cs="Simplified Arabic"/>
          <w:sz w:val="24"/>
          <w:szCs w:val="24"/>
          <w:rtl/>
          <w:lang w:bidi="ar-EG"/>
        </w:rPr>
        <w:t>قيَّمت هذه الدراسة كيف تؤثر نماذج الملكية المختلفة، وتكوين الاقتصاد، وطبيعة المنافسة على أداء المطار. اعتمدت الدراسة نهجًا ثنائي الأبعاد، حيث قيَّمت أولاً كفاءة التكاليف باستخدام تحليل مغلف البيانات (</w:t>
      </w:r>
      <w:r w:rsidRPr="00684FF6">
        <w:rPr>
          <w:rFonts w:ascii="Times New Roman" w:eastAsia="Aptos" w:hAnsi="Times New Roman" w:cs="Times New Roman"/>
          <w:sz w:val="24"/>
          <w:szCs w:val="24"/>
          <w:lang w:bidi="ar-EG"/>
        </w:rPr>
        <w:t>DEA</w:t>
      </w:r>
      <w:r w:rsidRPr="00684FF6">
        <w:rPr>
          <w:rFonts w:ascii="Simplified Arabic" w:eastAsia="Aptos" w:hAnsi="Simplified Arabic" w:cs="Simplified Arabic"/>
          <w:sz w:val="24"/>
          <w:szCs w:val="24"/>
          <w:rtl/>
          <w:lang w:bidi="ar-EG"/>
        </w:rPr>
        <w:t xml:space="preserve">)، ثم طبقت تحليل الانحدار لقياس تأثيرات البيئة الخارجية باستخدام بيانات مطارات أوروبية وأسترالية على مدى عقد من الزمن. كانت النتيجة الرئيسية أن المطارات المملوكة حكوميًا كانت أكثر كفاءة من حيث التكاليف مقارنة بالمطارات المملوكة بالكامل للقطاع الخاص في الأسواق ذات المنافسة المنخفضة. وأبرزت الدراسة أنه، غياب </w:t>
      </w:r>
      <w:r w:rsidRPr="00684FF6">
        <w:rPr>
          <w:rFonts w:ascii="Simplified Arabic" w:eastAsia="Aptos" w:hAnsi="Simplified Arabic" w:cs="Simplified Arabic"/>
          <w:sz w:val="24"/>
          <w:szCs w:val="24"/>
          <w:rtl/>
          <w:lang w:bidi="ar-EG"/>
        </w:rPr>
        <w:lastRenderedPageBreak/>
        <w:t xml:space="preserve">المنافسة، كانت التنظيمات الاقتصادية ضرورية لإجبار إدارة المطار على تبني ممارسات تسعير عادلة وفعالة من حيث التكاليف، بغض النظر عن الملكية. ومع ذلك، وجدت الدراسة أن التنظيم الاقتصادي يمنع المطارات من التشغيل والتسعير بكفاءة عندما تكون هناك منافسة بين مطارات إقليمية ومطارات مركزية. بالإضافة إلى ذلك، في المطارات المملوكة بالكامل أو غالبيتها من قبل القطاع العام، لم تتحقق كفاءة التكاليف ونموذج التكلفة المنخفضة، بغض النظر عن مستوى المنافسة </w:t>
      </w:r>
      <w:r w:rsidRPr="00684FF6">
        <w:rPr>
          <w:rFonts w:ascii="Simplified Arabic" w:eastAsia="Times New Roman" w:hAnsi="Simplified Arabic" w:cs="Simplified Arabic"/>
          <w:sz w:val="24"/>
          <w:rtl/>
        </w:rPr>
        <w:t>(</w:t>
      </w:r>
      <w:r w:rsidRPr="00684FF6">
        <w:rPr>
          <w:rFonts w:ascii="Simplified Arabic" w:eastAsia="Times New Roman" w:hAnsi="Simplified Arabic" w:cs="Simplified Arabic"/>
          <w:sz w:val="24"/>
        </w:rPr>
        <w:t>Adler &amp; Liebert, 2014</w:t>
      </w:r>
      <w:r w:rsidRPr="00684FF6">
        <w:rPr>
          <w:rFonts w:ascii="Simplified Arabic" w:eastAsia="Times New Roman" w:hAnsi="Simplified Arabic" w:cs="Simplified Arabic"/>
          <w:sz w:val="24"/>
          <w:rtl/>
        </w:rPr>
        <w:t>)</w:t>
      </w:r>
      <w:r w:rsidRPr="00684FF6">
        <w:rPr>
          <w:rFonts w:ascii="Simplified Arabic" w:eastAsia="Aptos" w:hAnsi="Simplified Arabic" w:cs="Simplified Arabic"/>
          <w:sz w:val="24"/>
          <w:szCs w:val="24"/>
          <w:rtl/>
          <w:lang w:bidi="ar-EG"/>
        </w:rPr>
        <w:t xml:space="preserve">. وتُعد هذه النتيجة مهمة بشكل خاص لشركة "تجمع مطارات الثاني </w:t>
      </w:r>
      <w:r w:rsidRPr="00684FF6">
        <w:rPr>
          <w:rFonts w:ascii="Times New Roman" w:eastAsia="Aptos" w:hAnsi="Times New Roman" w:cs="Times New Roman"/>
          <w:sz w:val="24"/>
          <w:szCs w:val="24"/>
          <w:lang w:bidi="ar-EG"/>
        </w:rPr>
        <w:t>Cluster 2</w:t>
      </w:r>
      <w:r w:rsidRPr="00684FF6">
        <w:rPr>
          <w:rFonts w:ascii="Simplified Arabic" w:eastAsia="Aptos" w:hAnsi="Simplified Arabic" w:cs="Simplified Arabic"/>
          <w:sz w:val="24"/>
          <w:szCs w:val="24"/>
          <w:rtl/>
          <w:lang w:bidi="ar-EG"/>
        </w:rPr>
        <w:t>"، التي تتجه نحو الأعمال والتملك العام، ومعظم مطاراتها تقع في أسواق ذات منافسة منخفضة. وهذا يدل على أن كفاءة التكاليف لا يمكن تحقيقها ببساطة من خلال تحويل المؤسسة، بل تعتمد أيضًا على جودة التنظيمات والحوكمة.</w:t>
      </w:r>
    </w:p>
    <w:p w14:paraId="29586C18" w14:textId="77777777" w:rsidR="00684FF6" w:rsidRPr="00684FF6" w:rsidRDefault="00684FF6" w:rsidP="00684FF6">
      <w:pPr>
        <w:numPr>
          <w:ilvl w:val="0"/>
          <w:numId w:val="6"/>
        </w:numPr>
        <w:spacing w:before="100" w:beforeAutospacing="1" w:after="100" w:afterAutospacing="1" w:line="360" w:lineRule="auto"/>
        <w:jc w:val="both"/>
        <w:rPr>
          <w:rFonts w:ascii="Simplified Arabic" w:eastAsia="Times New Roman" w:hAnsi="Simplified Arabic" w:cs="Simplified Arabic"/>
          <w:kern w:val="2"/>
          <w:rtl/>
        </w:rPr>
      </w:pPr>
      <w:r w:rsidRPr="00684FF6">
        <w:rPr>
          <w:rFonts w:ascii="Times New Roman" w:eastAsia="Times New Roman" w:hAnsi="Times New Roman" w:cs="Times New Roman"/>
          <w:kern w:val="2"/>
          <w:rtl/>
        </w:rPr>
        <w:t>​</w:t>
      </w:r>
      <w:r w:rsidRPr="00684FF6">
        <w:rPr>
          <w:rFonts w:ascii="Simplified Arabic" w:eastAsia="Times New Roman" w:hAnsi="Simplified Arabic" w:cs="Simplified Arabic"/>
          <w:b/>
          <w:bCs/>
          <w:kern w:val="2"/>
          <w:rtl/>
        </w:rPr>
        <w:t>دراسة (</w:t>
      </w:r>
      <w:r w:rsidRPr="00684FF6">
        <w:rPr>
          <w:rFonts w:ascii="Simplified Arabic" w:eastAsia="Times New Roman" w:hAnsi="Simplified Arabic" w:cs="Simplified Arabic"/>
          <w:b/>
          <w:bCs/>
          <w:kern w:val="2"/>
        </w:rPr>
        <w:t>Tsaturyan &amp; Müller, 2015</w:t>
      </w:r>
      <w:r w:rsidRPr="00684FF6">
        <w:rPr>
          <w:rFonts w:ascii="Simplified Arabic" w:eastAsia="Times New Roman" w:hAnsi="Simplified Arabic" w:cs="Simplified Arabic"/>
          <w:b/>
          <w:bCs/>
          <w:kern w:val="2"/>
          <w:rtl/>
        </w:rPr>
        <w:t>):</w:t>
      </w:r>
      <w:r w:rsidRPr="00684FF6">
        <w:rPr>
          <w:rFonts w:ascii="Simplified Arabic" w:eastAsia="Times New Roman" w:hAnsi="Simplified Arabic" w:cs="Simplified Arabic"/>
          <w:kern w:val="2"/>
          <w:rtl/>
        </w:rPr>
        <w:t xml:space="preserve"> </w:t>
      </w:r>
      <w:r w:rsidRPr="00684FF6">
        <w:rPr>
          <w:rFonts w:ascii="Simplified Arabic" w:eastAsia="Aptos" w:hAnsi="Simplified Arabic" w:cs="Simplified Arabic"/>
          <w:sz w:val="24"/>
          <w:szCs w:val="24"/>
          <w:rtl/>
          <w:lang w:bidi="ar-EG"/>
        </w:rPr>
        <w:t>بحثت هذه الدراسة في حوكمة مكاتب إدارة المشاريع (</w:t>
      </w:r>
      <w:r w:rsidRPr="00684FF6">
        <w:rPr>
          <w:rFonts w:ascii="Times New Roman" w:eastAsia="Aptos" w:hAnsi="Times New Roman" w:cs="Times New Roman"/>
          <w:sz w:val="24"/>
          <w:szCs w:val="24"/>
          <w:lang w:bidi="ar-EG"/>
        </w:rPr>
        <w:t>PMOs</w:t>
      </w:r>
      <w:r w:rsidRPr="00684FF6">
        <w:rPr>
          <w:rFonts w:ascii="Simplified Arabic" w:eastAsia="Aptos" w:hAnsi="Simplified Arabic" w:cs="Simplified Arabic"/>
          <w:sz w:val="24"/>
          <w:szCs w:val="24"/>
          <w:rtl/>
          <w:lang w:bidi="ar-EG"/>
        </w:rPr>
        <w:t>) كنظام متماسك يُدار عبر وحدات حوكمة مترابطة داخل شركات كبيرة قائمة على المشاريع. وهو مشكلة تنظيمية محددة عندما تتحد كيانات أعمال مستقلة إلى حد كبير تحت نظام إدارة واحد. قدم المؤلفان إطار تصميم حوكمة لمكتب إدارة المشاريع بأربعة أبعاد هي: الهيكلية، والإجراءات، والعلاقات، والرقابة. خضع الإطار لتحليل نوعي من خلال دراسة حالة لبنك أوروبي كبير يدير شبكة حوكمة تضم أربعة مكاتب إدارة مشاريع مختلفة (</w:t>
      </w:r>
      <w:r w:rsidRPr="00684FF6">
        <w:rPr>
          <w:rFonts w:ascii="Times New Roman" w:eastAsia="Aptos" w:hAnsi="Times New Roman" w:cs="Times New Roman"/>
          <w:sz w:val="24"/>
          <w:szCs w:val="24"/>
          <w:lang w:bidi="ar-EG"/>
        </w:rPr>
        <w:t>PMOs</w:t>
      </w:r>
      <w:r w:rsidRPr="00684FF6">
        <w:rPr>
          <w:rFonts w:ascii="Simplified Arabic" w:eastAsia="Aptos" w:hAnsi="Simplified Arabic" w:cs="Simplified Arabic"/>
          <w:sz w:val="24"/>
          <w:szCs w:val="24"/>
          <w:rtl/>
          <w:lang w:bidi="ar-EG"/>
        </w:rPr>
        <w:t>). استكشفت الدراسة الأبعاد الرسمية وغير الرسمية لاندماج مكاتب إدارة المشاريع. وأكدت الدراسة أن الأبعاد العلاقية والرقابية هي الأهم والأكثر حيوية لتنسيق أطر حوكمة مكاتب إدارة المشاريع المتعددة</w:t>
      </w:r>
      <w:r w:rsidRPr="00684FF6">
        <w:rPr>
          <w:rFonts w:ascii="Simplified Arabic" w:eastAsia="Times New Roman" w:hAnsi="Simplified Arabic" w:cs="Simplified Arabic"/>
          <w:kern w:val="2"/>
          <w:sz w:val="24"/>
          <w:rtl/>
        </w:rPr>
        <w:t xml:space="preserve">. وتقوم الدراسة باقتراح </w:t>
      </w:r>
      <w:r w:rsidRPr="00684FF6">
        <w:rPr>
          <w:rFonts w:ascii="Simplified Arabic" w:eastAsia="Aptos" w:hAnsi="Simplified Arabic" w:cs="Simplified Arabic"/>
          <w:sz w:val="24"/>
          <w:szCs w:val="24"/>
          <w:rtl/>
          <w:lang w:bidi="ar-EG"/>
        </w:rPr>
        <w:t xml:space="preserve">متغيرات قابلة للقياس لتحديد مدى تكامل حوكمة مكاتب إدارة المشاريع </w:t>
      </w:r>
      <w:r w:rsidRPr="00684FF6">
        <w:rPr>
          <w:rFonts w:ascii="Simplified Arabic" w:eastAsia="Times New Roman" w:hAnsi="Simplified Arabic" w:cs="Simplified Arabic"/>
          <w:kern w:val="2"/>
          <w:sz w:val="24"/>
          <w:rtl/>
        </w:rPr>
        <w:t>(</w:t>
      </w:r>
      <w:r w:rsidRPr="00684FF6">
        <w:rPr>
          <w:rFonts w:ascii="Simplified Arabic" w:eastAsia="Times New Roman" w:hAnsi="Simplified Arabic" w:cs="Simplified Arabic"/>
          <w:kern w:val="2"/>
          <w:sz w:val="24"/>
        </w:rPr>
        <w:t>Tsaturyan &amp; Müller, 2015</w:t>
      </w:r>
      <w:r w:rsidRPr="00684FF6">
        <w:rPr>
          <w:rFonts w:ascii="Simplified Arabic" w:eastAsia="Times New Roman" w:hAnsi="Simplified Arabic" w:cs="Simplified Arabic"/>
          <w:kern w:val="2"/>
          <w:sz w:val="24"/>
          <w:rtl/>
        </w:rPr>
        <w:t>)</w:t>
      </w:r>
      <w:r w:rsidRPr="00684FF6">
        <w:rPr>
          <w:rFonts w:ascii="Simplified Arabic" w:eastAsia="Aptos" w:hAnsi="Simplified Arabic" w:cs="Simplified Arabic"/>
          <w:sz w:val="24"/>
          <w:szCs w:val="24"/>
          <w:rtl/>
          <w:lang w:bidi="ar-EG"/>
        </w:rPr>
        <w:t xml:space="preserve">. يرتبط هذا المقال ارتباطًا وثيقًا بأبحاثنا وبمشكلة شركة "تجمع مطارات الثاني </w:t>
      </w:r>
      <w:r w:rsidRPr="00684FF6">
        <w:rPr>
          <w:rFonts w:ascii="Times New Roman" w:eastAsia="Aptos" w:hAnsi="Times New Roman" w:cs="Times New Roman"/>
          <w:sz w:val="24"/>
          <w:szCs w:val="24"/>
          <w:lang w:bidi="ar-EG"/>
        </w:rPr>
        <w:t>Cluster 2</w:t>
      </w:r>
      <w:r w:rsidRPr="00684FF6">
        <w:rPr>
          <w:rFonts w:ascii="Simplified Arabic" w:eastAsia="Aptos" w:hAnsi="Simplified Arabic" w:cs="Simplified Arabic"/>
          <w:sz w:val="24"/>
          <w:szCs w:val="24"/>
          <w:rtl/>
          <w:lang w:bidi="ar-EG"/>
        </w:rPr>
        <w:t>" التي تتطلب عمل اثنين وعشرين مطاراً، وهي منظمات وظيفية مستقلة، للعمل ضمن نظام حوكمة موحد جديد. وتضع الأبعاد العلاقية والرقابية التكامل بين الوحدات في مقدمة اهتمامات جودة العلاقة والحوكمة بين الوحدات، في حين تلعب الأبعاد الهيكلية والإجرائية دورًا أقل أهمية.</w:t>
      </w:r>
    </w:p>
    <w:p w14:paraId="40378B6B" w14:textId="77777777" w:rsidR="00684FF6" w:rsidRPr="00684FF6" w:rsidRDefault="00684FF6" w:rsidP="00684FF6">
      <w:pPr>
        <w:spacing w:before="100" w:beforeAutospacing="1" w:after="100" w:afterAutospacing="1" w:line="360" w:lineRule="auto"/>
        <w:jc w:val="both"/>
        <w:rPr>
          <w:rFonts w:ascii="Simplified Arabic" w:eastAsia="Times New Roman" w:hAnsi="Simplified Arabic" w:cs="Simplified Arabic"/>
          <w:sz w:val="28"/>
          <w:szCs w:val="28"/>
          <w:u w:val="single"/>
          <w:lang w:val=""/>
          <w14:ligatures w14:val="none"/>
        </w:rPr>
      </w:pPr>
    </w:p>
    <w:p w14:paraId="2DEC5247" w14:textId="77777777" w:rsidR="00684FF6" w:rsidRPr="00684FF6" w:rsidRDefault="00684FF6" w:rsidP="00684FF6">
      <w:pPr>
        <w:keepNext/>
        <w:keepLines/>
        <w:spacing w:before="40" w:after="0" w:line="360" w:lineRule="auto"/>
        <w:jc w:val="both"/>
        <w:outlineLvl w:val="3"/>
        <w:rPr>
          <w:rFonts w:ascii="Simplified Arabic" w:eastAsia="Times New Roman" w:hAnsi="Simplified Arabic" w:cs="Simplified Arabic"/>
          <w:i/>
          <w:kern w:val="2"/>
          <w:szCs w:val="28"/>
          <w:u w:val="single"/>
        </w:rPr>
      </w:pPr>
      <w:bookmarkStart w:id="19" w:name="_Toc235804685"/>
      <w:r w:rsidRPr="00684FF6">
        <w:rPr>
          <w:rFonts w:ascii="Times New Roman" w:eastAsia="Times New Roman" w:hAnsi="Times New Roman" w:cs="Times New Roman"/>
          <w:i/>
          <w:kern w:val="2"/>
          <w:szCs w:val="28"/>
          <w:u w:val="single"/>
          <w:rtl/>
        </w:rPr>
        <w:lastRenderedPageBreak/>
        <w:t>​</w:t>
      </w:r>
      <w:r w:rsidRPr="00684FF6">
        <w:rPr>
          <w:rFonts w:ascii="Simplified Arabic" w:eastAsia="Times New Roman" w:hAnsi="Simplified Arabic" w:cs="Simplified Arabic"/>
          <w:i/>
          <w:kern w:val="2"/>
          <w:szCs w:val="28"/>
          <w:u w:val="single"/>
          <w:rtl/>
        </w:rPr>
        <w:t xml:space="preserve"> المجموعة الرابعة: الدراسات والتقارير حول التحول الرقمي وحوكمة المشاريع</w:t>
      </w:r>
      <w:bookmarkEnd w:id="19"/>
    </w:p>
    <w:p w14:paraId="5E1D2F6E" w14:textId="77777777" w:rsidR="00684FF6" w:rsidRPr="00684FF6" w:rsidRDefault="00684FF6" w:rsidP="00684FF6">
      <w:pPr>
        <w:numPr>
          <w:ilvl w:val="0"/>
          <w:numId w:val="7"/>
        </w:numPr>
        <w:spacing w:before="100" w:beforeAutospacing="1" w:after="100" w:afterAutospacing="1" w:line="360" w:lineRule="auto"/>
        <w:jc w:val="both"/>
        <w:rPr>
          <w:rFonts w:ascii="Simplified Arabic" w:eastAsia="Times New Roman" w:hAnsi="Simplified Arabic" w:cs="Simplified Arabic"/>
          <w:kern w:val="2"/>
          <w:rtl/>
        </w:rPr>
      </w:pPr>
      <w:r w:rsidRPr="00684FF6">
        <w:rPr>
          <w:rFonts w:ascii="Times New Roman" w:eastAsia="Times New Roman" w:hAnsi="Times New Roman" w:cs="Times New Roman"/>
          <w:kern w:val="2"/>
          <w:rtl/>
        </w:rPr>
        <w:t>​</w:t>
      </w:r>
      <w:r w:rsidRPr="00684FF6">
        <w:rPr>
          <w:rFonts w:ascii="Simplified Arabic" w:eastAsia="Times New Roman" w:hAnsi="Simplified Arabic" w:cs="Simplified Arabic"/>
          <w:b/>
          <w:bCs/>
          <w:kern w:val="2"/>
          <w:rtl/>
        </w:rPr>
        <w:t>دراسة (</w:t>
      </w:r>
      <w:r w:rsidRPr="00684FF6">
        <w:rPr>
          <w:rFonts w:ascii="Simplified Arabic" w:eastAsia="Times New Roman" w:hAnsi="Simplified Arabic" w:cs="Simplified Arabic"/>
          <w:b/>
          <w:bCs/>
          <w:kern w:val="2"/>
        </w:rPr>
        <w:t>Bryde et al., 2013</w:t>
      </w:r>
      <w:r w:rsidRPr="00684FF6">
        <w:rPr>
          <w:rFonts w:ascii="Simplified Arabic" w:eastAsia="Times New Roman" w:hAnsi="Simplified Arabic" w:cs="Simplified Arabic"/>
          <w:b/>
          <w:bCs/>
          <w:kern w:val="2"/>
          <w:rtl/>
        </w:rPr>
        <w:t>):</w:t>
      </w:r>
      <w:r w:rsidRPr="00684FF6">
        <w:rPr>
          <w:rFonts w:ascii="Simplified Arabic" w:eastAsia="Times New Roman" w:hAnsi="Simplified Arabic" w:cs="Simplified Arabic"/>
          <w:kern w:val="2"/>
          <w:rtl/>
        </w:rPr>
        <w:t xml:space="preserve"> </w:t>
      </w:r>
      <w:r w:rsidRPr="00684FF6">
        <w:rPr>
          <w:rFonts w:ascii="Simplified Arabic" w:eastAsia="Aptos" w:hAnsi="Simplified Arabic" w:cs="Simplified Arabic"/>
          <w:sz w:val="24"/>
          <w:szCs w:val="24"/>
          <w:rtl/>
          <w:lang w:bidi="ar-EG"/>
        </w:rPr>
        <w:t>تسعى هذه الورقة إلى بحث الفوائد القابلة للقياس لنمذجة معلومات البناء (</w:t>
      </w:r>
      <w:r w:rsidRPr="00684FF6">
        <w:rPr>
          <w:rFonts w:ascii="Times New Roman" w:eastAsia="Aptos" w:hAnsi="Times New Roman" w:cs="Times New Roman"/>
          <w:sz w:val="24"/>
          <w:szCs w:val="24"/>
          <w:lang w:bidi="ar-EG"/>
        </w:rPr>
        <w:t>BIM</w:t>
      </w:r>
      <w:r w:rsidRPr="00684FF6">
        <w:rPr>
          <w:rFonts w:ascii="Simplified Arabic" w:eastAsia="Aptos" w:hAnsi="Simplified Arabic" w:cs="Simplified Arabic"/>
          <w:sz w:val="24"/>
          <w:szCs w:val="24"/>
          <w:rtl/>
          <w:lang w:bidi="ar-EG"/>
        </w:rPr>
        <w:t xml:space="preserve">) عبر مشاريع البناء المختلفة، فيما يتعلق بالحجة بأن حدود هذه التقنية، إلى جانب المجال المعماري، تمتد إلى إدارة البناء. استند هذا البحث إلى بيانات ثانوية لـ خمسة وثلاثين مشروعًا للبناء يستخدمون هذه التقنية. وضعت الورقة إطارًا لمعايير نجاح المشروع وطبقت تحليل المحتوى لتحديد مدى تحقيق كل من المعايير ضمن نطاق كل مشروع. كانت الفائدة الأساسية المبلغ عنها عبر المشاريع هي تقليل وتعزيز السيطرة على التكاليف طوال دورة حياة المشروع. كما أبلغ المشاركون عن وفورات كبيرة في مدة المشروع. كانت الملاحظات السلبية تتعلق غالبًا ببرمجيات النمذجة. اقترح المؤلفون أن يتم تجاوز حواجز تبني تقنية الـ </w:t>
      </w:r>
      <w:r w:rsidRPr="00684FF6">
        <w:rPr>
          <w:rFonts w:ascii="Times New Roman" w:eastAsia="Aptos" w:hAnsi="Times New Roman" w:cs="Times New Roman"/>
          <w:sz w:val="24"/>
          <w:szCs w:val="24"/>
          <w:lang w:bidi="ar-EG"/>
        </w:rPr>
        <w:t>BIM</w:t>
      </w:r>
      <w:r w:rsidRPr="00684FF6">
        <w:rPr>
          <w:rFonts w:ascii="Simplified Arabic" w:eastAsia="Aptos" w:hAnsi="Simplified Arabic" w:cs="Simplified Arabic"/>
          <w:sz w:val="24"/>
          <w:szCs w:val="24"/>
          <w:rtl/>
          <w:lang w:bidi="ar-EG"/>
        </w:rPr>
        <w:t xml:space="preserve"> من خلال إجراء تحليل التكاليف مقابل المنافع والفوائد للتوعية، والتعليم، والتدريب </w:t>
      </w:r>
      <w:r w:rsidRPr="00684FF6">
        <w:rPr>
          <w:rFonts w:ascii="Simplified Arabic" w:eastAsia="Times New Roman" w:hAnsi="Simplified Arabic" w:cs="Simplified Arabic"/>
          <w:kern w:val="2"/>
          <w:sz w:val="24"/>
          <w:rtl/>
        </w:rPr>
        <w:t>(</w:t>
      </w:r>
      <w:r w:rsidRPr="00684FF6">
        <w:rPr>
          <w:rFonts w:ascii="Simplified Arabic" w:eastAsia="Times New Roman" w:hAnsi="Simplified Arabic" w:cs="Simplified Arabic"/>
          <w:kern w:val="2"/>
          <w:sz w:val="24"/>
        </w:rPr>
        <w:t>Bryde et al., 2013</w:t>
      </w:r>
      <w:r w:rsidRPr="00684FF6">
        <w:rPr>
          <w:rFonts w:ascii="Simplified Arabic" w:eastAsia="Times New Roman" w:hAnsi="Simplified Arabic" w:cs="Simplified Arabic"/>
          <w:kern w:val="2"/>
          <w:sz w:val="24"/>
          <w:rtl/>
        </w:rPr>
        <w:t>).</w:t>
      </w:r>
      <w:r w:rsidRPr="00684FF6">
        <w:rPr>
          <w:rFonts w:ascii="Simplified Arabic" w:eastAsia="Times New Roman" w:hAnsi="Simplified Arabic" w:cs="Simplified Arabic"/>
          <w:kern w:val="2"/>
          <w:sz w:val="24"/>
        </w:rPr>
        <w:t xml:space="preserve"> </w:t>
      </w:r>
      <w:r w:rsidRPr="00684FF6">
        <w:rPr>
          <w:rFonts w:ascii="Simplified Arabic" w:eastAsia="Aptos" w:hAnsi="Simplified Arabic" w:cs="Simplified Arabic"/>
          <w:sz w:val="24"/>
          <w:szCs w:val="24"/>
          <w:rtl/>
          <w:lang w:bidi="ar-EG"/>
        </w:rPr>
        <w:t>تدعم هذه الورقة مكون التحول الرقمي ضمن دراستنا وتقدم حجة سياقية مهمة تتعلق بشركة "تجمع مطارات الثاني". توفر التقنية فوائد فقط عندما تكون المنظمة مؤهلة بدرجة كافية وواعية باستخدامها.</w:t>
      </w:r>
    </w:p>
    <w:p w14:paraId="20B16D4C" w14:textId="77777777" w:rsidR="00684FF6" w:rsidRPr="00684FF6" w:rsidRDefault="00684FF6" w:rsidP="00684FF6">
      <w:pPr>
        <w:numPr>
          <w:ilvl w:val="0"/>
          <w:numId w:val="7"/>
        </w:numPr>
        <w:spacing w:before="100" w:beforeAutospacing="1" w:after="100" w:afterAutospacing="1" w:line="360" w:lineRule="auto"/>
        <w:jc w:val="both"/>
        <w:rPr>
          <w:rFonts w:ascii="Simplified Arabic" w:eastAsia="Times New Roman" w:hAnsi="Simplified Arabic" w:cs="Simplified Arabic"/>
          <w:kern w:val="2"/>
          <w:rtl/>
        </w:rPr>
      </w:pPr>
      <w:r w:rsidRPr="00684FF6">
        <w:rPr>
          <w:rFonts w:ascii="Times New Roman" w:eastAsia="Times New Roman" w:hAnsi="Times New Roman" w:cs="Times New Roman"/>
          <w:kern w:val="2"/>
          <w:rtl/>
        </w:rPr>
        <w:t>​</w:t>
      </w:r>
      <w:r w:rsidRPr="00684FF6">
        <w:rPr>
          <w:rFonts w:ascii="Simplified Arabic" w:eastAsia="Times New Roman" w:hAnsi="Simplified Arabic" w:cs="Simplified Arabic"/>
          <w:b/>
          <w:bCs/>
          <w:kern w:val="2"/>
          <w:rtl/>
        </w:rPr>
        <w:t>دراسة (</w:t>
      </w:r>
      <w:r w:rsidRPr="00684FF6">
        <w:rPr>
          <w:rFonts w:ascii="Simplified Arabic" w:eastAsia="Times New Roman" w:hAnsi="Simplified Arabic" w:cs="Simplified Arabic"/>
          <w:b/>
          <w:bCs/>
          <w:kern w:val="2"/>
        </w:rPr>
        <w:t>Yu et al., 2022</w:t>
      </w:r>
      <w:r w:rsidRPr="00684FF6">
        <w:rPr>
          <w:rFonts w:ascii="Simplified Arabic" w:eastAsia="Times New Roman" w:hAnsi="Simplified Arabic" w:cs="Simplified Arabic"/>
          <w:b/>
          <w:bCs/>
          <w:kern w:val="2"/>
          <w:rtl/>
        </w:rPr>
        <w:t>):</w:t>
      </w:r>
      <w:r w:rsidRPr="00684FF6">
        <w:rPr>
          <w:rFonts w:ascii="Simplified Arabic" w:eastAsia="Times New Roman" w:hAnsi="Simplified Arabic" w:cs="Simplified Arabic"/>
          <w:kern w:val="2"/>
          <w:rtl/>
        </w:rPr>
        <w:t xml:space="preserve"> </w:t>
      </w:r>
      <w:r w:rsidRPr="00684FF6">
        <w:rPr>
          <w:rFonts w:ascii="Simplified Arabic" w:eastAsia="Aptos" w:hAnsi="Simplified Arabic" w:cs="Simplified Arabic"/>
          <w:sz w:val="24"/>
          <w:szCs w:val="24"/>
          <w:rtl/>
          <w:lang w:bidi="ar-EG"/>
        </w:rPr>
        <w:t>كان هدف هذه الدراسة إنشاء إطار يهدف إلى بناء تكامل نمذجة معلومات البناء مع نموذج يسعى لتحسين علاقة الزمن والتكلفة في سياق السيطرة الأفضل على الوقت والتكلفة عند التعامل مع مشاريع هياكل الصلب ذات الفراغات الكبيرة.</w:t>
      </w:r>
      <w:r w:rsidRPr="00684FF6">
        <w:rPr>
          <w:rFonts w:ascii="Simplified Arabic" w:eastAsia="Aptos" w:hAnsi="Simplified Arabic" w:cs="Simplified Arabic"/>
          <w:sz w:val="24"/>
          <w:szCs w:val="24"/>
          <w:lang w:bidi="ar-EG"/>
        </w:rPr>
        <w:t xml:space="preserve"> </w:t>
      </w:r>
      <w:r w:rsidRPr="00684FF6">
        <w:rPr>
          <w:rFonts w:ascii="Simplified Arabic" w:eastAsia="Aptos" w:hAnsi="Simplified Arabic" w:cs="Simplified Arabic"/>
          <w:sz w:val="24"/>
          <w:szCs w:val="24"/>
          <w:rtl/>
          <w:lang w:bidi="ar-EG"/>
        </w:rPr>
        <w:t xml:space="preserve">لاحظت الدراسة نقصًا في الأبحاث حول تطبيق مثل هذه التقنية على مشاريع المطارات بهدف تعزيز جدولة المشروع وإدارة التكاليف. تم التحقق من صحة النموذج المقترح من خلال دراسة حالة حقيقية لمبنى صالة مطار بهيكل فراغي صلب ذو امتداد كبير </w:t>
      </w:r>
      <w:r w:rsidRPr="00684FF6">
        <w:rPr>
          <w:rFonts w:ascii="Simplified Arabic" w:eastAsia="Times New Roman" w:hAnsi="Simplified Arabic" w:cs="Simplified Arabic"/>
          <w:kern w:val="2"/>
          <w:sz w:val="24"/>
          <w:rtl/>
        </w:rPr>
        <w:t>(</w:t>
      </w:r>
      <w:r w:rsidRPr="00684FF6">
        <w:rPr>
          <w:rFonts w:ascii="Simplified Arabic" w:eastAsia="Times New Roman" w:hAnsi="Simplified Arabic" w:cs="Simplified Arabic"/>
          <w:kern w:val="2"/>
          <w:sz w:val="24"/>
        </w:rPr>
        <w:t>Yu et al., 2022</w:t>
      </w:r>
      <w:r w:rsidRPr="00684FF6">
        <w:rPr>
          <w:rFonts w:ascii="Simplified Arabic" w:eastAsia="Times New Roman" w:hAnsi="Simplified Arabic" w:cs="Simplified Arabic"/>
          <w:kern w:val="2"/>
          <w:sz w:val="24"/>
          <w:rtl/>
        </w:rPr>
        <w:t>).</w:t>
      </w:r>
      <w:r w:rsidRPr="00684FF6">
        <w:rPr>
          <w:rFonts w:ascii="Simplified Arabic" w:eastAsia="Times New Roman" w:hAnsi="Simplified Arabic" w:cs="Simplified Arabic"/>
          <w:kern w:val="2"/>
          <w:sz w:val="24"/>
        </w:rPr>
        <w:t xml:space="preserve"> </w:t>
      </w:r>
      <w:r w:rsidRPr="00684FF6">
        <w:rPr>
          <w:rFonts w:ascii="Simplified Arabic" w:eastAsia="Aptos" w:hAnsi="Simplified Arabic" w:cs="Simplified Arabic"/>
          <w:sz w:val="24"/>
          <w:szCs w:val="24"/>
          <w:rtl/>
          <w:lang w:bidi="ar-EG"/>
        </w:rPr>
        <w:t>تعتبر هذه الدراسة مهمة بشكل خاص لبحثنا، نظرًا لأنها واحدة من الدراسات القليلة التي تركز بشكل خاص على استخدام الأدوات الرقمية ضمن مشاريع المطارات مقابل سياق مشاريع البناء الأوسع، مما يوفر دعمًا أقوى لمكون التحول الرقمي ضمن دراستنا.</w:t>
      </w:r>
    </w:p>
    <w:p w14:paraId="51BACA62" w14:textId="77777777" w:rsidR="00684FF6" w:rsidRPr="00684FF6" w:rsidRDefault="00684FF6" w:rsidP="00684FF6">
      <w:pPr>
        <w:numPr>
          <w:ilvl w:val="0"/>
          <w:numId w:val="7"/>
        </w:numPr>
        <w:spacing w:before="100" w:beforeAutospacing="1" w:after="100" w:afterAutospacing="1" w:line="360" w:lineRule="auto"/>
        <w:jc w:val="both"/>
        <w:rPr>
          <w:rFonts w:ascii="Simplified Arabic" w:eastAsia="Times New Roman" w:hAnsi="Simplified Arabic" w:cs="Simplified Arabic"/>
          <w:kern w:val="2"/>
          <w:rtl/>
        </w:rPr>
      </w:pPr>
      <w:r w:rsidRPr="00684FF6">
        <w:rPr>
          <w:rFonts w:ascii="Times New Roman" w:eastAsia="Times New Roman" w:hAnsi="Times New Roman" w:cs="Times New Roman"/>
          <w:kern w:val="2"/>
          <w:rtl/>
        </w:rPr>
        <w:t>​</w:t>
      </w:r>
      <w:r w:rsidRPr="00684FF6">
        <w:rPr>
          <w:rFonts w:ascii="Simplified Arabic" w:eastAsia="Times New Roman" w:hAnsi="Simplified Arabic" w:cs="Simplified Arabic"/>
          <w:b/>
          <w:bCs/>
          <w:kern w:val="2"/>
          <w:rtl/>
        </w:rPr>
        <w:t>دراسة (</w:t>
      </w:r>
      <w:r w:rsidRPr="00684FF6">
        <w:rPr>
          <w:rFonts w:ascii="Simplified Arabic" w:eastAsia="Times New Roman" w:hAnsi="Simplified Arabic" w:cs="Simplified Arabic"/>
          <w:b/>
          <w:bCs/>
          <w:kern w:val="2"/>
        </w:rPr>
        <w:t>Joslin &amp; Müller, 2016</w:t>
      </w:r>
      <w:r w:rsidRPr="00684FF6">
        <w:rPr>
          <w:rFonts w:ascii="Simplified Arabic" w:eastAsia="Times New Roman" w:hAnsi="Simplified Arabic" w:cs="Simplified Arabic"/>
          <w:b/>
          <w:bCs/>
          <w:kern w:val="2"/>
          <w:rtl/>
        </w:rPr>
        <w:t>):</w:t>
      </w:r>
      <w:r w:rsidRPr="00684FF6">
        <w:rPr>
          <w:rFonts w:ascii="Simplified Arabic" w:eastAsia="Times New Roman" w:hAnsi="Simplified Arabic" w:cs="Simplified Arabic"/>
          <w:kern w:val="2"/>
          <w:rtl/>
        </w:rPr>
        <w:t xml:space="preserve"> </w:t>
      </w:r>
      <w:r w:rsidRPr="00684FF6">
        <w:rPr>
          <w:rFonts w:ascii="Simplified Arabic" w:eastAsia="Aptos" w:hAnsi="Simplified Arabic" w:cs="Simplified Arabic"/>
          <w:sz w:val="24"/>
          <w:szCs w:val="24"/>
          <w:rtl/>
          <w:lang w:bidi="ar-EG"/>
        </w:rPr>
        <w:t xml:space="preserve">استكشفت حوكمة المشاريع ونجاحها باستخدام نظريتي الوكالة والرعاية. حدد المؤلفون حوكمة المشروع بطريقتين. الأولى كانت ميل المؤسسة الأم نحو المساهمين أو الأطراف ذات العلاقة، والثانية نحو التحكم السلوكي أو التحكم في النتائج. استخدم المؤلفون منهجًا استقرائيًا مع استبيان عبر الإنترنت موزع على 246 من المجيبين في 11 صناعة مختلفة في أمريكا الشمالية وأوروبا وأستراليا والمحيط الهادئ. أشارت نتائج تحليل </w:t>
      </w:r>
      <w:r w:rsidRPr="00684FF6">
        <w:rPr>
          <w:rFonts w:ascii="Simplified Arabic" w:eastAsia="Aptos" w:hAnsi="Simplified Arabic" w:cs="Simplified Arabic"/>
          <w:sz w:val="24"/>
          <w:szCs w:val="24"/>
          <w:rtl/>
          <w:lang w:bidi="ar-EG"/>
        </w:rPr>
        <w:lastRenderedPageBreak/>
        <w:t xml:space="preserve">العوامل والانحدار إلى أن حوكمة المشروع لها ارتباط إيجابي ضعيف مع نجاح المشروع. مع وضع أصحاب المصلحة في مقدمة مؤسسات الأم. وعلى العكس، وجد المؤلفون أن آلية السيطرة المستخدمة لم تكن مرتبطة بنجاح المشروع </w:t>
      </w:r>
      <w:r w:rsidRPr="00684FF6">
        <w:rPr>
          <w:rFonts w:ascii="Simplified Arabic" w:eastAsia="Times New Roman" w:hAnsi="Simplified Arabic" w:cs="Simplified Arabic"/>
          <w:kern w:val="2"/>
          <w:sz w:val="24"/>
          <w:rtl/>
        </w:rPr>
        <w:t>(</w:t>
      </w:r>
      <w:r w:rsidRPr="00684FF6">
        <w:rPr>
          <w:rFonts w:ascii="Simplified Arabic" w:eastAsia="Times New Roman" w:hAnsi="Simplified Arabic" w:cs="Simplified Arabic"/>
          <w:kern w:val="2"/>
          <w:sz w:val="24"/>
        </w:rPr>
        <w:t>Joslin</w:t>
      </w:r>
      <w:r w:rsidRPr="00684FF6">
        <w:rPr>
          <w:rFonts w:ascii="Simplified Arabic" w:eastAsia="Times New Roman" w:hAnsi="Simplified Arabic" w:cs="Simplified Arabic"/>
          <w:kern w:val="2"/>
          <w:sz w:val="24"/>
          <w:rtl/>
        </w:rPr>
        <w:t xml:space="preserve"> &amp; </w:t>
      </w:r>
      <w:r w:rsidRPr="00684FF6">
        <w:rPr>
          <w:rFonts w:ascii="Simplified Arabic" w:eastAsia="Times New Roman" w:hAnsi="Simplified Arabic" w:cs="Simplified Arabic"/>
          <w:kern w:val="2"/>
          <w:sz w:val="24"/>
        </w:rPr>
        <w:t>Müller, 2016</w:t>
      </w:r>
      <w:r w:rsidRPr="00684FF6">
        <w:rPr>
          <w:rFonts w:ascii="Simplified Arabic" w:eastAsia="Times New Roman" w:hAnsi="Simplified Arabic" w:cs="Simplified Arabic"/>
          <w:kern w:val="2"/>
          <w:sz w:val="24"/>
          <w:rtl/>
        </w:rPr>
        <w:t xml:space="preserve">). </w:t>
      </w:r>
      <w:r w:rsidRPr="00684FF6">
        <w:rPr>
          <w:rFonts w:ascii="Simplified Arabic" w:eastAsia="Aptos" w:hAnsi="Simplified Arabic" w:cs="Simplified Arabic"/>
          <w:sz w:val="24"/>
          <w:szCs w:val="24"/>
          <w:rtl/>
          <w:lang w:bidi="ar-EG"/>
        </w:rPr>
        <w:t>هذا الاكتشاف له اعتبار هام في حوكمة البحث. يدل على أن آليات الحوكمة لن تنتج نفس مستوى التأثير على كفاءة التنفيذ. سيكون التركيز الأكبر على أصحاب المصلحة في المشروع بدلاً من آليات السيطرة سيحدث تأثيرًا، ويجب أن يُؤخذ ذلك بعين الاعتبار بشكل دقيق عند مراجعة نموذج الحوكمة لشركة "تجمع مطارات الثاني".</w:t>
      </w:r>
    </w:p>
    <w:p w14:paraId="05F30046" w14:textId="77777777" w:rsidR="00684FF6" w:rsidRPr="00684FF6" w:rsidRDefault="00684FF6" w:rsidP="00684FF6">
      <w:pPr>
        <w:numPr>
          <w:ilvl w:val="0"/>
          <w:numId w:val="7"/>
        </w:numPr>
        <w:spacing w:before="100" w:beforeAutospacing="1" w:after="100" w:afterAutospacing="1" w:line="360" w:lineRule="auto"/>
        <w:jc w:val="both"/>
        <w:rPr>
          <w:rFonts w:ascii="Simplified Arabic" w:eastAsia="Times New Roman" w:hAnsi="Simplified Arabic" w:cs="Simplified Arabic"/>
          <w:kern w:val="2"/>
        </w:rPr>
      </w:pPr>
      <w:r w:rsidRPr="00684FF6">
        <w:rPr>
          <w:rFonts w:ascii="Times New Roman" w:eastAsia="Times New Roman" w:hAnsi="Times New Roman" w:cs="Times New Roman"/>
          <w:kern w:val="2"/>
          <w:rtl/>
        </w:rPr>
        <w:t>​</w:t>
      </w:r>
      <w:r w:rsidRPr="00684FF6">
        <w:rPr>
          <w:rFonts w:ascii="Simplified Arabic" w:eastAsia="Times New Roman" w:hAnsi="Simplified Arabic" w:cs="Simplified Arabic"/>
          <w:b/>
          <w:bCs/>
          <w:kern w:val="2"/>
          <w:rtl/>
        </w:rPr>
        <w:t>تقرير (</w:t>
      </w:r>
      <w:r w:rsidRPr="00684FF6">
        <w:rPr>
          <w:rFonts w:ascii="Simplified Arabic" w:eastAsia="Times New Roman" w:hAnsi="Simplified Arabic" w:cs="Simplified Arabic"/>
          <w:b/>
          <w:bCs/>
          <w:kern w:val="2"/>
        </w:rPr>
        <w:t>Ruiz Rivadeneira et al., 2023</w:t>
      </w:r>
      <w:r w:rsidRPr="00684FF6">
        <w:rPr>
          <w:rFonts w:ascii="Simplified Arabic" w:eastAsia="Times New Roman" w:hAnsi="Simplified Arabic" w:cs="Simplified Arabic"/>
          <w:b/>
          <w:bCs/>
          <w:kern w:val="2"/>
          <w:rtl/>
        </w:rPr>
        <w:t>):</w:t>
      </w:r>
      <w:r w:rsidRPr="00684FF6">
        <w:rPr>
          <w:rFonts w:ascii="Simplified Arabic" w:eastAsia="Times New Roman" w:hAnsi="Simplified Arabic" w:cs="Simplified Arabic"/>
          <w:kern w:val="2"/>
          <w:rtl/>
        </w:rPr>
        <w:t xml:space="preserve"> </w:t>
      </w:r>
      <w:r w:rsidRPr="00684FF6">
        <w:rPr>
          <w:rFonts w:ascii="Simplified Arabic" w:eastAsia="Aptos" w:hAnsi="Simplified Arabic" w:cs="Simplified Arabic"/>
          <w:sz w:val="24"/>
          <w:szCs w:val="24"/>
          <w:rtl/>
          <w:lang w:bidi="ar-EG"/>
        </w:rPr>
        <w:t>يقدم هذا التقرير العامل من منظمة التعاون والتنمية الاقتصادية حول الحوكمة العامة التصور الأول من نوعه، التصميم المبدئي، والمنهجية لمؤشرات حوكمة البنية التحتية. ستساعد مؤشرات حوكمة البنية التحتية في تتبع وتقييم تطبيق وتوصيات منظمة التعاون والتنمية الاقتصادية بشأن حوكمة البنية التحتية. يجادل مؤلفو التقرير أن حوكمة البنية التحتية لها تداعيات هامة على مدى نجاح مختلف المشاريع في تحقيق أهدافها، ونتائجها المقصودة، وأخيرًا مساهماتها في أهداف السياسات العامة الشاملة. يحدد هذا التقرير نتائج أولية لمجموعة مؤشرات حوكمة البنية التحتية التي ركزت على مؤشرات حوكمة المشتريات العامة على بعد الفعالية والكفاءة، بالإضافة إلى القدرة على تحمل تكاليف مشاريع البنية التحتية العامة المختلفة وتقييم القيمة مقابل المال، والتخطيط الاستراتيجي طويل الأمد للبنية التحتية العامة. يحدد هذا التقرير أبعاد حوكمة متعددة سائدة بين دول منظمة التعاون والتنمية الاقتصادية ويحدد أيضًا أبعاد الحوكمة التي تتطلب تعزيزًا (</w:t>
      </w:r>
      <w:r w:rsidRPr="00684FF6">
        <w:rPr>
          <w:rFonts w:ascii="Simplified Arabic" w:eastAsia="Aptos" w:hAnsi="Simplified Arabic" w:cs="Simplified Arabic"/>
          <w:sz w:val="24"/>
          <w:szCs w:val="24"/>
          <w:lang w:bidi="ar-EG"/>
        </w:rPr>
        <w:t>Ruiz</w:t>
      </w:r>
      <w:r w:rsidRPr="00684FF6">
        <w:rPr>
          <w:rFonts w:ascii="Simplified Arabic" w:eastAsia="Times New Roman" w:hAnsi="Simplified Arabic" w:cs="Simplified Arabic"/>
          <w:kern w:val="2"/>
        </w:rPr>
        <w:t xml:space="preserve"> Rivadeneira et al., 2023</w:t>
      </w:r>
      <w:r w:rsidRPr="00684FF6">
        <w:rPr>
          <w:rFonts w:ascii="Simplified Arabic" w:eastAsia="Aptos" w:hAnsi="Simplified Arabic" w:cs="Simplified Arabic"/>
          <w:sz w:val="24"/>
          <w:szCs w:val="24"/>
          <w:rtl/>
          <w:lang w:bidi="ar-EG"/>
        </w:rPr>
        <w:t>)</w:t>
      </w:r>
      <w:r w:rsidRPr="00684FF6">
        <w:rPr>
          <w:rFonts w:ascii="Simplified Arabic" w:eastAsia="Aptos" w:hAnsi="Simplified Arabic" w:cs="Simplified Arabic"/>
          <w:sz w:val="24"/>
          <w:szCs w:val="24"/>
          <w:rtl/>
        </w:rPr>
        <w:t>.</w:t>
      </w:r>
      <w:r w:rsidRPr="00684FF6">
        <w:rPr>
          <w:rFonts w:ascii="Simplified Arabic" w:eastAsia="Aptos" w:hAnsi="Simplified Arabic" w:cs="Simplified Arabic"/>
          <w:sz w:val="24"/>
          <w:szCs w:val="24"/>
          <w:rtl/>
          <w:lang w:bidi="ar-EG"/>
        </w:rPr>
        <w:t xml:space="preserve"> يوفر هذا التقرير أساسًا دوليًا أوليًا لمؤشرات حوكمة البنية التحتية القابلة للقياس لبحثنا. يُلاحظ أن هذا التقرير يقتصر على دول منظمة التعاون والتنمية الاقتصادية، ويجب أخذ التعميم عليه في السياق السعودي بحذر.</w:t>
      </w:r>
    </w:p>
    <w:p w14:paraId="565E3BC5" w14:textId="77777777" w:rsidR="00684FF6" w:rsidRPr="00684FF6" w:rsidRDefault="00684FF6" w:rsidP="00684FF6">
      <w:pPr>
        <w:spacing w:before="100" w:beforeAutospacing="1" w:after="100" w:afterAutospacing="1" w:line="360" w:lineRule="auto"/>
        <w:jc w:val="both"/>
        <w:rPr>
          <w:rFonts w:ascii="Simplified Arabic" w:eastAsia="Times New Roman" w:hAnsi="Simplified Arabic" w:cs="Simplified Arabic"/>
          <w:kern w:val="2"/>
          <w:rtl/>
        </w:rPr>
      </w:pPr>
    </w:p>
    <w:p w14:paraId="7827D333" w14:textId="77777777" w:rsidR="00684FF6" w:rsidRPr="00684FF6" w:rsidRDefault="00684FF6" w:rsidP="00684FF6">
      <w:pPr>
        <w:spacing w:before="100" w:beforeAutospacing="1" w:after="100" w:afterAutospacing="1" w:line="360" w:lineRule="auto"/>
        <w:jc w:val="both"/>
        <w:outlineLvl w:val="2"/>
        <w:rPr>
          <w:rFonts w:ascii="Simplified Arabic" w:eastAsia="Times New Roman" w:hAnsi="Simplified Arabic" w:cs="Simplified Arabic"/>
          <w:b/>
          <w:bCs/>
          <w:sz w:val="27"/>
          <w:szCs w:val="32"/>
          <w:u w:val="single"/>
          <w:lang w:val=""/>
          <w14:ligatures w14:val="none"/>
        </w:rPr>
      </w:pPr>
      <w:bookmarkStart w:id="20" w:name="_Toc235804686"/>
      <w:r w:rsidRPr="00684FF6">
        <w:rPr>
          <w:rFonts w:ascii="Simplified Arabic" w:eastAsia="Times New Roman" w:hAnsi="Simplified Arabic" w:cs="Simplified Arabic"/>
          <w:b/>
          <w:bCs/>
          <w:sz w:val="27"/>
          <w:szCs w:val="32"/>
          <w:u w:val="single"/>
          <w:rtl/>
          <w:lang w:val=""/>
          <w14:ligatures w14:val="none"/>
        </w:rPr>
        <w:t>2-2-1 التعقيب على الدراسات السابقة وتحديد الفجوة البحثية:</w:t>
      </w:r>
      <w:bookmarkEnd w:id="20"/>
    </w:p>
    <w:p w14:paraId="2ADE352E"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4"/>
          <w:szCs w:val="24"/>
          <w:rtl/>
          <w:lang w:bidi="ar-EG"/>
        </w:rPr>
      </w:pPr>
      <w:r w:rsidRPr="00684FF6">
        <w:rPr>
          <w:rFonts w:ascii="Simplified Arabic" w:eastAsia="Aptos" w:hAnsi="Simplified Arabic" w:cs="Simplified Arabic"/>
          <w:sz w:val="24"/>
          <w:szCs w:val="24"/>
          <w:rtl/>
          <w:lang w:bidi="ar-EG"/>
        </w:rPr>
        <w:lastRenderedPageBreak/>
        <w:t>المسارات الأربعة المرتبطة بكفاءة تنفيذ الحكومة والتحول المؤسساتي، نماذج إدارة المطارات المتكاملة، إدارة المشاريع وفشلها، والتحول الرقمي وحوكمة المشاريع، جنبًا إلى جنب مع الأدبيات الحالية، تقدم رؤى ذات علاقة بأسس إعداد هذه الدراسة:</w:t>
      </w:r>
    </w:p>
    <w:p w14:paraId="29AADDAF" w14:textId="77777777" w:rsidR="00684FF6" w:rsidRPr="00684FF6" w:rsidRDefault="00684FF6" w:rsidP="00684FF6">
      <w:pPr>
        <w:spacing w:before="100" w:beforeAutospacing="1" w:after="100" w:afterAutospacing="1" w:line="360" w:lineRule="auto"/>
        <w:jc w:val="both"/>
        <w:rPr>
          <w:rFonts w:ascii="Simplified Arabic" w:eastAsia="Times New Roman" w:hAnsi="Simplified Arabic" w:cs="Simplified Arabic"/>
          <w:sz w:val="24"/>
          <w:szCs w:val="24"/>
          <w:rtl/>
          <w:lang w:val="" w:bidi="ar-EG"/>
          <w14:ligatures w14:val="none"/>
        </w:rPr>
      </w:pPr>
    </w:p>
    <w:p w14:paraId="1B07505A" w14:textId="77777777" w:rsidR="00684FF6" w:rsidRPr="00684FF6" w:rsidRDefault="00684FF6" w:rsidP="00684FF6">
      <w:pPr>
        <w:keepNext/>
        <w:keepLines/>
        <w:spacing w:before="40" w:after="0" w:line="360" w:lineRule="auto"/>
        <w:jc w:val="both"/>
        <w:outlineLvl w:val="3"/>
        <w:rPr>
          <w:rFonts w:ascii="Simplified Arabic" w:eastAsia="Times New Roman" w:hAnsi="Simplified Arabic" w:cs="Simplified Arabic"/>
          <w:i/>
          <w:kern w:val="2"/>
          <w:szCs w:val="28"/>
          <w:u w:val="single"/>
          <w:rtl/>
        </w:rPr>
      </w:pPr>
      <w:bookmarkStart w:id="21" w:name="_Toc235804687"/>
      <w:r w:rsidRPr="00684FF6">
        <w:rPr>
          <w:rFonts w:ascii="Times New Roman" w:eastAsia="Times New Roman" w:hAnsi="Times New Roman" w:cs="Times New Roman"/>
          <w:i/>
          <w:kern w:val="2"/>
          <w:szCs w:val="28"/>
          <w:u w:val="single"/>
          <w:rtl/>
        </w:rPr>
        <w:t>​</w:t>
      </w:r>
      <w:r w:rsidRPr="00684FF6">
        <w:rPr>
          <w:rFonts w:ascii="Simplified Arabic" w:eastAsia="Times New Roman" w:hAnsi="Simplified Arabic" w:cs="Simplified Arabic"/>
          <w:i/>
          <w:kern w:val="2"/>
          <w:szCs w:val="28"/>
          <w:u w:val="single"/>
          <w:rtl/>
        </w:rPr>
        <w:t xml:space="preserve"> نقاط الاتفاق والقرب المعرفي:</w:t>
      </w:r>
      <w:bookmarkEnd w:id="21"/>
    </w:p>
    <w:p w14:paraId="02A25501" w14:textId="77777777" w:rsidR="00684FF6" w:rsidRPr="00684FF6" w:rsidRDefault="00684FF6" w:rsidP="00684FF6">
      <w:pPr>
        <w:spacing w:before="100" w:beforeAutospacing="1" w:after="100" w:afterAutospacing="1" w:line="360" w:lineRule="auto"/>
        <w:jc w:val="both"/>
        <w:rPr>
          <w:rFonts w:ascii="Simplified Arabic" w:eastAsia="Aptos" w:hAnsi="Simplified Arabic" w:cs="Simplified Arabic"/>
          <w:sz w:val="24"/>
          <w:szCs w:val="24"/>
          <w:rtl/>
        </w:rPr>
      </w:pPr>
      <w:r w:rsidRPr="00684FF6">
        <w:rPr>
          <w:rFonts w:ascii="Times New Roman" w:eastAsia="Calibri" w:hAnsi="Times New Roman" w:cs="Times New Roman"/>
          <w:kern w:val="2"/>
          <w:rtl/>
        </w:rPr>
        <w:t>​</w:t>
      </w:r>
      <w:r w:rsidRPr="00684FF6">
        <w:rPr>
          <w:rFonts w:ascii="Simplified Arabic" w:eastAsia="Aptos" w:hAnsi="Simplified Arabic" w:cs="Simplified Arabic"/>
          <w:sz w:val="24"/>
          <w:szCs w:val="24"/>
          <w:rtl/>
          <w:lang w:bidi="ar-EG"/>
        </w:rPr>
        <w:t xml:space="preserve"> تشير الدراسات الحالية إلى أن مشاكل تجاوز الوقت والتكلفة شائعة في أنظمة إدارة المشاريع العامة التقليدية والمركزية. عادةً، يُلقى اللوم على هذه المشاكل على التخطيط غير الكافي في المراحل المبكرة (</w:t>
      </w:r>
      <w:r w:rsidRPr="00684FF6">
        <w:rPr>
          <w:rFonts w:ascii="Simplified Arabic" w:eastAsia="Calibri" w:hAnsi="Simplified Arabic" w:cs="Simplified Arabic"/>
          <w:kern w:val="2"/>
        </w:rPr>
        <w:t>Al-</w:t>
      </w:r>
      <w:proofErr w:type="spellStart"/>
      <w:r w:rsidRPr="00684FF6">
        <w:rPr>
          <w:rFonts w:ascii="Simplified Arabic" w:eastAsia="Calibri" w:hAnsi="Simplified Arabic" w:cs="Simplified Arabic"/>
          <w:kern w:val="2"/>
        </w:rPr>
        <w:t>Kharashi</w:t>
      </w:r>
      <w:proofErr w:type="spellEnd"/>
      <w:r w:rsidRPr="00684FF6">
        <w:rPr>
          <w:rFonts w:ascii="Simplified Arabic" w:eastAsia="Calibri" w:hAnsi="Simplified Arabic" w:cs="Simplified Arabic"/>
          <w:kern w:val="2"/>
        </w:rPr>
        <w:t xml:space="preserve"> &amp; </w:t>
      </w:r>
      <w:proofErr w:type="spellStart"/>
      <w:r w:rsidRPr="00684FF6">
        <w:rPr>
          <w:rFonts w:ascii="Simplified Arabic" w:eastAsia="Calibri" w:hAnsi="Simplified Arabic" w:cs="Simplified Arabic"/>
          <w:kern w:val="2"/>
        </w:rPr>
        <w:t>Skitmore</w:t>
      </w:r>
      <w:proofErr w:type="spellEnd"/>
      <w:r w:rsidRPr="00684FF6">
        <w:rPr>
          <w:rFonts w:ascii="Simplified Arabic" w:eastAsia="Calibri" w:hAnsi="Simplified Arabic" w:cs="Simplified Arabic"/>
          <w:kern w:val="2"/>
        </w:rPr>
        <w:t>, 2009</w:t>
      </w:r>
      <w:r w:rsidRPr="00684FF6">
        <w:rPr>
          <w:rFonts w:ascii="Simplified Arabic" w:eastAsia="Aptos" w:hAnsi="Simplified Arabic" w:cs="Simplified Arabic"/>
          <w:sz w:val="24"/>
          <w:szCs w:val="24"/>
          <w:rtl/>
          <w:lang w:bidi="ar-EG"/>
        </w:rPr>
        <w:t>) أو على نقص تقييم واضح للمخاطر (</w:t>
      </w:r>
      <w:r w:rsidRPr="00684FF6">
        <w:rPr>
          <w:rFonts w:ascii="Simplified Arabic" w:eastAsia="Calibri" w:hAnsi="Simplified Arabic" w:cs="Simplified Arabic"/>
          <w:kern w:val="2"/>
        </w:rPr>
        <w:t xml:space="preserve">de Carvalho &amp; </w:t>
      </w:r>
      <w:proofErr w:type="spellStart"/>
      <w:r w:rsidRPr="00684FF6">
        <w:rPr>
          <w:rFonts w:ascii="Simplified Arabic" w:eastAsia="Calibri" w:hAnsi="Simplified Arabic" w:cs="Simplified Arabic"/>
          <w:kern w:val="2"/>
        </w:rPr>
        <w:t>Rabechini</w:t>
      </w:r>
      <w:proofErr w:type="spellEnd"/>
      <w:r w:rsidRPr="00684FF6">
        <w:rPr>
          <w:rFonts w:ascii="Simplified Arabic" w:eastAsia="Calibri" w:hAnsi="Simplified Arabic" w:cs="Simplified Arabic"/>
          <w:kern w:val="2"/>
        </w:rPr>
        <w:t xml:space="preserve"> Junior, 2015</w:t>
      </w:r>
      <w:r w:rsidRPr="00684FF6">
        <w:rPr>
          <w:rFonts w:ascii="Simplified Arabic" w:eastAsia="Aptos" w:hAnsi="Simplified Arabic" w:cs="Simplified Arabic"/>
          <w:sz w:val="24"/>
          <w:szCs w:val="24"/>
          <w:rtl/>
          <w:lang w:bidi="ar-EG"/>
        </w:rPr>
        <w:t>). لمعالجة المشاكل التي أشار إليها، حدث تحول عالمي ومحلي نحو نماذج حوكمة متكاملة ومركزية. يشمل ذلك دمج عدة مكاتب لإدارة المشاريع تحت حكم موحد (</w:t>
      </w:r>
      <w:r w:rsidRPr="00684FF6">
        <w:rPr>
          <w:rFonts w:ascii="Simplified Arabic" w:eastAsia="Calibri" w:hAnsi="Simplified Arabic" w:cs="Simplified Arabic"/>
          <w:kern w:val="2"/>
        </w:rPr>
        <w:t>Tsaturyan &amp; Müller, 2015</w:t>
      </w:r>
      <w:r w:rsidRPr="00684FF6">
        <w:rPr>
          <w:rFonts w:ascii="Simplified Arabic" w:eastAsia="Aptos" w:hAnsi="Simplified Arabic" w:cs="Simplified Arabic"/>
          <w:sz w:val="24"/>
          <w:szCs w:val="24"/>
          <w:rtl/>
          <w:lang w:bidi="ar-EG"/>
        </w:rPr>
        <w:t>) والتحول نحو إدارة التجمعات، الذي قلل بشكل كبير من تكاليف التشغيل وزاد من كفاءة الإدارة في المطارات (</w:t>
      </w:r>
      <w:r w:rsidRPr="00684FF6">
        <w:rPr>
          <w:rFonts w:ascii="Simplified Arabic" w:eastAsia="Calibri" w:hAnsi="Simplified Arabic" w:cs="Simplified Arabic"/>
          <w:kern w:val="2"/>
        </w:rPr>
        <w:t>Novák et al., 2024</w:t>
      </w:r>
      <w:r w:rsidRPr="00684FF6">
        <w:rPr>
          <w:rFonts w:ascii="Simplified Arabic" w:eastAsia="Aptos" w:hAnsi="Simplified Arabic" w:cs="Simplified Arabic"/>
          <w:sz w:val="24"/>
          <w:szCs w:val="24"/>
          <w:rtl/>
          <w:lang w:bidi="ar-EG"/>
        </w:rPr>
        <w:t>). كما تدمج نماذج الإدارة هذه التحول الرقمي، مثل استخدام نمذجة معلومات البناء (</w:t>
      </w:r>
      <w:r w:rsidRPr="00684FF6">
        <w:rPr>
          <w:rFonts w:ascii="Times New Roman" w:eastAsia="Aptos" w:hAnsi="Times New Roman" w:cs="Times New Roman"/>
          <w:sz w:val="24"/>
          <w:szCs w:val="24"/>
          <w:lang w:bidi="ar-EG"/>
        </w:rPr>
        <w:t>BIM</w:t>
      </w:r>
      <w:r w:rsidRPr="00684FF6">
        <w:rPr>
          <w:rFonts w:ascii="Simplified Arabic" w:eastAsia="Aptos" w:hAnsi="Simplified Arabic" w:cs="Simplified Arabic"/>
          <w:sz w:val="24"/>
          <w:szCs w:val="24"/>
          <w:rtl/>
          <w:lang w:bidi="ar-EG"/>
        </w:rPr>
        <w:t>)، التي قدمت تحسينات كبيرة في إدارة الوقت والتكلفة للمشاريع (</w:t>
      </w:r>
      <w:r w:rsidRPr="00684FF6">
        <w:rPr>
          <w:rFonts w:ascii="Simplified Arabic" w:eastAsia="Calibri" w:hAnsi="Simplified Arabic" w:cs="Simplified Arabic"/>
          <w:kern w:val="2"/>
        </w:rPr>
        <w:t>Bryde et al., 2013; Yu et al., 2022</w:t>
      </w:r>
      <w:r w:rsidRPr="00684FF6">
        <w:rPr>
          <w:rFonts w:ascii="Simplified Arabic" w:eastAsia="Aptos" w:hAnsi="Simplified Arabic" w:cs="Simplified Arabic"/>
          <w:sz w:val="24"/>
          <w:szCs w:val="24"/>
          <w:rtl/>
          <w:lang w:bidi="ar-EG"/>
        </w:rPr>
        <w:t>). هذه الاتجاهات البحثية قريبة جدًا من المبادرات الاستراتيجية السعودية الحديثة (</w:t>
      </w:r>
      <w:r w:rsidRPr="00684FF6">
        <w:rPr>
          <w:rFonts w:ascii="Simplified Arabic" w:eastAsia="Calibri" w:hAnsi="Simplified Arabic" w:cs="Simplified Arabic"/>
          <w:kern w:val="2"/>
        </w:rPr>
        <w:t>EXPRO, 2024; NCGR, 2023</w:t>
      </w:r>
      <w:r w:rsidRPr="00684FF6">
        <w:rPr>
          <w:rFonts w:ascii="Simplified Arabic" w:eastAsia="Aptos" w:hAnsi="Simplified Arabic" w:cs="Simplified Arabic"/>
          <w:sz w:val="24"/>
          <w:szCs w:val="24"/>
          <w:rtl/>
          <w:lang w:bidi="ar-EG"/>
        </w:rPr>
        <w:t>).</w:t>
      </w:r>
    </w:p>
    <w:p w14:paraId="28A3C5B5" w14:textId="77777777" w:rsidR="00684FF6" w:rsidRPr="00684FF6" w:rsidRDefault="00684FF6" w:rsidP="00684FF6">
      <w:pPr>
        <w:spacing w:before="100" w:beforeAutospacing="1" w:after="100" w:afterAutospacing="1" w:line="360" w:lineRule="auto"/>
        <w:jc w:val="both"/>
        <w:rPr>
          <w:rFonts w:ascii="Simplified Arabic" w:eastAsia="Times New Roman" w:hAnsi="Simplified Arabic" w:cs="Simplified Arabic"/>
          <w:sz w:val="24"/>
          <w:szCs w:val="24"/>
          <w:rtl/>
          <w:lang w:val=""/>
          <w14:ligatures w14:val="none"/>
        </w:rPr>
      </w:pPr>
    </w:p>
    <w:p w14:paraId="2DE46907" w14:textId="77777777" w:rsidR="00684FF6" w:rsidRPr="00684FF6" w:rsidRDefault="00684FF6" w:rsidP="00684FF6">
      <w:pPr>
        <w:keepNext/>
        <w:keepLines/>
        <w:spacing w:before="40" w:after="0" w:line="360" w:lineRule="auto"/>
        <w:jc w:val="both"/>
        <w:outlineLvl w:val="3"/>
        <w:rPr>
          <w:rFonts w:ascii="Simplified Arabic" w:eastAsia="Times New Roman" w:hAnsi="Simplified Arabic" w:cs="Simplified Arabic"/>
          <w:i/>
          <w:kern w:val="2"/>
          <w:szCs w:val="28"/>
          <w:u w:val="single"/>
          <w:rtl/>
        </w:rPr>
      </w:pPr>
      <w:bookmarkStart w:id="22" w:name="_Toc235804688"/>
      <w:r w:rsidRPr="00684FF6">
        <w:rPr>
          <w:rFonts w:ascii="Times New Roman" w:eastAsia="Times New Roman" w:hAnsi="Times New Roman" w:cs="Times New Roman"/>
          <w:i/>
          <w:kern w:val="2"/>
          <w:szCs w:val="28"/>
          <w:u w:val="single"/>
          <w:rtl/>
        </w:rPr>
        <w:t>​</w:t>
      </w:r>
      <w:r w:rsidRPr="00684FF6">
        <w:rPr>
          <w:rFonts w:ascii="Simplified Arabic" w:eastAsia="Times New Roman" w:hAnsi="Simplified Arabic" w:cs="Simplified Arabic"/>
          <w:i/>
          <w:kern w:val="2"/>
          <w:szCs w:val="28"/>
          <w:u w:val="single"/>
          <w:rtl/>
        </w:rPr>
        <w:t>الفجوة البحثية (</w:t>
      </w:r>
      <w:r w:rsidRPr="00684FF6">
        <w:rPr>
          <w:rFonts w:ascii="Times New Roman" w:eastAsia="Aptos" w:hAnsi="Times New Roman" w:cs="Times New Roman"/>
          <w:sz w:val="24"/>
          <w:szCs w:val="24"/>
          <w:u w:val="single"/>
          <w:lang w:bidi="ar-EG"/>
        </w:rPr>
        <w:t>Research Gap</w:t>
      </w:r>
      <w:r w:rsidRPr="00684FF6">
        <w:rPr>
          <w:rFonts w:ascii="Simplified Arabic" w:eastAsia="Times New Roman" w:hAnsi="Simplified Arabic" w:cs="Simplified Arabic"/>
          <w:i/>
          <w:kern w:val="2"/>
          <w:szCs w:val="28"/>
          <w:u w:val="single"/>
          <w:rtl/>
        </w:rPr>
        <w:t>):</w:t>
      </w:r>
      <w:bookmarkEnd w:id="22"/>
    </w:p>
    <w:p w14:paraId="2E9E0BD5" w14:textId="77777777" w:rsidR="00684FF6" w:rsidRPr="00684FF6" w:rsidRDefault="00684FF6" w:rsidP="00684FF6">
      <w:pPr>
        <w:spacing w:before="100" w:beforeAutospacing="1" w:after="100" w:afterAutospacing="1" w:line="360" w:lineRule="auto"/>
        <w:jc w:val="both"/>
        <w:rPr>
          <w:rFonts w:ascii="Simplified Arabic" w:eastAsia="Aptos" w:hAnsi="Simplified Arabic" w:cs="Simplified Arabic"/>
          <w:sz w:val="24"/>
          <w:szCs w:val="24"/>
          <w:rtl/>
          <w:lang w:bidi="ar-EG"/>
        </w:rPr>
      </w:pPr>
      <w:r w:rsidRPr="00684FF6">
        <w:rPr>
          <w:rFonts w:ascii="Times New Roman" w:eastAsia="Calibri" w:hAnsi="Times New Roman" w:cs="Times New Roman"/>
          <w:kern w:val="2"/>
          <w:rtl/>
        </w:rPr>
        <w:t>​</w:t>
      </w:r>
      <w:r w:rsidRPr="00684FF6">
        <w:rPr>
          <w:rFonts w:ascii="Simplified Arabic" w:eastAsia="Aptos" w:hAnsi="Simplified Arabic" w:cs="Simplified Arabic"/>
          <w:sz w:val="24"/>
          <w:szCs w:val="24"/>
          <w:rtl/>
          <w:lang w:bidi="ar-EG"/>
        </w:rPr>
        <w:t xml:space="preserve"> لقد أنتجت الدراسات السابقة معرفة شاملة؛ ومع ذلك، فإن الفجوات البحثية واضحة على النحو التالي:</w:t>
      </w:r>
    </w:p>
    <w:p w14:paraId="0038BF80" w14:textId="77777777" w:rsidR="00684FF6" w:rsidRPr="00684FF6" w:rsidRDefault="00684FF6" w:rsidP="00684FF6">
      <w:pPr>
        <w:numPr>
          <w:ilvl w:val="0"/>
          <w:numId w:val="8"/>
        </w:numPr>
        <w:spacing w:before="100" w:beforeAutospacing="1" w:after="100" w:afterAutospacing="1" w:line="360" w:lineRule="auto"/>
        <w:jc w:val="both"/>
        <w:rPr>
          <w:rFonts w:ascii="Simplified Arabic" w:eastAsia="Times New Roman" w:hAnsi="Simplified Arabic" w:cs="Simplified Arabic"/>
          <w:kern w:val="2"/>
          <w:rtl/>
        </w:rPr>
      </w:pPr>
      <w:r w:rsidRPr="00684FF6">
        <w:rPr>
          <w:rFonts w:ascii="Times New Roman" w:eastAsia="Times New Roman" w:hAnsi="Times New Roman" w:cs="Times New Roman"/>
          <w:kern w:val="2"/>
          <w:rtl/>
        </w:rPr>
        <w:t>​</w:t>
      </w:r>
      <w:r w:rsidRPr="00684FF6">
        <w:rPr>
          <w:rFonts w:ascii="Simplified Arabic" w:eastAsia="Times New Roman" w:hAnsi="Simplified Arabic" w:cs="Simplified Arabic"/>
          <w:b/>
          <w:bCs/>
          <w:kern w:val="2"/>
          <w:rtl/>
        </w:rPr>
        <w:t>المستوى الجغرافي وموضوع البحث:</w:t>
      </w:r>
      <w:r w:rsidRPr="00684FF6">
        <w:rPr>
          <w:rFonts w:ascii="Simplified Arabic" w:eastAsia="Times New Roman" w:hAnsi="Simplified Arabic" w:cs="Simplified Arabic"/>
          <w:kern w:val="2"/>
          <w:rtl/>
        </w:rPr>
        <w:t xml:space="preserve"> </w:t>
      </w:r>
      <w:r w:rsidRPr="00684FF6">
        <w:rPr>
          <w:rFonts w:ascii="Simplified Arabic" w:eastAsia="Aptos" w:hAnsi="Simplified Arabic" w:cs="Simplified Arabic"/>
          <w:sz w:val="24"/>
          <w:szCs w:val="24"/>
          <w:rtl/>
          <w:lang w:bidi="ar-EG"/>
        </w:rPr>
        <w:t>تركزت معظم الدراسات المحلية بشكل عام على أسباب فشل المشاريع الإنشائية التقليدية في القطاع العام (</w:t>
      </w:r>
      <w:r w:rsidRPr="00684FF6">
        <w:rPr>
          <w:rFonts w:ascii="Simplified Arabic" w:eastAsia="Times New Roman" w:hAnsi="Simplified Arabic" w:cs="Simplified Arabic"/>
          <w:kern w:val="2"/>
        </w:rPr>
        <w:t>Al-</w:t>
      </w:r>
      <w:proofErr w:type="spellStart"/>
      <w:r w:rsidRPr="00684FF6">
        <w:rPr>
          <w:rFonts w:ascii="Simplified Arabic" w:eastAsia="Times New Roman" w:hAnsi="Simplified Arabic" w:cs="Simplified Arabic"/>
          <w:kern w:val="2"/>
        </w:rPr>
        <w:t>Kharashi</w:t>
      </w:r>
      <w:proofErr w:type="spellEnd"/>
      <w:r w:rsidRPr="00684FF6">
        <w:rPr>
          <w:rFonts w:ascii="Simplified Arabic" w:eastAsia="Times New Roman" w:hAnsi="Simplified Arabic" w:cs="Simplified Arabic"/>
          <w:kern w:val="2"/>
        </w:rPr>
        <w:t xml:space="preserve"> &amp; </w:t>
      </w:r>
      <w:proofErr w:type="spellStart"/>
      <w:r w:rsidRPr="00684FF6">
        <w:rPr>
          <w:rFonts w:ascii="Simplified Arabic" w:eastAsia="Times New Roman" w:hAnsi="Simplified Arabic" w:cs="Simplified Arabic"/>
          <w:kern w:val="2"/>
        </w:rPr>
        <w:t>Skitmore</w:t>
      </w:r>
      <w:proofErr w:type="spellEnd"/>
      <w:r w:rsidRPr="00684FF6">
        <w:rPr>
          <w:rFonts w:ascii="Simplified Arabic" w:eastAsia="Times New Roman" w:hAnsi="Simplified Arabic" w:cs="Simplified Arabic"/>
          <w:kern w:val="2"/>
        </w:rPr>
        <w:t>, 2009</w:t>
      </w:r>
      <w:r w:rsidRPr="00684FF6">
        <w:rPr>
          <w:rFonts w:ascii="Simplified Arabic" w:eastAsia="Aptos" w:hAnsi="Simplified Arabic" w:cs="Simplified Arabic"/>
          <w:sz w:val="24"/>
          <w:szCs w:val="24"/>
          <w:rtl/>
          <w:lang w:bidi="ar-EG"/>
        </w:rPr>
        <w:t>)، ولم تذكر تقييم المشاريع التشغيلية أو الرأسمالية في الكيانات المؤسساتية الجديدة.</w:t>
      </w:r>
    </w:p>
    <w:p w14:paraId="1C17522A" w14:textId="77777777" w:rsidR="00684FF6" w:rsidRPr="00684FF6" w:rsidRDefault="00684FF6" w:rsidP="00684FF6">
      <w:pPr>
        <w:numPr>
          <w:ilvl w:val="0"/>
          <w:numId w:val="8"/>
        </w:numPr>
        <w:spacing w:before="100" w:beforeAutospacing="1" w:after="100" w:afterAutospacing="1" w:line="360" w:lineRule="auto"/>
        <w:jc w:val="both"/>
        <w:rPr>
          <w:rFonts w:ascii="Simplified Arabic" w:eastAsia="Times New Roman" w:hAnsi="Simplified Arabic" w:cs="Simplified Arabic"/>
          <w:kern w:val="2"/>
          <w:rtl/>
        </w:rPr>
      </w:pPr>
      <w:r w:rsidRPr="00684FF6">
        <w:rPr>
          <w:rFonts w:ascii="Times New Roman" w:eastAsia="Times New Roman" w:hAnsi="Times New Roman" w:cs="Times New Roman"/>
          <w:kern w:val="2"/>
          <w:rtl/>
        </w:rPr>
        <w:lastRenderedPageBreak/>
        <w:t>​</w:t>
      </w:r>
      <w:r w:rsidRPr="00684FF6">
        <w:rPr>
          <w:rFonts w:ascii="Simplified Arabic" w:eastAsia="Times New Roman" w:hAnsi="Simplified Arabic" w:cs="Simplified Arabic"/>
          <w:b/>
          <w:bCs/>
          <w:kern w:val="2"/>
          <w:rtl/>
        </w:rPr>
        <w:t>المستوى القطاعي:</w:t>
      </w:r>
      <w:r w:rsidRPr="00684FF6">
        <w:rPr>
          <w:rFonts w:ascii="Simplified Arabic" w:eastAsia="Times New Roman" w:hAnsi="Simplified Arabic" w:cs="Simplified Arabic"/>
          <w:kern w:val="2"/>
          <w:rtl/>
        </w:rPr>
        <w:t xml:space="preserve"> </w:t>
      </w:r>
      <w:r w:rsidRPr="00684FF6">
        <w:rPr>
          <w:rFonts w:ascii="Simplified Arabic" w:eastAsia="Aptos" w:hAnsi="Simplified Arabic" w:cs="Simplified Arabic"/>
          <w:sz w:val="24"/>
          <w:szCs w:val="24"/>
          <w:rtl/>
          <w:lang w:bidi="ar-EG"/>
        </w:rPr>
        <w:t>على الرغم من إجراء دراسات حول تأثير توحيد المطارات على الكفاءات التشغيلية والاقتصادية في أوروبا وأستراليا (</w:t>
      </w:r>
      <w:r w:rsidRPr="00684FF6">
        <w:rPr>
          <w:rFonts w:ascii="Simplified Arabic" w:eastAsia="Times New Roman" w:hAnsi="Simplified Arabic" w:cs="Simplified Arabic"/>
          <w:kern w:val="2"/>
        </w:rPr>
        <w:t>Novák et al., 2024</w:t>
      </w:r>
      <w:r w:rsidRPr="00684FF6">
        <w:rPr>
          <w:rFonts w:ascii="Simplified Arabic" w:eastAsia="Aptos" w:hAnsi="Simplified Arabic" w:cs="Simplified Arabic"/>
          <w:sz w:val="24"/>
          <w:szCs w:val="24"/>
          <w:rtl/>
          <w:lang w:bidi="ar-EG"/>
        </w:rPr>
        <w:t>)، فإن هناك غيابًا تامًا للدراسات المرتبطة بالسياق على "كفاءة إدارة المشاريع" في إطار توحيد المطارات الجديد في السعودية.</w:t>
      </w:r>
    </w:p>
    <w:p w14:paraId="45B7E5BB" w14:textId="77777777" w:rsidR="00684FF6" w:rsidRPr="00684FF6" w:rsidRDefault="00684FF6" w:rsidP="00684FF6">
      <w:pPr>
        <w:numPr>
          <w:ilvl w:val="0"/>
          <w:numId w:val="8"/>
        </w:numPr>
        <w:spacing w:before="100" w:beforeAutospacing="1" w:after="100" w:afterAutospacing="1" w:line="360" w:lineRule="auto"/>
        <w:jc w:val="both"/>
        <w:rPr>
          <w:rFonts w:ascii="Simplified Arabic" w:eastAsia="Times New Roman" w:hAnsi="Simplified Arabic" w:cs="Simplified Arabic"/>
          <w:kern w:val="2"/>
          <w:rtl/>
        </w:rPr>
      </w:pPr>
      <w:r w:rsidRPr="00684FF6">
        <w:rPr>
          <w:rFonts w:ascii="Times New Roman" w:eastAsia="Times New Roman" w:hAnsi="Times New Roman" w:cs="Times New Roman"/>
          <w:kern w:val="2"/>
          <w:rtl/>
        </w:rPr>
        <w:t>​</w:t>
      </w:r>
      <w:r w:rsidRPr="00684FF6">
        <w:rPr>
          <w:rFonts w:ascii="Simplified Arabic" w:eastAsia="Times New Roman" w:hAnsi="Simplified Arabic" w:cs="Simplified Arabic"/>
          <w:b/>
          <w:bCs/>
          <w:kern w:val="2"/>
          <w:rtl/>
        </w:rPr>
        <w:t>مستوى التحول الرقمي والحوكمة:</w:t>
      </w:r>
      <w:r w:rsidRPr="00684FF6">
        <w:rPr>
          <w:rFonts w:ascii="Simplified Arabic" w:eastAsia="Times New Roman" w:hAnsi="Simplified Arabic" w:cs="Simplified Arabic"/>
          <w:kern w:val="2"/>
          <w:rtl/>
        </w:rPr>
        <w:t xml:space="preserve"> </w:t>
      </w:r>
      <w:r w:rsidRPr="00684FF6">
        <w:rPr>
          <w:rFonts w:ascii="Simplified Arabic" w:eastAsia="Aptos" w:hAnsi="Simplified Arabic" w:cs="Simplified Arabic"/>
          <w:sz w:val="24"/>
          <w:szCs w:val="24"/>
          <w:rtl/>
          <w:lang w:bidi="ar-EG"/>
        </w:rPr>
        <w:t>بالرغم من إجراء بحوث حول مزايا استخدام نمذجة معلومات البناء (</w:t>
      </w:r>
      <w:r w:rsidRPr="00684FF6">
        <w:rPr>
          <w:rFonts w:ascii="Times New Roman" w:eastAsia="Aptos" w:hAnsi="Times New Roman" w:cs="Times New Roman"/>
          <w:sz w:val="24"/>
          <w:szCs w:val="24"/>
          <w:lang w:bidi="ar-EG"/>
        </w:rPr>
        <w:t>BIM</w:t>
      </w:r>
      <w:r w:rsidRPr="00684FF6">
        <w:rPr>
          <w:rFonts w:ascii="Simplified Arabic" w:eastAsia="Aptos" w:hAnsi="Simplified Arabic" w:cs="Simplified Arabic"/>
          <w:sz w:val="24"/>
          <w:szCs w:val="24"/>
          <w:rtl/>
          <w:lang w:bidi="ar-EG"/>
        </w:rPr>
        <w:t>) في مشاريع البناء (</w:t>
      </w:r>
      <w:r w:rsidRPr="00684FF6">
        <w:rPr>
          <w:rFonts w:ascii="Simplified Arabic" w:eastAsia="Times New Roman" w:hAnsi="Simplified Arabic" w:cs="Simplified Arabic"/>
          <w:kern w:val="2"/>
        </w:rPr>
        <w:t>Bryde et al., 2013</w:t>
      </w:r>
      <w:r w:rsidRPr="00684FF6">
        <w:rPr>
          <w:rFonts w:ascii="Simplified Arabic" w:eastAsia="Aptos" w:hAnsi="Simplified Arabic" w:cs="Simplified Arabic"/>
          <w:sz w:val="24"/>
          <w:szCs w:val="24"/>
          <w:rtl/>
          <w:lang w:bidi="ar-EG"/>
        </w:rPr>
        <w:t>) وحتى في المطارات بالصين (</w:t>
      </w:r>
      <w:r w:rsidRPr="00684FF6">
        <w:rPr>
          <w:rFonts w:ascii="Simplified Arabic" w:eastAsia="Times New Roman" w:hAnsi="Simplified Arabic" w:cs="Simplified Arabic"/>
          <w:kern w:val="2"/>
        </w:rPr>
        <w:t>Yu et al., 2022</w:t>
      </w:r>
      <w:r w:rsidRPr="00684FF6">
        <w:rPr>
          <w:rFonts w:ascii="Simplified Arabic" w:eastAsia="Aptos" w:hAnsi="Simplified Arabic" w:cs="Simplified Arabic"/>
          <w:sz w:val="24"/>
          <w:szCs w:val="24"/>
          <w:rtl/>
          <w:lang w:bidi="ar-EG"/>
        </w:rPr>
        <w:t>)، وتحليل دراسات الحوكمة ضمن سياق نجاح المشاريع في صناعات مختلفة (</w:t>
      </w:r>
      <w:r w:rsidRPr="00684FF6">
        <w:rPr>
          <w:rFonts w:ascii="Simplified Arabic" w:eastAsia="Times New Roman" w:hAnsi="Simplified Arabic" w:cs="Simplified Arabic"/>
          <w:kern w:val="2"/>
        </w:rPr>
        <w:t>Joslin &amp; Müller, 2016</w:t>
      </w:r>
      <w:r w:rsidRPr="00684FF6">
        <w:rPr>
          <w:rFonts w:ascii="Simplified Arabic" w:eastAsia="Aptos" w:hAnsi="Simplified Arabic" w:cs="Simplified Arabic"/>
          <w:sz w:val="24"/>
          <w:szCs w:val="24"/>
          <w:rtl/>
          <w:lang w:bidi="ar-EG"/>
        </w:rPr>
        <w:t>) أو في مقاييس الأداء للدول التابعة لمنظمة التعاون والتنمية الاقتصادية (</w:t>
      </w:r>
      <w:r w:rsidRPr="00684FF6">
        <w:rPr>
          <w:rFonts w:ascii="Simplified Arabic" w:eastAsia="Times New Roman" w:hAnsi="Simplified Arabic" w:cs="Simplified Arabic"/>
          <w:kern w:val="2"/>
        </w:rPr>
        <w:t>Ruiz Rivadeneira et al., 2023</w:t>
      </w:r>
      <w:r w:rsidRPr="00684FF6">
        <w:rPr>
          <w:rFonts w:ascii="Simplified Arabic" w:eastAsia="Aptos" w:hAnsi="Simplified Arabic" w:cs="Simplified Arabic"/>
          <w:sz w:val="24"/>
          <w:szCs w:val="24"/>
          <w:rtl/>
          <w:lang w:bidi="ar-EG"/>
        </w:rPr>
        <w:t xml:space="preserve">)، لم تُعالج أية دراسة سياقات الطيران في الخليج أو السعودية. يهدف هذا البحث إلى سد هذه الفجوة من خلال التحليل المشترك للمكونين في سياق شركة </w:t>
      </w:r>
      <w:r w:rsidRPr="00684FF6">
        <w:rPr>
          <w:rFonts w:ascii="Simplified Arabic" w:eastAsia="Times New Roman" w:hAnsi="Simplified Arabic" w:cs="Simplified Arabic"/>
          <w:kern w:val="2"/>
          <w:rtl/>
        </w:rPr>
        <w:t>تجمع مطارات الثاني</w:t>
      </w:r>
      <w:r w:rsidRPr="00684FF6">
        <w:rPr>
          <w:rFonts w:ascii="Simplified Arabic" w:eastAsia="Aptos" w:hAnsi="Simplified Arabic" w:cs="Simplified Arabic"/>
          <w:sz w:val="24"/>
          <w:szCs w:val="24"/>
          <w:rtl/>
          <w:lang w:bidi="ar-EG"/>
        </w:rPr>
        <w:t>.</w:t>
      </w:r>
    </w:p>
    <w:p w14:paraId="3AF5224E" w14:textId="77777777" w:rsidR="00684FF6" w:rsidRPr="00684FF6" w:rsidRDefault="00684FF6" w:rsidP="00684FF6">
      <w:pPr>
        <w:bidi w:val="0"/>
        <w:jc w:val="center"/>
        <w:rPr>
          <w:rFonts w:ascii="Times New Roman" w:eastAsia="Times New Roman" w:hAnsi="Times New Roman" w:cs="Times New Roman"/>
          <w:b/>
          <w:bCs/>
          <w:sz w:val="24"/>
          <w:szCs w:val="24"/>
          <w14:ligatures w14:val="none"/>
        </w:rPr>
      </w:pPr>
      <w:r w:rsidRPr="00684FF6">
        <w:rPr>
          <w:rFonts w:ascii="Calibri" w:eastAsia="Times New Roman" w:hAnsi="Calibri" w:cs="Arial"/>
          <w:kern w:val="2"/>
          <w:sz w:val="24"/>
          <w:szCs w:val="24"/>
          <w:rtl/>
        </w:rPr>
        <w:br w:type="page"/>
      </w:r>
    </w:p>
    <w:p w14:paraId="6931EF56" w14:textId="77777777" w:rsidR="00684FF6" w:rsidRPr="00684FF6" w:rsidRDefault="00684FF6" w:rsidP="00684FF6">
      <w:pPr>
        <w:keepNext/>
        <w:keepLines/>
        <w:spacing w:before="40" w:after="0" w:line="360" w:lineRule="auto"/>
        <w:jc w:val="both"/>
        <w:outlineLvl w:val="1"/>
        <w:rPr>
          <w:rFonts w:ascii="Calibri Light" w:eastAsia="Times New Roman" w:hAnsi="Calibri Light" w:cs="Simplified Arabic"/>
          <w:bCs/>
          <w:kern w:val="2"/>
          <w:sz w:val="26"/>
          <w:szCs w:val="36"/>
          <w:u w:val="single"/>
          <w:rtl/>
        </w:rPr>
      </w:pPr>
      <w:bookmarkStart w:id="23" w:name="_Toc235804689"/>
      <w:r w:rsidRPr="00684FF6">
        <w:rPr>
          <w:rFonts w:ascii="Calibri Light" w:eastAsia="Times New Roman" w:hAnsi="Calibri Light" w:cs="Simplified Arabic"/>
          <w:bCs/>
          <w:kern w:val="2"/>
          <w:sz w:val="26"/>
          <w:szCs w:val="36"/>
          <w:u w:val="single"/>
          <w:rtl/>
        </w:rPr>
        <w:lastRenderedPageBreak/>
        <w:t>2-3 الإطار النظري</w:t>
      </w:r>
      <w:bookmarkEnd w:id="23"/>
    </w:p>
    <w:p w14:paraId="3BB7B0C0" w14:textId="77777777" w:rsidR="00684FF6" w:rsidRPr="00684FF6" w:rsidRDefault="00684FF6" w:rsidP="00684FF6">
      <w:pPr>
        <w:spacing w:before="100" w:beforeAutospacing="1" w:after="100" w:afterAutospacing="1" w:line="360" w:lineRule="auto"/>
        <w:jc w:val="both"/>
        <w:rPr>
          <w:rFonts w:ascii="Simplified Arabic" w:eastAsia="Aptos" w:hAnsi="Simplified Arabic" w:cs="Simplified Arabic"/>
          <w:sz w:val="28"/>
          <w:szCs w:val="28"/>
          <w:rtl/>
        </w:rPr>
      </w:pPr>
      <w:r w:rsidRPr="00684FF6">
        <w:rPr>
          <w:rFonts w:ascii="Simplified Arabic" w:eastAsia="Aptos" w:hAnsi="Simplified Arabic" w:cs="Simplified Arabic"/>
          <w:sz w:val="28"/>
          <w:szCs w:val="28"/>
          <w:rtl/>
          <w:lang w:bidi="ar-EG"/>
        </w:rPr>
        <w:t xml:space="preserve">يصف هذه القسم من الدراسة أساس البحث من خلال تحديد المتغيرات الرئيسية وتحليلها فيما يتعلق بالمعرفة الحالية في المجال. ولأجل الوضوح والمنطق، يُعرض هذا الإطار في ثلاثة أقسام. القسم الأول يعرض نظرية إدارة المشاريع والكفاءة، القسم الثاني يعرض نظريات الإدارة المجمعة، والقسم الثالث يعرض نظرية البيئة التشغيلية لصناعة الطيران في المملكة العربية السعودية، وتحديدًا </w:t>
      </w:r>
      <w:r w:rsidRPr="00684FF6">
        <w:rPr>
          <w:rFonts w:ascii="Simplified Arabic" w:eastAsia="Calibri" w:hAnsi="Simplified Arabic" w:cs="Simplified Arabic"/>
          <w:kern w:val="2"/>
          <w:sz w:val="28"/>
          <w:szCs w:val="28"/>
          <w:rtl/>
        </w:rPr>
        <w:t>"تجمع مطارات الثاني".</w:t>
      </w:r>
    </w:p>
    <w:p w14:paraId="11048EEB" w14:textId="77777777" w:rsidR="00684FF6" w:rsidRPr="00684FF6" w:rsidRDefault="00684FF6" w:rsidP="00684FF6">
      <w:pPr>
        <w:spacing w:before="100" w:beforeAutospacing="1" w:after="100" w:afterAutospacing="1" w:line="360" w:lineRule="auto"/>
        <w:jc w:val="both"/>
        <w:outlineLvl w:val="2"/>
        <w:rPr>
          <w:rFonts w:ascii="Times New Roman" w:eastAsia="Times New Roman" w:hAnsi="Times New Roman" w:cs="Simplified Arabic"/>
          <w:b/>
          <w:bCs/>
          <w:sz w:val="27"/>
          <w:szCs w:val="32"/>
          <w:u w:val="single"/>
          <w:lang w:val=""/>
          <w14:ligatures w14:val="none"/>
        </w:rPr>
      </w:pPr>
      <w:bookmarkStart w:id="24" w:name="_Toc235804690"/>
      <w:r w:rsidRPr="00684FF6">
        <w:rPr>
          <w:rFonts w:ascii="Times New Roman" w:eastAsia="Times New Roman" w:hAnsi="Times New Roman" w:cs="Times New Roman"/>
          <w:b/>
          <w:bCs/>
          <w:sz w:val="27"/>
          <w:szCs w:val="32"/>
          <w:u w:val="single"/>
          <w:rtl/>
          <w:lang w:val=""/>
          <w14:ligatures w14:val="none"/>
        </w:rPr>
        <w:t>​</w:t>
      </w:r>
      <w:r w:rsidRPr="00684FF6">
        <w:rPr>
          <w:rFonts w:ascii="Times New Roman" w:eastAsia="Times New Roman" w:hAnsi="Times New Roman" w:cs="Simplified Arabic"/>
          <w:b/>
          <w:bCs/>
          <w:sz w:val="27"/>
          <w:szCs w:val="32"/>
          <w:u w:val="single"/>
          <w:rtl/>
          <w:lang w:val=""/>
          <w14:ligatures w14:val="none"/>
        </w:rPr>
        <w:t>2-3-1 القسم الأول: مفاهيم وعوامل كفاءة إدارة المشاريع</w:t>
      </w:r>
      <w:bookmarkEnd w:id="24"/>
    </w:p>
    <w:p w14:paraId="76EB86B0" w14:textId="77777777" w:rsidR="00684FF6" w:rsidRPr="00684FF6" w:rsidRDefault="00684FF6" w:rsidP="00684FF6">
      <w:pPr>
        <w:keepNext/>
        <w:keepLines/>
        <w:spacing w:before="40" w:after="0" w:line="360" w:lineRule="auto"/>
        <w:jc w:val="both"/>
        <w:outlineLvl w:val="3"/>
        <w:rPr>
          <w:rFonts w:ascii="Calibri Light" w:eastAsia="Times New Roman" w:hAnsi="Calibri Light" w:cs="Simplified Arabic"/>
          <w:i/>
          <w:kern w:val="2"/>
          <w:szCs w:val="28"/>
          <w:u w:val="single"/>
        </w:rPr>
      </w:pPr>
      <w:bookmarkStart w:id="25" w:name="_Toc235804691"/>
      <w:r w:rsidRPr="00684FF6">
        <w:rPr>
          <w:rFonts w:ascii="Times New Roman" w:eastAsia="Times New Roman" w:hAnsi="Times New Roman" w:cs="Times New Roman"/>
          <w:i/>
          <w:kern w:val="2"/>
          <w:szCs w:val="28"/>
          <w:u w:val="single"/>
          <w:rtl/>
        </w:rPr>
        <w:t>​</w:t>
      </w:r>
      <w:r w:rsidRPr="00684FF6">
        <w:rPr>
          <w:rFonts w:ascii="Simplified Arabic" w:eastAsia="Times New Roman" w:hAnsi="Simplified Arabic" w:cs="Simplified Arabic"/>
          <w:i/>
          <w:kern w:val="2"/>
          <w:szCs w:val="28"/>
          <w:u w:val="single"/>
          <w:rtl/>
        </w:rPr>
        <w:t>أولاً</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المفاهيم</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الاستراتيجية</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لكفاءة</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إدارة</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المشاريع</w:t>
      </w:r>
      <w:bookmarkEnd w:id="25"/>
    </w:p>
    <w:p w14:paraId="449B0C6B" w14:textId="77777777" w:rsidR="00684FF6" w:rsidRPr="00684FF6" w:rsidRDefault="00684FF6" w:rsidP="00684FF6">
      <w:pPr>
        <w:spacing w:before="100" w:beforeAutospacing="1" w:after="100" w:afterAutospacing="1" w:line="360" w:lineRule="auto"/>
        <w:jc w:val="both"/>
        <w:rPr>
          <w:rFonts w:ascii="Simplified Arabic" w:eastAsia="Aptos" w:hAnsi="Simplified Arabic" w:cs="Simplified Arabic"/>
          <w:sz w:val="28"/>
          <w:szCs w:val="28"/>
          <w:rtl/>
          <w:lang w:bidi="ar-EG"/>
        </w:rPr>
      </w:pPr>
      <w:r w:rsidRPr="00684FF6">
        <w:rPr>
          <w:rFonts w:ascii="Calibri" w:eastAsia="Calibri" w:hAnsi="Calibri" w:cs="Arial"/>
          <w:kern w:val="2"/>
          <w:rtl/>
        </w:rPr>
        <w:t>​</w:t>
      </w:r>
      <w:r w:rsidRPr="00684FF6">
        <w:rPr>
          <w:rFonts w:ascii="Simplified Arabic" w:eastAsia="Aptos" w:hAnsi="Simplified Arabic" w:cs="Simplified Arabic"/>
          <w:sz w:val="28"/>
          <w:szCs w:val="28"/>
          <w:rtl/>
          <w:lang w:bidi="ar-EG"/>
        </w:rPr>
        <w:tab/>
        <w:t>على مدى العقدين الماضيين، شهدت "إدارة المشاريع" تغييرات ثورية. فقد توسعت من منهجية تكتيكية لإنجاز سلسلة من المهام إلى نظام متكامل يمنح المنظمة ميزة تنافسية ويعزز القيمة (</w:t>
      </w:r>
      <w:r w:rsidRPr="00684FF6">
        <w:rPr>
          <w:rFonts w:ascii="Simplified Arabic" w:eastAsia="Calibri" w:hAnsi="Simplified Arabic" w:cs="Simplified Arabic"/>
          <w:kern w:val="2"/>
          <w:sz w:val="28"/>
          <w:szCs w:val="28"/>
        </w:rPr>
        <w:t>PMI, 2021</w:t>
      </w:r>
      <w:r w:rsidRPr="00684FF6">
        <w:rPr>
          <w:rFonts w:ascii="Simplified Arabic" w:eastAsia="Aptos" w:hAnsi="Simplified Arabic" w:cs="Simplified Arabic"/>
          <w:sz w:val="28"/>
          <w:szCs w:val="28"/>
          <w:rtl/>
          <w:lang w:bidi="ar-EG"/>
        </w:rPr>
        <w:t>). تُعرف الأدبيات التقليدية للإدارة كفاءة إدارة المشاريع بأنها قدرة المنظمة على تحقيق نتائج المشروع ضمن القيود المعروفة من حيث التكلفة، والوقت، والنطاق.</w:t>
      </w:r>
    </w:p>
    <w:p w14:paraId="0B382FBA" w14:textId="77777777" w:rsidR="00684FF6" w:rsidRPr="00684FF6" w:rsidRDefault="00684FF6" w:rsidP="00684FF6">
      <w:pPr>
        <w:spacing w:before="100" w:beforeAutospacing="1" w:after="100" w:afterAutospacing="1" w:line="360" w:lineRule="auto"/>
        <w:jc w:val="both"/>
        <w:rPr>
          <w:rFonts w:ascii="Simplified Arabic" w:eastAsia="Aptos" w:hAnsi="Simplified Arabic" w:cs="Simplified Arabic"/>
          <w:sz w:val="28"/>
          <w:szCs w:val="28"/>
          <w:rtl/>
          <w:lang w:bidi="ar-EG"/>
        </w:rPr>
      </w:pPr>
      <w:r w:rsidRPr="00684FF6">
        <w:rPr>
          <w:rFonts w:ascii="Times New Roman" w:eastAsia="Calibri" w:hAnsi="Times New Roman" w:cs="Times New Roman"/>
          <w:kern w:val="2"/>
          <w:sz w:val="28"/>
          <w:szCs w:val="28"/>
          <w:rtl/>
        </w:rPr>
        <w:t>​</w:t>
      </w:r>
      <w:r w:rsidRPr="00684FF6">
        <w:rPr>
          <w:rFonts w:ascii="Simplified Arabic" w:eastAsia="Aptos" w:hAnsi="Simplified Arabic" w:cs="Simplified Arabic"/>
          <w:sz w:val="28"/>
          <w:szCs w:val="28"/>
          <w:rtl/>
          <w:lang w:bidi="ar-EG"/>
        </w:rPr>
        <w:tab/>
        <w:t>إن الطرق الحديثة تطورت لتشمل أكثر من الحدود المادية. فيما يتعلق بالأهداف الإستراتيجية طويلة المدى وفوائد مشروع معين، تتضمن هذه الطرق "الجودة الشاملة" وإدارة أصحاب المصلحة</w:t>
      </w:r>
      <w:r w:rsidRPr="00684FF6">
        <w:rPr>
          <w:rFonts w:ascii="Simplified Arabic" w:eastAsia="Calibri" w:hAnsi="Simplified Arabic" w:cs="Simplified Arabic"/>
          <w:kern w:val="2"/>
          <w:sz w:val="28"/>
          <w:szCs w:val="28"/>
          <w:rtl/>
        </w:rPr>
        <w:t xml:space="preserve"> بالإضافة إلى تحقيق المنافع بعيدة المدى من المشروع (</w:t>
      </w:r>
      <w:r w:rsidRPr="00684FF6">
        <w:rPr>
          <w:rFonts w:ascii="Simplified Arabic" w:eastAsia="Calibri" w:hAnsi="Simplified Arabic" w:cs="Simplified Arabic"/>
          <w:kern w:val="2"/>
          <w:sz w:val="28"/>
          <w:szCs w:val="28"/>
        </w:rPr>
        <w:t>Kerzner, 2022</w:t>
      </w:r>
      <w:r w:rsidRPr="00684FF6">
        <w:rPr>
          <w:rFonts w:ascii="Simplified Arabic" w:eastAsia="Calibri" w:hAnsi="Simplified Arabic" w:cs="Simplified Arabic"/>
          <w:kern w:val="2"/>
          <w:sz w:val="28"/>
          <w:szCs w:val="28"/>
          <w:rtl/>
        </w:rPr>
        <w:t>)</w:t>
      </w:r>
      <w:r w:rsidRPr="00684FF6">
        <w:rPr>
          <w:rFonts w:ascii="Simplified Arabic" w:eastAsia="Aptos" w:hAnsi="Simplified Arabic" w:cs="Simplified Arabic"/>
          <w:sz w:val="28"/>
          <w:szCs w:val="28"/>
          <w:rtl/>
          <w:lang w:bidi="ar-EG"/>
        </w:rPr>
        <w:t xml:space="preserve">. يتطلب النجاح في المشاريع التشغيلية المعقدة، مثل بناء البنية التحتية للمطارات، اعتماد معايير نجاح متعددة الأبعاد تتجاوز حدود مرحلة تنفيذ المشروع لتشمل التأثير المستدام للمشروع على الأداء العام للمنظمة </w:t>
      </w:r>
      <w:r w:rsidRPr="00684FF6">
        <w:rPr>
          <w:rFonts w:ascii="Simplified Arabic" w:eastAsia="Times New Roman" w:hAnsi="Simplified Arabic" w:cs="Simplified Arabic"/>
          <w:sz w:val="28"/>
          <w:szCs w:val="28"/>
          <w:rtl/>
          <w:lang w:val=""/>
          <w14:ligatures w14:val="none"/>
        </w:rPr>
        <w:t>(</w:t>
      </w:r>
      <w:r w:rsidRPr="00684FF6">
        <w:rPr>
          <w:rFonts w:ascii="Simplified Arabic" w:eastAsia="Times New Roman" w:hAnsi="Simplified Arabic" w:cs="Simplified Arabic"/>
          <w:sz w:val="28"/>
          <w:szCs w:val="28"/>
          <w:lang w:val=""/>
          <w14:ligatures w14:val="none"/>
        </w:rPr>
        <w:t>Shenhar &amp; Dvir, 2007</w:t>
      </w:r>
      <w:r w:rsidRPr="00684FF6">
        <w:rPr>
          <w:rFonts w:ascii="Simplified Arabic" w:eastAsia="Times New Roman" w:hAnsi="Simplified Arabic" w:cs="Simplified Arabic"/>
          <w:sz w:val="28"/>
          <w:szCs w:val="28"/>
          <w:rtl/>
          <w:lang w:val=""/>
          <w14:ligatures w14:val="none"/>
        </w:rPr>
        <w:t>).</w:t>
      </w:r>
    </w:p>
    <w:p w14:paraId="058BB7A8" w14:textId="77777777" w:rsidR="00684FF6" w:rsidRPr="00684FF6" w:rsidRDefault="00684FF6" w:rsidP="00684FF6">
      <w:pPr>
        <w:spacing w:before="100" w:beforeAutospacing="1" w:after="100" w:afterAutospacing="1" w:line="360" w:lineRule="auto"/>
        <w:jc w:val="both"/>
        <w:rPr>
          <w:rFonts w:ascii="Times New Roman" w:eastAsia="Times New Roman" w:hAnsi="Times New Roman" w:cs="Times New Roman"/>
          <w:sz w:val="24"/>
          <w:szCs w:val="24"/>
          <w:rtl/>
          <w:lang w:val="" w:bidi="ar-EG"/>
          <w14:ligatures w14:val="none"/>
        </w:rPr>
      </w:pPr>
    </w:p>
    <w:p w14:paraId="5C116DA3" w14:textId="77777777" w:rsidR="00684FF6" w:rsidRPr="00684FF6" w:rsidRDefault="00684FF6" w:rsidP="00684FF6">
      <w:pPr>
        <w:keepNext/>
        <w:keepLines/>
        <w:spacing w:before="40" w:after="0" w:line="360" w:lineRule="auto"/>
        <w:jc w:val="both"/>
        <w:outlineLvl w:val="3"/>
        <w:rPr>
          <w:rFonts w:ascii="Calibri Light" w:eastAsia="Times New Roman" w:hAnsi="Calibri Light" w:cs="Simplified Arabic"/>
          <w:i/>
          <w:kern w:val="2"/>
          <w:szCs w:val="28"/>
          <w:u w:val="single"/>
        </w:rPr>
      </w:pPr>
      <w:bookmarkStart w:id="26" w:name="_Toc235804692"/>
      <w:r w:rsidRPr="00684FF6">
        <w:rPr>
          <w:rFonts w:ascii="Times New Roman" w:eastAsia="Times New Roman" w:hAnsi="Times New Roman" w:cs="Times New Roman"/>
          <w:i/>
          <w:kern w:val="2"/>
          <w:szCs w:val="28"/>
          <w:u w:val="single"/>
          <w:rtl/>
        </w:rPr>
        <w:t>​</w:t>
      </w:r>
      <w:r w:rsidRPr="00684FF6">
        <w:rPr>
          <w:rFonts w:ascii="Calibri Light" w:eastAsia="Times New Roman" w:hAnsi="Calibri Light" w:cs="Simplified Arabic"/>
          <w:i/>
          <w:kern w:val="2"/>
          <w:szCs w:val="28"/>
          <w:u w:val="single"/>
          <w:rtl/>
        </w:rPr>
        <w:t xml:space="preserve"> </w:t>
      </w:r>
      <w:r w:rsidRPr="00684FF6">
        <w:rPr>
          <w:rFonts w:ascii="Times New Roman" w:eastAsia="Times New Roman" w:hAnsi="Times New Roman" w:cs="Times New Roman"/>
          <w:i/>
          <w:kern w:val="2"/>
          <w:szCs w:val="28"/>
          <w:u w:val="single"/>
          <w:rtl/>
        </w:rPr>
        <w:t>​</w:t>
      </w:r>
      <w:r w:rsidRPr="00684FF6">
        <w:rPr>
          <w:rFonts w:ascii="Simplified Arabic" w:eastAsia="Times New Roman" w:hAnsi="Simplified Arabic" w:cs="Simplified Arabic"/>
          <w:i/>
          <w:kern w:val="2"/>
          <w:szCs w:val="28"/>
          <w:u w:val="single"/>
          <w:rtl/>
        </w:rPr>
        <w:t>ثانياً</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مؤشرات</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قياس</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الأداء الرئيسية</w:t>
      </w:r>
      <w:r w:rsidRPr="00684FF6">
        <w:rPr>
          <w:rFonts w:ascii="Calibri Light" w:eastAsia="Times New Roman" w:hAnsi="Calibri Light" w:cs="Simplified Arabic"/>
          <w:i/>
          <w:kern w:val="2"/>
          <w:szCs w:val="28"/>
          <w:u w:val="single"/>
          <w:rtl/>
        </w:rPr>
        <w:t xml:space="preserve"> (</w:t>
      </w:r>
      <w:r w:rsidRPr="00684FF6">
        <w:rPr>
          <w:rFonts w:ascii="Times New Roman" w:eastAsia="Times New Roman" w:hAnsi="Times New Roman" w:cs="Times New Roman"/>
          <w:iCs/>
          <w:kern w:val="2"/>
          <w:sz w:val="24"/>
          <w:szCs w:val="24"/>
          <w:u w:val="single"/>
        </w:rPr>
        <w:t>KPIs</w:t>
      </w:r>
      <w:r w:rsidRPr="00684FF6">
        <w:rPr>
          <w:rFonts w:ascii="Calibri Light" w:eastAsia="Times New Roman" w:hAnsi="Calibri Light" w:cs="Simplified Arabic"/>
          <w:i/>
          <w:kern w:val="2"/>
          <w:szCs w:val="28"/>
          <w:u w:val="single"/>
          <w:rtl/>
        </w:rPr>
        <w:t>) وإدارة القيمة المكتسبة</w:t>
      </w:r>
      <w:bookmarkEnd w:id="26"/>
    </w:p>
    <w:p w14:paraId="23A7FC9B" w14:textId="77777777" w:rsidR="00684FF6" w:rsidRPr="00684FF6" w:rsidRDefault="00684FF6" w:rsidP="00684FF6">
      <w:pPr>
        <w:spacing w:before="100" w:beforeAutospacing="1" w:after="100" w:afterAutospacing="1" w:line="360" w:lineRule="auto"/>
        <w:jc w:val="both"/>
        <w:rPr>
          <w:rFonts w:ascii="Simplified Arabic" w:eastAsia="Aptos" w:hAnsi="Simplified Arabic" w:cs="Simplified Arabic"/>
          <w:sz w:val="28"/>
          <w:szCs w:val="28"/>
          <w:rtl/>
          <w:lang w:bidi="ar-EG"/>
        </w:rPr>
      </w:pPr>
      <w:r w:rsidRPr="00684FF6">
        <w:rPr>
          <w:rFonts w:ascii="Times New Roman" w:eastAsia="Calibri" w:hAnsi="Times New Roman" w:cs="Times New Roman"/>
          <w:kern w:val="2"/>
          <w:sz w:val="28"/>
          <w:szCs w:val="28"/>
          <w:rtl/>
        </w:rPr>
        <w:t>​</w:t>
      </w:r>
      <w:r w:rsidRPr="00684FF6">
        <w:rPr>
          <w:rFonts w:ascii="Simplified Arabic" w:eastAsia="Aptos" w:hAnsi="Simplified Arabic" w:cs="Simplified Arabic"/>
          <w:sz w:val="28"/>
          <w:szCs w:val="28"/>
          <w:rtl/>
          <w:lang w:bidi="ar-EG"/>
        </w:rPr>
        <w:t xml:space="preserve"> لتحقيق كفاءة أكبر في إدارة المحافظ للمشاريع، طورت المؤسسات الحديثة نموذج إدارة متقدمًا يعتمد على مؤشرات أداء رئيسية واضحة وقابلة للقياس. حدث اهتمام إداري وأكاديمي متزايد بقياس أداء المطارات، حيث إن التكنولوجيا الحديثة أوجدت تقديرًا أكبر للحاجة إلى قياس دقيق في إدارة الأصول الكبرى </w:t>
      </w:r>
      <w:r w:rsidRPr="00684FF6">
        <w:rPr>
          <w:rFonts w:ascii="Simplified Arabic" w:eastAsia="Times New Roman" w:hAnsi="Simplified Arabic" w:cs="Simplified Arabic"/>
          <w:sz w:val="28"/>
          <w:szCs w:val="28"/>
          <w:rtl/>
          <w:lang w:val=""/>
          <w14:ligatures w14:val="none"/>
        </w:rPr>
        <w:t>(</w:t>
      </w:r>
      <w:r w:rsidRPr="00684FF6">
        <w:rPr>
          <w:rFonts w:ascii="Simplified Arabic" w:eastAsia="Times New Roman" w:hAnsi="Simplified Arabic" w:cs="Simplified Arabic"/>
          <w:sz w:val="28"/>
          <w:szCs w:val="28"/>
          <w:lang w:val=""/>
          <w14:ligatures w14:val="none"/>
        </w:rPr>
        <w:t>Fasone &amp; Zapata-Aguirre, 2016</w:t>
      </w:r>
      <w:r w:rsidRPr="00684FF6">
        <w:rPr>
          <w:rFonts w:ascii="Simplified Arabic" w:eastAsia="Times New Roman" w:hAnsi="Simplified Arabic" w:cs="Simplified Arabic"/>
          <w:sz w:val="28"/>
          <w:szCs w:val="28"/>
          <w:rtl/>
          <w:lang w:val=""/>
          <w14:ligatures w14:val="none"/>
        </w:rPr>
        <w:t xml:space="preserve">). </w:t>
      </w:r>
      <w:r w:rsidRPr="00684FF6">
        <w:rPr>
          <w:rFonts w:ascii="Simplified Arabic" w:eastAsia="Aptos" w:hAnsi="Simplified Arabic" w:cs="Simplified Arabic"/>
          <w:sz w:val="28"/>
          <w:szCs w:val="28"/>
          <w:rtl/>
          <w:lang w:bidi="ar-EG"/>
        </w:rPr>
        <w:t xml:space="preserve"> في هذا السياق، ظهرت فكرة ومنهجية إدارة القيمة المكتسبة في مجال إدارة المشاريع لتقييم كفاءة التكلفة والوقت للمشروع ولمراقبة الانحرافات لاتخاذ القرارات التصحيحية الاستباقية (</w:t>
      </w:r>
      <w:r w:rsidRPr="00684FF6">
        <w:rPr>
          <w:rFonts w:ascii="Simplified Arabic" w:eastAsia="Calibri" w:hAnsi="Simplified Arabic" w:cs="Simplified Arabic"/>
          <w:kern w:val="2"/>
          <w:sz w:val="28"/>
          <w:szCs w:val="28"/>
        </w:rPr>
        <w:t>PMI, 2021</w:t>
      </w:r>
      <w:r w:rsidRPr="00684FF6">
        <w:rPr>
          <w:rFonts w:ascii="Simplified Arabic" w:eastAsia="Aptos" w:hAnsi="Simplified Arabic" w:cs="Simplified Arabic"/>
          <w:sz w:val="28"/>
          <w:szCs w:val="28"/>
          <w:rtl/>
          <w:lang w:bidi="ar-EG"/>
        </w:rPr>
        <w:t>). تعتمد الكفاءة الإجمالية لمحفظة مشاريع المنظمة على المراقبة الدقيقة لمؤشرات مثل ما يلي:</w:t>
      </w:r>
    </w:p>
    <w:p w14:paraId="7E92797B" w14:textId="77777777" w:rsidR="00684FF6" w:rsidRPr="00684FF6" w:rsidRDefault="00684FF6" w:rsidP="00684FF6">
      <w:pPr>
        <w:numPr>
          <w:ilvl w:val="0"/>
          <w:numId w:val="9"/>
        </w:numPr>
        <w:spacing w:before="100" w:beforeAutospacing="1" w:after="100" w:afterAutospacing="1" w:line="360" w:lineRule="auto"/>
        <w:jc w:val="both"/>
        <w:rPr>
          <w:rFonts w:ascii="Simplified Arabic" w:eastAsia="Times New Roman" w:hAnsi="Simplified Arabic" w:cs="Simplified Arabic"/>
          <w:sz w:val="28"/>
          <w:szCs w:val="28"/>
          <w:rtl/>
          <w:lang w:val=""/>
          <w14:ligatures w14:val="none"/>
        </w:rPr>
      </w:pPr>
      <w:r w:rsidRPr="00684FF6">
        <w:rPr>
          <w:rFonts w:ascii="Times New Roman" w:eastAsia="Times New Roman" w:hAnsi="Times New Roman" w:cs="Times New Roman"/>
          <w:sz w:val="28"/>
          <w:szCs w:val="28"/>
          <w:rtl/>
          <w:lang w:val=""/>
          <w14:ligatures w14:val="none"/>
        </w:rPr>
        <w:t>​</w:t>
      </w:r>
      <w:r w:rsidRPr="00684FF6">
        <w:rPr>
          <w:rFonts w:ascii="Simplified Arabic" w:eastAsia="Aptos" w:hAnsi="Simplified Arabic" w:cs="Simplified Arabic"/>
          <w:sz w:val="28"/>
          <w:szCs w:val="28"/>
          <w:rtl/>
          <w:lang w:bidi="ar-EG"/>
        </w:rPr>
        <w:t xml:space="preserve"> </w:t>
      </w:r>
      <w:r w:rsidRPr="00684FF6">
        <w:rPr>
          <w:rFonts w:ascii="Simplified Arabic" w:eastAsia="Aptos" w:hAnsi="Simplified Arabic" w:cs="Simplified Arabic"/>
          <w:b/>
          <w:bCs/>
          <w:sz w:val="28"/>
          <w:szCs w:val="28"/>
          <w:rtl/>
          <w:lang w:bidi="ar-EG"/>
        </w:rPr>
        <w:t>الفرق في التكلفة:</w:t>
      </w:r>
      <w:r w:rsidRPr="00684FF6">
        <w:rPr>
          <w:rFonts w:ascii="Simplified Arabic" w:eastAsia="Aptos" w:hAnsi="Simplified Arabic" w:cs="Simplified Arabic"/>
          <w:sz w:val="28"/>
          <w:szCs w:val="28"/>
          <w:rtl/>
          <w:lang w:bidi="ar-EG"/>
        </w:rPr>
        <w:t xml:space="preserve"> يضمن هذا المؤشر بقاء تكاليف رأس المال ضمن ميزانية المشروع (</w:t>
      </w:r>
      <w:r w:rsidRPr="00684FF6">
        <w:rPr>
          <w:rFonts w:ascii="Simplified Arabic" w:eastAsia="Calibri" w:hAnsi="Simplified Arabic" w:cs="Simplified Arabic"/>
          <w:kern w:val="2"/>
          <w:sz w:val="28"/>
          <w:szCs w:val="28"/>
        </w:rPr>
        <w:t>PMI, 2021</w:t>
      </w:r>
      <w:r w:rsidRPr="00684FF6">
        <w:rPr>
          <w:rFonts w:ascii="Simplified Arabic" w:eastAsia="Aptos" w:hAnsi="Simplified Arabic" w:cs="Simplified Arabic"/>
          <w:sz w:val="28"/>
          <w:szCs w:val="28"/>
          <w:rtl/>
          <w:lang w:bidi="ar-EG"/>
        </w:rPr>
        <w:t>).</w:t>
      </w:r>
    </w:p>
    <w:p w14:paraId="544B6635" w14:textId="77777777" w:rsidR="00684FF6" w:rsidRPr="00684FF6" w:rsidRDefault="00684FF6" w:rsidP="00684FF6">
      <w:pPr>
        <w:numPr>
          <w:ilvl w:val="0"/>
          <w:numId w:val="9"/>
        </w:numPr>
        <w:spacing w:before="100" w:beforeAutospacing="1" w:after="100" w:afterAutospacing="1" w:line="360" w:lineRule="auto"/>
        <w:jc w:val="both"/>
        <w:rPr>
          <w:rFonts w:ascii="Simplified Arabic" w:eastAsia="Times New Roman" w:hAnsi="Simplified Arabic" w:cs="Simplified Arabic"/>
          <w:sz w:val="28"/>
          <w:szCs w:val="28"/>
          <w:rtl/>
          <w:lang w:val=""/>
          <w14:ligatures w14:val="none"/>
        </w:rPr>
      </w:pPr>
      <w:r w:rsidRPr="00684FF6">
        <w:rPr>
          <w:rFonts w:ascii="Times New Roman" w:eastAsia="Times New Roman" w:hAnsi="Times New Roman" w:cs="Times New Roman"/>
          <w:sz w:val="28"/>
          <w:szCs w:val="28"/>
          <w:rtl/>
          <w:lang w:val=""/>
          <w14:ligatures w14:val="none"/>
        </w:rPr>
        <w:t>​</w:t>
      </w:r>
      <w:r w:rsidRPr="00684FF6">
        <w:rPr>
          <w:rFonts w:ascii="Simplified Arabic" w:eastAsia="Aptos" w:hAnsi="Simplified Arabic" w:cs="Simplified Arabic"/>
          <w:sz w:val="28"/>
          <w:szCs w:val="28"/>
          <w:rtl/>
          <w:lang w:bidi="ar-EG"/>
        </w:rPr>
        <w:t xml:space="preserve"> </w:t>
      </w:r>
      <w:r w:rsidRPr="00684FF6">
        <w:rPr>
          <w:rFonts w:ascii="Simplified Arabic" w:eastAsia="Aptos" w:hAnsi="Simplified Arabic" w:cs="Simplified Arabic"/>
          <w:b/>
          <w:bCs/>
          <w:sz w:val="28"/>
          <w:szCs w:val="28"/>
          <w:rtl/>
          <w:lang w:bidi="ar-EG"/>
        </w:rPr>
        <w:t>الفرق في الجدول الزمني:</w:t>
      </w:r>
      <w:r w:rsidRPr="00684FF6">
        <w:rPr>
          <w:rFonts w:ascii="Simplified Arabic" w:eastAsia="Aptos" w:hAnsi="Simplified Arabic" w:cs="Simplified Arabic"/>
          <w:sz w:val="28"/>
          <w:szCs w:val="28"/>
          <w:rtl/>
          <w:lang w:bidi="ar-EG"/>
        </w:rPr>
        <w:t xml:space="preserve"> يجب أن تظل مشاريع المطارات ضمن الجدول المخطط، حيث إن التأخيرات لها تأثير سلبي على جاهزية العمليات في المطار والالتزامات الاستثمارية ذات الصلة (</w:t>
      </w:r>
      <w:r w:rsidRPr="00684FF6">
        <w:rPr>
          <w:rFonts w:ascii="Simplified Arabic" w:eastAsia="Calibri" w:hAnsi="Simplified Arabic" w:cs="Simplified Arabic"/>
          <w:kern w:val="2"/>
          <w:sz w:val="28"/>
          <w:szCs w:val="28"/>
        </w:rPr>
        <w:t>PMI, 2021</w:t>
      </w:r>
      <w:r w:rsidRPr="00684FF6">
        <w:rPr>
          <w:rFonts w:ascii="Simplified Arabic" w:eastAsia="Aptos" w:hAnsi="Simplified Arabic" w:cs="Simplified Arabic"/>
          <w:sz w:val="28"/>
          <w:szCs w:val="28"/>
          <w:rtl/>
          <w:lang w:bidi="ar-EG"/>
        </w:rPr>
        <w:t>).</w:t>
      </w:r>
    </w:p>
    <w:p w14:paraId="6B9CE946" w14:textId="77777777" w:rsidR="00684FF6" w:rsidRPr="00684FF6" w:rsidRDefault="00684FF6" w:rsidP="00684FF6">
      <w:pPr>
        <w:keepNext/>
        <w:keepLines/>
        <w:spacing w:before="40" w:after="0" w:line="360" w:lineRule="auto"/>
        <w:jc w:val="both"/>
        <w:outlineLvl w:val="3"/>
        <w:rPr>
          <w:rFonts w:ascii="Calibri Light" w:eastAsia="Times New Roman" w:hAnsi="Calibri Light" w:cs="Simplified Arabic"/>
          <w:i/>
          <w:kern w:val="2"/>
          <w:szCs w:val="28"/>
          <w:u w:val="single"/>
        </w:rPr>
      </w:pPr>
      <w:bookmarkStart w:id="27" w:name="_Toc235804693"/>
      <w:r w:rsidRPr="00684FF6">
        <w:rPr>
          <w:rFonts w:ascii="Calibri Light" w:eastAsia="Times New Roman" w:hAnsi="Calibri Light" w:cs="Simplified Arabic"/>
          <w:i/>
          <w:kern w:val="2"/>
          <w:szCs w:val="28"/>
          <w:u w:val="single"/>
          <w:rtl/>
        </w:rPr>
        <w:t>ثالثًا: المنهجيات الهجينة في أنظمة المطارات</w:t>
      </w:r>
      <w:bookmarkEnd w:id="27"/>
    </w:p>
    <w:p w14:paraId="7DAE2374" w14:textId="77777777" w:rsidR="00684FF6" w:rsidRPr="00684FF6" w:rsidRDefault="00684FF6" w:rsidP="00684FF6">
      <w:pPr>
        <w:spacing w:before="100" w:beforeAutospacing="1" w:after="100" w:afterAutospacing="1" w:line="360" w:lineRule="auto"/>
        <w:jc w:val="both"/>
        <w:rPr>
          <w:rFonts w:ascii="Simplified Arabic" w:eastAsia="Aptos" w:hAnsi="Simplified Arabic" w:cs="Simplified Arabic"/>
          <w:sz w:val="28"/>
          <w:szCs w:val="28"/>
          <w:rtl/>
          <w:lang w:bidi="ar-EG"/>
        </w:rPr>
      </w:pPr>
      <w:r w:rsidRPr="00684FF6">
        <w:rPr>
          <w:rFonts w:ascii="Calibri" w:eastAsia="Calibri" w:hAnsi="Calibri" w:cs="Arial"/>
          <w:kern w:val="2"/>
          <w:rtl/>
        </w:rPr>
        <w:t>​</w:t>
      </w:r>
      <w:r w:rsidRPr="00684FF6">
        <w:rPr>
          <w:rFonts w:ascii="Simplified Arabic" w:eastAsia="Aptos" w:hAnsi="Simplified Arabic" w:cs="Simplified Arabic"/>
          <w:sz w:val="28"/>
          <w:szCs w:val="28"/>
          <w:rtl/>
          <w:lang w:bidi="ar-EG"/>
        </w:rPr>
        <w:tab/>
        <w:t>تُميز خصائص المشاريع الداخلية في المطارات صعوبة إدارة المشاريع بشكل خاص. مشاريع بناء مدارج المطار أو توسعة صالات المطارات التقليدية تعتبر أمثلة على المشاريع التي تتطلب منهجيات تنبئية (</w:t>
      </w:r>
      <w:r w:rsidRPr="00684FF6">
        <w:rPr>
          <w:rFonts w:ascii="Times New Roman" w:eastAsia="Aptos" w:hAnsi="Times New Roman" w:cs="Times New Roman"/>
          <w:sz w:val="24"/>
          <w:szCs w:val="24"/>
          <w:lang w:bidi="ar-EG"/>
        </w:rPr>
        <w:t>Waterfall</w:t>
      </w:r>
      <w:r w:rsidRPr="00684FF6">
        <w:rPr>
          <w:rFonts w:ascii="Simplified Arabic" w:eastAsia="Aptos" w:hAnsi="Simplified Arabic" w:cs="Simplified Arabic"/>
          <w:sz w:val="28"/>
          <w:szCs w:val="28"/>
          <w:rtl/>
          <w:lang w:bidi="ar-EG"/>
        </w:rPr>
        <w:t>) تعتمد على تخطيط مسبق شامل لتقليل مخاطر البناء والمالية (</w:t>
      </w:r>
      <w:r w:rsidRPr="00684FF6">
        <w:rPr>
          <w:rFonts w:ascii="Simplified Arabic" w:eastAsia="Calibri" w:hAnsi="Simplified Arabic" w:cs="Simplified Arabic"/>
          <w:kern w:val="2"/>
          <w:sz w:val="28"/>
          <w:szCs w:val="28"/>
        </w:rPr>
        <w:t>PMI, 2021</w:t>
      </w:r>
      <w:r w:rsidRPr="00684FF6">
        <w:rPr>
          <w:rFonts w:ascii="Simplified Arabic" w:eastAsia="Aptos" w:hAnsi="Simplified Arabic" w:cs="Simplified Arabic"/>
          <w:sz w:val="28"/>
          <w:szCs w:val="28"/>
          <w:rtl/>
          <w:lang w:bidi="ar-EG"/>
        </w:rPr>
        <w:t>).</w:t>
      </w:r>
    </w:p>
    <w:p w14:paraId="1C931141"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rtl/>
          <w:lang w:bidi="ar-EG"/>
        </w:rPr>
      </w:pPr>
      <w:r w:rsidRPr="00684FF6">
        <w:rPr>
          <w:rFonts w:ascii="Simplified Arabic" w:eastAsia="Aptos" w:hAnsi="Simplified Arabic" w:cs="Simplified Arabic"/>
          <w:sz w:val="28"/>
          <w:szCs w:val="28"/>
          <w:rtl/>
          <w:lang w:bidi="ar-EG"/>
        </w:rPr>
        <w:lastRenderedPageBreak/>
        <w:t>من ناحية أخرى، تعتبر المشاريع في مجال التحول الرقمي، وترقيات نظم التشغيل، وحتى إدخال تطبيقات الركاب، أمثلة على المشاريع التي تعتمد على منهجيات مرنة (</w:t>
      </w:r>
      <w:r w:rsidRPr="00684FF6">
        <w:rPr>
          <w:rFonts w:ascii="Times New Roman" w:eastAsia="Aptos" w:hAnsi="Times New Roman" w:cs="Times New Roman"/>
          <w:sz w:val="24"/>
          <w:szCs w:val="24"/>
          <w:lang w:bidi="ar-EG"/>
        </w:rPr>
        <w:t>Agile</w:t>
      </w:r>
      <w:r w:rsidRPr="00684FF6">
        <w:rPr>
          <w:rFonts w:ascii="Simplified Arabic" w:eastAsia="Aptos" w:hAnsi="Simplified Arabic" w:cs="Simplified Arabic"/>
          <w:sz w:val="28"/>
          <w:szCs w:val="28"/>
          <w:rtl/>
          <w:lang w:bidi="ar-EG"/>
        </w:rPr>
        <w:t>) نظرًا للحاجة إلى التكيف المستمر مع التكنولوجيا المتطورة (</w:t>
      </w:r>
      <w:r w:rsidRPr="00684FF6">
        <w:rPr>
          <w:rFonts w:ascii="Simplified Arabic" w:eastAsia="Calibri" w:hAnsi="Simplified Arabic" w:cs="Simplified Arabic"/>
          <w:kern w:val="2"/>
          <w:sz w:val="28"/>
          <w:szCs w:val="28"/>
        </w:rPr>
        <w:t>Amadeus, 2024</w:t>
      </w:r>
      <w:r w:rsidRPr="00684FF6">
        <w:rPr>
          <w:rFonts w:ascii="Simplified Arabic" w:eastAsia="Aptos" w:hAnsi="Simplified Arabic" w:cs="Simplified Arabic"/>
          <w:sz w:val="28"/>
          <w:szCs w:val="28"/>
          <w:rtl/>
          <w:lang w:bidi="ar-EG"/>
        </w:rPr>
        <w:t>). القدرة على المزج بين هذه المنهجيات المختلفة في بيئة تنظيمية واحدة او ما يعرف بالنهج الهجين تعتبر مهمة جدًا لتحقيق الفعالية الإدارية للكيانات الجديدة المنشأة.</w:t>
      </w:r>
    </w:p>
    <w:p w14:paraId="5109A4AF" w14:textId="77777777" w:rsidR="00684FF6" w:rsidRPr="00684FF6" w:rsidRDefault="00684FF6" w:rsidP="00684FF6">
      <w:pPr>
        <w:keepNext/>
        <w:keepLines/>
        <w:spacing w:before="40" w:after="0" w:line="360" w:lineRule="auto"/>
        <w:jc w:val="both"/>
        <w:outlineLvl w:val="3"/>
        <w:rPr>
          <w:rFonts w:ascii="Calibri Light" w:eastAsia="Times New Roman" w:hAnsi="Calibri Light" w:cs="Simplified Arabic"/>
          <w:i/>
          <w:kern w:val="2"/>
          <w:szCs w:val="28"/>
          <w:u w:val="single"/>
          <w:rtl/>
        </w:rPr>
      </w:pPr>
      <w:bookmarkStart w:id="28" w:name="_Toc235804694"/>
      <w:r w:rsidRPr="00684FF6">
        <w:rPr>
          <w:rFonts w:ascii="Times New Roman" w:eastAsia="Times New Roman" w:hAnsi="Times New Roman" w:cs="Times New Roman"/>
          <w:i/>
          <w:kern w:val="2"/>
          <w:szCs w:val="28"/>
          <w:u w:val="single"/>
          <w:rtl/>
        </w:rPr>
        <w:t>​</w:t>
      </w:r>
      <w:r w:rsidRPr="00684FF6">
        <w:rPr>
          <w:rFonts w:ascii="Calibri Light" w:eastAsia="Times New Roman" w:hAnsi="Calibri Light" w:cs="Simplified Arabic"/>
          <w:i/>
          <w:kern w:val="2"/>
          <w:szCs w:val="28"/>
          <w:u w:val="single"/>
          <w:rtl/>
        </w:rPr>
        <w:t>رابعًا: النضج المؤسسي ومكاتب إدارة المشاريع (</w:t>
      </w:r>
      <w:r w:rsidRPr="00684FF6">
        <w:rPr>
          <w:rFonts w:ascii="Times New Roman" w:eastAsia="Times New Roman" w:hAnsi="Times New Roman" w:cs="Times New Roman"/>
          <w:kern w:val="2"/>
          <w:sz w:val="24"/>
          <w:szCs w:val="24"/>
          <w:u w:val="single"/>
        </w:rPr>
        <w:t>PMO</w:t>
      </w:r>
      <w:r w:rsidRPr="00684FF6">
        <w:rPr>
          <w:rFonts w:ascii="Calibri Light" w:eastAsia="Times New Roman" w:hAnsi="Calibri Light" w:cs="Simplified Arabic"/>
          <w:i/>
          <w:kern w:val="2"/>
          <w:szCs w:val="28"/>
          <w:u w:val="single"/>
          <w:rtl/>
        </w:rPr>
        <w:t>)</w:t>
      </w:r>
      <w:bookmarkEnd w:id="28"/>
    </w:p>
    <w:p w14:paraId="79FF9EA5" w14:textId="77777777" w:rsidR="00684FF6" w:rsidRPr="00684FF6" w:rsidRDefault="00684FF6" w:rsidP="00684FF6">
      <w:pPr>
        <w:spacing w:before="100" w:beforeAutospacing="1" w:after="100" w:afterAutospacing="1" w:line="360" w:lineRule="auto"/>
        <w:jc w:val="both"/>
        <w:rPr>
          <w:rFonts w:ascii="Simplified Arabic" w:eastAsia="Aptos" w:hAnsi="Simplified Arabic" w:cs="Simplified Arabic"/>
          <w:sz w:val="28"/>
          <w:szCs w:val="28"/>
          <w:rtl/>
          <w:lang w:bidi="ar-EG"/>
        </w:rPr>
      </w:pPr>
      <w:r w:rsidRPr="00684FF6">
        <w:rPr>
          <w:rFonts w:ascii="Calibri" w:eastAsia="Calibri" w:hAnsi="Calibri" w:cs="Arial"/>
          <w:kern w:val="2"/>
          <w:rtl/>
        </w:rPr>
        <w:t>​</w:t>
      </w:r>
      <w:r w:rsidRPr="00684FF6">
        <w:rPr>
          <w:rFonts w:ascii="Simplified Arabic" w:eastAsia="Aptos" w:hAnsi="Simplified Arabic" w:cs="Simplified Arabic"/>
          <w:sz w:val="28"/>
          <w:szCs w:val="28"/>
          <w:rtl/>
          <w:lang w:bidi="ar-EG"/>
        </w:rPr>
        <w:tab/>
        <w:t xml:space="preserve">لا يمكن تحقيق فاعلية مستدامة في تنفيذ أي مشروع بدون هياكل تنظيمية ناضجة. على سبيل المثال، تقيّم نماذج مثل </w:t>
      </w:r>
      <w:r w:rsidRPr="00684FF6">
        <w:rPr>
          <w:rFonts w:ascii="Times New Roman" w:eastAsia="Aptos" w:hAnsi="Times New Roman" w:cs="Times New Roman"/>
          <w:sz w:val="24"/>
          <w:szCs w:val="24"/>
          <w:lang w:bidi="ar-EG"/>
        </w:rPr>
        <w:t>OPM3</w:t>
      </w:r>
      <w:r w:rsidRPr="00684FF6">
        <w:rPr>
          <w:rFonts w:ascii="Simplified Arabic" w:eastAsia="Aptos" w:hAnsi="Simplified Arabic" w:cs="Simplified Arabic"/>
          <w:sz w:val="28"/>
          <w:szCs w:val="28"/>
          <w:rtl/>
          <w:lang w:bidi="ar-EG"/>
        </w:rPr>
        <w:t xml:space="preserve"> مدى التزام المنظمة بالتوحيد في تنفيذ العمليات والمنهجيات ضمن جميع المحافظ ومكاتب المشاريع. هناك أدبيات موسعة حول هياكل ووظائف وأدوار مكاتب إدارة المشاريع داخل السياق التنظيمي </w:t>
      </w:r>
      <w:r w:rsidRPr="00684FF6">
        <w:rPr>
          <w:rFonts w:ascii="Simplified Arabic" w:eastAsia="Times New Roman" w:hAnsi="Simplified Arabic" w:cs="Simplified Arabic"/>
          <w:sz w:val="28"/>
          <w:szCs w:val="28"/>
          <w:rtl/>
          <w:lang w:val=""/>
          <w14:ligatures w14:val="none"/>
        </w:rPr>
        <w:t>(</w:t>
      </w:r>
      <w:r w:rsidRPr="00684FF6">
        <w:rPr>
          <w:rFonts w:ascii="Simplified Arabic" w:eastAsia="Times New Roman" w:hAnsi="Simplified Arabic" w:cs="Simplified Arabic"/>
          <w:sz w:val="28"/>
          <w:szCs w:val="28"/>
          <w:lang w:val=""/>
          <w14:ligatures w14:val="none"/>
        </w:rPr>
        <w:t>Hobbs &amp; Aubry, 2010</w:t>
      </w:r>
      <w:r w:rsidRPr="00684FF6">
        <w:rPr>
          <w:rFonts w:ascii="Simplified Arabic" w:eastAsia="Times New Roman" w:hAnsi="Simplified Arabic" w:cs="Simplified Arabic"/>
          <w:sz w:val="28"/>
          <w:szCs w:val="28"/>
          <w:rtl/>
          <w:lang w:val=""/>
          <w14:ligatures w14:val="none"/>
        </w:rPr>
        <w:t>).</w:t>
      </w:r>
    </w:p>
    <w:p w14:paraId="5E760E4F" w14:textId="77777777" w:rsidR="00684FF6" w:rsidRPr="00684FF6" w:rsidRDefault="00684FF6" w:rsidP="00684FF6">
      <w:pPr>
        <w:spacing w:before="100" w:beforeAutospacing="1" w:after="100" w:afterAutospacing="1" w:line="360" w:lineRule="auto"/>
        <w:ind w:firstLine="720"/>
        <w:jc w:val="both"/>
        <w:rPr>
          <w:rFonts w:ascii="Simplified Arabic" w:eastAsia="Times New Roman" w:hAnsi="Simplified Arabic" w:cs="Simplified Arabic"/>
          <w:sz w:val="28"/>
          <w:szCs w:val="28"/>
          <w:rtl/>
          <w14:ligatures w14:val="none"/>
        </w:rPr>
      </w:pPr>
      <w:r w:rsidRPr="00684FF6">
        <w:rPr>
          <w:rFonts w:ascii="Simplified Arabic" w:eastAsia="Aptos" w:hAnsi="Simplified Arabic" w:cs="Simplified Arabic"/>
          <w:sz w:val="28"/>
          <w:szCs w:val="28"/>
          <w:rtl/>
          <w:lang w:bidi="ar-EG"/>
        </w:rPr>
        <w:t xml:space="preserve">كما تركز مكاتب إدارة المشاريع </w:t>
      </w:r>
      <w:r w:rsidRPr="00684FF6">
        <w:rPr>
          <w:rFonts w:ascii="Simplified Arabic" w:eastAsia="Calibri" w:hAnsi="Simplified Arabic" w:cs="Simplified Arabic"/>
          <w:kern w:val="2"/>
          <w:sz w:val="28"/>
          <w:szCs w:val="28"/>
          <w:rtl/>
        </w:rPr>
        <w:t>المؤسسية (</w:t>
      </w:r>
      <w:r w:rsidRPr="00684FF6">
        <w:rPr>
          <w:rFonts w:ascii="Times New Roman" w:eastAsia="Aptos" w:hAnsi="Times New Roman" w:cs="Times New Roman"/>
          <w:sz w:val="24"/>
          <w:szCs w:val="24"/>
          <w:lang w:bidi="ar-EG"/>
        </w:rPr>
        <w:t>EPMO</w:t>
      </w:r>
      <w:r w:rsidRPr="00684FF6">
        <w:rPr>
          <w:rFonts w:ascii="Simplified Arabic" w:eastAsia="Calibri" w:hAnsi="Simplified Arabic" w:cs="Simplified Arabic"/>
          <w:kern w:val="2"/>
          <w:sz w:val="28"/>
          <w:szCs w:val="28"/>
          <w:rtl/>
        </w:rPr>
        <w:t>)</w:t>
      </w:r>
      <w:r w:rsidRPr="00684FF6">
        <w:rPr>
          <w:rFonts w:ascii="Simplified Arabic" w:eastAsia="Aptos" w:hAnsi="Simplified Arabic" w:cs="Simplified Arabic"/>
          <w:sz w:val="28"/>
          <w:szCs w:val="28"/>
          <w:rtl/>
          <w:lang w:bidi="ar-EG"/>
        </w:rPr>
        <w:t xml:space="preserve"> على المركزية في الإدارة الإستراتيجية. فهي تساعد على جمع وتوثيق الدروس المستفادة. كما تساعد على بناء معايير موحدة لتقييم المخاطر، وتحقيق تحسين في تخصيص الموارد البشرية والمالية للمشاريع ذات القيمة الأكبر للشركة (</w:t>
      </w:r>
      <w:r w:rsidRPr="00684FF6">
        <w:rPr>
          <w:rFonts w:ascii="Simplified Arabic" w:eastAsia="Calibri" w:hAnsi="Simplified Arabic" w:cs="Simplified Arabic"/>
          <w:kern w:val="2"/>
          <w:sz w:val="28"/>
          <w:szCs w:val="28"/>
        </w:rPr>
        <w:t>J. K. Crawford, 2015</w:t>
      </w:r>
      <w:r w:rsidRPr="00684FF6">
        <w:rPr>
          <w:rFonts w:ascii="Simplified Arabic" w:eastAsia="Aptos" w:hAnsi="Simplified Arabic" w:cs="Simplified Arabic"/>
          <w:sz w:val="28"/>
          <w:szCs w:val="28"/>
          <w:rtl/>
          <w:lang w:bidi="ar-EG"/>
        </w:rPr>
        <w:t xml:space="preserve">). تساعد مكاتب إدارة المشاريع في حوكمة المشاريع الرأسمالية من خلال وضع سياسات متكاملة تضمن الالتزام بمعايير السلامة والجودة المحلية والعالمية للشركة </w:t>
      </w:r>
      <w:r w:rsidRPr="00684FF6">
        <w:rPr>
          <w:rFonts w:ascii="Simplified Arabic" w:eastAsia="Times New Roman" w:hAnsi="Simplified Arabic" w:cs="Simplified Arabic"/>
          <w:sz w:val="28"/>
          <w:szCs w:val="28"/>
          <w:rtl/>
          <w:lang w:val=""/>
          <w14:ligatures w14:val="none"/>
        </w:rPr>
        <w:t>(</w:t>
      </w:r>
      <w:r w:rsidRPr="00684FF6">
        <w:rPr>
          <w:rFonts w:ascii="Simplified Arabic" w:eastAsia="Times New Roman" w:hAnsi="Simplified Arabic" w:cs="Simplified Arabic"/>
          <w:sz w:val="28"/>
          <w:szCs w:val="28"/>
          <w:lang w:val=""/>
          <w14:ligatures w14:val="none"/>
        </w:rPr>
        <w:t>Hobbs &amp; Aubry, 2010</w:t>
      </w:r>
      <w:r w:rsidRPr="00684FF6">
        <w:rPr>
          <w:rFonts w:ascii="Simplified Arabic" w:eastAsia="Times New Roman" w:hAnsi="Simplified Arabic" w:cs="Simplified Arabic"/>
          <w:sz w:val="28"/>
          <w:szCs w:val="28"/>
          <w:rtl/>
          <w:lang w:val=""/>
          <w14:ligatures w14:val="none"/>
        </w:rPr>
        <w:t xml:space="preserve">). </w:t>
      </w:r>
      <w:r w:rsidRPr="00684FF6">
        <w:rPr>
          <w:rFonts w:ascii="Simplified Arabic" w:eastAsia="Aptos" w:hAnsi="Simplified Arabic" w:cs="Simplified Arabic"/>
          <w:sz w:val="28"/>
          <w:szCs w:val="28"/>
          <w:rtl/>
          <w:lang w:bidi="ar-EG"/>
        </w:rPr>
        <w:t xml:space="preserve">وهذه تساعد على دعم إعادة هيكلة الشركة بنجاح. وتشير الدراسات الأخيرة إلى أن المركزية بمفردها لا تؤدي إلى الفعالية، وأن </w:t>
      </w:r>
      <w:r w:rsidRPr="00684FF6">
        <w:rPr>
          <w:rFonts w:ascii="Simplified Arabic" w:eastAsia="Aptos" w:hAnsi="Simplified Arabic" w:cs="Simplified Arabic"/>
          <w:sz w:val="28"/>
          <w:szCs w:val="28"/>
          <w:rtl/>
          <w:lang w:bidi="ar-EG"/>
        </w:rPr>
        <w:lastRenderedPageBreak/>
        <w:t xml:space="preserve">دمج الوحدات المستقلة سابقًا هو نتيجة لعلاقات وسيطرة تتجاوز مجرد توحيد الهياكل والأنظمة </w:t>
      </w:r>
      <w:r w:rsidRPr="00684FF6">
        <w:rPr>
          <w:rFonts w:ascii="Simplified Arabic" w:eastAsia="Calibri" w:hAnsi="Simplified Arabic" w:cs="Simplified Arabic"/>
          <w:kern w:val="2"/>
          <w:sz w:val="28"/>
          <w:szCs w:val="28"/>
          <w:rtl/>
        </w:rPr>
        <w:t>(</w:t>
      </w:r>
      <w:r w:rsidRPr="00684FF6">
        <w:rPr>
          <w:rFonts w:ascii="Simplified Arabic" w:eastAsia="Calibri" w:hAnsi="Simplified Arabic" w:cs="Simplified Arabic"/>
          <w:kern w:val="2"/>
          <w:sz w:val="28"/>
          <w:szCs w:val="28"/>
        </w:rPr>
        <w:t>Tsaturyan &amp; Müller, 2015</w:t>
      </w:r>
      <w:r w:rsidRPr="00684FF6">
        <w:rPr>
          <w:rFonts w:ascii="Simplified Arabic" w:eastAsia="Calibri" w:hAnsi="Simplified Arabic" w:cs="Simplified Arabic"/>
          <w:kern w:val="2"/>
          <w:sz w:val="28"/>
          <w:szCs w:val="28"/>
          <w:rtl/>
        </w:rPr>
        <w:t>)</w:t>
      </w:r>
      <w:r w:rsidRPr="00684FF6">
        <w:rPr>
          <w:rFonts w:ascii="Simplified Arabic" w:eastAsia="Times New Roman" w:hAnsi="Simplified Arabic" w:cs="Simplified Arabic"/>
          <w:sz w:val="28"/>
          <w:szCs w:val="28"/>
          <w:rtl/>
          <w:lang w:val=""/>
          <w14:ligatures w14:val="none"/>
        </w:rPr>
        <w:t>.</w:t>
      </w:r>
    </w:p>
    <w:p w14:paraId="720FDBF7" w14:textId="77777777" w:rsidR="00684FF6" w:rsidRPr="00684FF6" w:rsidRDefault="00684FF6" w:rsidP="00684FF6">
      <w:pPr>
        <w:spacing w:before="100" w:beforeAutospacing="1" w:after="100" w:afterAutospacing="1" w:line="360" w:lineRule="auto"/>
        <w:jc w:val="both"/>
        <w:outlineLvl w:val="2"/>
        <w:rPr>
          <w:rFonts w:ascii="Times New Roman" w:eastAsia="Times New Roman" w:hAnsi="Times New Roman" w:cs="Simplified Arabic"/>
          <w:b/>
          <w:bCs/>
          <w:sz w:val="27"/>
          <w:szCs w:val="32"/>
          <w:u w:val="single"/>
          <w:lang w:val=""/>
          <w14:ligatures w14:val="none"/>
        </w:rPr>
      </w:pPr>
      <w:bookmarkStart w:id="29" w:name="_Toc235804695"/>
      <w:r w:rsidRPr="00684FF6">
        <w:rPr>
          <w:rFonts w:ascii="Times New Roman" w:eastAsia="Times New Roman" w:hAnsi="Times New Roman" w:cs="Times New Roman"/>
          <w:b/>
          <w:bCs/>
          <w:sz w:val="27"/>
          <w:szCs w:val="32"/>
          <w:u w:val="single"/>
          <w:rtl/>
          <w:lang w:val=""/>
          <w14:ligatures w14:val="none"/>
        </w:rPr>
        <w:t>​</w:t>
      </w:r>
      <w:r w:rsidRPr="00684FF6">
        <w:rPr>
          <w:rFonts w:ascii="Times New Roman" w:eastAsia="Times New Roman" w:hAnsi="Times New Roman" w:cs="Simplified Arabic"/>
          <w:b/>
          <w:bCs/>
          <w:sz w:val="27"/>
          <w:szCs w:val="32"/>
          <w:u w:val="single"/>
          <w:rtl/>
          <w:lang w:val=""/>
          <w14:ligatures w14:val="none"/>
        </w:rPr>
        <w:t xml:space="preserve">2-3-2 </w:t>
      </w:r>
      <w:r w:rsidRPr="00684FF6">
        <w:rPr>
          <w:rFonts w:ascii="Simplified Arabic" w:eastAsia="Times New Roman" w:hAnsi="Simplified Arabic" w:cs="Simplified Arabic"/>
          <w:b/>
          <w:bCs/>
          <w:sz w:val="27"/>
          <w:szCs w:val="32"/>
          <w:u w:val="single"/>
          <w:rtl/>
          <w:lang w:val=""/>
          <w14:ligatures w14:val="none"/>
        </w:rPr>
        <w:t>ال</w:t>
      </w:r>
      <w:r w:rsidRPr="00684FF6">
        <w:rPr>
          <w:rFonts w:ascii="Times New Roman" w:eastAsia="Times New Roman" w:hAnsi="Times New Roman" w:cs="Simplified Arabic"/>
          <w:b/>
          <w:bCs/>
          <w:sz w:val="27"/>
          <w:szCs w:val="32"/>
          <w:u w:val="single"/>
          <w:rtl/>
          <w:lang w:val=""/>
          <w14:ligatures w14:val="none"/>
        </w:rPr>
        <w:t>قسم الثاني: نظرية إدارة التجمعات وحوكمة الأصول</w:t>
      </w:r>
      <w:bookmarkEnd w:id="29"/>
    </w:p>
    <w:p w14:paraId="657688D1" w14:textId="77777777" w:rsidR="00684FF6" w:rsidRPr="00684FF6" w:rsidRDefault="00684FF6" w:rsidP="00684FF6">
      <w:pPr>
        <w:keepNext/>
        <w:keepLines/>
        <w:spacing w:before="40" w:after="0" w:line="360" w:lineRule="auto"/>
        <w:jc w:val="both"/>
        <w:outlineLvl w:val="3"/>
        <w:rPr>
          <w:rFonts w:ascii="Calibri Light" w:eastAsia="Times New Roman" w:hAnsi="Calibri Light" w:cs="Simplified Arabic"/>
          <w:i/>
          <w:kern w:val="2"/>
          <w:szCs w:val="28"/>
          <w:u w:val="single"/>
          <w:rtl/>
        </w:rPr>
      </w:pPr>
      <w:bookmarkStart w:id="30" w:name="_Toc235804696"/>
      <w:r w:rsidRPr="00684FF6">
        <w:rPr>
          <w:rFonts w:ascii="Times New Roman" w:eastAsia="Times New Roman" w:hAnsi="Times New Roman" w:cs="Times New Roman"/>
          <w:i/>
          <w:kern w:val="2"/>
          <w:szCs w:val="28"/>
          <w:u w:val="single"/>
          <w:rtl/>
        </w:rPr>
        <w:t>​</w:t>
      </w:r>
      <w:r w:rsidRPr="00684FF6">
        <w:rPr>
          <w:rFonts w:ascii="Simplified Arabic" w:eastAsia="Times New Roman" w:hAnsi="Simplified Arabic" w:cs="Simplified Arabic"/>
          <w:i/>
          <w:kern w:val="2"/>
          <w:szCs w:val="28"/>
          <w:u w:val="single"/>
          <w:rtl/>
        </w:rPr>
        <w:t>أولاً</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الأسس</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النظرية</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المتعلقة</w:t>
      </w:r>
      <w:r w:rsidRPr="00684FF6">
        <w:rPr>
          <w:rFonts w:ascii="Calibri Light" w:eastAsia="Times New Roman" w:hAnsi="Calibri Light" w:cs="Simplified Arabic"/>
          <w:i/>
          <w:kern w:val="2"/>
          <w:szCs w:val="28"/>
          <w:u w:val="single"/>
          <w:rtl/>
        </w:rPr>
        <w:t xml:space="preserve"> ب</w:t>
      </w:r>
      <w:r w:rsidRPr="00684FF6">
        <w:rPr>
          <w:rFonts w:ascii="Simplified Arabic" w:eastAsia="Times New Roman" w:hAnsi="Simplified Arabic" w:cs="Simplified Arabic"/>
          <w:i/>
          <w:kern w:val="2"/>
          <w:szCs w:val="28"/>
          <w:u w:val="single"/>
          <w:rtl/>
        </w:rPr>
        <w:t>الميزة</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التنافسية</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والتجمعات</w:t>
      </w:r>
      <w:bookmarkEnd w:id="30"/>
    </w:p>
    <w:p w14:paraId="0F6B9DF5" w14:textId="77777777" w:rsidR="00684FF6" w:rsidRPr="00684FF6" w:rsidRDefault="00684FF6" w:rsidP="00684FF6">
      <w:pPr>
        <w:spacing w:before="100" w:beforeAutospacing="1" w:after="100" w:afterAutospacing="1" w:line="360" w:lineRule="auto"/>
        <w:jc w:val="both"/>
        <w:rPr>
          <w:rFonts w:ascii="Times New Roman" w:eastAsia="Aptos" w:hAnsi="Times New Roman" w:cs="Times New Roman"/>
          <w:sz w:val="24"/>
          <w:szCs w:val="24"/>
          <w:rtl/>
          <w:lang w:bidi="ar-EG"/>
        </w:rPr>
      </w:pPr>
      <w:r w:rsidRPr="00684FF6">
        <w:rPr>
          <w:rFonts w:ascii="Calibri" w:eastAsia="Calibri" w:hAnsi="Calibri" w:cs="Arial"/>
          <w:kern w:val="2"/>
          <w:rtl/>
        </w:rPr>
        <w:t>​</w:t>
      </w:r>
      <w:r w:rsidRPr="00684FF6">
        <w:rPr>
          <w:rFonts w:ascii="Simplified Arabic" w:eastAsia="Aptos" w:hAnsi="Simplified Arabic" w:cs="Simplified Arabic"/>
          <w:sz w:val="28"/>
          <w:szCs w:val="28"/>
          <w:rtl/>
          <w:lang w:bidi="ar-EG"/>
        </w:rPr>
        <w:tab/>
        <w:t xml:space="preserve">تعود أصول نظرية التجمعات إلى أعمال مايكل بورتر. نظر بورتر إلى التنافسية وذكر أن الأمر لا يتعلق بأقوياء الأفراد في السوق. الميزة التنافسية، وفقًا لبورتر، تتعلق بوجود منظمات داعمة ومتكاملة وترابطها الوظيفي والجغرافي </w:t>
      </w:r>
      <w:r w:rsidRPr="00684FF6">
        <w:rPr>
          <w:rFonts w:ascii="Simplified Arabic" w:eastAsia="Times New Roman" w:hAnsi="Simplified Arabic" w:cs="Simplified Arabic"/>
          <w:sz w:val="28"/>
          <w:szCs w:val="28"/>
          <w:rtl/>
          <w:lang w:val=""/>
          <w14:ligatures w14:val="none"/>
        </w:rPr>
        <w:t>(</w:t>
      </w:r>
      <w:r w:rsidRPr="00684FF6">
        <w:rPr>
          <w:rFonts w:ascii="Simplified Arabic" w:eastAsia="Times New Roman" w:hAnsi="Simplified Arabic" w:cs="Simplified Arabic"/>
          <w:sz w:val="28"/>
          <w:szCs w:val="28"/>
          <w:lang w:val=""/>
          <w14:ligatures w14:val="none"/>
        </w:rPr>
        <w:t>Porter, 1998</w:t>
      </w:r>
      <w:r w:rsidRPr="00684FF6">
        <w:rPr>
          <w:rFonts w:ascii="Simplified Arabic" w:eastAsia="Times New Roman" w:hAnsi="Simplified Arabic" w:cs="Simplified Arabic"/>
          <w:sz w:val="28"/>
          <w:szCs w:val="28"/>
          <w:rtl/>
          <w:lang w:val=""/>
          <w14:ligatures w14:val="none"/>
        </w:rPr>
        <w:t xml:space="preserve">). </w:t>
      </w:r>
      <w:r w:rsidRPr="00684FF6">
        <w:rPr>
          <w:rFonts w:ascii="Simplified Arabic" w:eastAsia="Aptos" w:hAnsi="Simplified Arabic" w:cs="Simplified Arabic"/>
          <w:sz w:val="28"/>
          <w:szCs w:val="28"/>
          <w:rtl/>
          <w:lang w:bidi="ar-EG"/>
        </w:rPr>
        <w:t>فيما يتعلق بإدارة البنية التحتية العامة والأصول، تشير الإدارة المتكاملة إلى دمج الوظائف الإدارية والتشغيلية لعدة منظمات تقع بالقرب من بعضها البعض ومن المحتمل أن تُدار كوحدة واحدة. تركز معظم نماذج الإدارة هذه على تحقيق وفورات الحجم والنطاق. الفكرة الأساسية هي أنه في بيئة تُدار فيها عدة منظمات كوحدة واحدة، ستكون تكلفة الخدمات مثل الشراء وإدارة عقود الصيانة والهندسة للعديد من المراكز أقل مما لو تم تقديم نفس الخدمات لكل من هذه المنظمات بشكل منفصل. من المهم التأكيد على أنه في سياق "تجمّع مطارات الثاني"، فإن تطبيق هذا المنطق على الجوانب الوظيفية والإدارية لا ينطوي على أي تقارب جغرافي، نظرًا لوجود المطارات في المملكة في مناطق بعيدة ومتفرقة. وبالتالي، يتركز الاهتمام على دمج المنظمات، وليس على قربها الجغرافي.</w:t>
      </w:r>
    </w:p>
    <w:p w14:paraId="2E97864A" w14:textId="77777777" w:rsidR="00684FF6" w:rsidRPr="00684FF6" w:rsidRDefault="00684FF6" w:rsidP="00684FF6">
      <w:pPr>
        <w:keepNext/>
        <w:keepLines/>
        <w:spacing w:before="40" w:after="0" w:line="360" w:lineRule="auto"/>
        <w:jc w:val="both"/>
        <w:outlineLvl w:val="3"/>
        <w:rPr>
          <w:rFonts w:ascii="Calibri Light" w:eastAsia="Times New Roman" w:hAnsi="Calibri Light" w:cs="Simplified Arabic"/>
          <w:i/>
          <w:kern w:val="2"/>
          <w:szCs w:val="28"/>
          <w:u w:val="single"/>
          <w:rtl/>
        </w:rPr>
      </w:pPr>
      <w:bookmarkStart w:id="31" w:name="_Toc235804697"/>
      <w:r w:rsidRPr="00684FF6">
        <w:rPr>
          <w:rFonts w:ascii="Times New Roman" w:eastAsia="Times New Roman" w:hAnsi="Times New Roman" w:cs="Times New Roman"/>
          <w:i/>
          <w:kern w:val="2"/>
          <w:szCs w:val="28"/>
          <w:u w:val="single"/>
          <w:rtl/>
        </w:rPr>
        <w:lastRenderedPageBreak/>
        <w:t>​</w:t>
      </w:r>
      <w:r w:rsidRPr="00684FF6">
        <w:rPr>
          <w:rFonts w:ascii="Simplified Arabic" w:eastAsia="Times New Roman" w:hAnsi="Simplified Arabic" w:cs="Simplified Arabic"/>
          <w:i/>
          <w:kern w:val="2"/>
          <w:szCs w:val="28"/>
          <w:u w:val="single"/>
          <w:rtl/>
        </w:rPr>
        <w:t>ثانياً</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إدارة</w:t>
      </w:r>
      <w:r w:rsidRPr="00684FF6">
        <w:rPr>
          <w:rFonts w:ascii="Calibri Light" w:eastAsia="Times New Roman" w:hAnsi="Calibri Light" w:cs="Simplified Arabic"/>
          <w:i/>
          <w:kern w:val="2"/>
          <w:szCs w:val="28"/>
          <w:u w:val="single"/>
          <w:rtl/>
        </w:rPr>
        <w:t xml:space="preserve"> ال</w:t>
      </w:r>
      <w:r w:rsidRPr="00684FF6">
        <w:rPr>
          <w:rFonts w:ascii="Simplified Arabic" w:eastAsia="Times New Roman" w:hAnsi="Simplified Arabic" w:cs="Simplified Arabic"/>
          <w:i/>
          <w:kern w:val="2"/>
          <w:szCs w:val="28"/>
          <w:u w:val="single"/>
          <w:rtl/>
        </w:rPr>
        <w:t>محافظ</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في</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قطاع</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الطيران</w:t>
      </w:r>
      <w:bookmarkEnd w:id="31"/>
    </w:p>
    <w:p w14:paraId="060786E6" w14:textId="77777777" w:rsidR="00684FF6" w:rsidRPr="00684FF6" w:rsidRDefault="00684FF6" w:rsidP="00684FF6">
      <w:pPr>
        <w:spacing w:before="100" w:beforeAutospacing="1" w:after="100" w:afterAutospacing="1" w:line="360" w:lineRule="auto"/>
        <w:jc w:val="both"/>
        <w:rPr>
          <w:rFonts w:ascii="Times New Roman" w:eastAsia="Aptos" w:hAnsi="Times New Roman" w:cs="Times New Roman"/>
          <w:sz w:val="24"/>
          <w:szCs w:val="24"/>
          <w:rtl/>
        </w:rPr>
      </w:pPr>
      <w:r w:rsidRPr="00684FF6">
        <w:rPr>
          <w:rFonts w:ascii="Calibri" w:eastAsia="Calibri" w:hAnsi="Calibri" w:cs="Arial"/>
          <w:kern w:val="2"/>
          <w:rtl/>
        </w:rPr>
        <w:t>​</w:t>
      </w:r>
      <w:r w:rsidRPr="00684FF6">
        <w:rPr>
          <w:rFonts w:ascii="Simplified Arabic" w:eastAsia="Aptos" w:hAnsi="Simplified Arabic" w:cs="Simplified Arabic"/>
          <w:sz w:val="28"/>
          <w:szCs w:val="28"/>
          <w:rtl/>
          <w:lang w:bidi="ar-EG"/>
        </w:rPr>
        <w:tab/>
        <w:t>إن نموذج التجمعات "</w:t>
      </w:r>
      <w:r w:rsidRPr="00684FF6">
        <w:rPr>
          <w:rFonts w:ascii="Simplified Arabic" w:eastAsia="Aptos" w:hAnsi="Simplified Arabic" w:cs="Simplified Arabic"/>
          <w:sz w:val="28"/>
          <w:szCs w:val="28"/>
          <w:lang w:bidi="ar-EG"/>
        </w:rPr>
        <w:t>Clusters</w:t>
      </w:r>
      <w:r w:rsidRPr="00684FF6">
        <w:rPr>
          <w:rFonts w:ascii="Simplified Arabic" w:eastAsia="Aptos" w:hAnsi="Simplified Arabic" w:cs="Simplified Arabic"/>
          <w:sz w:val="28"/>
          <w:szCs w:val="28"/>
          <w:rtl/>
          <w:lang w:bidi="ar-EG"/>
        </w:rPr>
        <w:t xml:space="preserve">" في سياق إدارة المطارات الإقليمية هو مثال على الاستخدام الابتكاري لإدارة محفظة المشاريع المتكاملة. مع الإدارة المركزية للمجموعة، يمكن توجيه الإنفاق الرأسمالي لمطارات المناطق إلى المناطق والمطارات الفردية التي تظهر أكبر حاجة أو إمكانية لتحقيق أعلى عائد، إلى جانب القدرة على تقليل عدد وحجم عمليات الشراء. أظهرت الأبحاث الأكاديمية الحديثة أن المطارات التي تعمل في أنظمة إدارة متكاملة (شبكات إدارية موحدة) تظهر كفاءة متزايدة في تشغيل الأصول الثابتة، وتقليل تكاليف العمليات والصيانة بسبب حركة الموارد، وتوفر الموارد التقنية والخبرات المشتركة عبر المجموعة </w:t>
      </w:r>
      <w:r w:rsidRPr="00684FF6">
        <w:rPr>
          <w:rFonts w:ascii="Simplified Arabic" w:eastAsia="Times New Roman" w:hAnsi="Simplified Arabic" w:cs="Simplified Arabic"/>
          <w:sz w:val="28"/>
          <w:szCs w:val="28"/>
          <w:rtl/>
          <w:lang w:val=""/>
          <w14:ligatures w14:val="none"/>
        </w:rPr>
        <w:t>(</w:t>
      </w:r>
      <w:r w:rsidRPr="00684FF6">
        <w:rPr>
          <w:rFonts w:ascii="Simplified Arabic" w:eastAsia="Times New Roman" w:hAnsi="Simplified Arabic" w:cs="Simplified Arabic"/>
          <w:sz w:val="28"/>
          <w:szCs w:val="28"/>
          <w:lang w:val=""/>
          <w14:ligatures w14:val="none"/>
        </w:rPr>
        <w:t>Novák et al., 2024</w:t>
      </w:r>
      <w:r w:rsidRPr="00684FF6">
        <w:rPr>
          <w:rFonts w:ascii="Simplified Arabic" w:eastAsia="Times New Roman" w:hAnsi="Simplified Arabic" w:cs="Simplified Arabic"/>
          <w:sz w:val="28"/>
          <w:szCs w:val="28"/>
          <w:rtl/>
          <w:lang w:val=""/>
          <w14:ligatures w14:val="none"/>
        </w:rPr>
        <w:t>).</w:t>
      </w:r>
    </w:p>
    <w:p w14:paraId="69CEDA01" w14:textId="77777777" w:rsidR="00684FF6" w:rsidRPr="00684FF6" w:rsidRDefault="00684FF6" w:rsidP="00684FF6">
      <w:pPr>
        <w:keepNext/>
        <w:keepLines/>
        <w:spacing w:before="40" w:after="0" w:line="360" w:lineRule="auto"/>
        <w:jc w:val="both"/>
        <w:outlineLvl w:val="3"/>
        <w:rPr>
          <w:rFonts w:ascii="Calibri Light" w:eastAsia="Times New Roman" w:hAnsi="Calibri Light" w:cs="Simplified Arabic"/>
          <w:i/>
          <w:kern w:val="2"/>
          <w:szCs w:val="28"/>
          <w:u w:val="single"/>
          <w:rtl/>
        </w:rPr>
      </w:pPr>
      <w:bookmarkStart w:id="32" w:name="_Toc235804698"/>
      <w:r w:rsidRPr="00684FF6">
        <w:rPr>
          <w:rFonts w:ascii="Times New Roman" w:eastAsia="Times New Roman" w:hAnsi="Times New Roman" w:cs="Times New Roman"/>
          <w:i/>
          <w:kern w:val="2"/>
          <w:szCs w:val="28"/>
          <w:u w:val="single"/>
          <w:rtl/>
        </w:rPr>
        <w:t>​</w:t>
      </w:r>
      <w:r w:rsidRPr="00684FF6">
        <w:rPr>
          <w:rFonts w:ascii="Simplified Arabic" w:eastAsia="Times New Roman" w:hAnsi="Simplified Arabic" w:cs="Simplified Arabic"/>
          <w:i/>
          <w:kern w:val="2"/>
          <w:szCs w:val="28"/>
          <w:u w:val="single"/>
          <w:rtl/>
        </w:rPr>
        <w:t>ثالثاً</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إدارة</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المخاطر</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في</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المشاريع</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الرأسمالية</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المجمعة</w:t>
      </w:r>
      <w:bookmarkEnd w:id="32"/>
    </w:p>
    <w:p w14:paraId="3F8E37E6" w14:textId="77777777" w:rsidR="00684FF6" w:rsidRPr="00684FF6" w:rsidRDefault="00684FF6" w:rsidP="00684FF6">
      <w:pPr>
        <w:spacing w:before="100" w:beforeAutospacing="1" w:after="100" w:afterAutospacing="1" w:line="360" w:lineRule="auto"/>
        <w:jc w:val="both"/>
        <w:rPr>
          <w:rFonts w:ascii="Times New Roman" w:eastAsia="Aptos" w:hAnsi="Times New Roman" w:cs="Times New Roman"/>
          <w:sz w:val="24"/>
          <w:szCs w:val="24"/>
          <w:rtl/>
          <w:lang w:bidi="ar-EG"/>
        </w:rPr>
      </w:pPr>
      <w:r w:rsidRPr="00684FF6">
        <w:rPr>
          <w:rFonts w:ascii="Calibri" w:eastAsia="Calibri" w:hAnsi="Calibri" w:cs="Arial"/>
          <w:kern w:val="2"/>
          <w:rtl/>
        </w:rPr>
        <w:t>​</w:t>
      </w:r>
      <w:r w:rsidRPr="00684FF6">
        <w:rPr>
          <w:rFonts w:ascii="Simplified Arabic" w:eastAsia="Aptos" w:hAnsi="Simplified Arabic" w:cs="Simplified Arabic"/>
          <w:sz w:val="28"/>
          <w:szCs w:val="28"/>
          <w:rtl/>
          <w:lang w:bidi="ar-EG"/>
        </w:rPr>
        <w:tab/>
        <w:t xml:space="preserve">إدارة المخاطر مهمة جدًا لنجاح المشاريع الرأسمالية الكبيرة والمعقدة. تشير الأدلة إلى أن استخدام أنظمة إدارة المخاطر الرسمية يتوافق إيجابيًا مع نجاح المشروع </w:t>
      </w:r>
      <w:r w:rsidRPr="00684FF6">
        <w:rPr>
          <w:rFonts w:ascii="Simplified Arabic" w:eastAsia="Times New Roman" w:hAnsi="Simplified Arabic" w:cs="Simplified Arabic"/>
          <w:sz w:val="28"/>
          <w:szCs w:val="28"/>
          <w:rtl/>
          <w:lang w:val=""/>
          <w14:ligatures w14:val="none"/>
        </w:rPr>
        <w:t>(</w:t>
      </w:r>
      <w:r w:rsidRPr="00684FF6">
        <w:rPr>
          <w:rFonts w:ascii="Simplified Arabic" w:eastAsia="Times New Roman" w:hAnsi="Simplified Arabic" w:cs="Simplified Arabic"/>
          <w:sz w:val="28"/>
          <w:szCs w:val="28"/>
          <w:lang w:val=""/>
          <w14:ligatures w14:val="none"/>
        </w:rPr>
        <w:t>de Carvalho &amp; Rabechini Junior, 2015</w:t>
      </w:r>
      <w:r w:rsidRPr="00684FF6">
        <w:rPr>
          <w:rFonts w:ascii="Simplified Arabic" w:eastAsia="Times New Roman" w:hAnsi="Simplified Arabic" w:cs="Simplified Arabic"/>
          <w:sz w:val="28"/>
          <w:szCs w:val="28"/>
          <w:rtl/>
          <w:lang w:val=""/>
          <w14:ligatures w14:val="none"/>
        </w:rPr>
        <w:t xml:space="preserve">). </w:t>
      </w:r>
      <w:r w:rsidRPr="00684FF6">
        <w:rPr>
          <w:rFonts w:ascii="Simplified Arabic" w:eastAsia="Aptos" w:hAnsi="Simplified Arabic" w:cs="Simplified Arabic"/>
          <w:sz w:val="28"/>
          <w:szCs w:val="28"/>
          <w:rtl/>
          <w:lang w:bidi="ar-EG"/>
        </w:rPr>
        <w:t xml:space="preserve">في النهج الإداري التقليدي أو غير المركزي، يكون كل مطار مسؤولًا فرديًا عن إدارة مخاطر المشروع. ونتيجة لذلك، قد يُفقد مشاريع حاسمة بسبب آثار مشتركة لأحداث مالية أو تشغيلية غير مخططة. من ناحية أخرى، يسمح النهج الإداري المجمّع بتوزيع المخاطر عبر محفظة الاستثمارات الكلية للمجموعة من خلال نهج إدارة مخاطر الحافظة بهدف تطوير سجل مخاطر شامل. يتيح هذا السجل للمجموعة تقديم الموارد المالية والمساعدة التقنية للمشاريع التي تُظهر أداء ضعيف داخل أي من المطارات التي تملكها المجموعة، قبل أن </w:t>
      </w:r>
      <w:r w:rsidRPr="00684FF6">
        <w:rPr>
          <w:rFonts w:ascii="Simplified Arabic" w:eastAsia="Aptos" w:hAnsi="Simplified Arabic" w:cs="Simplified Arabic"/>
          <w:sz w:val="28"/>
          <w:szCs w:val="28"/>
          <w:rtl/>
          <w:lang w:bidi="ar-EG"/>
        </w:rPr>
        <w:lastRenderedPageBreak/>
        <w:t>تؤثر الحالة سلبًا على المشاريع المتبقية وجدول التشغيل للمجموعة. هذا ليس نتيجة لبحث منشور سابقًا بشكل مباشر؛ بل هو نتيجة تحليلية للدراسة على أساس منطق النموذج المجمّع.</w:t>
      </w:r>
    </w:p>
    <w:p w14:paraId="4E033CBC" w14:textId="77777777" w:rsidR="00684FF6" w:rsidRPr="00684FF6" w:rsidRDefault="00684FF6" w:rsidP="00684FF6">
      <w:pPr>
        <w:keepNext/>
        <w:keepLines/>
        <w:spacing w:before="40" w:after="0" w:line="360" w:lineRule="auto"/>
        <w:jc w:val="both"/>
        <w:outlineLvl w:val="3"/>
        <w:rPr>
          <w:rFonts w:ascii="Calibri Light" w:eastAsia="Times New Roman" w:hAnsi="Calibri Light" w:cs="Simplified Arabic"/>
          <w:i/>
          <w:kern w:val="2"/>
          <w:szCs w:val="28"/>
          <w:u w:val="single"/>
          <w:rtl/>
        </w:rPr>
      </w:pPr>
      <w:bookmarkStart w:id="33" w:name="_Toc235804699"/>
      <w:r w:rsidRPr="00684FF6">
        <w:rPr>
          <w:rFonts w:ascii="Times New Roman" w:eastAsia="Times New Roman" w:hAnsi="Times New Roman" w:cs="Times New Roman"/>
          <w:i/>
          <w:kern w:val="2"/>
          <w:szCs w:val="28"/>
          <w:u w:val="single"/>
          <w:rtl/>
        </w:rPr>
        <w:t>​</w:t>
      </w:r>
      <w:r w:rsidRPr="00684FF6">
        <w:rPr>
          <w:rFonts w:ascii="Simplified Arabic" w:eastAsia="Times New Roman" w:hAnsi="Simplified Arabic" w:cs="Simplified Arabic"/>
          <w:i/>
          <w:kern w:val="2"/>
          <w:szCs w:val="28"/>
          <w:u w:val="single"/>
          <w:rtl/>
        </w:rPr>
        <w:t>رابعاً</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الحوكمة</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المركزية</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مع التنفيذ</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اللامركزي</w:t>
      </w:r>
      <w:bookmarkEnd w:id="33"/>
    </w:p>
    <w:p w14:paraId="6D3DCB64" w14:textId="77777777" w:rsidR="00684FF6" w:rsidRPr="00684FF6" w:rsidRDefault="00684FF6" w:rsidP="00684FF6">
      <w:pPr>
        <w:spacing w:before="100" w:beforeAutospacing="1" w:after="100" w:afterAutospacing="1" w:line="360" w:lineRule="auto"/>
        <w:jc w:val="both"/>
        <w:rPr>
          <w:rFonts w:ascii="Times New Roman" w:eastAsia="Times New Roman" w:hAnsi="Times New Roman" w:cs="Times New Roman"/>
          <w:sz w:val="24"/>
          <w:szCs w:val="24"/>
          <w:rtl/>
          <w:lang w:val=""/>
          <w14:ligatures w14:val="none"/>
        </w:rPr>
      </w:pPr>
      <w:r w:rsidRPr="00684FF6">
        <w:rPr>
          <w:rFonts w:ascii="Times New Roman" w:eastAsia="Times New Roman" w:hAnsi="Times New Roman" w:cs="Times New Roman"/>
          <w:sz w:val="24"/>
          <w:szCs w:val="24"/>
          <w:rtl/>
          <w:lang w:val=""/>
          <w14:ligatures w14:val="none"/>
        </w:rPr>
        <w:t>​</w:t>
      </w:r>
      <w:r w:rsidRPr="00684FF6">
        <w:rPr>
          <w:rFonts w:ascii="Simplified Arabic" w:eastAsia="Aptos" w:hAnsi="Simplified Arabic" w:cs="Simplified Arabic"/>
          <w:sz w:val="28"/>
          <w:szCs w:val="28"/>
          <w:rtl/>
          <w:lang w:bidi="ar-EG"/>
        </w:rPr>
        <w:tab/>
        <w:t>يُختتم نموذج الإدارة المجمعة بعبارة «حوكمة مركزية مع تنفيذ لامركزي». يعني ذلك أن الهيئات المركزية (الشركة الأم أو إدارة المجموعة التنفيذية) مسؤولة عن صياغة استراتيجيات الشركات، ومعايير كفاءة إدارة المشاريع داخل الشركة، وموافقة ميزانيات رأس مال الشركة. من ناحية أخرى، تكون العمليات اليومية والأنشطة التكتيكية مسؤولية الأقسام الفرعية المحلية للشركة، ويمكن تنفيذها بدرجة عالية من المرونة لتلبية متطلبات الحالة الخاصة الميدانية. يحقق هذا النموذج كفاءة عالية داخل الشركة، وفي الوقت نفسه، يتجنب البيروقراطية المفرطة أو التوسع الإداري الزائد، مع ضمان التركيز الدقيق للشركة على مؤشرات الأداء الرئيسية (</w:t>
      </w:r>
      <w:r w:rsidRPr="00684FF6">
        <w:rPr>
          <w:rFonts w:ascii="Simplified Arabic" w:eastAsia="Aptos" w:hAnsi="Simplified Arabic" w:cs="Simplified Arabic"/>
          <w:sz w:val="28"/>
          <w:szCs w:val="28"/>
          <w:lang w:bidi="ar-EG"/>
        </w:rPr>
        <w:t>KPIs</w:t>
      </w:r>
      <w:r w:rsidRPr="00684FF6">
        <w:rPr>
          <w:rFonts w:ascii="Simplified Arabic" w:eastAsia="Aptos" w:hAnsi="Simplified Arabic" w:cs="Simplified Arabic"/>
          <w:sz w:val="28"/>
          <w:szCs w:val="28"/>
          <w:rtl/>
          <w:lang w:bidi="ar-EG"/>
        </w:rPr>
        <w:t xml:space="preserve">) المتعلقة بإتمام مشاريع الشركة، وبالتالي ضمان توافق أهداف مشاريع الميدان مع أهداف المجموعة </w:t>
      </w:r>
      <w:r w:rsidRPr="00684FF6">
        <w:rPr>
          <w:rFonts w:ascii="Simplified Arabic" w:eastAsia="Times New Roman" w:hAnsi="Simplified Arabic" w:cs="Simplified Arabic"/>
          <w:sz w:val="28"/>
          <w:szCs w:val="28"/>
          <w:rtl/>
          <w:lang w:val=""/>
          <w14:ligatures w14:val="none"/>
        </w:rPr>
        <w:t>(</w:t>
      </w:r>
      <w:r w:rsidRPr="00684FF6">
        <w:rPr>
          <w:rFonts w:ascii="Simplified Arabic" w:eastAsia="Times New Roman" w:hAnsi="Simplified Arabic" w:cs="Simplified Arabic"/>
          <w:sz w:val="28"/>
          <w:szCs w:val="28"/>
          <w:lang w:val=""/>
          <w14:ligatures w14:val="none"/>
        </w:rPr>
        <w:t>PMI, 2021</w:t>
      </w:r>
      <w:r w:rsidRPr="00684FF6">
        <w:rPr>
          <w:rFonts w:ascii="Simplified Arabic" w:eastAsia="Times New Roman" w:hAnsi="Simplified Arabic" w:cs="Simplified Arabic"/>
          <w:sz w:val="28"/>
          <w:szCs w:val="28"/>
          <w:rtl/>
          <w:lang w:val=""/>
          <w14:ligatures w14:val="none"/>
        </w:rPr>
        <w:t>).</w:t>
      </w:r>
    </w:p>
    <w:p w14:paraId="76B0A606" w14:textId="77777777" w:rsidR="00684FF6" w:rsidRPr="00684FF6" w:rsidRDefault="00684FF6" w:rsidP="00684FF6">
      <w:pPr>
        <w:spacing w:before="100" w:beforeAutospacing="1" w:after="100" w:afterAutospacing="1" w:line="360" w:lineRule="auto"/>
        <w:jc w:val="both"/>
        <w:outlineLvl w:val="2"/>
        <w:rPr>
          <w:rFonts w:ascii="Times New Roman" w:eastAsia="Times New Roman" w:hAnsi="Times New Roman" w:cs="Simplified Arabic"/>
          <w:b/>
          <w:bCs/>
          <w:sz w:val="27"/>
          <w:szCs w:val="32"/>
          <w:u w:val="single"/>
          <w:rtl/>
          <w14:ligatures w14:val="none"/>
        </w:rPr>
      </w:pPr>
      <w:bookmarkStart w:id="34" w:name="_Toc235804700"/>
      <w:r w:rsidRPr="00684FF6">
        <w:rPr>
          <w:rFonts w:ascii="Times New Roman" w:eastAsia="Times New Roman" w:hAnsi="Times New Roman" w:cs="Times New Roman"/>
          <w:b/>
          <w:bCs/>
          <w:sz w:val="27"/>
          <w:szCs w:val="32"/>
          <w:u w:val="single"/>
          <w:rtl/>
          <w:lang w:val=""/>
          <w14:ligatures w14:val="none"/>
        </w:rPr>
        <w:t>​</w:t>
      </w:r>
      <w:r w:rsidRPr="00684FF6">
        <w:rPr>
          <w:rFonts w:ascii="Times New Roman" w:eastAsia="Times New Roman" w:hAnsi="Times New Roman" w:cs="Simplified Arabic"/>
          <w:b/>
          <w:bCs/>
          <w:sz w:val="27"/>
          <w:szCs w:val="32"/>
          <w:u w:val="single"/>
          <w:rtl/>
          <w:lang w:val=""/>
          <w14:ligatures w14:val="none"/>
        </w:rPr>
        <w:t xml:space="preserve">2-3-3 </w:t>
      </w:r>
      <w:r w:rsidRPr="00684FF6">
        <w:rPr>
          <w:rFonts w:ascii="Simplified Arabic" w:eastAsia="Times New Roman" w:hAnsi="Simplified Arabic" w:cs="Simplified Arabic"/>
          <w:b/>
          <w:bCs/>
          <w:sz w:val="27"/>
          <w:szCs w:val="32"/>
          <w:u w:val="single"/>
          <w:rtl/>
          <w:lang w:val=""/>
          <w14:ligatures w14:val="none"/>
        </w:rPr>
        <w:t>ال</w:t>
      </w:r>
      <w:r w:rsidRPr="00684FF6">
        <w:rPr>
          <w:rFonts w:ascii="Times New Roman" w:eastAsia="Times New Roman" w:hAnsi="Times New Roman" w:cs="Simplified Arabic"/>
          <w:b/>
          <w:bCs/>
          <w:sz w:val="27"/>
          <w:szCs w:val="32"/>
          <w:u w:val="single"/>
          <w:rtl/>
          <w:lang w:val=""/>
          <w14:ligatures w14:val="none"/>
        </w:rPr>
        <w:t>قسم الثالث: السياق التطبيقي والتحول المؤسسي لشركة تجمع مطارات الثاني</w:t>
      </w:r>
      <w:bookmarkEnd w:id="34"/>
    </w:p>
    <w:p w14:paraId="71DE2731" w14:textId="77777777" w:rsidR="00684FF6" w:rsidRPr="00684FF6" w:rsidRDefault="00684FF6" w:rsidP="00684FF6">
      <w:pPr>
        <w:keepNext/>
        <w:keepLines/>
        <w:spacing w:before="40" w:after="0" w:line="360" w:lineRule="auto"/>
        <w:jc w:val="both"/>
        <w:outlineLvl w:val="3"/>
        <w:rPr>
          <w:rFonts w:ascii="Calibri Light" w:eastAsia="Times New Roman" w:hAnsi="Calibri Light" w:cs="Simplified Arabic"/>
          <w:i/>
          <w:kern w:val="2"/>
          <w:szCs w:val="28"/>
          <w:u w:val="single"/>
          <w:rtl/>
        </w:rPr>
      </w:pPr>
      <w:bookmarkStart w:id="35" w:name="_Toc235804701"/>
      <w:r w:rsidRPr="00684FF6">
        <w:rPr>
          <w:rFonts w:ascii="Times New Roman" w:eastAsia="Times New Roman" w:hAnsi="Times New Roman" w:cs="Times New Roman"/>
          <w:i/>
          <w:kern w:val="2"/>
          <w:szCs w:val="28"/>
          <w:u w:val="single"/>
          <w:rtl/>
        </w:rPr>
        <w:t>​</w:t>
      </w:r>
      <w:r w:rsidRPr="00684FF6">
        <w:rPr>
          <w:rFonts w:ascii="Simplified Arabic" w:eastAsia="Times New Roman" w:hAnsi="Simplified Arabic" w:cs="Simplified Arabic"/>
          <w:i/>
          <w:kern w:val="2"/>
          <w:szCs w:val="28"/>
          <w:u w:val="single"/>
          <w:rtl/>
        </w:rPr>
        <w:t>أولاً</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التحول</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الاستراتيجي</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لقطاع</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الطيران</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في</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ظل</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رؤية</w:t>
      </w:r>
      <w:r w:rsidRPr="00684FF6">
        <w:rPr>
          <w:rFonts w:ascii="Calibri Light" w:eastAsia="Times New Roman" w:hAnsi="Calibri Light" w:cs="Simplified Arabic"/>
          <w:i/>
          <w:kern w:val="2"/>
          <w:szCs w:val="28"/>
          <w:u w:val="single"/>
          <w:rtl/>
        </w:rPr>
        <w:t xml:space="preserve"> 2030</w:t>
      </w:r>
      <w:bookmarkEnd w:id="35"/>
    </w:p>
    <w:p w14:paraId="72927C1B" w14:textId="77777777" w:rsidR="00684FF6" w:rsidRPr="00684FF6" w:rsidRDefault="00684FF6" w:rsidP="00684FF6">
      <w:pPr>
        <w:spacing w:before="100" w:beforeAutospacing="1" w:after="100" w:afterAutospacing="1" w:line="360" w:lineRule="auto"/>
        <w:jc w:val="both"/>
        <w:rPr>
          <w:rFonts w:ascii="Times New Roman" w:eastAsia="Times New Roman" w:hAnsi="Times New Roman" w:cs="Times New Roman"/>
          <w:sz w:val="24"/>
          <w:szCs w:val="24"/>
          <w:rtl/>
          <w:lang w:val=""/>
          <w14:ligatures w14:val="none"/>
        </w:rPr>
      </w:pPr>
      <w:r w:rsidRPr="00684FF6">
        <w:rPr>
          <w:rFonts w:ascii="Times New Roman" w:eastAsia="Times New Roman" w:hAnsi="Times New Roman" w:cs="Times New Roman"/>
          <w:sz w:val="24"/>
          <w:szCs w:val="24"/>
          <w:rtl/>
          <w:lang w:val=""/>
          <w14:ligatures w14:val="none"/>
        </w:rPr>
        <w:t>​</w:t>
      </w:r>
      <w:r w:rsidRPr="00684FF6">
        <w:rPr>
          <w:rFonts w:ascii="Simplified Arabic" w:eastAsia="Aptos" w:hAnsi="Simplified Arabic" w:cs="Simplified Arabic"/>
          <w:sz w:val="28"/>
          <w:szCs w:val="28"/>
          <w:rtl/>
          <w:lang w:bidi="ar-EG"/>
        </w:rPr>
        <w:tab/>
        <w:t>توفر رؤية المملكة العربية السعودية 2030 إطارًا لتحول قطاعات النقل واللوجستيات ضمن سياق ديناميكي ومتزايد التنافسية. لقد شرعت الهيئة العامة للطيران المدني (</w:t>
      </w:r>
      <w:r w:rsidRPr="00684FF6">
        <w:rPr>
          <w:rFonts w:ascii="Times New Roman" w:eastAsia="Aptos" w:hAnsi="Times New Roman" w:cs="Times New Roman"/>
          <w:sz w:val="24"/>
          <w:szCs w:val="24"/>
          <w:lang w:bidi="ar-EG"/>
        </w:rPr>
        <w:t>GACA</w:t>
      </w:r>
      <w:r w:rsidRPr="00684FF6">
        <w:rPr>
          <w:rFonts w:ascii="Simplified Arabic" w:eastAsia="Aptos" w:hAnsi="Simplified Arabic" w:cs="Simplified Arabic"/>
          <w:sz w:val="28"/>
          <w:szCs w:val="28"/>
          <w:rtl/>
          <w:lang w:bidi="ar-EG"/>
        </w:rPr>
        <w:t>) في مهمة طموحة تشمل استراتيجية قطاعية شاملة للتسويق وخصخصة المطارات، بالإضافة إلى الفصل التشريعي والعملي (</w:t>
      </w:r>
      <w:r w:rsidRPr="00684FF6">
        <w:rPr>
          <w:rFonts w:ascii="Simplified Arabic" w:eastAsia="Aptos" w:hAnsi="Simplified Arabic" w:cs="Simplified Arabic"/>
          <w:sz w:val="28"/>
          <w:szCs w:val="28"/>
          <w:lang w:bidi="ar-EG"/>
        </w:rPr>
        <w:t xml:space="preserve">General </w:t>
      </w:r>
      <w:r w:rsidRPr="00684FF6">
        <w:rPr>
          <w:rFonts w:ascii="Simplified Arabic" w:eastAsia="Aptos" w:hAnsi="Simplified Arabic" w:cs="Simplified Arabic"/>
          <w:sz w:val="28"/>
          <w:szCs w:val="28"/>
          <w:lang w:bidi="ar-EG"/>
        </w:rPr>
        <w:lastRenderedPageBreak/>
        <w:t>Authority of Civil Aviation [GACA], 2021</w:t>
      </w:r>
      <w:r w:rsidRPr="00684FF6">
        <w:rPr>
          <w:rFonts w:ascii="Simplified Arabic" w:eastAsia="Aptos" w:hAnsi="Simplified Arabic" w:cs="Simplified Arabic"/>
          <w:sz w:val="28"/>
          <w:szCs w:val="28"/>
          <w:rtl/>
          <w:lang w:bidi="ar-EG"/>
        </w:rPr>
        <w:t>). الهدف المعلن من الرؤية هو زيادة أعداد المسافرين إلى 330 مليونًا ومعالجة 4.5 مليون طن من البضائع بحلول عام 2030 (</w:t>
      </w:r>
      <w:r w:rsidRPr="00684FF6">
        <w:rPr>
          <w:rFonts w:ascii="Simplified Arabic" w:eastAsia="Aptos" w:hAnsi="Simplified Arabic" w:cs="Simplified Arabic"/>
          <w:sz w:val="28"/>
          <w:szCs w:val="28"/>
          <w:lang w:bidi="ar-EG"/>
        </w:rPr>
        <w:t>Ministry of Transport and Logistic Services, 2021</w:t>
      </w:r>
      <w:r w:rsidRPr="00684FF6">
        <w:rPr>
          <w:rFonts w:ascii="Simplified Arabic" w:eastAsia="Aptos" w:hAnsi="Simplified Arabic" w:cs="Simplified Arabic"/>
          <w:sz w:val="28"/>
          <w:szCs w:val="28"/>
          <w:rtl/>
          <w:lang w:bidi="ar-EG"/>
        </w:rPr>
        <w:t xml:space="preserve">). ووفقًا لأهداف اللوجستيات والنقل في رؤية 2030، الهدف هو وضع المملكة كمركز لوجستي رائد في العالم </w:t>
      </w:r>
      <w:r w:rsidRPr="00684FF6">
        <w:rPr>
          <w:rFonts w:ascii="Simplified Arabic" w:eastAsia="Times New Roman" w:hAnsi="Simplified Arabic" w:cs="Simplified Arabic"/>
          <w:sz w:val="28"/>
          <w:szCs w:val="28"/>
          <w:rtl/>
          <w:lang w:val=""/>
          <w14:ligatures w14:val="none"/>
        </w:rPr>
        <w:t>(</w:t>
      </w:r>
      <w:r w:rsidRPr="00684FF6">
        <w:rPr>
          <w:rFonts w:ascii="Simplified Arabic" w:eastAsia="Times New Roman" w:hAnsi="Simplified Arabic" w:cs="Simplified Arabic"/>
          <w:sz w:val="28"/>
          <w:szCs w:val="28"/>
          <w:lang w:val=""/>
          <w14:ligatures w14:val="none"/>
        </w:rPr>
        <w:t>GACA, 2021</w:t>
      </w:r>
      <w:r w:rsidRPr="00684FF6">
        <w:rPr>
          <w:rFonts w:ascii="Simplified Arabic" w:eastAsia="Times New Roman" w:hAnsi="Simplified Arabic" w:cs="Simplified Arabic"/>
          <w:sz w:val="28"/>
          <w:szCs w:val="28"/>
          <w:rtl/>
          <w:lang w:val=""/>
          <w14:ligatures w14:val="none"/>
        </w:rPr>
        <w:t>).</w:t>
      </w:r>
    </w:p>
    <w:p w14:paraId="78B01B01" w14:textId="77777777" w:rsidR="00684FF6" w:rsidRPr="00684FF6" w:rsidRDefault="00684FF6" w:rsidP="00684FF6">
      <w:pPr>
        <w:keepNext/>
        <w:keepLines/>
        <w:spacing w:before="40" w:after="0" w:line="360" w:lineRule="auto"/>
        <w:jc w:val="both"/>
        <w:outlineLvl w:val="3"/>
        <w:rPr>
          <w:rFonts w:ascii="Calibri Light" w:eastAsia="Times New Roman" w:hAnsi="Calibri Light" w:cs="Simplified Arabic"/>
          <w:i/>
          <w:kern w:val="2"/>
          <w:szCs w:val="28"/>
          <w:u w:val="single"/>
          <w:rtl/>
        </w:rPr>
      </w:pPr>
      <w:bookmarkStart w:id="36" w:name="_Toc235804702"/>
      <w:r w:rsidRPr="00684FF6">
        <w:rPr>
          <w:rFonts w:ascii="Times New Roman" w:eastAsia="Times New Roman" w:hAnsi="Times New Roman" w:cs="Times New Roman"/>
          <w:i/>
          <w:kern w:val="2"/>
          <w:szCs w:val="28"/>
          <w:u w:val="single"/>
          <w:rtl/>
        </w:rPr>
        <w:t>​</w:t>
      </w:r>
      <w:r w:rsidRPr="00684FF6">
        <w:rPr>
          <w:rFonts w:ascii="Simplified Arabic" w:eastAsia="Times New Roman" w:hAnsi="Simplified Arabic" w:cs="Simplified Arabic"/>
          <w:i/>
          <w:kern w:val="2"/>
          <w:szCs w:val="28"/>
          <w:u w:val="single"/>
          <w:rtl/>
        </w:rPr>
        <w:t>ثانياً</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ولادة</w:t>
      </w:r>
      <w:r w:rsidRPr="00684FF6">
        <w:rPr>
          <w:rFonts w:ascii="Calibri Light" w:eastAsia="Times New Roman" w:hAnsi="Calibri Light" w:cs="Simplified Arabic"/>
          <w:i/>
          <w:kern w:val="2"/>
          <w:szCs w:val="28"/>
          <w:u w:val="single"/>
          <w:rtl/>
        </w:rPr>
        <w:t xml:space="preserve"> شركة "</w:t>
      </w:r>
      <w:r w:rsidRPr="00684FF6">
        <w:rPr>
          <w:rFonts w:ascii="Simplified Arabic" w:eastAsia="Times New Roman" w:hAnsi="Simplified Arabic" w:cs="Simplified Arabic"/>
          <w:i/>
          <w:kern w:val="2"/>
          <w:szCs w:val="28"/>
          <w:u w:val="single"/>
          <w:rtl/>
        </w:rPr>
        <w:t>تجمع</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مطارات</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 xml:space="preserve">الثاني </w:t>
      </w:r>
      <w:r w:rsidRPr="00684FF6">
        <w:rPr>
          <w:rFonts w:ascii="Times New Roman" w:eastAsia="Times New Roman" w:hAnsi="Times New Roman" w:cs="Times New Roman"/>
          <w:iCs/>
          <w:kern w:val="2"/>
          <w:sz w:val="24"/>
          <w:szCs w:val="24"/>
          <w:u w:val="single"/>
        </w:rPr>
        <w:t>Cluster 2</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وتحديات</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إدارة</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التغيير</w:t>
      </w:r>
      <w:bookmarkEnd w:id="36"/>
    </w:p>
    <w:p w14:paraId="1708F7AB" w14:textId="77777777" w:rsidR="00684FF6" w:rsidRPr="00684FF6" w:rsidRDefault="00684FF6" w:rsidP="00684FF6">
      <w:pPr>
        <w:spacing w:before="100" w:beforeAutospacing="1" w:after="100" w:afterAutospacing="1" w:line="360" w:lineRule="auto"/>
        <w:jc w:val="both"/>
        <w:rPr>
          <w:rFonts w:ascii="Simplified Arabic" w:eastAsia="Times New Roman" w:hAnsi="Simplified Arabic" w:cs="Simplified Arabic"/>
          <w:sz w:val="28"/>
          <w:szCs w:val="28"/>
          <w:rtl/>
          <w:lang w:val="" w:bidi="ar-EG"/>
          <w14:ligatures w14:val="none"/>
        </w:rPr>
      </w:pPr>
      <w:r w:rsidRPr="00684FF6">
        <w:rPr>
          <w:rFonts w:ascii="Times New Roman" w:eastAsia="Times New Roman" w:hAnsi="Times New Roman" w:cs="Times New Roman"/>
          <w:sz w:val="24"/>
          <w:szCs w:val="24"/>
          <w:rtl/>
          <w:lang w:val=""/>
          <w14:ligatures w14:val="none"/>
        </w:rPr>
        <w:t>​</w:t>
      </w:r>
      <w:r w:rsidRPr="00684FF6">
        <w:rPr>
          <w:rFonts w:ascii="Simplified Arabic" w:eastAsia="Aptos" w:hAnsi="Simplified Arabic" w:cs="Simplified Arabic"/>
          <w:sz w:val="28"/>
          <w:szCs w:val="28"/>
          <w:rtl/>
          <w:lang w:bidi="ar-EG"/>
        </w:rPr>
        <w:tab/>
        <w:t xml:space="preserve">كجزء من تحقيق الأوامر الاستراتيجية المحددة، تم إنشاء شركة "تجمع مطارات الثاني </w:t>
      </w:r>
      <w:r w:rsidRPr="00684FF6">
        <w:rPr>
          <w:rFonts w:ascii="Times New Roman" w:eastAsia="Aptos" w:hAnsi="Times New Roman" w:cs="Times New Roman"/>
          <w:sz w:val="24"/>
          <w:szCs w:val="24"/>
          <w:lang w:bidi="ar-EG"/>
        </w:rPr>
        <w:t>Cluster 2</w:t>
      </w:r>
      <w:r w:rsidRPr="00684FF6">
        <w:rPr>
          <w:rFonts w:ascii="Simplified Arabic" w:eastAsia="Aptos" w:hAnsi="Simplified Arabic" w:cs="Simplified Arabic"/>
          <w:sz w:val="28"/>
          <w:szCs w:val="28"/>
          <w:rtl/>
          <w:lang w:bidi="ar-EG"/>
        </w:rPr>
        <w:t>" تحت مجموعة شركة مطارات القابضة في الأول من يناير عام 2022. تتولى الشركة التفويض الاستراتيجي والإداري لإدارة وتشغيل وتطوير عدد كبير من 22 مطارًا داخليًا ودوليًا وإقليميًا (</w:t>
      </w:r>
      <w:r w:rsidRPr="00684FF6">
        <w:rPr>
          <w:rFonts w:ascii="Simplified Arabic" w:eastAsia="Aptos" w:hAnsi="Simplified Arabic" w:cs="Simplified Arabic"/>
          <w:sz w:val="28"/>
          <w:szCs w:val="28"/>
          <w:lang w:bidi="ar-EG"/>
        </w:rPr>
        <w:t>Cluster 2, 2024</w:t>
      </w:r>
      <w:r w:rsidRPr="00684FF6">
        <w:rPr>
          <w:rFonts w:ascii="Simplified Arabic" w:eastAsia="Aptos" w:hAnsi="Simplified Arabic" w:cs="Simplified Arabic"/>
          <w:sz w:val="28"/>
          <w:szCs w:val="28"/>
          <w:rtl/>
          <w:lang w:bidi="ar-EG"/>
        </w:rPr>
        <w:t>).</w:t>
      </w:r>
    </w:p>
    <w:p w14:paraId="4E1209CD" w14:textId="77777777" w:rsidR="00684FF6" w:rsidRPr="00684FF6" w:rsidRDefault="00684FF6" w:rsidP="00684FF6">
      <w:pPr>
        <w:spacing w:before="100" w:beforeAutospacing="1" w:after="100" w:afterAutospacing="1" w:line="360" w:lineRule="auto"/>
        <w:jc w:val="both"/>
        <w:rPr>
          <w:rFonts w:ascii="Simplified Arabic" w:eastAsia="Times New Roman" w:hAnsi="Simplified Arabic" w:cs="Simplified Arabic"/>
          <w:sz w:val="28"/>
          <w:szCs w:val="28"/>
          <w:rtl/>
          <w:lang w:val="" w:bidi="ar-EG"/>
          <w14:ligatures w14:val="none"/>
        </w:rPr>
      </w:pPr>
      <w:r w:rsidRPr="00684FF6">
        <w:rPr>
          <w:rFonts w:ascii="Times New Roman" w:eastAsia="Times New Roman" w:hAnsi="Times New Roman" w:cs="Times New Roman"/>
          <w:sz w:val="28"/>
          <w:szCs w:val="28"/>
          <w:rtl/>
          <w:lang w:val=""/>
          <w14:ligatures w14:val="none"/>
        </w:rPr>
        <w:t>​</w:t>
      </w:r>
      <w:r w:rsidRPr="00684FF6">
        <w:rPr>
          <w:rFonts w:ascii="Simplified Arabic" w:eastAsia="Aptos" w:hAnsi="Simplified Arabic" w:cs="Simplified Arabic"/>
          <w:sz w:val="28"/>
          <w:szCs w:val="28"/>
          <w:rtl/>
          <w:lang w:bidi="ar-EG"/>
        </w:rPr>
        <w:tab/>
        <w:t>نقل عدد كبير من المطارات من الرقابة الحكومية المباشرة إلى نموذج عمليات تجارية مستقلة يتطلب ليس فقط إعادة تشكيل الهياكل التجارية، بل وتحديًا أكثر تعقيدًا يتمثل في إدارة التغيير. تؤكد نظريات إدارة التغيير أن دمج وحدات أعمال تمتلك ثقافات مهيمنة متميزة يتطلب إدارة متطورة لمقاومة التغيير بالإضافة إلى تعزيز اعتماد التغيير ضمن الممارسات التجارية الجديدة (</w:t>
      </w:r>
      <w:r w:rsidRPr="00684FF6">
        <w:rPr>
          <w:rFonts w:ascii="Simplified Arabic" w:eastAsia="Aptos" w:hAnsi="Simplified Arabic" w:cs="Simplified Arabic"/>
          <w:sz w:val="28"/>
          <w:szCs w:val="28"/>
          <w:lang w:bidi="ar-EG"/>
        </w:rPr>
        <w:t>Kotter, 1996</w:t>
      </w:r>
      <w:r w:rsidRPr="00684FF6">
        <w:rPr>
          <w:rFonts w:ascii="Simplified Arabic" w:eastAsia="Aptos" w:hAnsi="Simplified Arabic" w:cs="Simplified Arabic"/>
          <w:sz w:val="28"/>
          <w:szCs w:val="28"/>
          <w:rtl/>
          <w:lang w:bidi="ar-EG"/>
        </w:rPr>
        <w:t xml:space="preserve">). بالنسبة لشركة "تجمع مطارات الثاني </w:t>
      </w:r>
      <w:r w:rsidRPr="00684FF6">
        <w:rPr>
          <w:rFonts w:ascii="Times New Roman" w:eastAsia="Aptos" w:hAnsi="Times New Roman" w:cs="Times New Roman"/>
          <w:sz w:val="24"/>
          <w:szCs w:val="24"/>
          <w:lang w:bidi="ar-EG"/>
        </w:rPr>
        <w:t>Cluster 2</w:t>
      </w:r>
      <w:r w:rsidRPr="00684FF6">
        <w:rPr>
          <w:rFonts w:ascii="Simplified Arabic" w:eastAsia="Aptos" w:hAnsi="Simplified Arabic" w:cs="Simplified Arabic"/>
          <w:sz w:val="28"/>
          <w:szCs w:val="28"/>
          <w:rtl/>
          <w:lang w:bidi="ar-EG"/>
        </w:rPr>
        <w:t>"، فإن ذلك يتمثل في دمج 22 وحدة عمل ذات ثقافات تشغيلية مستقلة ضمن ثقافة تشغيلية موحدة داخل إطار مؤسسي واحد.</w:t>
      </w:r>
    </w:p>
    <w:p w14:paraId="250EDD88" w14:textId="77777777" w:rsidR="00684FF6" w:rsidRPr="00684FF6" w:rsidRDefault="00684FF6" w:rsidP="00684FF6">
      <w:pPr>
        <w:keepNext/>
        <w:keepLines/>
        <w:spacing w:before="40" w:after="0" w:line="360" w:lineRule="auto"/>
        <w:jc w:val="both"/>
        <w:outlineLvl w:val="3"/>
        <w:rPr>
          <w:rFonts w:ascii="Calibri Light" w:eastAsia="Times New Roman" w:hAnsi="Calibri Light" w:cs="Simplified Arabic"/>
          <w:i/>
          <w:kern w:val="2"/>
          <w:szCs w:val="28"/>
          <w:u w:val="single"/>
          <w:rtl/>
        </w:rPr>
      </w:pPr>
      <w:bookmarkStart w:id="37" w:name="_Toc235804703"/>
      <w:r w:rsidRPr="00684FF6">
        <w:rPr>
          <w:rFonts w:ascii="Times New Roman" w:eastAsia="Times New Roman" w:hAnsi="Times New Roman" w:cs="Times New Roman"/>
          <w:i/>
          <w:kern w:val="2"/>
          <w:szCs w:val="28"/>
          <w:u w:val="single"/>
          <w:rtl/>
        </w:rPr>
        <w:lastRenderedPageBreak/>
        <w:t>​</w:t>
      </w:r>
      <w:r w:rsidRPr="00684FF6">
        <w:rPr>
          <w:rFonts w:ascii="Simplified Arabic" w:eastAsia="Times New Roman" w:hAnsi="Simplified Arabic" w:cs="Simplified Arabic"/>
          <w:i/>
          <w:kern w:val="2"/>
          <w:szCs w:val="28"/>
          <w:u w:val="single"/>
          <w:rtl/>
        </w:rPr>
        <w:t>ثالثا</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إدارة</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محافظ</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المشاريع</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الرأسمالية</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والتشغيلية</w:t>
      </w:r>
      <w:bookmarkEnd w:id="37"/>
    </w:p>
    <w:p w14:paraId="46557F00" w14:textId="77777777" w:rsidR="00684FF6" w:rsidRPr="00684FF6" w:rsidRDefault="00684FF6" w:rsidP="00684FF6">
      <w:pPr>
        <w:spacing w:before="100" w:beforeAutospacing="1" w:after="100" w:afterAutospacing="1" w:line="360" w:lineRule="auto"/>
        <w:jc w:val="both"/>
        <w:rPr>
          <w:rFonts w:ascii="Simplified Arabic" w:eastAsia="Times New Roman" w:hAnsi="Simplified Arabic" w:cs="Simplified Arabic"/>
          <w:sz w:val="28"/>
          <w:szCs w:val="28"/>
          <w:rtl/>
          <w:lang w:val=""/>
          <w14:ligatures w14:val="none"/>
        </w:rPr>
      </w:pPr>
      <w:r w:rsidRPr="00684FF6">
        <w:rPr>
          <w:rFonts w:ascii="Times New Roman" w:eastAsia="Times New Roman" w:hAnsi="Times New Roman" w:cs="Times New Roman"/>
          <w:sz w:val="24"/>
          <w:szCs w:val="24"/>
          <w:rtl/>
          <w:lang w:val=""/>
          <w14:ligatures w14:val="none"/>
        </w:rPr>
        <w:t>​</w:t>
      </w:r>
      <w:r w:rsidRPr="00684FF6">
        <w:rPr>
          <w:rFonts w:ascii="Simplified Arabic" w:eastAsia="Aptos" w:hAnsi="Simplified Arabic" w:cs="Simplified Arabic"/>
          <w:sz w:val="28"/>
          <w:szCs w:val="28"/>
          <w:rtl/>
          <w:lang w:bidi="ar-EG"/>
        </w:rPr>
        <w:tab/>
        <w:t>نظرًا لحجمها ونطاقها، يجب على المنظمة أن تتكيف مع نوعين متميزين من محافظ المشاريع لإدارة هذا الوحدة التجارية ذات التنوع العالي</w:t>
      </w:r>
      <w:r w:rsidRPr="00684FF6">
        <w:rPr>
          <w:rFonts w:ascii="Simplified Arabic" w:eastAsia="Times New Roman" w:hAnsi="Simplified Arabic" w:cs="Simplified Arabic"/>
          <w:sz w:val="28"/>
          <w:szCs w:val="28"/>
          <w:rtl/>
          <w:lang w:val=""/>
          <w14:ligatures w14:val="none"/>
        </w:rPr>
        <w:t>:</w:t>
      </w:r>
    </w:p>
    <w:p w14:paraId="58F5FF9C" w14:textId="77777777" w:rsidR="00684FF6" w:rsidRPr="00684FF6" w:rsidRDefault="00684FF6" w:rsidP="00684FF6">
      <w:pPr>
        <w:numPr>
          <w:ilvl w:val="0"/>
          <w:numId w:val="10"/>
        </w:numPr>
        <w:spacing w:before="100" w:beforeAutospacing="1" w:after="100" w:afterAutospacing="1" w:line="360" w:lineRule="auto"/>
        <w:jc w:val="both"/>
        <w:rPr>
          <w:rFonts w:ascii="Simplified Arabic" w:eastAsia="Times New Roman" w:hAnsi="Simplified Arabic" w:cs="Simplified Arabic"/>
          <w:sz w:val="28"/>
          <w:szCs w:val="28"/>
          <w:rtl/>
          <w:lang w:val=""/>
          <w14:ligatures w14:val="none"/>
        </w:rPr>
      </w:pPr>
      <w:r w:rsidRPr="00684FF6">
        <w:rPr>
          <w:rFonts w:ascii="Simplified Arabic" w:eastAsia="Aptos" w:hAnsi="Simplified Arabic" w:cs="Simplified Arabic"/>
          <w:b/>
          <w:bCs/>
          <w:sz w:val="28"/>
          <w:szCs w:val="28"/>
          <w:rtl/>
          <w:lang w:bidi="ar-EG"/>
        </w:rPr>
        <w:t>المشاريع الرأسمالية (</w:t>
      </w:r>
      <w:r w:rsidRPr="00684FF6">
        <w:rPr>
          <w:rFonts w:ascii="Times New Roman" w:eastAsia="Aptos" w:hAnsi="Times New Roman" w:cs="Times New Roman"/>
          <w:b/>
          <w:bCs/>
          <w:sz w:val="24"/>
          <w:szCs w:val="24"/>
          <w:lang w:bidi="ar-EG"/>
        </w:rPr>
        <w:t>CAPEX</w:t>
      </w:r>
      <w:r w:rsidRPr="00684FF6">
        <w:rPr>
          <w:rFonts w:ascii="Simplified Arabic" w:eastAsia="Aptos" w:hAnsi="Simplified Arabic" w:cs="Simplified Arabic"/>
          <w:b/>
          <w:bCs/>
          <w:sz w:val="28"/>
          <w:szCs w:val="28"/>
          <w:rtl/>
          <w:lang w:bidi="ar-EG"/>
        </w:rPr>
        <w:t>):</w:t>
      </w:r>
      <w:r w:rsidRPr="00684FF6">
        <w:rPr>
          <w:rFonts w:ascii="Simplified Arabic" w:eastAsia="Aptos" w:hAnsi="Simplified Arabic" w:cs="Simplified Arabic"/>
          <w:sz w:val="28"/>
          <w:szCs w:val="28"/>
          <w:rtl/>
          <w:lang w:bidi="ar-EG"/>
        </w:rPr>
        <w:t xml:space="preserve"> تشمل هذه المشاريع مستويات عالية من المخاطر بسبب بناء بنية تحتية مطارية كبيرة ودائمة. تشير الأدبيات حول المشاريع الضخمة إلى أن هذا النوع من المشاريع معرض بشكل سيء لـ "القانون الحديدي للمشاريع العملاقة"، حيث تكون تكاليفها وجدولها الزمني متقلبين بشكل كبير (</w:t>
      </w:r>
      <w:r w:rsidRPr="00684FF6">
        <w:rPr>
          <w:rFonts w:ascii="Simplified Arabic" w:eastAsia="Calibri" w:hAnsi="Simplified Arabic" w:cs="Simplified Arabic"/>
          <w:kern w:val="2"/>
          <w:sz w:val="28"/>
          <w:szCs w:val="28"/>
        </w:rPr>
        <w:t>Flyvbjerg, 2014</w:t>
      </w:r>
      <w:r w:rsidRPr="00684FF6">
        <w:rPr>
          <w:rFonts w:ascii="Simplified Arabic" w:eastAsia="Aptos" w:hAnsi="Simplified Arabic" w:cs="Simplified Arabic"/>
          <w:sz w:val="28"/>
          <w:szCs w:val="28"/>
          <w:rtl/>
          <w:lang w:bidi="ar-EG"/>
        </w:rPr>
        <w:t>). لذلك، فإن السيطرة على تباين التكاليف والتطوير المبكر لخطة المشروع أمران حاسمان.</w:t>
      </w:r>
    </w:p>
    <w:p w14:paraId="705BF0FD" w14:textId="77777777" w:rsidR="00684FF6" w:rsidRPr="00684FF6" w:rsidRDefault="00684FF6" w:rsidP="00684FF6">
      <w:pPr>
        <w:numPr>
          <w:ilvl w:val="0"/>
          <w:numId w:val="10"/>
        </w:numPr>
        <w:spacing w:before="100" w:beforeAutospacing="1" w:after="100" w:afterAutospacing="1" w:line="360" w:lineRule="auto"/>
        <w:jc w:val="both"/>
        <w:rPr>
          <w:rFonts w:ascii="Simplified Arabic" w:eastAsia="Times New Roman" w:hAnsi="Simplified Arabic" w:cs="Simplified Arabic"/>
          <w:sz w:val="28"/>
          <w:szCs w:val="28"/>
          <w:rtl/>
          <w:lang w:val=""/>
          <w14:ligatures w14:val="none"/>
        </w:rPr>
      </w:pPr>
      <w:r w:rsidRPr="00684FF6">
        <w:rPr>
          <w:rFonts w:ascii="Simplified Arabic" w:eastAsia="Aptos" w:hAnsi="Simplified Arabic" w:cs="Simplified Arabic"/>
          <w:b/>
          <w:bCs/>
          <w:sz w:val="28"/>
          <w:szCs w:val="28"/>
          <w:rtl/>
          <w:lang w:bidi="ar-EG"/>
        </w:rPr>
        <w:t>المشاريع التشغيلية والتكنولوجية (</w:t>
      </w:r>
      <w:r w:rsidRPr="00684FF6">
        <w:rPr>
          <w:rFonts w:ascii="Times New Roman" w:eastAsia="Aptos" w:hAnsi="Times New Roman" w:cs="Times New Roman"/>
          <w:b/>
          <w:bCs/>
          <w:sz w:val="24"/>
          <w:szCs w:val="24"/>
          <w:lang w:bidi="ar-EG"/>
        </w:rPr>
        <w:t>OPEX</w:t>
      </w:r>
      <w:r w:rsidRPr="00684FF6">
        <w:rPr>
          <w:rFonts w:ascii="Simplified Arabic" w:eastAsia="Aptos" w:hAnsi="Simplified Arabic" w:cs="Simplified Arabic"/>
          <w:b/>
          <w:bCs/>
          <w:sz w:val="28"/>
          <w:szCs w:val="28"/>
          <w:rtl/>
          <w:lang w:bidi="ar-EG"/>
        </w:rPr>
        <w:t>):</w:t>
      </w:r>
      <w:r w:rsidRPr="00684FF6">
        <w:rPr>
          <w:rFonts w:ascii="Simplified Arabic" w:eastAsia="Aptos" w:hAnsi="Simplified Arabic" w:cs="Simplified Arabic"/>
          <w:sz w:val="28"/>
          <w:szCs w:val="28"/>
          <w:rtl/>
          <w:lang w:bidi="ar-EG"/>
        </w:rPr>
        <w:t xml:space="preserve"> كما يشير الاسم، فإن هذه المشاريع تتعلق بتنفيذ التكنولوجيا لتحسين تجربة المسافرين في المطارات. بسبب التطور السريع للتكنولوجيا، يجب إدارة هذه المشاريع بمرونة عالية (</w:t>
      </w:r>
      <w:r w:rsidRPr="00684FF6">
        <w:rPr>
          <w:rFonts w:ascii="Simplified Arabic" w:eastAsia="Calibri" w:hAnsi="Simplified Arabic" w:cs="Simplified Arabic"/>
          <w:kern w:val="2"/>
          <w:sz w:val="28"/>
          <w:szCs w:val="28"/>
        </w:rPr>
        <w:t>Amadeus, 2024</w:t>
      </w:r>
      <w:r w:rsidRPr="00684FF6">
        <w:rPr>
          <w:rFonts w:ascii="Simplified Arabic" w:eastAsia="Aptos" w:hAnsi="Simplified Arabic" w:cs="Simplified Arabic"/>
          <w:sz w:val="28"/>
          <w:szCs w:val="28"/>
          <w:rtl/>
          <w:lang w:bidi="ar-EG"/>
        </w:rPr>
        <w:t>). القدرة على إدارة هذه الأولويات المتنافسة بتخصيص أمثل للموارد المالية للمؤسسة ومع التركيز على الأولويات الاستراتيجية تعتبر المقياس الحقيقي لقدرة المنظمة على إدارة المشاريع.</w:t>
      </w:r>
    </w:p>
    <w:p w14:paraId="12391AA4" w14:textId="77777777" w:rsidR="00684FF6" w:rsidRPr="00684FF6" w:rsidRDefault="00684FF6" w:rsidP="00684FF6">
      <w:pPr>
        <w:keepNext/>
        <w:keepLines/>
        <w:spacing w:before="40" w:after="0" w:line="360" w:lineRule="auto"/>
        <w:jc w:val="both"/>
        <w:outlineLvl w:val="3"/>
        <w:rPr>
          <w:rFonts w:ascii="Calibri Light" w:eastAsia="Times New Roman" w:hAnsi="Calibri Light" w:cs="Simplified Arabic"/>
          <w:i/>
          <w:kern w:val="2"/>
          <w:szCs w:val="28"/>
          <w:u w:val="single"/>
          <w:rtl/>
        </w:rPr>
      </w:pPr>
      <w:bookmarkStart w:id="38" w:name="_Toc235804704"/>
      <w:r w:rsidRPr="00684FF6">
        <w:rPr>
          <w:rFonts w:ascii="Times New Roman" w:eastAsia="Times New Roman" w:hAnsi="Times New Roman" w:cs="Times New Roman"/>
          <w:i/>
          <w:kern w:val="2"/>
          <w:szCs w:val="28"/>
          <w:u w:val="single"/>
          <w:rtl/>
        </w:rPr>
        <w:t>​</w:t>
      </w:r>
      <w:r w:rsidRPr="00684FF6">
        <w:rPr>
          <w:rFonts w:ascii="Simplified Arabic" w:eastAsia="Times New Roman" w:hAnsi="Simplified Arabic" w:cs="Simplified Arabic"/>
          <w:i/>
          <w:kern w:val="2"/>
          <w:szCs w:val="28"/>
          <w:u w:val="single"/>
          <w:rtl/>
        </w:rPr>
        <w:t>رابعاً</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الاستدامة</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والامتثال</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البيئي</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كم</w:t>
      </w:r>
      <w:r w:rsidRPr="00684FF6">
        <w:rPr>
          <w:rFonts w:ascii="Calibri Light" w:eastAsia="Times New Roman" w:hAnsi="Calibri Light" w:cs="Simplified Arabic"/>
          <w:i/>
          <w:kern w:val="2"/>
          <w:szCs w:val="28"/>
          <w:u w:val="single"/>
          <w:rtl/>
        </w:rPr>
        <w:t>قياس لكفاءة المشاريع</w:t>
      </w:r>
      <w:bookmarkEnd w:id="38"/>
    </w:p>
    <w:p w14:paraId="33BFBB74" w14:textId="77777777" w:rsidR="00684FF6" w:rsidRPr="00684FF6" w:rsidRDefault="00684FF6" w:rsidP="00684FF6">
      <w:pPr>
        <w:spacing w:before="100" w:beforeAutospacing="1" w:after="100" w:afterAutospacing="1" w:line="360" w:lineRule="auto"/>
        <w:jc w:val="both"/>
        <w:rPr>
          <w:rFonts w:ascii="Times New Roman" w:eastAsia="Times New Roman" w:hAnsi="Times New Roman" w:cs="Times New Roman"/>
          <w:sz w:val="24"/>
          <w:szCs w:val="24"/>
          <w:rtl/>
          <w:lang w:val="" w:bidi="ar-EG"/>
          <w14:ligatures w14:val="none"/>
        </w:rPr>
      </w:pPr>
      <w:r w:rsidRPr="00684FF6">
        <w:rPr>
          <w:rFonts w:ascii="Times New Roman" w:eastAsia="Times New Roman" w:hAnsi="Times New Roman" w:cs="Times New Roman"/>
          <w:sz w:val="24"/>
          <w:szCs w:val="24"/>
          <w:rtl/>
          <w:lang w:val=""/>
          <w14:ligatures w14:val="none"/>
        </w:rPr>
        <w:t>​</w:t>
      </w:r>
      <w:r w:rsidRPr="00684FF6">
        <w:rPr>
          <w:rFonts w:ascii="Simplified Arabic" w:eastAsia="Aptos" w:hAnsi="Simplified Arabic" w:cs="Simplified Arabic"/>
          <w:sz w:val="28"/>
          <w:szCs w:val="28"/>
          <w:rtl/>
          <w:lang w:bidi="ar-EG"/>
        </w:rPr>
        <w:tab/>
        <w:t>باتت مشاريع مبادرة "السعودية الخضراء" الملتزمة في مجال الطيران تُعتبر معايير لكفاءة المشروع إلى جانب التكاليف والجدول الزمني في صناعة الطيران الحديثة. تُكلف "</w:t>
      </w:r>
      <w:r w:rsidRPr="00684FF6">
        <w:rPr>
          <w:rFonts w:ascii="Times New Roman" w:eastAsia="Aptos" w:hAnsi="Times New Roman" w:cs="Times New Roman"/>
          <w:sz w:val="24"/>
          <w:szCs w:val="24"/>
          <w:lang w:bidi="ar-EG"/>
        </w:rPr>
        <w:t>Cluster 2</w:t>
      </w:r>
      <w:r w:rsidRPr="00684FF6">
        <w:rPr>
          <w:rFonts w:ascii="Simplified Arabic" w:eastAsia="Aptos" w:hAnsi="Simplified Arabic" w:cs="Simplified Arabic"/>
          <w:sz w:val="28"/>
          <w:szCs w:val="28"/>
          <w:rtl/>
          <w:lang w:bidi="ar-EG"/>
        </w:rPr>
        <w:t>" بإنشاء مشاريع ضمن إطار معايير الاستدامة البيئية والاجتماعية والحوكمة (</w:t>
      </w:r>
      <w:r w:rsidRPr="00684FF6">
        <w:rPr>
          <w:rFonts w:ascii="Times New Roman" w:eastAsia="Aptos" w:hAnsi="Times New Roman" w:cs="Times New Roman"/>
          <w:sz w:val="24"/>
          <w:szCs w:val="24"/>
          <w:lang w:bidi="ar-EG"/>
        </w:rPr>
        <w:t>ESG</w:t>
      </w:r>
      <w:r w:rsidRPr="00684FF6">
        <w:rPr>
          <w:rFonts w:ascii="Simplified Arabic" w:eastAsia="Aptos" w:hAnsi="Simplified Arabic" w:cs="Simplified Arabic"/>
          <w:sz w:val="28"/>
          <w:szCs w:val="28"/>
          <w:rtl/>
          <w:lang w:bidi="ar-EG"/>
        </w:rPr>
        <w:t xml:space="preserve">). ستركز هذه المشاريع على تحسين كفاءة الطاقة في </w:t>
      </w:r>
      <w:r w:rsidRPr="00684FF6">
        <w:rPr>
          <w:rFonts w:ascii="Simplified Arabic" w:eastAsia="Aptos" w:hAnsi="Simplified Arabic" w:cs="Simplified Arabic"/>
          <w:sz w:val="28"/>
          <w:szCs w:val="28"/>
          <w:rtl/>
          <w:lang w:bidi="ar-EG"/>
        </w:rPr>
        <w:lastRenderedPageBreak/>
        <w:t>المطارات الإقليمية، وتقليل انبعاثات الكربون، ومعالجة إدارة النفايات (</w:t>
      </w:r>
      <w:r w:rsidRPr="00684FF6">
        <w:rPr>
          <w:rFonts w:ascii="Simplified Arabic" w:eastAsia="Calibri" w:hAnsi="Simplified Arabic" w:cs="Simplified Arabic"/>
          <w:kern w:val="2"/>
          <w:sz w:val="28"/>
          <w:szCs w:val="28"/>
        </w:rPr>
        <w:t>Saudi Green Initiative, 2021</w:t>
      </w:r>
      <w:r w:rsidRPr="00684FF6">
        <w:rPr>
          <w:rFonts w:ascii="Simplified Arabic" w:eastAsia="Aptos" w:hAnsi="Simplified Arabic" w:cs="Simplified Arabic"/>
          <w:sz w:val="28"/>
          <w:szCs w:val="28"/>
          <w:rtl/>
          <w:lang w:bidi="ar-EG"/>
        </w:rPr>
        <w:t>). يتطلب مفهوم الاستدامة في سياق هذه المبادرة اعتماد منظور أوسع لإدارة المشاريع وتحول من إطار معايير إدارة المشاريع التقليدي إلى التركيز الاجتماعي وثلاثية معايير الأداء (</w:t>
      </w:r>
      <w:r w:rsidRPr="00684FF6">
        <w:rPr>
          <w:rFonts w:ascii="Simplified Arabic" w:eastAsia="Calibri" w:hAnsi="Simplified Arabic" w:cs="Simplified Arabic"/>
          <w:kern w:val="2"/>
          <w:sz w:val="28"/>
          <w:szCs w:val="28"/>
        </w:rPr>
        <w:t>Silvius, 2017</w:t>
      </w:r>
      <w:r w:rsidRPr="00684FF6">
        <w:rPr>
          <w:rFonts w:ascii="Simplified Arabic" w:eastAsia="Aptos" w:hAnsi="Simplified Arabic" w:cs="Simplified Arabic"/>
          <w:sz w:val="28"/>
          <w:szCs w:val="28"/>
          <w:rtl/>
          <w:lang w:bidi="ar-EG"/>
        </w:rPr>
        <w:t>).</w:t>
      </w:r>
    </w:p>
    <w:p w14:paraId="5D871B9E" w14:textId="77777777" w:rsidR="00684FF6" w:rsidRPr="00684FF6" w:rsidRDefault="00684FF6" w:rsidP="00684FF6">
      <w:pPr>
        <w:keepNext/>
        <w:keepLines/>
        <w:spacing w:before="40" w:after="0" w:line="360" w:lineRule="auto"/>
        <w:jc w:val="both"/>
        <w:outlineLvl w:val="3"/>
        <w:rPr>
          <w:rFonts w:ascii="Calibri Light" w:eastAsia="Times New Roman" w:hAnsi="Calibri Light" w:cs="Simplified Arabic"/>
          <w:i/>
          <w:kern w:val="2"/>
          <w:szCs w:val="28"/>
          <w:u w:val="single"/>
          <w:rtl/>
        </w:rPr>
      </w:pPr>
      <w:bookmarkStart w:id="39" w:name="_Toc235804705"/>
      <w:r w:rsidRPr="00684FF6">
        <w:rPr>
          <w:rFonts w:ascii="Times New Roman" w:eastAsia="Times New Roman" w:hAnsi="Times New Roman" w:cs="Times New Roman"/>
          <w:i/>
          <w:kern w:val="2"/>
          <w:szCs w:val="28"/>
          <w:u w:val="single"/>
          <w:rtl/>
        </w:rPr>
        <w:t>​</w:t>
      </w:r>
      <w:r w:rsidRPr="00684FF6">
        <w:rPr>
          <w:rFonts w:ascii="Simplified Arabic" w:eastAsia="Times New Roman" w:hAnsi="Simplified Arabic" w:cs="Simplified Arabic"/>
          <w:i/>
          <w:kern w:val="2"/>
          <w:szCs w:val="28"/>
          <w:u w:val="single"/>
          <w:rtl/>
        </w:rPr>
        <w:t>خامسًا</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النموذج الإداري كمقاربة للإنفاق الفعال عبر الشراء المركزي وتوزيع الموارد</w:t>
      </w:r>
      <w:bookmarkEnd w:id="39"/>
    </w:p>
    <w:p w14:paraId="233B6B5F" w14:textId="77777777" w:rsidR="00684FF6" w:rsidRPr="00684FF6" w:rsidRDefault="00684FF6" w:rsidP="00684FF6">
      <w:pPr>
        <w:spacing w:before="100" w:beforeAutospacing="1" w:after="100" w:afterAutospacing="1" w:line="360" w:lineRule="auto"/>
        <w:jc w:val="both"/>
        <w:rPr>
          <w:rFonts w:ascii="Times New Roman" w:eastAsia="Times New Roman" w:hAnsi="Times New Roman" w:cs="Times New Roman"/>
          <w:sz w:val="24"/>
          <w:szCs w:val="24"/>
          <w:rtl/>
          <w:lang w:val="" w:bidi="ar-EG"/>
          <w14:ligatures w14:val="none"/>
        </w:rPr>
      </w:pPr>
      <w:r w:rsidRPr="00684FF6">
        <w:rPr>
          <w:rFonts w:ascii="Times New Roman" w:eastAsia="Times New Roman" w:hAnsi="Times New Roman" w:cs="Times New Roman"/>
          <w:sz w:val="24"/>
          <w:szCs w:val="24"/>
          <w:rtl/>
          <w:lang w:val=""/>
          <w14:ligatures w14:val="none"/>
        </w:rPr>
        <w:t>​</w:t>
      </w:r>
      <w:r w:rsidRPr="00684FF6">
        <w:rPr>
          <w:rFonts w:ascii="Simplified Arabic" w:eastAsia="Aptos" w:hAnsi="Simplified Arabic" w:cs="Simplified Arabic"/>
          <w:sz w:val="28"/>
          <w:szCs w:val="28"/>
          <w:rtl/>
          <w:lang w:bidi="ar-EG"/>
        </w:rPr>
        <w:tab/>
        <w:t>يعتمد النموذج الإداري على العقود مع مطارات المجموعة، مما يسمح بشراء ذي نفوذ كبير للسلع والخدمات. يتماشى هذا النموذج تمامًا مع توجيهات هيئة كفاءة الإنفاق والمشروعات الحكومية، الرامية إلى تعظيم قيمة الالتزامات البنية التحتية من خلال تقصير العقود المتكررة وتقليل العبء الإداري لقسم الشراء المنفصل (</w:t>
      </w:r>
      <w:r w:rsidRPr="00684FF6">
        <w:rPr>
          <w:rFonts w:ascii="Simplified Arabic" w:eastAsia="Calibri" w:hAnsi="Simplified Arabic" w:cs="Simplified Arabic"/>
          <w:kern w:val="2"/>
          <w:sz w:val="28"/>
          <w:szCs w:val="28"/>
        </w:rPr>
        <w:t>EXPRO, 2024</w:t>
      </w:r>
      <w:r w:rsidRPr="00684FF6">
        <w:rPr>
          <w:rFonts w:ascii="Simplified Arabic" w:eastAsia="Aptos" w:hAnsi="Simplified Arabic" w:cs="Simplified Arabic"/>
          <w:sz w:val="28"/>
          <w:szCs w:val="28"/>
          <w:rtl/>
          <w:lang w:bidi="ar-EG"/>
        </w:rPr>
        <w:t>).</w:t>
      </w:r>
    </w:p>
    <w:p w14:paraId="3992CF5D" w14:textId="77777777" w:rsidR="00684FF6" w:rsidRPr="00684FF6" w:rsidRDefault="00684FF6" w:rsidP="00684FF6">
      <w:pPr>
        <w:keepNext/>
        <w:keepLines/>
        <w:spacing w:before="40" w:after="0" w:line="360" w:lineRule="auto"/>
        <w:jc w:val="both"/>
        <w:outlineLvl w:val="3"/>
        <w:rPr>
          <w:rFonts w:ascii="Calibri Light" w:eastAsia="Times New Roman" w:hAnsi="Calibri Light" w:cs="Simplified Arabic"/>
          <w:i/>
          <w:kern w:val="2"/>
          <w:szCs w:val="28"/>
          <w:u w:val="single"/>
          <w:rtl/>
        </w:rPr>
      </w:pPr>
      <w:bookmarkStart w:id="40" w:name="_Toc235804706"/>
      <w:r w:rsidRPr="00684FF6">
        <w:rPr>
          <w:rFonts w:ascii="Times New Roman" w:eastAsia="Times New Roman" w:hAnsi="Times New Roman" w:cs="Times New Roman"/>
          <w:i/>
          <w:kern w:val="2"/>
          <w:szCs w:val="28"/>
          <w:u w:val="single"/>
          <w:rtl/>
        </w:rPr>
        <w:t>​</w:t>
      </w:r>
      <w:r w:rsidRPr="00684FF6">
        <w:rPr>
          <w:rFonts w:ascii="Simplified Arabic" w:eastAsia="Times New Roman" w:hAnsi="Simplified Arabic" w:cs="Simplified Arabic"/>
          <w:i/>
          <w:kern w:val="2"/>
          <w:szCs w:val="28"/>
          <w:u w:val="single"/>
          <w:rtl/>
        </w:rPr>
        <w:t>سادساً</w:t>
      </w:r>
      <w:r w:rsidRPr="00684FF6">
        <w:rPr>
          <w:rFonts w:ascii="Calibri Light" w:eastAsia="Times New Roman" w:hAnsi="Calibri Light" w:cs="Simplified Arabic"/>
          <w:i/>
          <w:kern w:val="2"/>
          <w:szCs w:val="28"/>
          <w:u w:val="single"/>
          <w:rtl/>
        </w:rPr>
        <w:t xml:space="preserve">: </w:t>
      </w:r>
      <w:r w:rsidRPr="00684FF6">
        <w:rPr>
          <w:rFonts w:ascii="Simplified Arabic" w:eastAsia="Times New Roman" w:hAnsi="Simplified Arabic" w:cs="Simplified Arabic"/>
          <w:i/>
          <w:kern w:val="2"/>
          <w:szCs w:val="28"/>
          <w:u w:val="single"/>
          <w:rtl/>
        </w:rPr>
        <w:t>خ</w:t>
      </w:r>
      <w:r w:rsidRPr="00684FF6">
        <w:rPr>
          <w:rFonts w:ascii="Calibri Light" w:eastAsia="Times New Roman" w:hAnsi="Calibri Light" w:cs="Simplified Arabic"/>
          <w:i/>
          <w:kern w:val="2"/>
          <w:szCs w:val="28"/>
          <w:u w:val="single"/>
          <w:rtl/>
        </w:rPr>
        <w:t>اتمة السياق التطبيقي</w:t>
      </w:r>
      <w:bookmarkEnd w:id="40"/>
    </w:p>
    <w:p w14:paraId="5029F0EF" w14:textId="77777777" w:rsidR="00684FF6" w:rsidRPr="00684FF6" w:rsidRDefault="00684FF6" w:rsidP="00684FF6">
      <w:pPr>
        <w:spacing w:before="100" w:beforeAutospacing="1" w:after="100" w:afterAutospacing="1" w:line="360" w:lineRule="auto"/>
        <w:jc w:val="both"/>
        <w:rPr>
          <w:rFonts w:ascii="Times New Roman" w:eastAsia="Times New Roman" w:hAnsi="Times New Roman" w:cs="Times New Roman"/>
          <w:sz w:val="24"/>
          <w:szCs w:val="24"/>
          <w:lang w:bidi="ar-EG"/>
          <w14:ligatures w14:val="none"/>
        </w:rPr>
      </w:pPr>
      <w:r w:rsidRPr="00684FF6">
        <w:rPr>
          <w:rFonts w:ascii="Times New Roman" w:eastAsia="Times New Roman" w:hAnsi="Times New Roman" w:cs="Times New Roman"/>
          <w:sz w:val="24"/>
          <w:szCs w:val="24"/>
          <w:rtl/>
          <w:lang w:val=""/>
          <w14:ligatures w14:val="none"/>
        </w:rPr>
        <w:t>​</w:t>
      </w:r>
      <w:r w:rsidRPr="00684FF6">
        <w:rPr>
          <w:rFonts w:ascii="Simplified Arabic" w:eastAsia="Aptos" w:hAnsi="Simplified Arabic" w:cs="Simplified Arabic"/>
          <w:sz w:val="28"/>
          <w:szCs w:val="28"/>
          <w:rtl/>
          <w:lang w:bidi="ar-EG"/>
        </w:rPr>
        <w:tab/>
        <w:t xml:space="preserve">من السياق السابق نلاحظ أن التوظيف داخل شركة "تجمع مطارات الثاني </w:t>
      </w:r>
      <w:r w:rsidRPr="00684FF6">
        <w:rPr>
          <w:rFonts w:ascii="Times New Roman" w:eastAsia="Aptos" w:hAnsi="Times New Roman" w:cs="Times New Roman"/>
          <w:sz w:val="24"/>
          <w:szCs w:val="24"/>
          <w:lang w:bidi="ar-EG"/>
        </w:rPr>
        <w:t>Cluster 2</w:t>
      </w:r>
      <w:r w:rsidRPr="00684FF6">
        <w:rPr>
          <w:rFonts w:ascii="Simplified Arabic" w:eastAsia="Aptos" w:hAnsi="Simplified Arabic" w:cs="Simplified Arabic"/>
          <w:sz w:val="28"/>
          <w:szCs w:val="28"/>
          <w:rtl/>
          <w:lang w:bidi="ar-EG"/>
        </w:rPr>
        <w:t>" يتسم بثلاثة مستويات مترابطة: المستوى الاستراتيجي حيث يتم تحديد أهداف القطاع الوطني. والمستوى المؤسسي حيث يتم دمج مطاراتها الإثنين والعشرين في شركة واحدة. والمستوى التنفيذي حيث يتم التعامل مع قضايا التمويل والتشغيل المختلفة. تمثل هذه المستويات الثلاثة السياق التطبيقي المناسب لتقييم نظريات هذا الفصل. ولهذا السبب، سيتناول الفصل التالي المنهج العلمي والإطار التحليلي الذي سنستخدمه لتحليل هذه المستويات واستكشاف المتغيرات المعنية.</w:t>
      </w:r>
    </w:p>
    <w:p w14:paraId="740CEBF8" w14:textId="77777777" w:rsidR="00684FF6" w:rsidRPr="00684FF6" w:rsidRDefault="00684FF6" w:rsidP="00684FF6">
      <w:pPr>
        <w:bidi w:val="0"/>
        <w:jc w:val="center"/>
        <w:rPr>
          <w:rFonts w:ascii="Sakkal Majalla" w:eastAsia="Calibri" w:hAnsi="Sakkal Majalla" w:cs="Sakkal Majalla"/>
          <w:kern w:val="2"/>
          <w:sz w:val="48"/>
          <w:szCs w:val="48"/>
        </w:rPr>
      </w:pPr>
      <w:r w:rsidRPr="00684FF6">
        <w:rPr>
          <w:rFonts w:ascii="Sakkal Majalla" w:eastAsia="Calibri" w:hAnsi="Sakkal Majalla" w:cs="Sakkal Majalla"/>
          <w:kern w:val="2"/>
          <w:sz w:val="48"/>
          <w:szCs w:val="48"/>
          <w:rtl/>
        </w:rPr>
        <w:br w:type="page"/>
      </w:r>
    </w:p>
    <w:p w14:paraId="2EC57F8F" w14:textId="77777777" w:rsidR="00684FF6" w:rsidRPr="00684FF6" w:rsidRDefault="00684FF6" w:rsidP="00684FF6">
      <w:pPr>
        <w:keepNext/>
        <w:keepLines/>
        <w:spacing w:before="40" w:after="0" w:line="360" w:lineRule="auto"/>
        <w:jc w:val="both"/>
        <w:outlineLvl w:val="1"/>
        <w:rPr>
          <w:rFonts w:ascii="Simplified Arabic" w:eastAsia="Times New Roman" w:hAnsi="Simplified Arabic" w:cs="Simplified Arabic"/>
          <w:bCs/>
          <w:kern w:val="2"/>
          <w:sz w:val="26"/>
          <w:szCs w:val="36"/>
          <w:u w:val="single"/>
        </w:rPr>
      </w:pPr>
      <w:bookmarkStart w:id="41" w:name="_Toc235804707"/>
      <w:r w:rsidRPr="00684FF6">
        <w:rPr>
          <w:rFonts w:ascii="Simplified Arabic" w:eastAsia="Times New Roman" w:hAnsi="Simplified Arabic" w:cs="Simplified Arabic"/>
          <w:bCs/>
          <w:kern w:val="2"/>
          <w:sz w:val="26"/>
          <w:szCs w:val="36"/>
          <w:u w:val="single"/>
          <w:rtl/>
        </w:rPr>
        <w:lastRenderedPageBreak/>
        <w:t>2-4 متغيرات الدراسة</w:t>
      </w:r>
      <w:bookmarkEnd w:id="41"/>
    </w:p>
    <w:p w14:paraId="69BB4B2B" w14:textId="77777777" w:rsidR="00684FF6" w:rsidRPr="00684FF6" w:rsidRDefault="00684FF6" w:rsidP="00684FF6">
      <w:pPr>
        <w:spacing w:before="100" w:beforeAutospacing="1" w:after="100" w:afterAutospacing="1" w:line="360" w:lineRule="auto"/>
        <w:ind w:firstLine="720"/>
        <w:jc w:val="both"/>
        <w:rPr>
          <w:rFonts w:ascii="Simplified Arabic" w:eastAsia="Aptos" w:hAnsi="Simplified Arabic" w:cs="Simplified Arabic"/>
          <w:sz w:val="28"/>
          <w:szCs w:val="28"/>
          <w:lang w:bidi="ar-EG"/>
        </w:rPr>
      </w:pPr>
      <w:r w:rsidRPr="00684FF6">
        <w:rPr>
          <w:rFonts w:ascii="Simplified Arabic" w:eastAsia="Aptos" w:hAnsi="Simplified Arabic" w:cs="Simplified Arabic"/>
          <w:sz w:val="28"/>
          <w:szCs w:val="28"/>
          <w:rtl/>
          <w:lang w:bidi="ar-EG"/>
        </w:rPr>
        <w:t xml:space="preserve">عقب الإطار النظري والدراسات السابقة المفصلة في هذا الفصل، يمكن وصف متغيرات الدراسة عند مستويين مرتبطين ارتباطًا وثيقًا. </w:t>
      </w:r>
      <w:r w:rsidRPr="00684FF6">
        <w:rPr>
          <w:rFonts w:ascii="Simplified Arabic" w:eastAsia="Aptos" w:hAnsi="Simplified Arabic" w:cs="Simplified Arabic"/>
          <w:b/>
          <w:bCs/>
          <w:sz w:val="28"/>
          <w:szCs w:val="28"/>
          <w:rtl/>
          <w:lang w:bidi="ar-EG"/>
        </w:rPr>
        <w:t>كمتغير تابع</w:t>
      </w:r>
      <w:r w:rsidRPr="00684FF6">
        <w:rPr>
          <w:rFonts w:ascii="Simplified Arabic" w:eastAsia="Aptos" w:hAnsi="Simplified Arabic" w:cs="Simplified Arabic"/>
          <w:sz w:val="28"/>
          <w:szCs w:val="28"/>
          <w:rtl/>
          <w:lang w:bidi="ar-EG"/>
        </w:rPr>
        <w:t xml:space="preserve">، يمثل "كفاءة تنفيذ مشاريع المطارات" النتيجة التي تنوي الدراسة وصفها والعوامل التي تؤثر عليها. يُقاس ذلك تحليليًا من خلال الالتزام بالجدول الزمني والميزانية المعتمدة وتسليم المخرجات. أما </w:t>
      </w:r>
      <w:r w:rsidRPr="00684FF6">
        <w:rPr>
          <w:rFonts w:ascii="Simplified Arabic" w:eastAsia="Aptos" w:hAnsi="Simplified Arabic" w:cs="Simplified Arabic"/>
          <w:b/>
          <w:bCs/>
          <w:sz w:val="28"/>
          <w:szCs w:val="28"/>
          <w:rtl/>
          <w:lang w:bidi="ar-EG"/>
        </w:rPr>
        <w:t>المتغيرات المستقلة</w:t>
      </w:r>
      <w:r w:rsidRPr="00684FF6">
        <w:rPr>
          <w:rFonts w:ascii="Simplified Arabic" w:eastAsia="Aptos" w:hAnsi="Simplified Arabic" w:cs="Simplified Arabic"/>
          <w:sz w:val="28"/>
          <w:szCs w:val="28"/>
          <w:rtl/>
          <w:lang w:bidi="ar-EG"/>
        </w:rPr>
        <w:t xml:space="preserve"> فتشمل ستة عوامل تم اشتقاقها من فرضيات الدراسة وتضم: دقة تخطيط الوقت والسيطرة اللاحقة على جدول التنفيذ؛ كفاءة إدارة التكاليف والسيطرة المالية؛ درجة التنسيق المؤسسي والتكامل بين الجهات المنفذة؛ تطبيق الرقابة في مجال إدارة المخاطر؛ درجة التحول الرقمي واعتماد نمذجة معلومات البناء (</w:t>
      </w:r>
      <w:r w:rsidRPr="00684FF6">
        <w:rPr>
          <w:rFonts w:ascii="Times New Roman" w:eastAsia="Aptos" w:hAnsi="Times New Roman" w:cs="Times New Roman"/>
          <w:sz w:val="24"/>
          <w:szCs w:val="24"/>
          <w:lang w:bidi="ar-EG"/>
        </w:rPr>
        <w:t>BIM</w:t>
      </w:r>
      <w:r w:rsidRPr="00684FF6">
        <w:rPr>
          <w:rFonts w:ascii="Simplified Arabic" w:eastAsia="Aptos" w:hAnsi="Simplified Arabic" w:cs="Simplified Arabic"/>
          <w:sz w:val="28"/>
          <w:szCs w:val="28"/>
          <w:rtl/>
          <w:lang w:bidi="ar-EG"/>
        </w:rPr>
        <w:t xml:space="preserve">)؛ والحوكمة المؤسسية. سيتناول الفصل الرابع من هذه الدراسة آثار هذه المتغيرات المستقلة على المتغير التابع في سياق شركة "تجمع مطارات الثاني </w:t>
      </w:r>
      <w:r w:rsidRPr="00684FF6">
        <w:rPr>
          <w:rFonts w:ascii="Times New Roman" w:eastAsia="Aptos" w:hAnsi="Times New Roman" w:cs="Times New Roman"/>
          <w:sz w:val="24"/>
          <w:szCs w:val="24"/>
          <w:lang w:bidi="ar-EG"/>
        </w:rPr>
        <w:t>Cluster 2</w:t>
      </w:r>
      <w:r w:rsidRPr="00684FF6">
        <w:rPr>
          <w:rFonts w:ascii="Simplified Arabic" w:eastAsia="Aptos" w:hAnsi="Simplified Arabic" w:cs="Simplified Arabic"/>
          <w:sz w:val="28"/>
          <w:szCs w:val="28"/>
          <w:rtl/>
          <w:lang w:bidi="ar-EG"/>
        </w:rPr>
        <w:t>".</w:t>
      </w:r>
    </w:p>
    <w:p w14:paraId="0E75F99E" w14:textId="77777777" w:rsidR="00684FF6" w:rsidRPr="00684FF6" w:rsidRDefault="00684FF6" w:rsidP="00684FF6">
      <w:pPr>
        <w:spacing w:before="100" w:beforeAutospacing="1" w:after="100" w:afterAutospacing="1" w:line="240" w:lineRule="auto"/>
        <w:rPr>
          <w:rFonts w:ascii="Times New Roman" w:eastAsia="Times New Roman" w:hAnsi="Times New Roman" w:cs="Times New Roman"/>
          <w:sz w:val="24"/>
          <w:szCs w:val="24"/>
          <w:rtl/>
          <w:lang w:val=""/>
          <w14:ligatures w14:val="none"/>
        </w:rPr>
      </w:pPr>
      <w:r w:rsidRPr="00684FF6">
        <w:rPr>
          <w:rFonts w:ascii="Times New Roman" w:eastAsia="Times New Roman" w:hAnsi="Times New Roman" w:cs="Times New Roman"/>
          <w:noProof/>
          <w:sz w:val="24"/>
          <w:szCs w:val="24"/>
          <w:rtl/>
          <w:lang w:val="ar-SA"/>
        </w:rPr>
        <w:drawing>
          <wp:inline distT="0" distB="0" distL="0" distR="0" wp14:anchorId="6903DF7E" wp14:editId="54A1D4CA">
            <wp:extent cx="5486400" cy="3200400"/>
            <wp:effectExtent l="0" t="57150" r="0" b="57150"/>
            <wp:docPr id="765179007"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79EB94E3" w14:textId="7AB748F3" w:rsidR="00B71A2C" w:rsidRPr="00684FF6" w:rsidRDefault="00684FF6" w:rsidP="00684FF6">
      <w:pPr>
        <w:spacing w:before="100" w:beforeAutospacing="1" w:after="100" w:afterAutospacing="1" w:line="240" w:lineRule="auto"/>
        <w:jc w:val="center"/>
        <w:rPr>
          <w:rFonts w:ascii="Simplified Arabic" w:eastAsia="Times New Roman" w:hAnsi="Simplified Arabic" w:cs="Simplified Arabic"/>
          <w:b/>
          <w:sz w:val="32"/>
          <w:szCs w:val="24"/>
          <w:u w:val="single"/>
          <w:lang w:val=""/>
          <w14:ligatures w14:val="none"/>
        </w:rPr>
      </w:pPr>
      <w:bookmarkStart w:id="42" w:name="_Toc235775487"/>
      <w:r w:rsidRPr="00684FF6">
        <w:rPr>
          <w:rFonts w:ascii="Simplified Arabic" w:eastAsia="Times New Roman" w:hAnsi="Simplified Arabic" w:cs="Simplified Arabic"/>
          <w:bCs/>
          <w:sz w:val="32"/>
          <w:szCs w:val="24"/>
          <w:u w:val="single"/>
          <w:rtl/>
          <w:lang w:val=""/>
          <w14:ligatures w14:val="none"/>
        </w:rPr>
        <w:t>شكل (2-1):</w:t>
      </w:r>
      <w:r w:rsidRPr="00684FF6">
        <w:rPr>
          <w:rFonts w:ascii="Simplified Arabic" w:eastAsia="Times New Roman" w:hAnsi="Simplified Arabic" w:cs="Simplified Arabic"/>
          <w:b/>
          <w:sz w:val="32"/>
          <w:szCs w:val="24"/>
          <w:u w:val="single"/>
          <w:rtl/>
          <w:lang w:val=""/>
          <w14:ligatures w14:val="none"/>
        </w:rPr>
        <w:t xml:space="preserve"> نموذج متغيرات الدراسة</w:t>
      </w:r>
      <w:bookmarkEnd w:id="42"/>
    </w:p>
    <w:sectPr w:rsidR="00B71A2C" w:rsidRPr="00684FF6" w:rsidSect="004D0DE7">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F9319" w14:textId="77777777" w:rsidR="00E77376" w:rsidRDefault="00E77376" w:rsidP="00B27BA1">
      <w:pPr>
        <w:spacing w:after="0" w:line="240" w:lineRule="auto"/>
      </w:pPr>
      <w:r>
        <w:separator/>
      </w:r>
    </w:p>
  </w:endnote>
  <w:endnote w:type="continuationSeparator" w:id="0">
    <w:p w14:paraId="0D1AE508" w14:textId="77777777" w:rsidR="00E77376" w:rsidRDefault="00E77376" w:rsidP="00B27B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B2"/>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A0A95" w14:textId="5A7AA838" w:rsidR="00B27BA1" w:rsidRDefault="004D0DE7">
    <w:pPr>
      <w:pStyle w:val="Footer"/>
    </w:pPr>
    <w:r>
      <w:rPr>
        <w:noProof/>
      </w:rPr>
      <mc:AlternateContent>
        <mc:Choice Requires="wps">
          <w:drawing>
            <wp:anchor distT="0" distB="0" distL="0" distR="0" simplePos="0" relativeHeight="251659264" behindDoc="0" locked="0" layoutInCell="1" allowOverlap="1" wp14:anchorId="2E944A28" wp14:editId="4B8476EB">
              <wp:simplePos x="635" y="635"/>
              <wp:positionH relativeFrom="page">
                <wp:align>left</wp:align>
              </wp:positionH>
              <wp:positionV relativeFrom="page">
                <wp:align>bottom</wp:align>
              </wp:positionV>
              <wp:extent cx="833755" cy="357505"/>
              <wp:effectExtent l="0" t="0" r="4445" b="0"/>
              <wp:wrapNone/>
              <wp:docPr id="112186001" name="Text Box 9" descr="Public - 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33755" cy="357505"/>
                      </a:xfrm>
                      <a:prstGeom prst="rect">
                        <a:avLst/>
                      </a:prstGeom>
                      <a:noFill/>
                      <a:ln>
                        <a:noFill/>
                      </a:ln>
                    </wps:spPr>
                    <wps:txbx>
                      <w:txbxContent>
                        <w:p w14:paraId="7CB546FA" w14:textId="5170ED44" w:rsidR="004D0DE7" w:rsidRPr="004D0DE7" w:rsidRDefault="004D0DE7" w:rsidP="004D0DE7">
                          <w:pPr>
                            <w:spacing w:after="0"/>
                            <w:rPr>
                              <w:rFonts w:ascii="Aptos" w:eastAsia="Aptos" w:hAnsi="Aptos" w:cs="Aptos"/>
                              <w:noProof/>
                              <w:color w:val="008000"/>
                              <w:sz w:val="20"/>
                              <w:szCs w:val="20"/>
                            </w:rPr>
                          </w:pPr>
                          <w:r w:rsidRPr="004D0DE7">
                            <w:rPr>
                              <w:rFonts w:ascii="Aptos" w:eastAsia="Aptos" w:hAnsi="Aptos" w:cs="Aptos"/>
                              <w:noProof/>
                              <w:color w:val="008000"/>
                              <w:sz w:val="20"/>
                              <w:szCs w:val="20"/>
                            </w:rPr>
                            <w:t>Public</w:t>
                          </w:r>
                          <w:r w:rsidRPr="004D0DE7">
                            <w:rPr>
                              <w:rFonts w:ascii="Aptos" w:eastAsia="Aptos" w:hAnsi="Aptos" w:cs="Aptos"/>
                              <w:noProof/>
                              <w:color w:val="008000"/>
                              <w:sz w:val="20"/>
                              <w:szCs w:val="20"/>
                              <w:rtl/>
                            </w:rPr>
                            <w:t xml:space="preserve"> - عام</w:t>
                          </w:r>
                        </w:p>
                      </w:txbxContent>
                    </wps:txbx>
                    <wps:bodyPr rot="0" spcFirstLastPara="0" vertOverflow="overflow" horzOverflow="overflow" vert="horz" wrap="none" lIns="254000" tIns="0" rIns="0" bIns="190500" numCol="1" spcCol="0" rtlCol="1" fromWordArt="0" anchor="b" anchorCtr="0" forceAA="0" compatLnSpc="1">
                      <a:prstTxWarp prst="textNoShape">
                        <a:avLst/>
                      </a:prstTxWarp>
                      <a:spAutoFit/>
                    </wps:bodyPr>
                  </wps:wsp>
                </a:graphicData>
              </a:graphic>
            </wp:anchor>
          </w:drawing>
        </mc:Choice>
        <mc:Fallback>
          <w:pict>
            <v:shapetype w14:anchorId="2E944A28" id="_x0000_t202" coordsize="21600,21600" o:spt="202" path="m,l,21600r21600,l21600,xe">
              <v:stroke joinstyle="miter"/>
              <v:path gradientshapeok="t" o:connecttype="rect"/>
            </v:shapetype>
            <v:shape id="Text Box 9" o:spid="_x0000_s1026" type="#_x0000_t202" alt="Public - عام" style="position:absolute;left:0;text-align:left;margin-left:0;margin-top:0;width:65.65pt;height:28.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" filled="f" stroked="f">
              <v:textbox style="mso-fit-shape-to-text:t" inset="20pt,0,0,15pt">
                <w:txbxContent>
                  <w:p w14:paraId="7CB546FA" w14:textId="5170ED44" w:rsidR="004D0DE7" w:rsidRPr="004D0DE7" w:rsidRDefault="004D0DE7" w:rsidP="004D0DE7">
                    <w:pPr>
                      <w:spacing w:after="0"/>
                      <w:rPr>
                        <w:rFonts w:ascii="Aptos" w:eastAsia="Aptos" w:hAnsi="Aptos" w:cs="Aptos"/>
                        <w:noProof/>
                        <w:color w:val="008000"/>
                        <w:sz w:val="20"/>
                        <w:szCs w:val="20"/>
                      </w:rPr>
                    </w:pPr>
                    <w:r w:rsidRPr="004D0DE7">
                      <w:rPr>
                        <w:rFonts w:ascii="Aptos" w:eastAsia="Aptos" w:hAnsi="Aptos" w:cs="Aptos"/>
                        <w:noProof/>
                        <w:color w:val="008000"/>
                        <w:sz w:val="20"/>
                        <w:szCs w:val="20"/>
                      </w:rPr>
                      <w:t>Public</w:t>
                    </w:r>
                    <w:r w:rsidRPr="004D0DE7">
                      <w:rPr>
                        <w:rFonts w:ascii="Aptos" w:eastAsia="Aptos" w:hAnsi="Aptos" w:cs="Aptos"/>
                        <w:noProof/>
                        <w:color w:val="008000"/>
                        <w:sz w:val="20"/>
                        <w:szCs w:val="20"/>
                        <w:rtl/>
                      </w:rPr>
                      <w:t xml:space="preserve"> - عام</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76270" w14:textId="3D1608F7" w:rsidR="00B27BA1" w:rsidRDefault="004D0DE7">
    <w:pPr>
      <w:pStyle w:val="Footer"/>
    </w:pPr>
    <w:r>
      <w:rPr>
        <w:noProof/>
      </w:rPr>
      <mc:AlternateContent>
        <mc:Choice Requires="wps">
          <w:drawing>
            <wp:anchor distT="0" distB="0" distL="0" distR="0" simplePos="0" relativeHeight="251660288" behindDoc="0" locked="0" layoutInCell="1" allowOverlap="1" wp14:anchorId="1162B2FE" wp14:editId="407F6710">
              <wp:simplePos x="914400" y="9436100"/>
              <wp:positionH relativeFrom="page">
                <wp:align>left</wp:align>
              </wp:positionH>
              <wp:positionV relativeFrom="page">
                <wp:align>bottom</wp:align>
              </wp:positionV>
              <wp:extent cx="833755" cy="357505"/>
              <wp:effectExtent l="0" t="0" r="4445" b="0"/>
              <wp:wrapNone/>
              <wp:docPr id="1247066725" name="Text Box 10" descr="Public - 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33755" cy="357505"/>
                      </a:xfrm>
                      <a:prstGeom prst="rect">
                        <a:avLst/>
                      </a:prstGeom>
                      <a:noFill/>
                      <a:ln>
                        <a:noFill/>
                      </a:ln>
                    </wps:spPr>
                    <wps:txbx>
                      <w:txbxContent>
                        <w:p w14:paraId="55F5E19F" w14:textId="54DD752A" w:rsidR="004D0DE7" w:rsidRPr="004D0DE7" w:rsidRDefault="004D0DE7" w:rsidP="004D0DE7">
                          <w:pPr>
                            <w:spacing w:after="0"/>
                            <w:rPr>
                              <w:rFonts w:ascii="Aptos" w:eastAsia="Aptos" w:hAnsi="Aptos" w:cs="Aptos"/>
                              <w:noProof/>
                              <w:color w:val="008000"/>
                              <w:sz w:val="20"/>
                              <w:szCs w:val="20"/>
                            </w:rPr>
                          </w:pPr>
                          <w:r w:rsidRPr="004D0DE7">
                            <w:rPr>
                              <w:rFonts w:ascii="Aptos" w:eastAsia="Aptos" w:hAnsi="Aptos" w:cs="Aptos"/>
                              <w:noProof/>
                              <w:color w:val="008000"/>
                              <w:sz w:val="20"/>
                              <w:szCs w:val="20"/>
                            </w:rPr>
                            <w:t>Public</w:t>
                          </w:r>
                          <w:r w:rsidRPr="004D0DE7">
                            <w:rPr>
                              <w:rFonts w:ascii="Aptos" w:eastAsia="Aptos" w:hAnsi="Aptos" w:cs="Aptos"/>
                              <w:noProof/>
                              <w:color w:val="008000"/>
                              <w:sz w:val="20"/>
                              <w:szCs w:val="20"/>
                              <w:rtl/>
                            </w:rPr>
                            <w:t xml:space="preserve"> - عام</w:t>
                          </w:r>
                        </w:p>
                      </w:txbxContent>
                    </wps:txbx>
                    <wps:bodyPr rot="0" spcFirstLastPara="0" vertOverflow="overflow" horzOverflow="overflow" vert="horz" wrap="none" lIns="254000" tIns="0" rIns="0" bIns="190500" numCol="1" spcCol="0" rtlCol="1" fromWordArt="0" anchor="b" anchorCtr="0" forceAA="0" compatLnSpc="1">
                      <a:prstTxWarp prst="textNoShape">
                        <a:avLst/>
                      </a:prstTxWarp>
                      <a:spAutoFit/>
                    </wps:bodyPr>
                  </wps:wsp>
                </a:graphicData>
              </a:graphic>
            </wp:anchor>
          </w:drawing>
        </mc:Choice>
        <mc:Fallback>
          <w:pict>
            <v:shapetype w14:anchorId="1162B2FE" id="_x0000_t202" coordsize="21600,21600" o:spt="202" path="m,l,21600r21600,l21600,xe">
              <v:stroke joinstyle="miter"/>
              <v:path gradientshapeok="t" o:connecttype="rect"/>
            </v:shapetype>
            <v:shape id="Text Box 10" o:spid="_x0000_s1027" type="#_x0000_t202" alt="Public - عام" style="position:absolute;left:0;text-align:left;margin-left:0;margin-top:0;width:65.65pt;height:28.1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" filled="f" stroked="f">
              <v:textbox style="mso-fit-shape-to-text:t" inset="20pt,0,0,15pt">
                <w:txbxContent>
                  <w:p w14:paraId="55F5E19F" w14:textId="54DD752A" w:rsidR="004D0DE7" w:rsidRPr="004D0DE7" w:rsidRDefault="004D0DE7" w:rsidP="004D0DE7">
                    <w:pPr>
                      <w:spacing w:after="0"/>
                      <w:rPr>
                        <w:rFonts w:ascii="Aptos" w:eastAsia="Aptos" w:hAnsi="Aptos" w:cs="Aptos"/>
                        <w:noProof/>
                        <w:color w:val="008000"/>
                        <w:sz w:val="20"/>
                        <w:szCs w:val="20"/>
                      </w:rPr>
                    </w:pPr>
                    <w:r w:rsidRPr="004D0DE7">
                      <w:rPr>
                        <w:rFonts w:ascii="Aptos" w:eastAsia="Aptos" w:hAnsi="Aptos" w:cs="Aptos"/>
                        <w:noProof/>
                        <w:color w:val="008000"/>
                        <w:sz w:val="20"/>
                        <w:szCs w:val="20"/>
                      </w:rPr>
                      <w:t>Public</w:t>
                    </w:r>
                    <w:r w:rsidRPr="004D0DE7">
                      <w:rPr>
                        <w:rFonts w:ascii="Aptos" w:eastAsia="Aptos" w:hAnsi="Aptos" w:cs="Aptos"/>
                        <w:noProof/>
                        <w:color w:val="008000"/>
                        <w:sz w:val="20"/>
                        <w:szCs w:val="20"/>
                        <w:rtl/>
                      </w:rPr>
                      <w:t xml:space="preserve"> - عام</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96751" w14:textId="7230CDE1" w:rsidR="00B27BA1" w:rsidRDefault="004D0DE7">
    <w:pPr>
      <w:pStyle w:val="Footer"/>
    </w:pPr>
    <w:r>
      <w:rPr>
        <w:noProof/>
      </w:rPr>
      <mc:AlternateContent>
        <mc:Choice Requires="wps">
          <w:drawing>
            <wp:anchor distT="0" distB="0" distL="0" distR="0" simplePos="0" relativeHeight="251658240" behindDoc="0" locked="0" layoutInCell="1" allowOverlap="1" wp14:anchorId="555732E3" wp14:editId="538AFCA9">
              <wp:simplePos x="635" y="635"/>
              <wp:positionH relativeFrom="page">
                <wp:align>left</wp:align>
              </wp:positionH>
              <wp:positionV relativeFrom="page">
                <wp:align>bottom</wp:align>
              </wp:positionV>
              <wp:extent cx="833755" cy="357505"/>
              <wp:effectExtent l="0" t="0" r="4445" b="0"/>
              <wp:wrapNone/>
              <wp:docPr id="1827899895" name="Text Box 8" descr="Public - 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33755" cy="357505"/>
                      </a:xfrm>
                      <a:prstGeom prst="rect">
                        <a:avLst/>
                      </a:prstGeom>
                      <a:noFill/>
                      <a:ln>
                        <a:noFill/>
                      </a:ln>
                    </wps:spPr>
                    <wps:txbx>
                      <w:txbxContent>
                        <w:p w14:paraId="22648820" w14:textId="05C70779" w:rsidR="004D0DE7" w:rsidRPr="004D0DE7" w:rsidRDefault="004D0DE7" w:rsidP="004D0DE7">
                          <w:pPr>
                            <w:spacing w:after="0"/>
                            <w:rPr>
                              <w:rFonts w:ascii="Aptos" w:eastAsia="Aptos" w:hAnsi="Aptos" w:cs="Aptos"/>
                              <w:noProof/>
                              <w:color w:val="008000"/>
                              <w:sz w:val="20"/>
                              <w:szCs w:val="20"/>
                            </w:rPr>
                          </w:pPr>
                          <w:r w:rsidRPr="004D0DE7">
                            <w:rPr>
                              <w:rFonts w:ascii="Aptos" w:eastAsia="Aptos" w:hAnsi="Aptos" w:cs="Aptos"/>
                              <w:noProof/>
                              <w:color w:val="008000"/>
                              <w:sz w:val="20"/>
                              <w:szCs w:val="20"/>
                            </w:rPr>
                            <w:t>Public</w:t>
                          </w:r>
                          <w:r w:rsidRPr="004D0DE7">
                            <w:rPr>
                              <w:rFonts w:ascii="Aptos" w:eastAsia="Aptos" w:hAnsi="Aptos" w:cs="Aptos"/>
                              <w:noProof/>
                              <w:color w:val="008000"/>
                              <w:sz w:val="20"/>
                              <w:szCs w:val="20"/>
                              <w:rtl/>
                            </w:rPr>
                            <w:t xml:space="preserve"> - عام</w:t>
                          </w:r>
                        </w:p>
                      </w:txbxContent>
                    </wps:txbx>
                    <wps:bodyPr rot="0" spcFirstLastPara="0" vertOverflow="overflow" horzOverflow="overflow" vert="horz" wrap="none" lIns="254000" tIns="0" rIns="0" bIns="190500" numCol="1" spcCol="0" rtlCol="1" fromWordArt="0" anchor="b" anchorCtr="0" forceAA="0" compatLnSpc="1">
                      <a:prstTxWarp prst="textNoShape">
                        <a:avLst/>
                      </a:prstTxWarp>
                      <a:spAutoFit/>
                    </wps:bodyPr>
                  </wps:wsp>
                </a:graphicData>
              </a:graphic>
            </wp:anchor>
          </w:drawing>
        </mc:Choice>
        <mc:Fallback>
          <w:pict>
            <v:shapetype w14:anchorId="555732E3" id="_x0000_t202" coordsize="21600,21600" o:spt="202" path="m,l,21600r21600,l21600,xe">
              <v:stroke joinstyle="miter"/>
              <v:path gradientshapeok="t" o:connecttype="rect"/>
            </v:shapetype>
            <v:shape id="Text Box 8" o:spid="_x0000_s1028" type="#_x0000_t202" alt="Public - عام" style="position:absolute;left:0;text-align:left;margin-left:0;margin-top:0;width:65.65pt;height:28.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" filled="f" stroked="f">
              <v:textbox style="mso-fit-shape-to-text:t" inset="20pt,0,0,15pt">
                <w:txbxContent>
                  <w:p w14:paraId="22648820" w14:textId="05C70779" w:rsidR="004D0DE7" w:rsidRPr="004D0DE7" w:rsidRDefault="004D0DE7" w:rsidP="004D0DE7">
                    <w:pPr>
                      <w:spacing w:after="0"/>
                      <w:rPr>
                        <w:rFonts w:ascii="Aptos" w:eastAsia="Aptos" w:hAnsi="Aptos" w:cs="Aptos"/>
                        <w:noProof/>
                        <w:color w:val="008000"/>
                        <w:sz w:val="20"/>
                        <w:szCs w:val="20"/>
                      </w:rPr>
                    </w:pPr>
                    <w:r w:rsidRPr="004D0DE7">
                      <w:rPr>
                        <w:rFonts w:ascii="Aptos" w:eastAsia="Aptos" w:hAnsi="Aptos" w:cs="Aptos"/>
                        <w:noProof/>
                        <w:color w:val="008000"/>
                        <w:sz w:val="20"/>
                        <w:szCs w:val="20"/>
                      </w:rPr>
                      <w:t>Public</w:t>
                    </w:r>
                    <w:r w:rsidRPr="004D0DE7">
                      <w:rPr>
                        <w:rFonts w:ascii="Aptos" w:eastAsia="Aptos" w:hAnsi="Aptos" w:cs="Aptos"/>
                        <w:noProof/>
                        <w:color w:val="008000"/>
                        <w:sz w:val="20"/>
                        <w:szCs w:val="20"/>
                        <w:rtl/>
                      </w:rPr>
                      <w:t xml:space="preserve"> - عام</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32186" w14:textId="77777777" w:rsidR="00E77376" w:rsidRDefault="00E77376" w:rsidP="00B27BA1">
      <w:pPr>
        <w:spacing w:after="0" w:line="240" w:lineRule="auto"/>
      </w:pPr>
      <w:r>
        <w:separator/>
      </w:r>
    </w:p>
  </w:footnote>
  <w:footnote w:type="continuationSeparator" w:id="0">
    <w:p w14:paraId="54E39105" w14:textId="77777777" w:rsidR="00E77376" w:rsidRDefault="00E77376" w:rsidP="00B27B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FC133" w14:textId="1602CAB9" w:rsidR="00B27BA1" w:rsidRDefault="00B27B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4DAAE" w14:textId="68D4DE8E" w:rsidR="00B27BA1" w:rsidRDefault="00B27B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0D995" w14:textId="52844EFA" w:rsidR="00B27BA1" w:rsidRDefault="00B27B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7A69"/>
    <w:multiLevelType w:val="hybridMultilevel"/>
    <w:tmpl w:val="C48CE1A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AF56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E90DDE"/>
    <w:multiLevelType w:val="hybridMultilevel"/>
    <w:tmpl w:val="6D8C1F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2168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3266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B93ED3"/>
    <w:multiLevelType w:val="hybridMultilevel"/>
    <w:tmpl w:val="E5A6B94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307A711A"/>
    <w:multiLevelType w:val="hybridMultilevel"/>
    <w:tmpl w:val="A6FED0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E3B42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BE33D8"/>
    <w:multiLevelType w:val="hybridMultilevel"/>
    <w:tmpl w:val="6A7EC93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6359081D"/>
    <w:multiLevelType w:val="hybridMultilevel"/>
    <w:tmpl w:val="D9F062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756AB5"/>
    <w:multiLevelType w:val="hybridMultilevel"/>
    <w:tmpl w:val="C34E0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AEA5823"/>
    <w:multiLevelType w:val="hybridMultilevel"/>
    <w:tmpl w:val="DDB4C9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C8578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1857174">
    <w:abstractNumId w:val="11"/>
  </w:num>
  <w:num w:numId="2" w16cid:durableId="1349210536">
    <w:abstractNumId w:val="10"/>
  </w:num>
  <w:num w:numId="3" w16cid:durableId="8652869">
    <w:abstractNumId w:val="9"/>
  </w:num>
  <w:num w:numId="4" w16cid:durableId="2050907482">
    <w:abstractNumId w:val="3"/>
  </w:num>
  <w:num w:numId="5" w16cid:durableId="728186537">
    <w:abstractNumId w:val="7"/>
  </w:num>
  <w:num w:numId="6" w16cid:durableId="1802842614">
    <w:abstractNumId w:val="4"/>
  </w:num>
  <w:num w:numId="7" w16cid:durableId="1080102568">
    <w:abstractNumId w:val="1"/>
  </w:num>
  <w:num w:numId="8" w16cid:durableId="326131917">
    <w:abstractNumId w:val="12"/>
  </w:num>
  <w:num w:numId="9" w16cid:durableId="780882359">
    <w:abstractNumId w:val="2"/>
  </w:num>
  <w:num w:numId="10" w16cid:durableId="1413352045">
    <w:abstractNumId w:val="6"/>
  </w:num>
  <w:num w:numId="11" w16cid:durableId="1075008164">
    <w:abstractNumId w:val="5"/>
  </w:num>
  <w:num w:numId="12" w16cid:durableId="1342704789">
    <w:abstractNumId w:val="8"/>
  </w:num>
  <w:num w:numId="13" w16cid:durableId="1613855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5AC"/>
    <w:rsid w:val="004D0DE7"/>
    <w:rsid w:val="00576FC1"/>
    <w:rsid w:val="00684FF6"/>
    <w:rsid w:val="009D34EE"/>
    <w:rsid w:val="00B27BA1"/>
    <w:rsid w:val="00B71A2C"/>
    <w:rsid w:val="00B81F13"/>
    <w:rsid w:val="00BA05AC"/>
    <w:rsid w:val="00BB7C4B"/>
    <w:rsid w:val="00E71AEF"/>
    <w:rsid w:val="00E77376"/>
    <w:rsid w:val="00EF51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9E548"/>
  <w15:chartTrackingRefBased/>
  <w15:docId w15:val="{C038460B-160A-4248-B5C3-3842332F3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05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05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05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05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05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05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05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05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05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05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05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05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05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05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05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05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05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05AC"/>
    <w:rPr>
      <w:rFonts w:eastAsiaTheme="majorEastAsia" w:cstheme="majorBidi"/>
      <w:color w:val="272727" w:themeColor="text1" w:themeTint="D8"/>
    </w:rPr>
  </w:style>
  <w:style w:type="paragraph" w:styleId="Title">
    <w:name w:val="Title"/>
    <w:basedOn w:val="Normal"/>
    <w:next w:val="Normal"/>
    <w:link w:val="TitleChar"/>
    <w:uiPriority w:val="10"/>
    <w:qFormat/>
    <w:rsid w:val="00BA05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05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05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05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05AC"/>
    <w:pPr>
      <w:spacing w:before="160"/>
      <w:jc w:val="center"/>
    </w:pPr>
    <w:rPr>
      <w:i/>
      <w:iCs/>
      <w:color w:val="404040" w:themeColor="text1" w:themeTint="BF"/>
    </w:rPr>
  </w:style>
  <w:style w:type="character" w:customStyle="1" w:styleId="QuoteChar">
    <w:name w:val="Quote Char"/>
    <w:basedOn w:val="DefaultParagraphFont"/>
    <w:link w:val="Quote"/>
    <w:uiPriority w:val="29"/>
    <w:rsid w:val="00BA05AC"/>
    <w:rPr>
      <w:i/>
      <w:iCs/>
      <w:color w:val="404040" w:themeColor="text1" w:themeTint="BF"/>
    </w:rPr>
  </w:style>
  <w:style w:type="paragraph" w:styleId="ListParagraph">
    <w:name w:val="List Paragraph"/>
    <w:basedOn w:val="Normal"/>
    <w:uiPriority w:val="34"/>
    <w:qFormat/>
    <w:rsid w:val="00BA05AC"/>
    <w:pPr>
      <w:ind w:left="720"/>
      <w:contextualSpacing/>
    </w:pPr>
  </w:style>
  <w:style w:type="character" w:styleId="IntenseEmphasis">
    <w:name w:val="Intense Emphasis"/>
    <w:basedOn w:val="DefaultParagraphFont"/>
    <w:uiPriority w:val="21"/>
    <w:qFormat/>
    <w:rsid w:val="00BA05AC"/>
    <w:rPr>
      <w:i/>
      <w:iCs/>
      <w:color w:val="0F4761" w:themeColor="accent1" w:themeShade="BF"/>
    </w:rPr>
  </w:style>
  <w:style w:type="paragraph" w:styleId="IntenseQuote">
    <w:name w:val="Intense Quote"/>
    <w:basedOn w:val="Normal"/>
    <w:next w:val="Normal"/>
    <w:link w:val="IntenseQuoteChar"/>
    <w:uiPriority w:val="30"/>
    <w:qFormat/>
    <w:rsid w:val="00BA05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05AC"/>
    <w:rPr>
      <w:i/>
      <w:iCs/>
      <w:color w:val="0F4761" w:themeColor="accent1" w:themeShade="BF"/>
    </w:rPr>
  </w:style>
  <w:style w:type="character" w:styleId="IntenseReference">
    <w:name w:val="Intense Reference"/>
    <w:basedOn w:val="DefaultParagraphFont"/>
    <w:uiPriority w:val="32"/>
    <w:qFormat/>
    <w:rsid w:val="00BA05AC"/>
    <w:rPr>
      <w:b/>
      <w:bCs/>
      <w:smallCaps/>
      <w:color w:val="0F4761" w:themeColor="accent1" w:themeShade="BF"/>
      <w:spacing w:val="5"/>
    </w:rPr>
  </w:style>
  <w:style w:type="paragraph" w:styleId="Header">
    <w:name w:val="header"/>
    <w:basedOn w:val="Normal"/>
    <w:link w:val="HeaderChar"/>
    <w:uiPriority w:val="99"/>
    <w:unhideWhenUsed/>
    <w:rsid w:val="00B27B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7BA1"/>
  </w:style>
  <w:style w:type="paragraph" w:styleId="Footer">
    <w:name w:val="footer"/>
    <w:basedOn w:val="Normal"/>
    <w:link w:val="FooterChar"/>
    <w:uiPriority w:val="99"/>
    <w:unhideWhenUsed/>
    <w:rsid w:val="00B27B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7B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diagramColors" Target="diagrams/colors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AEFD41-55C4-4E84-8685-3C670BBE1F30}" type="doc">
      <dgm:prSet loTypeId="urn:microsoft.com/office/officeart/2005/8/layout/radial3" loCatId="cycle" qsTypeId="urn:microsoft.com/office/officeart/2005/8/quickstyle/3d3" qsCatId="3D" csTypeId="urn:microsoft.com/office/officeart/2005/8/colors/accent1_2" csCatId="accent1" phldr="1"/>
      <dgm:spPr/>
      <dgm:t>
        <a:bodyPr/>
        <a:lstStyle/>
        <a:p>
          <a:pPr rtl="1"/>
          <a:endParaRPr lang="ar-SA"/>
        </a:p>
      </dgm:t>
    </dgm:pt>
    <dgm:pt modelId="{B4F35888-D047-411F-B86B-3774E60E272C}">
      <dgm:prSet phldrT="[Text]"/>
      <dgm:spPr>
        <a:xfrm>
          <a:off x="1855589" y="712589"/>
          <a:ext cx="1775221" cy="1775221"/>
        </a:xfrm>
        <a:prstGeom prst="ellipse">
          <a:avLst/>
        </a:prstGeom>
        <a:solidFill>
          <a:srgbClr val="4472C4">
            <a:alpha val="50000"/>
            <a:hueOff val="0"/>
            <a:satOff val="0"/>
            <a:lumOff val="0"/>
            <a:alphaOff val="0"/>
          </a:srgbClr>
        </a:solidFill>
        <a:ln>
          <a:noFill/>
        </a:ln>
        <a:effectLst/>
        <a:scene3d>
          <a:camera prst="orthographicFront">
            <a:rot lat="0" lon="0" rev="0"/>
          </a:camera>
          <a:lightRig rig="contrasting" dir="t">
            <a:rot lat="0" lon="0" rev="1200000"/>
          </a:lightRig>
        </a:scene3d>
        <a:sp3d contourW="12700" prstMaterial="clear">
          <a:bevelT w="177800" h="254000"/>
          <a:bevelB w="152400"/>
        </a:sp3d>
      </dgm:spPr>
      <dgm:t>
        <a:bodyPr/>
        <a:lstStyle/>
        <a:p>
          <a:pPr rtl="1">
            <a:buNone/>
          </a:pPr>
          <a:r>
            <a:rPr lang="ar-SA">
              <a:solidFill>
                <a:sysClr val="windowText" lastClr="000000"/>
              </a:solidFill>
              <a:latin typeface="Calibri" panose="020F0502020204030204"/>
              <a:ea typeface="+mn-ea"/>
              <a:cs typeface="Arial" panose="020B0604020202020204" pitchFamily="34" charset="0"/>
            </a:rPr>
            <a:t>كفاءة تنفيذ مشاريع الطيران</a:t>
          </a:r>
        </a:p>
      </dgm:t>
    </dgm:pt>
    <dgm:pt modelId="{99F578D3-BB3F-4F9F-AF90-2D9ED570F7A6}" type="parTrans" cxnId="{031D397E-8266-4E83-BC53-8385733111B0}">
      <dgm:prSet/>
      <dgm:spPr/>
      <dgm:t>
        <a:bodyPr/>
        <a:lstStyle/>
        <a:p>
          <a:pPr rtl="1"/>
          <a:endParaRPr lang="ar-SA"/>
        </a:p>
      </dgm:t>
    </dgm:pt>
    <dgm:pt modelId="{7D92DDED-0BBC-447B-9CEA-C51831D94248}" type="sibTrans" cxnId="{031D397E-8266-4E83-BC53-8385733111B0}">
      <dgm:prSet/>
      <dgm:spPr/>
      <dgm:t>
        <a:bodyPr/>
        <a:lstStyle/>
        <a:p>
          <a:pPr rtl="1"/>
          <a:endParaRPr lang="ar-SA"/>
        </a:p>
      </dgm:t>
    </dgm:pt>
    <dgm:pt modelId="{7C5D7966-AB38-479A-BA39-B9E74E6B195B}">
      <dgm:prSet phldrT="[Text]"/>
      <dgm:spPr>
        <a:xfrm>
          <a:off x="2299394" y="316"/>
          <a:ext cx="887610" cy="887610"/>
        </a:xfrm>
        <a:prstGeom prst="ellipse">
          <a:avLst/>
        </a:prstGeom>
        <a:solidFill>
          <a:srgbClr val="4472C4">
            <a:alpha val="50000"/>
            <a:hueOff val="0"/>
            <a:satOff val="0"/>
            <a:lumOff val="0"/>
            <a:alphaOff val="0"/>
          </a:srgbClr>
        </a:solidFill>
        <a:ln>
          <a:noFill/>
        </a:ln>
        <a:effectLst/>
        <a:scene3d>
          <a:camera prst="orthographicFront">
            <a:rot lat="0" lon="0" rev="0"/>
          </a:camera>
          <a:lightRig rig="contrasting" dir="t">
            <a:rot lat="0" lon="0" rev="1200000"/>
          </a:lightRig>
        </a:scene3d>
        <a:sp3d contourW="12700" prstMaterial="clear">
          <a:bevelT w="177800" h="254000"/>
          <a:bevelB w="152400"/>
        </a:sp3d>
      </dgm:spPr>
      <dgm:t>
        <a:bodyPr/>
        <a:lstStyle/>
        <a:p>
          <a:pPr rtl="1">
            <a:buNone/>
          </a:pPr>
          <a:r>
            <a:rPr lang="ar-SA">
              <a:solidFill>
                <a:sysClr val="windowText" lastClr="000000"/>
              </a:solidFill>
              <a:latin typeface="Calibri" panose="020F0502020204030204"/>
              <a:ea typeface="+mn-ea"/>
              <a:cs typeface="Arial" panose="020B0604020202020204" pitchFamily="34" charset="0"/>
            </a:rPr>
            <a:t>الكفاءة الزمنية</a:t>
          </a:r>
        </a:p>
      </dgm:t>
    </dgm:pt>
    <dgm:pt modelId="{E15FE6F1-5083-4565-9766-AE5FFB4AABD0}" type="parTrans" cxnId="{BDC7C9CA-614F-4A0C-886A-A3504D27D940}">
      <dgm:prSet/>
      <dgm:spPr/>
      <dgm:t>
        <a:bodyPr/>
        <a:lstStyle/>
        <a:p>
          <a:pPr rtl="1"/>
          <a:endParaRPr lang="ar-SA"/>
        </a:p>
      </dgm:t>
    </dgm:pt>
    <dgm:pt modelId="{319267EA-0DC1-4AE6-BCD4-48AED07C32FA}" type="sibTrans" cxnId="{BDC7C9CA-614F-4A0C-886A-A3504D27D940}">
      <dgm:prSet/>
      <dgm:spPr/>
      <dgm:t>
        <a:bodyPr/>
        <a:lstStyle/>
        <a:p>
          <a:pPr rtl="1"/>
          <a:endParaRPr lang="ar-SA"/>
        </a:p>
      </dgm:t>
    </dgm:pt>
    <dgm:pt modelId="{6B3853C2-76A6-4FB6-AE2A-F0B5C7E12990}">
      <dgm:prSet phldrT="[Text]"/>
      <dgm:spPr>
        <a:xfrm>
          <a:off x="3300587" y="578355"/>
          <a:ext cx="887610" cy="887610"/>
        </a:xfrm>
        <a:prstGeom prst="ellipse">
          <a:avLst/>
        </a:prstGeom>
        <a:solidFill>
          <a:srgbClr val="4472C4">
            <a:alpha val="50000"/>
            <a:hueOff val="0"/>
            <a:satOff val="0"/>
            <a:lumOff val="0"/>
            <a:alphaOff val="0"/>
          </a:srgbClr>
        </a:solidFill>
        <a:ln>
          <a:noFill/>
        </a:ln>
        <a:effectLst/>
        <a:scene3d>
          <a:camera prst="orthographicFront">
            <a:rot lat="0" lon="0" rev="0"/>
          </a:camera>
          <a:lightRig rig="contrasting" dir="t">
            <a:rot lat="0" lon="0" rev="1200000"/>
          </a:lightRig>
        </a:scene3d>
        <a:sp3d contourW="12700" prstMaterial="clear">
          <a:bevelT w="177800" h="254000"/>
          <a:bevelB w="152400"/>
        </a:sp3d>
      </dgm:spPr>
      <dgm:t>
        <a:bodyPr/>
        <a:lstStyle/>
        <a:p>
          <a:pPr rtl="1">
            <a:buNone/>
          </a:pPr>
          <a:r>
            <a:rPr lang="ar-SA">
              <a:solidFill>
                <a:sysClr val="windowText" lastClr="000000"/>
              </a:solidFill>
              <a:latin typeface="Calibri" panose="020F0502020204030204"/>
              <a:ea typeface="+mn-ea"/>
              <a:cs typeface="Arial" panose="020B0604020202020204" pitchFamily="34" charset="0"/>
            </a:rPr>
            <a:t>الكفاءة المالية</a:t>
          </a:r>
        </a:p>
      </dgm:t>
    </dgm:pt>
    <dgm:pt modelId="{8DAD266A-5797-476C-A0F4-CBA92F1A5AAF}" type="parTrans" cxnId="{5A5FBB37-BE37-4BDA-A3F6-3A0479D06C89}">
      <dgm:prSet/>
      <dgm:spPr/>
      <dgm:t>
        <a:bodyPr/>
        <a:lstStyle/>
        <a:p>
          <a:pPr rtl="1"/>
          <a:endParaRPr lang="ar-SA"/>
        </a:p>
      </dgm:t>
    </dgm:pt>
    <dgm:pt modelId="{9CCDB826-3A69-4946-AEB4-7636166E53CE}" type="sibTrans" cxnId="{5A5FBB37-BE37-4BDA-A3F6-3A0479D06C89}">
      <dgm:prSet/>
      <dgm:spPr/>
      <dgm:t>
        <a:bodyPr/>
        <a:lstStyle/>
        <a:p>
          <a:pPr rtl="1"/>
          <a:endParaRPr lang="ar-SA"/>
        </a:p>
      </dgm:t>
    </dgm:pt>
    <dgm:pt modelId="{3CFB933A-9E36-4B84-A82D-856DBFC7C415}">
      <dgm:prSet phldrT="[Text]"/>
      <dgm:spPr>
        <a:xfrm>
          <a:off x="1298201" y="578355"/>
          <a:ext cx="887610" cy="887610"/>
        </a:xfrm>
        <a:prstGeom prst="ellipse">
          <a:avLst/>
        </a:prstGeom>
        <a:solidFill>
          <a:srgbClr val="4472C4">
            <a:alpha val="50000"/>
            <a:hueOff val="0"/>
            <a:satOff val="0"/>
            <a:lumOff val="0"/>
            <a:alphaOff val="0"/>
          </a:srgbClr>
        </a:solidFill>
        <a:ln>
          <a:noFill/>
        </a:ln>
        <a:effectLst/>
        <a:scene3d>
          <a:camera prst="orthographicFront">
            <a:rot lat="0" lon="0" rev="0"/>
          </a:camera>
          <a:lightRig rig="contrasting" dir="t">
            <a:rot lat="0" lon="0" rev="1200000"/>
          </a:lightRig>
        </a:scene3d>
        <a:sp3d contourW="12700" prstMaterial="clear">
          <a:bevelT w="177800" h="254000"/>
          <a:bevelB w="152400"/>
        </a:sp3d>
      </dgm:spPr>
      <dgm:t>
        <a:bodyPr/>
        <a:lstStyle/>
        <a:p>
          <a:pPr rtl="1">
            <a:buNone/>
          </a:pPr>
          <a:r>
            <a:rPr lang="ar-SA">
              <a:solidFill>
                <a:sysClr val="windowText" lastClr="000000"/>
              </a:solidFill>
              <a:latin typeface="Calibri" panose="020F0502020204030204"/>
              <a:ea typeface="+mn-ea"/>
              <a:cs typeface="Arial" panose="020B0604020202020204" pitchFamily="34" charset="0"/>
            </a:rPr>
            <a:t>الحوكمة المؤسسية</a:t>
          </a:r>
        </a:p>
      </dgm:t>
    </dgm:pt>
    <dgm:pt modelId="{0D937E6A-434D-4999-BBC8-880DC234C3AF}" type="parTrans" cxnId="{E385BADA-4A35-4F52-BF79-72A510E2AE13}">
      <dgm:prSet/>
      <dgm:spPr/>
      <dgm:t>
        <a:bodyPr/>
        <a:lstStyle/>
        <a:p>
          <a:pPr rtl="1"/>
          <a:endParaRPr lang="ar-SA"/>
        </a:p>
      </dgm:t>
    </dgm:pt>
    <dgm:pt modelId="{09B3CDC4-EC4E-4E39-A4B2-C918F43124BB}" type="sibTrans" cxnId="{E385BADA-4A35-4F52-BF79-72A510E2AE13}">
      <dgm:prSet/>
      <dgm:spPr/>
      <dgm:t>
        <a:bodyPr/>
        <a:lstStyle/>
        <a:p>
          <a:pPr rtl="1"/>
          <a:endParaRPr lang="ar-SA"/>
        </a:p>
      </dgm:t>
    </dgm:pt>
    <dgm:pt modelId="{95551A7D-1986-499F-89F0-D73CF347FB35}">
      <dgm:prSet phldrT="[Text]"/>
      <dgm:spPr>
        <a:xfrm>
          <a:off x="3300587" y="1734433"/>
          <a:ext cx="887610" cy="887610"/>
        </a:xfrm>
        <a:prstGeom prst="ellipse">
          <a:avLst/>
        </a:prstGeom>
        <a:solidFill>
          <a:srgbClr val="4472C4">
            <a:alpha val="50000"/>
            <a:hueOff val="0"/>
            <a:satOff val="0"/>
            <a:lumOff val="0"/>
            <a:alphaOff val="0"/>
          </a:srgbClr>
        </a:solidFill>
        <a:ln>
          <a:noFill/>
        </a:ln>
        <a:effectLst/>
        <a:scene3d>
          <a:camera prst="orthographicFront">
            <a:rot lat="0" lon="0" rev="0"/>
          </a:camera>
          <a:lightRig rig="contrasting" dir="t">
            <a:rot lat="0" lon="0" rev="1200000"/>
          </a:lightRig>
        </a:scene3d>
        <a:sp3d contourW="12700" prstMaterial="clear">
          <a:bevelT w="177800" h="254000"/>
          <a:bevelB w="152400"/>
        </a:sp3d>
      </dgm:spPr>
      <dgm:t>
        <a:bodyPr/>
        <a:lstStyle/>
        <a:p>
          <a:pPr rtl="1">
            <a:buNone/>
          </a:pPr>
          <a:r>
            <a:rPr lang="ar-SA">
              <a:solidFill>
                <a:sysClr val="windowText" lastClr="000000"/>
              </a:solidFill>
              <a:latin typeface="Calibri" panose="020F0502020204030204"/>
              <a:ea typeface="+mn-ea"/>
              <a:cs typeface="Arial" panose="020B0604020202020204" pitchFamily="34" charset="0"/>
            </a:rPr>
            <a:t>التنسيق المؤسسي</a:t>
          </a:r>
        </a:p>
      </dgm:t>
    </dgm:pt>
    <dgm:pt modelId="{FFE1BEC9-349A-48B1-8ED2-DF202C43E4E8}" type="parTrans" cxnId="{E846CBA3-86ED-445A-82AD-E61A9FB0698C}">
      <dgm:prSet/>
      <dgm:spPr/>
      <dgm:t>
        <a:bodyPr/>
        <a:lstStyle/>
        <a:p>
          <a:pPr rtl="1"/>
          <a:endParaRPr lang="ar-SA"/>
        </a:p>
      </dgm:t>
    </dgm:pt>
    <dgm:pt modelId="{2DED7188-0230-4D37-ABEA-2FBCF16D6104}" type="sibTrans" cxnId="{E846CBA3-86ED-445A-82AD-E61A9FB0698C}">
      <dgm:prSet/>
      <dgm:spPr/>
      <dgm:t>
        <a:bodyPr/>
        <a:lstStyle/>
        <a:p>
          <a:pPr rtl="1"/>
          <a:endParaRPr lang="ar-SA"/>
        </a:p>
      </dgm:t>
    </dgm:pt>
    <dgm:pt modelId="{16F90023-E61B-4828-9BB2-CA1E44F92E76}">
      <dgm:prSet phldrT="[Text]"/>
      <dgm:spPr>
        <a:xfrm>
          <a:off x="2299394" y="2312472"/>
          <a:ext cx="887610" cy="887610"/>
        </a:xfrm>
        <a:prstGeom prst="ellipse">
          <a:avLst/>
        </a:prstGeom>
        <a:solidFill>
          <a:srgbClr val="4472C4">
            <a:alpha val="50000"/>
            <a:hueOff val="0"/>
            <a:satOff val="0"/>
            <a:lumOff val="0"/>
            <a:alphaOff val="0"/>
          </a:srgbClr>
        </a:solidFill>
        <a:ln>
          <a:noFill/>
        </a:ln>
        <a:effectLst/>
        <a:scene3d>
          <a:camera prst="orthographicFront">
            <a:rot lat="0" lon="0" rev="0"/>
          </a:camera>
          <a:lightRig rig="contrasting" dir="t">
            <a:rot lat="0" lon="0" rev="1200000"/>
          </a:lightRig>
        </a:scene3d>
        <a:sp3d contourW="12700" prstMaterial="clear">
          <a:bevelT w="177800" h="254000"/>
          <a:bevelB w="152400"/>
        </a:sp3d>
      </dgm:spPr>
      <dgm:t>
        <a:bodyPr/>
        <a:lstStyle/>
        <a:p>
          <a:pPr rtl="1">
            <a:buNone/>
          </a:pPr>
          <a:r>
            <a:rPr lang="ar-SA">
              <a:solidFill>
                <a:sysClr val="windowText" lastClr="000000"/>
              </a:solidFill>
              <a:latin typeface="Calibri" panose="020F0502020204030204"/>
              <a:ea typeface="+mn-ea"/>
              <a:cs typeface="Arial" panose="020B0604020202020204" pitchFamily="34" charset="0"/>
            </a:rPr>
            <a:t>إدارة المخاطر</a:t>
          </a:r>
        </a:p>
      </dgm:t>
    </dgm:pt>
    <dgm:pt modelId="{931AE68B-856A-4964-80EB-287E7AA8A2FE}" type="parTrans" cxnId="{4349A25D-03FF-4877-91EA-62E246A5BB87}">
      <dgm:prSet/>
      <dgm:spPr/>
      <dgm:t>
        <a:bodyPr/>
        <a:lstStyle/>
        <a:p>
          <a:pPr rtl="1"/>
          <a:endParaRPr lang="ar-SA"/>
        </a:p>
      </dgm:t>
    </dgm:pt>
    <dgm:pt modelId="{4C09A3AE-49FD-4634-B7D0-3FBE43E41F7C}" type="sibTrans" cxnId="{4349A25D-03FF-4877-91EA-62E246A5BB87}">
      <dgm:prSet/>
      <dgm:spPr/>
      <dgm:t>
        <a:bodyPr/>
        <a:lstStyle/>
        <a:p>
          <a:pPr rtl="1"/>
          <a:endParaRPr lang="ar-SA"/>
        </a:p>
      </dgm:t>
    </dgm:pt>
    <dgm:pt modelId="{D0AC12EC-53A8-41C2-9AFC-198D57690529}">
      <dgm:prSet phldrT="[Text]"/>
      <dgm:spPr>
        <a:xfrm>
          <a:off x="1298201" y="1734433"/>
          <a:ext cx="887610" cy="887610"/>
        </a:xfrm>
        <a:prstGeom prst="ellipse">
          <a:avLst/>
        </a:prstGeom>
        <a:solidFill>
          <a:srgbClr val="4472C4">
            <a:alpha val="50000"/>
            <a:hueOff val="0"/>
            <a:satOff val="0"/>
            <a:lumOff val="0"/>
            <a:alphaOff val="0"/>
          </a:srgbClr>
        </a:solidFill>
        <a:ln>
          <a:noFill/>
        </a:ln>
        <a:effectLst/>
        <a:scene3d>
          <a:camera prst="orthographicFront">
            <a:rot lat="0" lon="0" rev="0"/>
          </a:camera>
          <a:lightRig rig="contrasting" dir="t">
            <a:rot lat="0" lon="0" rev="1200000"/>
          </a:lightRig>
        </a:scene3d>
        <a:sp3d contourW="12700" prstMaterial="clear">
          <a:bevelT w="177800" h="254000"/>
          <a:bevelB w="152400"/>
        </a:sp3d>
      </dgm:spPr>
      <dgm:t>
        <a:bodyPr/>
        <a:lstStyle/>
        <a:p>
          <a:pPr rtl="1">
            <a:buNone/>
          </a:pPr>
          <a:r>
            <a:rPr lang="ar-SA">
              <a:solidFill>
                <a:sysClr val="windowText" lastClr="000000"/>
              </a:solidFill>
              <a:latin typeface="Calibri" panose="020F0502020204030204"/>
              <a:ea typeface="+mn-ea"/>
              <a:cs typeface="Arial" panose="020B0604020202020204" pitchFamily="34" charset="0"/>
            </a:rPr>
            <a:t>التحول الرقمي</a:t>
          </a:r>
        </a:p>
      </dgm:t>
    </dgm:pt>
    <dgm:pt modelId="{20D5171B-1126-4EC5-9FDB-A30B7574B2BD}" type="parTrans" cxnId="{6D7CCCDA-45D3-4064-8680-2F78B5466296}">
      <dgm:prSet/>
      <dgm:spPr/>
      <dgm:t>
        <a:bodyPr/>
        <a:lstStyle/>
        <a:p>
          <a:pPr rtl="1"/>
          <a:endParaRPr lang="ar-SA"/>
        </a:p>
      </dgm:t>
    </dgm:pt>
    <dgm:pt modelId="{698D1BD7-0980-446A-B3E6-FADFE92C0EC5}" type="sibTrans" cxnId="{6D7CCCDA-45D3-4064-8680-2F78B5466296}">
      <dgm:prSet/>
      <dgm:spPr/>
      <dgm:t>
        <a:bodyPr/>
        <a:lstStyle/>
        <a:p>
          <a:pPr rtl="1"/>
          <a:endParaRPr lang="ar-SA"/>
        </a:p>
      </dgm:t>
    </dgm:pt>
    <dgm:pt modelId="{CA42416C-64AB-4145-A0F6-0BD4253B44AE}" type="pres">
      <dgm:prSet presAssocID="{0AAEFD41-55C4-4E84-8685-3C670BBE1F30}" presName="composite" presStyleCnt="0">
        <dgm:presLayoutVars>
          <dgm:chMax val="1"/>
          <dgm:dir/>
          <dgm:resizeHandles val="exact"/>
        </dgm:presLayoutVars>
      </dgm:prSet>
      <dgm:spPr/>
    </dgm:pt>
    <dgm:pt modelId="{B63C3B1F-0994-4F74-9381-774B8514D6EB}" type="pres">
      <dgm:prSet presAssocID="{0AAEFD41-55C4-4E84-8685-3C670BBE1F30}" presName="radial" presStyleCnt="0">
        <dgm:presLayoutVars>
          <dgm:animLvl val="ctr"/>
        </dgm:presLayoutVars>
      </dgm:prSet>
      <dgm:spPr/>
    </dgm:pt>
    <dgm:pt modelId="{9187E213-DAE0-4CEF-AAB8-B77956320B23}" type="pres">
      <dgm:prSet presAssocID="{B4F35888-D047-411F-B86B-3774E60E272C}" presName="centerShape" presStyleLbl="vennNode1" presStyleIdx="0" presStyleCnt="7"/>
      <dgm:spPr/>
    </dgm:pt>
    <dgm:pt modelId="{F329095A-EA1E-412F-A272-8D5170CF6CFB}" type="pres">
      <dgm:prSet presAssocID="{7C5D7966-AB38-479A-BA39-B9E74E6B195B}" presName="node" presStyleLbl="vennNode1" presStyleIdx="1" presStyleCnt="7">
        <dgm:presLayoutVars>
          <dgm:bulletEnabled val="1"/>
        </dgm:presLayoutVars>
      </dgm:prSet>
      <dgm:spPr/>
    </dgm:pt>
    <dgm:pt modelId="{AF1C7B65-F228-4850-B46F-476FBC88ABFF}" type="pres">
      <dgm:prSet presAssocID="{6B3853C2-76A6-4FB6-AE2A-F0B5C7E12990}" presName="node" presStyleLbl="vennNode1" presStyleIdx="2" presStyleCnt="7">
        <dgm:presLayoutVars>
          <dgm:bulletEnabled val="1"/>
        </dgm:presLayoutVars>
      </dgm:prSet>
      <dgm:spPr/>
    </dgm:pt>
    <dgm:pt modelId="{B2994E98-47B3-432E-ADE8-F69217DB7673}" type="pres">
      <dgm:prSet presAssocID="{95551A7D-1986-499F-89F0-D73CF347FB35}" presName="node" presStyleLbl="vennNode1" presStyleIdx="3" presStyleCnt="7">
        <dgm:presLayoutVars>
          <dgm:bulletEnabled val="1"/>
        </dgm:presLayoutVars>
      </dgm:prSet>
      <dgm:spPr/>
    </dgm:pt>
    <dgm:pt modelId="{F7BDE4B2-A1EB-437A-BB72-437833DE769E}" type="pres">
      <dgm:prSet presAssocID="{16F90023-E61B-4828-9BB2-CA1E44F92E76}" presName="node" presStyleLbl="vennNode1" presStyleIdx="4" presStyleCnt="7">
        <dgm:presLayoutVars>
          <dgm:bulletEnabled val="1"/>
        </dgm:presLayoutVars>
      </dgm:prSet>
      <dgm:spPr/>
    </dgm:pt>
    <dgm:pt modelId="{93090128-9953-4D3D-BDAE-429E42AE03DD}" type="pres">
      <dgm:prSet presAssocID="{D0AC12EC-53A8-41C2-9AFC-198D57690529}" presName="node" presStyleLbl="vennNode1" presStyleIdx="5" presStyleCnt="7">
        <dgm:presLayoutVars>
          <dgm:bulletEnabled val="1"/>
        </dgm:presLayoutVars>
      </dgm:prSet>
      <dgm:spPr/>
    </dgm:pt>
    <dgm:pt modelId="{C15E32EB-B394-4230-9831-CAAE3B321AF1}" type="pres">
      <dgm:prSet presAssocID="{3CFB933A-9E36-4B84-A82D-856DBFC7C415}" presName="node" presStyleLbl="vennNode1" presStyleIdx="6" presStyleCnt="7">
        <dgm:presLayoutVars>
          <dgm:bulletEnabled val="1"/>
        </dgm:presLayoutVars>
      </dgm:prSet>
      <dgm:spPr/>
    </dgm:pt>
  </dgm:ptLst>
  <dgm:cxnLst>
    <dgm:cxn modelId="{1480B30C-80A7-4C1C-A5A0-78FF2707C004}" type="presOf" srcId="{D0AC12EC-53A8-41C2-9AFC-198D57690529}" destId="{93090128-9953-4D3D-BDAE-429E42AE03DD}" srcOrd="0" destOrd="0" presId="urn:microsoft.com/office/officeart/2005/8/layout/radial3"/>
    <dgm:cxn modelId="{6621232B-A19A-45CD-AB34-2F0257AFEF18}" type="presOf" srcId="{B4F35888-D047-411F-B86B-3774E60E272C}" destId="{9187E213-DAE0-4CEF-AAB8-B77956320B23}" srcOrd="0" destOrd="0" presId="urn:microsoft.com/office/officeart/2005/8/layout/radial3"/>
    <dgm:cxn modelId="{5A5FBB37-BE37-4BDA-A3F6-3A0479D06C89}" srcId="{B4F35888-D047-411F-B86B-3774E60E272C}" destId="{6B3853C2-76A6-4FB6-AE2A-F0B5C7E12990}" srcOrd="1" destOrd="0" parTransId="{8DAD266A-5797-476C-A0F4-CBA92F1A5AAF}" sibTransId="{9CCDB826-3A69-4946-AEB4-7636166E53CE}"/>
    <dgm:cxn modelId="{FC95663A-9F4B-4239-AE19-A23ABDAFE8F3}" type="presOf" srcId="{95551A7D-1986-499F-89F0-D73CF347FB35}" destId="{B2994E98-47B3-432E-ADE8-F69217DB7673}" srcOrd="0" destOrd="0" presId="urn:microsoft.com/office/officeart/2005/8/layout/radial3"/>
    <dgm:cxn modelId="{4349A25D-03FF-4877-91EA-62E246A5BB87}" srcId="{B4F35888-D047-411F-B86B-3774E60E272C}" destId="{16F90023-E61B-4828-9BB2-CA1E44F92E76}" srcOrd="3" destOrd="0" parTransId="{931AE68B-856A-4964-80EB-287E7AA8A2FE}" sibTransId="{4C09A3AE-49FD-4634-B7D0-3FBE43E41F7C}"/>
    <dgm:cxn modelId="{031D397E-8266-4E83-BC53-8385733111B0}" srcId="{0AAEFD41-55C4-4E84-8685-3C670BBE1F30}" destId="{B4F35888-D047-411F-B86B-3774E60E272C}" srcOrd="0" destOrd="0" parTransId="{99F578D3-BB3F-4F9F-AF90-2D9ED570F7A6}" sibTransId="{7D92DDED-0BBC-447B-9CEA-C51831D94248}"/>
    <dgm:cxn modelId="{B7FEE77E-9877-4FBC-8F10-8B9C664B7A2B}" type="presOf" srcId="{6B3853C2-76A6-4FB6-AE2A-F0B5C7E12990}" destId="{AF1C7B65-F228-4850-B46F-476FBC88ABFF}" srcOrd="0" destOrd="0" presId="urn:microsoft.com/office/officeart/2005/8/layout/radial3"/>
    <dgm:cxn modelId="{E846CBA3-86ED-445A-82AD-E61A9FB0698C}" srcId="{B4F35888-D047-411F-B86B-3774E60E272C}" destId="{95551A7D-1986-499F-89F0-D73CF347FB35}" srcOrd="2" destOrd="0" parTransId="{FFE1BEC9-349A-48B1-8ED2-DF202C43E4E8}" sibTransId="{2DED7188-0230-4D37-ABEA-2FBCF16D6104}"/>
    <dgm:cxn modelId="{C1722CCA-4C50-4066-862F-A89FB72863D2}" type="presOf" srcId="{0AAEFD41-55C4-4E84-8685-3C670BBE1F30}" destId="{CA42416C-64AB-4145-A0F6-0BD4253B44AE}" srcOrd="0" destOrd="0" presId="urn:microsoft.com/office/officeart/2005/8/layout/radial3"/>
    <dgm:cxn modelId="{BDC7C9CA-614F-4A0C-886A-A3504D27D940}" srcId="{B4F35888-D047-411F-B86B-3774E60E272C}" destId="{7C5D7966-AB38-479A-BA39-B9E74E6B195B}" srcOrd="0" destOrd="0" parTransId="{E15FE6F1-5083-4565-9766-AE5FFB4AABD0}" sibTransId="{319267EA-0DC1-4AE6-BCD4-48AED07C32FA}"/>
    <dgm:cxn modelId="{E581EFD4-5C5C-41E4-8F3F-25701CEFA67C}" type="presOf" srcId="{7C5D7966-AB38-479A-BA39-B9E74E6B195B}" destId="{F329095A-EA1E-412F-A272-8D5170CF6CFB}" srcOrd="0" destOrd="0" presId="urn:microsoft.com/office/officeart/2005/8/layout/radial3"/>
    <dgm:cxn modelId="{E385BADA-4A35-4F52-BF79-72A510E2AE13}" srcId="{B4F35888-D047-411F-B86B-3774E60E272C}" destId="{3CFB933A-9E36-4B84-A82D-856DBFC7C415}" srcOrd="5" destOrd="0" parTransId="{0D937E6A-434D-4999-BBC8-880DC234C3AF}" sibTransId="{09B3CDC4-EC4E-4E39-A4B2-C918F43124BB}"/>
    <dgm:cxn modelId="{6D7CCCDA-45D3-4064-8680-2F78B5466296}" srcId="{B4F35888-D047-411F-B86B-3774E60E272C}" destId="{D0AC12EC-53A8-41C2-9AFC-198D57690529}" srcOrd="4" destOrd="0" parTransId="{20D5171B-1126-4EC5-9FDB-A30B7574B2BD}" sibTransId="{698D1BD7-0980-446A-B3E6-FADFE92C0EC5}"/>
    <dgm:cxn modelId="{195CCFE4-F697-41D4-AF24-3D798B59C5D6}" type="presOf" srcId="{16F90023-E61B-4828-9BB2-CA1E44F92E76}" destId="{F7BDE4B2-A1EB-437A-BB72-437833DE769E}" srcOrd="0" destOrd="0" presId="urn:microsoft.com/office/officeart/2005/8/layout/radial3"/>
    <dgm:cxn modelId="{C15296EE-1E5E-4BA7-8BF1-0DC622E68434}" type="presOf" srcId="{3CFB933A-9E36-4B84-A82D-856DBFC7C415}" destId="{C15E32EB-B394-4230-9831-CAAE3B321AF1}" srcOrd="0" destOrd="0" presId="urn:microsoft.com/office/officeart/2005/8/layout/radial3"/>
    <dgm:cxn modelId="{8D9509A0-B9BF-4192-9D28-0FEE54D63E3E}" type="presParOf" srcId="{CA42416C-64AB-4145-A0F6-0BD4253B44AE}" destId="{B63C3B1F-0994-4F74-9381-774B8514D6EB}" srcOrd="0" destOrd="0" presId="urn:microsoft.com/office/officeart/2005/8/layout/radial3"/>
    <dgm:cxn modelId="{8CCACD7C-51AE-45A1-B437-5A54257E77C5}" type="presParOf" srcId="{B63C3B1F-0994-4F74-9381-774B8514D6EB}" destId="{9187E213-DAE0-4CEF-AAB8-B77956320B23}" srcOrd="0" destOrd="0" presId="urn:microsoft.com/office/officeart/2005/8/layout/radial3"/>
    <dgm:cxn modelId="{05EF750C-2D23-4618-8C6C-A446DDB27572}" type="presParOf" srcId="{B63C3B1F-0994-4F74-9381-774B8514D6EB}" destId="{F329095A-EA1E-412F-A272-8D5170CF6CFB}" srcOrd="1" destOrd="0" presId="urn:microsoft.com/office/officeart/2005/8/layout/radial3"/>
    <dgm:cxn modelId="{DB20EF53-8407-437A-B6D2-48134BA6C163}" type="presParOf" srcId="{B63C3B1F-0994-4F74-9381-774B8514D6EB}" destId="{AF1C7B65-F228-4850-B46F-476FBC88ABFF}" srcOrd="2" destOrd="0" presId="urn:microsoft.com/office/officeart/2005/8/layout/radial3"/>
    <dgm:cxn modelId="{95062E64-4353-4825-A8BD-A1E4FC3798DF}" type="presParOf" srcId="{B63C3B1F-0994-4F74-9381-774B8514D6EB}" destId="{B2994E98-47B3-432E-ADE8-F69217DB7673}" srcOrd="3" destOrd="0" presId="urn:microsoft.com/office/officeart/2005/8/layout/radial3"/>
    <dgm:cxn modelId="{21B6D6EB-9030-44DD-B638-DA43A80E3707}" type="presParOf" srcId="{B63C3B1F-0994-4F74-9381-774B8514D6EB}" destId="{F7BDE4B2-A1EB-437A-BB72-437833DE769E}" srcOrd="4" destOrd="0" presId="urn:microsoft.com/office/officeart/2005/8/layout/radial3"/>
    <dgm:cxn modelId="{EE23C899-296F-441F-AD2A-EBCA347FCCA9}" type="presParOf" srcId="{B63C3B1F-0994-4F74-9381-774B8514D6EB}" destId="{93090128-9953-4D3D-BDAE-429E42AE03DD}" srcOrd="5" destOrd="0" presId="urn:microsoft.com/office/officeart/2005/8/layout/radial3"/>
    <dgm:cxn modelId="{B2FAFA8E-5845-4766-91AB-4115D2D2ABA6}" type="presParOf" srcId="{B63C3B1F-0994-4F74-9381-774B8514D6EB}" destId="{C15E32EB-B394-4230-9831-CAAE3B321AF1}" srcOrd="6" destOrd="0" presId="urn:microsoft.com/office/officeart/2005/8/layout/radial3"/>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87E213-DAE0-4CEF-AAB8-B77956320B23}">
      <dsp:nvSpPr>
        <dsp:cNvPr id="0" name=""/>
        <dsp:cNvSpPr/>
      </dsp:nvSpPr>
      <dsp:spPr>
        <a:xfrm>
          <a:off x="1855589" y="712589"/>
          <a:ext cx="1775221" cy="1775221"/>
        </a:xfrm>
        <a:prstGeom prst="ellipse">
          <a:avLst/>
        </a:prstGeom>
        <a:solidFill>
          <a:srgbClr val="4472C4">
            <a:alpha val="50000"/>
            <a:hueOff val="0"/>
            <a:satOff val="0"/>
            <a:lumOff val="0"/>
            <a:alphaOff val="0"/>
          </a:srgb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36830" tIns="36830" rIns="36830" bIns="36830" numCol="1" spcCol="1270" anchor="ctr" anchorCtr="0">
          <a:noAutofit/>
        </a:bodyPr>
        <a:lstStyle/>
        <a:p>
          <a:pPr marL="0" lvl="0" indent="0" algn="ctr" defTabSz="1289050" rtl="1">
            <a:lnSpc>
              <a:spcPct val="90000"/>
            </a:lnSpc>
            <a:spcBef>
              <a:spcPct val="0"/>
            </a:spcBef>
            <a:spcAft>
              <a:spcPct val="35000"/>
            </a:spcAft>
            <a:buNone/>
          </a:pPr>
          <a:r>
            <a:rPr lang="ar-SA" sz="2900" kern="1200">
              <a:solidFill>
                <a:sysClr val="windowText" lastClr="000000"/>
              </a:solidFill>
              <a:latin typeface="Calibri" panose="020F0502020204030204"/>
              <a:ea typeface="+mn-ea"/>
              <a:cs typeface="Arial" panose="020B0604020202020204" pitchFamily="34" charset="0"/>
            </a:rPr>
            <a:t>كفاءة تنفيذ مشاريع الطيران</a:t>
          </a:r>
        </a:p>
      </dsp:txBody>
      <dsp:txXfrm>
        <a:off x="2115564" y="972564"/>
        <a:ext cx="1255271" cy="1255271"/>
      </dsp:txXfrm>
    </dsp:sp>
    <dsp:sp modelId="{F329095A-EA1E-412F-A272-8D5170CF6CFB}">
      <dsp:nvSpPr>
        <dsp:cNvPr id="0" name=""/>
        <dsp:cNvSpPr/>
      </dsp:nvSpPr>
      <dsp:spPr>
        <a:xfrm>
          <a:off x="2299394" y="316"/>
          <a:ext cx="887610" cy="887610"/>
        </a:xfrm>
        <a:prstGeom prst="ellipse">
          <a:avLst/>
        </a:prstGeom>
        <a:solidFill>
          <a:srgbClr val="4472C4">
            <a:alpha val="50000"/>
            <a:hueOff val="0"/>
            <a:satOff val="0"/>
            <a:lumOff val="0"/>
            <a:alphaOff val="0"/>
          </a:srgb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9050" tIns="19050" rIns="19050" bIns="19050" numCol="1" spcCol="1270" anchor="ctr" anchorCtr="0">
          <a:noAutofit/>
        </a:bodyPr>
        <a:lstStyle/>
        <a:p>
          <a:pPr marL="0" lvl="0" indent="0" algn="ctr" defTabSz="666750" rtl="1">
            <a:lnSpc>
              <a:spcPct val="90000"/>
            </a:lnSpc>
            <a:spcBef>
              <a:spcPct val="0"/>
            </a:spcBef>
            <a:spcAft>
              <a:spcPct val="35000"/>
            </a:spcAft>
            <a:buNone/>
          </a:pPr>
          <a:r>
            <a:rPr lang="ar-SA" sz="1500" kern="1200">
              <a:solidFill>
                <a:sysClr val="windowText" lastClr="000000"/>
              </a:solidFill>
              <a:latin typeface="Calibri" panose="020F0502020204030204"/>
              <a:ea typeface="+mn-ea"/>
              <a:cs typeface="Arial" panose="020B0604020202020204" pitchFamily="34" charset="0"/>
            </a:rPr>
            <a:t>الكفاءة الزمنية</a:t>
          </a:r>
        </a:p>
      </dsp:txBody>
      <dsp:txXfrm>
        <a:off x="2429381" y="130303"/>
        <a:ext cx="627636" cy="627636"/>
      </dsp:txXfrm>
    </dsp:sp>
    <dsp:sp modelId="{AF1C7B65-F228-4850-B46F-476FBC88ABFF}">
      <dsp:nvSpPr>
        <dsp:cNvPr id="0" name=""/>
        <dsp:cNvSpPr/>
      </dsp:nvSpPr>
      <dsp:spPr>
        <a:xfrm>
          <a:off x="3300587" y="578355"/>
          <a:ext cx="887610" cy="887610"/>
        </a:xfrm>
        <a:prstGeom prst="ellipse">
          <a:avLst/>
        </a:prstGeom>
        <a:solidFill>
          <a:srgbClr val="4472C4">
            <a:alpha val="50000"/>
            <a:hueOff val="0"/>
            <a:satOff val="0"/>
            <a:lumOff val="0"/>
            <a:alphaOff val="0"/>
          </a:srgb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9050" tIns="19050" rIns="19050" bIns="19050" numCol="1" spcCol="1270" anchor="ctr" anchorCtr="0">
          <a:noAutofit/>
        </a:bodyPr>
        <a:lstStyle/>
        <a:p>
          <a:pPr marL="0" lvl="0" indent="0" algn="ctr" defTabSz="666750" rtl="1">
            <a:lnSpc>
              <a:spcPct val="90000"/>
            </a:lnSpc>
            <a:spcBef>
              <a:spcPct val="0"/>
            </a:spcBef>
            <a:spcAft>
              <a:spcPct val="35000"/>
            </a:spcAft>
            <a:buNone/>
          </a:pPr>
          <a:r>
            <a:rPr lang="ar-SA" sz="1500" kern="1200">
              <a:solidFill>
                <a:sysClr val="windowText" lastClr="000000"/>
              </a:solidFill>
              <a:latin typeface="Calibri" panose="020F0502020204030204"/>
              <a:ea typeface="+mn-ea"/>
              <a:cs typeface="Arial" panose="020B0604020202020204" pitchFamily="34" charset="0"/>
            </a:rPr>
            <a:t>الكفاءة المالية</a:t>
          </a:r>
        </a:p>
      </dsp:txBody>
      <dsp:txXfrm>
        <a:off x="3430574" y="708342"/>
        <a:ext cx="627636" cy="627636"/>
      </dsp:txXfrm>
    </dsp:sp>
    <dsp:sp modelId="{B2994E98-47B3-432E-ADE8-F69217DB7673}">
      <dsp:nvSpPr>
        <dsp:cNvPr id="0" name=""/>
        <dsp:cNvSpPr/>
      </dsp:nvSpPr>
      <dsp:spPr>
        <a:xfrm>
          <a:off x="3300587" y="1734433"/>
          <a:ext cx="887610" cy="887610"/>
        </a:xfrm>
        <a:prstGeom prst="ellipse">
          <a:avLst/>
        </a:prstGeom>
        <a:solidFill>
          <a:srgbClr val="4472C4">
            <a:alpha val="50000"/>
            <a:hueOff val="0"/>
            <a:satOff val="0"/>
            <a:lumOff val="0"/>
            <a:alphaOff val="0"/>
          </a:srgb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9050" tIns="19050" rIns="19050" bIns="19050" numCol="1" spcCol="1270" anchor="ctr" anchorCtr="0">
          <a:noAutofit/>
        </a:bodyPr>
        <a:lstStyle/>
        <a:p>
          <a:pPr marL="0" lvl="0" indent="0" algn="ctr" defTabSz="666750" rtl="1">
            <a:lnSpc>
              <a:spcPct val="90000"/>
            </a:lnSpc>
            <a:spcBef>
              <a:spcPct val="0"/>
            </a:spcBef>
            <a:spcAft>
              <a:spcPct val="35000"/>
            </a:spcAft>
            <a:buNone/>
          </a:pPr>
          <a:r>
            <a:rPr lang="ar-SA" sz="1500" kern="1200">
              <a:solidFill>
                <a:sysClr val="windowText" lastClr="000000"/>
              </a:solidFill>
              <a:latin typeface="Calibri" panose="020F0502020204030204"/>
              <a:ea typeface="+mn-ea"/>
              <a:cs typeface="Arial" panose="020B0604020202020204" pitchFamily="34" charset="0"/>
            </a:rPr>
            <a:t>التنسيق المؤسسي</a:t>
          </a:r>
        </a:p>
      </dsp:txBody>
      <dsp:txXfrm>
        <a:off x="3430574" y="1864420"/>
        <a:ext cx="627636" cy="627636"/>
      </dsp:txXfrm>
    </dsp:sp>
    <dsp:sp modelId="{F7BDE4B2-A1EB-437A-BB72-437833DE769E}">
      <dsp:nvSpPr>
        <dsp:cNvPr id="0" name=""/>
        <dsp:cNvSpPr/>
      </dsp:nvSpPr>
      <dsp:spPr>
        <a:xfrm>
          <a:off x="2299394" y="2312472"/>
          <a:ext cx="887610" cy="887610"/>
        </a:xfrm>
        <a:prstGeom prst="ellipse">
          <a:avLst/>
        </a:prstGeom>
        <a:solidFill>
          <a:srgbClr val="4472C4">
            <a:alpha val="50000"/>
            <a:hueOff val="0"/>
            <a:satOff val="0"/>
            <a:lumOff val="0"/>
            <a:alphaOff val="0"/>
          </a:srgb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9050" tIns="19050" rIns="19050" bIns="19050" numCol="1" spcCol="1270" anchor="ctr" anchorCtr="0">
          <a:noAutofit/>
        </a:bodyPr>
        <a:lstStyle/>
        <a:p>
          <a:pPr marL="0" lvl="0" indent="0" algn="ctr" defTabSz="666750" rtl="1">
            <a:lnSpc>
              <a:spcPct val="90000"/>
            </a:lnSpc>
            <a:spcBef>
              <a:spcPct val="0"/>
            </a:spcBef>
            <a:spcAft>
              <a:spcPct val="35000"/>
            </a:spcAft>
            <a:buNone/>
          </a:pPr>
          <a:r>
            <a:rPr lang="ar-SA" sz="1500" kern="1200">
              <a:solidFill>
                <a:sysClr val="windowText" lastClr="000000"/>
              </a:solidFill>
              <a:latin typeface="Calibri" panose="020F0502020204030204"/>
              <a:ea typeface="+mn-ea"/>
              <a:cs typeface="Arial" panose="020B0604020202020204" pitchFamily="34" charset="0"/>
            </a:rPr>
            <a:t>إدارة المخاطر</a:t>
          </a:r>
        </a:p>
      </dsp:txBody>
      <dsp:txXfrm>
        <a:off x="2429381" y="2442459"/>
        <a:ext cx="627636" cy="627636"/>
      </dsp:txXfrm>
    </dsp:sp>
    <dsp:sp modelId="{93090128-9953-4D3D-BDAE-429E42AE03DD}">
      <dsp:nvSpPr>
        <dsp:cNvPr id="0" name=""/>
        <dsp:cNvSpPr/>
      </dsp:nvSpPr>
      <dsp:spPr>
        <a:xfrm>
          <a:off x="1298201" y="1734433"/>
          <a:ext cx="887610" cy="887610"/>
        </a:xfrm>
        <a:prstGeom prst="ellipse">
          <a:avLst/>
        </a:prstGeom>
        <a:solidFill>
          <a:srgbClr val="4472C4">
            <a:alpha val="50000"/>
            <a:hueOff val="0"/>
            <a:satOff val="0"/>
            <a:lumOff val="0"/>
            <a:alphaOff val="0"/>
          </a:srgb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9050" tIns="19050" rIns="19050" bIns="19050" numCol="1" spcCol="1270" anchor="ctr" anchorCtr="0">
          <a:noAutofit/>
        </a:bodyPr>
        <a:lstStyle/>
        <a:p>
          <a:pPr marL="0" lvl="0" indent="0" algn="ctr" defTabSz="666750" rtl="1">
            <a:lnSpc>
              <a:spcPct val="90000"/>
            </a:lnSpc>
            <a:spcBef>
              <a:spcPct val="0"/>
            </a:spcBef>
            <a:spcAft>
              <a:spcPct val="35000"/>
            </a:spcAft>
            <a:buNone/>
          </a:pPr>
          <a:r>
            <a:rPr lang="ar-SA" sz="1500" kern="1200">
              <a:solidFill>
                <a:sysClr val="windowText" lastClr="000000"/>
              </a:solidFill>
              <a:latin typeface="Calibri" panose="020F0502020204030204"/>
              <a:ea typeface="+mn-ea"/>
              <a:cs typeface="Arial" panose="020B0604020202020204" pitchFamily="34" charset="0"/>
            </a:rPr>
            <a:t>التحول الرقمي</a:t>
          </a:r>
        </a:p>
      </dsp:txBody>
      <dsp:txXfrm>
        <a:off x="1428188" y="1864420"/>
        <a:ext cx="627636" cy="627636"/>
      </dsp:txXfrm>
    </dsp:sp>
    <dsp:sp modelId="{C15E32EB-B394-4230-9831-CAAE3B321AF1}">
      <dsp:nvSpPr>
        <dsp:cNvPr id="0" name=""/>
        <dsp:cNvSpPr/>
      </dsp:nvSpPr>
      <dsp:spPr>
        <a:xfrm>
          <a:off x="1298201" y="578355"/>
          <a:ext cx="887610" cy="887610"/>
        </a:xfrm>
        <a:prstGeom prst="ellipse">
          <a:avLst/>
        </a:prstGeom>
        <a:solidFill>
          <a:srgbClr val="4472C4">
            <a:alpha val="50000"/>
            <a:hueOff val="0"/>
            <a:satOff val="0"/>
            <a:lumOff val="0"/>
            <a:alphaOff val="0"/>
          </a:srgb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9050" tIns="19050" rIns="19050" bIns="19050" numCol="1" spcCol="1270" anchor="ctr" anchorCtr="0">
          <a:noAutofit/>
        </a:bodyPr>
        <a:lstStyle/>
        <a:p>
          <a:pPr marL="0" lvl="0" indent="0" algn="ctr" defTabSz="666750" rtl="1">
            <a:lnSpc>
              <a:spcPct val="90000"/>
            </a:lnSpc>
            <a:spcBef>
              <a:spcPct val="0"/>
            </a:spcBef>
            <a:spcAft>
              <a:spcPct val="35000"/>
            </a:spcAft>
            <a:buNone/>
          </a:pPr>
          <a:r>
            <a:rPr lang="ar-SA" sz="1500" kern="1200">
              <a:solidFill>
                <a:sysClr val="windowText" lastClr="000000"/>
              </a:solidFill>
              <a:latin typeface="Calibri" panose="020F0502020204030204"/>
              <a:ea typeface="+mn-ea"/>
              <a:cs typeface="Arial" panose="020B0604020202020204" pitchFamily="34" charset="0"/>
            </a:rPr>
            <a:t>الحوكمة المؤسسية</a:t>
          </a:r>
        </a:p>
      </dsp:txBody>
      <dsp:txXfrm>
        <a:off x="1428188" y="708342"/>
        <a:ext cx="627636" cy="627636"/>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37</Pages>
  <Words>6327</Words>
  <Characters>36070</Characters>
  <Application>Microsoft Office Word</Application>
  <DocSecurity>0</DocSecurity>
  <Lines>300</Lines>
  <Paragraphs>84</Paragraphs>
  <ScaleCrop>false</ScaleCrop>
  <Company/>
  <LinksUpToDate>false</LinksUpToDate>
  <CharactersWithSpaces>42313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Abdurrahman H. Ghunaim عبدالرحمن غنيم</dc:creator>
  <cp:keywords/>
  <dc:description/>
  <cp:lastModifiedBy>Abdurrahman H. Ghunaim عبدالرحمن غنيم</cp:lastModifiedBy>
  <cp:revision>4</cp:revision>
  <dcterms:created xsi:type="dcterms:W3CDTF">2026-07-21T09:05:00Z</dcterms:created>
  <dcterms:modified xsi:type="dcterms:W3CDTF">2026-07-24T14:03:00Z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6cf389f7,6afd291,4a54ba65</vt:lpwstr>
  </property>
  <property fmtid="{D5CDD505-2E9C-101B-9397-08002B2CF9AE}" pid="3" name="ClassificationContentMarkingFooterFontProps">
    <vt:lpwstr>#008000,10,Aptos</vt:lpwstr>
  </property>
  <property fmtid="{D5CDD505-2E9C-101B-9397-08002B2CF9AE}" pid="4" name="ClassificationContentMarkingFooterText">
    <vt:lpwstr>Public - عام</vt:lpwstr>
  </property>
  <property fmtid="{D5CDD505-2E9C-101B-9397-08002B2CF9AE}" pid="5" name="MSIP_Label_560eb8df-64c3-4048-b353-719015fae999_Enabled">
    <vt:lpwstr>true</vt:lpwstr>
  </property>
  <property fmtid="{D5CDD505-2E9C-101B-9397-08002B2CF9AE}" pid="6" name="MSIP_Label_560eb8df-64c3-4048-b353-719015fae999_SetDate">
    <vt:lpwstr>2026-07-21T09:08:17Z</vt:lpwstr>
  </property>
  <property fmtid="{D5CDD505-2E9C-101B-9397-08002B2CF9AE}" pid="7" name="MSIP_Label_560eb8df-64c3-4048-b353-719015fae999_Method">
    <vt:lpwstr>Privileged</vt:lpwstr>
  </property>
  <property fmtid="{D5CDD505-2E9C-101B-9397-08002B2CF9AE}" pid="8" name="MSIP_Label_560eb8df-64c3-4048-b353-719015fae999_Name">
    <vt:lpwstr>Public - عام</vt:lpwstr>
  </property>
  <property fmtid="{D5CDD505-2E9C-101B-9397-08002B2CF9AE}" pid="9" name="MSIP_Label_560eb8df-64c3-4048-b353-719015fae999_SiteId">
    <vt:lpwstr>135d85c5-cad7-4084-8467-6b27d52ecc64</vt:lpwstr>
  </property>
  <property fmtid="{D5CDD505-2E9C-101B-9397-08002B2CF9AE}" pid="10" name="MSIP_Label_560eb8df-64c3-4048-b353-719015fae999_ActionId">
    <vt:lpwstr>1dca6e61-cfed-4681-ad3e-487c3141016a</vt:lpwstr>
  </property>
  <property fmtid="{D5CDD505-2E9C-101B-9397-08002B2CF9AE}" pid="11" name="MSIP_Label_560eb8df-64c3-4048-b353-719015fae999_ContentBits">
    <vt:lpwstr>2</vt:lpwstr>
  </property>
  <property fmtid="{D5CDD505-2E9C-101B-9397-08002B2CF9AE}" pid="12" name="MSIP_Label_560eb8df-64c3-4048-b353-719015fae999_Tag">
    <vt:lpwstr>10, 0, 1, 1</vt:lpwstr>
  </property>
</Properties>
</file>