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EB46FC" w14:textId="77777777" w:rsidR="00B81711" w:rsidRPr="00B81711" w:rsidRDefault="00B81711" w:rsidP="00B81711">
      <w:pPr>
        <w:spacing w:before="600" w:after="100" w:line="320" w:lineRule="auto"/>
        <w:jc w:val="center"/>
        <w:rPr>
          <w:rFonts w:ascii="Tajawal" w:hAnsi="Tajawal" w:cs="Tajawal"/>
        </w:rPr>
      </w:pPr>
      <w:r w:rsidRPr="00B81711">
        <w:rPr>
          <w:rFonts w:ascii="Tajawal" w:hAnsi="Tajawal" w:cs="Tajawal" w:hint="cs"/>
          <w:b/>
          <w:bCs/>
          <w:color w:val="0D3B66"/>
          <w:sz w:val="30"/>
          <w:szCs w:val="30"/>
        </w:rPr>
        <w:t>MIDOCEAN  |  جامعة ميدأوشن</w:t>
      </w:r>
    </w:p>
    <w:p w14:paraId="6C0F259C" w14:textId="77777777" w:rsidR="00B81711" w:rsidRPr="00B81711" w:rsidRDefault="00B81711" w:rsidP="00B81711">
      <w:pPr>
        <w:pBdr>
          <w:bottom w:val="single" w:sz="8" w:space="6" w:color="00B0F0"/>
        </w:pBdr>
        <w:spacing w:after="500" w:line="320" w:lineRule="auto"/>
        <w:jc w:val="center"/>
        <w:rPr>
          <w:rFonts w:ascii="Tajawal" w:hAnsi="Tajawal" w:cs="Tajawal"/>
        </w:rPr>
      </w:pPr>
      <w:r w:rsidRPr="00B81711">
        <w:rPr>
          <w:rFonts w:ascii="Tajawal" w:hAnsi="Tajawal" w:cs="Tajawal" w:hint="cs"/>
          <w:color w:val="555555"/>
          <w:sz w:val="22"/>
          <w:szCs w:val="22"/>
        </w:rPr>
        <w:t>برنامج الدكتوراه في إدارة الأعمال</w:t>
      </w:r>
    </w:p>
    <w:p w14:paraId="1C22B960" w14:textId="77777777" w:rsidR="00B81711" w:rsidRPr="00B81711" w:rsidRDefault="00B81711" w:rsidP="00B81711">
      <w:pPr>
        <w:spacing w:before="400"/>
        <w:jc w:val="center"/>
        <w:rPr>
          <w:rFonts w:ascii="Tajawal" w:hAnsi="Tajawal" w:cs="Tajawal"/>
        </w:rPr>
      </w:pPr>
    </w:p>
    <w:p w14:paraId="7B2E5A55" w14:textId="77777777" w:rsidR="00B81711" w:rsidRPr="00B81711" w:rsidRDefault="00B81711" w:rsidP="00B81711">
      <w:pPr>
        <w:spacing w:before="200" w:after="120" w:line="320" w:lineRule="auto"/>
        <w:jc w:val="center"/>
        <w:rPr>
          <w:rFonts w:ascii="Tajawal" w:hAnsi="Tajawal" w:cs="Tajawal"/>
        </w:rPr>
      </w:pPr>
      <w:r w:rsidRPr="00B81711">
        <w:rPr>
          <w:rFonts w:ascii="Tajawal" w:hAnsi="Tajawal" w:cs="Tajawal" w:hint="cs"/>
          <w:b/>
          <w:bCs/>
          <w:color w:val="0D3B66"/>
          <w:sz w:val="44"/>
          <w:szCs w:val="44"/>
        </w:rPr>
        <w:t>خطة أطروحة الدكتوراه</w:t>
      </w:r>
    </w:p>
    <w:p w14:paraId="3C4C7381" w14:textId="77777777" w:rsidR="00B81711" w:rsidRPr="00B81711" w:rsidRDefault="00B81711" w:rsidP="00B81711">
      <w:pPr>
        <w:spacing w:before="160"/>
        <w:jc w:val="center"/>
        <w:rPr>
          <w:rFonts w:ascii="Tajawal" w:hAnsi="Tajawal" w:cs="Tajawal"/>
        </w:rPr>
      </w:pPr>
    </w:p>
    <w:p w14:paraId="5BF7E2AB" w14:textId="77777777" w:rsidR="00B81711" w:rsidRPr="00B81711" w:rsidRDefault="00B81711" w:rsidP="00B81711">
      <w:pPr>
        <w:shd w:val="clear" w:color="auto" w:fill="FFFF00"/>
        <w:spacing w:before="80" w:after="60" w:line="320" w:lineRule="auto"/>
        <w:jc w:val="center"/>
        <w:rPr>
          <w:rFonts w:ascii="Tajawal" w:hAnsi="Tajawal" w:cs="Tajawal"/>
        </w:rPr>
      </w:pPr>
      <w:r w:rsidRPr="00B81711">
        <w:rPr>
          <w:rFonts w:ascii="Tajawal" w:hAnsi="Tajawal" w:cs="Tajawal" w:hint="cs"/>
          <w:highlight w:val="yellow"/>
          <w:shd w:val="clear" w:color="auto" w:fill="FFFF00"/>
        </w:rPr>
        <w:t>أثر جاهزية التحول الرقمي في الأداء التنظيمي</w:t>
      </w:r>
    </w:p>
    <w:p w14:paraId="4FBFACE9" w14:textId="68188357" w:rsidR="00B81711" w:rsidRPr="00B81711" w:rsidRDefault="00B81711" w:rsidP="00B81711">
      <w:pPr>
        <w:spacing w:before="60" w:after="60" w:line="320" w:lineRule="auto"/>
        <w:jc w:val="center"/>
        <w:rPr>
          <w:rFonts w:ascii="Tajawal" w:hAnsi="Tajawal" w:cs="Tajawal"/>
        </w:rPr>
      </w:pPr>
      <w:r w:rsidRPr="00B81711">
        <w:rPr>
          <w:rFonts w:ascii="Tajawal" w:hAnsi="Tajawal" w:cs="Tajawal" w:hint="cs"/>
          <w:b/>
          <w:bCs/>
          <w:color w:val="00B0F0"/>
          <w:sz w:val="26"/>
          <w:szCs w:val="26"/>
        </w:rPr>
        <w:t xml:space="preserve"> الاستثمارية العائلية بالمملكة العربية السعودية</w:t>
      </w:r>
      <w:r w:rsidRPr="00B81711">
        <w:rPr>
          <w:rFonts w:ascii="Tajawal" w:hAnsi="Tajawal" w:cs="Tajawal" w:hint="cs"/>
          <w:b/>
          <w:bCs/>
          <w:color w:val="00B0F0"/>
          <w:sz w:val="26"/>
          <w:szCs w:val="26"/>
          <w:rtl/>
        </w:rPr>
        <w:t xml:space="preserve"> للشركات </w:t>
      </w:r>
    </w:p>
    <w:p w14:paraId="07594AFA" w14:textId="77777777" w:rsidR="00B81711" w:rsidRPr="00B81711" w:rsidRDefault="00B81711" w:rsidP="00B81711">
      <w:pPr>
        <w:spacing w:before="60" w:after="500" w:line="320" w:lineRule="auto"/>
        <w:jc w:val="center"/>
        <w:rPr>
          <w:rFonts w:ascii="Tajawal" w:hAnsi="Tajawal" w:cs="Tajawal"/>
        </w:rPr>
      </w:pPr>
      <w:r w:rsidRPr="00B81711">
        <w:rPr>
          <w:rFonts w:ascii="Tajawal" w:hAnsi="Tajawal" w:cs="Tajawal" w:hint="cs"/>
          <w:b/>
          <w:bCs/>
          <w:color w:val="0D3B66"/>
        </w:rPr>
        <w:t>الدور الوسيط للثقافة التنظيمية</w:t>
      </w:r>
    </w:p>
    <w:p w14:paraId="079E149E" w14:textId="77777777" w:rsidR="00B81711" w:rsidRPr="00B81711" w:rsidRDefault="00B81711" w:rsidP="00B81711">
      <w:pPr>
        <w:spacing w:before="400"/>
        <w:rPr>
          <w:rFonts w:ascii="Tajawal" w:hAnsi="Tajawal" w:cs="Tajawal"/>
        </w:rPr>
      </w:pPr>
    </w:p>
    <w:tbl>
      <w:tblPr>
        <w:tblW w:w="70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3500"/>
      </w:tblGrid>
      <w:tr w:rsidR="00B81711" w:rsidRPr="00B81711" w14:paraId="16999F98"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5689A2ED"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إعداد الباحث</w:t>
            </w:r>
          </w:p>
        </w:tc>
        <w:tc>
          <w:tcPr>
            <w:tcW w:w="35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40" w:type="dxa"/>
              <w:bottom w:w="100" w:type="dxa"/>
              <w:right w:w="140" w:type="dxa"/>
            </w:tcMar>
          </w:tcPr>
          <w:p w14:paraId="793C3A68" w14:textId="77777777" w:rsidR="00B81711" w:rsidRPr="00B81711" w:rsidRDefault="00B81711" w:rsidP="000235E3">
            <w:pPr>
              <w:bidi/>
              <w:jc w:val="right"/>
              <w:rPr>
                <w:rFonts w:ascii="Tajawal" w:hAnsi="Tajawal" w:cs="Tajawal"/>
              </w:rPr>
            </w:pPr>
            <w:proofErr w:type="gramStart"/>
            <w:r w:rsidRPr="00B81711">
              <w:rPr>
                <w:rFonts w:ascii="Tajawal" w:hAnsi="Tajawal" w:cs="Tajawal" w:hint="cs"/>
                <w:sz w:val="22"/>
                <w:szCs w:val="22"/>
                <w:rtl/>
              </w:rPr>
              <w:t>عبدالله</w:t>
            </w:r>
            <w:proofErr w:type="gramEnd"/>
            <w:r w:rsidRPr="00B81711">
              <w:rPr>
                <w:rFonts w:ascii="Tajawal" w:hAnsi="Tajawal" w:cs="Tajawal" w:hint="cs"/>
                <w:sz w:val="22"/>
                <w:szCs w:val="22"/>
                <w:rtl/>
              </w:rPr>
              <w:t xml:space="preserve"> محمد السلطان</w:t>
            </w:r>
          </w:p>
        </w:tc>
      </w:tr>
      <w:tr w:rsidR="00B81711" w:rsidRPr="00B81711" w14:paraId="1401B6B5"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1E8C4EC8"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التخصص</w:t>
            </w:r>
          </w:p>
        </w:tc>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07B709DA" w14:textId="77777777" w:rsidR="00B81711" w:rsidRPr="00B81711" w:rsidRDefault="00B81711" w:rsidP="000235E3">
            <w:pPr>
              <w:bidi/>
              <w:jc w:val="right"/>
              <w:rPr>
                <w:rFonts w:ascii="Tajawal" w:hAnsi="Tajawal" w:cs="Tajawal"/>
              </w:rPr>
            </w:pPr>
            <w:r w:rsidRPr="00B81711">
              <w:rPr>
                <w:rFonts w:ascii="Tajawal" w:hAnsi="Tajawal" w:cs="Tajawal" w:hint="cs"/>
                <w:sz w:val="22"/>
                <w:szCs w:val="22"/>
              </w:rPr>
              <w:t>الدكتوراه في إدارة الأعمال</w:t>
            </w:r>
          </w:p>
        </w:tc>
      </w:tr>
      <w:tr w:rsidR="00B81711" w:rsidRPr="00B81711" w14:paraId="3E8F6176"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20CAEE4F"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المرحلة</w:t>
            </w:r>
          </w:p>
        </w:tc>
        <w:tc>
          <w:tcPr>
            <w:tcW w:w="35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40" w:type="dxa"/>
              <w:bottom w:w="100" w:type="dxa"/>
              <w:right w:w="140" w:type="dxa"/>
            </w:tcMar>
          </w:tcPr>
          <w:p w14:paraId="24251B27" w14:textId="77777777" w:rsidR="00B81711" w:rsidRPr="00B81711" w:rsidRDefault="00B81711" w:rsidP="000235E3">
            <w:pPr>
              <w:bidi/>
              <w:jc w:val="right"/>
              <w:rPr>
                <w:rFonts w:ascii="Tajawal" w:hAnsi="Tajawal" w:cs="Tajawal"/>
              </w:rPr>
            </w:pPr>
            <w:r w:rsidRPr="00B81711">
              <w:rPr>
                <w:rFonts w:ascii="Tajawal" w:hAnsi="Tajawal" w:cs="Tajawal" w:hint="cs"/>
                <w:sz w:val="22"/>
                <w:szCs w:val="22"/>
              </w:rPr>
              <w:t>الفصل الدراسي الرابع — 2026م</w:t>
            </w:r>
          </w:p>
        </w:tc>
      </w:tr>
      <w:tr w:rsidR="00B81711" w:rsidRPr="00B81711" w14:paraId="2BEA6B47"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1D9AD1D9"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الجامعة</w:t>
            </w:r>
          </w:p>
        </w:tc>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57712D79" w14:textId="7FE4B6C4" w:rsidR="00B81711" w:rsidRPr="00B81711" w:rsidRDefault="00B81711" w:rsidP="000235E3">
            <w:pPr>
              <w:bidi/>
              <w:jc w:val="right"/>
              <w:rPr>
                <w:rFonts w:ascii="Tajawal" w:hAnsi="Tajawal" w:cs="Tajawal"/>
              </w:rPr>
            </w:pPr>
            <w:r w:rsidRPr="00B81711">
              <w:rPr>
                <w:rFonts w:ascii="Tajawal" w:hAnsi="Tajawal" w:cs="Tajawal" w:hint="cs"/>
                <w:sz w:val="22"/>
                <w:szCs w:val="22"/>
              </w:rPr>
              <w:t xml:space="preserve">جامعة ميدأوشن </w:t>
            </w:r>
          </w:p>
        </w:tc>
      </w:tr>
    </w:tbl>
    <w:p w14:paraId="5B2240FB" w14:textId="77777777" w:rsidR="00B81711" w:rsidRPr="00B81711" w:rsidRDefault="00B81711" w:rsidP="00B81711">
      <w:pPr>
        <w:rPr>
          <w:rFonts w:ascii="Tajawal" w:hAnsi="Tajawal" w:cs="Tajawal"/>
        </w:rPr>
      </w:pPr>
      <w:r w:rsidRPr="00B81711">
        <w:rPr>
          <w:rFonts w:ascii="Tajawal" w:hAnsi="Tajawal" w:cs="Tajawal" w:hint="cs"/>
        </w:rPr>
        <w:br w:type="page"/>
      </w:r>
    </w:p>
    <w:p w14:paraId="63AD0D5E" w14:textId="77777777" w:rsidR="00B81711" w:rsidRPr="00B836D9" w:rsidRDefault="00B81711" w:rsidP="00B81711">
      <w:pPr>
        <w:bidi/>
        <w:rPr>
          <w:rFonts w:ascii="Tajawal" w:hAnsi="Tajawal" w:cs="Tajawal"/>
          <w:b/>
          <w:bCs/>
          <w:color w:val="156082" w:themeColor="accent1"/>
          <w:sz w:val="32"/>
          <w:szCs w:val="32"/>
          <w:u w:val="single"/>
        </w:rPr>
      </w:pPr>
      <w:r w:rsidRPr="00B836D9">
        <w:rPr>
          <w:rFonts w:ascii="Tajawal" w:hAnsi="Tajawal" w:cs="Tajawal"/>
          <w:b/>
          <w:bCs/>
          <w:color w:val="156082" w:themeColor="accent1"/>
          <w:sz w:val="32"/>
          <w:szCs w:val="32"/>
          <w:u w:val="single"/>
          <w:rtl/>
        </w:rPr>
        <w:lastRenderedPageBreak/>
        <w:t>أولاً: مقدمة الدراسة</w:t>
      </w:r>
    </w:p>
    <w:p w14:paraId="6A6BB1AB" w14:textId="77777777" w:rsidR="00B81711" w:rsidRPr="00B81711" w:rsidRDefault="00B81711" w:rsidP="00B81711">
      <w:pPr>
        <w:bidi/>
        <w:rPr>
          <w:rFonts w:ascii="Tajawal" w:hAnsi="Tajawal" w:cs="Tajawal"/>
          <w:b/>
          <w:bCs/>
          <w:sz w:val="32"/>
          <w:szCs w:val="32"/>
          <w:rtl/>
        </w:rPr>
      </w:pPr>
    </w:p>
    <w:p w14:paraId="00E6AF23" w14:textId="77777777" w:rsidR="00B81711" w:rsidRPr="00B81711" w:rsidRDefault="00B81711" w:rsidP="00B81711">
      <w:pPr>
        <w:bidi/>
        <w:jc w:val="both"/>
        <w:rPr>
          <w:rFonts w:ascii="Tajawal" w:hAnsi="Tajawal" w:cs="Tajawal"/>
          <w:sz w:val="28"/>
          <w:szCs w:val="28"/>
          <w:rtl/>
        </w:rPr>
      </w:pPr>
      <w:r w:rsidRPr="00B81711">
        <w:rPr>
          <w:rFonts w:ascii="Tajawal" w:hAnsi="Tajawal" w:cs="Tajawal"/>
          <w:sz w:val="28"/>
          <w:szCs w:val="28"/>
          <w:rtl/>
        </w:rPr>
        <w:t xml:space="preserve">شهد العالم خلال العقد الأخير تسارعاً غير مسبوق في تبني التقنيات الرقمية، إذ باتت تقنيات الذكاء الاصطناعي والحوسبة السحابية وتحليل البيانات الضخمة وإنترنت الأشياء تُعيد تشكيل نماذج الأعمال وأساليب الإدارة والتشغيل في مختلف القطاعات الاقتصادية حول العالم. </w:t>
      </w:r>
      <w:r w:rsidRPr="00DC2118">
        <w:rPr>
          <w:rFonts w:ascii="Tajawal" w:hAnsi="Tajawal" w:cs="Tajawal"/>
          <w:sz w:val="28"/>
          <w:szCs w:val="28"/>
          <w:highlight w:val="yellow"/>
          <w:rtl/>
        </w:rPr>
        <w:t>ولم يعد التحول الرقمي مجرد خيار استراتيجي، بل غدا ضرورة وجودية تحدد قدرة المنظمات على البقاء والتنافس في بيئة متغيرة بتسارع متصاعد</w:t>
      </w:r>
      <w:r w:rsidRPr="00B81711">
        <w:rPr>
          <w:rFonts w:ascii="Tajawal" w:hAnsi="Tajawal" w:cs="Tajawal"/>
          <w:sz w:val="28"/>
          <w:szCs w:val="28"/>
        </w:rPr>
        <w:t>.</w:t>
      </w:r>
    </w:p>
    <w:p w14:paraId="2CD978FB" w14:textId="77777777" w:rsidR="00B81711" w:rsidRPr="00B81711" w:rsidRDefault="00B81711" w:rsidP="00B81711">
      <w:pPr>
        <w:bidi/>
        <w:jc w:val="both"/>
        <w:rPr>
          <w:rFonts w:ascii="Tajawal" w:hAnsi="Tajawal" w:cs="Tajawal"/>
          <w:sz w:val="28"/>
          <w:szCs w:val="28"/>
          <w:rtl/>
        </w:rPr>
      </w:pPr>
    </w:p>
    <w:p w14:paraId="2E02EF8E" w14:textId="43DD5E91" w:rsidR="00B81711" w:rsidRPr="00B81711" w:rsidRDefault="00B81711" w:rsidP="00B81711">
      <w:pPr>
        <w:bidi/>
        <w:jc w:val="both"/>
        <w:rPr>
          <w:rFonts w:ascii="Tajawal" w:hAnsi="Tajawal" w:cs="Tajawal"/>
          <w:sz w:val="28"/>
          <w:szCs w:val="28"/>
          <w:rtl/>
        </w:rPr>
      </w:pPr>
      <w:r w:rsidRPr="00B81711">
        <w:rPr>
          <w:rFonts w:ascii="Tajawal" w:hAnsi="Tajawal" w:cs="Tajawal"/>
          <w:sz w:val="28"/>
          <w:szCs w:val="28"/>
          <w:rtl/>
        </w:rPr>
        <w:t>وفي سياق المملكة العربية السعودية، يحتل التحول الرقمي مكانة محورية ضمن مستهدفات رؤية المملكة 2030. وتُشير أحدث البيانات الرسمية إلى أن حجم الاقتصاد الرقمي السعودي بلغ 495 مليار ريال، مساهماً بنسبة 15% من الناتج المحلي الإجمالي (هيئة الاتصالات والفضاء والتقنية، 2024). كما تجاوز حجم سوق الاتصالات والتقنية 180 مليار ريال بحلول عام 2024 بنسبة نمو سنوي مركب 7.5%، وسجّلت سعة مراكز البيانات نمواً بلغ 42% (هيئة الاتصالات والفضاء والتقنية، 2025</w:t>
      </w:r>
      <w:r>
        <w:rPr>
          <w:rFonts w:ascii="Tajawal" w:hAnsi="Tajawal" w:cs="Tajawal"/>
          <w:sz w:val="28"/>
          <w:szCs w:val="28"/>
        </w:rPr>
        <w:t>(</w:t>
      </w:r>
    </w:p>
    <w:p w14:paraId="41ACECAC" w14:textId="77777777" w:rsidR="00B81711" w:rsidRPr="00B81711" w:rsidRDefault="00B81711" w:rsidP="00B81711">
      <w:pPr>
        <w:bidi/>
        <w:jc w:val="both"/>
        <w:rPr>
          <w:rFonts w:ascii="Tajawal" w:hAnsi="Tajawal" w:cs="Tajawal"/>
          <w:sz w:val="28"/>
          <w:szCs w:val="28"/>
          <w:rtl/>
        </w:rPr>
      </w:pPr>
    </w:p>
    <w:p w14:paraId="220048A8" w14:textId="77777777" w:rsidR="00B81711" w:rsidRPr="00B81711" w:rsidRDefault="00B81711" w:rsidP="00B81711">
      <w:pPr>
        <w:bidi/>
        <w:jc w:val="both"/>
        <w:rPr>
          <w:rFonts w:ascii="Tajawal" w:hAnsi="Tajawal" w:cs="Tajawal"/>
          <w:sz w:val="28"/>
          <w:szCs w:val="28"/>
          <w:rtl/>
        </w:rPr>
      </w:pPr>
      <w:r w:rsidRPr="00B81711">
        <w:rPr>
          <w:rFonts w:ascii="Tajawal" w:hAnsi="Tajawal" w:cs="Tajawal"/>
          <w:sz w:val="28"/>
          <w:szCs w:val="28"/>
          <w:rtl/>
        </w:rPr>
        <w:t xml:space="preserve">وتُشكّل الشركات الاستثمارية العائلية ركيزةً راسخة في هذا المشهد الاقتصادي؛ إذ </w:t>
      </w:r>
      <w:r w:rsidRPr="00DC2118">
        <w:rPr>
          <w:rFonts w:ascii="Tajawal" w:hAnsi="Tajawal" w:cs="Tajawal"/>
          <w:sz w:val="28"/>
          <w:szCs w:val="28"/>
          <w:highlight w:val="yellow"/>
          <w:rtl/>
        </w:rPr>
        <w:t xml:space="preserve">كشفت دراسة المركز الوطني للمنشآت العائلية (2023) أن المنشآت العائلية تمثل نحو 95% من المنشآت العاملة في المملكة، وتسهم </w:t>
      </w:r>
      <w:proofErr w:type="gramStart"/>
      <w:r w:rsidRPr="00DC2118">
        <w:rPr>
          <w:rFonts w:ascii="Tajawal" w:hAnsi="Tajawal" w:cs="Tajawal"/>
          <w:sz w:val="28"/>
          <w:szCs w:val="28"/>
          <w:highlight w:val="yellow"/>
          <w:rtl/>
        </w:rPr>
        <w:t>بـ66</w:t>
      </w:r>
      <w:proofErr w:type="gramEnd"/>
      <w:r w:rsidRPr="00DC2118">
        <w:rPr>
          <w:rFonts w:ascii="Tajawal" w:hAnsi="Tajawal" w:cs="Tajawal"/>
          <w:sz w:val="28"/>
          <w:szCs w:val="28"/>
          <w:highlight w:val="yellow"/>
          <w:rtl/>
        </w:rPr>
        <w:t>% من الناتج المحلي للقطاع الخاص، وتوظّف أكثر من 7.4 مليون موظف. وتؤكد التقارير السنوية للمركز أن هذه الشركات تواجه تحديات جوهرية في مسار التحول الرقمي تستدعي مزيداً من الدراسة والبحث</w:t>
      </w:r>
      <w:r w:rsidRPr="00DC2118">
        <w:rPr>
          <w:rFonts w:ascii="Tajawal" w:hAnsi="Tajawal" w:cs="Tajawal"/>
          <w:sz w:val="28"/>
          <w:szCs w:val="28"/>
          <w:highlight w:val="yellow"/>
        </w:rPr>
        <w:t>.</w:t>
      </w:r>
    </w:p>
    <w:p w14:paraId="7FF01FCE" w14:textId="77777777" w:rsidR="00B81711" w:rsidRPr="00B81711" w:rsidRDefault="00B81711" w:rsidP="00B81711">
      <w:pPr>
        <w:bidi/>
        <w:jc w:val="both"/>
        <w:rPr>
          <w:rFonts w:ascii="Tajawal" w:hAnsi="Tajawal" w:cs="Tajawal"/>
          <w:sz w:val="28"/>
          <w:szCs w:val="28"/>
          <w:rtl/>
        </w:rPr>
      </w:pPr>
    </w:p>
    <w:p w14:paraId="3A012CAE" w14:textId="44D5A313" w:rsidR="00B81711" w:rsidRPr="00B81711" w:rsidRDefault="00B81711" w:rsidP="00B81711">
      <w:pPr>
        <w:bidi/>
        <w:jc w:val="both"/>
        <w:rPr>
          <w:rFonts w:ascii="Tajawal" w:hAnsi="Tajawal" w:cs="Tajawal"/>
          <w:sz w:val="28"/>
          <w:szCs w:val="28"/>
          <w:rtl/>
        </w:rPr>
      </w:pPr>
      <w:r w:rsidRPr="00DC2118">
        <w:rPr>
          <w:rFonts w:ascii="Tajawal" w:hAnsi="Tajawal" w:cs="Tajawal"/>
          <w:sz w:val="28"/>
          <w:szCs w:val="28"/>
          <w:highlight w:val="yellow"/>
          <w:rtl/>
        </w:rPr>
        <w:t>وتتميز الشركات الاستثمارية العائلية بخصائص هيكلية فريدة تُعقّد مسار تحولها الرقمي مقارنةً بالشركات غير العائلية؛ إذ تتشابك الحوكمة العائلية مع القرارات الاستراتيجية التقنية، وتبرز مقاومة التغيير لدى الجيل المؤسس، فضلاً عن تفاوت مستويات النضج الرقمي، وما تمارسه الثقافة العائلية من تأثير عميق في اتخاذ القرارات وتبنّي المبادرات التقنية الجديدة (المركز الوطني للمنشآت العائلية</w:t>
      </w:r>
      <w:r w:rsidRPr="00DC2118">
        <w:rPr>
          <w:rFonts w:ascii="Tajawal" w:hAnsi="Tajawal" w:cs="Tajawal"/>
          <w:sz w:val="28"/>
          <w:szCs w:val="28"/>
          <w:highlight w:val="yellow"/>
        </w:rPr>
        <w:t xml:space="preserve"> (2023</w:t>
      </w:r>
      <w:r>
        <w:rPr>
          <w:rFonts w:ascii="Tajawal" w:hAnsi="Tajawal" w:cs="Tajawal"/>
          <w:sz w:val="28"/>
          <w:szCs w:val="28"/>
        </w:rPr>
        <w:t xml:space="preserve"> </w:t>
      </w:r>
    </w:p>
    <w:p w14:paraId="5A1BD904" w14:textId="77777777" w:rsidR="00B81711" w:rsidRPr="00B81711" w:rsidRDefault="00B81711" w:rsidP="00B81711">
      <w:pPr>
        <w:bidi/>
        <w:jc w:val="both"/>
        <w:rPr>
          <w:rFonts w:ascii="Tajawal" w:hAnsi="Tajawal" w:cs="Tajawal"/>
          <w:sz w:val="28"/>
          <w:szCs w:val="28"/>
          <w:rtl/>
        </w:rPr>
      </w:pPr>
    </w:p>
    <w:p w14:paraId="79614511" w14:textId="77777777" w:rsidR="00B81711" w:rsidRPr="00DC2118" w:rsidRDefault="00B81711" w:rsidP="00B81711">
      <w:pPr>
        <w:bidi/>
        <w:jc w:val="both"/>
        <w:rPr>
          <w:rFonts w:ascii="Tajawal" w:hAnsi="Tajawal" w:cs="Tajawal"/>
          <w:sz w:val="28"/>
          <w:szCs w:val="28"/>
          <w:highlight w:val="yellow"/>
          <w:rtl/>
        </w:rPr>
      </w:pPr>
      <w:r w:rsidRPr="00DC2118">
        <w:rPr>
          <w:rFonts w:ascii="Tajawal" w:hAnsi="Tajawal" w:cs="Tajawal"/>
          <w:sz w:val="28"/>
          <w:szCs w:val="28"/>
          <w:highlight w:val="yellow"/>
          <w:rtl/>
        </w:rPr>
        <w:t>وفي ضوء ذلك، تبرز 'جاهزية التحول الرقمي' بوصفها المتغير المحوري الذي يحدد قدرة هذه الشركات على تنفيذ مبادرات التحول الرقمي بنجاح، وتشمل هذه الجاهزية أربعة أبعاد متكاملة: الاستراتيجية، والتقنية، والبشرية، والتنظيمية</w:t>
      </w:r>
      <w:r w:rsidRPr="00DC2118">
        <w:rPr>
          <w:rFonts w:ascii="Tajawal" w:hAnsi="Tajawal" w:cs="Tajawal"/>
          <w:sz w:val="28"/>
          <w:szCs w:val="28"/>
          <w:highlight w:val="yellow"/>
        </w:rPr>
        <w:t>.</w:t>
      </w:r>
    </w:p>
    <w:p w14:paraId="23A39C7B" w14:textId="77777777" w:rsidR="00B81711" w:rsidRPr="00DC2118" w:rsidRDefault="00B81711" w:rsidP="00B81711">
      <w:pPr>
        <w:bidi/>
        <w:jc w:val="both"/>
        <w:rPr>
          <w:rFonts w:ascii="Tajawal" w:hAnsi="Tajawal" w:cs="Tajawal"/>
          <w:sz w:val="28"/>
          <w:szCs w:val="28"/>
          <w:highlight w:val="yellow"/>
          <w:rtl/>
        </w:rPr>
      </w:pPr>
      <w:r w:rsidRPr="00DC2118">
        <w:rPr>
          <w:rFonts w:ascii="Tajawal" w:hAnsi="Tajawal" w:cs="Tajawal"/>
          <w:sz w:val="28"/>
          <w:szCs w:val="28"/>
          <w:highlight w:val="yellow"/>
          <w:rtl/>
        </w:rPr>
        <w:t>وتؤدي الثقافة التنظيمية دوراً وسيطاً محورياً في هذه العلاقة؛ إذ تُشكّل الآلية التنظيمية التي تُحوّل الموارد الرقمية المتاحة إلى نتائج أداء ملموسة. وتكشف الأدبيات الحديثة أن الثقافة التنظيمية الداعمة للابتكار وتقبّل التغيير والتعلم المستمر تُعدّ الفارق الجوهري بين الشركات التي تحقق عائداً حقيقياً من استثماراتها الرقمية وتلك التي تفشل في ذلك</w:t>
      </w:r>
      <w:r w:rsidRPr="00DC2118">
        <w:rPr>
          <w:rFonts w:ascii="Tajawal" w:hAnsi="Tajawal" w:cs="Tajawal"/>
          <w:sz w:val="28"/>
          <w:szCs w:val="28"/>
          <w:highlight w:val="yellow"/>
        </w:rPr>
        <w:t xml:space="preserve"> (Jewapatarakul &amp; Ueasangkomsate, 2024).</w:t>
      </w:r>
    </w:p>
    <w:p w14:paraId="39DD419C" w14:textId="56B6E589" w:rsidR="00404AEB" w:rsidRDefault="00B81711" w:rsidP="00B81711">
      <w:pPr>
        <w:bidi/>
        <w:jc w:val="both"/>
        <w:rPr>
          <w:rFonts w:ascii="Tajawal" w:hAnsi="Tajawal" w:cs="Tajawal"/>
          <w:sz w:val="28"/>
          <w:szCs w:val="28"/>
        </w:rPr>
      </w:pPr>
      <w:r w:rsidRPr="00DC2118">
        <w:rPr>
          <w:rFonts w:ascii="Tajawal" w:hAnsi="Tajawal" w:cs="Tajawal"/>
          <w:sz w:val="28"/>
          <w:szCs w:val="28"/>
          <w:highlight w:val="yellow"/>
          <w:rtl/>
        </w:rPr>
        <w:t xml:space="preserve">وانطلاقاً من ذلك، تسعى هذه الدراسة إلى استكشاف أثر جاهزية التحول الرقمي في الأداء التنظيمي للشركات الاستثمارية العائلية بالمملكة العربية السعودية، مع دراسة </w:t>
      </w:r>
      <w:r w:rsidRPr="00DC2118">
        <w:rPr>
          <w:rFonts w:ascii="Tajawal" w:hAnsi="Tajawal" w:cs="Tajawal"/>
          <w:sz w:val="28"/>
          <w:szCs w:val="28"/>
          <w:highlight w:val="yellow"/>
          <w:rtl/>
        </w:rPr>
        <w:lastRenderedPageBreak/>
        <w:t>الدور الوسيط للثقافة التنظيمية، مستندةً إلى نظرية الموارد والقدرات (</w:t>
      </w:r>
      <w:r w:rsidRPr="00DC2118">
        <w:rPr>
          <w:rFonts w:ascii="Tajawal" w:hAnsi="Tajawal" w:cs="Tajawal"/>
          <w:sz w:val="28"/>
          <w:szCs w:val="28"/>
          <w:highlight w:val="yellow"/>
        </w:rPr>
        <w:t>Resource-Based View - RBV</w:t>
      </w:r>
      <w:r w:rsidRPr="00DC2118">
        <w:rPr>
          <w:rFonts w:ascii="Tajawal" w:hAnsi="Tajawal" w:cs="Tajawal"/>
          <w:sz w:val="28"/>
          <w:szCs w:val="28"/>
          <w:highlight w:val="yellow"/>
          <w:rtl/>
        </w:rPr>
        <w:t xml:space="preserve">) التي صاغها </w:t>
      </w:r>
      <w:r w:rsidRPr="00DC2118">
        <w:rPr>
          <w:rFonts w:ascii="Tajawal" w:hAnsi="Tajawal" w:cs="Tajawal"/>
          <w:sz w:val="28"/>
          <w:szCs w:val="28"/>
          <w:highlight w:val="yellow"/>
        </w:rPr>
        <w:t>Barney (1991</w:t>
      </w:r>
      <w:r w:rsidRPr="00DC2118">
        <w:rPr>
          <w:rFonts w:ascii="Tajawal" w:hAnsi="Tajawal" w:cs="Tajawal"/>
          <w:sz w:val="28"/>
          <w:szCs w:val="28"/>
          <w:highlight w:val="yellow"/>
          <w:rtl/>
        </w:rPr>
        <w:t>) إطاراً نظرياً تفسيرياً؛ إذ تُعدّ جاهزية التحول الرقمي مورداً استراتيجياً، فيما تمثل الثقافة التنظيمية القدرة التنظيمية التي تُحوّل هذا المورد إلى أداء تنظيمي متميز</w:t>
      </w:r>
    </w:p>
    <w:p w14:paraId="10C2604C" w14:textId="77777777" w:rsidR="00B81711" w:rsidRDefault="00B81711" w:rsidP="00B81711">
      <w:pPr>
        <w:bidi/>
        <w:jc w:val="both"/>
        <w:rPr>
          <w:rFonts w:ascii="Tajawal" w:hAnsi="Tajawal" w:cs="Tajawal"/>
          <w:sz w:val="28"/>
          <w:szCs w:val="28"/>
        </w:rPr>
      </w:pPr>
    </w:p>
    <w:p w14:paraId="7DCA8DC9" w14:textId="3EDA08C8" w:rsidR="00B836D9" w:rsidRPr="00B836D9" w:rsidRDefault="00A75102" w:rsidP="00B836D9">
      <w:pPr>
        <w:bidi/>
        <w:jc w:val="both"/>
        <w:rPr>
          <w:rFonts w:ascii="Tajawal" w:hAnsi="Tajawal" w:cs="Tajawal"/>
          <w:b/>
          <w:bCs/>
          <w:color w:val="156082" w:themeColor="accent1"/>
          <w:sz w:val="32"/>
          <w:szCs w:val="32"/>
          <w:u w:val="single"/>
        </w:rPr>
      </w:pPr>
      <w:r w:rsidRPr="00B836D9">
        <w:rPr>
          <w:rFonts w:ascii="Tajawal" w:hAnsi="Tajawal" w:cs="Tajawal"/>
          <w:b/>
          <w:bCs/>
          <w:color w:val="156082" w:themeColor="accent1"/>
          <w:sz w:val="28"/>
          <w:szCs w:val="28"/>
          <w:u w:val="single"/>
          <w:rtl/>
        </w:rPr>
        <w:t xml:space="preserve">ثانياً: </w:t>
      </w:r>
      <w:r w:rsidRPr="00B836D9">
        <w:rPr>
          <w:rFonts w:ascii="Tajawal" w:hAnsi="Tajawal" w:cs="Tajawal"/>
          <w:b/>
          <w:bCs/>
          <w:color w:val="156082" w:themeColor="accent1"/>
          <w:sz w:val="32"/>
          <w:szCs w:val="32"/>
          <w:u w:val="single"/>
          <w:rtl/>
        </w:rPr>
        <w:t xml:space="preserve">مشكلة الدراسة </w:t>
      </w:r>
      <w:r w:rsidRPr="00B836D9">
        <w:rPr>
          <w:rFonts w:ascii="Tajawal" w:hAnsi="Tajawal" w:cs="Tajawal"/>
          <w:b/>
          <w:bCs/>
          <w:color w:val="156082" w:themeColor="accent1"/>
          <w:sz w:val="32"/>
          <w:szCs w:val="32"/>
          <w:highlight w:val="yellow"/>
          <w:u w:val="single"/>
          <w:rtl/>
        </w:rPr>
        <w:t>وتساؤلاتها</w:t>
      </w:r>
    </w:p>
    <w:p w14:paraId="353BF689" w14:textId="77777777" w:rsidR="00A75102" w:rsidRPr="00A75102" w:rsidRDefault="00A75102" w:rsidP="00A75102">
      <w:pPr>
        <w:bidi/>
        <w:jc w:val="both"/>
        <w:rPr>
          <w:rFonts w:ascii="Tajawal" w:hAnsi="Tajawal" w:cs="Tajawal"/>
          <w:sz w:val="32"/>
          <w:szCs w:val="32"/>
          <w:rtl/>
        </w:rPr>
      </w:pPr>
    </w:p>
    <w:p w14:paraId="34D22029" w14:textId="77777777" w:rsidR="00A75102" w:rsidRPr="00B836D9" w:rsidRDefault="00A75102" w:rsidP="00A75102">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مشكلة الدراسة</w:t>
      </w:r>
    </w:p>
    <w:p w14:paraId="7C28A64A" w14:textId="77777777" w:rsidR="00A75102" w:rsidRPr="00A75102" w:rsidRDefault="00A75102" w:rsidP="00A75102">
      <w:pPr>
        <w:bidi/>
        <w:jc w:val="both"/>
        <w:rPr>
          <w:rFonts w:ascii="Tajawal" w:hAnsi="Tajawal" w:cs="Tajawal"/>
          <w:sz w:val="28"/>
          <w:szCs w:val="28"/>
          <w:rtl/>
        </w:rPr>
      </w:pPr>
      <w:r w:rsidRPr="00DC2118">
        <w:rPr>
          <w:rFonts w:ascii="Tajawal" w:hAnsi="Tajawal" w:cs="Tajawal"/>
          <w:sz w:val="28"/>
          <w:szCs w:val="28"/>
          <w:highlight w:val="yellow"/>
          <w:rtl/>
        </w:rPr>
        <w:t>تُشكّل مبادرات التحول الرقمي في الشركات الاستثمارية العائلية بالمملكة العربية السعودية تحدياً محورياً في ظل التوجهات الاستراتيجية لرؤية 2030، التي تستهدف رفع مساهمة القطاع الخاص في الناتج المحلي الإجمالي من 40% إلى 65%، وزيادة نسبة الاستثمارات الأجنبية المباشرة إلى 5.7% من الناتج المحلي (رؤية 2030، 2016). وقد أكدت الدراسات أن 80% من جهود التحول الرقمي في الشركات السعودية تُخفق في تحقيق أهدافها نتيجة غياب خطة استراتيجية واضحة</w:t>
      </w:r>
      <w:r w:rsidRPr="00DC2118">
        <w:rPr>
          <w:rFonts w:ascii="Tajawal" w:hAnsi="Tajawal" w:cs="Tajawal"/>
          <w:sz w:val="28"/>
          <w:szCs w:val="28"/>
          <w:highlight w:val="yellow"/>
        </w:rPr>
        <w:t xml:space="preserve"> (Insights KSA, 2024).</w:t>
      </w:r>
    </w:p>
    <w:p w14:paraId="3E805AEF" w14:textId="77777777" w:rsidR="00A75102" w:rsidRPr="00A75102" w:rsidRDefault="00A75102" w:rsidP="00A75102">
      <w:pPr>
        <w:bidi/>
        <w:jc w:val="both"/>
        <w:rPr>
          <w:rFonts w:ascii="Tajawal" w:hAnsi="Tajawal" w:cs="Tajawal"/>
          <w:sz w:val="28"/>
          <w:szCs w:val="28"/>
          <w:rtl/>
        </w:rPr>
      </w:pPr>
    </w:p>
    <w:p w14:paraId="5D2D5039" w14:textId="46BA4471"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أولاً: تركزت غالبية الدراسات في القطاعين الصناعي والخدمي أو في الشركات غير العائلية، بينما تبقى الشركات الاستثمارية العائلية في البيئة العربية والخليجية محدودة الاهتمام البحثي</w:t>
      </w:r>
      <w:r w:rsidRPr="00DC2118">
        <w:rPr>
          <w:rFonts w:ascii="Tajawal" w:hAnsi="Tajawal" w:cs="Tajawal"/>
          <w:sz w:val="28"/>
          <w:szCs w:val="28"/>
          <w:highlight w:val="yellow"/>
          <w:rtl/>
        </w:rPr>
        <w:t>، على الرغم من أنها تمثل نحو 95% من منشآت القطاع الخاص في المملكة (المركز الوطني للمنشآت العائلية، 2023</w:t>
      </w:r>
      <w:r w:rsidRPr="00DC2118">
        <w:rPr>
          <w:rFonts w:ascii="Tajawal" w:hAnsi="Tajawal" w:cs="Tajawal"/>
          <w:sz w:val="28"/>
          <w:szCs w:val="28"/>
          <w:highlight w:val="yellow"/>
        </w:rPr>
        <w:t>(</w:t>
      </w:r>
    </w:p>
    <w:p w14:paraId="2E6B8CE6"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ثانياً: اقتصرت معظم الدراسات على العلاقة المباشرة بين الجاهزية الرقمية والأداء </w:t>
      </w:r>
      <w:r w:rsidRPr="00DC2118">
        <w:rPr>
          <w:rFonts w:ascii="Tajawal" w:hAnsi="Tajawal" w:cs="Tajawal"/>
          <w:sz w:val="28"/>
          <w:szCs w:val="28"/>
          <w:highlight w:val="yellow"/>
          <w:rtl/>
        </w:rPr>
        <w:t>دون دراسة الآليات التنظيمية الوسيطة التي تُفسّر كيف تتحول الموارد الرقمية إلى نتائج أداء فعلية، مما يُبقي هذه العلاقة ناقصة التفسير في الأدبيات الأكاديمية</w:t>
      </w:r>
      <w:r w:rsidRPr="00A75102">
        <w:rPr>
          <w:rFonts w:ascii="Tajawal" w:hAnsi="Tajawal" w:cs="Tajawal"/>
          <w:sz w:val="28"/>
          <w:szCs w:val="28"/>
        </w:rPr>
        <w:t>.</w:t>
      </w:r>
    </w:p>
    <w:p w14:paraId="6F09267F"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ثالثاً: رغم المكانة المحورية للثقافة التنظيمية، تظل الدراسات التي اختبرت دورها متغيراً وسيطاً بين جاهزية التحول الرقمي والأداء في سياق الشركات العائلية نادرة، </w:t>
      </w:r>
      <w:r w:rsidRPr="00DC2118">
        <w:rPr>
          <w:rFonts w:ascii="Tajawal" w:hAnsi="Tajawal" w:cs="Tajawal"/>
          <w:sz w:val="28"/>
          <w:szCs w:val="28"/>
          <w:highlight w:val="yellow"/>
          <w:rtl/>
        </w:rPr>
        <w:t>مما يُشكّل فجوة منهجية جوهرية تستوجب المعالجة</w:t>
      </w:r>
      <w:r w:rsidRPr="00DC2118">
        <w:rPr>
          <w:rFonts w:ascii="Tajawal" w:hAnsi="Tajawal" w:cs="Tajawal"/>
          <w:sz w:val="28"/>
          <w:szCs w:val="28"/>
          <w:highlight w:val="yellow"/>
        </w:rPr>
        <w:t>.</w:t>
      </w:r>
    </w:p>
    <w:p w14:paraId="4D16D943"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رابعاً: تشهد المملكة العربية السعودية تحولاً اقتصادياً ورقمياً واسع النطاق في ظل رؤية 2030، </w:t>
      </w:r>
      <w:r w:rsidRPr="00DC2118">
        <w:rPr>
          <w:rFonts w:ascii="Tajawal" w:hAnsi="Tajawal" w:cs="Tajawal"/>
          <w:sz w:val="28"/>
          <w:szCs w:val="28"/>
          <w:highlight w:val="yellow"/>
          <w:rtl/>
        </w:rPr>
        <w:t>إذ يستهدف برنامج التحول الوطني تهيئة البيئة الممكِّنة للتحول الرقمي وتمكين القطاع الخاص من قيادة مسيرة الاقتصاد الرقمي</w:t>
      </w:r>
      <w:r w:rsidRPr="00A75102">
        <w:rPr>
          <w:rFonts w:ascii="Tajawal" w:hAnsi="Tajawal" w:cs="Tajawal"/>
          <w:sz w:val="28"/>
          <w:szCs w:val="28"/>
          <w:rtl/>
        </w:rPr>
        <w:t>، مما يستدعي دراسات محلية متخصصة</w:t>
      </w:r>
      <w:r w:rsidRPr="00A75102">
        <w:rPr>
          <w:rFonts w:ascii="Tajawal" w:hAnsi="Tajawal" w:cs="Tajawal"/>
          <w:sz w:val="28"/>
          <w:szCs w:val="28"/>
        </w:rPr>
        <w:t>.</w:t>
      </w:r>
    </w:p>
    <w:p w14:paraId="0099B43D" w14:textId="77777777" w:rsidR="00A75102" w:rsidRPr="00A75102" w:rsidRDefault="00A75102" w:rsidP="00A75102">
      <w:pPr>
        <w:bidi/>
        <w:jc w:val="both"/>
        <w:rPr>
          <w:rFonts w:ascii="Tajawal" w:hAnsi="Tajawal" w:cs="Tajawal"/>
          <w:sz w:val="28"/>
          <w:szCs w:val="28"/>
          <w:rtl/>
        </w:rPr>
      </w:pPr>
    </w:p>
    <w:p w14:paraId="23A433EC" w14:textId="77777777" w:rsidR="00A75102" w:rsidRPr="00DC2118" w:rsidRDefault="00A75102" w:rsidP="00A75102">
      <w:pPr>
        <w:bidi/>
        <w:jc w:val="both"/>
        <w:rPr>
          <w:rFonts w:ascii="Tajawal" w:hAnsi="Tajawal" w:cs="Tajawal"/>
          <w:sz w:val="28"/>
          <w:szCs w:val="28"/>
          <w:highlight w:val="yellow"/>
          <w:rtl/>
        </w:rPr>
      </w:pPr>
      <w:r w:rsidRPr="00DC2118">
        <w:rPr>
          <w:rFonts w:ascii="Tajawal" w:hAnsi="Tajawal" w:cs="Tajawal"/>
          <w:sz w:val="28"/>
          <w:szCs w:val="28"/>
          <w:highlight w:val="yellow"/>
          <w:rtl/>
        </w:rPr>
        <w:t xml:space="preserve">وتكمن مبررات اختيار الشركات الاستثمارية العائلية مجالاً للتطبيق في </w:t>
      </w:r>
      <w:proofErr w:type="gramStart"/>
      <w:r w:rsidRPr="00DC2118">
        <w:rPr>
          <w:rFonts w:ascii="Tajawal" w:hAnsi="Tajawal" w:cs="Tajawal"/>
          <w:sz w:val="28"/>
          <w:szCs w:val="28"/>
          <w:highlight w:val="yellow"/>
          <w:rtl/>
        </w:rPr>
        <w:t>ثلاثة</w:t>
      </w:r>
      <w:proofErr w:type="gramEnd"/>
      <w:r w:rsidRPr="00DC2118">
        <w:rPr>
          <w:rFonts w:ascii="Tajawal" w:hAnsi="Tajawal" w:cs="Tajawal"/>
          <w:sz w:val="28"/>
          <w:szCs w:val="28"/>
          <w:highlight w:val="yellow"/>
          <w:rtl/>
        </w:rPr>
        <w:t xml:space="preserve"> اعتبارات جوهرية: أولها ثقلها الاقتصادي البالغ إذ تسهم </w:t>
      </w:r>
      <w:proofErr w:type="gramStart"/>
      <w:r w:rsidRPr="00DC2118">
        <w:rPr>
          <w:rFonts w:ascii="Tajawal" w:hAnsi="Tajawal" w:cs="Tajawal"/>
          <w:sz w:val="28"/>
          <w:szCs w:val="28"/>
          <w:highlight w:val="yellow"/>
          <w:rtl/>
        </w:rPr>
        <w:t>بـ66</w:t>
      </w:r>
      <w:proofErr w:type="gramEnd"/>
      <w:r w:rsidRPr="00DC2118">
        <w:rPr>
          <w:rFonts w:ascii="Tajawal" w:hAnsi="Tajawal" w:cs="Tajawal"/>
          <w:sz w:val="28"/>
          <w:szCs w:val="28"/>
          <w:highlight w:val="yellow"/>
          <w:rtl/>
        </w:rPr>
        <w:t>% من الناتج المحلي وتوظّف أكثر من 7.4 مليون موظف (المركز الوطني للمنشآت العائلية، 2023)؛ وثانيها خصوصيتها الهيكلية المتمثلة في تشابك الحوكمة العائلية مع القرارات الاستراتيجية؛ وثالثها شُح الدراسات المتخصصة في هذا القطاع</w:t>
      </w:r>
      <w:r w:rsidRPr="00DC2118">
        <w:rPr>
          <w:rFonts w:ascii="Tajawal" w:hAnsi="Tajawal" w:cs="Tajawal"/>
          <w:sz w:val="28"/>
          <w:szCs w:val="28"/>
          <w:highlight w:val="yellow"/>
        </w:rPr>
        <w:t>.</w:t>
      </w:r>
    </w:p>
    <w:p w14:paraId="6D689B35" w14:textId="77777777" w:rsidR="00A75102" w:rsidRPr="00A75102" w:rsidRDefault="00A75102" w:rsidP="00A75102">
      <w:pPr>
        <w:bidi/>
        <w:jc w:val="both"/>
        <w:rPr>
          <w:rFonts w:ascii="Tajawal" w:hAnsi="Tajawal" w:cs="Tajawal"/>
          <w:sz w:val="28"/>
          <w:szCs w:val="28"/>
          <w:rtl/>
        </w:rPr>
      </w:pPr>
      <w:r w:rsidRPr="00DC2118">
        <w:rPr>
          <w:rFonts w:ascii="Tajawal" w:hAnsi="Tajawal" w:cs="Tajawal"/>
          <w:sz w:val="28"/>
          <w:szCs w:val="28"/>
          <w:highlight w:val="yellow"/>
          <w:rtl/>
        </w:rPr>
        <w:t xml:space="preserve">فضلاً عن ذلك، تُعاني الشركات الاستثمارية العائلية </w:t>
      </w:r>
      <w:proofErr w:type="gramStart"/>
      <w:r w:rsidRPr="00DC2118">
        <w:rPr>
          <w:rFonts w:ascii="Tajawal" w:hAnsi="Tajawal" w:cs="Tajawal"/>
          <w:sz w:val="28"/>
          <w:szCs w:val="28"/>
          <w:highlight w:val="yellow"/>
          <w:rtl/>
        </w:rPr>
        <w:t>من ما</w:t>
      </w:r>
      <w:proofErr w:type="gramEnd"/>
      <w:r w:rsidRPr="00DC2118">
        <w:rPr>
          <w:rFonts w:ascii="Tajawal" w:hAnsi="Tajawal" w:cs="Tajawal"/>
          <w:sz w:val="28"/>
          <w:szCs w:val="28"/>
          <w:highlight w:val="yellow"/>
          <w:rtl/>
        </w:rPr>
        <w:t xml:space="preserve"> يُعرف </w:t>
      </w:r>
      <w:proofErr w:type="gramStart"/>
      <w:r w:rsidRPr="00DC2118">
        <w:rPr>
          <w:rFonts w:ascii="Tajawal" w:hAnsi="Tajawal" w:cs="Tajawal"/>
          <w:sz w:val="28"/>
          <w:szCs w:val="28"/>
          <w:highlight w:val="yellow"/>
          <w:rtl/>
        </w:rPr>
        <w:t>بـ'</w:t>
      </w:r>
      <w:proofErr w:type="gramEnd"/>
      <w:r w:rsidRPr="00DC2118">
        <w:rPr>
          <w:rFonts w:ascii="Tajawal" w:hAnsi="Tajawal" w:cs="Tajawal"/>
          <w:sz w:val="28"/>
          <w:szCs w:val="28"/>
          <w:highlight w:val="yellow"/>
          <w:rtl/>
        </w:rPr>
        <w:t>مخاطر الحداثة المؤسسية</w:t>
      </w:r>
      <w:r w:rsidRPr="00DC2118">
        <w:rPr>
          <w:rFonts w:ascii="Tajawal" w:hAnsi="Tajawal" w:cs="Tajawal"/>
          <w:sz w:val="28"/>
          <w:szCs w:val="28"/>
          <w:highlight w:val="yellow"/>
        </w:rPr>
        <w:t>' (Liability of Newness)</w:t>
      </w:r>
      <w:r w:rsidRPr="00DC2118">
        <w:rPr>
          <w:rFonts w:ascii="Tajawal" w:hAnsi="Tajawal" w:cs="Tajawal"/>
          <w:sz w:val="28"/>
          <w:szCs w:val="28"/>
          <w:highlight w:val="yellow"/>
          <w:rtl/>
        </w:rPr>
        <w:t xml:space="preserve">، وهي التحديات الهيكلية التي تواجه المنظمات عند </w:t>
      </w:r>
      <w:r w:rsidRPr="00DC2118">
        <w:rPr>
          <w:rFonts w:ascii="Tajawal" w:hAnsi="Tajawal" w:cs="Tajawal"/>
          <w:sz w:val="28"/>
          <w:szCs w:val="28"/>
          <w:highlight w:val="yellow"/>
          <w:rtl/>
        </w:rPr>
        <w:lastRenderedPageBreak/>
        <w:t>تبني أنماط تشغيل جديدة كالتحول الرقمي، مما يُضعف قدرتها على استيعاب التغيير والاستفادة الفعلية من استثماراتها الرقمية</w:t>
      </w:r>
      <w:r w:rsidRPr="00DC2118">
        <w:rPr>
          <w:rFonts w:ascii="Tajawal" w:hAnsi="Tajawal" w:cs="Tajawal"/>
          <w:sz w:val="28"/>
          <w:szCs w:val="28"/>
          <w:highlight w:val="yellow"/>
        </w:rPr>
        <w:t>.</w:t>
      </w:r>
    </w:p>
    <w:p w14:paraId="6117279E"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ومن هنا تتمثل مشكلة الدراسة في الحاجة العلمية والعملية لفهم طبيعة العلاقة بين جاهزية التحول الرقمي والأداء التنظيمي في الشركات الاستثمارية العائلية بالمملكة العربية السعودية، والكشف عن الدور الوسيط للثقافة التنظيمية في هذه العلاقة، </w:t>
      </w:r>
      <w:r w:rsidRPr="00DC2118">
        <w:rPr>
          <w:rFonts w:ascii="Tajawal" w:hAnsi="Tajawal" w:cs="Tajawal"/>
          <w:sz w:val="28"/>
          <w:szCs w:val="28"/>
          <w:highlight w:val="yellow"/>
          <w:rtl/>
        </w:rPr>
        <w:t>في ظل تصاعد المخاطر المرتبطة بإخفاق مبادرات التحول الرقمي</w:t>
      </w:r>
      <w:r w:rsidRPr="00DC2118">
        <w:rPr>
          <w:rFonts w:ascii="Tajawal" w:hAnsi="Tajawal" w:cs="Tajawal"/>
          <w:sz w:val="28"/>
          <w:szCs w:val="28"/>
          <w:highlight w:val="yellow"/>
        </w:rPr>
        <w:t>.</w:t>
      </w:r>
    </w:p>
    <w:p w14:paraId="5057B516" w14:textId="77777777" w:rsidR="00A75102" w:rsidRPr="00A75102" w:rsidRDefault="00A75102" w:rsidP="00A75102">
      <w:pPr>
        <w:bidi/>
        <w:jc w:val="both"/>
        <w:rPr>
          <w:rFonts w:ascii="Tajawal" w:hAnsi="Tajawal" w:cs="Tajawal"/>
          <w:sz w:val="28"/>
          <w:szCs w:val="28"/>
          <w:rtl/>
        </w:rPr>
      </w:pPr>
    </w:p>
    <w:p w14:paraId="4FCADAEB" w14:textId="77777777" w:rsidR="00A75102" w:rsidRPr="00B836D9" w:rsidRDefault="00A75102" w:rsidP="00A75102">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التساؤل الرئيسي</w:t>
      </w:r>
    </w:p>
    <w:p w14:paraId="343D3F9D"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ما أثر جاهزية التحول الرقمي </w:t>
      </w:r>
      <w:r w:rsidRPr="00DC2118">
        <w:rPr>
          <w:rFonts w:ascii="Tajawal" w:hAnsi="Tajawal" w:cs="Tajawal"/>
          <w:sz w:val="28"/>
          <w:szCs w:val="28"/>
          <w:highlight w:val="yellow"/>
          <w:rtl/>
        </w:rPr>
        <w:t>بأبعادها (الاستراتيجية، التقنية، البشرية، التنظيمية)</w:t>
      </w:r>
      <w:r w:rsidRPr="00A75102">
        <w:rPr>
          <w:rFonts w:ascii="Tajawal" w:hAnsi="Tajawal" w:cs="Tajawal"/>
          <w:sz w:val="28"/>
          <w:szCs w:val="28"/>
          <w:rtl/>
        </w:rPr>
        <w:t xml:space="preserve"> على الأداء التنظيمي </w:t>
      </w:r>
      <w:r w:rsidRPr="00DC2118">
        <w:rPr>
          <w:rFonts w:ascii="Tajawal" w:hAnsi="Tajawal" w:cs="Tajawal"/>
          <w:sz w:val="28"/>
          <w:szCs w:val="28"/>
          <w:highlight w:val="yellow"/>
          <w:rtl/>
        </w:rPr>
        <w:t>بأبعاده (الكفاءة التشغيلية، جودة الخدمات، رضا العملاء، النمو والاستدامة، الميزة التنافسية)</w:t>
      </w:r>
      <w:r w:rsidRPr="00A75102">
        <w:rPr>
          <w:rFonts w:ascii="Tajawal" w:hAnsi="Tajawal" w:cs="Tajawal"/>
          <w:sz w:val="28"/>
          <w:szCs w:val="28"/>
          <w:rtl/>
        </w:rPr>
        <w:t xml:space="preserve"> في الشركات الاستثمارية العائلية بالمملكة العربية السعودية، </w:t>
      </w:r>
      <w:r w:rsidRPr="00DC2118">
        <w:rPr>
          <w:rFonts w:ascii="Tajawal" w:hAnsi="Tajawal" w:cs="Tajawal"/>
          <w:sz w:val="28"/>
          <w:szCs w:val="28"/>
          <w:highlight w:val="yellow"/>
          <w:rtl/>
        </w:rPr>
        <w:t>وما الدور الوسيط الذي تؤديه الثقافة التنظيمية بأبعادها (دعم الابتكار، تقبّل التغيير، التعلم التنظيمي، التعاون ومشاركة المعرفة) في هذه العلاقة</w:t>
      </w:r>
      <w:r w:rsidRPr="00A75102">
        <w:rPr>
          <w:rFonts w:ascii="Tajawal" w:hAnsi="Tajawal" w:cs="Tajawal"/>
          <w:sz w:val="28"/>
          <w:szCs w:val="28"/>
          <w:rtl/>
        </w:rPr>
        <w:t>؟</w:t>
      </w:r>
    </w:p>
    <w:p w14:paraId="2CBE4680" w14:textId="77777777" w:rsidR="00A75102" w:rsidRPr="00A75102" w:rsidRDefault="00A75102" w:rsidP="00A75102">
      <w:pPr>
        <w:bidi/>
        <w:jc w:val="both"/>
        <w:rPr>
          <w:rFonts w:ascii="Tajawal" w:hAnsi="Tajawal" w:cs="Tajawal"/>
          <w:sz w:val="28"/>
          <w:szCs w:val="28"/>
          <w:rtl/>
        </w:rPr>
      </w:pPr>
    </w:p>
    <w:p w14:paraId="1AA35586" w14:textId="77777777" w:rsidR="00A75102" w:rsidRPr="00B836D9" w:rsidRDefault="00A75102" w:rsidP="00A75102">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التساؤلات الفرعية</w:t>
      </w:r>
    </w:p>
    <w:p w14:paraId="0714B1ED" w14:textId="2BBACF5A" w:rsidR="00A75102" w:rsidRPr="00A75102" w:rsidRDefault="00A75102" w:rsidP="00A75102">
      <w:pPr>
        <w:pStyle w:val="ListParagraph"/>
        <w:numPr>
          <w:ilvl w:val="0"/>
          <w:numId w:val="1"/>
        </w:numPr>
        <w:bidi/>
        <w:jc w:val="both"/>
        <w:rPr>
          <w:rFonts w:ascii="Tajawal" w:hAnsi="Tajawal" w:cs="Tajawal"/>
          <w:sz w:val="28"/>
          <w:szCs w:val="28"/>
          <w:highlight w:val="yellow"/>
          <w:rtl/>
        </w:rPr>
      </w:pPr>
      <w:r w:rsidRPr="00A75102">
        <w:rPr>
          <w:rFonts w:ascii="Tajawal" w:hAnsi="Tajawal" w:cs="Tajawal"/>
          <w:sz w:val="28"/>
          <w:szCs w:val="28"/>
          <w:highlight w:val="yellow"/>
          <w:rtl/>
        </w:rPr>
        <w:t>ما مستوى جاهزية التحول الرقمي بأبعادها الأربعة في الشركات الاستثمارية العائلية بالمملكة العربية السعودية من وجهة نظر المبحوثين؟</w:t>
      </w:r>
    </w:p>
    <w:p w14:paraId="3FFA8613" w14:textId="24036C42" w:rsidR="00A75102" w:rsidRPr="00A75102" w:rsidRDefault="00A75102" w:rsidP="00A75102">
      <w:pPr>
        <w:pStyle w:val="ListParagraph"/>
        <w:numPr>
          <w:ilvl w:val="0"/>
          <w:numId w:val="1"/>
        </w:numPr>
        <w:bidi/>
        <w:jc w:val="both"/>
        <w:rPr>
          <w:rFonts w:ascii="Tajawal" w:hAnsi="Tajawal" w:cs="Tajawal"/>
          <w:sz w:val="28"/>
          <w:szCs w:val="28"/>
          <w:rtl/>
        </w:rPr>
      </w:pPr>
      <w:r w:rsidRPr="00A75102">
        <w:rPr>
          <w:rFonts w:ascii="Tajawal" w:hAnsi="Tajawal" w:cs="Tajawal"/>
          <w:sz w:val="28"/>
          <w:szCs w:val="28"/>
          <w:highlight w:val="yellow"/>
          <w:rtl/>
        </w:rPr>
        <w:t>ما مستوى الأداء التنظيمي بأبعاده الخمسة في الشركات الاستثمارية العائلية بالمملكة العربية السعودية من وجهة نظر المبحوثين؟</w:t>
      </w:r>
    </w:p>
    <w:p w14:paraId="08F64A7E" w14:textId="1EA673E2" w:rsidR="00A75102" w:rsidRPr="00A75102" w:rsidRDefault="00A75102" w:rsidP="00A75102">
      <w:pPr>
        <w:pStyle w:val="ListParagraph"/>
        <w:numPr>
          <w:ilvl w:val="0"/>
          <w:numId w:val="1"/>
        </w:numPr>
        <w:bidi/>
        <w:jc w:val="both"/>
        <w:rPr>
          <w:rFonts w:ascii="Tajawal" w:hAnsi="Tajawal" w:cs="Tajawal"/>
          <w:sz w:val="28"/>
          <w:szCs w:val="28"/>
          <w:rtl/>
        </w:rPr>
      </w:pPr>
      <w:r w:rsidRPr="00A75102">
        <w:rPr>
          <w:rFonts w:ascii="Tajawal" w:hAnsi="Tajawal" w:cs="Tajawal"/>
          <w:sz w:val="28"/>
          <w:szCs w:val="28"/>
          <w:rtl/>
        </w:rPr>
        <w:t>ما طبيعة الأثر المباشر لجاهزية التحول الرقمي على الأداء التنظيمي؟</w:t>
      </w:r>
    </w:p>
    <w:p w14:paraId="6B94711A" w14:textId="243CFBEE" w:rsidR="00A75102" w:rsidRPr="00A75102" w:rsidRDefault="00A75102" w:rsidP="00A75102">
      <w:pPr>
        <w:pStyle w:val="ListParagraph"/>
        <w:numPr>
          <w:ilvl w:val="0"/>
          <w:numId w:val="1"/>
        </w:numPr>
        <w:bidi/>
        <w:jc w:val="both"/>
        <w:rPr>
          <w:rFonts w:ascii="Tajawal" w:hAnsi="Tajawal" w:cs="Tajawal"/>
          <w:sz w:val="28"/>
          <w:szCs w:val="28"/>
          <w:rtl/>
        </w:rPr>
      </w:pPr>
      <w:r w:rsidRPr="00A75102">
        <w:rPr>
          <w:rFonts w:ascii="Tajawal" w:hAnsi="Tajawal" w:cs="Tajawal"/>
          <w:sz w:val="28"/>
          <w:szCs w:val="28"/>
          <w:rtl/>
        </w:rPr>
        <w:t>ما أثر جاهزية التحول الرقمي على الثقافة التنظيمية في الشركات الاستثمارية العائلية؟</w:t>
      </w:r>
    </w:p>
    <w:p w14:paraId="38C3EE87" w14:textId="10AC618F" w:rsidR="00A75102" w:rsidRPr="00A75102" w:rsidRDefault="00A75102" w:rsidP="00A75102">
      <w:pPr>
        <w:pStyle w:val="ListParagraph"/>
        <w:numPr>
          <w:ilvl w:val="0"/>
          <w:numId w:val="1"/>
        </w:numPr>
        <w:bidi/>
        <w:jc w:val="both"/>
        <w:rPr>
          <w:rFonts w:ascii="Tajawal" w:hAnsi="Tajawal" w:cs="Tajawal"/>
          <w:sz w:val="28"/>
          <w:szCs w:val="28"/>
          <w:rtl/>
        </w:rPr>
      </w:pPr>
      <w:r w:rsidRPr="00A75102">
        <w:rPr>
          <w:rFonts w:ascii="Tajawal" w:hAnsi="Tajawal" w:cs="Tajawal"/>
          <w:sz w:val="28"/>
          <w:szCs w:val="28"/>
          <w:rtl/>
        </w:rPr>
        <w:t>ما أثر الثقافة التنظيمية على الأداء التنظيمي في الشركات الاستثمارية العائلية؟</w:t>
      </w:r>
    </w:p>
    <w:p w14:paraId="4FA28317" w14:textId="4D13A4C5" w:rsidR="00A75102" w:rsidRPr="00A75102" w:rsidRDefault="00A75102" w:rsidP="00A75102">
      <w:pPr>
        <w:pStyle w:val="ListParagraph"/>
        <w:numPr>
          <w:ilvl w:val="0"/>
          <w:numId w:val="1"/>
        </w:numPr>
        <w:bidi/>
        <w:jc w:val="both"/>
        <w:rPr>
          <w:rFonts w:ascii="Tajawal" w:hAnsi="Tajawal" w:cs="Tajawal"/>
          <w:sz w:val="28"/>
          <w:szCs w:val="28"/>
          <w:highlight w:val="yellow"/>
          <w:rtl/>
        </w:rPr>
      </w:pPr>
      <w:r w:rsidRPr="00A75102">
        <w:rPr>
          <w:rFonts w:ascii="Tajawal" w:hAnsi="Tajawal" w:cs="Tajawal"/>
          <w:sz w:val="28"/>
          <w:szCs w:val="28"/>
          <w:highlight w:val="yellow"/>
          <w:rtl/>
        </w:rPr>
        <w:t>لا تؤدي الثقافة التنظيمية دوراً وسيطاً ذا دلالة إحصائية عند مستوى</w:t>
      </w:r>
      <w:r w:rsidRPr="00A75102">
        <w:rPr>
          <w:rFonts w:ascii="Tajawal" w:hAnsi="Tajawal" w:cs="Tajawal"/>
          <w:sz w:val="28"/>
          <w:szCs w:val="28"/>
          <w:highlight w:val="yellow"/>
        </w:rPr>
        <w:t xml:space="preserve"> (</w:t>
      </w:r>
      <w:r w:rsidRPr="00A75102">
        <w:rPr>
          <w:rFonts w:ascii="Cambria" w:hAnsi="Cambria" w:cs="Cambria"/>
          <w:sz w:val="28"/>
          <w:szCs w:val="28"/>
          <w:highlight w:val="yellow"/>
        </w:rPr>
        <w:t>α</w:t>
      </w:r>
      <w:r w:rsidRPr="00A75102">
        <w:rPr>
          <w:rFonts w:ascii="Tajawal" w:hAnsi="Tajawal" w:cs="Tajawal"/>
          <w:sz w:val="28"/>
          <w:szCs w:val="28"/>
          <w:highlight w:val="yellow"/>
        </w:rPr>
        <w:t xml:space="preserve"> ≤ 0.05) </w:t>
      </w:r>
      <w:r w:rsidRPr="00A75102">
        <w:rPr>
          <w:rFonts w:ascii="Tajawal" w:hAnsi="Tajawal" w:cs="Tajawal"/>
          <w:sz w:val="28"/>
          <w:szCs w:val="28"/>
          <w:highlight w:val="yellow"/>
          <w:rtl/>
        </w:rPr>
        <w:t>في العلاقة بين جاهزية التحول الرقمي والأداء التنظيمي في الشركات الاستثمارية العائلية بالمملكة العربية السعودية</w:t>
      </w:r>
      <w:r w:rsidRPr="00A75102">
        <w:rPr>
          <w:rFonts w:ascii="Tajawal" w:hAnsi="Tajawal" w:cs="Tajawal"/>
          <w:sz w:val="28"/>
          <w:szCs w:val="28"/>
          <w:highlight w:val="yellow"/>
        </w:rPr>
        <w:t>.</w:t>
      </w:r>
    </w:p>
    <w:p w14:paraId="288BDF3A" w14:textId="72FA4501" w:rsidR="00A75102" w:rsidRPr="00A75102" w:rsidRDefault="00A75102" w:rsidP="00A75102">
      <w:pPr>
        <w:pStyle w:val="ListParagraph"/>
        <w:numPr>
          <w:ilvl w:val="0"/>
          <w:numId w:val="1"/>
        </w:numPr>
        <w:bidi/>
        <w:jc w:val="both"/>
        <w:rPr>
          <w:rFonts w:ascii="Tajawal" w:hAnsi="Tajawal" w:cs="Tajawal"/>
          <w:sz w:val="28"/>
          <w:szCs w:val="28"/>
          <w:highlight w:val="yellow"/>
          <w:rtl/>
        </w:rPr>
      </w:pPr>
      <w:r w:rsidRPr="00A75102">
        <w:rPr>
          <w:rFonts w:ascii="Tajawal" w:hAnsi="Tajawal" w:cs="Tajawal"/>
          <w:sz w:val="28"/>
          <w:szCs w:val="28"/>
          <w:highlight w:val="yellow"/>
          <w:rtl/>
        </w:rPr>
        <w:t>ما التفاعل بين أبعاد الثقافة التنظيمية في دورها الوسيط على العلاقة بين جاهزية التحول الرقمي والأداء التنظيمي في الشركات الاستثمارية العائلية؟</w:t>
      </w:r>
    </w:p>
    <w:p w14:paraId="18FF6DB1" w14:textId="77777777" w:rsidR="00A75102" w:rsidRPr="00A75102" w:rsidRDefault="00A75102" w:rsidP="00A75102">
      <w:pPr>
        <w:pStyle w:val="ListParagraph"/>
        <w:numPr>
          <w:ilvl w:val="0"/>
          <w:numId w:val="1"/>
        </w:numPr>
        <w:bidi/>
        <w:jc w:val="both"/>
        <w:rPr>
          <w:rFonts w:ascii="Tajawal" w:hAnsi="Tajawal" w:cs="Tajawal"/>
          <w:sz w:val="28"/>
          <w:szCs w:val="28"/>
          <w:highlight w:val="yellow"/>
          <w:rtl/>
        </w:rPr>
      </w:pPr>
      <w:r w:rsidRPr="00A75102">
        <w:rPr>
          <w:rFonts w:ascii="Tajawal" w:hAnsi="Tajawal" w:cs="Tajawal"/>
          <w:sz w:val="28"/>
          <w:szCs w:val="28"/>
          <w:highlight w:val="yellow"/>
          <w:rtl/>
        </w:rPr>
        <w:t>هل توجد فروق ذات دلالة إحصائية في استجابات المبحوثين حول أثر جاهزية التحول الرقمي على الأداء التنظيمي للشركات الاستثمارية العائلية تعزى للمتغيرات الديموغرافية للشركات (حجم الشركة، عمر الشركة، القطاع الاستثماري، عدد العاملين)؟</w:t>
      </w:r>
    </w:p>
    <w:p w14:paraId="4EF74154" w14:textId="77777777" w:rsidR="00B81711" w:rsidRDefault="00B81711" w:rsidP="00A75102">
      <w:pPr>
        <w:bidi/>
        <w:jc w:val="both"/>
        <w:rPr>
          <w:rFonts w:ascii="Tajawal" w:hAnsi="Tajawal" w:cs="Tajawal"/>
          <w:sz w:val="28"/>
          <w:szCs w:val="28"/>
        </w:rPr>
      </w:pPr>
    </w:p>
    <w:p w14:paraId="50EB7AF5" w14:textId="77777777" w:rsidR="00A75102" w:rsidRDefault="00A75102" w:rsidP="00A75102">
      <w:pPr>
        <w:bidi/>
        <w:jc w:val="both"/>
        <w:rPr>
          <w:rFonts w:ascii="Tajawal" w:hAnsi="Tajawal" w:cs="Tajawal"/>
          <w:sz w:val="28"/>
          <w:szCs w:val="28"/>
        </w:rPr>
      </w:pPr>
    </w:p>
    <w:p w14:paraId="40693FCB" w14:textId="77777777" w:rsidR="00A75102" w:rsidRDefault="00A75102" w:rsidP="00A75102">
      <w:pPr>
        <w:bidi/>
        <w:jc w:val="both"/>
        <w:rPr>
          <w:rFonts w:ascii="Tajawal" w:hAnsi="Tajawal" w:cs="Tajawal"/>
          <w:sz w:val="28"/>
          <w:szCs w:val="28"/>
        </w:rPr>
      </w:pPr>
    </w:p>
    <w:p w14:paraId="2F837A0B" w14:textId="77777777" w:rsidR="00A75102" w:rsidRDefault="00A75102" w:rsidP="00A75102">
      <w:pPr>
        <w:bidi/>
        <w:jc w:val="both"/>
        <w:rPr>
          <w:rFonts w:ascii="Tajawal" w:hAnsi="Tajawal" w:cs="Tajawal"/>
          <w:sz w:val="28"/>
          <w:szCs w:val="28"/>
        </w:rPr>
      </w:pPr>
    </w:p>
    <w:p w14:paraId="77817F7C" w14:textId="77777777" w:rsidR="00A75102" w:rsidRDefault="00A75102" w:rsidP="00A75102">
      <w:pPr>
        <w:bidi/>
        <w:jc w:val="both"/>
        <w:rPr>
          <w:rFonts w:ascii="Tajawal" w:hAnsi="Tajawal" w:cs="Tajawal"/>
          <w:sz w:val="28"/>
          <w:szCs w:val="28"/>
        </w:rPr>
      </w:pPr>
    </w:p>
    <w:p w14:paraId="72ABE2AE" w14:textId="77777777" w:rsidR="00A75102" w:rsidRDefault="00A75102" w:rsidP="00A75102">
      <w:pPr>
        <w:bidi/>
        <w:jc w:val="both"/>
        <w:rPr>
          <w:rFonts w:ascii="Tajawal" w:hAnsi="Tajawal" w:cs="Tajawal"/>
          <w:sz w:val="28"/>
          <w:szCs w:val="28"/>
        </w:rPr>
      </w:pPr>
    </w:p>
    <w:p w14:paraId="1DD2AC06" w14:textId="77777777" w:rsidR="00A75102" w:rsidRDefault="00A75102" w:rsidP="00A75102">
      <w:pPr>
        <w:bidi/>
        <w:jc w:val="both"/>
        <w:rPr>
          <w:rFonts w:ascii="Tajawal" w:hAnsi="Tajawal" w:cs="Tajawal"/>
          <w:b/>
          <w:bCs/>
          <w:sz w:val="32"/>
          <w:szCs w:val="32"/>
          <w:u w:val="single"/>
        </w:rPr>
      </w:pPr>
      <w:r w:rsidRPr="00A75102">
        <w:rPr>
          <w:rFonts w:ascii="Tajawal" w:hAnsi="Tajawal" w:cs="Tajawal"/>
          <w:b/>
          <w:bCs/>
          <w:sz w:val="32"/>
          <w:szCs w:val="32"/>
          <w:u w:val="single"/>
          <w:rtl/>
        </w:rPr>
        <w:lastRenderedPageBreak/>
        <w:t>ثالثاً: أهمية الدراسة</w:t>
      </w:r>
    </w:p>
    <w:p w14:paraId="35D6BF77" w14:textId="77777777" w:rsidR="00A75102" w:rsidRPr="00A75102" w:rsidRDefault="00A75102" w:rsidP="00A75102">
      <w:pPr>
        <w:bidi/>
        <w:jc w:val="both"/>
        <w:rPr>
          <w:rFonts w:ascii="Tajawal" w:hAnsi="Tajawal" w:cs="Tajawal"/>
          <w:b/>
          <w:bCs/>
          <w:sz w:val="32"/>
          <w:szCs w:val="32"/>
          <w:u w:val="single"/>
          <w:rtl/>
        </w:rPr>
      </w:pPr>
    </w:p>
    <w:p w14:paraId="361E2BD6" w14:textId="77777777" w:rsidR="00A75102" w:rsidRPr="002D6CA0" w:rsidRDefault="00A75102" w:rsidP="00A75102">
      <w:pPr>
        <w:bidi/>
        <w:jc w:val="both"/>
        <w:rPr>
          <w:rFonts w:ascii="Tajawal" w:hAnsi="Tajawal" w:cs="Tajawal"/>
          <w:sz w:val="28"/>
          <w:szCs w:val="28"/>
          <w:highlight w:val="yellow"/>
          <w:rtl/>
        </w:rPr>
      </w:pPr>
      <w:r w:rsidRPr="002D6CA0">
        <w:rPr>
          <w:rFonts w:ascii="Tajawal" w:hAnsi="Tajawal" w:cs="Tajawal"/>
          <w:sz w:val="28"/>
          <w:szCs w:val="28"/>
          <w:highlight w:val="yellow"/>
        </w:rPr>
        <w:t xml:space="preserve">• </w:t>
      </w:r>
      <w:r w:rsidRPr="002D6CA0">
        <w:rPr>
          <w:rFonts w:ascii="Tajawal" w:hAnsi="Tajawal" w:cs="Tajawal"/>
          <w:sz w:val="28"/>
          <w:szCs w:val="28"/>
          <w:highlight w:val="yellow"/>
          <w:rtl/>
        </w:rPr>
        <w:t>تُسهم الدراسة في إثراء الأدبيات العربية والخليجية في مجال جاهزية التحول الرقمي والشركات العائلية، وتمثل إضافة نوعية للمكتبة العربية التي تفتقر إلى دراسات ميدانية في هذا الموضوع في سياق القطاع الاستثماري العائلي</w:t>
      </w:r>
      <w:r w:rsidRPr="002D6CA0">
        <w:rPr>
          <w:rFonts w:ascii="Tajawal" w:hAnsi="Tajawal" w:cs="Tajawal"/>
          <w:sz w:val="28"/>
          <w:szCs w:val="28"/>
          <w:highlight w:val="yellow"/>
        </w:rPr>
        <w:t>.</w:t>
      </w:r>
    </w:p>
    <w:p w14:paraId="3E84796C" w14:textId="77777777" w:rsidR="00A75102" w:rsidRPr="002D6CA0" w:rsidRDefault="00A75102" w:rsidP="00A75102">
      <w:pPr>
        <w:bidi/>
        <w:jc w:val="both"/>
        <w:rPr>
          <w:rFonts w:ascii="Tajawal" w:hAnsi="Tajawal" w:cs="Tajawal"/>
          <w:sz w:val="28"/>
          <w:szCs w:val="28"/>
          <w:highlight w:val="yellow"/>
          <w:rtl/>
        </w:rPr>
      </w:pPr>
      <w:r w:rsidRPr="002D6CA0">
        <w:rPr>
          <w:rFonts w:ascii="Tajawal" w:hAnsi="Tajawal" w:cs="Tajawal"/>
          <w:sz w:val="28"/>
          <w:szCs w:val="28"/>
          <w:highlight w:val="yellow"/>
        </w:rPr>
        <w:t xml:space="preserve">• </w:t>
      </w:r>
      <w:r w:rsidRPr="002D6CA0">
        <w:rPr>
          <w:rFonts w:ascii="Tajawal" w:hAnsi="Tajawal" w:cs="Tajawal"/>
          <w:sz w:val="28"/>
          <w:szCs w:val="28"/>
          <w:highlight w:val="yellow"/>
          <w:rtl/>
        </w:rPr>
        <w:t>تُسهم الدراسة في اختبار نظرية الموارد والقدرات</w:t>
      </w:r>
      <w:r w:rsidRPr="002D6CA0">
        <w:rPr>
          <w:rFonts w:ascii="Tajawal" w:hAnsi="Tajawal" w:cs="Tajawal"/>
          <w:sz w:val="28"/>
          <w:szCs w:val="28"/>
          <w:highlight w:val="yellow"/>
        </w:rPr>
        <w:t xml:space="preserve"> (RBV) </w:t>
      </w:r>
      <w:r w:rsidRPr="002D6CA0">
        <w:rPr>
          <w:rFonts w:ascii="Tajawal" w:hAnsi="Tajawal" w:cs="Tajawal"/>
          <w:sz w:val="28"/>
          <w:szCs w:val="28"/>
          <w:highlight w:val="yellow"/>
          <w:rtl/>
        </w:rPr>
        <w:t>في سياق جديد (الشركات العائلية) وتقديم أدلة تجريبية على كيفية تحويل الموارد الرقمية إلى أداء تنظيمي عبر الآليات التنظيمية الوسيطة</w:t>
      </w:r>
      <w:r w:rsidRPr="002D6CA0">
        <w:rPr>
          <w:rFonts w:ascii="Tajawal" w:hAnsi="Tajawal" w:cs="Tajawal"/>
          <w:sz w:val="28"/>
          <w:szCs w:val="28"/>
          <w:highlight w:val="yellow"/>
        </w:rPr>
        <w:t>.</w:t>
      </w:r>
    </w:p>
    <w:p w14:paraId="7B33056A" w14:textId="77777777" w:rsidR="00A75102" w:rsidRPr="002D6CA0" w:rsidRDefault="00A75102" w:rsidP="00A75102">
      <w:pPr>
        <w:bidi/>
        <w:jc w:val="both"/>
        <w:rPr>
          <w:rFonts w:ascii="Tajawal" w:hAnsi="Tajawal" w:cs="Tajawal"/>
          <w:sz w:val="28"/>
          <w:szCs w:val="28"/>
          <w:highlight w:val="yellow"/>
          <w:rtl/>
        </w:rPr>
      </w:pPr>
      <w:r w:rsidRPr="002D6CA0">
        <w:rPr>
          <w:rFonts w:ascii="Tajawal" w:hAnsi="Tajawal" w:cs="Tajawal"/>
          <w:sz w:val="28"/>
          <w:szCs w:val="28"/>
          <w:highlight w:val="yellow"/>
        </w:rPr>
        <w:t xml:space="preserve">• </w:t>
      </w:r>
      <w:r w:rsidRPr="002D6CA0">
        <w:rPr>
          <w:rFonts w:ascii="Tajawal" w:hAnsi="Tajawal" w:cs="Tajawal"/>
          <w:sz w:val="28"/>
          <w:szCs w:val="28"/>
          <w:highlight w:val="yellow"/>
          <w:rtl/>
        </w:rPr>
        <w:t>تدعم الدراسة جهود المركز الوطني للمنشآت العائلية ووزارة الاتصالات وتقنية المعلومات في تطوير برامج دعم التحول الرقمي للشركات العائلية، وتقديم مؤشرات أداء قابلة للقياس</w:t>
      </w:r>
      <w:r w:rsidRPr="002D6CA0">
        <w:rPr>
          <w:rFonts w:ascii="Tajawal" w:hAnsi="Tajawal" w:cs="Tajawal"/>
          <w:sz w:val="28"/>
          <w:szCs w:val="28"/>
          <w:highlight w:val="yellow"/>
        </w:rPr>
        <w:t>.</w:t>
      </w:r>
    </w:p>
    <w:p w14:paraId="6F63A3E6" w14:textId="77777777" w:rsidR="00A75102" w:rsidRPr="002D6CA0" w:rsidRDefault="00A75102" w:rsidP="00A75102">
      <w:pPr>
        <w:bidi/>
        <w:jc w:val="both"/>
        <w:rPr>
          <w:rFonts w:ascii="Tajawal" w:hAnsi="Tajawal" w:cs="Tajawal"/>
          <w:sz w:val="28"/>
          <w:szCs w:val="28"/>
          <w:highlight w:val="yellow"/>
          <w:rtl/>
        </w:rPr>
      </w:pPr>
      <w:r w:rsidRPr="002D6CA0">
        <w:rPr>
          <w:rFonts w:ascii="Tajawal" w:hAnsi="Tajawal" w:cs="Tajawal"/>
          <w:sz w:val="28"/>
          <w:szCs w:val="28"/>
          <w:highlight w:val="yellow"/>
        </w:rPr>
        <w:t xml:space="preserve">• </w:t>
      </w:r>
      <w:r w:rsidRPr="002D6CA0">
        <w:rPr>
          <w:rFonts w:ascii="Tajawal" w:hAnsi="Tajawal" w:cs="Tajawal"/>
          <w:sz w:val="28"/>
          <w:szCs w:val="28"/>
          <w:highlight w:val="yellow"/>
          <w:rtl/>
        </w:rPr>
        <w:t>تُسهم في تطوير أداة قياس (استبانة) يمكن توظيفها في دراسات لاحقة في قطاعات أخرى كالقطاع الصناعي والتجاري والخدمي</w:t>
      </w:r>
      <w:r w:rsidRPr="002D6CA0">
        <w:rPr>
          <w:rFonts w:ascii="Tajawal" w:hAnsi="Tajawal" w:cs="Tajawal"/>
          <w:sz w:val="28"/>
          <w:szCs w:val="28"/>
          <w:highlight w:val="yellow"/>
        </w:rPr>
        <w:t>.</w:t>
      </w:r>
    </w:p>
    <w:p w14:paraId="5C939A13" w14:textId="77777777" w:rsidR="00A75102" w:rsidRDefault="00A75102" w:rsidP="00A75102">
      <w:pPr>
        <w:bidi/>
        <w:jc w:val="both"/>
        <w:rPr>
          <w:rFonts w:ascii="Tajawal" w:hAnsi="Tajawal" w:cs="Tajawal"/>
          <w:sz w:val="28"/>
          <w:szCs w:val="28"/>
        </w:rPr>
      </w:pPr>
      <w:r w:rsidRPr="002D6CA0">
        <w:rPr>
          <w:rFonts w:ascii="Tajawal" w:hAnsi="Tajawal" w:cs="Tajawal"/>
          <w:sz w:val="28"/>
          <w:szCs w:val="28"/>
          <w:highlight w:val="yellow"/>
        </w:rPr>
        <w:t xml:space="preserve">• </w:t>
      </w:r>
      <w:r w:rsidRPr="002D6CA0">
        <w:rPr>
          <w:rFonts w:ascii="Tajawal" w:hAnsi="Tajawal" w:cs="Tajawal"/>
          <w:sz w:val="28"/>
          <w:szCs w:val="28"/>
          <w:highlight w:val="yellow"/>
          <w:rtl/>
        </w:rPr>
        <w:t>تُمكّن المستثمرين وصناديق الاستثمار من تطوير معايير أكثر دقة لتقييم جاهزية الشركات العائلية للتحول الرقمي وقدرتها على تحقيق الأداء المستدام</w:t>
      </w:r>
      <w:r w:rsidRPr="002D6CA0">
        <w:rPr>
          <w:rFonts w:ascii="Tajawal" w:hAnsi="Tajawal" w:cs="Tajawal"/>
          <w:sz w:val="28"/>
          <w:szCs w:val="28"/>
          <w:highlight w:val="yellow"/>
        </w:rPr>
        <w:t>.</w:t>
      </w:r>
    </w:p>
    <w:p w14:paraId="0CF7468A" w14:textId="77777777" w:rsidR="009B0D70" w:rsidRPr="00A75102" w:rsidRDefault="009B0D70" w:rsidP="009B0D70">
      <w:pPr>
        <w:bidi/>
        <w:jc w:val="both"/>
        <w:rPr>
          <w:rFonts w:ascii="Tajawal" w:hAnsi="Tajawal" w:cs="Tajawal"/>
          <w:sz w:val="28"/>
          <w:szCs w:val="28"/>
          <w:rtl/>
        </w:rPr>
      </w:pPr>
    </w:p>
    <w:tbl>
      <w:tblPr>
        <w:tblW w:w="90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A75102" w:rsidRPr="009B0D70" w14:paraId="5BC9A59D" w14:textId="77777777" w:rsidTr="009B0D70">
        <w:trPr>
          <w:jc w:val="right"/>
        </w:trPr>
        <w:tc>
          <w:tcPr>
            <w:tcW w:w="4513" w:type="dxa"/>
            <w:tcBorders>
              <w:top w:val="single" w:sz="1" w:space="0" w:color="CCCCCC"/>
              <w:left w:val="single" w:sz="1" w:space="0" w:color="CCCCCC"/>
              <w:bottom w:val="single" w:sz="1" w:space="0" w:color="CCCCCC"/>
              <w:right w:val="single" w:sz="1" w:space="0" w:color="CCCCCC"/>
            </w:tcBorders>
            <w:shd w:val="clear" w:color="auto" w:fill="EBF7FD"/>
            <w:tcMar>
              <w:top w:w="120" w:type="dxa"/>
              <w:left w:w="140" w:type="dxa"/>
              <w:bottom w:w="120" w:type="dxa"/>
              <w:right w:w="140" w:type="dxa"/>
            </w:tcMar>
          </w:tcPr>
          <w:p w14:paraId="6F1C9851" w14:textId="77777777" w:rsidR="00A75102" w:rsidRPr="009B0D70" w:rsidRDefault="00A75102" w:rsidP="00A75102">
            <w:pPr>
              <w:bidi/>
              <w:jc w:val="both"/>
              <w:rPr>
                <w:rFonts w:ascii="Tajawal" w:hAnsi="Tajawal" w:cs="Tajawal"/>
              </w:rPr>
            </w:pPr>
            <w:r w:rsidRPr="009B0D70">
              <w:rPr>
                <w:rFonts w:ascii="Tajawal" w:hAnsi="Tajawal" w:cs="Tajawal"/>
                <w:b/>
                <w:bCs/>
              </w:rPr>
              <w:t>الأهمية التطبيقية</w:t>
            </w:r>
          </w:p>
          <w:p w14:paraId="370C50C4"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تزويد الشركات بمؤشرات لتقييم جاهزيتها الرقمية</w:t>
            </w:r>
          </w:p>
          <w:p w14:paraId="6E8333E9"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دعم صانعي القرار في تصميم استراتيجيات التحول</w:t>
            </w:r>
          </w:p>
          <w:p w14:paraId="3A6B6123"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المساهمة في تحقيق مستهدفات رؤية المملكة 2030</w:t>
            </w:r>
          </w:p>
          <w:p w14:paraId="447A6058"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تطوير برامج تعزيز الثقافة التنظيمية الداعمة للرقمنة</w:t>
            </w:r>
          </w:p>
          <w:p w14:paraId="25CEE7A3"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توجيه الجهات الاستشارية في بناء برامج التحول الرقمي</w:t>
            </w:r>
          </w:p>
        </w:tc>
        <w:tc>
          <w:tcPr>
            <w:tcW w:w="4513" w:type="dxa"/>
            <w:tcBorders>
              <w:top w:val="single" w:sz="1" w:space="0" w:color="CCCCCC"/>
              <w:left w:val="single" w:sz="1" w:space="0" w:color="CCCCCC"/>
              <w:bottom w:val="single" w:sz="1" w:space="0" w:color="CCCCCC"/>
              <w:right w:val="single" w:sz="1" w:space="0" w:color="CCCCCC"/>
            </w:tcBorders>
            <w:shd w:val="clear" w:color="auto" w:fill="E8F5E9"/>
            <w:tcMar>
              <w:top w:w="120" w:type="dxa"/>
              <w:left w:w="140" w:type="dxa"/>
              <w:bottom w:w="120" w:type="dxa"/>
              <w:right w:w="140" w:type="dxa"/>
            </w:tcMar>
          </w:tcPr>
          <w:p w14:paraId="0D991FA0" w14:textId="77777777" w:rsidR="00A75102" w:rsidRPr="009B0D70" w:rsidRDefault="00A75102" w:rsidP="00A75102">
            <w:pPr>
              <w:bidi/>
              <w:jc w:val="both"/>
              <w:rPr>
                <w:rFonts w:ascii="Tajawal" w:hAnsi="Tajawal" w:cs="Tajawal"/>
              </w:rPr>
            </w:pPr>
            <w:r w:rsidRPr="009B0D70">
              <w:rPr>
                <w:rFonts w:ascii="Tajawal" w:hAnsi="Tajawal" w:cs="Tajawal"/>
                <w:b/>
                <w:bCs/>
              </w:rPr>
              <w:t>الأهمية النظرية</w:t>
            </w:r>
          </w:p>
          <w:p w14:paraId="465EF492"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إثراء أدبيات جاهزية التحول الرقمي في سياق الشركات العائلية</w:t>
            </w:r>
          </w:p>
          <w:p w14:paraId="43D96EC3"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اختبار الثقافة التنظيمية وسيطاً في نموذج بحثي متكامل</w:t>
            </w:r>
          </w:p>
          <w:p w14:paraId="077B13FF"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سد فجوة بحثية في البيئة العربية والخليجية</w:t>
            </w:r>
          </w:p>
          <w:p w14:paraId="17BAD95B"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توظيف نظرية RBV لتفسير العلاقة بين المتغيرات ميدانياً</w:t>
            </w:r>
          </w:p>
          <w:p w14:paraId="763148FA"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الإسهام في تطوير المقاييس المتعلقة بالجاهزية الرقمية</w:t>
            </w:r>
          </w:p>
        </w:tc>
      </w:tr>
    </w:tbl>
    <w:p w14:paraId="504B6023" w14:textId="77777777" w:rsidR="00A75102" w:rsidRDefault="00A75102" w:rsidP="009B0D70">
      <w:pPr>
        <w:bidi/>
        <w:jc w:val="both"/>
        <w:rPr>
          <w:rFonts w:ascii="Tajawal" w:hAnsi="Tajawal" w:cs="Tajawal"/>
          <w:sz w:val="28"/>
          <w:szCs w:val="28"/>
        </w:rPr>
      </w:pPr>
    </w:p>
    <w:p w14:paraId="756D6B1E" w14:textId="77777777" w:rsidR="009B0D70" w:rsidRPr="00B836D9" w:rsidRDefault="009B0D70" w:rsidP="009B0D70">
      <w:pPr>
        <w:bidi/>
        <w:jc w:val="both"/>
        <w:rPr>
          <w:rFonts w:ascii="Tajawal" w:hAnsi="Tajawal" w:cs="Tajawal"/>
          <w:b/>
          <w:bCs/>
          <w:color w:val="156082" w:themeColor="accent1"/>
          <w:sz w:val="32"/>
          <w:szCs w:val="32"/>
          <w:u w:val="single"/>
        </w:rPr>
      </w:pPr>
      <w:r w:rsidRPr="00B836D9">
        <w:rPr>
          <w:rFonts w:ascii="Tajawal" w:hAnsi="Tajawal" w:cs="Tajawal"/>
          <w:b/>
          <w:bCs/>
          <w:color w:val="156082" w:themeColor="accent1"/>
          <w:sz w:val="32"/>
          <w:szCs w:val="32"/>
          <w:u w:val="single"/>
          <w:rtl/>
        </w:rPr>
        <w:t>رابعاً: أهداف الدراسة</w:t>
      </w:r>
    </w:p>
    <w:p w14:paraId="4E012502" w14:textId="77777777" w:rsidR="009B0D70" w:rsidRPr="009B0D70" w:rsidRDefault="009B0D70" w:rsidP="009B0D70">
      <w:pPr>
        <w:bidi/>
        <w:jc w:val="both"/>
        <w:rPr>
          <w:rFonts w:ascii="Tajawal" w:hAnsi="Tajawal" w:cs="Tajawal"/>
          <w:b/>
          <w:bCs/>
          <w:sz w:val="32"/>
          <w:szCs w:val="32"/>
          <w:u w:val="single"/>
          <w:rtl/>
        </w:rPr>
      </w:pPr>
    </w:p>
    <w:p w14:paraId="01B353EA" w14:textId="77777777" w:rsidR="009B0D70" w:rsidRPr="00B836D9" w:rsidRDefault="009B0D70" w:rsidP="009B0D70">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الهدف الرئيسي</w:t>
      </w:r>
    </w:p>
    <w:p w14:paraId="57A6EEC7" w14:textId="77777777" w:rsidR="009B0D70" w:rsidRPr="009B0D70" w:rsidRDefault="009B0D70" w:rsidP="009B0D70">
      <w:pPr>
        <w:bidi/>
        <w:jc w:val="both"/>
        <w:rPr>
          <w:rFonts w:ascii="Tajawal" w:hAnsi="Tajawal" w:cs="Tajawal"/>
          <w:sz w:val="28"/>
          <w:szCs w:val="28"/>
          <w:rtl/>
        </w:rPr>
      </w:pPr>
      <w:r w:rsidRPr="009B0D70">
        <w:rPr>
          <w:rFonts w:ascii="Tajawal" w:hAnsi="Tajawal" w:cs="Tajawal"/>
          <w:sz w:val="28"/>
          <w:szCs w:val="28"/>
          <w:rtl/>
        </w:rPr>
        <w:t>التعرف على أثر جاهزية التحول الرقمي في الأداء التنظيمي في الشركات الاستثمارية العائلية بالمملكة العربية السعودية في ظل الدور الوسيط للثقافة التنظيمية</w:t>
      </w:r>
    </w:p>
    <w:p w14:paraId="3A234008" w14:textId="77777777" w:rsidR="009B0D70" w:rsidRPr="009B0D70" w:rsidRDefault="009B0D70" w:rsidP="009B0D70">
      <w:pPr>
        <w:bidi/>
        <w:jc w:val="both"/>
        <w:rPr>
          <w:rFonts w:ascii="Tajawal" w:hAnsi="Tajawal" w:cs="Tajawal"/>
          <w:sz w:val="28"/>
          <w:szCs w:val="28"/>
          <w:rtl/>
        </w:rPr>
      </w:pPr>
    </w:p>
    <w:p w14:paraId="755C476C" w14:textId="77777777" w:rsidR="009B0D70" w:rsidRPr="00B836D9" w:rsidRDefault="009B0D70" w:rsidP="009B0D70">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الأهداف الفرعية</w:t>
      </w:r>
    </w:p>
    <w:p w14:paraId="702CF63D" w14:textId="76D45FB2" w:rsidR="009B0D70" w:rsidRPr="002D6CA0" w:rsidRDefault="009B0D70" w:rsidP="009B0D70">
      <w:pPr>
        <w:pStyle w:val="ListParagraph"/>
        <w:numPr>
          <w:ilvl w:val="0"/>
          <w:numId w:val="4"/>
        </w:numPr>
        <w:bidi/>
        <w:jc w:val="both"/>
        <w:rPr>
          <w:rFonts w:ascii="Tajawal" w:hAnsi="Tajawal" w:cs="Tajawal"/>
          <w:sz w:val="28"/>
          <w:szCs w:val="28"/>
          <w:rtl/>
        </w:rPr>
      </w:pPr>
      <w:r w:rsidRPr="002D6CA0">
        <w:rPr>
          <w:rFonts w:ascii="Tajawal" w:hAnsi="Tajawal" w:cs="Tajawal"/>
          <w:sz w:val="28"/>
          <w:szCs w:val="28"/>
          <w:rtl/>
        </w:rPr>
        <w:t xml:space="preserve">قياس مستوى جاهزية التحول الرقمي بأبعادها الأربعة </w:t>
      </w:r>
      <w:r w:rsidRPr="002D6CA0">
        <w:rPr>
          <w:rFonts w:ascii="Tajawal" w:hAnsi="Tajawal" w:cs="Tajawal"/>
          <w:sz w:val="28"/>
          <w:szCs w:val="28"/>
          <w:highlight w:val="yellow"/>
          <w:rtl/>
        </w:rPr>
        <w:t>(الاستراتيجية، التقنية، البشرية، التنظيمية)</w:t>
      </w:r>
      <w:r w:rsidRPr="002D6CA0">
        <w:rPr>
          <w:rFonts w:ascii="Tajawal" w:hAnsi="Tajawal" w:cs="Tajawal"/>
          <w:sz w:val="28"/>
          <w:szCs w:val="28"/>
          <w:rtl/>
        </w:rPr>
        <w:t xml:space="preserve"> في الشركات الاستثمارية العائلية بالمملكة العربية السعودية </w:t>
      </w:r>
      <w:r w:rsidRPr="002D6CA0">
        <w:rPr>
          <w:rFonts w:ascii="Tajawal" w:hAnsi="Tajawal" w:cs="Tajawal"/>
          <w:sz w:val="28"/>
          <w:szCs w:val="28"/>
          <w:highlight w:val="yellow"/>
          <w:rtl/>
        </w:rPr>
        <w:t>من وجهة نظر المبحوثين</w:t>
      </w:r>
      <w:r w:rsidRPr="002D6CA0">
        <w:rPr>
          <w:rFonts w:ascii="Tajawal" w:hAnsi="Tajawal" w:cs="Tajawal"/>
          <w:sz w:val="28"/>
          <w:szCs w:val="28"/>
        </w:rPr>
        <w:t>.</w:t>
      </w:r>
    </w:p>
    <w:p w14:paraId="07EF73AE" w14:textId="14A95EC4" w:rsidR="009B0D70" w:rsidRPr="009B0D70" w:rsidRDefault="009B0D70" w:rsidP="009B0D70">
      <w:pPr>
        <w:pStyle w:val="ListParagraph"/>
        <w:numPr>
          <w:ilvl w:val="0"/>
          <w:numId w:val="4"/>
        </w:numPr>
        <w:bidi/>
        <w:jc w:val="both"/>
        <w:rPr>
          <w:rFonts w:ascii="Tajawal" w:hAnsi="Tajawal" w:cs="Tajawal"/>
          <w:sz w:val="28"/>
          <w:szCs w:val="28"/>
          <w:rtl/>
        </w:rPr>
      </w:pPr>
      <w:r w:rsidRPr="009B0D70">
        <w:rPr>
          <w:rFonts w:ascii="Tajawal" w:hAnsi="Tajawal" w:cs="Tajawal"/>
          <w:sz w:val="28"/>
          <w:szCs w:val="28"/>
          <w:rtl/>
        </w:rPr>
        <w:lastRenderedPageBreak/>
        <w:t xml:space="preserve">قياس مستوى الأداء التنظيمي </w:t>
      </w:r>
      <w:r w:rsidRPr="002D6CA0">
        <w:rPr>
          <w:rFonts w:ascii="Tajawal" w:hAnsi="Tajawal" w:cs="Tajawal"/>
          <w:sz w:val="28"/>
          <w:szCs w:val="28"/>
          <w:highlight w:val="yellow"/>
          <w:rtl/>
        </w:rPr>
        <w:t>بأبعاده الخمسة (الكفاءة التشغيلية، جودة الخدمات، رضا العملاء، النمو والاستدامة، الميزة التنافسية)</w:t>
      </w:r>
      <w:r w:rsidRPr="009B0D70">
        <w:rPr>
          <w:rFonts w:ascii="Tajawal" w:hAnsi="Tajawal" w:cs="Tajawal"/>
          <w:sz w:val="28"/>
          <w:szCs w:val="28"/>
          <w:rtl/>
        </w:rPr>
        <w:t xml:space="preserve"> في الشركات الاستثمارية العائلية بالمملكة العربية السعودية</w:t>
      </w:r>
      <w:r w:rsidRPr="009B0D70">
        <w:rPr>
          <w:rFonts w:ascii="Tajawal" w:hAnsi="Tajawal" w:cs="Tajawal"/>
          <w:sz w:val="28"/>
          <w:szCs w:val="28"/>
        </w:rPr>
        <w:t>.</w:t>
      </w:r>
    </w:p>
    <w:p w14:paraId="083594E2" w14:textId="53568811" w:rsidR="009B0D70" w:rsidRPr="009B0D70" w:rsidRDefault="009B0D70" w:rsidP="009B0D70">
      <w:pPr>
        <w:pStyle w:val="ListParagraph"/>
        <w:numPr>
          <w:ilvl w:val="0"/>
          <w:numId w:val="4"/>
        </w:numPr>
        <w:bidi/>
        <w:jc w:val="both"/>
        <w:rPr>
          <w:rFonts w:ascii="Tajawal" w:hAnsi="Tajawal" w:cs="Tajawal"/>
          <w:sz w:val="28"/>
          <w:szCs w:val="28"/>
          <w:rtl/>
        </w:rPr>
      </w:pPr>
      <w:r w:rsidRPr="002D6CA0">
        <w:rPr>
          <w:rFonts w:ascii="Tajawal" w:hAnsi="Tajawal" w:cs="Tajawal"/>
          <w:sz w:val="28"/>
          <w:szCs w:val="28"/>
          <w:highlight w:val="yellow"/>
          <w:rtl/>
        </w:rPr>
        <w:t>تحديد</w:t>
      </w:r>
      <w:r w:rsidRPr="009B0D70">
        <w:rPr>
          <w:rFonts w:ascii="Tajawal" w:hAnsi="Tajawal" w:cs="Tajawal"/>
          <w:sz w:val="28"/>
          <w:szCs w:val="28"/>
          <w:rtl/>
        </w:rPr>
        <w:t xml:space="preserve"> طبيعة الأثر المباشر لجاهزية التحول الرقمي على الأداء التنظيمي في الشركات الاستثمارية العائلية بالمملكة العربية السعودية</w:t>
      </w:r>
      <w:r w:rsidRPr="009B0D70">
        <w:rPr>
          <w:rFonts w:ascii="Tajawal" w:hAnsi="Tajawal" w:cs="Tajawal"/>
          <w:sz w:val="28"/>
          <w:szCs w:val="28"/>
        </w:rPr>
        <w:t>.</w:t>
      </w:r>
    </w:p>
    <w:p w14:paraId="0A9D5E33" w14:textId="1AAC2349" w:rsidR="009B0D70" w:rsidRPr="009B0D70" w:rsidRDefault="009B0D70" w:rsidP="009B0D70">
      <w:pPr>
        <w:pStyle w:val="ListParagraph"/>
        <w:numPr>
          <w:ilvl w:val="0"/>
          <w:numId w:val="4"/>
        </w:numPr>
        <w:bidi/>
        <w:jc w:val="both"/>
        <w:rPr>
          <w:rFonts w:ascii="Tajawal" w:hAnsi="Tajawal" w:cs="Tajawal"/>
          <w:sz w:val="28"/>
          <w:szCs w:val="28"/>
          <w:rtl/>
        </w:rPr>
      </w:pPr>
      <w:r w:rsidRPr="002D6CA0">
        <w:rPr>
          <w:rFonts w:ascii="Tajawal" w:hAnsi="Tajawal" w:cs="Tajawal"/>
          <w:sz w:val="28"/>
          <w:szCs w:val="28"/>
          <w:highlight w:val="yellow"/>
          <w:rtl/>
        </w:rPr>
        <w:t>قياس</w:t>
      </w:r>
      <w:r w:rsidRPr="009B0D70">
        <w:rPr>
          <w:rFonts w:ascii="Tajawal" w:hAnsi="Tajawal" w:cs="Tajawal"/>
          <w:sz w:val="28"/>
          <w:szCs w:val="28"/>
          <w:rtl/>
        </w:rPr>
        <w:t xml:space="preserve"> أثر جاهزية التحول الرقمي على الثقافة التنظيمية في الشركات الاستثمارية العائلية بالمملكة العربية السعودية</w:t>
      </w:r>
      <w:r w:rsidRPr="009B0D70">
        <w:rPr>
          <w:rFonts w:ascii="Tajawal" w:hAnsi="Tajawal" w:cs="Tajawal"/>
          <w:sz w:val="28"/>
          <w:szCs w:val="28"/>
        </w:rPr>
        <w:t>.</w:t>
      </w:r>
    </w:p>
    <w:p w14:paraId="52337190" w14:textId="541D4937" w:rsidR="009B0D70" w:rsidRPr="009B0D70" w:rsidRDefault="009B0D70" w:rsidP="009B0D70">
      <w:pPr>
        <w:pStyle w:val="ListParagraph"/>
        <w:numPr>
          <w:ilvl w:val="0"/>
          <w:numId w:val="4"/>
        </w:numPr>
        <w:bidi/>
        <w:jc w:val="both"/>
        <w:rPr>
          <w:rFonts w:ascii="Tajawal" w:hAnsi="Tajawal" w:cs="Tajawal"/>
          <w:sz w:val="28"/>
          <w:szCs w:val="28"/>
          <w:rtl/>
        </w:rPr>
      </w:pPr>
      <w:r w:rsidRPr="002D6CA0">
        <w:rPr>
          <w:rFonts w:ascii="Tajawal" w:hAnsi="Tajawal" w:cs="Tajawal"/>
          <w:sz w:val="28"/>
          <w:szCs w:val="28"/>
          <w:highlight w:val="yellow"/>
          <w:rtl/>
        </w:rPr>
        <w:t>قياس</w:t>
      </w:r>
      <w:r w:rsidRPr="009B0D70">
        <w:rPr>
          <w:rFonts w:ascii="Tajawal" w:hAnsi="Tajawal" w:cs="Tajawal"/>
          <w:sz w:val="28"/>
          <w:szCs w:val="28"/>
          <w:rtl/>
        </w:rPr>
        <w:t xml:space="preserve"> أثر الثقافة التنظيمية على الأداء التنظيمي في الشركات الاستثمارية العائلية بالمملكة العربية السعودية</w:t>
      </w:r>
      <w:r w:rsidRPr="009B0D70">
        <w:rPr>
          <w:rFonts w:ascii="Tajawal" w:hAnsi="Tajawal" w:cs="Tajawal"/>
          <w:sz w:val="28"/>
          <w:szCs w:val="28"/>
        </w:rPr>
        <w:t>.</w:t>
      </w:r>
    </w:p>
    <w:p w14:paraId="1A989381" w14:textId="53DBC8A4" w:rsidR="009B0D70" w:rsidRPr="002D6CA0" w:rsidRDefault="009B0D70" w:rsidP="009B0D70">
      <w:pPr>
        <w:pStyle w:val="ListParagraph"/>
        <w:numPr>
          <w:ilvl w:val="0"/>
          <w:numId w:val="4"/>
        </w:numPr>
        <w:bidi/>
        <w:jc w:val="both"/>
        <w:rPr>
          <w:rFonts w:ascii="Tajawal" w:hAnsi="Tajawal" w:cs="Tajawal"/>
          <w:sz w:val="28"/>
          <w:szCs w:val="28"/>
          <w:highlight w:val="yellow"/>
          <w:rtl/>
        </w:rPr>
      </w:pPr>
      <w:r w:rsidRPr="009B0D70">
        <w:rPr>
          <w:rFonts w:ascii="Tajawal" w:hAnsi="Tajawal" w:cs="Tajawal"/>
          <w:sz w:val="28"/>
          <w:szCs w:val="28"/>
          <w:rtl/>
        </w:rPr>
        <w:t xml:space="preserve">اختبار الدور الوسيط للثقافة التنظيمية في العلاقة بين جاهزية التحول الرقمي والأداء التنظيمي </w:t>
      </w:r>
      <w:r w:rsidRPr="002D6CA0">
        <w:rPr>
          <w:rFonts w:ascii="Tajawal" w:hAnsi="Tajawal" w:cs="Tajawal"/>
          <w:sz w:val="28"/>
          <w:szCs w:val="28"/>
          <w:highlight w:val="yellow"/>
          <w:rtl/>
        </w:rPr>
        <w:t>باستخدام نمذجة المعادلات الهيكلية</w:t>
      </w:r>
      <w:r w:rsidRPr="002D6CA0">
        <w:rPr>
          <w:rFonts w:ascii="Tajawal" w:hAnsi="Tajawal" w:cs="Tajawal"/>
          <w:sz w:val="28"/>
          <w:szCs w:val="28"/>
          <w:highlight w:val="yellow"/>
        </w:rPr>
        <w:t xml:space="preserve"> (SEM) </w:t>
      </w:r>
      <w:r w:rsidRPr="002D6CA0">
        <w:rPr>
          <w:rFonts w:ascii="Tajawal" w:hAnsi="Tajawal" w:cs="Tajawal"/>
          <w:sz w:val="28"/>
          <w:szCs w:val="28"/>
          <w:highlight w:val="yellow"/>
          <w:rtl/>
        </w:rPr>
        <w:t>وتقنية</w:t>
      </w:r>
      <w:r w:rsidRPr="002D6CA0">
        <w:rPr>
          <w:rFonts w:ascii="Tajawal" w:hAnsi="Tajawal" w:cs="Tajawal"/>
          <w:sz w:val="28"/>
          <w:szCs w:val="28"/>
          <w:highlight w:val="yellow"/>
        </w:rPr>
        <w:t xml:space="preserve"> Bootstrap.</w:t>
      </w:r>
    </w:p>
    <w:p w14:paraId="6A5F8ECF" w14:textId="0E33CC77" w:rsidR="009B0D70" w:rsidRPr="009B0D70" w:rsidRDefault="009B0D70" w:rsidP="009B0D70">
      <w:pPr>
        <w:pStyle w:val="ListParagraph"/>
        <w:numPr>
          <w:ilvl w:val="0"/>
          <w:numId w:val="4"/>
        </w:numPr>
        <w:bidi/>
        <w:jc w:val="both"/>
        <w:rPr>
          <w:rFonts w:ascii="Tajawal" w:hAnsi="Tajawal" w:cs="Tajawal"/>
          <w:sz w:val="28"/>
          <w:szCs w:val="28"/>
          <w:rtl/>
        </w:rPr>
      </w:pPr>
      <w:r w:rsidRPr="009B0D70">
        <w:rPr>
          <w:rFonts w:ascii="Tajawal" w:hAnsi="Tajawal" w:cs="Tajawal"/>
          <w:sz w:val="28"/>
          <w:szCs w:val="28"/>
          <w:rtl/>
        </w:rPr>
        <w:t>استخلاص توصيات عملية وقابلة للتطبيق تُسهم في تعزيز جاهزية الشركات الاستثمارية العائلية للتحول الرقمي وتحسين أدائها التنظيمي</w:t>
      </w:r>
      <w:r w:rsidRPr="009B0D70">
        <w:rPr>
          <w:rFonts w:ascii="Tajawal" w:hAnsi="Tajawal" w:cs="Tajawal"/>
          <w:sz w:val="28"/>
          <w:szCs w:val="28"/>
        </w:rPr>
        <w:t>.</w:t>
      </w:r>
    </w:p>
    <w:p w14:paraId="6EF677F5" w14:textId="77777777" w:rsidR="009B0D70" w:rsidRPr="002D6CA0" w:rsidRDefault="009B0D70" w:rsidP="009B0D70">
      <w:pPr>
        <w:pStyle w:val="ListParagraph"/>
        <w:numPr>
          <w:ilvl w:val="0"/>
          <w:numId w:val="4"/>
        </w:numPr>
        <w:bidi/>
        <w:jc w:val="both"/>
        <w:rPr>
          <w:rFonts w:ascii="Tajawal" w:hAnsi="Tajawal" w:cs="Tajawal"/>
          <w:sz w:val="28"/>
          <w:szCs w:val="28"/>
          <w:highlight w:val="yellow"/>
          <w:rtl/>
        </w:rPr>
      </w:pPr>
      <w:r w:rsidRPr="002D6CA0">
        <w:rPr>
          <w:rFonts w:ascii="Tajawal" w:hAnsi="Tajawal" w:cs="Tajawal"/>
          <w:sz w:val="28"/>
          <w:szCs w:val="28"/>
          <w:highlight w:val="yellow"/>
          <w:rtl/>
        </w:rPr>
        <w:t>اختبار الفروق ذات الدلالة الإحصائية في استجابات المبحوثين حول أثر جاهزية التحول الرقمي على الأداء التنظيمي بين القطاعات الاستثمارية المختلفة للشركات العائلية في المملكة العربية السعودية</w:t>
      </w:r>
      <w:r w:rsidRPr="002D6CA0">
        <w:rPr>
          <w:rFonts w:ascii="Tajawal" w:hAnsi="Tajawal" w:cs="Tajawal"/>
          <w:sz w:val="28"/>
          <w:szCs w:val="28"/>
          <w:highlight w:val="yellow"/>
        </w:rPr>
        <w:t>.</w:t>
      </w:r>
    </w:p>
    <w:p w14:paraId="4980F347" w14:textId="77777777" w:rsidR="009B0D70" w:rsidRPr="002D6CA0" w:rsidRDefault="009B0D70" w:rsidP="009B0D70">
      <w:pPr>
        <w:pStyle w:val="ListParagraph"/>
        <w:numPr>
          <w:ilvl w:val="0"/>
          <w:numId w:val="4"/>
        </w:numPr>
        <w:bidi/>
        <w:jc w:val="both"/>
        <w:rPr>
          <w:rFonts w:ascii="Tajawal" w:hAnsi="Tajawal" w:cs="Tajawal"/>
          <w:sz w:val="28"/>
          <w:szCs w:val="28"/>
          <w:highlight w:val="yellow"/>
        </w:rPr>
      </w:pPr>
      <w:r w:rsidRPr="002D6CA0">
        <w:rPr>
          <w:rFonts w:ascii="Tajawal" w:hAnsi="Tajawal" w:cs="Tajawal"/>
          <w:sz w:val="28"/>
          <w:szCs w:val="28"/>
          <w:highlight w:val="yellow"/>
          <w:rtl/>
        </w:rPr>
        <w:t>بناء نموذج انحداري يُمكّن من التنبؤ بمستوى الأداء التنظيمي للشركات الاستثمارية العائلية في ضوء مستوى جاهزية التحول الرقمي والثقافة التنظيمية</w:t>
      </w:r>
      <w:r w:rsidRPr="002D6CA0">
        <w:rPr>
          <w:rFonts w:ascii="Tajawal" w:hAnsi="Tajawal" w:cs="Tajawal"/>
          <w:sz w:val="28"/>
          <w:szCs w:val="28"/>
          <w:highlight w:val="yellow"/>
        </w:rPr>
        <w:t>.</w:t>
      </w:r>
    </w:p>
    <w:p w14:paraId="492B5E59" w14:textId="0E9371C9" w:rsidR="009B0D70" w:rsidRPr="002D6CA0" w:rsidRDefault="009B0D70" w:rsidP="009B0D70">
      <w:pPr>
        <w:pStyle w:val="ListParagraph"/>
        <w:numPr>
          <w:ilvl w:val="0"/>
          <w:numId w:val="4"/>
        </w:numPr>
        <w:bidi/>
        <w:jc w:val="both"/>
        <w:rPr>
          <w:rFonts w:ascii="Tajawal" w:hAnsi="Tajawal" w:cs="Tajawal"/>
          <w:sz w:val="28"/>
          <w:szCs w:val="28"/>
          <w:highlight w:val="yellow"/>
        </w:rPr>
      </w:pPr>
      <w:r w:rsidRPr="002D6CA0">
        <w:rPr>
          <w:rFonts w:ascii="Tajawal" w:hAnsi="Tajawal" w:cs="Tajawal"/>
          <w:sz w:val="28"/>
          <w:szCs w:val="28"/>
          <w:highlight w:val="yellow"/>
          <w:rtl/>
        </w:rPr>
        <w:t>تحليل الأثر التفاضلي لكل بُعد من أبعاد جاهزية التحول الرقمي (الاستراتيجي، التقني، البشري، التنظيمي) على الأداء التنظيمي للشركات الاستثمارية العائلية لتحديد أكثر الأبعاد تأثيراً</w:t>
      </w:r>
    </w:p>
    <w:p w14:paraId="4D15D9C4" w14:textId="77777777" w:rsidR="009B0D70" w:rsidRDefault="009B0D70" w:rsidP="009B0D70">
      <w:pPr>
        <w:bidi/>
        <w:jc w:val="both"/>
        <w:rPr>
          <w:rFonts w:ascii="Tajawal" w:hAnsi="Tajawal" w:cs="Tajawal"/>
          <w:sz w:val="28"/>
          <w:szCs w:val="28"/>
          <w:lang w:val="en-US"/>
        </w:rPr>
      </w:pPr>
    </w:p>
    <w:p w14:paraId="0E737100" w14:textId="77777777" w:rsidR="009B0D70" w:rsidRPr="00B836D9" w:rsidRDefault="009B0D70" w:rsidP="009B0D70">
      <w:pPr>
        <w:bidi/>
        <w:jc w:val="both"/>
        <w:rPr>
          <w:rFonts w:ascii="Tajawal" w:hAnsi="Tajawal" w:cs="Tajawal"/>
          <w:b/>
          <w:bCs/>
          <w:color w:val="156082" w:themeColor="accent1"/>
          <w:sz w:val="32"/>
          <w:szCs w:val="32"/>
          <w:u w:val="single"/>
          <w:lang w:val="en-US"/>
        </w:rPr>
      </w:pPr>
      <w:r w:rsidRPr="00B836D9">
        <w:rPr>
          <w:rFonts w:ascii="Tajawal" w:hAnsi="Tajawal" w:cs="Tajawal"/>
          <w:b/>
          <w:bCs/>
          <w:color w:val="156082" w:themeColor="accent1"/>
          <w:sz w:val="32"/>
          <w:szCs w:val="32"/>
          <w:u w:val="single"/>
          <w:rtl/>
          <w:lang w:val="en-US"/>
        </w:rPr>
        <w:t>خامساً: فرضيات الدراسة</w:t>
      </w:r>
    </w:p>
    <w:p w14:paraId="06BE0657" w14:textId="77777777" w:rsidR="009B0D70" w:rsidRPr="00B836D9" w:rsidRDefault="009B0D70" w:rsidP="009B0D70">
      <w:pPr>
        <w:bidi/>
        <w:jc w:val="both"/>
        <w:rPr>
          <w:rFonts w:ascii="Tajawal" w:hAnsi="Tajawal" w:cs="Tajawal"/>
          <w:color w:val="156082" w:themeColor="accent1"/>
          <w:sz w:val="28"/>
          <w:szCs w:val="28"/>
          <w:rtl/>
          <w:lang w:val="en-US"/>
        </w:rPr>
      </w:pPr>
    </w:p>
    <w:p w14:paraId="27FE793E" w14:textId="77777777" w:rsidR="009B0D70" w:rsidRPr="00B836D9" w:rsidRDefault="009B0D70" w:rsidP="009B0D70">
      <w:pPr>
        <w:bidi/>
        <w:jc w:val="both"/>
        <w:rPr>
          <w:rFonts w:ascii="Tajawal" w:hAnsi="Tajawal" w:cs="Tajawal"/>
          <w:b/>
          <w:bCs/>
          <w:color w:val="156082" w:themeColor="accent1"/>
          <w:sz w:val="28"/>
          <w:szCs w:val="28"/>
          <w:lang w:val="en-US"/>
        </w:rPr>
      </w:pPr>
      <w:r w:rsidRPr="00B836D9">
        <w:rPr>
          <w:rFonts w:ascii="Tajawal" w:hAnsi="Tajawal" w:cs="Tajawal"/>
          <w:b/>
          <w:bCs/>
          <w:color w:val="156082" w:themeColor="accent1"/>
          <w:sz w:val="28"/>
          <w:szCs w:val="28"/>
          <w:rtl/>
          <w:lang w:val="en-US"/>
        </w:rPr>
        <w:t>الفرضية الرئيسة</w:t>
      </w:r>
    </w:p>
    <w:p w14:paraId="60CE15BB" w14:textId="77777777" w:rsidR="009B0D70" w:rsidRDefault="009B0D70" w:rsidP="009B0D70">
      <w:pPr>
        <w:bidi/>
        <w:jc w:val="both"/>
        <w:rPr>
          <w:rFonts w:ascii="Tajawal" w:hAnsi="Tajawal" w:cs="Tajawal"/>
          <w:b/>
          <w:bCs/>
          <w:sz w:val="28"/>
          <w:szCs w:val="28"/>
          <w:lang w:val="en-US"/>
        </w:rPr>
      </w:pPr>
    </w:p>
    <w:p w14:paraId="31E64AEF" w14:textId="69FC7179" w:rsidR="009B0D70" w:rsidRPr="002D6CA0" w:rsidRDefault="009B0D70" w:rsidP="009B0D70">
      <w:pPr>
        <w:bidi/>
        <w:jc w:val="both"/>
        <w:rPr>
          <w:rFonts w:ascii="Tajawal" w:hAnsi="Tajawal" w:cs="Tajawal"/>
          <w:b/>
          <w:bCs/>
          <w:sz w:val="28"/>
          <w:szCs w:val="28"/>
          <w:highlight w:val="yellow"/>
          <w:rtl/>
          <w:lang w:val="en-US"/>
        </w:rPr>
      </w:pPr>
      <w:r w:rsidRPr="002D6CA0">
        <w:rPr>
          <w:rFonts w:ascii="Tajawal" w:hAnsi="Tajawal" w:cs="Tajawal"/>
          <w:sz w:val="28"/>
          <w:szCs w:val="28"/>
          <w:highlight w:val="yellow"/>
          <w:rtl/>
          <w:lang w:val="en-US"/>
        </w:rPr>
        <w:t>لا يوجد أثر ذو دلالة إحصائية عند مستوى</w:t>
      </w:r>
      <w:r w:rsidRPr="002D6CA0">
        <w:rPr>
          <w:rFonts w:ascii="Tajawal" w:hAnsi="Tajawal" w:cs="Tajawal"/>
          <w:sz w:val="28"/>
          <w:szCs w:val="28"/>
          <w:highlight w:val="yellow"/>
          <w:lang w:val="en-US"/>
        </w:rPr>
        <w:t xml:space="preserve"> (</w:t>
      </w:r>
      <w:r w:rsidRPr="002D6CA0">
        <w:rPr>
          <w:rFonts w:ascii="Cambria" w:hAnsi="Cambria" w:cs="Cambria"/>
          <w:sz w:val="28"/>
          <w:szCs w:val="28"/>
          <w:highlight w:val="yellow"/>
          <w:lang w:val="en-US"/>
        </w:rPr>
        <w:t>α</w:t>
      </w:r>
      <w:r w:rsidRPr="002D6CA0">
        <w:rPr>
          <w:rFonts w:ascii="Tajawal" w:hAnsi="Tajawal" w:cs="Tajawal"/>
          <w:sz w:val="28"/>
          <w:szCs w:val="28"/>
          <w:highlight w:val="yellow"/>
          <w:lang w:val="en-US"/>
        </w:rPr>
        <w:t xml:space="preserve"> ≤ 0.05) </w:t>
      </w:r>
      <w:r w:rsidRPr="002D6CA0">
        <w:rPr>
          <w:rFonts w:ascii="Tajawal" w:hAnsi="Tajawal" w:cs="Tajawal"/>
          <w:sz w:val="28"/>
          <w:szCs w:val="28"/>
          <w:highlight w:val="yellow"/>
          <w:rtl/>
          <w:lang w:val="en-US"/>
        </w:rPr>
        <w:t>لجاهزية التحول الرقمي بأبعادها الأربعة على الأداء التنظيمي بأبعاده الخمسة في الشركات الاستثمارية العائلية بالمملكة العربية السعودية</w:t>
      </w:r>
      <w:r w:rsidRPr="002D6CA0">
        <w:rPr>
          <w:rFonts w:ascii="Tajawal" w:hAnsi="Tajawal" w:cs="Tajawal"/>
          <w:sz w:val="28"/>
          <w:szCs w:val="28"/>
          <w:highlight w:val="yellow"/>
          <w:lang w:val="en-US"/>
        </w:rPr>
        <w:t>.</w:t>
      </w:r>
    </w:p>
    <w:p w14:paraId="72846A7B" w14:textId="77777777" w:rsidR="009B0D70" w:rsidRPr="002D6CA0" w:rsidRDefault="009B0D70" w:rsidP="009B0D70">
      <w:pPr>
        <w:bidi/>
        <w:jc w:val="both"/>
        <w:rPr>
          <w:rFonts w:ascii="Tajawal" w:hAnsi="Tajawal" w:cs="Tajawal"/>
          <w:sz w:val="28"/>
          <w:szCs w:val="28"/>
          <w:highlight w:val="yellow"/>
          <w:lang w:val="en-US"/>
        </w:rPr>
      </w:pPr>
    </w:p>
    <w:p w14:paraId="019A0A06" w14:textId="2B0ED169" w:rsidR="009B0D70" w:rsidRDefault="009B0D70" w:rsidP="009B0D70">
      <w:pPr>
        <w:bidi/>
        <w:jc w:val="both"/>
        <w:rPr>
          <w:rFonts w:ascii="Tajawal" w:hAnsi="Tajawal" w:cs="Tajawal"/>
          <w:sz w:val="28"/>
          <w:szCs w:val="28"/>
          <w:rtl/>
          <w:lang w:val="en-US"/>
        </w:rPr>
      </w:pPr>
      <w:r w:rsidRPr="002D6CA0">
        <w:rPr>
          <w:rFonts w:ascii="Tajawal" w:hAnsi="Tajawal" w:cs="Tajawal"/>
          <w:sz w:val="28"/>
          <w:szCs w:val="28"/>
          <w:highlight w:val="yellow"/>
          <w:rtl/>
          <w:lang w:val="en-US"/>
        </w:rPr>
        <w:t>لا توجد فروق ذات دلالة إحصائية عند مستوى (</w:t>
      </w:r>
      <w:r w:rsidRPr="002D6CA0">
        <w:rPr>
          <w:rFonts w:ascii="Cambria" w:hAnsi="Cambria" w:cs="Cambria"/>
          <w:sz w:val="28"/>
          <w:szCs w:val="28"/>
          <w:highlight w:val="yellow"/>
          <w:lang w:val="en-US"/>
        </w:rPr>
        <w:t>α</w:t>
      </w:r>
      <w:r w:rsidRPr="002D6CA0">
        <w:rPr>
          <w:rFonts w:ascii="Tajawal" w:hAnsi="Tajawal" w:cs="Tajawal"/>
          <w:sz w:val="28"/>
          <w:szCs w:val="28"/>
          <w:highlight w:val="yellow"/>
          <w:lang w:val="en-US"/>
        </w:rPr>
        <w:t xml:space="preserve"> ≤ 0.05</w:t>
      </w:r>
      <w:r w:rsidRPr="002D6CA0">
        <w:rPr>
          <w:rFonts w:ascii="Tajawal" w:hAnsi="Tajawal" w:cs="Tajawal"/>
          <w:sz w:val="28"/>
          <w:szCs w:val="28"/>
          <w:highlight w:val="yellow"/>
          <w:rtl/>
          <w:lang w:val="en-US"/>
        </w:rPr>
        <w:t>) في استجابات المبحوثين حول أثر جاهزية التحول الرقمي على الأداء التنظيمي تعزى للمتغيرات الديموغرافية للشركات</w:t>
      </w:r>
    </w:p>
    <w:p w14:paraId="7DEE25C0" w14:textId="77777777" w:rsidR="009B0D70" w:rsidRDefault="009B0D70" w:rsidP="009B0D70">
      <w:pPr>
        <w:bidi/>
        <w:rPr>
          <w:rFonts w:ascii="Tajawal" w:hAnsi="Tajawal" w:cs="Tajawal"/>
          <w:sz w:val="28"/>
          <w:szCs w:val="28"/>
          <w:lang w:val="en-US"/>
        </w:rPr>
      </w:pPr>
    </w:p>
    <w:p w14:paraId="346841A8" w14:textId="77777777" w:rsidR="009B0D70" w:rsidRDefault="009B0D70" w:rsidP="009B0D70">
      <w:pPr>
        <w:bidi/>
        <w:jc w:val="both"/>
        <w:rPr>
          <w:rFonts w:ascii="Tajawal" w:hAnsi="Tajawal" w:cs="Tajawal"/>
          <w:b/>
          <w:bCs/>
          <w:sz w:val="28"/>
          <w:szCs w:val="28"/>
          <w:rtl/>
          <w:lang w:val="en-US"/>
        </w:rPr>
      </w:pPr>
    </w:p>
    <w:p w14:paraId="39B1D412" w14:textId="77777777" w:rsidR="009B0D70" w:rsidRDefault="009B0D70" w:rsidP="009B0D70">
      <w:pPr>
        <w:bidi/>
        <w:jc w:val="both"/>
        <w:rPr>
          <w:rFonts w:ascii="Tajawal" w:hAnsi="Tajawal" w:cs="Tajawal"/>
          <w:b/>
          <w:bCs/>
          <w:sz w:val="28"/>
          <w:szCs w:val="28"/>
          <w:rtl/>
          <w:lang w:val="en-US"/>
        </w:rPr>
      </w:pPr>
    </w:p>
    <w:p w14:paraId="0275B65A" w14:textId="77777777" w:rsidR="009B0D70" w:rsidRDefault="009B0D70" w:rsidP="009B0D70">
      <w:pPr>
        <w:bidi/>
        <w:jc w:val="both"/>
        <w:rPr>
          <w:rFonts w:ascii="Tajawal" w:hAnsi="Tajawal" w:cs="Tajawal"/>
          <w:b/>
          <w:bCs/>
          <w:sz w:val="28"/>
          <w:szCs w:val="28"/>
          <w:rtl/>
          <w:lang w:val="en-US"/>
        </w:rPr>
      </w:pPr>
    </w:p>
    <w:p w14:paraId="64B131CA" w14:textId="76219C4A" w:rsidR="009B0D70" w:rsidRPr="00B836D9" w:rsidRDefault="009B0D70" w:rsidP="009B0D70">
      <w:pPr>
        <w:bidi/>
        <w:jc w:val="both"/>
        <w:rPr>
          <w:rFonts w:ascii="Tajawal" w:hAnsi="Tajawal" w:cs="Tajawal"/>
          <w:b/>
          <w:bCs/>
          <w:color w:val="156082" w:themeColor="accent1"/>
          <w:sz w:val="28"/>
          <w:szCs w:val="28"/>
          <w:rtl/>
          <w:lang w:val="en-US"/>
        </w:rPr>
      </w:pPr>
      <w:r w:rsidRPr="00B836D9">
        <w:rPr>
          <w:rFonts w:ascii="Tajawal" w:hAnsi="Tajawal" w:cs="Tajawal"/>
          <w:b/>
          <w:bCs/>
          <w:color w:val="156082" w:themeColor="accent1"/>
          <w:sz w:val="28"/>
          <w:szCs w:val="28"/>
          <w:rtl/>
          <w:lang w:val="en-US"/>
        </w:rPr>
        <w:lastRenderedPageBreak/>
        <w:t>الفرض</w:t>
      </w:r>
      <w:r w:rsidRPr="00B836D9">
        <w:rPr>
          <w:rFonts w:ascii="Tajawal" w:hAnsi="Tajawal" w:cs="Tajawal" w:hint="cs"/>
          <w:b/>
          <w:bCs/>
          <w:color w:val="156082" w:themeColor="accent1"/>
          <w:sz w:val="28"/>
          <w:szCs w:val="28"/>
          <w:rtl/>
          <w:lang w:val="en-US"/>
        </w:rPr>
        <w:t xml:space="preserve">يات الفرعية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36EA0D6F"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77964603"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H1</w:t>
            </w:r>
          </w:p>
        </w:tc>
        <w:tc>
          <w:tcPr>
            <w:tcW w:w="58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40" w:type="dxa"/>
              <w:bottom w:w="80" w:type="dxa"/>
              <w:right w:w="140" w:type="dxa"/>
            </w:tcMar>
          </w:tcPr>
          <w:p w14:paraId="5B08E184"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يوجد أثر ذو دلالة إحصائية لجاهزية التحول الرقمي على 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7EC06B87"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أثر مباشر</w:t>
            </w:r>
          </w:p>
        </w:tc>
      </w:tr>
    </w:tbl>
    <w:p w14:paraId="4C122AAC" w14:textId="77777777" w:rsidR="009B0D70" w:rsidRPr="009B0D70" w:rsidRDefault="009B0D70" w:rsidP="009B0D70">
      <w:pPr>
        <w:bidi/>
        <w:jc w:val="both"/>
        <w:rPr>
          <w:rFonts w:ascii="Tajawal" w:hAnsi="Tajawal" w:cs="Tajawal"/>
          <w:b/>
          <w:bCs/>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18E2B433"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6FFBF008"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H2</w:t>
            </w:r>
          </w:p>
        </w:tc>
        <w:tc>
          <w:tcPr>
            <w:tcW w:w="5826" w:type="dxa"/>
            <w:tcBorders>
              <w:top w:val="single" w:sz="1" w:space="0" w:color="CCCCCC"/>
              <w:left w:val="single" w:sz="1" w:space="0" w:color="CCCCCC"/>
              <w:bottom w:val="single" w:sz="1" w:space="0" w:color="CCCCCC"/>
              <w:right w:val="single" w:sz="1" w:space="0" w:color="CCCCCC"/>
            </w:tcBorders>
            <w:shd w:val="clear" w:color="auto" w:fill="E8F5E9"/>
            <w:tcMar>
              <w:top w:w="80" w:type="dxa"/>
              <w:left w:w="140" w:type="dxa"/>
              <w:bottom w:w="80" w:type="dxa"/>
              <w:right w:w="140" w:type="dxa"/>
            </w:tcMar>
          </w:tcPr>
          <w:p w14:paraId="2F346429"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يوجد أثر ذو دلالة إحصائية لجاهزية التحول الرقمي على الثقافة التنظيمية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07F3391D"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أثر على الوسيط</w:t>
            </w:r>
          </w:p>
        </w:tc>
      </w:tr>
    </w:tbl>
    <w:p w14:paraId="4C27D7E0" w14:textId="77777777" w:rsidR="009B0D70" w:rsidRPr="009B0D70" w:rsidRDefault="009B0D70" w:rsidP="009B0D70">
      <w:pPr>
        <w:bidi/>
        <w:jc w:val="both"/>
        <w:rPr>
          <w:rFonts w:ascii="Tajawal" w:hAnsi="Tajawal" w:cs="Tajawal"/>
          <w:b/>
          <w:bCs/>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03C227C9"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2F9193ED"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H3</w:t>
            </w:r>
          </w:p>
        </w:tc>
        <w:tc>
          <w:tcPr>
            <w:tcW w:w="58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40" w:type="dxa"/>
              <w:bottom w:w="80" w:type="dxa"/>
              <w:right w:w="140" w:type="dxa"/>
            </w:tcMar>
          </w:tcPr>
          <w:p w14:paraId="7EE4C5FB"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يوجد أثر ذو دلالة إحصائية للثقافة التنظيمية على 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298C3B0D"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الوسيط على التابع</w:t>
            </w:r>
          </w:p>
        </w:tc>
      </w:tr>
    </w:tbl>
    <w:p w14:paraId="4A7CF720" w14:textId="77777777" w:rsidR="009B0D70" w:rsidRPr="009B0D70" w:rsidRDefault="009B0D70" w:rsidP="009B0D70">
      <w:pPr>
        <w:bidi/>
        <w:jc w:val="both"/>
        <w:rPr>
          <w:rFonts w:ascii="Tajawal" w:hAnsi="Tajawal" w:cs="Tajawal"/>
          <w:b/>
          <w:bCs/>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5E55DA04"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37216DCD"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H4</w:t>
            </w:r>
          </w:p>
        </w:tc>
        <w:tc>
          <w:tcPr>
            <w:tcW w:w="5826" w:type="dxa"/>
            <w:tcBorders>
              <w:top w:val="single" w:sz="1" w:space="0" w:color="CCCCCC"/>
              <w:left w:val="single" w:sz="1" w:space="0" w:color="CCCCCC"/>
              <w:bottom w:val="single" w:sz="1" w:space="0" w:color="CCCCCC"/>
              <w:right w:val="single" w:sz="1" w:space="0" w:color="CCCCCC"/>
            </w:tcBorders>
            <w:shd w:val="clear" w:color="auto" w:fill="FFF8E1"/>
            <w:tcMar>
              <w:top w:w="80" w:type="dxa"/>
              <w:left w:w="140" w:type="dxa"/>
              <w:bottom w:w="80" w:type="dxa"/>
              <w:right w:w="140" w:type="dxa"/>
            </w:tcMar>
          </w:tcPr>
          <w:p w14:paraId="187E2FE3"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تتوسط الثقافة التنظيمية العلاقة بين جاهزية التحول الرقمي والأداء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3BFFC5D9" w14:textId="78D75EBD" w:rsidR="009B0D70" w:rsidRPr="009B0D70" w:rsidRDefault="009B0D70" w:rsidP="009B0D70">
            <w:pPr>
              <w:bidi/>
              <w:rPr>
                <w:rFonts w:ascii="Tajawal" w:hAnsi="Tajawal" w:cs="Tajawal"/>
                <w:b/>
                <w:bCs/>
                <w:sz w:val="28"/>
                <w:szCs w:val="28"/>
              </w:rPr>
            </w:pPr>
            <w:r w:rsidRPr="009B0D70">
              <w:rPr>
                <w:rFonts w:ascii="Tajawal" w:hAnsi="Tajawal" w:cs="Tajawal"/>
                <w:b/>
                <w:bCs/>
                <w:sz w:val="28"/>
                <w:szCs w:val="28"/>
              </w:rPr>
              <w:t>وساطة كاملة</w:t>
            </w:r>
            <w:r>
              <w:rPr>
                <w:rFonts w:ascii="Tajawal" w:hAnsi="Tajawal" w:cs="Tajawal" w:hint="cs"/>
                <w:b/>
                <w:bCs/>
                <w:sz w:val="28"/>
                <w:szCs w:val="28"/>
                <w:rtl/>
              </w:rPr>
              <w:t xml:space="preserve"> /</w:t>
            </w:r>
            <w:r w:rsidRPr="009B0D70">
              <w:rPr>
                <w:rFonts w:ascii="Tajawal" w:hAnsi="Tajawal" w:cs="Tajawal"/>
                <w:b/>
                <w:bCs/>
                <w:sz w:val="28"/>
                <w:szCs w:val="28"/>
              </w:rPr>
              <w:t xml:space="preserve"> جزئية</w:t>
            </w:r>
          </w:p>
        </w:tc>
      </w:tr>
    </w:tbl>
    <w:p w14:paraId="6307D784" w14:textId="77777777" w:rsidR="009B0D70" w:rsidRDefault="009B0D70" w:rsidP="009B0D70">
      <w:pPr>
        <w:bidi/>
        <w:jc w:val="both"/>
        <w:rPr>
          <w:rFonts w:ascii="Tajawal" w:hAnsi="Tajawal" w:cs="Tajawal"/>
          <w:b/>
          <w:bCs/>
          <w:sz w:val="28"/>
          <w:szCs w:val="28"/>
          <w:rtl/>
          <w:lang w:val="en-US"/>
        </w:rPr>
      </w:pPr>
    </w:p>
    <w:p w14:paraId="77AEAE68" w14:textId="77777777" w:rsidR="009B0D70" w:rsidRDefault="009B0D70" w:rsidP="009B0D70">
      <w:pPr>
        <w:bidi/>
        <w:rPr>
          <w:rFonts w:ascii="Tajawal" w:hAnsi="Tajawal" w:cs="Tajawal"/>
          <w:sz w:val="28"/>
          <w:szCs w:val="28"/>
          <w:rtl/>
          <w:lang w:val="en-US"/>
        </w:rPr>
      </w:pPr>
    </w:p>
    <w:p w14:paraId="484C6B7A" w14:textId="77777777" w:rsidR="009B0D70" w:rsidRPr="00B836D9" w:rsidRDefault="009B0D70" w:rsidP="009B0D70">
      <w:pPr>
        <w:bidi/>
        <w:ind w:firstLine="720"/>
        <w:rPr>
          <w:rFonts w:ascii="Tajawal" w:hAnsi="Tajawal" w:cs="Tajawal"/>
          <w:color w:val="156082" w:themeColor="accent1"/>
          <w:sz w:val="28"/>
          <w:szCs w:val="28"/>
          <w:rtl/>
          <w:lang w:val="en-US"/>
        </w:rPr>
      </w:pPr>
    </w:p>
    <w:p w14:paraId="6C1ADB3D" w14:textId="77777777" w:rsidR="009B0D70" w:rsidRPr="00B836D9" w:rsidRDefault="009B0D70" w:rsidP="009B0D70">
      <w:pPr>
        <w:bidi/>
        <w:jc w:val="both"/>
        <w:rPr>
          <w:rFonts w:ascii="Tajawal" w:hAnsi="Tajawal" w:cs="Tajawal"/>
          <w:b/>
          <w:bCs/>
          <w:color w:val="156082" w:themeColor="accent1"/>
          <w:sz w:val="32"/>
          <w:szCs w:val="32"/>
          <w:u w:val="single"/>
          <w:rtl/>
          <w:lang w:val="en-US"/>
        </w:rPr>
      </w:pPr>
      <w:r w:rsidRPr="00B836D9">
        <w:rPr>
          <w:rFonts w:ascii="Tajawal" w:hAnsi="Tajawal" w:cs="Tajawal"/>
          <w:b/>
          <w:bCs/>
          <w:color w:val="156082" w:themeColor="accent1"/>
          <w:sz w:val="32"/>
          <w:szCs w:val="32"/>
          <w:u w:val="single"/>
          <w:rtl/>
          <w:lang w:val="en-US"/>
        </w:rPr>
        <w:t>سادساً: مصطلحات الدراسة وتعريفاتها الإجرائية</w:t>
      </w:r>
    </w:p>
    <w:p w14:paraId="778BAB0E" w14:textId="77777777" w:rsidR="005478DE" w:rsidRPr="009B0D70" w:rsidRDefault="005478DE" w:rsidP="005478DE">
      <w:pPr>
        <w:bidi/>
        <w:jc w:val="both"/>
        <w:rPr>
          <w:rFonts w:ascii="Tajawal" w:hAnsi="Tajawal" w:cs="Tajawal"/>
          <w:sz w:val="28"/>
          <w:szCs w:val="28"/>
          <w:rtl/>
          <w:lang w:val="en-US"/>
        </w:rPr>
      </w:pPr>
    </w:p>
    <w:p w14:paraId="7D764D8E" w14:textId="7A685825" w:rsidR="002D6CA0" w:rsidRPr="005478DE" w:rsidRDefault="005478DE" w:rsidP="002D6CA0">
      <w:pPr>
        <w:bidi/>
        <w:jc w:val="both"/>
        <w:rPr>
          <w:rFonts w:ascii="Tajawal" w:hAnsi="Tajawal" w:cs="Tajawal"/>
          <w:sz w:val="28"/>
          <w:szCs w:val="28"/>
          <w:highlight w:val="yellow"/>
          <w:rtl/>
          <w:lang w:val="en-US"/>
        </w:rPr>
      </w:pPr>
      <w:proofErr w:type="gramStart"/>
      <w:r w:rsidRPr="005478DE">
        <w:rPr>
          <w:rFonts w:ascii="Tajawal" w:hAnsi="Tajawal" w:cs="Tajawal" w:hint="cs"/>
          <w:sz w:val="28"/>
          <w:szCs w:val="28"/>
          <w:highlight w:val="yellow"/>
          <w:rtl/>
          <w:lang w:val="en-US"/>
        </w:rPr>
        <w:t>اولاً :</w:t>
      </w:r>
      <w:proofErr w:type="gramEnd"/>
      <w:r w:rsidR="009B0D70" w:rsidRPr="005478DE">
        <w:rPr>
          <w:rFonts w:ascii="Tajawal" w:hAnsi="Tajawal" w:cs="Tajawal"/>
          <w:sz w:val="28"/>
          <w:szCs w:val="28"/>
          <w:highlight w:val="yellow"/>
          <w:rtl/>
          <w:lang w:val="en-US"/>
        </w:rPr>
        <w:t xml:space="preserve"> الشركات الاستثمارية العائلية</w:t>
      </w:r>
      <w:r w:rsidR="009B0D70" w:rsidRPr="005478DE">
        <w:rPr>
          <w:rFonts w:ascii="Tajawal" w:hAnsi="Tajawal" w:cs="Tajawal"/>
          <w:sz w:val="28"/>
          <w:szCs w:val="28"/>
          <w:highlight w:val="yellow"/>
          <w:lang w:val="en-US"/>
        </w:rPr>
        <w:t xml:space="preserve"> (Family Investment Companies)</w:t>
      </w:r>
    </w:p>
    <w:p w14:paraId="5934D382" w14:textId="77777777" w:rsidR="002D6CA0" w:rsidRDefault="009B0D70" w:rsidP="009B0D70">
      <w:pPr>
        <w:bidi/>
        <w:jc w:val="both"/>
        <w:rPr>
          <w:rFonts w:ascii="Tajawal" w:hAnsi="Tajawal" w:cs="Tajawal"/>
          <w:sz w:val="28"/>
          <w:szCs w:val="28"/>
          <w:highlight w:val="yellow"/>
          <w:rtl/>
          <w:lang w:val="en-US"/>
        </w:rPr>
      </w:pPr>
      <w:r w:rsidRPr="005478DE">
        <w:rPr>
          <w:rFonts w:ascii="Tajawal" w:hAnsi="Tajawal" w:cs="Tajawal"/>
          <w:sz w:val="28"/>
          <w:szCs w:val="28"/>
          <w:highlight w:val="yellow"/>
          <w:rtl/>
          <w:lang w:val="en-US"/>
        </w:rPr>
        <w:t>التعريف الاصطلاحي:</w:t>
      </w:r>
    </w:p>
    <w:p w14:paraId="50D07BBF" w14:textId="3E8A42E3" w:rsidR="009B0D70" w:rsidRPr="005478DE" w:rsidRDefault="009B0D70" w:rsidP="002D6CA0">
      <w:pPr>
        <w:bidi/>
        <w:jc w:val="both"/>
        <w:rPr>
          <w:rFonts w:ascii="Tajawal" w:hAnsi="Tajawal" w:cs="Tajawal"/>
          <w:sz w:val="28"/>
          <w:szCs w:val="28"/>
          <w:highlight w:val="yellow"/>
          <w:rtl/>
          <w:lang w:val="en-US"/>
        </w:rPr>
      </w:pPr>
      <w:r w:rsidRPr="005478DE">
        <w:rPr>
          <w:rFonts w:ascii="Tajawal" w:hAnsi="Tajawal" w:cs="Tajawal"/>
          <w:sz w:val="28"/>
          <w:szCs w:val="28"/>
          <w:highlight w:val="yellow"/>
          <w:rtl/>
          <w:lang w:val="en-US"/>
        </w:rPr>
        <w:t xml:space="preserve"> الشركات التي تمتلكها أو تديرها عائلات سعودية وتمارس أنشطة استثمارية متنوعة، وتتميز بطبيعة الحوكمة العائلية وتأثير الثقافة العائلية في قراراتها الاستراتيجية (المركز الوطني للمنشآت العائلية، 2023</w:t>
      </w:r>
      <w:r w:rsidRPr="005478DE">
        <w:rPr>
          <w:rFonts w:ascii="Tajawal" w:hAnsi="Tajawal" w:cs="Tajawal" w:hint="cs"/>
          <w:sz w:val="28"/>
          <w:szCs w:val="28"/>
          <w:highlight w:val="yellow"/>
          <w:rtl/>
          <w:lang w:val="en-US"/>
        </w:rPr>
        <w:t>)</w:t>
      </w:r>
    </w:p>
    <w:p w14:paraId="3A9B7F1D" w14:textId="77777777" w:rsidR="002D6CA0" w:rsidRDefault="009B0D70" w:rsidP="005478DE">
      <w:pPr>
        <w:bidi/>
        <w:jc w:val="both"/>
        <w:rPr>
          <w:rFonts w:ascii="Tajawal" w:hAnsi="Tajawal" w:cs="Tajawal"/>
          <w:sz w:val="28"/>
          <w:szCs w:val="28"/>
          <w:highlight w:val="yellow"/>
          <w:rtl/>
          <w:lang w:val="en-US"/>
        </w:rPr>
      </w:pPr>
      <w:r w:rsidRPr="005478DE">
        <w:rPr>
          <w:rFonts w:ascii="Tajawal" w:hAnsi="Tajawal" w:cs="Tajawal"/>
          <w:sz w:val="28"/>
          <w:szCs w:val="28"/>
          <w:highlight w:val="yellow"/>
          <w:rtl/>
          <w:lang w:val="en-US"/>
        </w:rPr>
        <w:t xml:space="preserve">التعريف الإجرائي: </w:t>
      </w:r>
    </w:p>
    <w:p w14:paraId="69281D0F" w14:textId="5AA30249" w:rsidR="009B0D70" w:rsidRPr="005478DE" w:rsidRDefault="009B0D70" w:rsidP="002D6CA0">
      <w:pPr>
        <w:bidi/>
        <w:jc w:val="both"/>
        <w:rPr>
          <w:rFonts w:ascii="Tajawal" w:hAnsi="Tajawal" w:cs="Tajawal"/>
          <w:sz w:val="28"/>
          <w:szCs w:val="28"/>
          <w:highlight w:val="yellow"/>
          <w:rtl/>
          <w:lang w:val="en-US"/>
        </w:rPr>
      </w:pPr>
      <w:r w:rsidRPr="005478DE">
        <w:rPr>
          <w:rFonts w:ascii="Tajawal" w:hAnsi="Tajawal" w:cs="Tajawal"/>
          <w:sz w:val="28"/>
          <w:szCs w:val="28"/>
          <w:highlight w:val="yellow"/>
          <w:rtl/>
          <w:lang w:val="en-US"/>
        </w:rPr>
        <w:t>الشركات المسجلة رسمياً والتي تمتلكها أو تديرها عائلات سعودية وتمارس أنشطة استثمارية في قطاعات متعددة (عقارية، مالية، صناعية، خدمية)، والمدرجة في قواعد بيانات المركز الوطني للمنشآت العائلية</w:t>
      </w:r>
      <w:r w:rsidRPr="005478DE">
        <w:rPr>
          <w:rFonts w:ascii="Tajawal" w:hAnsi="Tajawal" w:cs="Tajawal"/>
          <w:sz w:val="28"/>
          <w:szCs w:val="28"/>
          <w:highlight w:val="yellow"/>
          <w:lang w:val="en-US"/>
        </w:rPr>
        <w:t>.</w:t>
      </w:r>
    </w:p>
    <w:p w14:paraId="44CAF7A4" w14:textId="77777777" w:rsidR="005478DE" w:rsidRPr="005478DE" w:rsidRDefault="005478DE" w:rsidP="005478DE">
      <w:pPr>
        <w:bidi/>
        <w:jc w:val="both"/>
        <w:rPr>
          <w:rFonts w:ascii="Tajawal" w:hAnsi="Tajawal" w:cs="Tajawal"/>
          <w:sz w:val="28"/>
          <w:szCs w:val="28"/>
          <w:highlight w:val="yellow"/>
          <w:rtl/>
          <w:lang w:val="en-US"/>
        </w:rPr>
      </w:pPr>
    </w:p>
    <w:p w14:paraId="42EFBE03" w14:textId="38ED35CB" w:rsidR="009B0D70" w:rsidRPr="005478DE" w:rsidRDefault="005478DE" w:rsidP="005478DE">
      <w:pPr>
        <w:bidi/>
        <w:jc w:val="both"/>
        <w:rPr>
          <w:rFonts w:ascii="Tajawal" w:hAnsi="Tajawal" w:cs="Tajawal"/>
          <w:sz w:val="28"/>
          <w:szCs w:val="28"/>
          <w:highlight w:val="yellow"/>
          <w:rtl/>
          <w:lang w:val="en-US"/>
        </w:rPr>
      </w:pPr>
      <w:r w:rsidRPr="005478DE">
        <w:rPr>
          <w:rFonts w:ascii="Tajawal" w:hAnsi="Tajawal" w:cs="Tajawal" w:hint="cs"/>
          <w:sz w:val="28"/>
          <w:szCs w:val="28"/>
          <w:highlight w:val="yellow"/>
          <w:rtl/>
          <w:lang w:val="en-US"/>
        </w:rPr>
        <w:t>ثانياً:</w:t>
      </w:r>
      <w:r w:rsidR="009B0D70" w:rsidRPr="005478DE">
        <w:rPr>
          <w:rFonts w:ascii="Tajawal" w:hAnsi="Tajawal" w:cs="Tajawal"/>
          <w:sz w:val="28"/>
          <w:szCs w:val="28"/>
          <w:highlight w:val="yellow"/>
          <w:rtl/>
          <w:lang w:val="en-US"/>
        </w:rPr>
        <w:t xml:space="preserve"> متغيرات التحكم</w:t>
      </w:r>
      <w:r w:rsidR="009B0D70" w:rsidRPr="005478DE">
        <w:rPr>
          <w:rFonts w:ascii="Tajawal" w:hAnsi="Tajawal" w:cs="Tajawal"/>
          <w:sz w:val="28"/>
          <w:szCs w:val="28"/>
          <w:highlight w:val="yellow"/>
          <w:lang w:val="en-US"/>
        </w:rPr>
        <w:t xml:space="preserve"> (Control Variables)</w:t>
      </w:r>
    </w:p>
    <w:p w14:paraId="025952B5" w14:textId="77777777" w:rsidR="009B0D70" w:rsidRDefault="009B0D70" w:rsidP="005478DE">
      <w:pPr>
        <w:bidi/>
        <w:jc w:val="both"/>
        <w:rPr>
          <w:rFonts w:ascii="Tajawal" w:hAnsi="Tajawal" w:cs="Tajawal"/>
          <w:sz w:val="28"/>
          <w:szCs w:val="28"/>
          <w:rtl/>
          <w:lang w:val="en-US"/>
        </w:rPr>
      </w:pPr>
      <w:r w:rsidRPr="005478DE">
        <w:rPr>
          <w:rFonts w:ascii="Tajawal" w:hAnsi="Tajawal" w:cs="Tajawal"/>
          <w:sz w:val="28"/>
          <w:szCs w:val="28"/>
          <w:highlight w:val="yellow"/>
          <w:rtl/>
          <w:lang w:val="en-US"/>
        </w:rPr>
        <w:lastRenderedPageBreak/>
        <w:t>عمر الشركة (بالسنوات)، حجم الشركة (عدد الموظفين)، القطاع الاستثماري، حجم الأصول. وقد أُدرجت هذه المتغيرات للتحكم في تأثيرها على العلاقة بين متغيرات الدراسة الرئيسية</w:t>
      </w:r>
      <w:r w:rsidRPr="005478DE">
        <w:rPr>
          <w:rFonts w:ascii="Tajawal" w:hAnsi="Tajawal" w:cs="Tajawal"/>
          <w:sz w:val="28"/>
          <w:szCs w:val="28"/>
          <w:highlight w:val="yellow"/>
          <w:lang w:val="en-US"/>
        </w:rPr>
        <w:t>.</w:t>
      </w:r>
    </w:p>
    <w:p w14:paraId="15145DDA" w14:textId="77777777" w:rsidR="002D6CA0" w:rsidRPr="009B0D70" w:rsidRDefault="002D6CA0" w:rsidP="002D6CA0">
      <w:pPr>
        <w:bidi/>
        <w:jc w:val="both"/>
        <w:rPr>
          <w:rFonts w:ascii="Tajawal" w:hAnsi="Tajawal" w:cs="Tajawal"/>
          <w:sz w:val="28"/>
          <w:szCs w:val="28"/>
          <w:rtl/>
          <w:lang w:val="en-US"/>
        </w:rPr>
      </w:pPr>
    </w:p>
    <w:p w14:paraId="48D3D206" w14:textId="100A70C4" w:rsidR="002D6CA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ثالثاً:</w:t>
      </w:r>
      <w:r w:rsidR="009B0D70" w:rsidRPr="009B0D70">
        <w:rPr>
          <w:rFonts w:ascii="Tajawal" w:hAnsi="Tajawal" w:cs="Tajawal"/>
          <w:sz w:val="28"/>
          <w:szCs w:val="28"/>
          <w:rtl/>
          <w:lang w:val="en-US"/>
        </w:rPr>
        <w:t xml:space="preserve"> جاهزية التحول </w:t>
      </w:r>
      <w:proofErr w:type="gramStart"/>
      <w:r w:rsidR="009B0D70" w:rsidRPr="009B0D70">
        <w:rPr>
          <w:rFonts w:ascii="Tajawal" w:hAnsi="Tajawal" w:cs="Tajawal"/>
          <w:sz w:val="28"/>
          <w:szCs w:val="28"/>
          <w:rtl/>
          <w:lang w:val="en-US"/>
        </w:rPr>
        <w:t>الرقمي</w:t>
      </w:r>
      <w:r w:rsidR="009B0D70" w:rsidRPr="009B0D70">
        <w:rPr>
          <w:rFonts w:ascii="Tajawal" w:hAnsi="Tajawal" w:cs="Tajawal"/>
          <w:sz w:val="28"/>
          <w:szCs w:val="28"/>
          <w:lang w:val="en-US"/>
        </w:rPr>
        <w:t xml:space="preserve">  (</w:t>
      </w:r>
      <w:proofErr w:type="gramEnd"/>
      <w:r w:rsidR="009B0D70" w:rsidRPr="009B0D70">
        <w:rPr>
          <w:rFonts w:ascii="Tajawal" w:hAnsi="Tajawal" w:cs="Tajawal"/>
          <w:sz w:val="28"/>
          <w:szCs w:val="28"/>
          <w:lang w:val="en-US"/>
        </w:rPr>
        <w:t>Digital Transformation Readiness)</w:t>
      </w:r>
    </w:p>
    <w:p w14:paraId="0E7B0F5B"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الاصطلاحي</w:t>
      </w:r>
      <w:r w:rsidR="005478DE">
        <w:rPr>
          <w:rFonts w:ascii="Tajawal" w:hAnsi="Tajawal" w:cs="Tajawal" w:hint="cs"/>
          <w:sz w:val="28"/>
          <w:szCs w:val="28"/>
          <w:rtl/>
          <w:lang w:val="en-US"/>
        </w:rPr>
        <w:t>:</w:t>
      </w:r>
    </w:p>
    <w:p w14:paraId="22FAF0A5" w14:textId="6CA19918"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هي مدى استعداد المنظمة من حيث البنية التحتية التقنية والموارد البشرية والقيادة الاستراتيجية والثقافة التنظيمية لتبني التقنيات الرقمية والاستفادة منها في تحسين الأداء المؤسسي</w:t>
      </w:r>
      <w:r w:rsidR="009B0D70" w:rsidRPr="009B0D70">
        <w:rPr>
          <w:rFonts w:ascii="Tajawal" w:hAnsi="Tajawal" w:cs="Tajawal"/>
          <w:sz w:val="28"/>
          <w:szCs w:val="28"/>
          <w:lang w:val="en-US"/>
        </w:rPr>
        <w:t xml:space="preserve"> (Plekhanov, Franke &amp; Netland, 2023)</w:t>
      </w:r>
    </w:p>
    <w:p w14:paraId="4450F3A7"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الإجرائي</w:t>
      </w:r>
      <w:r w:rsidR="005478DE">
        <w:rPr>
          <w:rFonts w:ascii="Tajawal" w:hAnsi="Tajawal" w:cs="Tajawal" w:hint="cs"/>
          <w:sz w:val="28"/>
          <w:szCs w:val="28"/>
          <w:rtl/>
          <w:lang w:val="en-US"/>
        </w:rPr>
        <w:t>:</w:t>
      </w:r>
    </w:p>
    <w:p w14:paraId="53F6B70E" w14:textId="2208BD40"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الدرجة الكلية التي تحصل عليها الشركة على مقياس جاهزية التحول الرقمي المُعدّ لهذه الدراسة، والمتمثلة في الأبعاد التالية</w:t>
      </w:r>
      <w:r w:rsidR="009B0D70" w:rsidRPr="009B0D70">
        <w:rPr>
          <w:rFonts w:ascii="Tajawal" w:hAnsi="Tajawal" w:cs="Tajawal"/>
          <w:sz w:val="28"/>
          <w:szCs w:val="28"/>
          <w:lang w:val="en-US"/>
        </w:rPr>
        <w:t>:</w:t>
      </w:r>
    </w:p>
    <w:p w14:paraId="3AD96F46"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الاستراتيجية: وضوح التوجه الرقمي وارتباطه بالأهداف التنظيمية</w:t>
      </w:r>
    </w:p>
    <w:p w14:paraId="428EAC71"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التقنية: توافر البنية التحتية والأدوات الرقمية اللازمة</w:t>
      </w:r>
    </w:p>
    <w:p w14:paraId="767A46FC"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البشرية: امتلاك الكفاءات والمهارات الرقمية اللازمة</w:t>
      </w:r>
    </w:p>
    <w:p w14:paraId="4C022CE1"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التنظيمية: استعداد الهياكل والعمليات لاستيعاب التحول الرقمي</w:t>
      </w:r>
    </w:p>
    <w:p w14:paraId="0FFFCAEB" w14:textId="77777777" w:rsidR="002D6CA0" w:rsidRPr="009B0D70" w:rsidRDefault="002D6CA0" w:rsidP="002D6CA0">
      <w:pPr>
        <w:bidi/>
        <w:ind w:firstLine="720"/>
        <w:jc w:val="both"/>
        <w:rPr>
          <w:rFonts w:ascii="Tajawal" w:hAnsi="Tajawal" w:cs="Tajawal"/>
          <w:sz w:val="28"/>
          <w:szCs w:val="28"/>
          <w:rtl/>
          <w:lang w:val="en-US"/>
        </w:rPr>
      </w:pPr>
    </w:p>
    <w:p w14:paraId="361A482E" w14:textId="49612C9E" w:rsidR="002D6CA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رابعاً:</w:t>
      </w:r>
      <w:r w:rsidR="009B0D70" w:rsidRPr="009B0D70">
        <w:rPr>
          <w:rFonts w:ascii="Tajawal" w:hAnsi="Tajawal" w:cs="Tajawal"/>
          <w:sz w:val="28"/>
          <w:szCs w:val="28"/>
          <w:rtl/>
          <w:lang w:val="en-US"/>
        </w:rPr>
        <w:t xml:space="preserve"> الثقافة </w:t>
      </w:r>
      <w:proofErr w:type="gramStart"/>
      <w:r w:rsidR="009B0D70" w:rsidRPr="009B0D70">
        <w:rPr>
          <w:rFonts w:ascii="Tajawal" w:hAnsi="Tajawal" w:cs="Tajawal"/>
          <w:sz w:val="28"/>
          <w:szCs w:val="28"/>
          <w:rtl/>
          <w:lang w:val="en-US"/>
        </w:rPr>
        <w:t>التنظيمية</w:t>
      </w:r>
      <w:r w:rsidR="009B0D70" w:rsidRPr="009B0D70">
        <w:rPr>
          <w:rFonts w:ascii="Tajawal" w:hAnsi="Tajawal" w:cs="Tajawal"/>
          <w:sz w:val="28"/>
          <w:szCs w:val="28"/>
          <w:lang w:val="en-US"/>
        </w:rPr>
        <w:t xml:space="preserve">  (</w:t>
      </w:r>
      <w:proofErr w:type="gramEnd"/>
      <w:r w:rsidR="009B0D70" w:rsidRPr="009B0D70">
        <w:rPr>
          <w:rFonts w:ascii="Tajawal" w:hAnsi="Tajawal" w:cs="Tajawal"/>
          <w:sz w:val="28"/>
          <w:szCs w:val="28"/>
          <w:lang w:val="en-US"/>
        </w:rPr>
        <w:t>Organizational Culture)</w:t>
      </w:r>
    </w:p>
    <w:p w14:paraId="7A4F40B7"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الاصطلاحي</w:t>
      </w:r>
      <w:r w:rsidR="005478DE">
        <w:rPr>
          <w:rFonts w:ascii="Tajawal" w:hAnsi="Tajawal" w:cs="Tajawal" w:hint="cs"/>
          <w:sz w:val="28"/>
          <w:szCs w:val="28"/>
          <w:rtl/>
          <w:lang w:val="en-US"/>
        </w:rPr>
        <w:t xml:space="preserve">: </w:t>
      </w:r>
    </w:p>
    <w:p w14:paraId="794C7D76" w14:textId="294FED4C" w:rsidR="009B0D70" w:rsidRPr="009B0D70" w:rsidRDefault="009B0D70" w:rsidP="002D6CA0">
      <w:pPr>
        <w:bidi/>
        <w:jc w:val="both"/>
        <w:rPr>
          <w:rFonts w:ascii="Tajawal" w:hAnsi="Tajawal" w:cs="Tajawal"/>
          <w:sz w:val="28"/>
          <w:szCs w:val="28"/>
          <w:rtl/>
          <w:lang w:val="en-US"/>
        </w:rPr>
      </w:pPr>
      <w:r w:rsidRPr="009B0D70">
        <w:rPr>
          <w:rFonts w:ascii="Tajawal" w:hAnsi="Tajawal" w:cs="Tajawal"/>
          <w:sz w:val="28"/>
          <w:szCs w:val="28"/>
          <w:rtl/>
          <w:lang w:val="en-US"/>
        </w:rPr>
        <w:t>هي مجموعة القيم والمعتقدات والمعايير المشتركة التي تحكم سلوك أعضاء المنظمة وتوجه ممارساتهم وتشكّل هويتها المؤسسية، ولها دور محوري في تحديد مدى نجاح مبادرات التحول الرقمي</w:t>
      </w:r>
      <w:r w:rsidRPr="009B0D70">
        <w:rPr>
          <w:rFonts w:ascii="Tajawal" w:hAnsi="Tajawal" w:cs="Tajawal"/>
          <w:sz w:val="28"/>
          <w:szCs w:val="28"/>
          <w:lang w:val="en-US"/>
        </w:rPr>
        <w:t xml:space="preserve"> (</w:t>
      </w:r>
      <w:proofErr w:type="spellStart"/>
      <w:r w:rsidRPr="009B0D70">
        <w:rPr>
          <w:rFonts w:ascii="Tajawal" w:hAnsi="Tajawal" w:cs="Tajawal"/>
          <w:sz w:val="28"/>
          <w:szCs w:val="28"/>
          <w:lang w:val="en-US"/>
        </w:rPr>
        <w:t>Jewapatarakul</w:t>
      </w:r>
      <w:proofErr w:type="spellEnd"/>
      <w:r w:rsidRPr="009B0D70">
        <w:rPr>
          <w:rFonts w:ascii="Tajawal" w:hAnsi="Tajawal" w:cs="Tajawal"/>
          <w:sz w:val="28"/>
          <w:szCs w:val="28"/>
          <w:lang w:val="en-US"/>
        </w:rPr>
        <w:t xml:space="preserve"> &amp; </w:t>
      </w:r>
      <w:proofErr w:type="spellStart"/>
      <w:r w:rsidRPr="009B0D70">
        <w:rPr>
          <w:rFonts w:ascii="Tajawal" w:hAnsi="Tajawal" w:cs="Tajawal"/>
          <w:sz w:val="28"/>
          <w:szCs w:val="28"/>
          <w:lang w:val="en-US"/>
        </w:rPr>
        <w:t>Ueasangkomsate</w:t>
      </w:r>
      <w:proofErr w:type="spellEnd"/>
      <w:r w:rsidRPr="009B0D70">
        <w:rPr>
          <w:rFonts w:ascii="Tajawal" w:hAnsi="Tajawal" w:cs="Tajawal"/>
          <w:sz w:val="28"/>
          <w:szCs w:val="28"/>
          <w:lang w:val="en-US"/>
        </w:rPr>
        <w:t>, 2024).</w:t>
      </w:r>
    </w:p>
    <w:p w14:paraId="43FB5FE0"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الإجرائي</w:t>
      </w:r>
      <w:r w:rsidR="005478DE">
        <w:rPr>
          <w:rFonts w:ascii="Tajawal" w:hAnsi="Tajawal" w:cs="Tajawal" w:hint="cs"/>
          <w:sz w:val="28"/>
          <w:szCs w:val="28"/>
          <w:rtl/>
          <w:lang w:val="en-US"/>
        </w:rPr>
        <w:t>:</w:t>
      </w:r>
    </w:p>
    <w:p w14:paraId="7AAA5610" w14:textId="4D72B0F4"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الدرجة التي يحصل عليها أفراد عينة الدراسة على مقياس الثقافة التنظيمية الداعمة للتحول الرقمي، وتشمل</w:t>
      </w:r>
    </w:p>
    <w:p w14:paraId="73B4A86F"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دعم الابتكار: تشجيع الأفكار الجديدة وقبول المبادرات الرقمية</w:t>
      </w:r>
    </w:p>
    <w:p w14:paraId="74AE977E"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تقبّل التغيير: استعداد العاملين لتبني التقنيات الرقمية الجديدة</w:t>
      </w:r>
    </w:p>
    <w:p w14:paraId="68F6AFA3"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التعلم التنظيمي: تعزيز التعلم المستمر وتنمية المهارات الرقمية</w:t>
      </w:r>
    </w:p>
    <w:p w14:paraId="5ABCEB96"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التعاون ومشاركة المعرفة: تبادل المعرفة والخبرات الرقمية بين الأقسام</w:t>
      </w:r>
    </w:p>
    <w:p w14:paraId="1CA6BE7F" w14:textId="77777777" w:rsidR="009B0D70" w:rsidRDefault="009B0D70" w:rsidP="009B0D70">
      <w:pPr>
        <w:bidi/>
        <w:ind w:firstLine="720"/>
        <w:jc w:val="both"/>
        <w:rPr>
          <w:rFonts w:ascii="Tajawal" w:hAnsi="Tajawal" w:cs="Tajawal"/>
          <w:sz w:val="28"/>
          <w:szCs w:val="28"/>
          <w:rtl/>
          <w:lang w:val="en-US"/>
        </w:rPr>
      </w:pPr>
    </w:p>
    <w:p w14:paraId="34A54563" w14:textId="77777777" w:rsidR="002D6CA0" w:rsidRPr="009B0D70" w:rsidRDefault="002D6CA0" w:rsidP="002D6CA0">
      <w:pPr>
        <w:bidi/>
        <w:ind w:firstLine="720"/>
        <w:jc w:val="both"/>
        <w:rPr>
          <w:rFonts w:ascii="Tajawal" w:hAnsi="Tajawal" w:cs="Tajawal"/>
          <w:sz w:val="28"/>
          <w:szCs w:val="28"/>
          <w:rtl/>
          <w:lang w:val="en-US"/>
        </w:rPr>
      </w:pPr>
    </w:p>
    <w:p w14:paraId="4A2583E2" w14:textId="2FF97A9F" w:rsidR="002D6CA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خامساً</w:t>
      </w:r>
      <w:r w:rsidR="009B0D70" w:rsidRPr="009B0D70">
        <w:rPr>
          <w:rFonts w:ascii="Tajawal" w:hAnsi="Tajawal" w:cs="Tajawal"/>
          <w:sz w:val="28"/>
          <w:szCs w:val="28"/>
          <w:rtl/>
          <w:lang w:val="en-US"/>
        </w:rPr>
        <w:t xml:space="preserve">: الأداء </w:t>
      </w:r>
      <w:proofErr w:type="gramStart"/>
      <w:r w:rsidR="009B0D70" w:rsidRPr="009B0D70">
        <w:rPr>
          <w:rFonts w:ascii="Tajawal" w:hAnsi="Tajawal" w:cs="Tajawal"/>
          <w:sz w:val="28"/>
          <w:szCs w:val="28"/>
          <w:rtl/>
          <w:lang w:val="en-US"/>
        </w:rPr>
        <w:t>التنظيمي</w:t>
      </w:r>
      <w:r w:rsidR="009B0D70" w:rsidRPr="009B0D70">
        <w:rPr>
          <w:rFonts w:ascii="Tajawal" w:hAnsi="Tajawal" w:cs="Tajawal"/>
          <w:sz w:val="28"/>
          <w:szCs w:val="28"/>
          <w:lang w:val="en-US"/>
        </w:rPr>
        <w:t xml:space="preserve">  (</w:t>
      </w:r>
      <w:proofErr w:type="gramEnd"/>
      <w:r w:rsidR="009B0D70" w:rsidRPr="009B0D70">
        <w:rPr>
          <w:rFonts w:ascii="Tajawal" w:hAnsi="Tajawal" w:cs="Tajawal"/>
          <w:sz w:val="28"/>
          <w:szCs w:val="28"/>
          <w:lang w:val="en-US"/>
        </w:rPr>
        <w:t>Organizational Performance)</w:t>
      </w:r>
    </w:p>
    <w:p w14:paraId="48820F58"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الاصطلاحي</w:t>
      </w:r>
      <w:r w:rsidR="005478DE">
        <w:rPr>
          <w:rFonts w:ascii="Tajawal" w:hAnsi="Tajawal" w:cs="Tajawal" w:hint="cs"/>
          <w:sz w:val="28"/>
          <w:szCs w:val="28"/>
          <w:rtl/>
          <w:lang w:val="en-US"/>
        </w:rPr>
        <w:t xml:space="preserve">: </w:t>
      </w:r>
    </w:p>
    <w:p w14:paraId="5802D279" w14:textId="10E1FBB5" w:rsidR="009B0D70" w:rsidRPr="009B0D70" w:rsidRDefault="009B0D70" w:rsidP="002D6CA0">
      <w:pPr>
        <w:bidi/>
        <w:jc w:val="both"/>
        <w:rPr>
          <w:rFonts w:ascii="Tajawal" w:hAnsi="Tajawal" w:cs="Tajawal"/>
          <w:sz w:val="28"/>
          <w:szCs w:val="28"/>
          <w:rtl/>
          <w:lang w:val="en-US"/>
        </w:rPr>
      </w:pPr>
      <w:r w:rsidRPr="009B0D70">
        <w:rPr>
          <w:rFonts w:ascii="Tajawal" w:hAnsi="Tajawal" w:cs="Tajawal"/>
          <w:sz w:val="28"/>
          <w:szCs w:val="28"/>
          <w:rtl/>
          <w:lang w:val="en-US"/>
        </w:rPr>
        <w:t>قدرة المنظمة على تحقيق أهدافها الاستراتيجية بكفاءة وفاعلية، من خلال الاستخدام الأمثل للموارد المتاحة وتحقيق النتائج المستهدفة في ظل البيئة التنافسية</w:t>
      </w:r>
      <w:r w:rsidRPr="009B0D70">
        <w:rPr>
          <w:rFonts w:ascii="Tajawal" w:hAnsi="Tajawal" w:cs="Tajawal"/>
          <w:sz w:val="28"/>
          <w:szCs w:val="28"/>
          <w:lang w:val="en-US"/>
        </w:rPr>
        <w:t xml:space="preserve"> (Amankona et al., 2025)</w:t>
      </w:r>
    </w:p>
    <w:p w14:paraId="6305863C"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lastRenderedPageBreak/>
        <w:t>التعريف الإجرائي</w:t>
      </w:r>
      <w:r w:rsidR="005478DE">
        <w:rPr>
          <w:rFonts w:ascii="Tajawal" w:hAnsi="Tajawal" w:cs="Tajawal" w:hint="cs"/>
          <w:sz w:val="28"/>
          <w:szCs w:val="28"/>
          <w:rtl/>
          <w:lang w:val="en-US"/>
        </w:rPr>
        <w:t>:</w:t>
      </w:r>
    </w:p>
    <w:p w14:paraId="6BAD57C1" w14:textId="4363B437"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الدرجة التي تحصل عليها الشركة على مقياس الأداء التنظيمي المُعدّ لهذه الدراسة عبر الأبعاد التالية</w:t>
      </w:r>
    </w:p>
    <w:p w14:paraId="740C72A2"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الكفاءة التشغيلية: جودة العمليات وسرعة الاستجابة وتقليل التكاليف</w:t>
      </w:r>
    </w:p>
    <w:p w14:paraId="1C96A3DE"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جودة الخدمات والعمليات: مستوى الجودة المقدمة للعملاء والشركاء</w:t>
      </w:r>
    </w:p>
    <w:p w14:paraId="5A194E98"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رضا العملاء: درجة رضا العملاء ووفائهم للشركة</w:t>
      </w:r>
    </w:p>
    <w:p w14:paraId="17E8F9FC"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النمو والاستدامة: قدرة الشركة على التوسع والنمو المستدام</w:t>
      </w:r>
    </w:p>
    <w:p w14:paraId="3A8FAC97" w14:textId="796E11C7" w:rsidR="005478DE" w:rsidRPr="005478DE" w:rsidRDefault="009B0D70" w:rsidP="00B836D9">
      <w:pPr>
        <w:bidi/>
        <w:ind w:firstLine="720"/>
        <w:jc w:val="both"/>
        <w:rPr>
          <w:rFonts w:ascii="Tajawal" w:hAnsi="Tajawal" w:cs="Tajawal"/>
          <w:sz w:val="28"/>
          <w:szCs w:val="28"/>
          <w:rtl/>
          <w:lang w:val="en-US"/>
        </w:rPr>
      </w:pPr>
      <w:r w:rsidRPr="009B0D70">
        <w:rPr>
          <w:rFonts w:ascii="Tajawal" w:hAnsi="Tajawal" w:cs="Tajawal"/>
          <w:sz w:val="28"/>
          <w:szCs w:val="28"/>
          <w:rtl/>
          <w:lang w:val="en-US"/>
        </w:rPr>
        <w:t>•</w:t>
      </w:r>
      <w:r w:rsidRPr="009B0D70">
        <w:rPr>
          <w:rFonts w:ascii="Tajawal" w:hAnsi="Tajawal" w:cs="Tajawal"/>
          <w:sz w:val="28"/>
          <w:szCs w:val="28"/>
          <w:rtl/>
          <w:lang w:val="en-US"/>
        </w:rPr>
        <w:tab/>
        <w:t>الميزة التنافسية: قدرة الشركة على التميز في السوق ومواجهة المنافسة</w:t>
      </w:r>
    </w:p>
    <w:p w14:paraId="1CBA1349" w14:textId="29829CFB" w:rsidR="005478DE" w:rsidRDefault="005478DE" w:rsidP="005478DE">
      <w:pPr>
        <w:tabs>
          <w:tab w:val="left" w:pos="1162"/>
        </w:tabs>
        <w:bidi/>
        <w:rPr>
          <w:rFonts w:ascii="Tajawal" w:hAnsi="Tajawal" w:cs="Tajawal"/>
          <w:sz w:val="28"/>
          <w:szCs w:val="28"/>
          <w:rtl/>
          <w:lang w:val="en-US"/>
        </w:rPr>
      </w:pPr>
      <w:r>
        <w:rPr>
          <w:rFonts w:ascii="Tajawal" w:hAnsi="Tajawal" w:cs="Tajawal"/>
          <w:sz w:val="28"/>
          <w:szCs w:val="28"/>
          <w:rtl/>
          <w:lang w:val="en-US"/>
        </w:rPr>
        <w:tab/>
      </w:r>
    </w:p>
    <w:p w14:paraId="3B60CB74" w14:textId="77777777" w:rsidR="005478DE" w:rsidRPr="00B836D9" w:rsidRDefault="005478DE" w:rsidP="005478DE">
      <w:pPr>
        <w:tabs>
          <w:tab w:val="left" w:pos="1162"/>
        </w:tabs>
        <w:bidi/>
        <w:jc w:val="both"/>
        <w:rPr>
          <w:rFonts w:ascii="Tajawal" w:hAnsi="Tajawal" w:cs="Tajawal"/>
          <w:b/>
          <w:bCs/>
          <w:color w:val="156082" w:themeColor="accent1"/>
          <w:sz w:val="32"/>
          <w:szCs w:val="32"/>
          <w:u w:val="single"/>
          <w:rtl/>
        </w:rPr>
      </w:pPr>
      <w:r w:rsidRPr="00B836D9">
        <w:rPr>
          <w:rFonts w:ascii="Tajawal" w:hAnsi="Tajawal" w:cs="Tajawal"/>
          <w:b/>
          <w:bCs/>
          <w:color w:val="156082" w:themeColor="accent1"/>
          <w:sz w:val="32"/>
          <w:szCs w:val="32"/>
          <w:u w:val="single"/>
          <w:rtl/>
        </w:rPr>
        <w:t>سابعاً: نموذج الدراسة المقترح</w:t>
      </w:r>
    </w:p>
    <w:p w14:paraId="712ABC6E" w14:textId="77777777" w:rsidR="002D6CA0" w:rsidRDefault="005478DE" w:rsidP="005478DE">
      <w:pPr>
        <w:tabs>
          <w:tab w:val="left" w:pos="1162"/>
        </w:tabs>
        <w:bidi/>
        <w:jc w:val="both"/>
        <w:rPr>
          <w:rFonts w:ascii="Tajawal" w:hAnsi="Tajawal" w:cs="Tajawal"/>
          <w:sz w:val="28"/>
          <w:szCs w:val="28"/>
          <w:highlight w:val="yellow"/>
          <w:rtl/>
        </w:rPr>
      </w:pPr>
      <w:r w:rsidRPr="002D6CA0">
        <w:rPr>
          <w:rFonts w:ascii="Tajawal" w:hAnsi="Tajawal" w:cs="Tajawal"/>
          <w:sz w:val="28"/>
          <w:szCs w:val="28"/>
          <w:highlight w:val="yellow"/>
          <w:rtl/>
        </w:rPr>
        <w:t>النظريات الداعمة</w:t>
      </w:r>
    </w:p>
    <w:p w14:paraId="0B6A06BF" w14:textId="78585E68" w:rsidR="005478DE" w:rsidRPr="002D6CA0" w:rsidRDefault="005478DE" w:rsidP="002D6CA0">
      <w:pPr>
        <w:tabs>
          <w:tab w:val="left" w:pos="1162"/>
        </w:tabs>
        <w:bidi/>
        <w:jc w:val="both"/>
        <w:rPr>
          <w:rFonts w:ascii="Tajawal" w:hAnsi="Tajawal" w:cs="Tajawal"/>
          <w:sz w:val="28"/>
          <w:szCs w:val="28"/>
          <w:highlight w:val="yellow"/>
          <w:rtl/>
        </w:rPr>
      </w:pPr>
      <w:r w:rsidRPr="002D6CA0">
        <w:rPr>
          <w:rFonts w:ascii="Tajawal" w:hAnsi="Tajawal" w:cs="Tajawal"/>
          <w:sz w:val="28"/>
          <w:szCs w:val="28"/>
          <w:highlight w:val="yellow"/>
        </w:rPr>
        <w:t xml:space="preserve"> — Schein (2010) </w:t>
      </w:r>
      <w:r w:rsidRPr="002D6CA0">
        <w:rPr>
          <w:rFonts w:ascii="Tajawal" w:hAnsi="Tajawal" w:cs="Tajawal"/>
          <w:sz w:val="28"/>
          <w:szCs w:val="28"/>
          <w:highlight w:val="yellow"/>
          <w:rtl/>
        </w:rPr>
        <w:t>و</w:t>
      </w:r>
      <w:r w:rsidRPr="002D6CA0">
        <w:rPr>
          <w:rFonts w:ascii="Tajawal" w:hAnsi="Tajawal" w:cs="Tajawal"/>
          <w:sz w:val="28"/>
          <w:szCs w:val="28"/>
          <w:highlight w:val="yellow"/>
        </w:rPr>
        <w:t>Denison (1990)</w:t>
      </w:r>
    </w:p>
    <w:p w14:paraId="7D918C8C" w14:textId="77777777" w:rsidR="005478DE" w:rsidRPr="002D6CA0" w:rsidRDefault="005478DE" w:rsidP="005478DE">
      <w:pPr>
        <w:tabs>
          <w:tab w:val="left" w:pos="1162"/>
        </w:tabs>
        <w:bidi/>
        <w:jc w:val="both"/>
        <w:rPr>
          <w:rFonts w:ascii="Tajawal" w:hAnsi="Tajawal" w:cs="Tajawal"/>
          <w:sz w:val="28"/>
          <w:szCs w:val="28"/>
          <w:highlight w:val="yellow"/>
          <w:rtl/>
        </w:rPr>
      </w:pPr>
      <w:r w:rsidRPr="002D6CA0">
        <w:rPr>
          <w:rFonts w:ascii="Tajawal" w:hAnsi="Tajawal" w:cs="Tajawal"/>
          <w:sz w:val="28"/>
          <w:szCs w:val="28"/>
          <w:highlight w:val="yellow"/>
          <w:rtl/>
        </w:rPr>
        <w:t>تُعدّ نظرية</w:t>
      </w:r>
      <w:r w:rsidRPr="002D6CA0">
        <w:rPr>
          <w:rFonts w:ascii="Tajawal" w:hAnsi="Tajawal" w:cs="Tajawal"/>
          <w:sz w:val="28"/>
          <w:szCs w:val="28"/>
          <w:highlight w:val="yellow"/>
        </w:rPr>
        <w:t xml:space="preserve"> Schein </w:t>
      </w:r>
      <w:r w:rsidRPr="002D6CA0">
        <w:rPr>
          <w:rFonts w:ascii="Tajawal" w:hAnsi="Tajawal" w:cs="Tajawal"/>
          <w:sz w:val="28"/>
          <w:szCs w:val="28"/>
          <w:highlight w:val="yellow"/>
          <w:rtl/>
        </w:rPr>
        <w:t>للثقافة التنظيمية إطاراً داعماً إضافياً؛ إذ تُصنّف الثقافة في ثلاثة مستويات: القيم الظاهرة، والقيم المعتنقة، والافتراضات الأساسية، مما يُعمّق فهم آليات تأثير الثقافة التنظيمية في مسار التحول الرقمي</w:t>
      </w:r>
      <w:r w:rsidRPr="002D6CA0">
        <w:rPr>
          <w:rFonts w:ascii="Tajawal" w:hAnsi="Tajawal" w:cs="Tajawal"/>
          <w:sz w:val="28"/>
          <w:szCs w:val="28"/>
          <w:highlight w:val="yellow"/>
        </w:rPr>
        <w:t>.</w:t>
      </w:r>
    </w:p>
    <w:p w14:paraId="1AD43F02" w14:textId="0EACF3CF" w:rsidR="005478DE" w:rsidRPr="005478DE" w:rsidRDefault="005478DE" w:rsidP="00B836D9">
      <w:pPr>
        <w:tabs>
          <w:tab w:val="left" w:pos="1162"/>
        </w:tabs>
        <w:bidi/>
        <w:jc w:val="both"/>
        <w:rPr>
          <w:rFonts w:ascii="Tajawal" w:hAnsi="Tajawal" w:cs="Tajawal"/>
          <w:sz w:val="28"/>
          <w:szCs w:val="28"/>
          <w:rtl/>
        </w:rPr>
      </w:pPr>
      <w:r w:rsidRPr="002D6CA0">
        <w:rPr>
          <w:rFonts w:ascii="Tajawal" w:hAnsi="Tajawal" w:cs="Tajawal"/>
          <w:sz w:val="28"/>
          <w:szCs w:val="28"/>
          <w:highlight w:val="yellow"/>
          <w:rtl/>
        </w:rPr>
        <w:t>ويُعزز نموذج</w:t>
      </w:r>
      <w:r w:rsidRPr="002D6CA0">
        <w:rPr>
          <w:rFonts w:ascii="Tajawal" w:hAnsi="Tajawal" w:cs="Tajawal"/>
          <w:sz w:val="28"/>
          <w:szCs w:val="28"/>
          <w:highlight w:val="yellow"/>
        </w:rPr>
        <w:t xml:space="preserve"> Denison (1990) </w:t>
      </w:r>
      <w:r w:rsidRPr="002D6CA0">
        <w:rPr>
          <w:rFonts w:ascii="Tajawal" w:hAnsi="Tajawal" w:cs="Tajawal"/>
          <w:sz w:val="28"/>
          <w:szCs w:val="28"/>
          <w:highlight w:val="yellow"/>
          <w:rtl/>
        </w:rPr>
        <w:t>هذا الفهم من خلال ربط أبعاد الثقافة التنظيمية (الانخراط، الاتساق، القدرة على التكيف، الرسالة) بالأداء التنظيمي بصورة مباشرة، مما يمنح الدراسة إطاراً نظرياً ثلاثياً متكاملاً</w:t>
      </w:r>
      <w:r w:rsidRPr="002D6CA0">
        <w:rPr>
          <w:rFonts w:ascii="Tajawal" w:hAnsi="Tajawal" w:cs="Tajawal"/>
          <w:sz w:val="28"/>
          <w:szCs w:val="28"/>
          <w:highlight w:val="yellow"/>
        </w:rPr>
        <w:t xml:space="preserve"> (RBV + Schein + Denison).</w:t>
      </w:r>
    </w:p>
    <w:p w14:paraId="5F3637D9" w14:textId="02016A57" w:rsidR="005478DE" w:rsidRDefault="005478DE" w:rsidP="005478DE">
      <w:pPr>
        <w:tabs>
          <w:tab w:val="left" w:pos="1162"/>
        </w:tabs>
        <w:bidi/>
        <w:jc w:val="both"/>
        <w:rPr>
          <w:rFonts w:ascii="Tajawal" w:hAnsi="Tajawal" w:cs="Tajawal"/>
          <w:sz w:val="28"/>
          <w:szCs w:val="28"/>
          <w:rtl/>
        </w:rPr>
      </w:pPr>
      <w:r w:rsidRPr="005478DE">
        <w:rPr>
          <w:rFonts w:ascii="Tajawal" w:hAnsi="Tajawal" w:cs="Tajawal"/>
          <w:sz w:val="28"/>
          <w:szCs w:val="28"/>
          <w:rtl/>
        </w:rPr>
        <w:t>استناداً إلى نظرية الموارد والقدرات (</w:t>
      </w:r>
      <w:r w:rsidRPr="005478DE">
        <w:rPr>
          <w:rFonts w:ascii="Tajawal" w:hAnsi="Tajawal" w:cs="Tajawal"/>
          <w:sz w:val="28"/>
          <w:szCs w:val="28"/>
        </w:rPr>
        <w:t>Resource-Based View - RBV</w:t>
      </w:r>
      <w:r w:rsidRPr="005478DE">
        <w:rPr>
          <w:rFonts w:ascii="Tajawal" w:hAnsi="Tajawal" w:cs="Tajawal"/>
          <w:sz w:val="28"/>
          <w:szCs w:val="28"/>
          <w:rtl/>
        </w:rPr>
        <w:t xml:space="preserve">) التي صاغها </w:t>
      </w:r>
      <w:r w:rsidRPr="005478DE">
        <w:rPr>
          <w:rFonts w:ascii="Tajawal" w:hAnsi="Tajawal" w:cs="Tajawal"/>
          <w:sz w:val="28"/>
          <w:szCs w:val="28"/>
        </w:rPr>
        <w:t>Barney (1991</w:t>
      </w:r>
      <w:r w:rsidRPr="005478DE">
        <w:rPr>
          <w:rFonts w:ascii="Tajawal" w:hAnsi="Tajawal" w:cs="Tajawal"/>
          <w:sz w:val="28"/>
          <w:szCs w:val="28"/>
          <w:rtl/>
        </w:rPr>
        <w:t>)، تفترض الدراسة أن جاهزية التحول الرقمي تمثل مورداً استراتيجياً فريداً يُمكّن المنظمة من تحقيق ميزة تنافسية مستدامة. وتُمثّل الثقافة التنظيمية الآلية التنظيمية التي تحوّل هذه الموارد الرقمية إلى نتائج أداء ملموسة، وهو ما يجعلها متغيراً وسيطاً لا يمكن إغفاله.</w:t>
      </w:r>
    </w:p>
    <w:p w14:paraId="58EE7C44" w14:textId="77777777" w:rsidR="005478DE" w:rsidRDefault="005478DE" w:rsidP="005478DE">
      <w:pPr>
        <w:tabs>
          <w:tab w:val="left" w:pos="1162"/>
        </w:tabs>
        <w:bidi/>
        <w:jc w:val="both"/>
        <w:rPr>
          <w:rFonts w:ascii="Tajawal" w:hAnsi="Tajawal" w:cs="Tajawal"/>
          <w:sz w:val="28"/>
          <w:szCs w:val="28"/>
          <w:rtl/>
        </w:rPr>
      </w:pP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35"/>
        <w:gridCol w:w="4672"/>
        <w:gridCol w:w="2944"/>
      </w:tblGrid>
      <w:tr w:rsidR="005478DE" w:rsidRPr="005478DE" w14:paraId="12592D32" w14:textId="77777777" w:rsidTr="005478DE">
        <w:trPr>
          <w:trHeight w:val="347"/>
        </w:trPr>
        <w:tc>
          <w:tcPr>
            <w:tcW w:w="1835"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47F121A8" w14:textId="77777777" w:rsidR="005478DE" w:rsidRPr="002D6CA0" w:rsidRDefault="005478DE" w:rsidP="002D6CA0">
            <w:pPr>
              <w:tabs>
                <w:tab w:val="left" w:pos="1162"/>
              </w:tabs>
              <w:bidi/>
              <w:jc w:val="center"/>
              <w:rPr>
                <w:rFonts w:ascii="Tajawal" w:hAnsi="Tajawal" w:cs="Tajawal"/>
                <w:color w:val="FFFFFF" w:themeColor="background1"/>
                <w:sz w:val="28"/>
                <w:szCs w:val="28"/>
              </w:rPr>
            </w:pPr>
            <w:r w:rsidRPr="002D6CA0">
              <w:rPr>
                <w:rFonts w:ascii="Tajawal" w:hAnsi="Tajawal" w:cs="Tajawal"/>
                <w:b/>
                <w:bCs/>
                <w:color w:val="FFFFFF" w:themeColor="background1"/>
                <w:sz w:val="28"/>
                <w:szCs w:val="28"/>
              </w:rPr>
              <w:t>دور المتغير</w:t>
            </w:r>
          </w:p>
        </w:tc>
        <w:tc>
          <w:tcPr>
            <w:tcW w:w="4672"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08A4FACF" w14:textId="77777777" w:rsidR="005478DE" w:rsidRPr="002D6CA0" w:rsidRDefault="005478DE" w:rsidP="002D6CA0">
            <w:pPr>
              <w:tabs>
                <w:tab w:val="left" w:pos="1162"/>
              </w:tabs>
              <w:bidi/>
              <w:jc w:val="center"/>
              <w:rPr>
                <w:rFonts w:ascii="Tajawal" w:hAnsi="Tajawal" w:cs="Tajawal"/>
                <w:color w:val="FFFFFF" w:themeColor="background1"/>
                <w:sz w:val="28"/>
                <w:szCs w:val="28"/>
              </w:rPr>
            </w:pPr>
            <w:r w:rsidRPr="002D6CA0">
              <w:rPr>
                <w:rFonts w:ascii="Tajawal" w:hAnsi="Tajawal" w:cs="Tajawal"/>
                <w:b/>
                <w:bCs/>
                <w:color w:val="FFFFFF" w:themeColor="background1"/>
                <w:sz w:val="28"/>
                <w:szCs w:val="28"/>
              </w:rPr>
              <w:t>المتغير</w:t>
            </w:r>
          </w:p>
        </w:tc>
        <w:tc>
          <w:tcPr>
            <w:tcW w:w="2944"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C368355" w14:textId="77777777" w:rsidR="005478DE" w:rsidRPr="002D6CA0" w:rsidRDefault="005478DE" w:rsidP="002D6CA0">
            <w:pPr>
              <w:tabs>
                <w:tab w:val="left" w:pos="1162"/>
              </w:tabs>
              <w:bidi/>
              <w:jc w:val="center"/>
              <w:rPr>
                <w:rFonts w:ascii="Tajawal" w:hAnsi="Tajawal" w:cs="Tajawal"/>
                <w:color w:val="FFFFFF" w:themeColor="background1"/>
                <w:sz w:val="28"/>
                <w:szCs w:val="28"/>
              </w:rPr>
            </w:pPr>
            <w:r w:rsidRPr="002D6CA0">
              <w:rPr>
                <w:rFonts w:ascii="Tajawal" w:hAnsi="Tajawal" w:cs="Tajawal"/>
                <w:b/>
                <w:bCs/>
                <w:color w:val="FFFFFF" w:themeColor="background1"/>
                <w:sz w:val="28"/>
                <w:szCs w:val="28"/>
              </w:rPr>
              <w:t>الأبعاد</w:t>
            </w:r>
          </w:p>
        </w:tc>
      </w:tr>
      <w:tr w:rsidR="005478DE" w:rsidRPr="005478DE" w14:paraId="2121DD57" w14:textId="77777777" w:rsidTr="005478DE">
        <w:trPr>
          <w:trHeight w:val="680"/>
        </w:trPr>
        <w:tc>
          <w:tcPr>
            <w:tcW w:w="1835"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02279E6D"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المتغير المستقل</w:t>
            </w:r>
          </w:p>
        </w:tc>
        <w:tc>
          <w:tcPr>
            <w:tcW w:w="4672"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44F5651C"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جاهزية التحول الرقمي</w:t>
            </w:r>
          </w:p>
        </w:tc>
        <w:tc>
          <w:tcPr>
            <w:tcW w:w="2944"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1534AEC8"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الاستراتيجية • التقنية • البشرية • التنظيمية</w:t>
            </w:r>
          </w:p>
        </w:tc>
      </w:tr>
      <w:tr w:rsidR="005478DE" w:rsidRPr="005478DE" w14:paraId="2C03C2D7" w14:textId="77777777" w:rsidTr="005478DE">
        <w:trPr>
          <w:trHeight w:val="1027"/>
        </w:trPr>
        <w:tc>
          <w:tcPr>
            <w:tcW w:w="1835"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2B350C4D"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المتغير الوسيط</w:t>
            </w:r>
          </w:p>
        </w:tc>
        <w:tc>
          <w:tcPr>
            <w:tcW w:w="4672"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2D25BA91"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الثقافة التنظيمية</w:t>
            </w:r>
          </w:p>
        </w:tc>
        <w:tc>
          <w:tcPr>
            <w:tcW w:w="2944"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1B73294A"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الابتكار • تقبّل التغيير • التعلم التنظيمي • مشاركة المعرفة</w:t>
            </w:r>
          </w:p>
        </w:tc>
      </w:tr>
      <w:tr w:rsidR="005478DE" w:rsidRPr="005478DE" w14:paraId="7FBF38BE" w14:textId="77777777" w:rsidTr="005478DE">
        <w:trPr>
          <w:trHeight w:val="1027"/>
        </w:trPr>
        <w:tc>
          <w:tcPr>
            <w:tcW w:w="1835"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7568C79"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المتغير التابع</w:t>
            </w:r>
          </w:p>
        </w:tc>
        <w:tc>
          <w:tcPr>
            <w:tcW w:w="4672"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E57B3AE"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الأداء التنظيمي</w:t>
            </w:r>
          </w:p>
        </w:tc>
        <w:tc>
          <w:tcPr>
            <w:tcW w:w="2944"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4594FD1E"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الكفاءة التشغيلية • الجودة • رضا العملاء • النمو • الميزة التنافسية</w:t>
            </w:r>
          </w:p>
        </w:tc>
      </w:tr>
      <w:tr w:rsidR="005478DE" w:rsidRPr="005478DE" w14:paraId="3F4693F6" w14:textId="77777777" w:rsidTr="005478DE">
        <w:trPr>
          <w:gridAfter w:val="1"/>
          <w:wAfter w:w="2944" w:type="dxa"/>
          <w:trHeight w:val="680"/>
        </w:trPr>
        <w:tc>
          <w:tcPr>
            <w:tcW w:w="1835" w:type="dxa"/>
            <w:tcBorders>
              <w:top w:val="single" w:sz="1" w:space="0" w:color="CCCCCC"/>
              <w:left w:val="single" w:sz="1" w:space="0" w:color="CCCCCC"/>
              <w:bottom w:val="single" w:sz="1" w:space="0" w:color="CCCCCC"/>
              <w:right w:val="single" w:sz="1" w:space="0" w:color="CCCCCC"/>
            </w:tcBorders>
            <w:shd w:val="clear" w:color="auto" w:fill="FFF8E1"/>
            <w:tcMar>
              <w:top w:w="100" w:type="dxa"/>
              <w:left w:w="120" w:type="dxa"/>
              <w:bottom w:w="100" w:type="dxa"/>
              <w:right w:w="120" w:type="dxa"/>
            </w:tcMar>
          </w:tcPr>
          <w:p w14:paraId="65F0D0D9"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الإطار النظري</w:t>
            </w:r>
          </w:p>
        </w:tc>
        <w:tc>
          <w:tcPr>
            <w:tcW w:w="4672" w:type="dxa"/>
            <w:tcBorders>
              <w:top w:val="single" w:sz="1" w:space="0" w:color="CCCCCC"/>
              <w:left w:val="single" w:sz="1" w:space="0" w:color="CCCCCC"/>
              <w:bottom w:val="single" w:sz="1" w:space="0" w:color="CCCCCC"/>
              <w:right w:val="single" w:sz="1" w:space="0" w:color="CCCCCC"/>
            </w:tcBorders>
            <w:shd w:val="clear" w:color="auto" w:fill="FFF8E1"/>
            <w:tcMar>
              <w:top w:w="100" w:type="dxa"/>
              <w:left w:w="120" w:type="dxa"/>
              <w:bottom w:w="100" w:type="dxa"/>
              <w:right w:w="120" w:type="dxa"/>
            </w:tcMar>
          </w:tcPr>
          <w:p w14:paraId="62891063"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نظرية الموارد والقدرات — Resource-Based View (RBV) — Barney (1991)</w:t>
            </w:r>
          </w:p>
        </w:tc>
      </w:tr>
    </w:tbl>
    <w:p w14:paraId="551E7D41" w14:textId="77777777" w:rsidR="005478DE" w:rsidRDefault="005478DE" w:rsidP="005478DE">
      <w:pPr>
        <w:tabs>
          <w:tab w:val="left" w:pos="1162"/>
        </w:tabs>
        <w:bidi/>
        <w:jc w:val="both"/>
        <w:rPr>
          <w:rFonts w:ascii="Tajawal" w:hAnsi="Tajawal" w:cs="Tajawal"/>
          <w:sz w:val="28"/>
          <w:szCs w:val="28"/>
          <w:rtl/>
        </w:rPr>
      </w:pPr>
    </w:p>
    <w:p w14:paraId="59F932E9" w14:textId="77777777" w:rsidR="005478DE" w:rsidRPr="00B836D9" w:rsidRDefault="005478DE" w:rsidP="005478DE">
      <w:pPr>
        <w:tabs>
          <w:tab w:val="left" w:pos="1162"/>
        </w:tabs>
        <w:bidi/>
        <w:jc w:val="both"/>
        <w:rPr>
          <w:rFonts w:ascii="Tajawal" w:hAnsi="Tajawal" w:cs="Tajawal"/>
          <w:b/>
          <w:bCs/>
          <w:color w:val="156082" w:themeColor="accent1"/>
          <w:sz w:val="28"/>
          <w:szCs w:val="28"/>
          <w:u w:val="single"/>
          <w:rtl/>
        </w:rPr>
      </w:pPr>
      <w:r w:rsidRPr="00B836D9">
        <w:rPr>
          <w:rFonts w:ascii="Tajawal" w:hAnsi="Tajawal" w:cs="Tajawal"/>
          <w:b/>
          <w:bCs/>
          <w:color w:val="156082" w:themeColor="accent1"/>
          <w:sz w:val="28"/>
          <w:szCs w:val="28"/>
          <w:u w:val="single"/>
          <w:rtl/>
        </w:rPr>
        <w:t>ثامناً: الدراسات السابقة والفجوة البحثية</w:t>
      </w:r>
    </w:p>
    <w:p w14:paraId="753CFB4F" w14:textId="77777777" w:rsidR="00A101D3" w:rsidRPr="005478DE" w:rsidRDefault="00A101D3" w:rsidP="00A101D3">
      <w:pPr>
        <w:tabs>
          <w:tab w:val="left" w:pos="1162"/>
        </w:tabs>
        <w:bidi/>
        <w:jc w:val="both"/>
        <w:rPr>
          <w:rFonts w:ascii="Tajawal" w:hAnsi="Tajawal" w:cs="Tajawal"/>
          <w:b/>
          <w:bCs/>
          <w:sz w:val="28"/>
          <w:szCs w:val="28"/>
          <w:u w:val="single"/>
          <w:rtl/>
        </w:rPr>
      </w:pPr>
    </w:p>
    <w:p w14:paraId="4822F707" w14:textId="77777777" w:rsidR="005478DE" w:rsidRPr="00B836D9" w:rsidRDefault="005478DE" w:rsidP="005478DE">
      <w:pPr>
        <w:tabs>
          <w:tab w:val="left" w:pos="1162"/>
        </w:tabs>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أولاً: الدراسات السابقة</w:t>
      </w:r>
    </w:p>
    <w:p w14:paraId="6671F9C2" w14:textId="6091D243" w:rsidR="005478DE" w:rsidRPr="00A101D3" w:rsidRDefault="005478DE" w:rsidP="00A101D3">
      <w:pPr>
        <w:pStyle w:val="ListParagraph"/>
        <w:numPr>
          <w:ilvl w:val="0"/>
          <w:numId w:val="5"/>
        </w:numPr>
        <w:tabs>
          <w:tab w:val="left" w:pos="1162"/>
        </w:tabs>
        <w:bidi/>
        <w:jc w:val="both"/>
        <w:rPr>
          <w:rFonts w:ascii="Tajawal" w:hAnsi="Tajawal" w:cs="Tajawal"/>
          <w:sz w:val="28"/>
          <w:szCs w:val="28"/>
          <w:rtl/>
        </w:rPr>
      </w:pPr>
      <w:r w:rsidRPr="00A101D3">
        <w:rPr>
          <w:rFonts w:ascii="Tajawal" w:hAnsi="Tajawal" w:cs="Tajawal"/>
          <w:sz w:val="28"/>
          <w:szCs w:val="28"/>
          <w:rtl/>
        </w:rPr>
        <w:t>دراسات متعلقة بجاهزية التحول الرقمي والشركات العائلية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A101D3" w:rsidRPr="00A101D3" w14:paraId="25D0C3A5"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74EF5A8B"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b/>
                <w:bCs/>
                <w:sz w:val="28"/>
                <w:szCs w:val="28"/>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1D717CE3"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b/>
                <w:bCs/>
                <w:sz w:val="28"/>
                <w:szCs w:val="28"/>
              </w:rPr>
              <w:t>الهدف وأبرز النتائج</w:t>
            </w:r>
          </w:p>
        </w:tc>
      </w:tr>
      <w:tr w:rsidR="00A101D3" w:rsidRPr="00A101D3" w14:paraId="6CBB4B91"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54EE46BD"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b/>
                <w:bCs/>
              </w:rPr>
              <w:t>Porfírio, Santos &amp; Rodrigues (2024)</w:t>
            </w:r>
          </w:p>
          <w:p w14:paraId="541CAA88"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i/>
                <w:iCs/>
              </w:rPr>
              <w:t xml:space="preserve">Sustainability,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6AC7167E" w14:textId="77777777" w:rsidR="00A101D3" w:rsidRPr="00A101D3" w:rsidRDefault="00A101D3" w:rsidP="00A101D3">
            <w:pPr>
              <w:pStyle w:val="ListParagraph"/>
              <w:tabs>
                <w:tab w:val="left" w:pos="1162"/>
              </w:tabs>
              <w:bidi/>
              <w:rPr>
                <w:rFonts w:ascii="Tajawal" w:hAnsi="Tajawal" w:cs="Tajawal"/>
              </w:rPr>
            </w:pPr>
            <w:r w:rsidRPr="00A101D3">
              <w:rPr>
                <w:rFonts w:ascii="Tajawal" w:hAnsi="Tajawal" w:cs="Tajawal"/>
                <w:b/>
                <w:bCs/>
              </w:rPr>
              <w:t>الهدف: تحليل العوامل المؤثرة في نجاح التحول الرقمي في الشركات العائلية باستخدام منهجية fsQCA.</w:t>
            </w:r>
          </w:p>
          <w:p w14:paraId="72B6DFF9" w14:textId="77777777" w:rsidR="00A101D3" w:rsidRPr="00A101D3" w:rsidRDefault="00A101D3" w:rsidP="00A101D3">
            <w:pPr>
              <w:pStyle w:val="ListParagraph"/>
              <w:tabs>
                <w:tab w:val="left" w:pos="1162"/>
              </w:tabs>
              <w:bidi/>
              <w:rPr>
                <w:rFonts w:ascii="Tajawal" w:hAnsi="Tajawal" w:cs="Tajawal"/>
                <w:sz w:val="28"/>
                <w:szCs w:val="28"/>
              </w:rPr>
            </w:pPr>
            <w:r w:rsidRPr="00A101D3">
              <w:rPr>
                <w:rFonts w:ascii="Tajawal" w:hAnsi="Tajawal" w:cs="Tajawal"/>
              </w:rPr>
              <w:t>النتائج: نجاح التحول الرقمي في الشركات العائلية يعتمد على تكامل عوامل القيادة والقدرات التنظيمية والموارد التقنية والقدرة على التكيّف مع التغيير، وليس على عامل واحد منفرد</w:t>
            </w:r>
          </w:p>
        </w:tc>
      </w:tr>
      <w:tr w:rsidR="00A101D3" w:rsidRPr="00A101D3" w14:paraId="5CDF7223"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4EDA1B"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b/>
                <w:bCs/>
              </w:rPr>
              <w:t>Ahmad, AlWadi et al. (2025)</w:t>
            </w:r>
          </w:p>
          <w:p w14:paraId="34123552"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i/>
                <w:iCs/>
              </w:rPr>
              <w:t xml:space="preserve">Kybernetes, </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9459C4" w14:textId="77777777" w:rsidR="00A101D3" w:rsidRPr="00A101D3" w:rsidRDefault="00A101D3" w:rsidP="00A101D3">
            <w:pPr>
              <w:pStyle w:val="ListParagraph"/>
              <w:tabs>
                <w:tab w:val="left" w:pos="1162"/>
              </w:tabs>
              <w:bidi/>
              <w:rPr>
                <w:rFonts w:ascii="Tajawal" w:hAnsi="Tajawal" w:cs="Tajawal"/>
              </w:rPr>
            </w:pPr>
            <w:r w:rsidRPr="00A101D3">
              <w:rPr>
                <w:rFonts w:ascii="Tajawal" w:hAnsi="Tajawal" w:cs="Tajawal"/>
                <w:b/>
                <w:bCs/>
              </w:rPr>
              <w:t>الهدف: دراسة أثر الكفاءة الريادية الرقمية واستخدام الذكاء الاصطناعي والرشاقة الاستراتيجية على التحول الرقمي في الشركات العائلية الصغيرة.</w:t>
            </w:r>
          </w:p>
          <w:p w14:paraId="0B4478EA" w14:textId="77777777" w:rsidR="00A101D3" w:rsidRPr="00A101D3" w:rsidRDefault="00A101D3" w:rsidP="00A101D3">
            <w:pPr>
              <w:pStyle w:val="ListParagraph"/>
              <w:tabs>
                <w:tab w:val="left" w:pos="1162"/>
              </w:tabs>
              <w:bidi/>
              <w:rPr>
                <w:rFonts w:ascii="Tajawal" w:hAnsi="Tajawal" w:cs="Tajawal"/>
                <w:sz w:val="28"/>
                <w:szCs w:val="28"/>
              </w:rPr>
            </w:pPr>
            <w:r w:rsidRPr="00A101D3">
              <w:rPr>
                <w:rFonts w:ascii="Tajawal" w:hAnsi="Tajawal" w:cs="Tajawal"/>
              </w:rPr>
              <w:t>النتائج: الرشاقة الاستراتيجية واستخدام الذكاء الاصطناعي يُعززان التحول الرقمي ويحسّنان قدرة الشركات العائلية على الاستجابة للمتغيرات السوقية</w:t>
            </w:r>
            <w:r w:rsidRPr="00A101D3">
              <w:rPr>
                <w:rFonts w:ascii="Tajawal" w:hAnsi="Tajawal" w:cs="Tajawal"/>
                <w:sz w:val="28"/>
                <w:szCs w:val="28"/>
              </w:rPr>
              <w:t>.</w:t>
            </w:r>
          </w:p>
        </w:tc>
      </w:tr>
    </w:tbl>
    <w:p w14:paraId="7B9FAD5B" w14:textId="77777777" w:rsidR="00A101D3" w:rsidRDefault="00A101D3" w:rsidP="00A101D3">
      <w:pPr>
        <w:pStyle w:val="ListParagraph"/>
        <w:tabs>
          <w:tab w:val="left" w:pos="1162"/>
        </w:tabs>
        <w:bidi/>
        <w:jc w:val="both"/>
        <w:rPr>
          <w:rFonts w:ascii="Tajawal" w:hAnsi="Tajawal" w:cs="Tajawal"/>
          <w:sz w:val="28"/>
          <w:szCs w:val="28"/>
          <w:rtl/>
        </w:rPr>
      </w:pPr>
    </w:p>
    <w:p w14:paraId="6B64A6A9" w14:textId="03EA6E69" w:rsidR="00A101D3" w:rsidRPr="00B836D9" w:rsidRDefault="00A101D3" w:rsidP="00A101D3">
      <w:pPr>
        <w:jc w:val="right"/>
        <w:rPr>
          <w:rFonts w:ascii="Tajawal" w:hAnsi="Tajawal" w:cs="Tajawal"/>
          <w:color w:val="156082" w:themeColor="accent1"/>
          <w:sz w:val="28"/>
          <w:szCs w:val="28"/>
          <w:rtl/>
        </w:rPr>
      </w:pPr>
      <w:r w:rsidRPr="00B836D9">
        <w:rPr>
          <w:rFonts w:ascii="Tajawal" w:hAnsi="Tajawal" w:cs="Tajawal"/>
          <w:color w:val="156082" w:themeColor="accent1"/>
          <w:sz w:val="28"/>
          <w:szCs w:val="28"/>
          <w:rtl/>
        </w:rPr>
        <w:t>ب. دراسات متعلقة بالثقافة التنظيمية والتحول الرقمي</w:t>
      </w:r>
    </w:p>
    <w:p w14:paraId="02001046" w14:textId="77777777" w:rsidR="00A101D3" w:rsidRDefault="00A101D3" w:rsidP="00A101D3">
      <w:pPr>
        <w:jc w:val="right"/>
        <w:rPr>
          <w:rFonts w:ascii="Tajawal" w:hAnsi="Tajawal" w:cs="Tajawal"/>
          <w:sz w:val="28"/>
          <w:szCs w:val="28"/>
          <w:rt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4"/>
        <w:gridCol w:w="6272"/>
      </w:tblGrid>
      <w:tr w:rsidR="00A101D3" w:rsidRPr="00A101D3" w14:paraId="736DBA02"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4C744938"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sz w:val="28"/>
                <w:szCs w:val="28"/>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2429D218"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sz w:val="28"/>
                <w:szCs w:val="28"/>
              </w:rPr>
              <w:t>الهدف وأبرز النتائج</w:t>
            </w:r>
          </w:p>
        </w:tc>
      </w:tr>
      <w:tr w:rsidR="00A101D3" w:rsidRPr="00A101D3" w14:paraId="2B09A693"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5385D004" w14:textId="77777777" w:rsidR="00A101D3" w:rsidRPr="00A101D3" w:rsidRDefault="00A101D3" w:rsidP="00A101D3">
            <w:pPr>
              <w:pStyle w:val="ListParagraph"/>
              <w:tabs>
                <w:tab w:val="left" w:pos="1162"/>
              </w:tabs>
              <w:jc w:val="both"/>
              <w:rPr>
                <w:rFonts w:ascii="Tajawal" w:hAnsi="Tajawal" w:cs="Tajawal"/>
                <w:b/>
                <w:bCs/>
              </w:rPr>
            </w:pPr>
            <w:r w:rsidRPr="00A101D3">
              <w:rPr>
                <w:rFonts w:ascii="Tajawal" w:hAnsi="Tajawal" w:cs="Tajawal"/>
                <w:b/>
                <w:bCs/>
              </w:rPr>
              <w:t>Jewapatarakul &amp; Ueasangkomsate (2024)</w:t>
            </w:r>
          </w:p>
          <w:p w14:paraId="4F8A1BDE" w14:textId="77777777" w:rsidR="00A101D3" w:rsidRPr="00A101D3" w:rsidRDefault="00A101D3" w:rsidP="00A101D3">
            <w:pPr>
              <w:rPr>
                <w:rFonts w:ascii="Tajawal" w:hAnsi="Tajawal" w:cs="Tajawal"/>
                <w:b/>
                <w:bCs/>
                <w:sz w:val="28"/>
                <w:szCs w:val="28"/>
              </w:rPr>
            </w:pPr>
            <w:r w:rsidRPr="00A101D3">
              <w:rPr>
                <w:rFonts w:ascii="Tajawal" w:hAnsi="Tajawal" w:cs="Tajawal"/>
                <w:b/>
                <w:bCs/>
              </w:rPr>
              <w:t>SAGE Open</w:t>
            </w:r>
            <w:r w:rsidRPr="00A101D3">
              <w:rPr>
                <w:rFonts w:ascii="Tajawal" w:hAnsi="Tajawal" w:cs="Tajawal"/>
                <w:b/>
                <w:bCs/>
                <w:sz w:val="28"/>
                <w:szCs w:val="28"/>
              </w:rPr>
              <w:t xml:space="preserve">,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005BFB81" w14:textId="77777777" w:rsidR="00A101D3" w:rsidRPr="00A101D3" w:rsidRDefault="00A101D3" w:rsidP="00A101D3">
            <w:pPr>
              <w:pStyle w:val="ListParagraph"/>
              <w:tabs>
                <w:tab w:val="left" w:pos="1162"/>
              </w:tabs>
              <w:jc w:val="right"/>
              <w:rPr>
                <w:rFonts w:ascii="Tajawal" w:hAnsi="Tajawal" w:cs="Tajawal"/>
                <w:b/>
                <w:bCs/>
              </w:rPr>
            </w:pPr>
            <w:r w:rsidRPr="00A101D3">
              <w:rPr>
                <w:rFonts w:ascii="Tajawal" w:hAnsi="Tajawal" w:cs="Tajawal"/>
                <w:b/>
                <w:bCs/>
              </w:rPr>
              <w:t>الهدف: دراسة أثر الثقافة التنظيمية الرقمية والجاهزية التنظيمية واكتساب المعرفة على التحول الرقمي في المنشآت الصغيرة والمتوسطة.</w:t>
            </w:r>
          </w:p>
          <w:p w14:paraId="63CC2DE5" w14:textId="77777777" w:rsidR="00A101D3" w:rsidRPr="00A101D3" w:rsidRDefault="00A101D3" w:rsidP="00A101D3">
            <w:pPr>
              <w:pStyle w:val="ListParagraph"/>
              <w:tabs>
                <w:tab w:val="left" w:pos="1162"/>
              </w:tabs>
              <w:jc w:val="right"/>
              <w:rPr>
                <w:rFonts w:ascii="Tajawal" w:hAnsi="Tajawal" w:cs="Tajawal"/>
                <w:b/>
                <w:bCs/>
              </w:rPr>
            </w:pPr>
            <w:r w:rsidRPr="00A101D3">
              <w:rPr>
                <w:rFonts w:ascii="Tajawal" w:hAnsi="Tajawal" w:cs="Tajawal"/>
                <w:b/>
                <w:bCs/>
              </w:rPr>
              <w:t>النتائج: الثقافة التنظيمية الرقمية والجاهزية التنظيمية تتوسطان بشكل كامل العلاقة بين اكتساب المعرفة والتحول الرقمي، مما يؤكد محوريتها في تحقيق التحول الرقمي الناجح.</w:t>
            </w:r>
          </w:p>
        </w:tc>
      </w:tr>
      <w:tr w:rsidR="00A101D3" w:rsidRPr="00A101D3" w14:paraId="50591320"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482B59" w14:textId="77777777" w:rsidR="00A101D3" w:rsidRPr="00A101D3" w:rsidRDefault="00A101D3" w:rsidP="00A101D3">
            <w:pPr>
              <w:bidi/>
            </w:pPr>
            <w:r w:rsidRPr="00A101D3">
              <w:rPr>
                <w:b/>
                <w:bCs/>
              </w:rPr>
              <w:t>Amankona, Yi et al. (2025)</w:t>
            </w:r>
          </w:p>
          <w:p w14:paraId="67B3B5EB" w14:textId="77777777" w:rsidR="00A101D3" w:rsidRPr="00A101D3" w:rsidRDefault="00A101D3" w:rsidP="00A101D3">
            <w:pPr>
              <w:bidi/>
            </w:pPr>
            <w:r w:rsidRPr="00A101D3">
              <w:rPr>
                <w:i/>
                <w:iCs/>
              </w:rPr>
              <w:t xml:space="preserve">SAGE Open, </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56E83C" w14:textId="77777777" w:rsidR="00A101D3" w:rsidRPr="00A101D3" w:rsidRDefault="00A101D3" w:rsidP="00A101D3">
            <w:pPr>
              <w:pStyle w:val="ListParagraph"/>
              <w:tabs>
                <w:tab w:val="left" w:pos="1162"/>
              </w:tabs>
              <w:bidi/>
              <w:rPr>
                <w:rFonts w:ascii="Tajawal" w:hAnsi="Tajawal" w:cs="Tajawal"/>
                <w:b/>
                <w:bCs/>
              </w:rPr>
            </w:pPr>
            <w:r w:rsidRPr="00A101D3">
              <w:rPr>
                <w:rFonts w:ascii="Tajawal" w:hAnsi="Tajawal" w:cs="Tajawal"/>
                <w:b/>
                <w:bCs/>
              </w:rPr>
              <w:t>الهدف: فحص دور الثقافة التنظيمية الرقمية والاستراتيجية الرقمية وسيطاً بين الابتكار الرقمي المسؤول وأداء الابتكار في شركات التقنية العالية.</w:t>
            </w:r>
          </w:p>
          <w:p w14:paraId="45184D44" w14:textId="77777777" w:rsidR="00A101D3" w:rsidRPr="00A101D3" w:rsidRDefault="00A101D3" w:rsidP="00A101D3">
            <w:pPr>
              <w:pStyle w:val="ListParagraph"/>
              <w:tabs>
                <w:tab w:val="left" w:pos="1162"/>
              </w:tabs>
              <w:bidi/>
              <w:rPr>
                <w:rFonts w:ascii="Tajawal" w:hAnsi="Tajawal" w:cs="Tajawal"/>
                <w:b/>
                <w:bCs/>
              </w:rPr>
            </w:pPr>
            <w:r w:rsidRPr="00A101D3">
              <w:rPr>
                <w:rFonts w:ascii="Tajawal" w:hAnsi="Tajawal" w:cs="Tajawal"/>
                <w:b/>
                <w:bCs/>
              </w:rPr>
              <w:t>النتائج: الثقافة التنظيمية الرقمية تتوسط العلاقة بين الابتكار الرقمي وأداء الابتكار؛ فالبيئة التنظيمية الداعمة للتجريب والتعاون تُترجم الجهود الرقمية إلى نتائج ملموسة.</w:t>
            </w:r>
          </w:p>
        </w:tc>
      </w:tr>
    </w:tbl>
    <w:p w14:paraId="1FC8C0DB" w14:textId="77777777" w:rsidR="00A101D3" w:rsidRDefault="00A101D3" w:rsidP="00A101D3">
      <w:pPr>
        <w:bidi/>
        <w:rPr>
          <w:rtl/>
        </w:rPr>
      </w:pPr>
    </w:p>
    <w:p w14:paraId="77099283" w14:textId="77777777" w:rsidR="00A101D3" w:rsidRDefault="00A101D3" w:rsidP="00A101D3">
      <w:pPr>
        <w:bidi/>
        <w:rPr>
          <w:rtl/>
        </w:rPr>
      </w:pPr>
    </w:p>
    <w:p w14:paraId="3FBE4496" w14:textId="77777777" w:rsidR="00A101D3" w:rsidRDefault="00A101D3" w:rsidP="00A101D3">
      <w:pPr>
        <w:bidi/>
        <w:rPr>
          <w:rtl/>
        </w:rPr>
      </w:pPr>
    </w:p>
    <w:p w14:paraId="4BDB2542" w14:textId="44A3B0BA" w:rsidR="00A101D3" w:rsidRPr="00B836D9" w:rsidRDefault="00A101D3" w:rsidP="00A101D3">
      <w:pPr>
        <w:jc w:val="right"/>
        <w:rPr>
          <w:rFonts w:ascii="Tajawal" w:hAnsi="Tajawal" w:cs="Tajawal"/>
          <w:color w:val="156082" w:themeColor="accent1"/>
          <w:sz w:val="28"/>
          <w:szCs w:val="28"/>
          <w:rtl/>
        </w:rPr>
      </w:pPr>
      <w:r w:rsidRPr="00B836D9">
        <w:rPr>
          <w:rFonts w:ascii="Tajawal" w:hAnsi="Tajawal" w:cs="Tajawal"/>
          <w:color w:val="156082" w:themeColor="accent1"/>
          <w:sz w:val="28"/>
          <w:szCs w:val="28"/>
          <w:rtl/>
        </w:rPr>
        <w:t>ج. دراسات متعلقة بالجاهزية الرقمية والأداء التنظيمي</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A101D3" w:rsidRPr="00A101D3" w14:paraId="3700DE09"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60352115" w14:textId="77777777" w:rsidR="00A101D3" w:rsidRPr="00A101D3" w:rsidRDefault="00A101D3" w:rsidP="00A101D3">
            <w:pPr>
              <w:jc w:val="right"/>
              <w:rPr>
                <w:rFonts w:ascii="Tajawal" w:hAnsi="Tajawal" w:cs="Tajawal"/>
                <w:sz w:val="28"/>
                <w:szCs w:val="28"/>
              </w:rPr>
            </w:pPr>
            <w:r w:rsidRPr="00A101D3">
              <w:rPr>
                <w:rFonts w:ascii="Tajawal" w:hAnsi="Tajawal" w:cs="Tajawal"/>
                <w:b/>
                <w:bCs/>
                <w:sz w:val="28"/>
                <w:szCs w:val="28"/>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71431EC8" w14:textId="77777777" w:rsidR="00A101D3" w:rsidRPr="00A101D3" w:rsidRDefault="00A101D3" w:rsidP="00A101D3">
            <w:pPr>
              <w:jc w:val="right"/>
              <w:rPr>
                <w:rFonts w:ascii="Tajawal" w:hAnsi="Tajawal" w:cs="Tajawal"/>
                <w:sz w:val="28"/>
                <w:szCs w:val="28"/>
              </w:rPr>
            </w:pPr>
            <w:r w:rsidRPr="00A101D3">
              <w:rPr>
                <w:rFonts w:ascii="Tajawal" w:hAnsi="Tajawal" w:cs="Tajawal"/>
                <w:b/>
                <w:bCs/>
                <w:sz w:val="28"/>
                <w:szCs w:val="28"/>
              </w:rPr>
              <w:t>الهدف وأبرز النتائج</w:t>
            </w:r>
          </w:p>
        </w:tc>
      </w:tr>
      <w:tr w:rsidR="00A101D3" w:rsidRPr="00A101D3" w14:paraId="25F9D6A7"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3752D104" w14:textId="77777777" w:rsidR="00A101D3" w:rsidRPr="00A101D3" w:rsidRDefault="00A101D3" w:rsidP="00A101D3">
            <w:pPr>
              <w:rPr>
                <w:rFonts w:ascii="Tajawal" w:hAnsi="Tajawal" w:cs="Tajawal"/>
              </w:rPr>
            </w:pPr>
            <w:r w:rsidRPr="00A101D3">
              <w:rPr>
                <w:rFonts w:ascii="Tajawal" w:hAnsi="Tajawal" w:cs="Tajawal"/>
                <w:b/>
                <w:bCs/>
              </w:rPr>
              <w:t>Lokuge &amp; Duan (2023)</w:t>
            </w:r>
          </w:p>
          <w:p w14:paraId="7F2966CF" w14:textId="77777777" w:rsidR="00A101D3" w:rsidRPr="00A101D3" w:rsidRDefault="00A101D3" w:rsidP="00A101D3">
            <w:pPr>
              <w:rPr>
                <w:rFonts w:ascii="Tajawal" w:hAnsi="Tajawal" w:cs="Tajawal"/>
              </w:rPr>
            </w:pP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725A03AA" w14:textId="77777777" w:rsidR="00A101D3" w:rsidRPr="00A101D3" w:rsidRDefault="00A101D3" w:rsidP="00A101D3">
            <w:pPr>
              <w:bidi/>
              <w:rPr>
                <w:rFonts w:ascii="Tajawal" w:hAnsi="Tajawal" w:cs="Tajawal"/>
              </w:rPr>
            </w:pPr>
            <w:r w:rsidRPr="00A101D3">
              <w:rPr>
                <w:rFonts w:ascii="Tajawal" w:hAnsi="Tajawal" w:cs="Tajawal"/>
                <w:b/>
                <w:bCs/>
              </w:rPr>
              <w:t>الهدف: تحديد العوامل الداخلية والخارجية التي تُسهم في نجاح التحول الرقمي في المنشآت الصغيرة والمتوسطة.</w:t>
            </w:r>
          </w:p>
          <w:p w14:paraId="024B8354" w14:textId="77777777" w:rsidR="00A101D3" w:rsidRPr="00A101D3" w:rsidRDefault="00A101D3" w:rsidP="00A101D3">
            <w:pPr>
              <w:bidi/>
              <w:rPr>
                <w:rFonts w:ascii="Tajawal" w:hAnsi="Tajawal" w:cs="Tajawal"/>
              </w:rPr>
            </w:pPr>
            <w:r w:rsidRPr="00A101D3">
              <w:rPr>
                <w:rFonts w:ascii="Tajawal" w:hAnsi="Tajawal" w:cs="Tajawal"/>
              </w:rPr>
              <w:t>النتائج: القيادة الرقمية والثقافة التنظيمية والجاهزية التقنية تُعدّ أهم محددات نجاح التحول الرقمي، مع أهمية التكامل بين هذه العوامل.</w:t>
            </w:r>
          </w:p>
        </w:tc>
      </w:tr>
      <w:tr w:rsidR="00A101D3" w:rsidRPr="00A101D3" w14:paraId="5EF3E550"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AC93CB" w14:textId="77777777" w:rsidR="00A101D3" w:rsidRPr="00A101D3" w:rsidRDefault="00A101D3" w:rsidP="00A101D3">
            <w:pPr>
              <w:rPr>
                <w:rFonts w:ascii="Tajawal" w:hAnsi="Tajawal" w:cs="Tajawal"/>
              </w:rPr>
            </w:pPr>
            <w:r w:rsidRPr="00A101D3">
              <w:rPr>
                <w:rFonts w:ascii="Tajawal" w:hAnsi="Tajawal" w:cs="Tajawal"/>
                <w:b/>
                <w:bCs/>
              </w:rPr>
              <w:t>Gonzalez-Varona et al. (2024)</w:t>
            </w:r>
          </w:p>
          <w:p w14:paraId="03AEBC66" w14:textId="77777777" w:rsidR="00A101D3" w:rsidRPr="00A101D3" w:rsidRDefault="00A101D3" w:rsidP="00A101D3">
            <w:pPr>
              <w:rPr>
                <w:rFonts w:ascii="Tajawal" w:hAnsi="Tajawal" w:cs="Tajawal"/>
              </w:rPr>
            </w:pP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7E4CE0" w14:textId="77777777" w:rsidR="00A101D3" w:rsidRPr="00A101D3" w:rsidRDefault="00A101D3" w:rsidP="00A101D3">
            <w:pPr>
              <w:bidi/>
              <w:rPr>
                <w:rFonts w:ascii="Tajawal" w:hAnsi="Tajawal" w:cs="Tajawal"/>
              </w:rPr>
            </w:pPr>
            <w:r w:rsidRPr="00A101D3">
              <w:rPr>
                <w:rFonts w:ascii="Tajawal" w:hAnsi="Tajawal" w:cs="Tajawal"/>
                <w:b/>
                <w:bCs/>
              </w:rPr>
              <w:t>الهدف: تطوير نموذج تنظيمي لبناء القدرات اللازمة للتحول الرقمي في المنشآت الصغيرة والمتوسطة.</w:t>
            </w:r>
          </w:p>
          <w:p w14:paraId="45581394" w14:textId="77777777" w:rsidR="00A101D3" w:rsidRPr="00A101D3" w:rsidRDefault="00A101D3" w:rsidP="00A101D3">
            <w:pPr>
              <w:bidi/>
              <w:rPr>
                <w:rFonts w:ascii="Tajawal" w:hAnsi="Tajawal" w:cs="Tajawal"/>
              </w:rPr>
            </w:pPr>
            <w:r w:rsidRPr="00A101D3">
              <w:rPr>
                <w:rFonts w:ascii="Tajawal" w:hAnsi="Tajawal" w:cs="Tajawal"/>
              </w:rPr>
              <w:t>النتائج: التعلم التنظيمي وإدارة المعرفة والقدرات التنظيمية تُعزز النضج الرقمي وتحقق نتائج أداء أفضل، مع أهمية بناء الكفاءات الرقمية التدريجية.</w:t>
            </w:r>
          </w:p>
        </w:tc>
      </w:tr>
      <w:tr w:rsidR="00A101D3" w:rsidRPr="00A101D3" w14:paraId="5F3B461A"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4DB11204" w14:textId="77777777" w:rsidR="00A101D3" w:rsidRPr="00A101D3" w:rsidRDefault="00A101D3" w:rsidP="00A101D3">
            <w:pPr>
              <w:rPr>
                <w:rFonts w:ascii="Tajawal" w:hAnsi="Tajawal" w:cs="Tajawal"/>
              </w:rPr>
            </w:pPr>
            <w:r w:rsidRPr="00A101D3">
              <w:rPr>
                <w:rFonts w:ascii="Tajawal" w:hAnsi="Tajawal" w:cs="Tajawal"/>
                <w:b/>
                <w:bCs/>
              </w:rPr>
              <w:t>Plekhanov, Franke &amp; Netland (2023)</w:t>
            </w:r>
          </w:p>
          <w:p w14:paraId="1D0D0922" w14:textId="77777777" w:rsidR="00A101D3" w:rsidRPr="00A101D3" w:rsidRDefault="00A101D3" w:rsidP="00A101D3">
            <w:pPr>
              <w:rPr>
                <w:rFonts w:ascii="Tajawal" w:hAnsi="Tajawal" w:cs="Tajawal"/>
              </w:rPr>
            </w:pPr>
            <w:r w:rsidRPr="00A101D3">
              <w:rPr>
                <w:rFonts w:ascii="Tajawal" w:hAnsi="Tajawal" w:cs="Tajawal"/>
                <w:i/>
                <w:iCs/>
              </w:rPr>
              <w:t xml:space="preserve">European Management Journal,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1824237D" w14:textId="77777777" w:rsidR="00A101D3" w:rsidRPr="00A101D3" w:rsidRDefault="00A101D3" w:rsidP="00A101D3">
            <w:pPr>
              <w:bidi/>
              <w:rPr>
                <w:rFonts w:ascii="Tajawal" w:hAnsi="Tajawal" w:cs="Tajawal"/>
              </w:rPr>
            </w:pPr>
            <w:r w:rsidRPr="00A101D3">
              <w:rPr>
                <w:rFonts w:ascii="Tajawal" w:hAnsi="Tajawal" w:cs="Tajawal"/>
                <w:b/>
                <w:bCs/>
              </w:rPr>
              <w:t>الهدف: إجراء مراجعة منهجية شاملة لأدبيات التحول الرقمي (537 مقالاً محكّماً) وتطوير إطار متعدد الطبقات لفهمه.</w:t>
            </w:r>
          </w:p>
          <w:p w14:paraId="3D72267C" w14:textId="77777777" w:rsidR="00A101D3" w:rsidRPr="00A101D3" w:rsidRDefault="00A101D3" w:rsidP="00A101D3">
            <w:pPr>
              <w:bidi/>
              <w:rPr>
                <w:rFonts w:ascii="Tajawal" w:hAnsi="Tajawal" w:cs="Tajawal"/>
              </w:rPr>
            </w:pPr>
            <w:r w:rsidRPr="00A101D3">
              <w:rPr>
                <w:rFonts w:ascii="Tajawal" w:hAnsi="Tajawal" w:cs="Tajawal"/>
              </w:rPr>
              <w:t>النتائج: التحول الرقمي يتجاوز مجرد تبني التقنية ليشمل التغيير الجوهري في الاستراتيجية والثقافة والهياكل؛ وأن العوامل التنظيمية الناعمة تلعب دوراً محورياً في نجاحه.</w:t>
            </w:r>
          </w:p>
        </w:tc>
      </w:tr>
      <w:tr w:rsidR="00A101D3" w:rsidRPr="00A101D3" w14:paraId="56562CA6"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FD323A" w14:textId="77777777" w:rsidR="00A101D3" w:rsidRPr="00A101D3" w:rsidRDefault="00A101D3" w:rsidP="00A101D3">
            <w:pPr>
              <w:rPr>
                <w:rFonts w:ascii="Tajawal" w:hAnsi="Tajawal" w:cs="Tajawal"/>
              </w:rPr>
            </w:pPr>
            <w:r w:rsidRPr="00A101D3">
              <w:rPr>
                <w:rFonts w:ascii="Tajawal" w:hAnsi="Tajawal" w:cs="Tajawal"/>
                <w:b/>
                <w:bCs/>
              </w:rPr>
              <w:t>Zhang &amp; Wang (2024)</w:t>
            </w:r>
          </w:p>
          <w:p w14:paraId="2F7CD2A8" w14:textId="77777777" w:rsidR="00A101D3" w:rsidRPr="00A101D3" w:rsidRDefault="00A101D3" w:rsidP="00A101D3">
            <w:pPr>
              <w:rPr>
                <w:rFonts w:ascii="Tajawal" w:hAnsi="Tajawal" w:cs="Tajawal"/>
              </w:rPr>
            </w:pP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AA4CF9" w14:textId="77777777" w:rsidR="00A101D3" w:rsidRPr="00A101D3" w:rsidRDefault="00A101D3" w:rsidP="00A101D3">
            <w:pPr>
              <w:bidi/>
              <w:rPr>
                <w:rFonts w:ascii="Tajawal" w:hAnsi="Tajawal" w:cs="Tajawal"/>
              </w:rPr>
            </w:pPr>
            <w:r w:rsidRPr="00A101D3">
              <w:rPr>
                <w:rFonts w:ascii="Tajawal" w:hAnsi="Tajawal" w:cs="Tajawal"/>
                <w:b/>
                <w:bCs/>
              </w:rPr>
              <w:t>الهدف: تحليل الأدبيات العلمية المتعلقة بالتحول الرقمي وآثاره الاقتصادية والتنظيمية ببيبليومترية شاملة.</w:t>
            </w:r>
          </w:p>
          <w:p w14:paraId="3A57D369" w14:textId="77777777" w:rsidR="00A101D3" w:rsidRPr="00A101D3" w:rsidRDefault="00A101D3" w:rsidP="00A101D3">
            <w:pPr>
              <w:bidi/>
              <w:rPr>
                <w:rFonts w:ascii="Tajawal" w:hAnsi="Tajawal" w:cs="Tajawal"/>
              </w:rPr>
            </w:pPr>
            <w:r w:rsidRPr="00A101D3">
              <w:rPr>
                <w:rFonts w:ascii="Tajawal" w:hAnsi="Tajawal" w:cs="Tajawal"/>
              </w:rPr>
              <w:t>النتائج: توجد علاقة إيجابية قوية بين التحول الرقمي والأداء المالي والقيمة المؤسسية، مع الحاجة الماسة لدراسات تتناول المتغيرات التنظيمية الوسيطة.</w:t>
            </w:r>
          </w:p>
        </w:tc>
      </w:tr>
    </w:tbl>
    <w:p w14:paraId="7C962EE2" w14:textId="77777777" w:rsidR="00A101D3" w:rsidRDefault="00A101D3" w:rsidP="00A101D3">
      <w:pPr>
        <w:jc w:val="right"/>
        <w:rPr>
          <w:rFonts w:ascii="Tajawal" w:hAnsi="Tajawal" w:cs="Tajawal"/>
          <w:sz w:val="28"/>
          <w:szCs w:val="28"/>
          <w:rtl/>
        </w:rPr>
      </w:pPr>
    </w:p>
    <w:p w14:paraId="52F8A4C1" w14:textId="2C81ADA2" w:rsidR="00A101D3" w:rsidRDefault="00A101D3" w:rsidP="00A101D3">
      <w:pPr>
        <w:tabs>
          <w:tab w:val="left" w:pos="1162"/>
        </w:tabs>
        <w:bidi/>
        <w:jc w:val="both"/>
        <w:rPr>
          <w:rFonts w:ascii="Tajawal" w:hAnsi="Tajawal" w:cs="Tajawal"/>
          <w:sz w:val="28"/>
          <w:szCs w:val="28"/>
          <w:rtl/>
        </w:rPr>
      </w:pPr>
      <w:proofErr w:type="gramStart"/>
      <w:r>
        <w:rPr>
          <w:rFonts w:ascii="Tajawal" w:hAnsi="Tajawal" w:cs="Tajawal" w:hint="cs"/>
          <w:sz w:val="28"/>
          <w:szCs w:val="28"/>
          <w:rtl/>
        </w:rPr>
        <w:t xml:space="preserve">ثانياً </w:t>
      </w:r>
      <w:r w:rsidRPr="005478DE">
        <w:rPr>
          <w:rFonts w:ascii="Tajawal" w:hAnsi="Tajawal" w:cs="Tajawal"/>
          <w:sz w:val="28"/>
          <w:szCs w:val="28"/>
          <w:rtl/>
        </w:rPr>
        <w:t>:</w:t>
      </w:r>
      <w:proofErr w:type="gramEnd"/>
      <w:r w:rsidRPr="005478DE">
        <w:rPr>
          <w:rFonts w:ascii="Tajawal" w:hAnsi="Tajawal" w:cs="Tajawal"/>
          <w:sz w:val="28"/>
          <w:szCs w:val="28"/>
          <w:rtl/>
        </w:rPr>
        <w:t xml:space="preserve"> ال</w:t>
      </w:r>
      <w:r>
        <w:rPr>
          <w:rFonts w:ascii="Tajawal" w:hAnsi="Tajawal" w:cs="Tajawal" w:hint="cs"/>
          <w:sz w:val="28"/>
          <w:szCs w:val="28"/>
          <w:rtl/>
        </w:rPr>
        <w:t xml:space="preserve">فجوة البحثية </w:t>
      </w:r>
    </w:p>
    <w:p w14:paraId="744BDF5E" w14:textId="77777777" w:rsidR="00A101D3" w:rsidRPr="00A101D3" w:rsidRDefault="00A101D3" w:rsidP="00A101D3">
      <w:pPr>
        <w:tabs>
          <w:tab w:val="left" w:pos="1162"/>
        </w:tabs>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A101D3" w:rsidRPr="00A101D3" w14:paraId="1F281FA3"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1DC5014D" w14:textId="77777777" w:rsidR="00A101D3" w:rsidRPr="00A101D3" w:rsidRDefault="00A101D3" w:rsidP="00A101D3">
            <w:pPr>
              <w:tabs>
                <w:tab w:val="left" w:pos="1162"/>
              </w:tabs>
              <w:bidi/>
              <w:jc w:val="both"/>
              <w:rPr>
                <w:rFonts w:ascii="Tajawal" w:hAnsi="Tajawal" w:cs="Tajawal"/>
                <w:sz w:val="28"/>
                <w:szCs w:val="28"/>
              </w:rPr>
            </w:pPr>
            <w:r w:rsidRPr="006D4AD1">
              <w:rPr>
                <w:rFonts w:ascii="Tajawal" w:hAnsi="Tajawal" w:cs="Tajawal"/>
                <w:b/>
                <w:bCs/>
                <w:color w:val="FFFFFF" w:themeColor="background1"/>
                <w:sz w:val="28"/>
                <w:szCs w:val="28"/>
              </w:rPr>
              <w:t>الفجوة الأولى</w:t>
            </w:r>
          </w:p>
        </w:tc>
        <w:tc>
          <w:tcPr>
            <w:tcW w:w="6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9CFACE2" w14:textId="77777777" w:rsidR="00A101D3" w:rsidRPr="00A101D3" w:rsidRDefault="00A101D3" w:rsidP="00A101D3">
            <w:pPr>
              <w:tabs>
                <w:tab w:val="left" w:pos="1162"/>
              </w:tabs>
              <w:bidi/>
              <w:jc w:val="both"/>
              <w:rPr>
                <w:rFonts w:ascii="Tajawal" w:hAnsi="Tajawal" w:cs="Tajawal"/>
                <w:sz w:val="28"/>
                <w:szCs w:val="28"/>
              </w:rPr>
            </w:pPr>
            <w:r w:rsidRPr="00A101D3">
              <w:rPr>
                <w:rFonts w:ascii="Tajawal" w:hAnsi="Tajawal" w:cs="Tajawal"/>
                <w:sz w:val="28"/>
                <w:szCs w:val="28"/>
              </w:rPr>
              <w:t>محدودية الدراسات التي تناولت جاهزية التحول الرقمي في الشركات الاستثمارية العائلية تحديداً في البيئة العربية والخليجية، إذ تركزت الدراسات في قطاعات صناعية وخدمية وفي بيئات غربية وآسيوية</w:t>
            </w:r>
          </w:p>
        </w:tc>
      </w:tr>
    </w:tbl>
    <w:p w14:paraId="61527945" w14:textId="77777777" w:rsidR="00A101D3" w:rsidRPr="00A101D3" w:rsidRDefault="00A101D3" w:rsidP="00A101D3">
      <w:pPr>
        <w:tabs>
          <w:tab w:val="left" w:pos="1162"/>
        </w:tabs>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A101D3" w:rsidRPr="00A101D3" w14:paraId="4768B074"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340329BA" w14:textId="77777777" w:rsidR="00A101D3" w:rsidRPr="00A101D3" w:rsidRDefault="00A101D3" w:rsidP="00A101D3">
            <w:pPr>
              <w:tabs>
                <w:tab w:val="left" w:pos="1162"/>
              </w:tabs>
              <w:bidi/>
              <w:jc w:val="both"/>
              <w:rPr>
                <w:rFonts w:ascii="Tajawal" w:hAnsi="Tajawal" w:cs="Tajawal"/>
                <w:sz w:val="28"/>
                <w:szCs w:val="28"/>
              </w:rPr>
            </w:pPr>
            <w:r w:rsidRPr="006D4AD1">
              <w:rPr>
                <w:rFonts w:ascii="Tajawal" w:hAnsi="Tajawal" w:cs="Tajawal"/>
                <w:b/>
                <w:bCs/>
                <w:color w:val="FFFFFF" w:themeColor="background1"/>
                <w:sz w:val="28"/>
                <w:szCs w:val="28"/>
              </w:rPr>
              <w:t>الفجوة الثانية</w:t>
            </w:r>
          </w:p>
        </w:tc>
        <w:tc>
          <w:tcPr>
            <w:tcW w:w="68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7864A05B" w14:textId="77777777" w:rsidR="00A101D3" w:rsidRPr="00A101D3" w:rsidRDefault="00A101D3" w:rsidP="00A101D3">
            <w:pPr>
              <w:tabs>
                <w:tab w:val="left" w:pos="1162"/>
              </w:tabs>
              <w:bidi/>
              <w:jc w:val="both"/>
              <w:rPr>
                <w:rFonts w:ascii="Tajawal" w:hAnsi="Tajawal" w:cs="Tajawal"/>
                <w:sz w:val="28"/>
                <w:szCs w:val="28"/>
              </w:rPr>
            </w:pPr>
            <w:r w:rsidRPr="00A101D3">
              <w:rPr>
                <w:rFonts w:ascii="Tajawal" w:hAnsi="Tajawal" w:cs="Tajawal"/>
                <w:sz w:val="28"/>
                <w:szCs w:val="28"/>
              </w:rPr>
              <w:t>ندرة الدراسات التي اختبرت الآليات التنظيمية الوسيطة التي تُفسّر كيفية انتقال أثر الجاهزية الرقمية إلى نتائج الأداء، والاكتفاء بالعلاقة المباشرة</w:t>
            </w:r>
          </w:p>
        </w:tc>
      </w:tr>
    </w:tbl>
    <w:p w14:paraId="1646337A" w14:textId="77777777" w:rsidR="00A101D3" w:rsidRPr="00A101D3" w:rsidRDefault="00A101D3" w:rsidP="00A101D3">
      <w:pPr>
        <w:tabs>
          <w:tab w:val="left" w:pos="1162"/>
        </w:tabs>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A101D3" w:rsidRPr="00A101D3" w14:paraId="659883C7"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1E3180ED" w14:textId="77777777" w:rsidR="00A101D3" w:rsidRPr="00A101D3" w:rsidRDefault="00A101D3" w:rsidP="00A101D3">
            <w:pPr>
              <w:tabs>
                <w:tab w:val="left" w:pos="1162"/>
              </w:tabs>
              <w:bidi/>
              <w:jc w:val="both"/>
              <w:rPr>
                <w:rFonts w:ascii="Tajawal" w:hAnsi="Tajawal" w:cs="Tajawal"/>
                <w:sz w:val="28"/>
                <w:szCs w:val="28"/>
              </w:rPr>
            </w:pPr>
            <w:r w:rsidRPr="006D4AD1">
              <w:rPr>
                <w:rFonts w:ascii="Tajawal" w:hAnsi="Tajawal" w:cs="Tajawal"/>
                <w:b/>
                <w:bCs/>
                <w:color w:val="FFFFFF" w:themeColor="background1"/>
                <w:sz w:val="28"/>
                <w:szCs w:val="28"/>
              </w:rPr>
              <w:lastRenderedPageBreak/>
              <w:t>الفجوة الثالثة</w:t>
            </w:r>
          </w:p>
        </w:tc>
        <w:tc>
          <w:tcPr>
            <w:tcW w:w="6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6C2BC103" w14:textId="77777777" w:rsidR="00A101D3" w:rsidRPr="00A101D3" w:rsidRDefault="00A101D3" w:rsidP="00A101D3">
            <w:pPr>
              <w:tabs>
                <w:tab w:val="left" w:pos="1162"/>
              </w:tabs>
              <w:bidi/>
              <w:jc w:val="both"/>
              <w:rPr>
                <w:rFonts w:ascii="Tajawal" w:hAnsi="Tajawal" w:cs="Tajawal"/>
                <w:sz w:val="28"/>
                <w:szCs w:val="28"/>
              </w:rPr>
            </w:pPr>
            <w:r w:rsidRPr="00A101D3">
              <w:rPr>
                <w:rFonts w:ascii="Tajawal" w:hAnsi="Tajawal" w:cs="Tajawal"/>
                <w:sz w:val="28"/>
                <w:szCs w:val="28"/>
              </w:rPr>
              <w:t>قلة الدراسات التي اختبرت الثقافة التنظيمية بوصفها متغيراً وسيطاً بين جاهزية التحول الرقمي والأداء التنظيمي في سياق الشركات العائلية تحديداً</w:t>
            </w:r>
          </w:p>
        </w:tc>
      </w:tr>
    </w:tbl>
    <w:p w14:paraId="41893889" w14:textId="77777777" w:rsidR="00A101D3" w:rsidRPr="00A101D3" w:rsidRDefault="00A101D3" w:rsidP="00A101D3">
      <w:pPr>
        <w:tabs>
          <w:tab w:val="left" w:pos="1162"/>
        </w:tabs>
        <w:rPr>
          <w:rFonts w:ascii="Tajawal" w:hAnsi="Tajawal" w:cs="Tajawal"/>
          <w:sz w:val="28"/>
          <w:szCs w:val="28"/>
          <w:rtl/>
        </w:rPr>
      </w:pPr>
    </w:p>
    <w:p w14:paraId="27045484" w14:textId="484AB231" w:rsidR="00A101D3" w:rsidRDefault="00A101D3" w:rsidP="00A101D3">
      <w:pPr>
        <w:tabs>
          <w:tab w:val="left" w:pos="1162"/>
        </w:tabs>
        <w:bidi/>
        <w:jc w:val="both"/>
        <w:rPr>
          <w:rFonts w:ascii="Tajawal" w:hAnsi="Tajawal" w:cs="Tajawal"/>
          <w:sz w:val="28"/>
          <w:szCs w:val="28"/>
          <w:rtl/>
        </w:rPr>
      </w:pPr>
      <w:r w:rsidRPr="00A101D3">
        <w:rPr>
          <w:rFonts w:ascii="Tajawal" w:hAnsi="Tajawal" w:cs="Tajawal"/>
          <w:sz w:val="28"/>
          <w:szCs w:val="28"/>
          <w:rtl/>
        </w:rPr>
        <w:t>تُسهم الدراسة الحالية في سد هذه الفجوات من خلال نموذج بحثي متكامل يختبر أثر جاهزية التحول الرقمي في الأداء التنظيمي مع الثقافة التنظيمية وسيطاً، في سياق الشركات الاستثمارية العائلية بالمملكة العربية السعودية</w:t>
      </w:r>
    </w:p>
    <w:p w14:paraId="6600F6C5" w14:textId="77777777" w:rsidR="00284021" w:rsidRDefault="00284021" w:rsidP="00284021">
      <w:pPr>
        <w:tabs>
          <w:tab w:val="left" w:pos="1162"/>
        </w:tabs>
        <w:bidi/>
        <w:jc w:val="both"/>
        <w:rPr>
          <w:rFonts w:ascii="Tajawal" w:hAnsi="Tajawal" w:cs="Tajawal"/>
          <w:sz w:val="28"/>
          <w:szCs w:val="28"/>
          <w:rtl/>
        </w:rPr>
      </w:pPr>
    </w:p>
    <w:p w14:paraId="4E540A86" w14:textId="77777777" w:rsidR="00284021" w:rsidRPr="00EB4A00" w:rsidRDefault="00284021" w:rsidP="00284021">
      <w:pPr>
        <w:tabs>
          <w:tab w:val="left" w:pos="1162"/>
        </w:tabs>
        <w:bidi/>
        <w:jc w:val="both"/>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تاسعاً: حدود الدراسة</w:t>
      </w:r>
    </w:p>
    <w:p w14:paraId="61108949" w14:textId="77777777" w:rsidR="00284021" w:rsidRPr="00284021" w:rsidRDefault="00284021" w:rsidP="00284021">
      <w:pPr>
        <w:tabs>
          <w:tab w:val="left" w:pos="1162"/>
        </w:tabs>
        <w:bidi/>
        <w:jc w:val="both"/>
        <w:rPr>
          <w:rFonts w:ascii="Tajawal" w:hAnsi="Tajawal" w:cs="Tajawal"/>
          <w:b/>
          <w:bCs/>
          <w:sz w:val="32"/>
          <w:szCs w:val="32"/>
          <w:u w:val="single"/>
        </w:rPr>
      </w:pPr>
    </w:p>
    <w:p w14:paraId="09249ED5" w14:textId="77777777" w:rsidR="00284021" w:rsidRPr="006D4AD1" w:rsidRDefault="00284021" w:rsidP="00284021">
      <w:pPr>
        <w:tabs>
          <w:tab w:val="left" w:pos="1162"/>
        </w:tabs>
        <w:bidi/>
        <w:jc w:val="both"/>
        <w:rPr>
          <w:rFonts w:ascii="Tajawal" w:hAnsi="Tajawal" w:cs="Tajawal"/>
          <w:sz w:val="28"/>
          <w:szCs w:val="28"/>
          <w:highlight w:val="yellow"/>
        </w:rPr>
      </w:pPr>
      <w:r w:rsidRPr="006D4AD1">
        <w:rPr>
          <w:rFonts w:ascii="Tajawal" w:hAnsi="Tajawal" w:cs="Tajawal"/>
          <w:sz w:val="28"/>
          <w:szCs w:val="28"/>
          <w:highlight w:val="yellow"/>
        </w:rPr>
        <w:t>الحدود المنهجية: الاعتماد على البيانات الذاتية التقرير من مصدر واحد قد يؤدي إلى تحيز الطريقة الواحدة، كما أن التصميم المستعرض لا يسمح بقياس التغيرات عبر الزمن.</w:t>
      </w:r>
    </w:p>
    <w:p w14:paraId="5CEE1749" w14:textId="77777777" w:rsidR="00284021" w:rsidRPr="006D4AD1" w:rsidRDefault="00284021" w:rsidP="00284021">
      <w:pPr>
        <w:tabs>
          <w:tab w:val="left" w:pos="1162"/>
        </w:tabs>
        <w:bidi/>
        <w:jc w:val="both"/>
        <w:rPr>
          <w:rFonts w:ascii="Tajawal" w:hAnsi="Tajawal" w:cs="Tajawal"/>
          <w:sz w:val="28"/>
          <w:szCs w:val="28"/>
          <w:highlight w:val="yellow"/>
        </w:rPr>
      </w:pPr>
      <w:r w:rsidRPr="006D4AD1">
        <w:rPr>
          <w:rFonts w:ascii="Tajawal" w:hAnsi="Tajawal" w:cs="Tajawal"/>
          <w:sz w:val="28"/>
          <w:szCs w:val="28"/>
          <w:highlight w:val="yellow"/>
        </w:rPr>
        <w:t>أسباب اختيار الشركات الاستثمارية العائلية: ثقلها الاقتصادي، وخصوصيتها الهيكلية، وشُح الدراسات المتخصصة في هذا القطاع مقارنةً بقطاعات أخرى.</w:t>
      </w:r>
    </w:p>
    <w:p w14:paraId="1BA66AD3" w14:textId="3500376B" w:rsidR="00284021" w:rsidRDefault="00284021" w:rsidP="00284021">
      <w:pPr>
        <w:tabs>
          <w:tab w:val="left" w:pos="1162"/>
        </w:tabs>
        <w:bidi/>
        <w:jc w:val="both"/>
        <w:rPr>
          <w:rFonts w:ascii="Tajawal" w:hAnsi="Tajawal" w:cs="Tajawal"/>
          <w:sz w:val="28"/>
          <w:szCs w:val="28"/>
          <w:rtl/>
        </w:rPr>
      </w:pPr>
      <w:r w:rsidRPr="006D4AD1">
        <w:rPr>
          <w:rFonts w:ascii="Tajawal" w:hAnsi="Tajawal" w:cs="Tajawal"/>
          <w:sz w:val="28"/>
          <w:szCs w:val="28"/>
          <w:highlight w:val="yellow"/>
        </w:rPr>
        <w:t>حدود التعميم: تطبيق الدراسة على الشركات الاستثمارية العائلية في المملكة العربية السعودية فقط يستوجب الحذر عند تعميم النتائج على سياقات جغرافية مختلفة</w:t>
      </w:r>
    </w:p>
    <w:p w14:paraId="3B5A5400" w14:textId="77777777" w:rsidR="008A4B34" w:rsidRDefault="008A4B34" w:rsidP="008A4B34">
      <w:pPr>
        <w:tabs>
          <w:tab w:val="left" w:pos="1162"/>
        </w:tabs>
        <w:bidi/>
        <w:jc w:val="both"/>
        <w:rPr>
          <w:rFonts w:ascii="Tajawal" w:hAnsi="Tajawal" w:cs="Tajawal"/>
          <w:sz w:val="28"/>
          <w:szCs w:val="28"/>
          <w:rtl/>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7497"/>
      </w:tblGrid>
      <w:tr w:rsidR="008A4B34" w:rsidRPr="008A4B34" w14:paraId="395CE8F3"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0A7BB750" w14:textId="77777777" w:rsidR="008A4B34" w:rsidRPr="008A4B34" w:rsidRDefault="008A4B34" w:rsidP="008A4B34">
            <w:pPr>
              <w:tabs>
                <w:tab w:val="left" w:pos="1162"/>
              </w:tabs>
              <w:bidi/>
              <w:jc w:val="both"/>
              <w:rPr>
                <w:rFonts w:ascii="Tajawal" w:hAnsi="Tajawal" w:cs="Tajawal"/>
                <w:color w:val="000000" w:themeColor="text1"/>
                <w:sz w:val="28"/>
                <w:szCs w:val="28"/>
              </w:rPr>
            </w:pPr>
            <w:r w:rsidRPr="008A4B34">
              <w:rPr>
                <w:rFonts w:ascii="Tajawal" w:hAnsi="Tajawal" w:cs="Tajawal"/>
                <w:b/>
                <w:bCs/>
                <w:color w:val="000000" w:themeColor="text1"/>
                <w:sz w:val="28"/>
                <w:szCs w:val="28"/>
              </w:rPr>
              <w:t>نوع الحد</w:t>
            </w:r>
          </w:p>
        </w:tc>
        <w:tc>
          <w:tcPr>
            <w:tcW w:w="7497"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47343833" w14:textId="77777777" w:rsidR="008A4B34" w:rsidRPr="008A4B34" w:rsidRDefault="008A4B34" w:rsidP="008A4B34">
            <w:pPr>
              <w:tabs>
                <w:tab w:val="left" w:pos="1162"/>
              </w:tabs>
              <w:bidi/>
              <w:jc w:val="both"/>
              <w:rPr>
                <w:rFonts w:ascii="Tajawal" w:hAnsi="Tajawal" w:cs="Tajawal"/>
                <w:color w:val="000000" w:themeColor="text1"/>
                <w:sz w:val="28"/>
                <w:szCs w:val="28"/>
              </w:rPr>
            </w:pPr>
            <w:r w:rsidRPr="008A4B34">
              <w:rPr>
                <w:rFonts w:ascii="Tajawal" w:hAnsi="Tajawal" w:cs="Tajawal"/>
                <w:b/>
                <w:bCs/>
                <w:color w:val="000000" w:themeColor="text1"/>
                <w:sz w:val="28"/>
                <w:szCs w:val="28"/>
              </w:rPr>
              <w:t>التفصيل</w:t>
            </w:r>
          </w:p>
        </w:tc>
      </w:tr>
      <w:tr w:rsidR="008A4B34" w:rsidRPr="008A4B34" w14:paraId="45DE8DB9"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C6185BF"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الموضوعية</w:t>
            </w:r>
          </w:p>
        </w:tc>
        <w:tc>
          <w:tcPr>
            <w:tcW w:w="7497"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0454D791"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تقتصر الدراسة على أثر جاهزية التحول الرقمي بأبعادها الأربعة (الاستراتيجية، التقنية، البشرية، التنظيمية) على الأداء التنظيمي بأبعاده الخمسة من خلال الدور الوسيط للثقافة التنظيمية بأبعادها الأربعة</w:t>
            </w:r>
          </w:p>
        </w:tc>
      </w:tr>
      <w:tr w:rsidR="008A4B34" w:rsidRPr="008A4B34" w14:paraId="37007DBB"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05EFC6F4"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المكانية</w:t>
            </w:r>
          </w:p>
        </w:tc>
        <w:tc>
          <w:tcPr>
            <w:tcW w:w="7497"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5AB042D3"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الشركات الاستثمارية العائلية العاملة في المملكة العربية السعودية</w:t>
            </w:r>
          </w:p>
        </w:tc>
      </w:tr>
      <w:tr w:rsidR="008A4B34" w:rsidRPr="008A4B34" w14:paraId="7732E679"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8E44A0C"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الزمانية</w:t>
            </w:r>
          </w:p>
        </w:tc>
        <w:tc>
          <w:tcPr>
            <w:tcW w:w="7497"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8F98367"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الفترة الزمنية 2026 – 2027م</w:t>
            </w:r>
          </w:p>
        </w:tc>
      </w:tr>
      <w:tr w:rsidR="008A4B34" w:rsidRPr="008A4B34" w14:paraId="69860DAA"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76C0AAE9"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البشرية</w:t>
            </w:r>
          </w:p>
        </w:tc>
        <w:tc>
          <w:tcPr>
            <w:tcW w:w="7497"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5869AFB1"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القيادات التنفيذية والإدارات العليا والوسطى والعاملون ذوو العلاقة بمبادرات التحول الرقمي داخل الشركات الاستثمارية العائلية</w:t>
            </w:r>
          </w:p>
        </w:tc>
      </w:tr>
    </w:tbl>
    <w:p w14:paraId="5DA433ED" w14:textId="77777777" w:rsidR="00A101D3" w:rsidRDefault="00A101D3" w:rsidP="00EB4A00">
      <w:pPr>
        <w:rPr>
          <w:rFonts w:ascii="Tajawal" w:hAnsi="Tajawal" w:cs="Tajawal"/>
          <w:sz w:val="28"/>
          <w:szCs w:val="28"/>
          <w:rtl/>
        </w:rPr>
      </w:pPr>
    </w:p>
    <w:p w14:paraId="3A4E62A5" w14:textId="77777777" w:rsidR="00EB4A00" w:rsidRDefault="00EB4A00" w:rsidP="00EB4A00">
      <w:pPr>
        <w:rPr>
          <w:rFonts w:ascii="Tajawal" w:hAnsi="Tajawal" w:cs="Tajawal"/>
          <w:sz w:val="28"/>
          <w:szCs w:val="28"/>
          <w:rtl/>
        </w:rPr>
      </w:pPr>
    </w:p>
    <w:p w14:paraId="40E4FE75" w14:textId="6053A36A" w:rsidR="00EB4A00" w:rsidRPr="00EB4A00" w:rsidRDefault="008A4B34" w:rsidP="00EB4A00">
      <w:pPr>
        <w:jc w:val="right"/>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عاشراً: إجراءات ومنهجية الدراسة</w:t>
      </w:r>
    </w:p>
    <w:p w14:paraId="0F495454" w14:textId="77777777" w:rsidR="008A4B34" w:rsidRPr="00EB4A00" w:rsidRDefault="008A4B34" w:rsidP="008A4B34">
      <w:pPr>
        <w:jc w:val="right"/>
        <w:rPr>
          <w:rFonts w:ascii="Tajawal" w:hAnsi="Tajawal" w:cs="Tajawal"/>
          <w:b/>
          <w:bCs/>
          <w:color w:val="156082" w:themeColor="accent1"/>
          <w:sz w:val="32"/>
          <w:szCs w:val="32"/>
          <w:u w:val="single"/>
        </w:rPr>
      </w:pPr>
    </w:p>
    <w:p w14:paraId="16A3DFDC"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منهج الدراسة</w:t>
      </w:r>
    </w:p>
    <w:p w14:paraId="27CFABED" w14:textId="77777777" w:rsidR="008A4B34" w:rsidRDefault="008A4B34" w:rsidP="008A4B34">
      <w:pPr>
        <w:bidi/>
        <w:jc w:val="both"/>
        <w:rPr>
          <w:rFonts w:ascii="Tajawal" w:hAnsi="Tajawal" w:cs="Tajawal"/>
          <w:sz w:val="28"/>
          <w:szCs w:val="28"/>
          <w:rtl/>
        </w:rPr>
      </w:pPr>
      <w:r w:rsidRPr="008A4B34">
        <w:rPr>
          <w:rFonts w:ascii="Tajawal" w:hAnsi="Tajawal" w:cs="Tajawal"/>
          <w:sz w:val="28"/>
          <w:szCs w:val="28"/>
        </w:rPr>
        <w:lastRenderedPageBreak/>
        <w:t>تعتمد الدراسة على المنهج الوصفي التحليلي لملاءمته لدراسة العلاقات بين المتغيرات واختبار الفرضيات، مستندةً إلى المدخل الكمي القائم على الاستبانة أداةً لجمع البيانات</w:t>
      </w:r>
    </w:p>
    <w:p w14:paraId="54083474" w14:textId="77777777" w:rsidR="006D4AD1" w:rsidRPr="008A4B34" w:rsidRDefault="006D4AD1" w:rsidP="006D4AD1">
      <w:pPr>
        <w:bidi/>
        <w:jc w:val="both"/>
        <w:rPr>
          <w:rFonts w:ascii="Tajawal" w:hAnsi="Tajawal" w:cs="Tajawal"/>
          <w:sz w:val="28"/>
          <w:szCs w:val="28"/>
        </w:rPr>
      </w:pPr>
    </w:p>
    <w:p w14:paraId="650374FE"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مجتمع الدراسة وعينتها</w:t>
      </w:r>
    </w:p>
    <w:p w14:paraId="50AC2291" w14:textId="2FCB477E"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معايير الشمول: الشركات المسجلة رسمياً والتي تمارس أنشطة استثمارية، مع وجود إدارة عليا قادرة على الإجابة عن فقرات الاستبانة</w:t>
      </w:r>
    </w:p>
    <w:p w14:paraId="76B6FCE6" w14:textId="24828B7C"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معايير الاستبعاد: الشركات الحكومية، الشركات غير العائلية، الشركات الخاضعة لإجراءات التصفية أو إعادة الهيكلة</w:t>
      </w:r>
    </w:p>
    <w:p w14:paraId="6510F6CB"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التصميم البحثي: تصميم مستعرض (Cross-sectional) أحادي الفترة لملاءمته لدراسة العلاقات في نقطة زمنية واحدة.</w:t>
      </w:r>
    </w:p>
    <w:p w14:paraId="56D8B185"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متغيرات التحكم: عمر الشركة (بالسنوات)، حجم الشركة (عدد الموظفين)، القطاع الاستثماري، حجم الأصول (بالفئات).</w:t>
      </w:r>
    </w:p>
    <w:p w14:paraId="521F2B1C"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أخلاقيات البحث: ضمان سرية البيانات، المشاركة طوعية، إرفاق نموذج موافقة مسبقة مع الاستبانة.</w:t>
      </w:r>
    </w:p>
    <w:p w14:paraId="10C5AB50"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خطة التعامل مع البيانات المفقودة: استبعاد الاستبانات التي تقل نسبة الإجابة فيها عن 80%، واستخدام (Mean Substitution) للفقرات المفقودة بنسبة لا تتجاوز 5%.</w:t>
      </w:r>
    </w:p>
    <w:p w14:paraId="0A49E33F" w14:textId="77777777" w:rsidR="008A4B34" w:rsidRDefault="008A4B34" w:rsidP="008A4B34">
      <w:pPr>
        <w:bidi/>
        <w:jc w:val="both"/>
        <w:rPr>
          <w:rFonts w:ascii="Tajawal" w:hAnsi="Tajawal" w:cs="Tajawal"/>
          <w:sz w:val="28"/>
          <w:szCs w:val="28"/>
          <w:rtl/>
        </w:rPr>
      </w:pPr>
      <w:r w:rsidRPr="006D4AD1">
        <w:rPr>
          <w:rFonts w:ascii="Tajawal" w:hAnsi="Tajawal" w:cs="Tajawal"/>
          <w:sz w:val="28"/>
          <w:szCs w:val="28"/>
          <w:highlight w:val="yellow"/>
        </w:rPr>
        <w:t>يتكون مجتمع الدراسة من الشركات الاستثمارية العائلية العاملة في المملكة العربية السعودية، ويُقصد بها الشركات التي تمتلكها أو تديرها عائلات سعودية وتمارس أنشطة استثمارية في قطاعات متعددة. وسيتم استخدام العينة العشوائية الطبقية من القيادات الإدارية في المستويات العليا والوسطى، ومن المتوقع أن يتراوح حجم العينة بين 300 و400 مفردة وفق متطلبات نماذج المعادلات الهيكلية (SEM)</w:t>
      </w:r>
    </w:p>
    <w:p w14:paraId="2A30DE42" w14:textId="77777777" w:rsidR="008A4B34" w:rsidRPr="008A4B34" w:rsidRDefault="008A4B34" w:rsidP="008A4B34">
      <w:pPr>
        <w:bidi/>
        <w:jc w:val="both"/>
        <w:rPr>
          <w:rFonts w:ascii="Tajawal" w:hAnsi="Tajawal" w:cs="Tajawal"/>
          <w:sz w:val="28"/>
          <w:szCs w:val="28"/>
        </w:rPr>
      </w:pPr>
    </w:p>
    <w:p w14:paraId="4F9FB0CB"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أداة الدراسة</w:t>
      </w:r>
    </w:p>
    <w:p w14:paraId="3C4E2B78"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تعتمد الدراسة على استبانة إلكترونية تتكون من أربعة أقسام</w:t>
      </w:r>
    </w:p>
    <w:p w14:paraId="1DE67EA0"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البيانات الديموغرافية</w:t>
      </w:r>
    </w:p>
    <w:p w14:paraId="2E948669" w14:textId="2DF63B5F"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مقياس جاهزية التحول الرقمي (مُطوَّر من أدبيات Lokuge &amp; Duan, 2023; Gonzalez-Varona et al., 2024)</w:t>
      </w:r>
    </w:p>
    <w:p w14:paraId="12F52C29"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مقياس الثقافة التنظيمية (مُطوَّر من Jewapatarakul &amp; Ueasangkomsate, 2024)</w:t>
      </w:r>
    </w:p>
    <w:p w14:paraId="62ABD558"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مقياس الأداء التنظيمي (مُطوَّر من Amankona et al., 2025)</w:t>
      </w:r>
    </w:p>
    <w:p w14:paraId="75247080" w14:textId="77777777" w:rsidR="008A4B34" w:rsidRDefault="008A4B34" w:rsidP="008A4B34">
      <w:pPr>
        <w:bidi/>
        <w:jc w:val="both"/>
        <w:rPr>
          <w:rFonts w:ascii="Tajawal" w:hAnsi="Tajawal" w:cs="Tajawal"/>
          <w:sz w:val="28"/>
          <w:szCs w:val="28"/>
          <w:rtl/>
        </w:rPr>
      </w:pPr>
      <w:r w:rsidRPr="008A4B34">
        <w:rPr>
          <w:rFonts w:ascii="Tajawal" w:hAnsi="Tajawal" w:cs="Tajawal"/>
          <w:sz w:val="28"/>
          <w:szCs w:val="28"/>
        </w:rPr>
        <w:t>وسيتم استخدام مقياس ليكرت الخماسي في جميع أقسام الاستبانة</w:t>
      </w:r>
    </w:p>
    <w:p w14:paraId="02677BA7" w14:textId="77777777" w:rsidR="008A4B34" w:rsidRPr="00EB4A00" w:rsidRDefault="008A4B34" w:rsidP="008A4B34">
      <w:pPr>
        <w:bidi/>
        <w:jc w:val="both"/>
        <w:rPr>
          <w:rFonts w:ascii="Tajawal" w:hAnsi="Tajawal" w:cs="Tajawal"/>
          <w:color w:val="156082" w:themeColor="accent1"/>
          <w:sz w:val="28"/>
          <w:szCs w:val="28"/>
        </w:rPr>
      </w:pPr>
    </w:p>
    <w:p w14:paraId="1D6EF944" w14:textId="455D7880"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الصدق والثبات</w:t>
      </w:r>
    </w:p>
    <w:p w14:paraId="2A9FAC18"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الصدق الظاهري: بعرض الاستبانة على محكّمين متخصصين</w:t>
      </w:r>
    </w:p>
    <w:p w14:paraId="4A99D90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الصدق البنائي والتقاربي: عبر التحليل العاملي التوكيدي (CFA) ومتوسط التباين المستخرج (AVE)</w:t>
      </w:r>
    </w:p>
    <w:p w14:paraId="0B28BAB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الصدق التمييزي: بمقارنة AVE بمربع معاملات الارتباط بين المتغيرات</w:t>
      </w:r>
    </w:p>
    <w:p w14:paraId="3490B788"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lastRenderedPageBreak/>
        <w:t>الثبات: باستخدام كرونباخ ألفا والثبات المركب (Composite Reliability)</w:t>
      </w:r>
    </w:p>
    <w:p w14:paraId="48043B4C" w14:textId="77777777" w:rsidR="008A4B34" w:rsidRPr="008A4B34" w:rsidRDefault="008A4B34" w:rsidP="008A4B34">
      <w:pPr>
        <w:bidi/>
        <w:ind w:left="720"/>
        <w:jc w:val="both"/>
        <w:rPr>
          <w:rFonts w:ascii="Tajawal" w:hAnsi="Tajawal" w:cs="Tajawal"/>
          <w:sz w:val="28"/>
          <w:szCs w:val="28"/>
        </w:rPr>
      </w:pPr>
    </w:p>
    <w:p w14:paraId="5C6F3282" w14:textId="2DE49553"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المعالجات الإحصائية المقترحة</w:t>
      </w:r>
    </w:p>
    <w:p w14:paraId="0A0A278C" w14:textId="30F17AB9"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سيتم استخدام  SPSS وSmartPLS/AMOS لإجراء المعالجات الآتية</w:t>
      </w:r>
      <w:r>
        <w:rPr>
          <w:rFonts w:ascii="Tajawal" w:hAnsi="Tajawal" w:cs="Tajawal" w:hint="cs"/>
          <w:sz w:val="28"/>
          <w:szCs w:val="28"/>
          <w:rtl/>
        </w:rPr>
        <w:t>:</w:t>
      </w:r>
    </w:p>
    <w:p w14:paraId="429BD13E"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التكرارات والنسب المئوية والإحصاء الوصفي</w:t>
      </w:r>
    </w:p>
    <w:p w14:paraId="6EB717E1"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المتوسطات الحسابية والانحرافات المعيارية</w:t>
      </w:r>
    </w:p>
    <w:p w14:paraId="011C0336"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اختبار كرونباخ ألفا والثبات المركب (CR)</w:t>
      </w:r>
    </w:p>
    <w:p w14:paraId="2AB3D475"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متوسط التباين المستخرج (AVE)</w:t>
      </w:r>
    </w:p>
    <w:p w14:paraId="4FEA5BEE"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التحليل العاملي الاستكشافي (EFA)</w:t>
      </w:r>
    </w:p>
    <w:p w14:paraId="6CD58D1E"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التحليل العاملي التوكيدي (CFA)</w:t>
      </w:r>
    </w:p>
    <w:p w14:paraId="57939D5A"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نمذجة المعادلات الهيكلية (SEM)</w:t>
      </w:r>
    </w:p>
    <w:p w14:paraId="55085D49"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تحليل المسارات (Path Analysis)</w:t>
      </w:r>
    </w:p>
    <w:p w14:paraId="3CEFA052"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اختبار الوساطة باستخدام Bootstrap (5000 عينة)</w:t>
      </w:r>
    </w:p>
    <w:p w14:paraId="4FE64BB8" w14:textId="77777777" w:rsid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اختبار جودة النموذج ومؤشرات المطابقة (GFI, CFI, RMSEA)</w:t>
      </w:r>
    </w:p>
    <w:p w14:paraId="44B15D8D" w14:textId="77777777" w:rsidR="008A4B34" w:rsidRDefault="008A4B34" w:rsidP="008A4B34">
      <w:pPr>
        <w:bidi/>
        <w:jc w:val="both"/>
        <w:rPr>
          <w:rFonts w:ascii="Tajawal" w:hAnsi="Tajawal" w:cs="Tajawal"/>
          <w:sz w:val="28"/>
          <w:szCs w:val="28"/>
          <w:rtl/>
        </w:rPr>
      </w:pPr>
    </w:p>
    <w:p w14:paraId="5E8A407C" w14:textId="77777777" w:rsidR="008A4B34" w:rsidRDefault="008A4B34" w:rsidP="008A4B34">
      <w:pPr>
        <w:bidi/>
        <w:jc w:val="both"/>
        <w:rPr>
          <w:rFonts w:ascii="Tajawal" w:hAnsi="Tajawal" w:cs="Tajawal"/>
          <w:sz w:val="28"/>
          <w:szCs w:val="28"/>
          <w:rtl/>
        </w:rPr>
      </w:pPr>
    </w:p>
    <w:p w14:paraId="18F9DE04" w14:textId="77777777" w:rsidR="008A4B34" w:rsidRPr="00EB4A00" w:rsidRDefault="008A4B34" w:rsidP="008A4B34">
      <w:pPr>
        <w:bidi/>
        <w:jc w:val="both"/>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الحادي عشر: وسائل جمع البيانات</w:t>
      </w:r>
    </w:p>
    <w:p w14:paraId="78A03931" w14:textId="77777777" w:rsidR="008A4B34" w:rsidRPr="008A4B34" w:rsidRDefault="008A4B34" w:rsidP="008A4B34">
      <w:pPr>
        <w:bidi/>
        <w:jc w:val="both"/>
        <w:rPr>
          <w:rFonts w:ascii="Tajawal" w:hAnsi="Tajawal" w:cs="Tajawal"/>
          <w:b/>
          <w:bCs/>
          <w:sz w:val="32"/>
          <w:szCs w:val="32"/>
          <w:u w:val="single"/>
        </w:rPr>
      </w:pPr>
    </w:p>
    <w:p w14:paraId="44C7018A"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أولاً: المصادر الثانوية</w:t>
      </w:r>
    </w:p>
    <w:p w14:paraId="2192ECEB"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الكتب العلمية المتخصصة في التحول الرقمي وإدارة الأعمال</w:t>
      </w:r>
    </w:p>
    <w:p w14:paraId="1C97A86C"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الرسائل العلمية ذات الصلة</w:t>
      </w:r>
    </w:p>
    <w:p w14:paraId="012501CB"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الدوريات المحكمة عبر قواعد البيانات (Scopus, Web of Science, EBSCO)</w:t>
      </w:r>
    </w:p>
    <w:p w14:paraId="03C271F6"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التقارير الحكومية والمهنية المتعلقة بالتحول الرقمي في المملكة العربية السعودية</w:t>
      </w:r>
    </w:p>
    <w:p w14:paraId="559A9A19"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إحصائيات المركز الوطني للمنشآت العائلية ووزارة الاتصالات وتقنية المعلومات</w:t>
      </w:r>
    </w:p>
    <w:p w14:paraId="7D0C74FD" w14:textId="77777777" w:rsidR="008A4B34" w:rsidRPr="008A4B34" w:rsidRDefault="008A4B34" w:rsidP="008A4B34">
      <w:pPr>
        <w:bidi/>
        <w:ind w:left="720"/>
        <w:jc w:val="both"/>
        <w:rPr>
          <w:rFonts w:ascii="Tajawal" w:hAnsi="Tajawal" w:cs="Tajawal"/>
          <w:sz w:val="28"/>
          <w:szCs w:val="28"/>
        </w:rPr>
      </w:pPr>
    </w:p>
    <w:p w14:paraId="27168B1C"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ثانياً: المصادر الأولية</w:t>
      </w:r>
    </w:p>
    <w:p w14:paraId="26E3811F"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تتمثل في الاستبانة الإلكترونية المُعدّة خصيصاً لهذه الدراسة، والمُطوَّرة بالاستناد إلى المقاييس المستخدمة في الدراسات السابقة المحكّمة، وتوجيهها إلى القيادات والعاملين في الشركات الاستثمارية العائلية بالمملكة العربية السعودية</w:t>
      </w:r>
    </w:p>
    <w:p w14:paraId="00DD54D6" w14:textId="77777777" w:rsidR="008A4B34" w:rsidRPr="008A4B34" w:rsidRDefault="008A4B34" w:rsidP="008A4B34">
      <w:pPr>
        <w:bidi/>
        <w:jc w:val="both"/>
        <w:rPr>
          <w:rFonts w:ascii="Tajawal" w:hAnsi="Tajawal" w:cs="Tajawal"/>
          <w:sz w:val="28"/>
          <w:szCs w:val="28"/>
        </w:rPr>
      </w:pPr>
    </w:p>
    <w:p w14:paraId="460C4FA9" w14:textId="77777777" w:rsidR="008A4B34" w:rsidRPr="00EB4A00" w:rsidRDefault="008A4B34" w:rsidP="008A4B34">
      <w:pPr>
        <w:bidi/>
        <w:jc w:val="both"/>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الثاني عشر: خطوات تنفيذ خطة الدراسة</w:t>
      </w:r>
    </w:p>
    <w:p w14:paraId="3934AA57" w14:textId="77777777" w:rsidR="008A4B34" w:rsidRPr="008A4B34" w:rsidRDefault="008A4B34" w:rsidP="008A4B34">
      <w:pPr>
        <w:bidi/>
        <w:jc w:val="both"/>
        <w:rPr>
          <w:rFonts w:ascii="Tajawal" w:hAnsi="Tajawal" w:cs="Tajawal"/>
          <w:b/>
          <w:bCs/>
          <w:sz w:val="32"/>
          <w:szCs w:val="32"/>
          <w:u w:val="single"/>
        </w:rPr>
      </w:pPr>
    </w:p>
    <w:p w14:paraId="6158EFE5" w14:textId="2E679F9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الجدول الزمني التفصيلي</w:t>
      </w:r>
    </w:p>
    <w:p w14:paraId="2BF7FFE8" w14:textId="2B2834D2" w:rsidR="008A4B34" w:rsidRPr="006D4AD1" w:rsidRDefault="008A4B34" w:rsidP="008A4B34">
      <w:pPr>
        <w:bidi/>
        <w:jc w:val="both"/>
        <w:rPr>
          <w:rFonts w:ascii="Tajawal" w:hAnsi="Tajawal" w:cs="Tajawal"/>
          <w:sz w:val="28"/>
          <w:szCs w:val="28"/>
          <w:highlight w:val="yellow"/>
          <w:rtl/>
        </w:rPr>
      </w:pPr>
      <w:r w:rsidRPr="006D4AD1">
        <w:rPr>
          <w:rFonts w:ascii="Tajawal" w:hAnsi="Tajawal" w:cs="Tajawal"/>
          <w:sz w:val="28"/>
          <w:szCs w:val="28"/>
          <w:highlight w:val="yellow"/>
        </w:rPr>
        <w:t>المرحلة الأولى: إعداد الخطة البحثية | المخرج: خطة معتمدة</w:t>
      </w:r>
      <w:r w:rsidR="00FF2B88" w:rsidRPr="006D4AD1">
        <w:rPr>
          <w:rFonts w:ascii="Tajawal" w:hAnsi="Tajawal" w:cs="Tajawal" w:hint="cs"/>
          <w:sz w:val="28"/>
          <w:szCs w:val="28"/>
          <w:highlight w:val="yellow"/>
          <w:rtl/>
        </w:rPr>
        <w:t xml:space="preserve"> </w:t>
      </w:r>
      <w:r w:rsidRPr="006D4AD1">
        <w:rPr>
          <w:rFonts w:ascii="Tajawal" w:hAnsi="Tajawal" w:cs="Tajawal"/>
          <w:sz w:val="28"/>
          <w:szCs w:val="28"/>
          <w:highlight w:val="yellow"/>
        </w:rPr>
        <w:t xml:space="preserve"> المؤشر: اعتماد اللجنة</w:t>
      </w:r>
    </w:p>
    <w:p w14:paraId="19DC6CA5" w14:textId="77777777" w:rsidR="008A4B34" w:rsidRPr="006D4AD1" w:rsidRDefault="008A4B34" w:rsidP="008A4B34">
      <w:pPr>
        <w:bidi/>
        <w:jc w:val="both"/>
        <w:rPr>
          <w:rFonts w:ascii="Tajawal" w:hAnsi="Tajawal" w:cs="Tajawal"/>
          <w:sz w:val="28"/>
          <w:szCs w:val="28"/>
          <w:highlight w:val="yellow"/>
        </w:rPr>
      </w:pPr>
    </w:p>
    <w:p w14:paraId="64212758" w14:textId="407F1B4E" w:rsidR="008A4B34" w:rsidRPr="006D4AD1" w:rsidRDefault="008A4B34" w:rsidP="008A4B34">
      <w:pPr>
        <w:bidi/>
        <w:jc w:val="both"/>
        <w:rPr>
          <w:rFonts w:ascii="Tajawal" w:hAnsi="Tajawal" w:cs="Tajawal"/>
          <w:sz w:val="28"/>
          <w:szCs w:val="28"/>
          <w:highlight w:val="yellow"/>
          <w:rtl/>
        </w:rPr>
      </w:pPr>
      <w:r w:rsidRPr="006D4AD1">
        <w:rPr>
          <w:rFonts w:ascii="Tajawal" w:hAnsi="Tajawal" w:cs="Tajawal"/>
          <w:sz w:val="28"/>
          <w:szCs w:val="28"/>
          <w:highlight w:val="yellow"/>
        </w:rPr>
        <w:lastRenderedPageBreak/>
        <w:t>المرحلة الثانية: تطوير الأداة (يوليو–سبتمبر 2026) | المخرج: استبانة محكّمة | المؤشر</w:t>
      </w:r>
      <w:r w:rsidRPr="006D4AD1">
        <w:rPr>
          <w:rFonts w:ascii="Tajawal" w:hAnsi="Tajawal" w:cs="Tajawal" w:hint="cs"/>
          <w:sz w:val="28"/>
          <w:szCs w:val="28"/>
          <w:highlight w:val="yellow"/>
          <w:rtl/>
        </w:rPr>
        <w:t xml:space="preserve"> </w:t>
      </w:r>
      <w:r w:rsidRPr="006D4AD1">
        <w:rPr>
          <w:rFonts w:ascii="Tajawal" w:hAnsi="Tajawal" w:cs="Tajawal"/>
          <w:sz w:val="28"/>
          <w:szCs w:val="28"/>
          <w:highlight w:val="yellow"/>
        </w:rPr>
        <w:t>اكتمال التحكيم</w:t>
      </w:r>
    </w:p>
    <w:p w14:paraId="35D354ED" w14:textId="77777777" w:rsidR="00FF2B88" w:rsidRPr="006D4AD1" w:rsidRDefault="00FF2B88" w:rsidP="00FF2B88">
      <w:pPr>
        <w:bidi/>
        <w:jc w:val="both"/>
        <w:rPr>
          <w:rFonts w:ascii="Tajawal" w:hAnsi="Tajawal" w:cs="Tajawal"/>
          <w:sz w:val="28"/>
          <w:szCs w:val="28"/>
          <w:highlight w:val="yellow"/>
        </w:rPr>
      </w:pPr>
    </w:p>
    <w:p w14:paraId="66EF406B"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المرحلة الثالثة: جمع البيانات (أكتوبر–ديسمبر 2026) | المخرج: قاعدة بيانات كاملة | المؤشر: نسبة استجابة ≥ 70%.</w:t>
      </w:r>
    </w:p>
    <w:p w14:paraId="038746D4" w14:textId="1EA9988B"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المرحلة الرابعة: التحليل الإحصائي (يناير–مارس 2027) | المخرج: نتائج محللة | المؤشر:</w:t>
      </w:r>
      <w:r w:rsidR="00FF2B88" w:rsidRPr="006D4AD1">
        <w:rPr>
          <w:rFonts w:ascii="Tajawal" w:hAnsi="Tajawal" w:cs="Tajawal" w:hint="cs"/>
          <w:sz w:val="28"/>
          <w:szCs w:val="28"/>
          <w:highlight w:val="yellow"/>
          <w:rtl/>
        </w:rPr>
        <w:t xml:space="preserve"> </w:t>
      </w:r>
      <w:r w:rsidRPr="006D4AD1">
        <w:rPr>
          <w:rFonts w:ascii="Tajawal" w:hAnsi="Tajawal" w:cs="Tajawal"/>
          <w:sz w:val="28"/>
          <w:szCs w:val="28"/>
          <w:highlight w:val="yellow"/>
        </w:rPr>
        <w:t>اكتمال SEM وBootstrap.</w:t>
      </w:r>
    </w:p>
    <w:p w14:paraId="77B4F373"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المرحلة الخامسة: كتابة الأطروحة (أبريل–سبتمبر 2027) | المخرج: أطروحة كاملة | المؤشر: اعتماد المشرف.</w:t>
      </w:r>
    </w:p>
    <w:p w14:paraId="73EC8B12" w14:textId="77777777" w:rsidR="008A4B34" w:rsidRPr="008A4B34" w:rsidRDefault="008A4B34" w:rsidP="008A4B34">
      <w:pPr>
        <w:bidi/>
        <w:jc w:val="both"/>
        <w:rPr>
          <w:rFonts w:ascii="Tajawal" w:hAnsi="Tajawal" w:cs="Tajawal"/>
          <w:sz w:val="28"/>
          <w:szCs w:val="28"/>
        </w:rPr>
      </w:pPr>
      <w:r w:rsidRPr="006D4AD1">
        <w:rPr>
          <w:rFonts w:ascii="Tajawal" w:hAnsi="Tajawal" w:cs="Tajawal"/>
          <w:sz w:val="28"/>
          <w:szCs w:val="28"/>
          <w:highlight w:val="yellow"/>
        </w:rPr>
        <w:t>خطة الطوارئ: في حالة انخفاض نسبة الاستجابة عن 70%، يُلجأ للتواصل المباشر مع الغرف التجارية والمركز الوطني للمنشآت العائلية وتمديد فترة الجمع أسبوعين إضافيين.</w:t>
      </w:r>
    </w:p>
    <w:p w14:paraId="54A01AF6"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الأولى: إعداد الخطة البحثية</w:t>
      </w:r>
    </w:p>
    <w:p w14:paraId="1D373F16"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تحديد موضوع الدراسة وصياغة عنوانها النهائي</w:t>
      </w:r>
    </w:p>
    <w:p w14:paraId="6B7C0229"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مراجعة الأدبيات والدراسات السابقة ذات العلاقة</w:t>
      </w:r>
    </w:p>
    <w:p w14:paraId="0F6BD090"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بناء النموذج النظري وصياغة الفرضيات</w:t>
      </w:r>
    </w:p>
    <w:p w14:paraId="362CECEB"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رفع الخطة البحثية لاعتماد لجنة المراجعة</w:t>
      </w:r>
    </w:p>
    <w:p w14:paraId="4690F42F" w14:textId="77777777" w:rsidR="006D4AD1" w:rsidRPr="008A4B34" w:rsidRDefault="006D4AD1" w:rsidP="006D4AD1">
      <w:pPr>
        <w:bidi/>
        <w:ind w:left="720"/>
        <w:jc w:val="both"/>
        <w:rPr>
          <w:rFonts w:ascii="Tajawal" w:hAnsi="Tajawal" w:cs="Tajawal"/>
          <w:sz w:val="28"/>
          <w:szCs w:val="28"/>
        </w:rPr>
      </w:pPr>
    </w:p>
    <w:p w14:paraId="7489CD95"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الثانية: تطوير أداة الدراسة</w:t>
      </w:r>
    </w:p>
    <w:p w14:paraId="65A0C1A4"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بناء الاستبانة بناءً على المقاييس المحكّمة في الأدبيات</w:t>
      </w:r>
    </w:p>
    <w:p w14:paraId="63319BCC"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عرضها على المحكّمين للتحقق من الصدق الظاهري</w:t>
      </w:r>
    </w:p>
    <w:p w14:paraId="0132DE8B"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إجراء الدراسة الاستطلاعية على عينة محدودة</w:t>
      </w:r>
    </w:p>
    <w:p w14:paraId="17903086"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تعديل الاستبانة وفق ملاحظات المحكّمين ونتائج الاستطلاع</w:t>
      </w:r>
    </w:p>
    <w:p w14:paraId="5CC24FDA" w14:textId="77777777" w:rsidR="006D4AD1" w:rsidRPr="008A4B34" w:rsidRDefault="006D4AD1" w:rsidP="006D4AD1">
      <w:pPr>
        <w:bidi/>
        <w:ind w:left="720"/>
        <w:jc w:val="both"/>
        <w:rPr>
          <w:rFonts w:ascii="Tajawal" w:hAnsi="Tajawal" w:cs="Tajawal"/>
          <w:sz w:val="28"/>
          <w:szCs w:val="28"/>
        </w:rPr>
      </w:pPr>
    </w:p>
    <w:p w14:paraId="11A236BC"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الثالثة: جمع البيانات</w:t>
      </w:r>
    </w:p>
    <w:p w14:paraId="171A962A"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تحديد العينة العشوائية الطبقية وقاعدة بيانات الشركات المستهدفة</w:t>
      </w:r>
    </w:p>
    <w:p w14:paraId="71FF8C81"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توزيع الاستبانة الإلكترونية ومتابعة الاستجابات</w:t>
      </w:r>
    </w:p>
    <w:p w14:paraId="73BE1EBE"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استكمال قاعدة البيانات وتنظيفها تمهيداً للتحليل</w:t>
      </w:r>
    </w:p>
    <w:p w14:paraId="77DC300F" w14:textId="77777777" w:rsidR="006D4AD1" w:rsidRPr="00E153C3" w:rsidRDefault="006D4AD1" w:rsidP="00E153C3">
      <w:pPr>
        <w:bidi/>
        <w:ind w:left="720"/>
        <w:jc w:val="both"/>
        <w:rPr>
          <w:rFonts w:ascii="Tajawal" w:hAnsi="Tajawal" w:cs="Tajawal" w:hint="cs"/>
          <w:sz w:val="28"/>
          <w:szCs w:val="28"/>
          <w:rtl/>
          <w:lang w:val="en-US"/>
        </w:rPr>
      </w:pPr>
    </w:p>
    <w:p w14:paraId="5FAE5A6E"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الرابعة: التحليل الإحصائي</w:t>
      </w:r>
    </w:p>
    <w:p w14:paraId="3ED00E18"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اختبار الصدق والثبات بالتحليل العاملي التوكيدي (CFA)</w:t>
      </w:r>
    </w:p>
    <w:p w14:paraId="4EB98A48"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تحليل العلاقات بين المتغيرات عبر نمذجة المعادلات الهيكلية (SEM)</w:t>
      </w:r>
    </w:p>
    <w:p w14:paraId="3EFAC4A6"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اختبار الفرضيات وتفسير النتائج في ضوء الإطار النظري</w:t>
      </w:r>
    </w:p>
    <w:p w14:paraId="3556DBA3"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الخامسة: كتابة الأطروحة وتسليمها</w:t>
      </w:r>
    </w:p>
    <w:p w14:paraId="6034D30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مناقشة النتائج ومقارنتها بالدراسات السابقة</w:t>
      </w:r>
    </w:p>
    <w:p w14:paraId="6591ADE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صياغة التوصيات والمقترحات المستقبلية</w:t>
      </w:r>
    </w:p>
    <w:p w14:paraId="20CA683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استكمال فصول الأطروحة وفق الهيكل المحدد في الدليل الإرشادي</w:t>
      </w:r>
    </w:p>
    <w:p w14:paraId="100DD1C4"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المراجعة والتدقيق النهائي وفق متطلبات جامعة ميدأوشن</w:t>
      </w:r>
    </w:p>
    <w:p w14:paraId="7D350B5D" w14:textId="77777777" w:rsidR="008A4B34" w:rsidRPr="008A4B34" w:rsidRDefault="008A4B34" w:rsidP="008A4B34">
      <w:pPr>
        <w:bidi/>
        <w:jc w:val="both"/>
        <w:rPr>
          <w:rFonts w:ascii="Tajawal" w:hAnsi="Tajawal" w:cs="Tajawal"/>
          <w:sz w:val="28"/>
          <w:szCs w:val="28"/>
          <w:rtl/>
        </w:rPr>
      </w:pPr>
    </w:p>
    <w:p w14:paraId="7701F3B4" w14:textId="77777777" w:rsidR="008A4B34" w:rsidRPr="008A4B34" w:rsidRDefault="008A4B34" w:rsidP="008A4B34">
      <w:pPr>
        <w:bidi/>
        <w:jc w:val="both"/>
        <w:rPr>
          <w:rFonts w:ascii="Tajawal" w:hAnsi="Tajawal" w:cs="Tajawal"/>
          <w:sz w:val="28"/>
          <w:szCs w:val="28"/>
          <w:rtl/>
        </w:rPr>
      </w:pPr>
    </w:p>
    <w:p w14:paraId="20EF4970" w14:textId="77777777" w:rsidR="008A4B34" w:rsidRPr="008A4B34" w:rsidRDefault="008A4B34" w:rsidP="008A4B34">
      <w:pPr>
        <w:bidi/>
        <w:jc w:val="both"/>
        <w:rPr>
          <w:rFonts w:ascii="Tajawal" w:hAnsi="Tajawal" w:cs="Tajawal"/>
          <w:sz w:val="28"/>
          <w:szCs w:val="28"/>
          <w:rtl/>
        </w:rPr>
      </w:pPr>
    </w:p>
    <w:p w14:paraId="16E109B5" w14:textId="77777777" w:rsidR="008A4B34" w:rsidRPr="008A4B34" w:rsidRDefault="008A4B34" w:rsidP="008A4B34">
      <w:pPr>
        <w:bidi/>
        <w:jc w:val="both"/>
        <w:rPr>
          <w:rFonts w:ascii="Tajawal" w:hAnsi="Tajawal" w:cs="Tajawal"/>
          <w:sz w:val="28"/>
          <w:szCs w:val="28"/>
          <w:rtl/>
        </w:rPr>
      </w:pPr>
    </w:p>
    <w:p w14:paraId="523E2B30" w14:textId="77777777" w:rsidR="008A4B34" w:rsidRPr="008A4B34" w:rsidRDefault="008A4B34" w:rsidP="008A4B34">
      <w:pPr>
        <w:bidi/>
        <w:jc w:val="both"/>
        <w:rPr>
          <w:rFonts w:ascii="Tajawal" w:hAnsi="Tajawal" w:cs="Tajawal"/>
          <w:sz w:val="28"/>
          <w:szCs w:val="28"/>
          <w:rtl/>
        </w:rPr>
      </w:pPr>
    </w:p>
    <w:p w14:paraId="4355639D" w14:textId="1C55E744" w:rsidR="00FF2B88" w:rsidRPr="00EB4A00" w:rsidRDefault="00EB4A00" w:rsidP="00FF2B88">
      <w:pPr>
        <w:bidi/>
        <w:jc w:val="both"/>
        <w:rPr>
          <w:rFonts w:ascii="Tajawal" w:hAnsi="Tajawal" w:cs="Tajawal"/>
          <w:b/>
          <w:bCs/>
          <w:color w:val="156082" w:themeColor="accent1"/>
          <w:sz w:val="32"/>
          <w:szCs w:val="32"/>
          <w:u w:val="single"/>
          <w:rtl/>
        </w:rPr>
      </w:pPr>
      <w:r w:rsidRPr="00EB4A00">
        <w:rPr>
          <w:rFonts w:ascii="Tajawal" w:hAnsi="Tajawal" w:cs="Tajawal" w:hint="cs"/>
          <w:b/>
          <w:bCs/>
          <w:color w:val="156082" w:themeColor="accent1"/>
          <w:sz w:val="32"/>
          <w:szCs w:val="32"/>
          <w:u w:val="single"/>
          <w:rtl/>
        </w:rPr>
        <w:t xml:space="preserve">الثالث </w:t>
      </w:r>
      <w:proofErr w:type="gramStart"/>
      <w:r w:rsidRPr="00EB4A00">
        <w:rPr>
          <w:rFonts w:ascii="Tajawal" w:hAnsi="Tajawal" w:cs="Tajawal" w:hint="cs"/>
          <w:b/>
          <w:bCs/>
          <w:color w:val="156082" w:themeColor="accent1"/>
          <w:sz w:val="32"/>
          <w:szCs w:val="32"/>
          <w:u w:val="single"/>
          <w:rtl/>
        </w:rPr>
        <w:t>عشر :</w:t>
      </w:r>
      <w:proofErr w:type="gramEnd"/>
      <w:r w:rsidRPr="00EB4A00">
        <w:rPr>
          <w:rFonts w:ascii="Tajawal" w:hAnsi="Tajawal" w:cs="Tajawal" w:hint="cs"/>
          <w:b/>
          <w:bCs/>
          <w:color w:val="156082" w:themeColor="accent1"/>
          <w:sz w:val="32"/>
          <w:szCs w:val="32"/>
          <w:u w:val="single"/>
          <w:rtl/>
        </w:rPr>
        <w:t xml:space="preserve"> المراجع</w:t>
      </w:r>
    </w:p>
    <w:p w14:paraId="60503A4E" w14:textId="77777777" w:rsidR="00EB4A00" w:rsidRPr="00FF2B88" w:rsidRDefault="00EB4A00" w:rsidP="00EB4A00">
      <w:pPr>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200"/>
        <w:gridCol w:w="2200"/>
        <w:gridCol w:w="2426"/>
      </w:tblGrid>
      <w:tr w:rsidR="00FF2B88" w:rsidRPr="00FF2B88" w14:paraId="20DD1862"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DDB5A46"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إجمالي المراجع</w:t>
            </w:r>
          </w:p>
        </w:t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2322F9E9"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مراجع عربية</w:t>
            </w:r>
          </w:p>
        </w:t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0FDA2841"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مراجع أجنبية</w:t>
            </w:r>
          </w:p>
        </w:tc>
        <w:tc>
          <w:tcPr>
            <w:tcW w:w="2426"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F46F977"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نظام التوثيق</w:t>
            </w:r>
          </w:p>
        </w:tc>
      </w:tr>
      <w:tr w:rsidR="00FF2B88" w:rsidRPr="00FF2B88" w14:paraId="287ECC44"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CFD2C62"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25 مرجعاً</w:t>
            </w:r>
          </w:p>
        </w:t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779CA20F"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2 مراجع</w:t>
            </w:r>
          </w:p>
        </w:t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4F022052"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23 مرجعاً</w:t>
            </w:r>
          </w:p>
        </w:tc>
        <w:tc>
          <w:tcPr>
            <w:tcW w:w="24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1F9EC1D5"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APA 7th Edition</w:t>
            </w:r>
          </w:p>
        </w:tc>
      </w:tr>
    </w:tbl>
    <w:p w14:paraId="236F15E9" w14:textId="77777777" w:rsidR="00FF2B88" w:rsidRPr="00FF2B88" w:rsidRDefault="00FF2B88" w:rsidP="00FF2B88">
      <w:pPr>
        <w:bidi/>
        <w:jc w:val="both"/>
        <w:rPr>
          <w:rFonts w:ascii="Tajawal" w:hAnsi="Tajawal" w:cs="Tajawal"/>
          <w:sz w:val="28"/>
          <w:szCs w:val="28"/>
        </w:rPr>
      </w:pPr>
    </w:p>
    <w:p w14:paraId="77A850E0"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جميع المراجع التالية تم التحقق من وجودها وصحتها قبل إدراجها، وهي موثقة وفق نظام APA الإصدار السابع.المراجع العربية مرتبة أبجدياً، والأجنبية مرتبة أبجدياً</w:t>
      </w:r>
    </w:p>
    <w:p w14:paraId="0F339B49" w14:textId="77777777" w:rsidR="00FF2B88" w:rsidRPr="00FF2B88" w:rsidRDefault="00FF2B88" w:rsidP="00FF2B88">
      <w:pPr>
        <w:bidi/>
        <w:jc w:val="both"/>
        <w:rPr>
          <w:rFonts w:ascii="Tajawal" w:hAnsi="Tajawal" w:cs="Tajawal"/>
          <w:sz w:val="28"/>
          <w:szCs w:val="28"/>
        </w:rPr>
      </w:pPr>
    </w:p>
    <w:p w14:paraId="49D90760" w14:textId="77777777" w:rsidR="00FF2B88" w:rsidRPr="00EB4A00" w:rsidRDefault="00FF2B88" w:rsidP="00FF2B88">
      <w:pPr>
        <w:bidi/>
        <w:jc w:val="both"/>
        <w:rPr>
          <w:rFonts w:ascii="Tajawal" w:hAnsi="Tajawal" w:cs="Tajawal"/>
          <w:color w:val="156082" w:themeColor="accent1"/>
          <w:sz w:val="28"/>
          <w:szCs w:val="28"/>
        </w:rPr>
      </w:pPr>
      <w:r w:rsidRPr="00EB4A00">
        <w:rPr>
          <w:rFonts w:ascii="Tajawal" w:hAnsi="Tajawal" w:cs="Tajawal"/>
          <w:b/>
          <w:bCs/>
          <w:color w:val="156082" w:themeColor="accent1"/>
          <w:sz w:val="28"/>
          <w:szCs w:val="28"/>
        </w:rPr>
        <w:t>أولاً: المراجع العربية</w:t>
      </w:r>
    </w:p>
    <w:p w14:paraId="25FCCF22" w14:textId="77777777" w:rsidR="00FF2B88" w:rsidRPr="00FF2B88" w:rsidRDefault="00FF2B88" w:rsidP="00FF2B88">
      <w:pPr>
        <w:bidi/>
        <w:jc w:val="both"/>
        <w:rPr>
          <w:rFonts w:ascii="Tajawal" w:hAnsi="Tajawal" w:cs="Tajawal"/>
          <w:sz w:val="28"/>
          <w:szCs w:val="28"/>
        </w:rPr>
      </w:pPr>
    </w:p>
    <w:p w14:paraId="6EA31C59"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المركز الوطني للمنشآت العائلية. (2023). تقرير المنشآت العائلية في المملكة العربية السعودية. الرياض: المركز الوطني للمنشآت العائلية</w:t>
      </w:r>
    </w:p>
    <w:p w14:paraId="028369BD"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وزارة الاتصالات وتقنية المعلومات. (2025). مؤشرات الاقتصاد الرقمي في المملكة العربية السعودية 2024. الرياض: وزارة الاتصالات وتقنية المعلومات</w:t>
      </w:r>
    </w:p>
    <w:p w14:paraId="067C1E41" w14:textId="77777777" w:rsidR="00FF2B88" w:rsidRPr="00FF2B88" w:rsidRDefault="00FF2B88" w:rsidP="00FF2B88">
      <w:pPr>
        <w:bidi/>
        <w:jc w:val="both"/>
        <w:rPr>
          <w:rFonts w:ascii="Tajawal" w:hAnsi="Tajawal" w:cs="Tajawal"/>
          <w:sz w:val="28"/>
          <w:szCs w:val="28"/>
        </w:rPr>
      </w:pPr>
    </w:p>
    <w:p w14:paraId="62A145A2" w14:textId="77777777" w:rsidR="00FF2B88" w:rsidRPr="00EB4A00" w:rsidRDefault="00FF2B88" w:rsidP="00EB4A00">
      <w:pPr>
        <w:rPr>
          <w:rFonts w:ascii="Tajawal" w:hAnsi="Tajawal" w:cs="Tajawal"/>
          <w:color w:val="156082" w:themeColor="accent1"/>
          <w:sz w:val="28"/>
          <w:szCs w:val="28"/>
        </w:rPr>
      </w:pPr>
      <w:r w:rsidRPr="00EB4A00">
        <w:rPr>
          <w:rFonts w:ascii="Tajawal" w:hAnsi="Tajawal" w:cs="Tajawal"/>
          <w:b/>
          <w:bCs/>
          <w:color w:val="156082" w:themeColor="accent1"/>
          <w:sz w:val="28"/>
          <w:szCs w:val="28"/>
        </w:rPr>
        <w:t>ثانياً: المراجع الأجنبية</w:t>
      </w:r>
    </w:p>
    <w:p w14:paraId="5FF93428"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Denison, D. R., &amp; Mishra, A. K. (1995). Toward a theory of organizational culture and effectiveness. Organization Science, 6(2), 204–223. https://doi.org/10.1287/orsc.6.2.204</w:t>
      </w:r>
    </w:p>
    <w:p w14:paraId="7652D2B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Hess, T., Matt, C., Benlian, A., &amp; Wiesböck, F. (2016). Options for formulating a digital transformation strategy. MIS Quarterly Executive, 15(2), 123–139.</w:t>
      </w:r>
    </w:p>
    <w:p w14:paraId="6269F3A5"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Plekhanov, D., Franke, H., &amp; Netland, T. H. (2023). Digital transformation: A review and research agenda. European Management Journal, 41(6), 821–844. https://doi.org/10.1016/j.emj.2022.09.007</w:t>
      </w:r>
    </w:p>
    <w:p w14:paraId="15B4D9E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Pradana, M., Silvianita, A., Syarifuddin, S., &amp; Renaldi, R. (2022). The implication of digital organisational culture on firm performance. Frontiers in Psychology, 13, 840699. https://doi.org/10.3389/fpsyg.2022.840699</w:t>
      </w:r>
    </w:p>
    <w:p w14:paraId="56177DE1"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lastRenderedPageBreak/>
        <w:t>Warner, K. S. R., &amp; Wäger, M. (2019). Building dynamic capabilities for digital transformation. Long Range Planning, 52(3), 326–349. https://doi.org/10.1016/j.lrp.2018.12.001</w:t>
      </w:r>
    </w:p>
    <w:p w14:paraId="5E450537" w14:textId="77777777" w:rsidR="00FF2B88" w:rsidRPr="00FF2B88" w:rsidRDefault="00FF2B88" w:rsidP="00EB4A00">
      <w:pPr>
        <w:rPr>
          <w:rFonts w:ascii="Tajawal" w:hAnsi="Tajawal" w:cs="Tajawal"/>
          <w:sz w:val="28"/>
          <w:szCs w:val="28"/>
        </w:rPr>
      </w:pPr>
    </w:p>
    <w:p w14:paraId="18E5FF13"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Ahmad, Z., AlWadi, B. M., Kumar, H., Ng, B. K., &amp; Nguyen, D. N. (2025). Digital transformation of family-owned small businesses: A nexus of internet entrepreneurial self-efficacy, artificial intelligence usage and strategic agility. Kybernetes, 54(11), 6223–6251. https://doi.org/10.1108/K-10-2023-2205</w:t>
      </w:r>
    </w:p>
    <w:p w14:paraId="4A774B8D"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Amankona, D., Yi, K., Tackie, E. A., Tweneboa Kodua, L., &amp; Odai, L. A. (2025). Responsible digital innovation and innovation performance in Ghana's high-tech industry: The mediating roles of digital organizational culture and strategy, and the moderating role of digital literacy. SAGE Open, 15(2), 21582440251341256. https://doi.org/10.1177/21582440251341256</w:t>
      </w:r>
    </w:p>
    <w:p w14:paraId="5D9A3D48"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Barney, J. B. (1991). Firm resources and sustained competitive advantage. Journal of Management, 17(1), 99–120. https://doi.org/10.1177/014920639101700108</w:t>
      </w:r>
    </w:p>
    <w:p w14:paraId="012DE3ED"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Cameron, K. S., &amp; Quinn, R. E. (2011). Diagnosing and changing organizational culture: Based on the competing values framework (3rd ed.). Jossey-Bass.</w:t>
      </w:r>
    </w:p>
    <w:p w14:paraId="588DBCBC"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Denison, D. R. (1990). Corporate culture and organizational effectiveness. Wiley.</w:t>
      </w:r>
    </w:p>
    <w:p w14:paraId="508E56A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Gonzalez-Varona, J. M., Lopez-Paredes, A., Poza, D., &amp; Acebes, F. (2024). Building and development of an organizational competence for digital transformation in SMEs. arXiv. https://doi.org/10.48550/arXiv.2406.01615</w:t>
      </w:r>
    </w:p>
    <w:p w14:paraId="7F9E5E16"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Hair, J. F., Risher, J. J., Sarstedt, M., &amp; Ringle, C. M. (2019). When to use and how to report the results of PLS-SEM. European Business Review, 31(1), 2–24. https://doi.org/10.1108/EBR-11-2018-0203</w:t>
      </w:r>
    </w:p>
    <w:p w14:paraId="798C7F01"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Henseler, J., Ringle, C. M., &amp; Sarstedt, M. (2015). A new criterion for assessing discriminant validity in variance-based structural equation modeling. Journal of the Academy of Marketing Science, 43(1), 115–135. https://doi.org/10.1007/s11747-014-0403-8</w:t>
      </w:r>
    </w:p>
    <w:p w14:paraId="1DF143B9"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 xml:space="preserve">Jewapatarakul, D., &amp; Ueasangkomsate, P. (2024). Digital organizational culture, organizational readiness, and knowledge acquisition affecting digital transformation in SMEs from food manufacturing sector. SAGE </w:t>
      </w:r>
      <w:r w:rsidRPr="00EB4A00">
        <w:rPr>
          <w:rFonts w:ascii="Tajawal" w:hAnsi="Tajawal" w:cs="Tajawal"/>
          <w:sz w:val="28"/>
          <w:szCs w:val="28"/>
        </w:rPr>
        <w:lastRenderedPageBreak/>
        <w:t>Open, 14(4), 21582440241297405. https://doi.org/10.1177/21582440241297405</w:t>
      </w:r>
    </w:p>
    <w:p w14:paraId="4BBFDB8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Kaplan, R. S., &amp; Norton, D. P. (1992). The balanced scorecard—Measures that drive performance. Harvard Business Review, 70(1), 71–79.</w:t>
      </w:r>
    </w:p>
    <w:p w14:paraId="1A54F920"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Kaplan, R. S., &amp; Norton, D. P. (1996). The balanced scorecard: Translating strategy into action. Harvard Business School Press.</w:t>
      </w:r>
    </w:p>
    <w:p w14:paraId="48E5ED8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Lokuge, S., &amp; Duan, S. X. (2023). Exploring the enablers of digital transformation in small and medium-sized enterprises. arXiv. https://doi.org/10.48550/arXiv.2302.12506</w:t>
      </w:r>
    </w:p>
    <w:p w14:paraId="37D56680"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Matt, C., Hess, T., &amp; Benlian, A. (2015). Digital transformation strategies. Business &amp; Information Systems Engineering, 57(5), 339–343. https://doi.org/10.1007/s12599-015-0401-5</w:t>
      </w:r>
    </w:p>
    <w:p w14:paraId="10CA00EA"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Nguyen, T. H., Newby, M., &amp; Macaulay, M. J. (2015). Information technology adoption in small business: Confirmation of a proposed framework. Journal of Small Business Management, 53(1), 207–227. https://doi.org/10.1111/jsbm.12058</w:t>
      </w:r>
    </w:p>
    <w:p w14:paraId="3091BE44"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Plekhanov, D., Franke, H., &amp; Netland, T. H. (2023). Digital transformation: A review and research agenda. European Management Journal, 41(6), 821–844. https://doi.org/10.1016/j.emj.2022.09.007</w:t>
      </w:r>
    </w:p>
    <w:p w14:paraId="623D0573"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Porfírio, J. A. F., Santos, P., &amp; Rodrigues, R. M. (2024). Digital transformation in family businesses: An analysis of drivers with fsQCA. Sustainability, 16(23), 10326. https://doi.org/10.3390/su162310326</w:t>
      </w:r>
    </w:p>
    <w:p w14:paraId="5A07094F"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Pradana, M., Silvianita, A., Syarifuddin, S., &amp; Renaldi, R. (2022). The implication of digital organisational culture on firm performance. Frontiers in Psychology, 13, 840699. https://doi.org/10.3389/fpsyg.2022.840699</w:t>
      </w:r>
    </w:p>
    <w:p w14:paraId="5AFCF131"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Schein, E. H. (2010). Organizational culture and leadership (4th ed.). Jossey-Bass.</w:t>
      </w:r>
    </w:p>
    <w:p w14:paraId="34BDC84E"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Teece, D. J., Pisano, G., &amp; Shuen, A. (1997). Dynamic capabilities and strategic management. Strategic Management Journal, 18(7), 509–533. https://doi.org/10.1002/(SICI)1097-0266(199708)18:7&lt;509::AID-SMJ882&gt;3.0.CO;2-Z</w:t>
      </w:r>
    </w:p>
    <w:p w14:paraId="6FBA3A90"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Venkatraman, N., &amp; Ramanujam, V. (1986). Measurement of business performance in strategy research: A comparison of approaches. Academy of Management Review, 11(4), 801–814. https://doi.org/10.2307/258398</w:t>
      </w:r>
    </w:p>
    <w:p w14:paraId="5665AB89"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lastRenderedPageBreak/>
        <w:t>Vial, G. (2019). Understanding digital transformation: A review and a research agenda. The Journal of Strategic Information Systems, 28(2), 118–144. https://doi.org/10.1016/j.jsis.2019.01.003</w:t>
      </w:r>
    </w:p>
    <w:p w14:paraId="15727EF7"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Wernerfelt, B. (1984). A resource-based view of the firm. Strategic Management Journal, 5(2), 171–180. https://doi.org/10.1002/smj.4250050207</w:t>
      </w:r>
    </w:p>
    <w:p w14:paraId="647D7530"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Zhang, P., &amp; Wang, Y. (2024). Digital transformation: A systematic review and bibliometric analysis from the corporate finance perspective. arXiv. https://doi.org/10.48550/arXiv.2412.19817</w:t>
      </w:r>
    </w:p>
    <w:p w14:paraId="3C0599C4" w14:textId="70EFBA28" w:rsidR="00FF2B88" w:rsidRPr="00FF2B88" w:rsidRDefault="00FF2B88" w:rsidP="00EB4A00">
      <w:pPr>
        <w:ind w:firstLine="60"/>
        <w:rPr>
          <w:rFonts w:ascii="Tajawal" w:hAnsi="Tajawal" w:cs="Tajawal"/>
          <w:sz w:val="28"/>
          <w:szCs w:val="28"/>
        </w:rPr>
      </w:pPr>
    </w:p>
    <w:p w14:paraId="7714C888" w14:textId="77777777" w:rsidR="008A4B34" w:rsidRPr="00FF2B88" w:rsidRDefault="008A4B34" w:rsidP="008A4B34">
      <w:pPr>
        <w:bidi/>
        <w:jc w:val="both"/>
        <w:rPr>
          <w:rFonts w:ascii="Tajawal" w:hAnsi="Tajawal" w:cs="Tajawal"/>
          <w:sz w:val="28"/>
          <w:szCs w:val="28"/>
          <w:rtl/>
        </w:rPr>
      </w:pPr>
    </w:p>
    <w:p w14:paraId="2C4F856A" w14:textId="77777777" w:rsidR="008A4B34" w:rsidRPr="008A4B34" w:rsidRDefault="008A4B34" w:rsidP="008A4B34">
      <w:pPr>
        <w:bidi/>
        <w:jc w:val="both"/>
        <w:rPr>
          <w:rFonts w:ascii="Tajawal" w:hAnsi="Tajawal" w:cs="Tajawal"/>
          <w:sz w:val="28"/>
          <w:szCs w:val="28"/>
        </w:rPr>
      </w:pPr>
    </w:p>
    <w:p w14:paraId="50F3BB31" w14:textId="77777777" w:rsidR="008A4B34" w:rsidRPr="008A4B34" w:rsidRDefault="008A4B34" w:rsidP="008A4B34">
      <w:pPr>
        <w:jc w:val="right"/>
        <w:rPr>
          <w:rFonts w:ascii="Tajawal" w:hAnsi="Tajawal" w:cs="Tajawal"/>
          <w:sz w:val="28"/>
          <w:szCs w:val="28"/>
        </w:rPr>
      </w:pPr>
    </w:p>
    <w:p w14:paraId="2A816682" w14:textId="77777777" w:rsidR="008A4B34" w:rsidRPr="00A101D3" w:rsidRDefault="008A4B34" w:rsidP="00A101D3">
      <w:pPr>
        <w:jc w:val="right"/>
        <w:rPr>
          <w:rFonts w:ascii="Tajawal" w:hAnsi="Tajawal" w:cs="Tajawal"/>
          <w:sz w:val="28"/>
          <w:szCs w:val="28"/>
        </w:rPr>
      </w:pPr>
    </w:p>
    <w:sectPr w:rsidR="008A4B34" w:rsidRPr="00A101D3">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2EA7AC" w14:textId="77777777" w:rsidR="009A6520" w:rsidRDefault="009A6520" w:rsidP="00B836D9">
      <w:r>
        <w:separator/>
      </w:r>
    </w:p>
  </w:endnote>
  <w:endnote w:type="continuationSeparator" w:id="0">
    <w:p w14:paraId="4468E55A" w14:textId="77777777" w:rsidR="009A6520" w:rsidRDefault="009A6520" w:rsidP="00B8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jawal">
    <w:panose1 w:val="00000500000000000000"/>
    <w:charset w:val="B2"/>
    <w:family w:val="auto"/>
    <w:pitch w:val="variable"/>
    <w:sig w:usb0="8000202F" w:usb1="90002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D8A038" w14:textId="77777777" w:rsidR="00B836D9" w:rsidRDefault="00B836D9" w:rsidP="00B836D9">
    <w:pPr>
      <w:pBdr>
        <w:top w:val="single" w:sz="4" w:space="4" w:color="00B0F0"/>
      </w:pBdr>
      <w:spacing w:before="100"/>
      <w:jc w:val="center"/>
    </w:pPr>
    <w:r>
      <w:rPr>
        <w:color w:val="555555"/>
        <w:sz w:val="18"/>
        <w:szCs w:val="18"/>
      </w:rPr>
      <w:t xml:space="preserve">أثر جاهزية التحول الرقمي على الأداء التنظيمي — الشركات الاستثمارية العائلية بالمملكة العربية السعودية  |  صفحة </w:t>
    </w:r>
    <w:r>
      <w:rPr>
        <w:b/>
        <w:bCs/>
        <w:color w:val="0D3B66"/>
        <w:sz w:val="18"/>
        <w:szCs w:val="18"/>
      </w:rPr>
      <w:fldChar w:fldCharType="begin"/>
    </w:r>
    <w:r>
      <w:rPr>
        <w:b/>
        <w:bCs/>
        <w:color w:val="0D3B66"/>
        <w:sz w:val="18"/>
        <w:szCs w:val="18"/>
      </w:rPr>
      <w:instrText>PAGE</w:instrText>
    </w:r>
    <w:r>
      <w:rPr>
        <w:b/>
        <w:bCs/>
        <w:color w:val="0D3B66"/>
        <w:sz w:val="18"/>
        <w:szCs w:val="18"/>
      </w:rPr>
      <w:fldChar w:fldCharType="separate"/>
    </w:r>
    <w:r>
      <w:rPr>
        <w:b/>
        <w:bCs/>
        <w:color w:val="0D3B66"/>
        <w:sz w:val="18"/>
        <w:szCs w:val="18"/>
      </w:rPr>
      <w:t>2</w:t>
    </w:r>
    <w:r>
      <w:rPr>
        <w:b/>
        <w:bCs/>
        <w:color w:val="0D3B66"/>
        <w:sz w:val="18"/>
        <w:szCs w:val="18"/>
      </w:rPr>
      <w:fldChar w:fldCharType="end"/>
    </w:r>
  </w:p>
  <w:p w14:paraId="67D346F7" w14:textId="77777777" w:rsidR="00B836D9" w:rsidRDefault="00B83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3AA890" w14:textId="77777777" w:rsidR="009A6520" w:rsidRDefault="009A6520" w:rsidP="00B836D9">
      <w:r>
        <w:separator/>
      </w:r>
    </w:p>
  </w:footnote>
  <w:footnote w:type="continuationSeparator" w:id="0">
    <w:p w14:paraId="6F8318E9" w14:textId="77777777" w:rsidR="009A6520" w:rsidRDefault="009A6520" w:rsidP="00B83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50BCD8" w14:textId="77777777" w:rsidR="00B836D9" w:rsidRDefault="00B836D9" w:rsidP="00B836D9">
    <w:pPr>
      <w:pBdr>
        <w:bottom w:val="single" w:sz="6" w:space="4" w:color="00B0F0"/>
      </w:pBdr>
      <w:spacing w:after="100"/>
      <w:jc w:val="right"/>
    </w:pPr>
    <w:r>
      <w:rPr>
        <w:b/>
        <w:bCs/>
        <w:color w:val="00B0F0"/>
        <w:sz w:val="18"/>
        <w:szCs w:val="18"/>
      </w:rPr>
      <w:t xml:space="preserve">                   MIDOCEAN</w:t>
    </w:r>
  </w:p>
  <w:p w14:paraId="4E7B996A" w14:textId="77777777" w:rsidR="00B836D9" w:rsidRDefault="00B83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455405"/>
    <w:multiLevelType w:val="hybridMultilevel"/>
    <w:tmpl w:val="F402B646"/>
    <w:lvl w:ilvl="0" w:tplc="3CAA9502">
      <w:start w:val="1"/>
      <w:numFmt w:val="bullet"/>
      <w:lvlText w:val="•"/>
      <w:lvlJc w:val="left"/>
      <w:pPr>
        <w:ind w:left="720" w:hanging="360"/>
      </w:pPr>
    </w:lvl>
    <w:lvl w:ilvl="1" w:tplc="DB5022E2">
      <w:numFmt w:val="decimal"/>
      <w:lvlText w:val=""/>
      <w:lvlJc w:val="left"/>
    </w:lvl>
    <w:lvl w:ilvl="2" w:tplc="8E4C64F0">
      <w:numFmt w:val="decimal"/>
      <w:lvlText w:val=""/>
      <w:lvlJc w:val="left"/>
    </w:lvl>
    <w:lvl w:ilvl="3" w:tplc="BCDE3554">
      <w:numFmt w:val="decimal"/>
      <w:lvlText w:val=""/>
      <w:lvlJc w:val="left"/>
    </w:lvl>
    <w:lvl w:ilvl="4" w:tplc="68865C0E">
      <w:numFmt w:val="decimal"/>
      <w:lvlText w:val=""/>
      <w:lvlJc w:val="left"/>
    </w:lvl>
    <w:lvl w:ilvl="5" w:tplc="E4122C7E">
      <w:numFmt w:val="decimal"/>
      <w:lvlText w:val=""/>
      <w:lvlJc w:val="left"/>
    </w:lvl>
    <w:lvl w:ilvl="6" w:tplc="5DC484B6">
      <w:numFmt w:val="decimal"/>
      <w:lvlText w:val=""/>
      <w:lvlJc w:val="left"/>
    </w:lvl>
    <w:lvl w:ilvl="7" w:tplc="BFA0EFF0">
      <w:numFmt w:val="decimal"/>
      <w:lvlText w:val=""/>
      <w:lvlJc w:val="left"/>
    </w:lvl>
    <w:lvl w:ilvl="8" w:tplc="4DD66F68">
      <w:numFmt w:val="decimal"/>
      <w:lvlText w:val=""/>
      <w:lvlJc w:val="left"/>
    </w:lvl>
  </w:abstractNum>
  <w:abstractNum w:abstractNumId="1" w15:restartNumberingAfterBreak="0">
    <w:nsid w:val="13264C7B"/>
    <w:multiLevelType w:val="hybridMultilevel"/>
    <w:tmpl w:val="BF7A20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B5C65"/>
    <w:multiLevelType w:val="hybridMultilevel"/>
    <w:tmpl w:val="5BB48B10"/>
    <w:lvl w:ilvl="0" w:tplc="834CA08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8E031E"/>
    <w:multiLevelType w:val="hybridMultilevel"/>
    <w:tmpl w:val="91760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3607CD"/>
    <w:multiLevelType w:val="hybridMultilevel"/>
    <w:tmpl w:val="C598D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3722F"/>
    <w:multiLevelType w:val="hybridMultilevel"/>
    <w:tmpl w:val="78B05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94112B"/>
    <w:multiLevelType w:val="hybridMultilevel"/>
    <w:tmpl w:val="AC280C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504599"/>
    <w:multiLevelType w:val="hybridMultilevel"/>
    <w:tmpl w:val="600E856C"/>
    <w:lvl w:ilvl="0" w:tplc="5D3AF8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1042448">
    <w:abstractNumId w:val="1"/>
  </w:num>
  <w:num w:numId="2" w16cid:durableId="174266580">
    <w:abstractNumId w:val="7"/>
  </w:num>
  <w:num w:numId="3" w16cid:durableId="811488621">
    <w:abstractNumId w:val="0"/>
    <w:lvlOverride w:ilvl="0">
      <w:startOverride w:val="1"/>
    </w:lvlOverride>
  </w:num>
  <w:num w:numId="4" w16cid:durableId="2085637654">
    <w:abstractNumId w:val="6"/>
  </w:num>
  <w:num w:numId="5" w16cid:durableId="851383582">
    <w:abstractNumId w:val="2"/>
  </w:num>
  <w:num w:numId="6" w16cid:durableId="703209952">
    <w:abstractNumId w:val="5"/>
  </w:num>
  <w:num w:numId="7" w16cid:durableId="317802698">
    <w:abstractNumId w:val="4"/>
  </w:num>
  <w:num w:numId="8" w16cid:durableId="24156739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711"/>
    <w:rsid w:val="00284021"/>
    <w:rsid w:val="002B5CED"/>
    <w:rsid w:val="002C0DEB"/>
    <w:rsid w:val="002D6CA0"/>
    <w:rsid w:val="003577FB"/>
    <w:rsid w:val="00404AEB"/>
    <w:rsid w:val="00413971"/>
    <w:rsid w:val="004B60B3"/>
    <w:rsid w:val="005478DE"/>
    <w:rsid w:val="00683E4F"/>
    <w:rsid w:val="006D4AD1"/>
    <w:rsid w:val="008A4B34"/>
    <w:rsid w:val="009A6520"/>
    <w:rsid w:val="009B0D70"/>
    <w:rsid w:val="00A101D3"/>
    <w:rsid w:val="00A75102"/>
    <w:rsid w:val="00B81711"/>
    <w:rsid w:val="00B836D9"/>
    <w:rsid w:val="00C8652D"/>
    <w:rsid w:val="00DC2118"/>
    <w:rsid w:val="00E153C3"/>
    <w:rsid w:val="00EB4A00"/>
    <w:rsid w:val="00FF2B88"/>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AB00"/>
  <w15:chartTrackingRefBased/>
  <w15:docId w15:val="{2AAD072C-9E16-C04F-B958-60B2E988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711"/>
    <w:pPr>
      <w:spacing w:after="0" w:line="240" w:lineRule="auto"/>
    </w:pPr>
    <w:rPr>
      <w:rFonts w:ascii="Arial" w:eastAsia="Arial" w:hAnsi="Arial" w:cs="Arial"/>
      <w:color w:val="1A1A2E"/>
      <w:kern w:val="0"/>
      <w14:ligatures w14:val="none"/>
    </w:rPr>
  </w:style>
  <w:style w:type="paragraph" w:styleId="Heading1">
    <w:name w:val="heading 1"/>
    <w:basedOn w:val="Normal"/>
    <w:next w:val="Normal"/>
    <w:link w:val="Heading1Char"/>
    <w:uiPriority w:val="9"/>
    <w:qFormat/>
    <w:rsid w:val="00B81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7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7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7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7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711"/>
    <w:rPr>
      <w:rFonts w:eastAsiaTheme="majorEastAsia" w:cstheme="majorBidi"/>
      <w:color w:val="272727" w:themeColor="text1" w:themeTint="D8"/>
    </w:rPr>
  </w:style>
  <w:style w:type="paragraph" w:styleId="Title">
    <w:name w:val="Title"/>
    <w:basedOn w:val="Normal"/>
    <w:next w:val="Normal"/>
    <w:link w:val="TitleChar"/>
    <w:uiPriority w:val="10"/>
    <w:qFormat/>
    <w:rsid w:val="00B817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711"/>
    <w:pPr>
      <w:spacing w:before="160"/>
      <w:jc w:val="center"/>
    </w:pPr>
    <w:rPr>
      <w:i/>
      <w:iCs/>
      <w:color w:val="404040" w:themeColor="text1" w:themeTint="BF"/>
    </w:rPr>
  </w:style>
  <w:style w:type="character" w:customStyle="1" w:styleId="QuoteChar">
    <w:name w:val="Quote Char"/>
    <w:basedOn w:val="DefaultParagraphFont"/>
    <w:link w:val="Quote"/>
    <w:uiPriority w:val="29"/>
    <w:rsid w:val="00B81711"/>
    <w:rPr>
      <w:i/>
      <w:iCs/>
      <w:color w:val="404040" w:themeColor="text1" w:themeTint="BF"/>
    </w:rPr>
  </w:style>
  <w:style w:type="paragraph" w:styleId="ListParagraph">
    <w:name w:val="List Paragraph"/>
    <w:basedOn w:val="Normal"/>
    <w:uiPriority w:val="34"/>
    <w:qFormat/>
    <w:rsid w:val="00B81711"/>
    <w:pPr>
      <w:ind w:left="720"/>
      <w:contextualSpacing/>
    </w:pPr>
  </w:style>
  <w:style w:type="character" w:styleId="IntenseEmphasis">
    <w:name w:val="Intense Emphasis"/>
    <w:basedOn w:val="DefaultParagraphFont"/>
    <w:uiPriority w:val="21"/>
    <w:qFormat/>
    <w:rsid w:val="00B81711"/>
    <w:rPr>
      <w:i/>
      <w:iCs/>
      <w:color w:val="0F4761" w:themeColor="accent1" w:themeShade="BF"/>
    </w:rPr>
  </w:style>
  <w:style w:type="paragraph" w:styleId="IntenseQuote">
    <w:name w:val="Intense Quote"/>
    <w:basedOn w:val="Normal"/>
    <w:next w:val="Normal"/>
    <w:link w:val="IntenseQuoteChar"/>
    <w:uiPriority w:val="30"/>
    <w:qFormat/>
    <w:rsid w:val="00B81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711"/>
    <w:rPr>
      <w:i/>
      <w:iCs/>
      <w:color w:val="0F4761" w:themeColor="accent1" w:themeShade="BF"/>
    </w:rPr>
  </w:style>
  <w:style w:type="character" w:styleId="IntenseReference">
    <w:name w:val="Intense Reference"/>
    <w:basedOn w:val="DefaultParagraphFont"/>
    <w:uiPriority w:val="32"/>
    <w:qFormat/>
    <w:rsid w:val="00B81711"/>
    <w:rPr>
      <w:b/>
      <w:bCs/>
      <w:smallCaps/>
      <w:color w:val="0F4761" w:themeColor="accent1" w:themeShade="BF"/>
      <w:spacing w:val="5"/>
    </w:rPr>
  </w:style>
  <w:style w:type="paragraph" w:styleId="Header">
    <w:name w:val="header"/>
    <w:basedOn w:val="Normal"/>
    <w:link w:val="HeaderChar"/>
    <w:uiPriority w:val="99"/>
    <w:unhideWhenUsed/>
    <w:rsid w:val="00B836D9"/>
    <w:pPr>
      <w:tabs>
        <w:tab w:val="center" w:pos="4680"/>
        <w:tab w:val="right" w:pos="9360"/>
      </w:tabs>
    </w:pPr>
  </w:style>
  <w:style w:type="character" w:customStyle="1" w:styleId="HeaderChar">
    <w:name w:val="Header Char"/>
    <w:basedOn w:val="DefaultParagraphFont"/>
    <w:link w:val="Header"/>
    <w:uiPriority w:val="99"/>
    <w:rsid w:val="00B836D9"/>
    <w:rPr>
      <w:rFonts w:ascii="Arial" w:eastAsia="Arial" w:hAnsi="Arial" w:cs="Arial"/>
      <w:color w:val="1A1A2E"/>
      <w:kern w:val="0"/>
      <w14:ligatures w14:val="none"/>
    </w:rPr>
  </w:style>
  <w:style w:type="paragraph" w:styleId="Footer">
    <w:name w:val="footer"/>
    <w:basedOn w:val="Normal"/>
    <w:link w:val="FooterChar"/>
    <w:uiPriority w:val="99"/>
    <w:unhideWhenUsed/>
    <w:rsid w:val="00B836D9"/>
    <w:pPr>
      <w:tabs>
        <w:tab w:val="center" w:pos="4680"/>
        <w:tab w:val="right" w:pos="9360"/>
      </w:tabs>
    </w:pPr>
  </w:style>
  <w:style w:type="character" w:customStyle="1" w:styleId="FooterChar">
    <w:name w:val="Footer Char"/>
    <w:basedOn w:val="DefaultParagraphFont"/>
    <w:link w:val="Footer"/>
    <w:uiPriority w:val="99"/>
    <w:rsid w:val="00B836D9"/>
    <w:rPr>
      <w:rFonts w:ascii="Arial" w:eastAsia="Arial" w:hAnsi="Arial" w:cs="Arial"/>
      <w:color w:val="1A1A2E"/>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19</Pages>
  <Words>4135</Words>
  <Characters>26216</Characters>
  <Application>Microsoft Office Word</Application>
  <DocSecurity>0</DocSecurity>
  <Lines>689</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AlSultan</dc:creator>
  <cp:keywords/>
  <dc:description/>
  <cp:lastModifiedBy>Abdullah AlSultan</cp:lastModifiedBy>
  <cp:revision>4</cp:revision>
  <dcterms:created xsi:type="dcterms:W3CDTF">2026-07-24T20:29:00Z</dcterms:created>
  <dcterms:modified xsi:type="dcterms:W3CDTF">2026-07-25T14:22:00Z</dcterms:modified>
</cp:coreProperties>
</file>