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sdt>
      <w:sdtPr>
        <w:rPr>
          <w:rFonts w:ascii="Traditional Arabic" w:cs="Traditional Arabic" w:hAnsi="Traditional Arabic"/>
        </w:rPr>
        <w:id w:val="-1366715194"/>
        <w:docPartObj>
          <w:docPartGallery/>
          <w:docPartUnique/>
        </w:docPartObj>
      </w:sdtPr>
      <w:sdtContent>
        <w:p>
          <w:pPr>
            <w:spacing w:line="360" w:lineRule="auto"/>
            <w:rPr>
              <w:rFonts w:ascii="Traditional Arabic" w:cs="Traditional Arabic" w:hAnsi="Traditional Arabic"/>
              <w:rtl/>
            </w:rPr>
          </w:pPr>
        </w:p>
        <w:p>
          <w:pPr>
            <w:spacing w:line="360" w:lineRule="auto"/>
            <w:rPr>
              <w:rFonts w:ascii="Traditional Arabic" w:cs="Traditional Arabic" w:hAnsi="Traditional Arabic"/>
              <w:rtl/>
            </w:rPr>
          </w:pPr>
        </w:p>
        <w:p>
          <w:pPr>
            <w:spacing w:line="360" w:lineRule="auto"/>
            <w:rPr>
              <w:rFonts w:ascii="Traditional Arabic" w:cs="Traditional Arabic" w:hAnsi="Traditional Arabic"/>
              <w:rtl/>
            </w:rPr>
          </w:pPr>
        </w:p>
        <w:p>
          <w:pPr>
            <w:spacing w:line="360" w:lineRule="auto"/>
            <w:rPr>
              <w:rFonts w:ascii="Traditional Arabic" w:cs="Traditional Arabic" w:hAnsi="Traditional Arabic"/>
              <w:rtl/>
            </w:rPr>
          </w:pPr>
        </w:p>
        <w:p>
          <w:pPr>
            <w:spacing w:line="360" w:lineRule="auto"/>
            <w:rPr>
              <w:rFonts w:ascii="Traditional Arabic" w:cs="Traditional Arabic" w:hAnsi="Traditional Arabic"/>
              <w:rtl/>
            </w:rPr>
          </w:pPr>
        </w:p>
        <w:p>
          <w:pPr>
            <w:spacing w:line="360" w:lineRule="auto"/>
            <w:rPr>
              <w:rFonts w:ascii="Traditional Arabic" w:cs="Traditional Arabic" w:hAnsi="Traditional Arabic"/>
              <w:rtl/>
            </w:rPr>
          </w:pPr>
        </w:p>
        <w:p>
          <w:pPr>
            <w:pStyle w:val="15"/>
            <w:shd w:val="clear" w:color="auto" w:fill="FFFFFF"/>
            <w:bidi/>
            <w:spacing w:before="240" w:beforeAutospacing="0" w:after="240" w:afterAutospacing="0" w:line="360" w:lineRule="auto"/>
            <w:jc w:val="center"/>
            <w:rPr>
              <w:rFonts w:ascii="Traditional Arabic" w:cs="Traditional Arabic" w:hAnsi="Traditional Arabic"/>
              <w:b/>
              <w:bCs/>
              <w:color w:val="0F1115"/>
              <w:sz w:val="40"/>
              <w:szCs w:val="40"/>
            </w:rPr>
          </w:pPr>
          <w:r>
            <w:rPr>
              <w:rFonts w:ascii="Traditional Arabic" w:cs="Traditional Arabic" w:hAnsi="Traditional Arabic"/>
              <w:b/>
              <w:bCs/>
              <w:color w:val="0F1115"/>
              <w:sz w:val="40"/>
              <w:szCs w:val="40"/>
              <w:rtl/>
            </w:rPr>
            <w:t>إدارة مشاريع تطبيقات الذكاء الاصطناعي في القطاع العقاري السعودي: دراسة تحليلية</w:t>
          </w:r>
        </w:p>
        <w:p>
          <w:pPr>
            <w:pStyle w:val="15"/>
            <w:shd w:val="clear" w:color="auto" w:fill="FFFFFF"/>
            <w:bidi/>
            <w:spacing w:before="240" w:beforeAutospacing="0" w:after="240" w:afterAutospacing="0" w:line="360" w:lineRule="auto"/>
            <w:jc w:val="center"/>
            <w:rPr>
              <w:rFonts w:ascii="Traditional Arabic" w:cs="Traditional Arabic" w:hAnsi="Traditional Arabic"/>
              <w:color w:val="0F1115"/>
              <w:rtl/>
            </w:rPr>
          </w:pPr>
          <w:r>
            <w:rPr>
              <w:rStyle w:val="19"/>
              <w:rFonts w:ascii="Traditional Arabic" w:cs="Traditional Arabic" w:hAnsi="Traditional Arabic"/>
              <w:color w:val="0F1115"/>
              <w:sz w:val="36"/>
              <w:szCs w:val="36"/>
              <w:rtl/>
            </w:rPr>
            <w:t>إعداد الطالب</w:t>
          </w:r>
          <w:r>
            <w:rPr>
              <w:rStyle w:val="19"/>
              <w:rFonts w:ascii="Traditional Arabic" w:cs="Traditional Arabic" w:hAnsi="Traditional Arabic"/>
              <w:color w:val="0F1115"/>
              <w:sz w:val="36"/>
              <w:szCs w:val="36"/>
            </w:rPr>
            <w:t>:</w:t>
          </w:r>
          <w:r>
            <w:rPr>
              <w:rFonts w:ascii="Traditional Arabic" w:cs="Traditional Arabic" w:hAnsi="Traditional Arabic"/>
              <w:color w:val="0F1115"/>
            </w:rPr>
            <w:br/>
          </w:r>
          <w:bookmarkStart w:id="0" w:name="_GoBack"/>
          <w:bookmarkEnd w:id="0"/>
          <w:r>
            <w:rPr>
              <w:rFonts w:ascii="Traditional Arabic" w:cs="Traditional Arabic" w:hAnsi="Traditional Arabic"/>
              <w:color w:val="0F1115"/>
              <w:sz w:val="28"/>
              <w:szCs w:val="28"/>
              <w:rtl/>
            </w:rPr>
            <w:t>ريم محمد اللحيدان</w:t>
          </w:r>
        </w:p>
        <w:p>
          <w:pPr>
            <w:pStyle w:val="15"/>
            <w:shd w:val="clear" w:color="auto" w:fill="FFFFFF"/>
            <w:bidi/>
            <w:spacing w:before="240" w:beforeAutospacing="0" w:after="240" w:afterAutospacing="0" w:line="360" w:lineRule="auto"/>
            <w:jc w:val="center"/>
            <w:rPr>
              <w:rFonts w:ascii="Traditional Arabic" w:cs="Traditional Arabic" w:hAnsi="Traditional Arabic"/>
              <w:b/>
              <w:bCs/>
              <w:color w:val="0F1115"/>
              <w:rtl/>
            </w:rPr>
          </w:pPr>
          <w:r>
            <w:rPr>
              <w:rStyle w:val="19"/>
              <w:b w:val="0"/>
              <w:bCs w:val="0"/>
              <w:sz w:val="36"/>
              <w:szCs w:val="36"/>
              <w:rtl/>
            </w:rPr>
            <w:t>الرقم الأكاديمي</w:t>
          </w:r>
          <w:r>
            <w:rPr>
              <w:rFonts w:ascii="Traditional Arabic" w:cs="Traditional Arabic" w:hAnsi="Traditional Arabic"/>
              <w:b/>
              <w:bCs/>
              <w:color w:val="0F1115"/>
              <w:rtl/>
            </w:rPr>
            <w:t>:</w:t>
          </w:r>
        </w:p>
        <w:p>
          <w:pPr>
            <w:pStyle w:val="15"/>
            <w:shd w:val="clear" w:color="auto" w:fill="FFFFFF"/>
            <w:bidi/>
            <w:spacing w:before="240" w:beforeAutospacing="0"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251002661</w:t>
          </w:r>
        </w:p>
        <w:p>
          <w:pPr>
            <w:pStyle w:val="15"/>
            <w:shd w:val="clear" w:color="auto" w:fill="FFFFFF"/>
            <w:bidi/>
            <w:spacing w:before="240" w:beforeAutospacing="0" w:after="240" w:afterAutospacing="0" w:line="360" w:lineRule="auto"/>
            <w:jc w:val="center"/>
            <w:rPr>
              <w:rStyle w:val="19"/>
              <w:b w:val="0"/>
              <w:bCs w:val="0"/>
              <w:sz w:val="36"/>
              <w:szCs w:val="36"/>
              <w:rtl/>
            </w:rPr>
          </w:pPr>
          <w:r>
            <w:rPr>
              <w:rStyle w:val="19"/>
              <w:b w:val="0"/>
              <w:bCs w:val="0"/>
              <w:sz w:val="36"/>
              <w:szCs w:val="36"/>
              <w:rtl/>
            </w:rPr>
            <w:t>إشراف:</w:t>
          </w:r>
        </w:p>
        <w:p>
          <w:pPr>
            <w:pStyle w:val="15"/>
            <w:shd w:val="clear" w:color="auto" w:fill="FFFFFF"/>
            <w:bidi/>
            <w:spacing w:before="240" w:beforeAutospacing="0" w:after="240" w:afterAutospacing="0" w:line="360" w:lineRule="auto"/>
            <w:jc w:val="center"/>
            <w:rPr>
              <w:sz w:val="28"/>
              <w:szCs w:val="28"/>
              <w:rtl/>
            </w:rPr>
          </w:pPr>
          <w:r>
            <w:rPr>
              <w:sz w:val="28"/>
              <w:szCs w:val="28"/>
              <w:rtl/>
            </w:rPr>
            <w:t>الدكتور</w:t>
          </w:r>
          <w:r>
            <w:rPr>
              <w:sz w:val="28"/>
              <w:szCs w:val="28"/>
            </w:rPr>
            <w:t>/</w:t>
          </w:r>
          <w:r>
            <w:rPr>
              <w:sz w:val="28"/>
              <w:szCs w:val="28"/>
              <w:rtl/>
            </w:rPr>
            <w:t xml:space="preserve"> الفيصل عبدالحميد محمد    </w:t>
          </w:r>
          <w:r>
            <w:rPr>
              <w:sz w:val="28"/>
              <w:szCs w:val="28"/>
            </w:rPr>
            <w:t xml:space="preserve">   </w:t>
          </w:r>
          <w:r>
            <w:rPr>
              <w:sz w:val="28"/>
              <w:szCs w:val="28"/>
              <w:rtl/>
            </w:rPr>
            <w:t xml:space="preserve">         </w:t>
            <w:tab/>
          </w:r>
          <w:r>
            <w:rPr>
              <w:sz w:val="28"/>
              <w:szCs w:val="28"/>
            </w:rPr>
            <w:t xml:space="preserve">  </w:t>
          </w:r>
          <w:r>
            <w:rPr>
              <w:sz w:val="28"/>
              <w:szCs w:val="28"/>
              <w:rtl/>
            </w:rPr>
            <w:tab/>
            <w:t xml:space="preserve">   </w:t>
            <w:tab/>
            <w:t>الدكتور</w:t>
          </w:r>
          <w:r>
            <w:rPr>
              <w:sz w:val="28"/>
              <w:szCs w:val="28"/>
            </w:rPr>
            <w:t>/</w:t>
          </w:r>
          <w:r>
            <w:rPr>
              <w:sz w:val="28"/>
              <w:szCs w:val="28"/>
              <w:rtl/>
            </w:rPr>
            <w:t>فايز علي جراد</w:t>
          </w:r>
        </w:p>
        <w:p>
          <w:pPr>
            <w:pStyle w:val="15"/>
            <w:shd w:val="clear" w:color="auto" w:fill="FFFFFF"/>
            <w:bidi/>
            <w:spacing w:before="240" w:beforeAutospacing="0" w:after="240" w:afterAutospacing="0" w:line="360" w:lineRule="auto"/>
            <w:jc w:val="center"/>
            <w:rPr>
              <w:rStyle w:val="19"/>
              <w:b w:val="0"/>
              <w:bCs w:val="0"/>
              <w:sz w:val="36"/>
              <w:szCs w:val="36"/>
              <w:rtl/>
            </w:rPr>
          </w:pPr>
          <w:r>
            <w:rPr>
              <w:rStyle w:val="19"/>
              <w:b w:val="0"/>
              <w:bCs w:val="0"/>
              <w:sz w:val="36"/>
              <w:szCs w:val="36"/>
              <w:rtl/>
            </w:rPr>
            <w:t>العام الدراسي:</w:t>
          </w:r>
        </w:p>
        <w:p>
          <w:pPr>
            <w:pStyle w:val="15"/>
            <w:shd w:val="clear" w:color="auto" w:fill="FFFFFF"/>
            <w:bidi/>
            <w:spacing w:before="240" w:beforeAutospacing="0" w:after="240" w:afterAutospacing="0" w:line="360" w:lineRule="auto"/>
            <w:jc w:val="center"/>
            <w:rPr>
              <w:rFonts w:ascii="Traditional Arabic" w:cs="Traditional Arabic" w:hAnsi="Traditional Arabic"/>
              <w:color w:val="0F1115"/>
              <w:rtl/>
            </w:rPr>
          </w:pPr>
          <w:r>
            <w:rPr>
              <w:sz w:val="28"/>
              <w:szCs w:val="28"/>
              <w:rtl/>
            </w:rPr>
            <w:t>2025</w:t>
          </w:r>
          <w:r>
            <w:rPr>
              <w:sz w:val="28"/>
              <w:szCs w:val="28"/>
            </w:rPr>
            <w:t>/</w:t>
          </w:r>
          <w:r>
            <w:rPr>
              <w:sz w:val="28"/>
              <w:szCs w:val="28"/>
              <w:rtl/>
            </w:rPr>
            <w:t>2026</w:t>
          </w:r>
          <w:r>
            <w:rPr>
              <w:rFonts w:ascii="Traditional Arabic" w:cs="Traditional Arabic" w:hAnsi="Traditional Arabic"/>
              <w:color w:val="4472C4"/>
            </w:rPr>
            <w:br/>
          </w:r>
        </w:p>
        <w:p>
          <w:pPr>
            <w:spacing w:line="360" w:lineRule="auto"/>
            <w:rPr>
              <w:rFonts w:ascii="Traditional Arabic" w:cs="Traditional Arabic" w:hAnsi="Traditional Arabic"/>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p>
          <w:pPr>
            <w:spacing w:line="360" w:lineRule="auto"/>
            <w:rPr>
              <w:rFonts w:ascii="Traditional Arabic" w:cs="Traditional Arabic" w:hAnsi="Traditional Arabic"/>
              <w:sz w:val="10"/>
              <w:szCs w:val="10"/>
              <w:rtl/>
            </w:rPr>
          </w:pPr>
        </w:p>
      </w:sdtContent>
    </w:sdt>
    <w:p>
      <w:pPr>
        <w:pStyle w:val="15"/>
        <w:shd w:val="clear" w:color="auto" w:fill="FFFFFF"/>
        <w:spacing w:after="240" w:afterAutospacing="0" w:line="360" w:lineRule="auto"/>
        <w:jc w:val="center"/>
        <w:rPr>
          <w:rFonts w:ascii="Traditional Arabic" w:cs="Traditional Arabic" w:hAnsi="Traditional Arabic"/>
          <w:b/>
          <w:bCs/>
          <w:color w:val="0F1115"/>
          <w:sz w:val="40"/>
          <w:szCs w:val="40"/>
        </w:rPr>
      </w:pPr>
      <w:r>
        <w:rPr>
          <w:rStyle w:val="19"/>
          <w:rFonts w:ascii="Traditional Arabic" w:cs="Traditional Arabic" w:hAnsi="Traditional Arabic"/>
          <w:color w:val="0F1115"/>
          <w:sz w:val="40"/>
          <w:szCs w:val="40"/>
          <w:rtl/>
        </w:rPr>
        <w:t>إهداء</w:t>
      </w:r>
    </w:p>
    <w:p>
      <w:pPr>
        <w:pStyle w:val="15"/>
        <w:shd w:val="clear" w:color="auto" w:fill="FFFFFF"/>
        <w:spacing w:before="240" w:beforeAutospacing="0" w:after="240" w:afterAutospacing="0" w:line="360" w:lineRule="auto"/>
        <w:jc w:val="cente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pP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tl/>
        </w:rPr>
        <w:t>إلى من علمني حرفاً.. إلى من سهر من أجلي</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Style w:val="19"/>
          <w:rFonts w:ascii="Traditional Arabic" w:cs="Traditional Arabic" w:hAnsi="Traditional Arabic"/>
          <w:b w:val="0"/>
          <w:color w:val="000000"/>
          <w:sz w:val="28"/>
          <w:szCs w:val="28"/>
          <w14:shadow w14:sx="100000" w14:sy="100000" w14:blurRad="38100" w14:dir="2700000" w14:dist="19050" w14:algn="tl">
            <w14:srgbClr w14:val="000000">
              <w14:alpha w14:val="60000"/>
            </w14:srgbClr>
          </w14:shadow>
          <w:rtl/>
        </w:rPr>
        <w:t>إلى أمي الغالية.. التي ضحت بعمرها من أجلنا</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Style w:val="19"/>
          <w:rFonts w:ascii="Traditional Arabic" w:cs="Traditional Arabic" w:hAnsi="Traditional Arabic"/>
          <w:b w:val="0"/>
          <w:color w:val="000000"/>
          <w:sz w:val="28"/>
          <w:szCs w:val="28"/>
          <w14:shadow w14:sx="100000" w14:sy="100000" w14:blurRad="38100" w14:dir="2700000" w14:dist="19050" w14:algn="tl">
            <w14:srgbClr w14:val="000000">
              <w14:alpha w14:val="60000"/>
            </w14:srgbClr>
          </w14:shadow>
          <w:rtl/>
        </w:rPr>
        <w:t>إلى أخواتي وسندي في الحياة</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Style w:val="19"/>
          <w:rFonts w:ascii="Traditional Arabic" w:cs="Traditional Arabic" w:hAnsi="Traditional Arabic"/>
          <w:b w:val="0"/>
          <w:color w:val="000000"/>
          <w:sz w:val="28"/>
          <w:szCs w:val="28"/>
          <w14:shadow w14:sx="100000" w14:sy="100000" w14:blurRad="38100" w14:dir="2700000" w14:dist="19050" w14:algn="tl">
            <w14:srgbClr w14:val="000000">
              <w14:alpha w14:val="60000"/>
            </w14:srgbClr>
          </w14:shadow>
          <w:rtl/>
        </w:rPr>
        <w:t>إلى بناتي الجميلات.. نور عيني وقلبي</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Style w:val="19"/>
          <w:rFonts w:ascii="Traditional Arabic" w:cs="Traditional Arabic" w:hAnsi="Traditional Arabic"/>
          <w:b w:val="0"/>
          <w:color w:val="000000"/>
          <w:sz w:val="28"/>
          <w:szCs w:val="28"/>
          <w14:shadow w14:sx="100000" w14:sy="100000" w14:blurRad="38100" w14:dir="2700000" w14:dist="19050" w14:algn="tl">
            <w14:srgbClr w14:val="000000">
              <w14:alpha w14:val="60000"/>
            </w14:srgbClr>
          </w14:shadow>
          <w:rtl/>
        </w:rPr>
        <w:t>اللواتي يجعللنني أسعى وأنجح كلما رأيت وجههن المشرق</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Style w:val="19"/>
          <w:rFonts w:ascii="Traditional Arabic" w:cs="Traditional Arabic" w:hAnsi="Traditional Arabic"/>
          <w:b w:val="0"/>
          <w:color w:val="000000"/>
          <w:sz w:val="28"/>
          <w:szCs w:val="28"/>
          <w14:shadow w14:sx="100000" w14:sy="100000" w14:blurRad="38100" w14:dir="2700000" w14:dist="19050" w14:algn="tl">
            <w14:srgbClr w14:val="000000">
              <w14:alpha w14:val="60000"/>
            </w14:srgbClr>
          </w14:shadow>
          <w:rtl/>
        </w:rPr>
        <w:t>إلى من أرى في عيونهن مستقبلاً مشرقاً</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Style w:val="19"/>
          <w:rFonts w:ascii="Traditional Arabic" w:cs="Traditional Arabic" w:hAnsi="Traditional Arabic"/>
          <w:b w:val="0"/>
          <w:color w:val="000000"/>
          <w:sz w:val="28"/>
          <w:szCs w:val="28"/>
          <w14:shadow w14:sx="100000" w14:sy="100000" w14:blurRad="38100" w14:dir="2700000" w14:dist="19050" w14:algn="tl">
            <w14:srgbClr w14:val="000000">
              <w14:alpha w14:val="60000"/>
            </w14:srgbClr>
          </w14:shadow>
          <w:rtl/>
        </w:rPr>
        <w:t>إلى من يجعلن كل تعب يتحول إلى فرح</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tl/>
        </w:rPr>
        <w:t>إلى كل من ساندني في رحلة العلم</w:t>
      </w:r>
    </w:p>
    <w:p>
      <w:pPr>
        <w:pStyle w:val="15"/>
        <w:shd w:val="clear" w:color="auto" w:fill="FFFFFF"/>
        <w:spacing w:before="240" w:beforeAutospacing="0" w:after="240" w:afterAutospacing="0" w:line="360" w:lineRule="auto"/>
        <w:jc w:val="cente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pP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tl/>
        </w:rPr>
        <w:t>هذا الجهد المتوافر</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tl/>
        </w:rPr>
        <w:t>أقدمه شاكراً لله أولاً وآخراً</w:t>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Pr>
        <w:br/>
      </w:r>
      <w:r>
        <w:rPr>
          <w:rFonts w:ascii="Traditional Arabic" w:cs="Traditional Arabic" w:hAnsi="Traditional Arabic"/>
          <w:color w:val="000000"/>
          <w:sz w:val="28"/>
          <w:szCs w:val="28"/>
          <w14:shadow w14:sx="100000" w14:sy="100000" w14:blurRad="38100" w14:dir="2700000" w14:dist="19050" w14:algn="tl">
            <w14:srgbClr w14:val="000000">
              <w14:alpha w14:val="60000"/>
            </w14:srgbClr>
          </w14:shadow>
          <w:rtl/>
        </w:rPr>
        <w:t>ولكم جميعاً</w:t>
      </w:r>
    </w:p>
    <w:p>
      <w:pPr>
        <w:shd w:val="clear" w:color="auto" w:fill="FFFFFF"/>
        <w:spacing w:before="240" w:after="240" w:line="360" w:lineRule="auto"/>
        <w:ind w:left="360"/>
        <w:jc w:val="center"/>
        <w:rPr>
          <w:rFonts w:ascii="Traditional Arabic" w:eastAsia="Times New Roman" w:cs="Traditional Arabic" w:hAnsi="Traditional Arabic"/>
          <w:color w:val="0F1115"/>
          <w:sz w:val="24"/>
          <w:szCs w:val="24"/>
          <w:rtl/>
        </w:rPr>
      </w:pPr>
    </w:p>
    <w:p>
      <w:pPr>
        <w:shd w:val="clear" w:color="auto" w:fill="FFFFFF"/>
        <w:spacing w:before="240" w:after="240" w:line="360" w:lineRule="auto"/>
        <w:ind w:left="360"/>
        <w:jc w:val="center"/>
        <w:rPr>
          <w:rFonts w:ascii="Traditional Arabic" w:eastAsia="Times New Roman" w:cs="Traditional Arabic" w:hAnsi="Traditional Arabic"/>
          <w:b/>
          <w:bCs/>
          <w:color w:val="0F1115"/>
          <w:sz w:val="40"/>
          <w:szCs w:val="40"/>
          <w:rtl/>
        </w:rPr>
      </w:pPr>
      <w:r>
        <w:rPr>
          <w:rFonts w:ascii="Traditional Arabic" w:eastAsia="Times New Roman" w:cs="Traditional Arabic" w:hAnsi="Traditional Arabic"/>
          <w:b/>
          <w:bCs/>
          <w:color w:val="0F1115"/>
          <w:sz w:val="40"/>
          <w:szCs w:val="40"/>
          <w:rtl/>
        </w:rPr>
        <w:t xml:space="preserve">شكر وتقدير </w:t>
      </w:r>
    </w:p>
    <w:p>
      <w:pPr>
        <w:shd w:val="clear" w:color="auto" w:fill="FFFFFF"/>
        <w:spacing w:before="240" w:after="240" w:line="360" w:lineRule="auto"/>
        <w:ind w:left="360"/>
        <w:jc w:val="center"/>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tl/>
        </w:rPr>
        <w:t>بقلب ممتن وروح متواضعة، أتقدم بأصدق كلمات الشكر والعرفان</w:t>
      </w:r>
    </w:p>
    <w:p>
      <w:pPr>
        <w:shd w:val="clear" w:color="auto" w:fill="FFFFFF"/>
        <w:spacing w:before="240" w:after="240" w:line="360" w:lineRule="auto"/>
        <w:jc w:val="center"/>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tl/>
        </w:rPr>
        <w:t>إلى </w:t>
      </w:r>
      <w:r>
        <w:rPr>
          <w:rFonts w:ascii="Traditional Arabic" w:eastAsia="Times New Roman" w:cs="Traditional Arabic" w:hAnsi="Traditional Arabic"/>
          <w:b/>
          <w:bCs/>
          <w:color w:val="0F1115"/>
          <w:sz w:val="28"/>
          <w:szCs w:val="28"/>
          <w:rtl/>
        </w:rPr>
        <w:t>أساتذتي الكرام ومشرفي</w:t>
      </w:r>
      <w:r>
        <w:rPr>
          <w:rFonts w:ascii="Traditional Arabic" w:eastAsia="Times New Roman" w:cs="Traditional Arabic" w:hAnsi="Traditional Arabic"/>
          <w:color w:val="0F1115"/>
          <w:sz w:val="28"/>
          <w:szCs w:val="28"/>
          <w:rtl/>
        </w:rPr>
        <w:t> في جامعة الشرق الأوسط، الذين أغرقوني بعلمهم وحكمتهم، فكانوا خير معين في رحلة العلم والمعرفة.</w:t>
      </w:r>
    </w:p>
    <w:p>
      <w:pPr>
        <w:shd w:val="clear" w:color="auto" w:fill="FFFFFF"/>
        <w:spacing w:before="240" w:after="240" w:line="360" w:lineRule="auto"/>
        <w:jc w:val="center"/>
        <w:rPr>
          <w:rFonts w:ascii="Traditional Arabic" w:eastAsia="Times New Roman" w:cs="Traditional Arabic" w:hAnsi="Traditional Arabic"/>
          <w:b/>
          <w:bCs/>
          <w:color w:val="0F1115"/>
          <w:sz w:val="28"/>
          <w:szCs w:val="28"/>
          <w:rtl/>
        </w:rPr>
      </w:pPr>
      <w:r>
        <w:rPr>
          <w:rFonts w:ascii="Traditional Arabic" w:eastAsia="Times New Roman" w:cs="Traditional Arabic" w:hAnsi="Traditional Arabic"/>
          <w:color w:val="0F1115"/>
          <w:sz w:val="28"/>
          <w:szCs w:val="28"/>
          <w:rtl/>
        </w:rPr>
        <w:t>إلى </w:t>
      </w:r>
      <w:r>
        <w:rPr>
          <w:rFonts w:ascii="Traditional Arabic" w:eastAsia="Times New Roman" w:cs="Traditional Arabic" w:hAnsi="Traditional Arabic"/>
          <w:b/>
          <w:bCs/>
          <w:color w:val="0F1115"/>
          <w:sz w:val="28"/>
          <w:szCs w:val="28"/>
          <w:rtl/>
        </w:rPr>
        <w:t>أمي الغالية</w:t>
      </w:r>
    </w:p>
    <w:p>
      <w:pPr>
        <w:shd w:val="clear" w:color="auto" w:fill="FFFFFF"/>
        <w:spacing w:before="240" w:after="240" w:line="360" w:lineRule="auto"/>
        <w:jc w:val="center"/>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tl/>
        </w:rPr>
        <w:t>التي لم تترك لي حاجة إلا وقضتها، ولا همّة إلا وحملتها عني، كانت تضحياتها شمعة أضاءت دربي، وصبرها كان الدافع الذي يدفعني للأمام...</w:t>
      </w:r>
    </w:p>
    <w:p>
      <w:pPr>
        <w:shd w:val="clear" w:color="auto" w:fill="FFFFFF"/>
        <w:spacing w:before="240" w:after="240" w:line="360" w:lineRule="auto"/>
        <w:jc w:val="center"/>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tl/>
        </w:rPr>
        <w:t>إلى </w:t>
      </w:r>
      <w:r>
        <w:rPr>
          <w:rFonts w:ascii="Traditional Arabic" w:eastAsia="Times New Roman" w:cs="Traditional Arabic" w:hAnsi="Traditional Arabic"/>
          <w:b/>
          <w:bCs/>
          <w:color w:val="0F1115"/>
          <w:sz w:val="28"/>
          <w:szCs w:val="28"/>
          <w:rtl/>
        </w:rPr>
        <w:t>أخواتي العزيزات</w:t>
      </w:r>
      <w:r>
        <w:rPr>
          <w:rFonts w:ascii="Traditional Arabic" w:eastAsia="Times New Roman" w:cs="Traditional Arabic" w:hAnsi="Traditional Arabic"/>
          <w:color w:val="0F1115"/>
          <w:sz w:val="28"/>
          <w:szCs w:val="28"/>
        </w:rPr>
        <w:t xml:space="preserve">.. </w:t>
      </w:r>
      <w:r>
        <w:rPr>
          <w:rFonts w:ascii="Traditional Arabic" w:eastAsia="Times New Roman" w:cs="Traditional Arabic" w:hAnsi="Traditional Arabic"/>
          <w:color w:val="0F1115"/>
          <w:sz w:val="28"/>
          <w:szCs w:val="28"/>
          <w:rtl/>
        </w:rPr>
        <w:t>سندي في الحياة وحصني الحصين، اللواتي كن يخففن عني أعباء البحث</w:t>
      </w:r>
    </w:p>
    <w:p>
      <w:pPr>
        <w:shd w:val="clear" w:color="auto" w:fill="FFFFFF"/>
        <w:spacing w:before="240" w:after="240" w:line="360" w:lineRule="auto"/>
        <w:jc w:val="center"/>
        <w:rPr>
          <w:rFonts w:ascii="Traditional Arabic" w:eastAsia="Times New Roman" w:cs="Traditional Arabic" w:hAnsi="Traditional Arabic"/>
          <w:b/>
          <w:bCs/>
          <w:color w:val="0F1115"/>
          <w:sz w:val="28"/>
          <w:szCs w:val="28"/>
          <w:rtl/>
        </w:rPr>
      </w:pPr>
      <w:r>
        <w:rPr>
          <w:rFonts w:ascii="Traditional Arabic" w:eastAsia="Times New Roman" w:cs="Traditional Arabic" w:hAnsi="Traditional Arabic"/>
          <w:color w:val="0F1115"/>
          <w:sz w:val="28"/>
          <w:szCs w:val="28"/>
          <w:rtl/>
        </w:rPr>
        <w:t>إلى </w:t>
      </w:r>
      <w:r>
        <w:rPr>
          <w:rFonts w:ascii="Traditional Arabic" w:eastAsia="Times New Roman" w:cs="Traditional Arabic" w:hAnsi="Traditional Arabic"/>
          <w:b/>
          <w:bCs/>
          <w:color w:val="0F1115"/>
          <w:sz w:val="28"/>
          <w:szCs w:val="28"/>
          <w:rtl/>
        </w:rPr>
        <w:t>بناتي الحبيبات</w:t>
      </w:r>
    </w:p>
    <w:p>
      <w:pPr>
        <w:shd w:val="clear" w:color="auto" w:fill="FFFFFF"/>
        <w:spacing w:before="240" w:after="240" w:line="360" w:lineRule="auto"/>
        <w:jc w:val="center"/>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Pr>
        <w:t xml:space="preserve">.. </w:t>
      </w:r>
      <w:r>
        <w:rPr>
          <w:rFonts w:ascii="Traditional Arabic" w:eastAsia="Times New Roman" w:cs="Traditional Arabic" w:hAnsi="Traditional Arabic"/>
          <w:color w:val="0F1115"/>
          <w:sz w:val="28"/>
          <w:szCs w:val="28"/>
          <w:rtl/>
        </w:rPr>
        <w:t>نور حياتي وسبب ابتسامتي، اللواتي كن ينتظرنني بلهفة كل يوم، ويشجعنني. بكلماتهن البريئة</w:t>
      </w:r>
    </w:p>
    <w:p>
      <w:pPr>
        <w:shd w:val="clear" w:color="auto" w:fill="FFFFFF"/>
        <w:spacing w:before="240" w:after="240" w:line="360" w:lineRule="auto"/>
        <w:jc w:val="center"/>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tl/>
        </w:rPr>
        <w:t>إلى </w:t>
      </w:r>
      <w:r>
        <w:rPr>
          <w:rFonts w:ascii="Traditional Arabic" w:eastAsia="Times New Roman" w:cs="Traditional Arabic" w:hAnsi="Traditional Arabic"/>
          <w:b/>
          <w:bCs/>
          <w:color w:val="0F1115"/>
          <w:sz w:val="28"/>
          <w:szCs w:val="28"/>
          <w:rtl/>
        </w:rPr>
        <w:t>كل من مد لي يد العون</w:t>
      </w:r>
      <w:r>
        <w:rPr>
          <w:rFonts w:ascii="Traditional Arabic" w:eastAsia="Times New Roman" w:cs="Traditional Arabic" w:hAnsi="Traditional Arabic"/>
          <w:color w:val="0F1115"/>
          <w:sz w:val="28"/>
          <w:szCs w:val="28"/>
          <w:rtl/>
        </w:rPr>
        <w:t>، سواء كانوا أصدقاءً أو زملاءً أو مشاركين في البحث، فلكم مني جزيل الشكر وعظيم الامتنان</w:t>
      </w:r>
      <w:r>
        <w:rPr>
          <w:rFonts w:ascii="Traditional Arabic" w:eastAsia="Times New Roman" w:cs="Traditional Arabic" w:hAnsi="Traditional Arabic"/>
          <w:color w:val="0F1115"/>
          <w:sz w:val="28"/>
          <w:szCs w:val="28"/>
        </w:rPr>
        <w:t>.</w:t>
      </w:r>
    </w:p>
    <w:p>
      <w:pPr>
        <w:shd w:val="clear" w:color="auto" w:fill="FFFFFF"/>
        <w:spacing w:before="240" w:after="240" w:line="360" w:lineRule="auto"/>
        <w:jc w:val="center"/>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tl/>
        </w:rPr>
        <w:t>وأخيراً</w:t>
      </w:r>
      <w:r>
        <w:rPr>
          <w:rFonts w:ascii="Traditional Arabic" w:eastAsia="Times New Roman" w:cs="Traditional Arabic" w:hAnsi="Traditional Arabic"/>
          <w:color w:val="0F1115"/>
          <w:sz w:val="28"/>
          <w:szCs w:val="28"/>
        </w:rPr>
        <w:t>.. </w:t>
      </w:r>
      <w:r>
        <w:rPr>
          <w:rFonts w:ascii="Traditional Arabic" w:eastAsia="Times New Roman" w:cs="Traditional Arabic" w:hAnsi="Traditional Arabic"/>
          <w:b/>
          <w:bCs/>
          <w:color w:val="0F1115"/>
          <w:sz w:val="28"/>
          <w:szCs w:val="28"/>
          <w:rtl/>
        </w:rPr>
        <w:t>الحمد لله</w:t>
      </w:r>
      <w:r>
        <w:rPr>
          <w:rFonts w:ascii="Traditional Arabic" w:eastAsia="Times New Roman" w:cs="Traditional Arabic" w:hAnsi="Traditional Arabic"/>
          <w:color w:val="0F1115"/>
          <w:sz w:val="28"/>
          <w:szCs w:val="28"/>
          <w:rtl/>
        </w:rPr>
        <w:t> الذي منّ علي بنعمة العلم، ووفقني لإتمام هذا العمل، فله الحمد أولاً وآخراً، وظاهراً وباطناً.</w:t>
      </w: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40"/>
          <w:szCs w:val="40"/>
          <w:rtl/>
        </w:rPr>
      </w:pPr>
      <w:r>
        <w:rPr>
          <w:rFonts w:ascii="Traditional Arabic" w:cs="Traditional Arabic" w:hAnsi="Traditional Arabic"/>
          <w:b/>
          <w:bCs/>
          <w:color w:val="0F1115"/>
          <w:sz w:val="40"/>
          <w:szCs w:val="40"/>
          <w:rtl/>
        </w:rPr>
        <w:t>المستخلص</w:t>
      </w: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يهدف هذا البحث إلى دراسة إدارة مشاريع تطبيقات الذكاء الاصطناعي في القطاع العقاري السعودي، في ظل التحولات الرقمية المتسارعة التي تشهدها المملكة تماشياً مع أهداف رؤية 2030. ويحلل البحث التحديات الإدارية والتنظيمية والتقنية التي تواجه هذه المشاريع، ويستكشف أثرها على جودة المخرجات، وصولاً إلى تطوير إطار عملي يسهِم في رفع كفاءة إدارة مشاريع الذكاء الاصطناعي العقارية.</w:t>
      </w: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اعتمد البحث على منهجية مختلطة تضمنت تحليلًا كميًا من خلال استبيان طبّق على 120 مشاركاً من العاملين في القطاعين العقاري والتقني، وتحليلًا نوعيًا عبر 15 مقابلة متعمقة وثلاث دراسات حالة. وأظهرت النتائج أن أبرز التحديات تتمثل في فجوة التواصل بين الفرق متعددة التخصصات، ونقص الكفاءات المتخصصة، وضعف جودة البيانات، وغموض متطلبات المشروع. كما أظهرت النتائج وجود علاقات ارتباط قوية بين تحسين التواصل والكفاءات وارتفاع جودة المخرجات.</w:t>
      </w: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وبناءً على النتائج، قدم البحث إطارًا عمليًا متكاملاً لإدارة مشاريع الذكاء الاصطناعي في القطاع العقاري السعودي، يشمل ثلاث مراحل رئيسة: مرحلة الإعداد والتخطيط، ومرحلة التنفيذ والمراقبة، ومرحلة التقويم والتطوير. ويسهم هذا الإطار في تعزيز التواصل، وتحسين جودة البيانات، وتحديد نطاق المشروع بدقة، وتطوير نظم حوكمة تدعم نجاح هذه المشاريع.</w:t>
      </w:r>
    </w:p>
    <w:p>
      <w:pPr>
        <w:pStyle w:val="15"/>
        <w:bidi/>
        <w:spacing w:after="240" w:afterAutospacing="0" w:line="360" w:lineRule="auto"/>
        <w:jc w:val="center"/>
        <w:rPr>
          <w:rFonts w:ascii="Traditional Arabic" w:cs="Traditional Arabic" w:hAnsi="Traditional Arabic"/>
          <w:color w:val="0F1115"/>
          <w:sz w:val="28"/>
          <w:szCs w:val="28"/>
        </w:rPr>
      </w:pPr>
      <w:r>
        <w:rPr>
          <w:rFonts w:ascii="Traditional Arabic" w:cs="Traditional Arabic" w:hAnsi="Traditional Arabic"/>
          <w:color w:val="0F1115"/>
          <w:sz w:val="28"/>
          <w:szCs w:val="28"/>
          <w:rtl/>
        </w:rPr>
        <w:t>وتختتم الدراسة بعدد من التوصيات العملية لصناع القرار والشركات العقارية ومديري المشاريع، إضافة إلى مقترحات للبحوث المستقبلية.</w:t>
      </w: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الكلمات المفتاحية: إدارة المشاريع، الذكاء الاصطناعي، التقنية العقارية، PropTech، القطاع العقاري السعودي.</w:t>
      </w: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Pr>
      </w:pPr>
    </w:p>
    <w:p>
      <w:pPr>
        <w:pStyle w:val="15"/>
        <w:bidi/>
        <w:spacing w:after="240" w:afterAutospacing="0" w:line="360" w:lineRule="auto"/>
        <w:jc w:val="center"/>
        <w:rPr>
          <w:rFonts w:ascii="Traditional Arabic" w:cs="Traditional Arabic" w:hAnsi="Traditional Arabic"/>
          <w:b/>
          <w:bCs/>
          <w:color w:val="0F1115"/>
          <w:sz w:val="40"/>
          <w:szCs w:val="40"/>
        </w:rPr>
      </w:pPr>
      <w:r>
        <w:rPr>
          <w:rFonts w:ascii="Traditional Arabic" w:cs="Traditional Arabic" w:hAnsi="Traditional Arabic"/>
          <w:b/>
          <w:bCs/>
          <w:color w:val="0F1115"/>
          <w:sz w:val="40"/>
          <w:szCs w:val="40"/>
          <w:rtl/>
        </w:rPr>
        <w:t>المقدمة</w:t>
      </w:r>
    </w:p>
    <w:p>
      <w:pPr>
        <w:pStyle w:val="15"/>
        <w:bidi/>
        <w:spacing w:after="240" w:afterAutospacing="0" w:line="360" w:lineRule="auto"/>
        <w:jc w:val="center"/>
        <w:rPr>
          <w:rFonts w:ascii="Traditional Arabic" w:cs="Traditional Arabic" w:hAnsi="Traditional Arabic"/>
          <w:color w:val="0F1115"/>
          <w:sz w:val="36"/>
          <w:szCs w:val="36"/>
        </w:rPr>
      </w:pPr>
    </w:p>
    <w:p>
      <w:pPr>
        <w:pStyle w:val="15"/>
        <w:bidi/>
        <w:spacing w:after="240" w:afterAutospacing="0" w:line="360" w:lineRule="auto"/>
        <w:jc w:val="center"/>
        <w:rPr>
          <w:rFonts w:ascii="Traditional Arabic" w:cs="Traditional Arabic" w:hAnsi="Traditional Arabic"/>
          <w:color w:val="0F1115"/>
          <w:sz w:val="36"/>
          <w:szCs w:val="36"/>
        </w:rPr>
      </w:pPr>
    </w:p>
    <w:p>
      <w:pPr>
        <w:pStyle w:val="15"/>
        <w:bidi/>
        <w:spacing w:after="240" w:afterAutospacing="0" w:line="360" w:lineRule="auto"/>
        <w:jc w:val="center"/>
        <w:rPr>
          <w:rFonts w:ascii="Traditional Arabic" w:cs="Traditional Arabic" w:hAnsi="Traditional Arabic"/>
          <w:color w:val="0F1115"/>
          <w:sz w:val="36"/>
          <w:szCs w:val="36"/>
        </w:rPr>
      </w:pPr>
    </w:p>
    <w:p>
      <w:pPr>
        <w:pStyle w:val="15"/>
        <w:bidi/>
        <w:spacing w:after="240" w:afterAutospacing="0" w:line="360" w:lineRule="auto"/>
        <w:jc w:val="center"/>
        <w:rPr>
          <w:rFonts w:ascii="Traditional Arabic" w:cs="Traditional Arabic" w:hAnsi="Traditional Arabic"/>
          <w:color w:val="0F1115"/>
          <w:sz w:val="36"/>
          <w:szCs w:val="36"/>
        </w:rPr>
      </w:pPr>
    </w:p>
    <w:p>
      <w:pPr>
        <w:pStyle w:val="15"/>
        <w:bidi/>
        <w:spacing w:after="240" w:afterAutospacing="0" w:line="360" w:lineRule="auto"/>
        <w:jc w:val="center"/>
        <w:rPr>
          <w:rFonts w:ascii="Traditional Arabic" w:cs="Traditional Arabic" w:hAnsi="Traditional Arabic"/>
          <w:color w:val="0F1115"/>
          <w:sz w:val="36"/>
          <w:szCs w:val="36"/>
        </w:rPr>
      </w:pPr>
    </w:p>
    <w:p>
      <w:pPr>
        <w:pStyle w:val="15"/>
        <w:bidi/>
        <w:spacing w:after="240" w:afterAutospacing="0" w:line="360" w:lineRule="auto"/>
        <w:jc w:val="center"/>
        <w:rPr>
          <w:rFonts w:ascii="Traditional Arabic" w:cs="Traditional Arabic" w:hAnsi="Traditional Arabic"/>
          <w:color w:val="0F1115"/>
          <w:sz w:val="36"/>
          <w:szCs w:val="36"/>
        </w:rPr>
      </w:pPr>
    </w:p>
    <w:p>
      <w:pPr>
        <w:pStyle w:val="15"/>
        <w:bidi/>
        <w:spacing w:after="240" w:afterAutospacing="0" w:line="360" w:lineRule="auto"/>
        <w:jc w:val="both"/>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يشهد العالم في العصر الحديث تحولاً جذرياً تقوده التقنيات الرقمية المتقدمة، وعلى رأسها الذكاء الاصطناعي الذي أصبح أحد أهم العوامل المؤثرة في تطوير القطاعات الاقتصادية والإنتاجية والخدمية. ولم يعد الذكاء الاصطناعي مجرد تقنية مبتكرة، بل أصبح إطاراً استراتيجياً يوجّه عملية اتخاذ القرار، ويرفع من كفاءة العمليات، ويُعيد تشكيل نماذج الأعمال في القطاعات كافة. وفي ظل هذا التطور السريع، برز القطاع العقاري كأحد المجالات التي بدأت تعتمد بشكل متزايد على تطبيقات الذكاء الاصطناعي لتحسين إدارة الأصول، وتقييم المخاطر، ورفع جودة الخدمات، وتعزيز دقة التنبؤات العقارية.</w:t>
      </w: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وفي المملكة العربية السعودية، تتسارع خطوات التحول الرقمي تماشياً مع مستهدفات رؤية 2030 التي تهدف إلى بناء اقتصاد قائم على المعرفة والتقنية، وتعزيز الابتكار في مختلف القطاعات، بما في ذلك القطاع العقاري الذي يعد أحد أهم ركائز الاقتصاد الوطني. وقد أسهمت الاستثمارات الحكومية والخاصة في فتح المجال أمام الشركات العقارية وشركات PropTech لتبني تقنيات متقدمة تعتمد على الذكاء الاصطناعي، الأمر الذي ساهم في ظهور مشاريع جديدة تتسم بالتعقيد والتداخل بين المعارف العقارية والتقنية.</w:t>
      </w:r>
    </w:p>
    <w:p>
      <w:pPr>
        <w:pStyle w:val="15"/>
        <w:bidi/>
        <w:spacing w:after="240" w:afterAutospacing="0" w:line="360" w:lineRule="auto"/>
        <w:jc w:val="center"/>
        <w:rPr>
          <w:rFonts w:ascii="Traditional Arabic" w:cs="Traditional Arabic" w:hAnsi="Traditional Arabic"/>
          <w:color w:val="0F1115"/>
          <w:sz w:val="28"/>
          <w:szCs w:val="28"/>
          <w:rtl/>
        </w:rPr>
      </w:pP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ومع توسع تطبيقات الذكاء الاصطناعي في القطاع العقاري السعودي، برزت مجموعة من التحديات الإدارية والتنظيمية والتقنية التي تؤثر في نجاح هذه المشاريع، وفي قدرتها على تحقيق القيمة المضافة المتوقعة. إذ تواجه العديد من المؤسسات صعوبات تتعلق بضعف جودة البيانات، وفجوة التواصل بين الفرق متعددة التخصصات، ونقص الكفاءات المتخصصة، فضلاً عن غموض المتطلبات ومحدودية البنية التحتية التقنية. ونتيجة لذلك، ظهرت الحاجة إلى أبحاث علمية متعمقة تدرس كيفية إدارة هذه المشاريع بفعالية، وتعمل على صياغة أطر عمل متكاملة تدعم نجاحها وتزيد من موثوقيتها واستدامتها.</w:t>
      </w: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وتأتي هذه الدراسة لتسد فجوة معرفية واضحة في مجال إدارة مشاريع الذكاء الاصطناعي في القطاع العقاري السعودي، من خلال تحليل الواقع الفعلي لهذه المشاريع، وتحديد التحديات التي تواجهها، واستكشاف العلاقات بين المتغيرات المؤثرة عليها، وصولاً إلى بناء إطار عملي يمكن تطبيقه لتحسين الأداء ورفع جودة المخرجات. وقد اعتمد البحث منهجية علمية تجمع بين التحليل الكمي والنوعي، بما يكفل الوصول إلى نتائج دقيقة ومستندة إلى بيانات ميدانية.</w:t>
      </w:r>
    </w:p>
    <w:p>
      <w:pPr>
        <w:pStyle w:val="15"/>
        <w:bidi/>
        <w:spacing w:after="240" w:afterAutospacing="0" w:line="360" w:lineRule="auto"/>
        <w:jc w:val="center"/>
        <w:rPr>
          <w:rFonts w:ascii="Traditional Arabic" w:cs="Traditional Arabic" w:hAnsi="Traditional Arabic"/>
          <w:color w:val="0F1115"/>
          <w:sz w:val="28"/>
          <w:szCs w:val="28"/>
          <w:rtl/>
        </w:rPr>
      </w:pPr>
      <w:r>
        <w:rPr>
          <w:rFonts w:ascii="Traditional Arabic" w:cs="Traditional Arabic" w:hAnsi="Traditional Arabic"/>
          <w:color w:val="0F1115"/>
          <w:sz w:val="28"/>
          <w:szCs w:val="28"/>
          <w:rtl/>
        </w:rPr>
        <w:t>ويسعى هذا البحث إلى تعزيز الفهم النظري والتطبيقي لمشاريع الذكاء الاصطناعي العقارية، وتقديم توصيات عملية لصناع القرار، ومديري المشاريع، والمختصين في مجال التقنية والعقار، بما يسهم في دعم جهود التحول الرقمي وتحقيق أهداف التنمية الشاملة في المملكة العربية السعودية.</w:t>
      </w:r>
    </w:p>
    <w:p>
      <w:pPr>
        <w:pStyle w:val="15"/>
        <w:bidi/>
        <w:spacing w:after="240" w:afterAutospacing="0" w:line="360" w:lineRule="auto"/>
        <w:jc w:val="both"/>
        <w:rPr>
          <w:rFonts w:ascii="Traditional Arabic" w:cs="Traditional Arabic" w:hAnsi="Traditional Arabic"/>
          <w:color w:val="0F1115"/>
          <w:sz w:val="28"/>
          <w:szCs w:val="28"/>
        </w:rPr>
      </w:pPr>
    </w:p>
    <w:p>
      <w:pPr>
        <w:pStyle w:val="15"/>
        <w:bidi/>
        <w:spacing w:after="240" w:afterAutospacing="0" w:line="360" w:lineRule="auto"/>
        <w:jc w:val="both"/>
        <w:rPr>
          <w:rFonts w:ascii="Traditional Arabic" w:cs="Traditional Arabic" w:hAnsi="Traditional Arabic"/>
          <w:color w:val="0F1115"/>
          <w:sz w:val="28"/>
          <w:szCs w:val="28"/>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tl/>
        </w:rPr>
      </w:pPr>
    </w:p>
    <w:p>
      <w:pPr>
        <w:pStyle w:val="15"/>
        <w:bidi/>
        <w:spacing w:after="240" w:afterAutospacing="0" w:line="360" w:lineRule="auto"/>
        <w:jc w:val="both"/>
        <w:rPr>
          <w:rFonts w:ascii="Traditional Arabic" w:cs="Traditional Arabic" w:hAnsi="Traditional Arabic"/>
          <w:color w:val="0F1115"/>
          <w:sz w:val="36"/>
          <w:szCs w:val="36"/>
        </w:rPr>
      </w:pPr>
    </w:p>
    <w:p>
      <w:pPr>
        <w:pStyle w:val="15"/>
        <w:bidi/>
        <w:spacing w:after="240" w:afterAutospacing="0" w:line="360" w:lineRule="auto"/>
        <w:jc w:val="both"/>
        <w:rPr>
          <w:rFonts w:ascii="Traditional Arabic" w:cs="Traditional Arabic" w:hAnsi="Traditional Arabic"/>
          <w:color w:val="0F1115"/>
          <w:sz w:val="36"/>
          <w:szCs w:val="36"/>
        </w:rPr>
      </w:pPr>
    </w:p>
    <w:p>
      <w:pPr>
        <w:pStyle w:val="15"/>
        <w:bidi/>
        <w:spacing w:after="240" w:afterAutospacing="0" w:line="360" w:lineRule="auto"/>
        <w:jc w:val="both"/>
        <w:rPr>
          <w:rFonts w:ascii="Traditional Arabic" w:cs="Traditional Arabic" w:hAnsi="Traditional Arabic"/>
          <w:color w:val="0F1115"/>
          <w:sz w:val="36"/>
          <w:szCs w:val="36"/>
        </w:rPr>
      </w:pPr>
    </w:p>
    <w:p>
      <w:pPr>
        <w:pStyle w:val="15"/>
        <w:bidi/>
        <w:spacing w:before="0" w:beforeAutospacing="0" w:after="0" w:afterAutospacing="0" w:line="360" w:lineRule="auto"/>
        <w:jc w:val="right"/>
        <w:rPr>
          <w:rFonts w:ascii="Traditional Arabic" w:cs="Traditional Arabic" w:hAnsi="Traditional Arabic"/>
          <w:b/>
          <w:bCs/>
          <w:color w:val="0F1115"/>
          <w:sz w:val="28"/>
          <w:szCs w:val="28"/>
          <w:rtl/>
        </w:rPr>
      </w:pPr>
    </w:p>
    <w:p>
      <w:pPr>
        <w:pStyle w:val="15"/>
        <w:bidi/>
        <w:spacing w:before="0" w:beforeAutospacing="0" w:after="0" w:afterAutospacing="0" w:line="360" w:lineRule="auto"/>
        <w:jc w:val="right"/>
        <w:rPr>
          <w:rFonts w:ascii="Traditional Arabic" w:cs="Traditional Arabic" w:hAnsi="Traditional Arabic"/>
          <w:b/>
          <w:bCs/>
          <w:color w:val="0F1115"/>
          <w:sz w:val="28"/>
          <w:szCs w:val="28"/>
          <w:rtl/>
        </w:rPr>
      </w:pPr>
    </w:p>
    <w:p>
      <w:pPr>
        <w:pStyle w:val="15"/>
        <w:bidi/>
        <w:spacing w:after="240" w:afterAutospacing="0" w:line="360" w:lineRule="auto"/>
        <w:jc w:val="right"/>
        <w:rPr>
          <w:rFonts w:ascii="Traditional Arabic" w:cs="Traditional Arabic" w:hAnsi="Traditional Arabic"/>
          <w:b/>
          <w:bCs/>
          <w:color w:val="0F1115"/>
          <w:sz w:val="36"/>
          <w:szCs w:val="36"/>
          <w:rtl/>
        </w:rPr>
      </w:pPr>
    </w:p>
    <w:p>
      <w:pPr>
        <w:pStyle w:val="15"/>
        <w:bidi/>
        <w:spacing w:after="240" w:afterAutospacing="0" w:line="360" w:lineRule="auto"/>
        <w:jc w:val="right"/>
        <w:rPr>
          <w:rFonts w:ascii="Traditional Arabic" w:cs="Traditional Arabic" w:hAnsi="Traditional Arabic"/>
          <w:b/>
          <w:bCs/>
          <w:color w:val="0F1115"/>
          <w:sz w:val="36"/>
          <w:szCs w:val="36"/>
          <w:rtl/>
        </w:rPr>
      </w:pPr>
    </w:p>
    <w:p>
      <w:pPr>
        <w:pStyle w:val="15"/>
        <w:bidi/>
        <w:spacing w:after="240" w:afterAutospacing="0" w:line="360" w:lineRule="auto"/>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36"/>
          <w:szCs w:val="36"/>
          <w:rtl/>
        </w:rPr>
      </w:pPr>
    </w:p>
    <w:p>
      <w:pPr>
        <w:pStyle w:val="15"/>
        <w:bidi/>
        <w:spacing w:after="240" w:afterAutospacing="0" w:line="360" w:lineRule="auto"/>
        <w:jc w:val="center"/>
        <w:rPr>
          <w:rFonts w:ascii="Traditional Arabic" w:cs="Traditional Arabic" w:hAnsi="Traditional Arabic"/>
          <w:b/>
          <w:bCs/>
          <w:color w:val="0F1115"/>
          <w:sz w:val="40"/>
          <w:szCs w:val="40"/>
          <w:rtl/>
        </w:rPr>
      </w:pPr>
      <w:r>
        <w:rPr>
          <w:rFonts w:ascii="Traditional Arabic" w:cs="Traditional Arabic" w:hAnsi="Traditional Arabic"/>
          <w:b/>
          <w:bCs/>
          <w:color w:val="0F1115"/>
          <w:sz w:val="40"/>
          <w:szCs w:val="40"/>
          <w:rtl/>
        </w:rPr>
        <w:t>الفصل الأول</w:t>
      </w:r>
    </w:p>
    <w:p>
      <w:pPr>
        <w:pStyle w:val="15"/>
        <w:bidi/>
        <w:spacing w:after="240" w:afterAutospacing="0" w:line="360" w:lineRule="auto"/>
        <w:jc w:val="center"/>
        <w:rPr>
          <w:rFonts w:ascii="Traditional Arabic" w:cs="Traditional Arabic" w:hAnsi="Traditional Arabic"/>
          <w:b/>
          <w:bCs/>
          <w:color w:val="0F1115"/>
          <w:sz w:val="36"/>
          <w:szCs w:val="36"/>
          <w:u w:val="single"/>
          <w:rtl/>
        </w:rPr>
      </w:pPr>
    </w:p>
    <w:p>
      <w:pPr>
        <w:pStyle w:val="15"/>
        <w:bidi/>
        <w:spacing w:after="240" w:afterAutospacing="0" w:line="360" w:lineRule="auto"/>
        <w:jc w:val="center"/>
        <w:rPr>
          <w:rFonts w:ascii="Traditional Arabic" w:cs="Traditional Arabic" w:hAnsi="Traditional Arabic"/>
          <w:b/>
          <w:bCs/>
          <w:color w:val="0F1115"/>
          <w:sz w:val="36"/>
          <w:szCs w:val="36"/>
          <w:u w:val="single"/>
          <w:rtl/>
        </w:rPr>
      </w:pPr>
    </w:p>
    <w:p>
      <w:pPr>
        <w:pStyle w:val="15"/>
        <w:bidi/>
        <w:spacing w:after="240" w:afterAutospacing="0" w:line="360" w:lineRule="auto"/>
        <w:jc w:val="center"/>
        <w:rPr>
          <w:rFonts w:ascii="Traditional Arabic" w:cs="Traditional Arabic" w:hAnsi="Traditional Arabic"/>
          <w:b/>
          <w:bCs/>
          <w:color w:val="0F1115"/>
          <w:sz w:val="36"/>
          <w:szCs w:val="36"/>
          <w:u w:val="single"/>
          <w:rtl/>
        </w:rPr>
      </w:pPr>
    </w:p>
    <w:p>
      <w:pPr>
        <w:pStyle w:val="15"/>
        <w:bidi/>
        <w:spacing w:after="240" w:afterAutospacing="0" w:line="360" w:lineRule="auto"/>
        <w:jc w:val="center"/>
        <w:rPr>
          <w:rFonts w:ascii="Traditional Arabic" w:cs="Traditional Arabic" w:hAnsi="Traditional Arabic"/>
          <w:b/>
          <w:bCs/>
          <w:color w:val="0F1115"/>
          <w:sz w:val="36"/>
          <w:szCs w:val="36"/>
          <w:u w:val="single"/>
          <w:rtl/>
        </w:rPr>
      </w:pPr>
    </w:p>
    <w:p>
      <w:pPr>
        <w:pStyle w:val="15"/>
        <w:bidi/>
        <w:spacing w:after="240" w:afterAutospacing="0" w:line="360" w:lineRule="auto"/>
        <w:jc w:val="center"/>
        <w:rPr>
          <w:rFonts w:ascii="Traditional Arabic" w:cs="Traditional Arabic" w:hAnsi="Traditional Arabic"/>
          <w:b/>
          <w:bCs/>
          <w:color w:val="0F1115"/>
          <w:sz w:val="36"/>
          <w:szCs w:val="36"/>
          <w:u w:val="single"/>
          <w:rtl/>
        </w:rPr>
      </w:pPr>
    </w:p>
    <w:p>
      <w:pPr>
        <w:pStyle w:val="15"/>
        <w:bidi/>
        <w:spacing w:after="240" w:afterAutospacing="0" w:line="360" w:lineRule="auto"/>
        <w:jc w:val="center"/>
        <w:rPr>
          <w:rFonts w:ascii="Traditional Arabic" w:cs="Traditional Arabic" w:hAnsi="Traditional Arabic"/>
          <w:b/>
          <w:bCs/>
          <w:color w:val="0F1115"/>
          <w:sz w:val="36"/>
          <w:szCs w:val="36"/>
          <w:u w:val="single"/>
          <w:rtl/>
        </w:rPr>
      </w:pPr>
    </w:p>
    <w:p>
      <w:pPr>
        <w:pStyle w:val="15"/>
        <w:bidi/>
        <w:spacing w:after="240" w:afterAutospacing="0" w:line="360" w:lineRule="auto"/>
        <w:jc w:val="center"/>
        <w:rPr>
          <w:rFonts w:ascii="Traditional Arabic" w:cs="Traditional Arabic" w:hAnsi="Traditional Arabic"/>
          <w:b/>
          <w:bCs/>
          <w:color w:val="0F1115"/>
          <w:sz w:val="36"/>
          <w:szCs w:val="36"/>
          <w:u w:val="single"/>
          <w:rtl/>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1.1 مقدمة عامة</w:t>
      </w:r>
    </w:p>
    <w:p>
      <w:pPr>
        <w:pStyle w:val="15"/>
        <w:bidi/>
        <w:spacing w:before="0" w:beforeAutospacing="0" w:after="0" w:afterAutospacing="0" w:line="360" w:lineRule="auto"/>
        <w:jc w:val="both"/>
        <w:rPr>
          <w:rFonts w:ascii="Traditional Arabic" w:cs="Traditional Arabic" w:hAnsi="Traditional Arabic"/>
          <w:color w:val="0F1115"/>
          <w:rtl/>
        </w:rPr>
      </w:pPr>
      <w:r>
        <w:rPr>
          <w:rFonts w:ascii="Traditional Arabic" w:cs="Traditional Arabic" w:hAnsi="Traditional Arabic"/>
          <w:color w:val="0F1115"/>
        </w:rPr>
        <w:t>يشهد العالم في العقدين الأخيرين تحوّلاً جوهرياً بفعل التطور المتسارع في مجالات الذكاء الاصطناعي، الذي أصبح يشكّل أحد أهم ركائز التحول الرقمي في مختلف القطاعات، وعلى رأسها القطاع العقاري. فقد انتقلت التكنولوجيا من مرحلة كونها مجرد أدوات مساعدة إلى عنصر أساسي في اتخاذ القرار، وتحليل البيانات، وتوقع السلوكيات، وتحسين كفاءة العمليات التشغيلية.</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وفي المملكة العربية السعودية، جاء تبنّي الذكاء الاصطناعي ليُشكّل جزءاً محورياً من تحقيق مستهدفات رؤية 2030، التي تهدف إلى بناء اقتصاد متنوع قائم على المعرفة والتقنية. وبصفة خاصة، يشهد القطاع العقاري السعودي—أحد أكبر القطاعات الاقتصادية—تحولاً رقمياً واسعاً من خلال إطلاق منظومات تقنية، وتشريعات حديثة، ومبادرات لتعزيز تبنّي حلول PropTech. ووفقاً لتقارير محلية ودولية، فإن الاستثمار في تقنيات العقار في السعودية شهد نمواً متزايداً، مما يعكس الحاجة لأساليب إدارة مشاريع أكثر نضجاً واحترافية.</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ومع ذلك، فإن مشاريع الذكاء الاصطناعي في هذا القطاع لا تزال تواجه عدداً من التحديات، مثل نقص الكفاءات المتخصصة، وضعف التواصل بين الفرق التقنية والعقارية، وعدم وضوح المتطلبات، وتحديات جودة البيانات. وفي ظل هذه الإشكالات، تبرز الحاجة لدراسة علمية معمقة تسهم في تطوير إطار عمل متكامل لإدارة هذه المشاريع بما يرفع كفاءتها ويزيد فرص نجاحها.</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1.2 مشكلة البحث</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على الرغم من التطور التقني الكبير، لا تزال مشاريع الذكاء الاصطناعي في القطاع العقاري السعودي تعاني من معدلات فشل مرتفعة نسبياً، سواء على مستوى عدم تحقيق الأهداف أو تجاوز الميزانيات أو ضعف جودة المخرجات. وتُظهر التقارير أن نسبة تتجاوز 40% من هذه المشاريع تواجه صعوبات تؤثر على استمراريتها أو تحقيق الفائدة المرجوة منها.</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وتنبع المشكلة الأساسية من أن هذه المشاريع تقع عند تقاطع مجالين مختلفين تماماً: المجال التقني المعقد، والمجال العقاري الذي يعتمد على معايير مهنية وإجرائية مختلفة. هذا التداخل يولّد فجوة معرفية وإدارية تسهم في ظهور تحديات تتطلب بحثاً وتحليلاً عميقاً.</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ومن هنا تتحدد مشكلة البحث في السؤال الرئيس:</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ما التحديات الإدارية والتقنية التي تواجه إدارة مشاريع الذكاء الاصطناعي في القطاع العقاري السعودي، وكيف يمكن تطوير إطار عمل متكامل يرفع كفاءتها ويزيد فرص نجاحها؟</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1.3 أسئلة البحث</w:t>
      </w:r>
    </w:p>
    <w:p>
      <w:pPr>
        <w:pStyle w:val="15"/>
        <w:numPr>
          <w:ilvl w:val="0"/>
          <w:numId w:val="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لإحكام مسار الدراسة وتحقيق أهدافها، جاءت أسئلة البحث التفصيلية على النحو الآتي</w:t>
      </w:r>
    </w:p>
    <w:p>
      <w:pPr>
        <w:pStyle w:val="15"/>
        <w:numPr>
          <w:ilvl w:val="0"/>
          <w:numId w:val="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ما أبرز التحديات الإدارية التي تواجه إدارة مشاريع الذكاء الاصطناعي في القطاع العقاري؟</w:t>
      </w:r>
    </w:p>
    <w:p>
      <w:pPr>
        <w:pStyle w:val="15"/>
        <w:numPr>
          <w:ilvl w:val="0"/>
          <w:numId w:val="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ما أبرز التحديات التقنية المتعلقة بالبيانات، النماذج، البنية التحتية، والتكامل بين الأنظمة؟</w:t>
      </w:r>
    </w:p>
    <w:p>
      <w:pPr>
        <w:pStyle w:val="15"/>
        <w:numPr>
          <w:ilvl w:val="0"/>
          <w:numId w:val="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ما معايير النجاح الحرجة (CSFs) لمشاريع الذكاء الاصطناعي في السياق العقاري؟</w:t>
      </w:r>
    </w:p>
    <w:p>
      <w:pPr>
        <w:pStyle w:val="15"/>
        <w:numPr>
          <w:ilvl w:val="0"/>
          <w:numId w:val="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كيف تؤثر التحديات على جودة المخرجات ومعدلات نجاح المشاريع؟</w:t>
      </w:r>
    </w:p>
    <w:p>
      <w:pPr>
        <w:pStyle w:val="15"/>
        <w:numPr>
          <w:ilvl w:val="0"/>
          <w:numId w:val="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ما الإطار العملي الأنسب لإدارة هذه المشاريع بما يتوافق مع احتياجات السوق السعودي ورؤية 2030؟</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w:t>
      </w: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1.4 أهداف البحث</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الهدف الرئيسي</w:t>
      </w:r>
      <w:r>
        <w:rPr>
          <w:rFonts w:ascii="Traditional Arabic" w:cs="Traditional Arabic" w:hAnsi="Traditional Arabic"/>
          <w:b/>
          <w:bCs/>
          <w:color w:val="0F1115"/>
          <w:rtl/>
        </w:rPr>
        <w:t>:</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تطوير إطار عمل متكامل لإدارة مشاريع الذكاء الاصطناعي في القطاع العقاري السعودي، يستند إلى تحليل التحديات والمعايير الحرجة للنجاح</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الأهداف الفرعية</w:t>
      </w:r>
    </w:p>
    <w:p>
      <w:pPr>
        <w:pStyle w:val="15"/>
        <w:bidi/>
        <w:spacing w:before="0" w:beforeAutospacing="0" w:after="0" w:afterAutospacing="0" w:line="360" w:lineRule="auto"/>
        <w:ind w:left="720"/>
        <w:rPr>
          <w:rFonts w:ascii="Traditional Arabic" w:cs="Traditional Arabic" w:hAnsi="Traditional Arabic"/>
          <w:color w:val="0F1115"/>
        </w:rPr>
      </w:pPr>
    </w:p>
    <w:p>
      <w:pPr>
        <w:pStyle w:val="15"/>
        <w:numPr>
          <w:ilvl w:val="0"/>
          <w:numId w:val="2"/>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تحليل التحديات الإدارية والتنظيمية لهذه المشاريع.</w:t>
      </w:r>
    </w:p>
    <w:p>
      <w:pPr>
        <w:pStyle w:val="15"/>
        <w:bidi/>
        <w:spacing w:before="0" w:beforeAutospacing="0" w:after="0" w:afterAutospacing="0" w:line="360" w:lineRule="auto"/>
        <w:ind w:left="720"/>
        <w:rPr>
          <w:rFonts w:ascii="Traditional Arabic" w:cs="Traditional Arabic" w:hAnsi="Traditional Arabic"/>
          <w:color w:val="0F1115"/>
        </w:rPr>
      </w:pPr>
    </w:p>
    <w:p>
      <w:pPr>
        <w:pStyle w:val="15"/>
        <w:bidi/>
        <w:spacing w:before="0" w:beforeAutospacing="0" w:after="0" w:afterAutospacing="0" w:line="360" w:lineRule="auto"/>
        <w:ind w:left="720"/>
        <w:rPr>
          <w:rFonts w:ascii="Traditional Arabic" w:cs="Traditional Arabic" w:hAnsi="Traditional Arabic"/>
          <w:color w:val="0F1115"/>
        </w:rPr>
      </w:pPr>
    </w:p>
    <w:p>
      <w:pPr>
        <w:pStyle w:val="15"/>
        <w:numPr>
          <w:ilvl w:val="0"/>
          <w:numId w:val="2"/>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تحليل التحديات التقنية المتعلقة بالبيانات والنمذجة.</w:t>
      </w:r>
    </w:p>
    <w:p>
      <w:pPr>
        <w:pStyle w:val="15"/>
        <w:bidi/>
        <w:spacing w:before="0" w:beforeAutospacing="0" w:after="0" w:afterAutospacing="0" w:line="360" w:lineRule="auto"/>
        <w:ind w:left="720"/>
        <w:rPr>
          <w:rFonts w:ascii="Traditional Arabic" w:cs="Traditional Arabic" w:hAnsi="Traditional Arabic"/>
          <w:color w:val="0F1115"/>
        </w:rPr>
      </w:pPr>
    </w:p>
    <w:p>
      <w:pPr>
        <w:pStyle w:val="15"/>
        <w:bidi/>
        <w:spacing w:before="0" w:beforeAutospacing="0" w:after="0" w:afterAutospacing="0" w:line="360" w:lineRule="auto"/>
        <w:ind w:left="720"/>
        <w:rPr>
          <w:rFonts w:ascii="Traditional Arabic" w:cs="Traditional Arabic" w:hAnsi="Traditional Arabic"/>
          <w:color w:val="0F1115"/>
        </w:rPr>
      </w:pPr>
    </w:p>
    <w:p>
      <w:pPr>
        <w:pStyle w:val="15"/>
        <w:numPr>
          <w:ilvl w:val="0"/>
          <w:numId w:val="2"/>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دراسة العلاقة بين الممارسات الإدارية وجودة المخرجات.</w:t>
      </w:r>
    </w:p>
    <w:p>
      <w:pPr>
        <w:pStyle w:val="15"/>
        <w:bidi/>
        <w:spacing w:before="0" w:beforeAutospacing="0" w:after="0" w:afterAutospacing="0" w:line="360" w:lineRule="auto"/>
        <w:ind w:left="720"/>
        <w:rPr>
          <w:rFonts w:ascii="Traditional Arabic" w:cs="Traditional Arabic" w:hAnsi="Traditional Arabic"/>
          <w:color w:val="0F1115"/>
        </w:rPr>
      </w:pPr>
    </w:p>
    <w:p>
      <w:pPr>
        <w:pStyle w:val="15"/>
        <w:bidi/>
        <w:spacing w:before="0" w:beforeAutospacing="0" w:after="0" w:afterAutospacing="0" w:line="360" w:lineRule="auto"/>
        <w:ind w:left="720"/>
        <w:rPr>
          <w:rFonts w:ascii="Traditional Arabic" w:cs="Traditional Arabic" w:hAnsi="Traditional Arabic"/>
          <w:color w:val="0F1115"/>
        </w:rPr>
      </w:pPr>
    </w:p>
    <w:p>
      <w:pPr>
        <w:pStyle w:val="15"/>
        <w:numPr>
          <w:ilvl w:val="0"/>
          <w:numId w:val="2"/>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تطوير نموذج مفاهيمي يحدد عوامل النجاح الرئيسية.</w:t>
      </w:r>
    </w:p>
    <w:p>
      <w:pPr>
        <w:pStyle w:val="15"/>
        <w:numPr>
          <w:ilvl w:val="0"/>
          <w:numId w:val="2"/>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اقتراح توصيات عملية قابلة للتطبيق للمؤسسات العقارية والتقنية.</w:t>
      </w:r>
    </w:p>
    <w:p>
      <w:pPr>
        <w:pStyle w:val="15"/>
        <w:bidi/>
        <w:spacing w:before="0" w:beforeAutospacing="0" w:after="0" w:afterAutospacing="0" w:line="360" w:lineRule="auto"/>
        <w:ind w:left="720"/>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فرضيات الدراسة (Research Hypotheses)</w:t>
      </w:r>
      <w:r>
        <w:rPr>
          <w:rFonts w:ascii="Traditional Arabic" w:cs="Traditional Arabic" w:hAnsi="Traditional Arabic"/>
          <w:b/>
          <w:bCs/>
          <w:color w:val="0F1115"/>
          <w:sz w:val="32"/>
          <w:szCs w:val="32"/>
          <w:rtl/>
        </w:rPr>
        <w:t>:</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الصياغة الأكاديمية الرسمية: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الفرضية الرئيسة (H0):</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لا توجد علاقة ذات دلالة إحصائية بين التحديات الإدارية والتقنية وبين نجاح مشاريع تطبيقات الذكاء الاصطناعي في القطاع العقاري السعودي.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الفرضية البديلة الرئيسة (H1):</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توجد علاقة ذات دلالة إحصائية بين التحديات الإدارية والتقنية وبين نجاح مشاريع تطبيقات الذكاء الاصطناعي في القطاع العقاري السعودي.</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الفرضيات الفرعية: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H1a:</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توجد علاقة ذات دلالة إحصائية بين جودة التواصل بين الفرق متعددة التخصصات وبين نجاح مشاريع الذكاء الاصطناعي في القطاع العقاري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H1b:</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توجد علاقة ذات دلالة إحصائية بين مستوى الكفاءات المتخصصة وبين جودة مخرجات مشاريع الذكاء الاصطناعي العقارية.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H1c:</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توجد علاقة ذات دلالة إحصائية بين جودة البيانات المتاحة للمشروع وبين دقة النماذج ونجاح مشاريع الذكاء الاصطناعي العقارية.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H1d:</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توجد علاقة ذات دلالة إحصائية بين وضوح متطلبات المشروع في مراحله الأولى وبين كفاءة تنفيذ مشاريع الذكاء الاصطناعي في القطاع العقاري.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H1e:</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توجد فروق ذات دلالة إحصائية في تقييم التحديات حسب المسمى الوظيفي (مديري المشاريع – المطورين – الخبراء العقاريين).</w:t>
      </w: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1.5 أهمية البحث</w:t>
      </w:r>
      <w:r>
        <w:rPr>
          <w:rFonts w:ascii="Traditional Arabic" w:cs="Traditional Arabic" w:hAnsi="Traditional Arabic"/>
          <w:b/>
          <w:bCs/>
          <w:color w:val="0F1115"/>
          <w:sz w:val="32"/>
          <w:szCs w:val="32"/>
          <w:rtl/>
        </w:rPr>
        <w:t>:</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أولاً: الأهمية العلمية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يساهم في سد فجوة بحثية محلية لندرة الدراسات التي تربط بين الذكاء الاصطناعي وإدارة المشاريع في القطاع العقاري السعودي.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يقدم نموذجاً علمياً يمكن الاستفادة منه في تطوير دراسات مستقبلية.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يعزز المحتوى العربي في أحد أهم المجالات المعاصرة.</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ثانياً: الأهمية العملية</w:t>
      </w:r>
      <w:r>
        <w:rPr>
          <w:rFonts w:ascii="Traditional Arabic" w:cs="Traditional Arabic" w:hAnsi="Traditional Arabic"/>
          <w:b/>
          <w:bCs/>
          <w:color w:val="0F1115"/>
          <w:rtl/>
        </w:rPr>
        <w:t>:</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يساعد الشركات العقارية على فهم التحديات الحقيقية في مشاريع الذكاء الاصطناعي.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يوفر إطار عمل يساعد في رفع كفاءة الاستثمار التقني.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يساعد مديري المشاريع على تنظيم العمل بين الفرق متعددة التخصصات.</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يساهم في تحسين جودة مخرجات مشاريع PropTech.</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1.6 حدود البحث</w:t>
      </w:r>
      <w:r>
        <w:rPr>
          <w:rFonts w:ascii="Traditional Arabic" w:cs="Traditional Arabic" w:hAnsi="Traditional Arabic"/>
          <w:b/>
          <w:bCs/>
          <w:color w:val="0F1115"/>
          <w:rtl/>
        </w:rPr>
        <w:t>:</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الحدود الموضوعية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تركز الدراسة على مشاريع تطبيقات الذكاء الاصطناعي حصراً داخل القطاع العقاري، دون المشاريع التقنية الأخرى مثل الأمن السيبراني أو الأنظمة التقليدية</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الحدود المكانية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تغطي الدراسة المملكة العربية السعودية بوصفها سوقاً نشطاً في التحول الرقمي العقاري</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الحدود الزمانية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تشمل الفترة 2023–2025 التي شهدت ذروة تبني تقنيات PropTech.</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1.7 مصطلحات البحث</w:t>
      </w:r>
      <w:r>
        <w:rPr>
          <w:rFonts w:ascii="Traditional Arabic" w:cs="Traditional Arabic" w:hAnsi="Traditional Arabic"/>
          <w:b/>
          <w:bCs/>
          <w:color w:val="0F1115"/>
          <w:rtl/>
        </w:rPr>
        <w:t>:</w:t>
      </w:r>
    </w:p>
    <w:p>
      <w:pPr>
        <w:pStyle w:val="15"/>
        <w:numPr>
          <w:ilvl w:val="0"/>
          <w:numId w:val="3"/>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 xml:space="preserve">الذكاء الاصطناعي </w:t>
      </w:r>
    </w:p>
    <w:p>
      <w:pPr>
        <w:pStyle w:val="15"/>
        <w:numPr>
          <w:ilvl w:val="0"/>
          <w:numId w:val="3"/>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مجموعة من التقنيات التي تمكن الأنظمة من التعلم واتخاذ القرارات دون تدخل بشري مباشر</w:t>
      </w:r>
    </w:p>
    <w:p>
      <w:pPr>
        <w:pStyle w:val="15"/>
        <w:numPr>
          <w:ilvl w:val="0"/>
          <w:numId w:val="3"/>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 xml:space="preserve">PropTech </w:t>
      </w:r>
    </w:p>
    <w:p>
      <w:pPr>
        <w:pStyle w:val="15"/>
        <w:numPr>
          <w:ilvl w:val="0"/>
          <w:numId w:val="3"/>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التقنيات العقارية الحديثة التي تهدف لتحسين العمليات العقارية</w:t>
      </w:r>
    </w:p>
    <w:p>
      <w:pPr>
        <w:pStyle w:val="15"/>
        <w:numPr>
          <w:ilvl w:val="0"/>
          <w:numId w:val="3"/>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إدارة المشاريع</w:t>
      </w:r>
    </w:p>
    <w:p>
      <w:pPr>
        <w:pStyle w:val="15"/>
        <w:numPr>
          <w:ilvl w:val="0"/>
          <w:numId w:val="3"/>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مجموعة العمليات التي تشمل التخطيط والتنفيذ والمراقبة والإغلاق لضمان نجاح المشروع</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 xml:space="preserve">:1.8 خاتمة الفصل الأول </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خلص هذا الفصل إلى تقديم إطار نظري ومنهجي يمهّد لبقية فصول البحث، حيث بيّن طبيعة المشكلة في مشاريع الذكاء الاصطناعي العقارية في السعودية، وأبرز أهداف وأهمية الدراسة. كما تحددت معالم البحث من خلال الأسئلة والأهداف التي ستتم معالجتها عبر المنهج المختلط، ما يوفر أساساً علمياً يسمح بالانتقال إلى الفصل الثاني المتعلق بالإطار النظري</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sz w:val="36"/>
          <w:szCs w:val="36"/>
        </w:rPr>
      </w:pPr>
    </w:p>
    <w:p>
      <w:pPr>
        <w:pStyle w:val="15"/>
        <w:bidi/>
        <w:spacing w:before="0" w:beforeAutospacing="0" w:after="0" w:afterAutospacing="0" w:line="360" w:lineRule="auto"/>
        <w:jc w:val="center"/>
        <w:rPr>
          <w:rFonts w:ascii="Traditional Arabic" w:cs="Traditional Arabic" w:hAnsi="Traditional Arabic"/>
          <w:b/>
          <w:bCs/>
          <w:color w:val="0F1115"/>
          <w:sz w:val="40"/>
          <w:szCs w:val="40"/>
          <w:rtl/>
        </w:rPr>
      </w:pPr>
      <w:r>
        <w:rPr>
          <w:rFonts w:ascii="Traditional Arabic" w:cs="Traditional Arabic" w:hAnsi="Traditional Arabic"/>
          <w:b/>
          <w:bCs/>
          <w:color w:val="0F1115"/>
          <w:sz w:val="40"/>
          <w:szCs w:val="40"/>
          <w:rtl/>
        </w:rPr>
        <w:t>الفصل الثاني</w:t>
      </w:r>
    </w:p>
    <w:p>
      <w:pPr>
        <w:pStyle w:val="15"/>
        <w:bidi/>
        <w:spacing w:before="0" w:beforeAutospacing="0" w:after="0" w:afterAutospacing="0" w:line="360" w:lineRule="auto"/>
        <w:jc w:val="center"/>
        <w:rPr>
          <w:rFonts w:ascii="Traditional Arabic" w:cs="Traditional Arabic" w:hAnsi="Traditional Arabic"/>
          <w:b/>
          <w:bCs/>
          <w:color w:val="0F1115"/>
          <w:sz w:val="40"/>
          <w:szCs w:val="40"/>
        </w:rPr>
      </w:pPr>
      <w:r>
        <w:rPr>
          <w:rFonts w:ascii="Traditional Arabic" w:cs="Traditional Arabic" w:hAnsi="Traditional Arabic"/>
          <w:b/>
          <w:bCs/>
          <w:color w:val="0F1115"/>
          <w:sz w:val="40"/>
          <w:szCs w:val="40"/>
          <w:rtl/>
        </w:rPr>
        <w:t>الإطار النظري والدراسات السابقة</w:t>
      </w:r>
    </w:p>
    <w:p>
      <w:pPr>
        <w:pStyle w:val="15"/>
        <w:bidi/>
        <w:spacing w:before="0" w:beforeAutospacing="0" w:after="0" w:afterAutospacing="0" w:line="360" w:lineRule="auto"/>
        <w:jc w:val="both"/>
        <w:rPr>
          <w:rFonts w:ascii="Traditional Arabic" w:cs="Traditional Arabic" w:hAnsi="Traditional Arabic"/>
          <w:b/>
          <w:bCs/>
          <w:color w:val="0F1115"/>
          <w:sz w:val="36"/>
          <w:szCs w:val="36"/>
          <w:rtl/>
        </w:rPr>
      </w:pPr>
    </w:p>
    <w:p>
      <w:pPr>
        <w:pStyle w:val="15"/>
        <w:bidi/>
        <w:spacing w:before="0" w:beforeAutospacing="0" w:after="0" w:afterAutospacing="0" w:line="360" w:lineRule="auto"/>
        <w:rPr>
          <w:rFonts w:ascii="Traditional Arabic" w:cs="Traditional Arabic" w:hAnsi="Traditional Arabic"/>
          <w:b/>
          <w:bCs/>
          <w:color w:val="0F1115"/>
          <w:sz w:val="28"/>
          <w:szCs w:val="28"/>
          <w:u w:val="single"/>
          <w:rtl/>
        </w:rPr>
      </w:pPr>
    </w:p>
    <w:p>
      <w:pPr>
        <w:pStyle w:val="15"/>
        <w:bidi/>
        <w:spacing w:before="0" w:beforeAutospacing="0" w:after="0" w:afterAutospacing="0" w:line="360" w:lineRule="auto"/>
        <w:rPr>
          <w:rFonts w:ascii="Traditional Arabic" w:cs="Traditional Arabic" w:hAnsi="Traditional Arabic"/>
          <w:b/>
          <w:bCs/>
          <w:color w:val="0F1115"/>
          <w:sz w:val="28"/>
          <w:szCs w:val="28"/>
          <w:u w:val="single"/>
          <w:rtl/>
        </w:rPr>
      </w:pPr>
    </w:p>
    <w:p>
      <w:pPr>
        <w:pStyle w:val="15"/>
        <w:bidi/>
        <w:spacing w:before="0" w:beforeAutospacing="0" w:after="0" w:afterAutospacing="0" w:line="360" w:lineRule="auto"/>
        <w:rPr>
          <w:rFonts w:ascii="Traditional Arabic" w:cs="Traditional Arabic" w:hAnsi="Traditional Arabic"/>
          <w:b/>
          <w:bCs/>
          <w:color w:val="0F1115"/>
          <w:sz w:val="28"/>
          <w:szCs w:val="28"/>
          <w:u w:val="single"/>
          <w:rtl/>
        </w:rPr>
      </w:pPr>
    </w:p>
    <w:p>
      <w:pPr>
        <w:pStyle w:val="15"/>
        <w:bidi/>
        <w:spacing w:before="0" w:beforeAutospacing="0" w:after="0" w:afterAutospacing="0" w:line="360" w:lineRule="auto"/>
        <w:rPr>
          <w:rFonts w:ascii="Traditional Arabic" w:cs="Traditional Arabic" w:hAnsi="Traditional Arabic"/>
          <w:b/>
          <w:bCs/>
          <w:color w:val="0F1115"/>
          <w:sz w:val="28"/>
          <w:szCs w:val="28"/>
          <w:u w:val="single"/>
          <w:rtl/>
        </w:rPr>
      </w:pPr>
    </w:p>
    <w:p>
      <w:pPr>
        <w:pStyle w:val="15"/>
        <w:bidi/>
        <w:spacing w:before="0" w:beforeAutospacing="0" w:after="0" w:afterAutospacing="0" w:line="360" w:lineRule="auto"/>
        <w:rPr>
          <w:rFonts w:ascii="Traditional Arabic" w:cs="Traditional Arabic" w:hAnsi="Traditional Arabic"/>
          <w:b/>
          <w:bCs/>
          <w:color w:val="0F1115"/>
          <w:sz w:val="28"/>
          <w:szCs w:val="28"/>
          <w:u w:val="single"/>
          <w:rtl/>
        </w:rPr>
      </w:pP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 xml:space="preserve">:2.1 مقدمة الفصل </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يُعد الإطار النظري حجر الأساس لأي بحث علمي، خصوصاً في المجالات التي تتقاطع فيها التكنولوجيا المتقدمة مع القطاعات الاقتصادية الحيوية، مثل القطاع العقاري. ويهدف هذا الفصل إلى تقديم نظرة شاملة تجمع بين نظريات إدارة المشاريع الحديثة وتطور الذكاء الاصطناعي، مع التركيز على تطبيقاته في القطاع العقاري عالميًا وفي المملكة العربية السعودية. كما يستعرض هذا الفصل مجموعة من الدراسات السابقة بهدف تحديد الفجوات العلمية التي يسعى هذا البحث إلى سدّها.</w:t>
      </w:r>
    </w:p>
    <w:p>
      <w:pPr>
        <w:pStyle w:val="15"/>
        <w:bidi/>
        <w:spacing w:before="0" w:beforeAutospacing="0" w:after="0" w:afterAutospacing="0" w:line="360" w:lineRule="auto"/>
        <w:jc w:val="both"/>
        <w:rPr>
          <w:rFonts w:ascii="Traditional Arabic" w:cs="Traditional Arabic" w:hAnsi="Traditional Arabic"/>
          <w:color w:val="0F1115"/>
        </w:rPr>
      </w:pPr>
      <w:r>
        <w:rPr>
          <w:rFonts w:ascii="Segoe UI Emoji" w:cs="Segoe UI Emoji" w:hAnsi="Segoe UI Emoji"/>
          <w:color w:val="0F1115"/>
        </w:rPr>
        <w:t>⭐</w:t>
      </w:r>
      <w:r>
        <w:rPr>
          <w:rFonts w:ascii="Traditional Arabic" w:cs="Traditional Arabic" w:hAnsi="Traditional Arabic"/>
          <w:color w:val="0F1115"/>
        </w:rPr>
        <w:t xml:space="preserve"> القسم الأول: نظريات ومفاهيم إدارة المشاريع الحديثة</w:t>
      </w:r>
    </w:p>
    <w:p>
      <w:pPr>
        <w:pStyle w:val="15"/>
        <w:bidi/>
        <w:spacing w:before="0" w:beforeAutospacing="0" w:after="0" w:afterAutospacing="0" w:line="360" w:lineRule="auto"/>
        <w:jc w:val="both"/>
        <w:rPr>
          <w:rFonts w:ascii="Traditional Arabic" w:cs="Traditional Arabic" w:hAnsi="Traditional Arabic"/>
          <w:b/>
          <w:bCs/>
          <w:color w:val="0F1115"/>
          <w:sz w:val="32"/>
          <w:szCs w:val="32"/>
        </w:rPr>
      </w:pPr>
      <w:r>
        <w:rPr>
          <w:rFonts w:ascii="Traditional Arabic" w:cs="Traditional Arabic" w:hAnsi="Traditional Arabic"/>
          <w:b/>
          <w:bCs/>
          <w:color w:val="0F1115"/>
          <w:sz w:val="32"/>
          <w:szCs w:val="32"/>
        </w:rPr>
        <w:t>نظريات إدارة المشاريع</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شهدت إدارة المشاريع خلال العقود الأخيرة تطورًا كبيرًا، حيث انتقلت من المنهجيات التقليدية الصارمة إلى منهجيات أكثر مرونة وملاءمة للمشاريع التقنية المعقدة.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w:t>
      </w:r>
    </w:p>
    <w:p>
      <w:pPr>
        <w:pStyle w:val="15"/>
        <w:bidi/>
        <w:spacing w:before="0" w:beforeAutospacing="0" w:after="0" w:afterAutospacing="0" w:line="360" w:lineRule="auto"/>
        <w:jc w:val="both"/>
        <w:rPr>
          <w:rFonts w:ascii="Traditional Arabic" w:cs="Traditional Arabic" w:hAnsi="Traditional Arabic"/>
          <w:b/>
          <w:bCs/>
          <w:color w:val="0F1115"/>
          <w:sz w:val="28"/>
          <w:szCs w:val="28"/>
        </w:rPr>
      </w:pPr>
      <w:r>
        <w:rPr>
          <w:rFonts w:ascii="Traditional Arabic" w:cs="Traditional Arabic" w:hAnsi="Traditional Arabic"/>
          <w:b/>
          <w:bCs/>
          <w:color w:val="0F1115"/>
          <w:sz w:val="28"/>
          <w:szCs w:val="28"/>
        </w:rPr>
        <w:t>دليل PMBOK الإصدار السابع</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يمثل الإصدار السابع من دليل PMBOK تحولاً جذريًا في أسلوب إدارة المشاريع، حيث استبدل النموذج القائم على العمليات بنموذج قائم على المبادئ Principles-Based Approach.</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وتشمل المبادئ الأساسية</w:t>
      </w:r>
    </w:p>
    <w:p>
      <w:pPr>
        <w:pStyle w:val="15"/>
        <w:numPr>
          <w:ilvl w:val="0"/>
          <w:numId w:val="4"/>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التركيز على تحقيق القيمة Value Delivery.</w:t>
      </w:r>
    </w:p>
    <w:p>
      <w:pPr>
        <w:pStyle w:val="15"/>
        <w:numPr>
          <w:ilvl w:val="0"/>
          <w:numId w:val="4"/>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التكيف Adaptive Approach.</w:t>
      </w:r>
    </w:p>
    <w:p>
      <w:pPr>
        <w:pStyle w:val="15"/>
        <w:numPr>
          <w:ilvl w:val="0"/>
          <w:numId w:val="4"/>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التعاون بين أصحاب المصلحة.</w:t>
      </w:r>
    </w:p>
    <w:p>
      <w:pPr>
        <w:pStyle w:val="15"/>
        <w:numPr>
          <w:ilvl w:val="0"/>
          <w:numId w:val="4"/>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التفكير النُظمي Systems Thinking.</w:t>
      </w:r>
    </w:p>
    <w:p>
      <w:pPr>
        <w:pStyle w:val="15"/>
        <w:numPr>
          <w:ilvl w:val="0"/>
          <w:numId w:val="4"/>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الجودة والاستدامة.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وتُعد مشاريع الذكاء الاصطناعي من أهم أنواع المشاريع التي تحتاج لهذا التحول، كونها تعتمد على التعلم المستمر والتجارب المتكررة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المنهجيات الرشيقة (Agile)</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تقوم Agile على</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التكرار Iterations</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التحسين المستمر</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التعاون المستمر بين الفرق</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الاستجابة السريعة للتغيرات</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وتُعد مناسبة جدًا لمشاريع الذكاء الاصطناعي التي تتطلب تجارب مستمرة وتعديلات بناءً على نتائج النماذج.</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المنهجية الهجينة Hybrid Model</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:تُعد الأفضل لمشاريع الذكاء الاصطناعي العقارية لأنها تربط بين</w:t>
      </w:r>
    </w:p>
    <w:p>
      <w:pPr>
        <w:pStyle w:val="15"/>
        <w:bidi/>
        <w:spacing w:before="0" w:beforeAutospacing="0" w:after="0" w:afterAutospacing="0" w:line="360" w:lineRule="auto"/>
        <w:jc w:val="both"/>
        <w:rPr>
          <w:rFonts w:ascii="Traditional Arabic" w:cs="Traditional Arabic" w:hAnsi="Traditional Arabic"/>
          <w:color w:val="0F1115"/>
          <w:rtl/>
        </w:rPr>
      </w:pPr>
      <w:r>
        <w:rPr>
          <w:rFonts w:ascii="Traditional Arabic" w:cs="Traditional Arabic" w:hAnsi="Traditional Arabic"/>
          <w:color w:val="0F1115"/>
        </w:rPr>
        <w:t xml:space="preserve"> Agile</w:t>
      </w:r>
      <w:r>
        <w:rPr>
          <w:rFonts w:ascii="Traditional Arabic" w:cs="Traditional Arabic" w:hAnsi="Traditional Arabic"/>
          <w:color w:val="0F1115"/>
          <w:rtl/>
        </w:rPr>
        <w:t xml:space="preserve"> يحتاج</w:t>
      </w:r>
      <w:r>
        <w:rPr>
          <w:rFonts w:ascii="Traditional Arabic" w:cs="Traditional Arabic" w:hAnsi="Traditional Arabic"/>
          <w:color w:val="0F1115"/>
        </w:rPr>
        <w:t xml:space="preserve"> لجانب التقني المتغير</w:t>
      </w:r>
      <w:r>
        <w:rPr>
          <w:rFonts w:ascii="Traditional Arabic" w:cs="Traditional Arabic" w:hAnsi="Traditional Arabic"/>
          <w:color w:val="0F1115"/>
          <w:rtl/>
        </w:rPr>
        <w:t xml:space="preserve"> </w:t>
      </w:r>
      <w:r>
        <w:rPr>
          <w:rFonts w:ascii="Traditional Arabic" w:cs="Traditional Arabic" w:hAnsi="Traditional Arabic"/>
          <w:color w:val="0F1115"/>
        </w:rPr>
        <w:t xml:space="preserve"> </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المتطلبات العقارية الثابتة أحيانًا (تحتاج منهجية تقليدية Waterfall).</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وتوفر المرونة في تطوير النماذج، مع الحفاظ على الانضباط في الجوانب العقارية</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نظرية القيود Theory of Constraints</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tl/>
        </w:rPr>
        <w:t>تركز على :</w:t>
      </w:r>
    </w:p>
    <w:p>
      <w:pPr>
        <w:pStyle w:val="15"/>
        <w:numPr>
          <w:ilvl w:val="0"/>
          <w:numId w:val="5"/>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تحديد العقبة الكبرى في المشروع</w:t>
      </w:r>
    </w:p>
    <w:p>
      <w:pPr>
        <w:pStyle w:val="15"/>
        <w:numPr>
          <w:ilvl w:val="0"/>
          <w:numId w:val="5"/>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العمل على تحسينها</w:t>
      </w:r>
    </w:p>
    <w:p>
      <w:pPr>
        <w:pStyle w:val="15"/>
        <w:numPr>
          <w:ilvl w:val="0"/>
          <w:numId w:val="5"/>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مراقبة أثر ذلك على الأداء العام</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وفي مشاريع الذكاء الاصطناعي، تكون العقبة غالبًا</w:t>
      </w:r>
    </w:p>
    <w:p>
      <w:pPr>
        <w:pStyle w:val="15"/>
        <w:numPr>
          <w:ilvl w:val="0"/>
          <w:numId w:val="6"/>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جودة البيانات</w:t>
      </w:r>
    </w:p>
    <w:p>
      <w:pPr>
        <w:pStyle w:val="15"/>
        <w:numPr>
          <w:ilvl w:val="0"/>
          <w:numId w:val="6"/>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فجوة التواصل</w:t>
      </w:r>
    </w:p>
    <w:p>
      <w:pPr>
        <w:pStyle w:val="15"/>
        <w:numPr>
          <w:ilvl w:val="0"/>
          <w:numId w:val="6"/>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قلة الكفاءات المتخصصة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b/>
          <w:bCs/>
          <w:color w:val="0F1115"/>
        </w:rPr>
        <w:t>إدارة المخاطر في المشاريع التقنية: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من أبرز نماذج إدارة المخاطر:</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نموذج RMP</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نموذج SWIFT</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تحليل Monte Carlo</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وتتكامل هذه النماذج لمعالجة المخاطر التقنية مثل</w:t>
      </w:r>
      <w:r>
        <w:rPr>
          <w:rFonts w:ascii="Traditional Arabic" w:cs="Traditional Arabic" w:hAnsi="Traditional Arabic"/>
          <w:color w:val="0F1115"/>
          <w:rtl/>
        </w:rPr>
        <w:t>:</w:t>
      </w:r>
    </w:p>
    <w:p>
      <w:pPr>
        <w:pStyle w:val="15"/>
        <w:numPr>
          <w:ilvl w:val="0"/>
          <w:numId w:val="7"/>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تحيز البيانات</w:t>
      </w:r>
    </w:p>
    <w:p>
      <w:pPr>
        <w:pStyle w:val="15"/>
        <w:numPr>
          <w:ilvl w:val="0"/>
          <w:numId w:val="7"/>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فشل النماذج</w:t>
      </w:r>
    </w:p>
    <w:p>
      <w:pPr>
        <w:pStyle w:val="15"/>
        <w:numPr>
          <w:ilvl w:val="0"/>
          <w:numId w:val="7"/>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ضعف البنية التحتية</w:t>
      </w:r>
    </w:p>
    <w:p>
      <w:pPr>
        <w:pStyle w:val="15"/>
        <w:numPr>
          <w:ilvl w:val="0"/>
          <w:numId w:val="7"/>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عدم توافق الأنظمة</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القسم الثاني: تطور الذكاء الاصطناعي عالميًا</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تاريخ الذكاء الاصطناعي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تطور الذكاء الاصطناعي عبر مراحل رئيسية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 xml:space="preserve">المرحلة الأولى </w:t>
      </w:r>
      <w:r>
        <w:rPr>
          <w:rFonts w:ascii="Traditional Arabic" w:cs="Traditional Arabic" w:hAnsi="Traditional Arabic"/>
          <w:color w:val="0F1115"/>
          <w:rtl/>
        </w:rPr>
        <w:t xml:space="preserve">2000-1950 </w:t>
      </w:r>
      <w:r>
        <w:rPr>
          <w:rFonts w:ascii="Traditional Arabic" w:cs="Traditional Arabic" w:hAnsi="Traditional Arabic"/>
          <w:color w:val="0F1115"/>
        </w:rPr>
        <w:t>الذكاء الرمزي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اعتمدت على القواعد المنطقية والنظم الخبيرة</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 xml:space="preserve">المرحلة الثانية </w:t>
      </w:r>
      <w:r>
        <w:rPr>
          <w:rFonts w:ascii="Traditional Arabic" w:cs="Traditional Arabic" w:hAnsi="Traditional Arabic"/>
          <w:color w:val="0F1115"/>
          <w:rtl/>
        </w:rPr>
        <w:t xml:space="preserve">2000-2015 </w:t>
      </w:r>
      <w:r>
        <w:rPr>
          <w:rFonts w:ascii="Traditional Arabic" w:cs="Traditional Arabic" w:hAnsi="Traditional Arabic"/>
          <w:color w:val="0F1115"/>
        </w:rPr>
        <w:t xml:space="preserve"> التعلم الآلي</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ظهور الخوارزميات القادرة على التعلم من البيانات</w:t>
      </w:r>
    </w:p>
    <w:p>
      <w:pPr>
        <w:pStyle w:val="15"/>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 xml:space="preserve">المرحلة الثالثة </w:t>
      </w:r>
      <w:r>
        <w:rPr>
          <w:rFonts w:ascii="Traditional Arabic" w:cs="Traditional Arabic" w:hAnsi="Traditional Arabic"/>
          <w:color w:val="0F1115"/>
          <w:rtl/>
        </w:rPr>
        <w:t xml:space="preserve">2015 حتى الان </w:t>
      </w:r>
      <w:r>
        <w:rPr>
          <w:rFonts w:ascii="Traditional Arabic" w:cs="Traditional Arabic" w:hAnsi="Traditional Arabic"/>
          <w:color w:val="0F1115"/>
        </w:rPr>
        <w:t xml:space="preserve"> التعلم العميق</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أحدثت ثورة في</w:t>
      </w:r>
      <w:r>
        <w:rPr>
          <w:rFonts w:ascii="Traditional Arabic" w:cs="Traditional Arabic" w:hAnsi="Traditional Arabic"/>
          <w:b/>
          <w:bCs/>
          <w:color w:val="0F1115"/>
          <w:rtl/>
        </w:rPr>
        <w:t>:</w:t>
      </w:r>
    </w:p>
    <w:p>
      <w:pPr>
        <w:pStyle w:val="15"/>
        <w:numPr>
          <w:ilvl w:val="0"/>
          <w:numId w:val="8"/>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معالجة الصور</w:t>
      </w:r>
    </w:p>
    <w:p>
      <w:pPr>
        <w:pStyle w:val="15"/>
        <w:numPr>
          <w:ilvl w:val="0"/>
          <w:numId w:val="8"/>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تحليل السلوك</w:t>
      </w:r>
    </w:p>
    <w:p>
      <w:pPr>
        <w:pStyle w:val="15"/>
        <w:numPr>
          <w:ilvl w:val="0"/>
          <w:numId w:val="8"/>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التنبؤ العقاري</w:t>
      </w:r>
    </w:p>
    <w:p>
      <w:pPr>
        <w:pStyle w:val="15"/>
        <w:numPr>
          <w:ilvl w:val="0"/>
          <w:numId w:val="8"/>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تقييم المخاطر</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تطبيقات الذكاء الاصطناعي في القطاع العقاري عالميًا</w:t>
      </w:r>
      <w:r>
        <w:rPr>
          <w:rFonts w:ascii="Traditional Arabic" w:cs="Traditional Arabic" w:hAnsi="Traditional Arabic"/>
          <w:b/>
          <w:bCs/>
          <w:color w:val="0F1115"/>
          <w:rtl/>
        </w:rPr>
        <w:t>:</w:t>
      </w:r>
    </w:p>
    <w:p>
      <w:pPr>
        <w:pStyle w:val="15"/>
        <w:numPr>
          <w:ilvl w:val="0"/>
          <w:numId w:val="9"/>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أصبحت PropTech قوة اقتصادية مؤثرة، وتشمل</w:t>
      </w:r>
    </w:p>
    <w:p>
      <w:pPr>
        <w:pStyle w:val="15"/>
        <w:numPr>
          <w:ilvl w:val="0"/>
          <w:numId w:val="9"/>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التنبؤ بأسعار العقارات</w:t>
      </w:r>
    </w:p>
    <w:p>
      <w:pPr>
        <w:pStyle w:val="15"/>
        <w:numPr>
          <w:ilvl w:val="0"/>
          <w:numId w:val="9"/>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باستخدام النماذج الإحصائية والتعلم العميق.</w:t>
      </w:r>
    </w:p>
    <w:p>
      <w:pPr>
        <w:pStyle w:val="15"/>
        <w:numPr>
          <w:ilvl w:val="0"/>
          <w:numId w:val="9"/>
        </w:numPr>
        <w:bidi/>
        <w:spacing w:before="0" w:beforeAutospacing="0" w:after="0" w:afterAutospacing="0" w:line="360" w:lineRule="auto"/>
        <w:rPr>
          <w:rFonts w:ascii="Traditional Arabic" w:cs="Traditional Arabic" w:hAnsi="Traditional Arabic"/>
          <w:color w:val="0F1115"/>
        </w:rPr>
      </w:pPr>
      <w:r>
        <w:rPr>
          <w:rFonts w:ascii="Traditional Arabic" w:cs="Traditional Arabic" w:hAnsi="Traditional Arabic"/>
          <w:color w:val="0F1115"/>
        </w:rPr>
        <w:t>إدارة الأصول العقارية</w:t>
      </w:r>
    </w:p>
    <w:p>
      <w:pPr>
        <w:pStyle w:val="15"/>
        <w:numPr>
          <w:ilvl w:val="0"/>
          <w:numId w:val="9"/>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تحليل البيانات التشغيلية للحفاظ على العقار.</w:t>
      </w:r>
    </w:p>
    <w:p>
      <w:pPr>
        <w:pStyle w:val="15"/>
        <w:bidi/>
        <w:spacing w:before="0" w:beforeAutospacing="0" w:after="0" w:afterAutospacing="0" w:line="360" w:lineRule="auto"/>
        <w:jc w:val="both"/>
        <w:rPr>
          <w:rFonts w:ascii="Traditional Arabic" w:cs="Traditional Arabic" w:hAnsi="Traditional Arabic"/>
          <w:b/>
          <w:bCs/>
          <w:color w:val="0F1115"/>
        </w:rPr>
      </w:pPr>
      <w:r>
        <w:rPr>
          <w:rFonts w:ascii="Traditional Arabic" w:cs="Traditional Arabic" w:hAnsi="Traditional Arabic"/>
          <w:b/>
          <w:bCs/>
          <w:color w:val="0F1115"/>
        </w:rPr>
        <w:t>الروبوتات والإنشاء الذكي</w:t>
      </w:r>
    </w:p>
    <w:p>
      <w:pPr>
        <w:pStyle w:val="15"/>
        <w:numPr>
          <w:ilvl w:val="0"/>
          <w:numId w:val="10"/>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استخدام طائرات بدون طيار لرسم الخرائط.</w:t>
      </w:r>
    </w:p>
    <w:p>
      <w:pPr>
        <w:pStyle w:val="15"/>
        <w:numPr>
          <w:ilvl w:val="0"/>
          <w:numId w:val="10"/>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 تقييم المخاطر العقارية</w:t>
      </w:r>
    </w:p>
    <w:p>
      <w:pPr>
        <w:pStyle w:val="15"/>
        <w:bidi/>
        <w:spacing w:before="0" w:beforeAutospacing="0" w:after="0" w:afterAutospacing="0" w:line="360" w:lineRule="auto"/>
        <w:jc w:val="both"/>
        <w:rPr>
          <w:rFonts w:ascii="Traditional Arabic" w:cs="Traditional Arabic" w:hAnsi="Traditional Arabic"/>
          <w:color w:val="0F1115"/>
        </w:rPr>
      </w:pPr>
    </w:p>
    <w:p>
      <w:pPr>
        <w:pStyle w:val="15"/>
        <w:numPr>
          <w:ilvl w:val="0"/>
          <w:numId w:val="10"/>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الاعتماد على Big Data لتقييم الاستثمارات.</w:t>
      </w:r>
    </w:p>
    <w:p>
      <w:pPr>
        <w:pStyle w:val="15"/>
        <w:numPr>
          <w:ilvl w:val="0"/>
          <w:numId w:val="1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التجارب الافتراضية VR وAR</w:t>
      </w:r>
    </w:p>
    <w:p>
      <w:pPr>
        <w:pStyle w:val="15"/>
        <w:numPr>
          <w:ilvl w:val="0"/>
          <w:numId w:val="11"/>
        </w:numPr>
        <w:bidi/>
        <w:spacing w:before="0" w:beforeAutospacing="0" w:after="0" w:afterAutospacing="0" w:line="360" w:lineRule="auto"/>
        <w:jc w:val="both"/>
        <w:rPr>
          <w:rFonts w:ascii="Traditional Arabic" w:cs="Traditional Arabic" w:hAnsi="Traditional Arabic"/>
          <w:color w:val="0F1115"/>
        </w:rPr>
      </w:pPr>
      <w:r>
        <w:rPr>
          <w:rFonts w:ascii="Traditional Arabic" w:cs="Traditional Arabic" w:hAnsi="Traditional Arabic"/>
          <w:color w:val="0F1115"/>
        </w:rPr>
        <w:t>تجربة العقار قبل زيارته الفعلية</w:t>
      </w: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pStyle w:val="15"/>
        <w:bidi/>
        <w:spacing w:before="0" w:beforeAutospacing="0" w:after="0" w:afterAutospacing="0" w:line="360" w:lineRule="auto"/>
        <w:jc w:val="both"/>
        <w:rPr>
          <w:rFonts w:ascii="Traditional Arabic" w:cs="Traditional Arabic" w:hAnsi="Traditional Arabic"/>
          <w:color w:val="0F1115"/>
          <w:rtl/>
        </w:rPr>
      </w:pPr>
    </w:p>
    <w:p>
      <w:pPr>
        <w:numPr>
          <w:ilvl w:val="0"/>
          <w:numId w:val="12"/>
        </w:numPr>
        <w:shd w:val="clear" w:color="auto" w:fill="FFFFFF"/>
        <w:bidi/>
        <w:spacing w:before="100" w:beforeAutospacing="1" w:after="0" w:line="360" w:lineRule="auto"/>
        <w:rPr>
          <w:rFonts w:ascii="Traditional Arabic" w:eastAsia="Times New Roman" w:cs="Traditional Arabic" w:hAnsi="Traditional Arabic"/>
          <w:color w:val="0F1115"/>
          <w:sz w:val="28"/>
          <w:szCs w:val="28"/>
        </w:rPr>
      </w:pPr>
      <w:r>
        <w:rPr>
          <w:rFonts w:ascii="Traditional Arabic" w:eastAsia="Times New Roman" w:cs="Traditional Arabic" w:hAnsi="Traditional Arabic"/>
          <w:color w:val="0F1115"/>
          <w:sz w:val="28"/>
          <w:szCs w:val="28"/>
        </w:rPr>
        <w:t>.</w:t>
      </w:r>
    </w:p>
    <w:sectPr>
      <w:headerReference w:type="default" r:id="rId2"/>
      <w:footerReference w:type="default" r:id="rId3"/>
      <w:pgSz w:w="12240" w:h="15840"/>
      <w:pgMar w:top="1440" w:right="1080" w:bottom="1440" w:left="1080" w:header="720" w:footer="720" w:gutter="0"/>
      <w:pgBorders w:zOrder="back" w:offsetFrom="page">
        <w:top w:val="thinThickSmallGap" w:sz="24" w:space="10" w:color="auto"/>
        <w:left w:val="thinThickSmallGap" w:sz="24" w:space="10" w:color="auto"/>
        <w:bottom w:val="thickThinSmallGap" w:sz="24" w:space="10" w:color="auto"/>
        <w:right w:val="thickThinSmallGap" w:sz="24" w:space="10" w:color="auto"/>
      </w:pgBorders>
      <w:pgNumType w:start="0"/>
      <w:titlePg/>
      <w:docGrid w:linePitch="360" w:charSpace="0"/>
    </w:sectPr>
  </w:body>
</w:document>
</file>

<file path=word/fontTable.xml><?xml version="1.0" encoding="utf-8"?>
<w:fonts xmlns:w="http://schemas.openxmlformats.org/wordprocessingml/2006/main" xmlns:r="http://schemas.openxmlformats.org/officeDocument/2006/relationships">
  <w:font w:name="Traditional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A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宋体">
    <w:panose1 w:val="00000000000000000000"/>
    <w:charset w:val="00"/>
    <w:family w:val="auto"/>
    <w:pitch w:val="variable"/>
    <w:sig w:usb0="00000000" w:usb1="00000000" w:usb2="00000000" w:usb3="00000000" w:csb0="0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Luxi Sans">
    <w:altName w:val="Arial"/>
    <w:panose1 w:val="00000000000000000000"/>
    <w:charset w:val="00"/>
    <w:family w:val="auto"/>
    <w:pitch w:val="variable"/>
  </w:font>
  <w:font w:name="HONOR black body">
    <w:altName w:val="Arial"/>
    <w:panose1 w:val="00000000000000000000"/>
    <w:charset w:val="00"/>
    <w:family w:val="auto"/>
    <w:pitch w:val="variable"/>
  </w:font>
  <w:font w:name="DengXian">
    <w:altName w:val="Droid Sans"/>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1769462140"/>
      <w:docPartObj>
        <w:docPartGallery/>
        <w:docPartUnique/>
      </w:docPartObj>
    </w:sdtPr>
    <w:sdtContent>
      <w:p>
        <w:pPr>
          <w:pStyle w:val="17"/>
          <w:tabs>
            <w:tab w:val="center" w:pos="4680"/>
            <w:tab w:val="right" w:pos="9360"/>
          </w:tabs>
          <w:jc w:val="center"/>
        </w:pPr>
        <w:r>
          <w:fldChar w:fldCharType="begin"/>
        </w:r>
        <w:r>
          <w:instrText xml:space="preserve"> PAGE   \* MERGEFORMAT </w:instrText>
        </w:r>
        <w:r>
          <w:fldChar w:fldCharType="separate"/>
        </w:r>
        <w:r>
          <w:t>2</w:t>
        </w:r>
        <w:r>
          <w:fldChar w:fldCharType="end"/>
        </w:r>
      </w:p>
    </w:sdtContent>
  </w:sdt>
  <w:p>
    <w:pPr>
      <w:pStyle w:val="17"/>
      <w:tabs>
        <w:tab w:val="center" w:pos="4680"/>
        <w:tab w:val="right" w:pos="9360"/>
      </w:tabs>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6"/>
      <w:tabs>
        <w:tab w:val="clear" w:pos="4680"/>
        <w:tab w:val="clear" w:pos="9360"/>
      </w:tabs>
      <w:jc w:val="right"/>
      <w:rPr>
        <w:sz w:val="14"/>
        <w:szCs w:val="14"/>
      </w:rPr>
    </w:pPr>
  </w:p>
</w:hd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3AB235C0"/>
    <w:lvl w:ilvl="0">
      <w:start w:val="1"/>
      <w:numFmt w:val="bullet"/>
      <w:lvlRestart w:val="0"/>
      <w:lvlText w:val=""/>
      <w:lvlJc w:val="left"/>
      <w:pPr>
        <w:tabs>
          <w:tab w:val="num" w:pos="0"/>
        </w:tabs>
        <w:ind w:left="720" w:hanging="360"/>
      </w:pPr>
      <w:rPr>
        <w:rFonts w:ascii="Symbol" w:hAnsi="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
    <w:multiLevelType w:val="hybridMultilevel"/>
    <w:tmpl w:val="F9D0269E"/>
    <w:lvl w:ilvl="0">
      <w:start w:val="1"/>
      <w:numFmt w:val="decimal"/>
      <w:lvlRestart w:val="0"/>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
    <w:multiLevelType w:val="hybridMultilevel"/>
    <w:tmpl w:val="FDD4649C"/>
    <w:lvl w:ilvl="0">
      <w:start w:val="1"/>
      <w:numFmt w:val="bullet"/>
      <w:lvlRestart w:val="0"/>
      <w:lvlText w:val=""/>
      <w:lvlJc w:val="left"/>
      <w:pPr>
        <w:tabs>
          <w:tab w:val="num" w:pos="0"/>
        </w:tabs>
        <w:ind w:left="1080" w:hanging="360"/>
      </w:pPr>
      <w:rPr>
        <w:rFonts w:ascii="Symbol" w:hAnsi="Symbol" w:hint="default"/>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multiLevelType w:val="hybridMultilevel"/>
    <w:tmpl w:val="58203FCA"/>
    <w:lvl w:ilvl="0">
      <w:start w:val="1"/>
      <w:numFmt w:val="bullet"/>
      <w:lvlRestart w:val="0"/>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4">
    <w:multiLevelType w:val="hybridMultilevel"/>
    <w:tmpl w:val="613A6DA4"/>
    <w:lvl w:ilvl="0">
      <w:start w:val="1"/>
      <w:numFmt w:val="bullet"/>
      <w:lvlRestart w:val="0"/>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5">
    <w:multiLevelType w:val="hybridMultilevel"/>
    <w:tmpl w:val="D486A006"/>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6">
    <w:multiLevelType w:val="hybridMultilevel"/>
    <w:tmpl w:val="AB3CD042"/>
    <w:lvl w:ilvl="0">
      <w:start w:val="1"/>
      <w:numFmt w:val="bullet"/>
      <w:lvlRestart w:val="0"/>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7">
    <w:multiLevelType w:val="hybridMultilevel"/>
    <w:tmpl w:val="F0268596"/>
    <w:lvl w:ilvl="0">
      <w:start w:val="1"/>
      <w:numFmt w:val="bullet"/>
      <w:lvlRestart w:val="0"/>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8">
    <w:multiLevelType w:val="hybridMultilevel"/>
    <w:tmpl w:val="C07A8986"/>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9">
    <w:multiLevelType w:val="hybridMultilevel"/>
    <w:tmpl w:val="AB74329C"/>
    <w:lvl w:ilvl="0">
      <w:start w:val="1"/>
      <w:numFmt w:val="bullet"/>
      <w:lvlRestart w:val="0"/>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0">
    <w:multiLevelType w:val="hybridMultilevel"/>
    <w:tmpl w:val="48B0E9BE"/>
    <w:lvl w:ilvl="0">
      <w:start w:val="1"/>
      <w:numFmt w:val="bullet"/>
      <w:lvlRestart w:val="0"/>
      <w:lvlText w:val="o"/>
      <w:lvlJc w:val="left"/>
      <w:pPr>
        <w:tabs>
          <w:tab w:val="num" w:pos="0"/>
        </w:tabs>
        <w:ind w:left="720" w:hanging="360"/>
      </w:pPr>
      <w:rPr>
        <w:rFonts w:ascii="Courier New" w:hAnsi="Courier New" w:cs="Courier New"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11">
    <w:multiLevelType w:val="multilevel"/>
    <w:tmpl w:val="55703E98"/>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378"/>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Calibri" w:eastAsia="Calibri" w:cs="Arial" w:hAnsi="Calibri"/>
      <w:sz w:val="22"/>
      <w:szCs w:val="22"/>
      <w:lang w:val="en-US" w:eastAsia="en-US" w:bidi="ar-SA"/>
    </w:rPr>
  </w:style>
  <w:style w:type="paragraph" w:styleId="1">
    <w:name w:val="heading 1"/>
    <w:basedOn w:val="0"/>
    <w:next w:val="0"/>
    <w:pPr>
      <w:keepNext/>
      <w:keepLines/>
      <w:spacing w:before="340" w:after="330" w:line="578" w:lineRule="auto"/>
      <w:outlineLvl w:val="0"/>
    </w:pPr>
    <w:rPr>
      <w:b/>
      <w:bCs/>
      <w:kern w:val="44"/>
      <w:sz w:val="44"/>
    </w:rPr>
  </w:style>
  <w:style w:type="paragraph" w:styleId="2">
    <w:name w:val="heading 2"/>
    <w:basedOn w:val="0"/>
    <w:next w:val="0"/>
    <w:pPr>
      <w:keepNext/>
      <w:keepLines/>
      <w:spacing w:before="260" w:after="260" w:line="415" w:lineRule="auto"/>
      <w:outlineLvl w:val="1"/>
    </w:pPr>
    <w:rPr>
      <w:rFonts w:ascii="Luxi Sans" w:eastAsia="HONOR black body" w:hAnsi="Luxi Sans"/>
      <w:b/>
      <w:sz w:val="32"/>
    </w:rPr>
  </w:style>
  <w:style w:type="paragraph" w:styleId="3">
    <w:name w:val="heading 3"/>
    <w:basedOn w:val="0"/>
    <w:pPr>
      <w:spacing w:before="100" w:beforeAutospacing="1" w:after="100" w:afterAutospacing="1" w:line="240" w:lineRule="auto"/>
      <w:outlineLvl w:val="2"/>
    </w:pPr>
    <w:rPr>
      <w:rFonts w:ascii="Times New Roman" w:eastAsia="Times New Roman" w:cs="Times New Roman" w:hAnsi="Times New Roman"/>
      <w:b/>
      <w:bCs/>
      <w:sz w:val="27"/>
      <w:szCs w:val="27"/>
    </w:rPr>
  </w:style>
  <w:style w:type="character" w:default="1" w:styleId="10">
    <w:name w:val="Default Paragraph Font"/>
  </w:style>
  <w:style w:type="paragraph" w:customStyle="1" w:styleId="15">
    <w:name w:val="ds-markdown-paragraph"/>
    <w:basedOn w:val="0"/>
    <w:pPr>
      <w:spacing w:before="100" w:beforeAutospacing="1" w:after="100" w:afterAutospacing="1" w:line="240" w:lineRule="auto"/>
    </w:pPr>
    <w:rPr>
      <w:rFonts w:ascii="Times New Roman" w:eastAsia="Times New Roman" w:cs="Times New Roman" w:hAnsi="Times New Roman"/>
      <w:sz w:val="24"/>
      <w:szCs w:val="24"/>
    </w:rPr>
  </w:style>
  <w:style w:type="paragraph" w:styleId="16">
    <w:name w:val="header"/>
    <w:basedOn w:val="0"/>
    <w:pPr>
      <w:tabs>
        <w:tab w:val="center" w:pos="4680"/>
        <w:tab w:val="right" w:pos="9360"/>
      </w:tabs>
      <w:spacing w:after="0" w:line="240" w:lineRule="auto"/>
    </w:pPr>
  </w:style>
  <w:style w:type="paragraph" w:styleId="17">
    <w:name w:val="footer"/>
    <w:basedOn w:val="0"/>
    <w:pPr>
      <w:tabs>
        <w:tab w:val="center" w:pos="4680"/>
        <w:tab w:val="right" w:pos="9360"/>
      </w:tabs>
      <w:spacing w:after="0" w:line="240" w:lineRule="auto"/>
    </w:pPr>
  </w:style>
  <w:style w:type="paragraph" w:customStyle="1" w:styleId="18">
    <w:name w:val="No Spacing1"/>
    <w:rPr>
      <w:rFonts w:ascii="Calibri" w:eastAsia="DengXian" w:cs="Arial" w:hAnsi="Calibri"/>
      <w:sz w:val="22"/>
      <w:szCs w:val="22"/>
      <w:lang w:val="en-US" w:eastAsia="en-US" w:bidi="ar-SA"/>
    </w:rPr>
  </w:style>
  <w:style w:type="character" w:styleId="19">
    <w:name w:val="Strong"/>
    <w:basedOn w:val="10"/>
    <w:rPr>
      <w:b/>
      <w:bCs/>
    </w:rPr>
  </w:style>
  <w:style w:type="paragraph" w:customStyle="1" w:styleId="20">
    <w:name w:val="List Paragraph1"/>
    <w:basedOn w:val="0"/>
    <w:pPr>
      <w:ind w:left="720"/>
      <w:contextualSpacing/>
    </w:pPr>
  </w:style>
  <w:style w:type="paragraph" w:styleId="21">
    <w:name w:val="annotation text"/>
    <w:basedOn w:val="0"/>
  </w:style>
  <w:style w:type="paragraph" w:styleId="22">
    <w:name w:val="annotation subject"/>
    <w:basedOn w:val="21"/>
    <w:next w:val="21"/>
    <w:rPr>
      <w:b/>
    </w:rPr>
  </w:style>
  <w:style w:type="character" w:styleId="23">
    <w:name w:val="annotation reference"/>
    <w:basedOn w:val="10"/>
    <w:rPr>
      <w:sz w:val="16"/>
      <w:szCs w:val="16"/>
    </w:rPr>
  </w:style>
  <w:style w:type="paragraph" w:styleId="24">
    <w:name w:val="Normal (Web)"/>
    <w:basedOn w:val="0"/>
    <w:pPr>
      <w:spacing w:before="100" w:beforeAutospacing="1" w:after="100" w:afterAutospacing="1" w:line="240" w:lineRule="auto"/>
    </w:pPr>
    <w:rPr>
      <w:rFonts w:ascii="Times New Roman" w:eastAsia="Times New Roman" w:cs="Times New Roman" w:hAnsi="Times New Roman"/>
      <w:sz w:val="24"/>
      <w:szCs w:val="24"/>
    </w:rPr>
  </w:style>
  <w:style w:type="paragraph" w:customStyle="1" w:styleId="25">
    <w:name w:val="List Paragraph"/>
    <w:basedOn w:val="0"/>
    <w:pPr>
      <w:ind w:left="720"/>
      <w:contextualSpacing/>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15</TotalTime>
  <Application>Honor_Office</Application>
</Properties>
</file>

<file path=docProps/core.xml><?xml version="1.0" encoding="utf-8"?>
<cp:coreProperties xmlns:cp="http://schemas.openxmlformats.org/package/2006/metadata/core-properties" xmlns:dc="http://purl.org/dc/elements/1.1/" xmlns:dcterms="http://purl.org/dc/terms/" xmlns:xsi="http://www.w3.org/2001/XMLSchema-instance">
  <dc:title>جامعة ميدأوشن</dc:title>
  <dc:creator>Reem Alluhaydan</dc:creator>
  <cp:lastModifiedBy>HONOR Docs</cp:lastModifiedBy>
  <cp:revision>2</cp:revision>
  <cp:lastPrinted>2025-12-04T18:11:00Z</cp:lastPrinted>
  <dcterms:created xsi:type="dcterms:W3CDTF">2025-12-04T18:15:00Z</dcterms:created>
  <dcterms:modified xsi:type="dcterms:W3CDTF">2025-12-06T08:10:35Z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ContentTypeId">
    <vt:lpwstr>0x01010024B6C0CCE9E7D149BAA082180B8A3556</vt:lpwstr>
  </property>
</Properties>
</file>