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422C7" w14:textId="77777777" w:rsidR="00885F47" w:rsidRDefault="002B2CA4">
      <w:pPr>
        <w:spacing w:before="800" w:after="120"/>
        <w:jc w:val="center"/>
      </w:pPr>
      <w:r>
        <w:rPr>
          <w:rFonts w:ascii="Arial" w:hAnsi="Arial"/>
          <w:b/>
          <w:color w:val="1A3A5C"/>
          <w:sz w:val="36"/>
        </w:rPr>
        <w:t>جامعة ميدوسيان – كلية الإدارة</w:t>
      </w:r>
    </w:p>
    <w:p w14:paraId="57A71F15" w14:textId="77777777" w:rsidR="00885F47" w:rsidRDefault="002B2CA4">
      <w:pPr>
        <w:jc w:val="center"/>
      </w:pPr>
      <w:r>
        <w:rPr>
          <w:rFonts w:ascii="Arial" w:hAnsi="Arial"/>
          <w:color w:val="1A3A5C"/>
          <w:sz w:val="28"/>
        </w:rPr>
        <w:t>Midocean University – College of Management</w:t>
      </w:r>
    </w:p>
    <w:p w14:paraId="41604CF5" w14:textId="77777777" w:rsidR="00885F47" w:rsidRDefault="002B2CA4">
      <w:pPr>
        <w:jc w:val="center"/>
      </w:pPr>
      <w:r>
        <w:rPr>
          <w:rFonts w:ascii="Arial" w:hAnsi="Arial"/>
          <w:b/>
          <w:sz w:val="28"/>
        </w:rPr>
        <w:t>برنامج ماجستير القطاع العقاري</w:t>
      </w:r>
    </w:p>
    <w:p w14:paraId="26753529" w14:textId="77777777" w:rsidR="00885F47" w:rsidRDefault="00885F47"/>
    <w:p w14:paraId="79853DC8" w14:textId="77777777" w:rsidR="00885F47" w:rsidRDefault="002B2CA4">
      <w:pPr>
        <w:jc w:val="center"/>
      </w:pPr>
      <w:r>
        <w:rPr>
          <w:rFonts w:ascii="Arial" w:hAnsi="Arial"/>
          <w:color w:val="555555"/>
          <w:sz w:val="26"/>
        </w:rPr>
        <w:t>خطة بحث – RPC001</w:t>
      </w:r>
    </w:p>
    <w:p w14:paraId="07A02456" w14:textId="77777777" w:rsidR="00885F47" w:rsidRDefault="00885F47"/>
    <w:p w14:paraId="259EA254" w14:textId="77777777" w:rsidR="00885F47" w:rsidRDefault="00885F47"/>
    <w:p w14:paraId="51C63500" w14:textId="77777777" w:rsidR="00885F47" w:rsidRDefault="002B2CA4">
      <w:pPr>
        <w:jc w:val="center"/>
      </w:pPr>
      <w:r>
        <w:rPr>
          <w:rFonts w:ascii="Arial" w:hAnsi="Arial"/>
          <w:b/>
          <w:color w:val="1A3A5C"/>
          <w:sz w:val="40"/>
        </w:rPr>
        <w:t>العقار كأداة للتحوّط ضد التضخم في المملكة العربية السعودية</w:t>
      </w:r>
    </w:p>
    <w:p w14:paraId="3BEC1B97" w14:textId="77777777" w:rsidR="00885F47" w:rsidRDefault="002B2CA4">
      <w:pPr>
        <w:jc w:val="center"/>
      </w:pPr>
      <w:r>
        <w:rPr>
          <w:rFonts w:ascii="Arial" w:hAnsi="Arial"/>
          <w:b/>
          <w:color w:val="2C5F8A"/>
          <w:sz w:val="30"/>
        </w:rPr>
        <w:t>دراسة تحليلية للفترة 2020–2025 باستخدام بيانات منصة إيجار والبورصة العقارية</w:t>
      </w:r>
    </w:p>
    <w:p w14:paraId="6BEB3A7B" w14:textId="77777777" w:rsidR="00885F47" w:rsidRDefault="00885F47"/>
    <w:p w14:paraId="3A2F7D97" w14:textId="77777777" w:rsidR="00885F47" w:rsidRDefault="00885F47"/>
    <w:p w14:paraId="4AF1DBE7" w14:textId="77777777" w:rsidR="00885F47" w:rsidRDefault="00885F47"/>
    <w:p w14:paraId="3B8E02C9" w14:textId="77777777" w:rsidR="00885F47" w:rsidRDefault="002B2CA4">
      <w:pPr>
        <w:bidi/>
        <w:spacing w:before="60" w:after="60"/>
        <w:jc w:val="right"/>
      </w:pPr>
      <w:r>
        <w:rPr>
          <w:rFonts w:ascii="Arial" w:hAnsi="Arial"/>
          <w:b/>
          <w:sz w:val="24"/>
          <w:rtl/>
        </w:rPr>
        <w:t xml:space="preserve">اسم الطالب:  </w:t>
      </w:r>
      <w:r>
        <w:rPr>
          <w:rFonts w:ascii="Arial" w:hAnsi="Arial"/>
          <w:sz w:val="24"/>
          <w:rtl/>
        </w:rPr>
        <w:t>حمد عبدالعزيز السليمان</w:t>
      </w:r>
    </w:p>
    <w:p w14:paraId="520DB900" w14:textId="77777777" w:rsidR="00885F47" w:rsidRDefault="002B2CA4">
      <w:pPr>
        <w:bidi/>
        <w:spacing w:before="60" w:after="60"/>
        <w:jc w:val="right"/>
      </w:pPr>
      <w:r>
        <w:rPr>
          <w:rFonts w:ascii="Arial" w:hAnsi="Arial"/>
          <w:b/>
          <w:sz w:val="24"/>
          <w:rtl/>
        </w:rPr>
        <w:t xml:space="preserve">الرقم الجامعي:  </w:t>
      </w:r>
      <w:r>
        <w:rPr>
          <w:rFonts w:ascii="Arial" w:hAnsi="Arial"/>
          <w:sz w:val="24"/>
          <w:rtl/>
        </w:rPr>
        <w:t>261000008</w:t>
      </w:r>
    </w:p>
    <w:p w14:paraId="737F28FC" w14:textId="77777777" w:rsidR="00885F47" w:rsidRDefault="002B2CA4">
      <w:pPr>
        <w:bidi/>
        <w:spacing w:before="60" w:after="60"/>
        <w:jc w:val="right"/>
      </w:pPr>
      <w:r>
        <w:rPr>
          <w:rFonts w:ascii="Arial" w:hAnsi="Arial"/>
          <w:b/>
          <w:sz w:val="24"/>
          <w:rtl/>
        </w:rPr>
        <w:t xml:space="preserve">البريد الإلكتروني:  </w:t>
      </w:r>
      <w:r>
        <w:rPr>
          <w:rFonts w:ascii="Arial" w:hAnsi="Arial"/>
          <w:sz w:val="24"/>
          <w:rtl/>
        </w:rPr>
        <w:t>261000008@st.midocean.edu.km | H.alsulaimaan@gmail.com</w:t>
      </w:r>
    </w:p>
    <w:p w14:paraId="705452A4" w14:textId="77777777" w:rsidR="00885F47" w:rsidRDefault="002B2CA4">
      <w:pPr>
        <w:bidi/>
        <w:spacing w:before="60" w:after="60"/>
        <w:jc w:val="right"/>
      </w:pPr>
      <w:r>
        <w:rPr>
          <w:rFonts w:ascii="Arial" w:hAnsi="Arial"/>
          <w:b/>
          <w:sz w:val="24"/>
          <w:rtl/>
        </w:rPr>
        <w:t xml:space="preserve">المشرف الأكاديمي:  </w:t>
      </w:r>
      <w:r>
        <w:rPr>
          <w:rFonts w:ascii="Arial" w:hAnsi="Arial"/>
          <w:sz w:val="24"/>
          <w:rtl/>
        </w:rPr>
        <w:t>د. فايز جراد</w:t>
      </w:r>
    </w:p>
    <w:p w14:paraId="6DF34A99" w14:textId="77777777" w:rsidR="00885F47" w:rsidRDefault="002B2CA4">
      <w:pPr>
        <w:bidi/>
        <w:spacing w:before="60" w:after="60"/>
        <w:jc w:val="right"/>
      </w:pPr>
      <w:r>
        <w:rPr>
          <w:rFonts w:ascii="Arial" w:hAnsi="Arial"/>
          <w:b/>
          <w:sz w:val="24"/>
          <w:rtl/>
        </w:rPr>
        <w:t xml:space="preserve">التاريخ:  </w:t>
      </w:r>
      <w:r>
        <w:rPr>
          <w:rFonts w:ascii="Arial" w:hAnsi="Arial"/>
          <w:sz w:val="24"/>
          <w:rtl/>
        </w:rPr>
        <w:t>2025</w:t>
      </w:r>
    </w:p>
    <w:p w14:paraId="2981B483" w14:textId="77777777" w:rsidR="00885F47" w:rsidRDefault="002B2CA4">
      <w:r>
        <w:br w:type="page"/>
      </w:r>
    </w:p>
    <w:p w14:paraId="6FF6D2D7" w14:textId="77777777" w:rsidR="00885F47" w:rsidRDefault="002B2CA4">
      <w:pPr>
        <w:bidi/>
        <w:spacing w:before="240" w:after="120"/>
        <w:jc w:val="right"/>
      </w:pPr>
      <w:r>
        <w:rPr>
          <w:rFonts w:ascii="Arial" w:hAnsi="Arial" w:cs="Arial"/>
          <w:b/>
          <w:color w:val="1A3A5C"/>
          <w:sz w:val="32"/>
          <w:rtl/>
        </w:rPr>
        <w:t>فهرس المحتويات</w:t>
      </w:r>
    </w:p>
    <w:p w14:paraId="6B03665B" w14:textId="77777777" w:rsidR="00885F47" w:rsidRDefault="00885F47">
      <w:pPr>
        <w:pBdr>
          <w:bottom w:val="single" w:sz="6" w:space="1" w:color="1A3A5C"/>
        </w:pBdr>
        <w:spacing w:before="80" w:after="80"/>
      </w:pPr>
    </w:p>
    <w:p w14:paraId="7C7AB29B" w14:textId="77777777" w:rsidR="00885F47" w:rsidRDefault="002B2CA4">
      <w:pPr>
        <w:bidi/>
        <w:spacing w:before="60" w:after="60"/>
        <w:jc w:val="right"/>
      </w:pPr>
      <w:r>
        <w:rPr>
          <w:rFonts w:ascii="Arial" w:hAnsi="Arial"/>
          <w:b/>
          <w:sz w:val="24"/>
          <w:rtl/>
        </w:rPr>
        <w:t>أولاً:  المقدمة</w:t>
      </w:r>
      <w:r>
        <w:rPr>
          <w:rFonts w:ascii="Arial" w:hAnsi="Arial"/>
          <w:sz w:val="24"/>
          <w:rtl/>
        </w:rPr>
        <w:t xml:space="preserve">  ............  3</w:t>
      </w:r>
    </w:p>
    <w:p w14:paraId="0A22E6C3" w14:textId="77777777" w:rsidR="00885F47" w:rsidRDefault="002B2CA4">
      <w:pPr>
        <w:bidi/>
        <w:spacing w:before="60" w:after="60"/>
        <w:jc w:val="right"/>
      </w:pPr>
      <w:r>
        <w:rPr>
          <w:rFonts w:ascii="Arial" w:hAnsi="Arial"/>
          <w:b/>
          <w:sz w:val="24"/>
          <w:rtl/>
        </w:rPr>
        <w:t>ثانياً:  مشكلة البحث</w:t>
      </w:r>
      <w:r>
        <w:rPr>
          <w:rFonts w:ascii="Arial" w:hAnsi="Arial"/>
          <w:sz w:val="24"/>
          <w:rtl/>
        </w:rPr>
        <w:t xml:space="preserve">  ............  5</w:t>
      </w:r>
    </w:p>
    <w:p w14:paraId="77FB8374" w14:textId="77777777" w:rsidR="00885F47" w:rsidRDefault="002B2CA4">
      <w:pPr>
        <w:bidi/>
        <w:spacing w:before="60" w:after="60"/>
        <w:jc w:val="right"/>
      </w:pPr>
      <w:r>
        <w:rPr>
          <w:rFonts w:ascii="Arial" w:hAnsi="Arial"/>
          <w:b/>
          <w:sz w:val="24"/>
          <w:rtl/>
        </w:rPr>
        <w:t>ثالثاً:  أهمية الدراسة</w:t>
      </w:r>
      <w:r>
        <w:rPr>
          <w:rFonts w:ascii="Arial" w:hAnsi="Arial"/>
          <w:sz w:val="24"/>
          <w:rtl/>
        </w:rPr>
        <w:t xml:space="preserve">  ............  7</w:t>
      </w:r>
    </w:p>
    <w:p w14:paraId="06EEF753" w14:textId="77777777" w:rsidR="00885F47" w:rsidRDefault="002B2CA4">
      <w:pPr>
        <w:bidi/>
        <w:spacing w:before="60" w:after="60"/>
        <w:jc w:val="right"/>
      </w:pPr>
      <w:r>
        <w:rPr>
          <w:rFonts w:ascii="Arial" w:hAnsi="Arial"/>
          <w:b/>
          <w:sz w:val="24"/>
          <w:rtl/>
        </w:rPr>
        <w:t>رابعاً:  أهداف الدراسة</w:t>
      </w:r>
      <w:r>
        <w:rPr>
          <w:rFonts w:ascii="Arial" w:hAnsi="Arial"/>
          <w:sz w:val="24"/>
          <w:rtl/>
        </w:rPr>
        <w:t xml:space="preserve">  ............  8</w:t>
      </w:r>
    </w:p>
    <w:p w14:paraId="1892DA23" w14:textId="77777777" w:rsidR="00885F47" w:rsidRDefault="002B2CA4">
      <w:pPr>
        <w:bidi/>
        <w:spacing w:before="60" w:after="60"/>
        <w:jc w:val="right"/>
      </w:pPr>
      <w:r>
        <w:rPr>
          <w:rFonts w:ascii="Arial" w:hAnsi="Arial"/>
          <w:b/>
          <w:sz w:val="24"/>
          <w:rtl/>
        </w:rPr>
        <w:t>خامساً:  تساؤلات الدراسة</w:t>
      </w:r>
      <w:r>
        <w:rPr>
          <w:rFonts w:ascii="Arial" w:hAnsi="Arial"/>
          <w:sz w:val="24"/>
          <w:rtl/>
        </w:rPr>
        <w:t xml:space="preserve">  ............  9</w:t>
      </w:r>
    </w:p>
    <w:p w14:paraId="54C71FEB" w14:textId="77777777" w:rsidR="00885F47" w:rsidRDefault="002B2CA4">
      <w:pPr>
        <w:bidi/>
        <w:spacing w:before="60" w:after="60"/>
        <w:jc w:val="right"/>
      </w:pPr>
      <w:r>
        <w:rPr>
          <w:rFonts w:ascii="Arial" w:hAnsi="Arial"/>
          <w:b/>
          <w:sz w:val="24"/>
          <w:rtl/>
        </w:rPr>
        <w:t>سادساً:  الدراسات السابقة</w:t>
      </w:r>
      <w:r>
        <w:rPr>
          <w:rFonts w:ascii="Arial" w:hAnsi="Arial"/>
          <w:sz w:val="24"/>
          <w:rtl/>
        </w:rPr>
        <w:t xml:space="preserve">  ............  10</w:t>
      </w:r>
    </w:p>
    <w:p w14:paraId="762064D7" w14:textId="77777777" w:rsidR="00885F47" w:rsidRDefault="002B2CA4">
      <w:pPr>
        <w:bidi/>
        <w:spacing w:before="60" w:after="60"/>
        <w:jc w:val="right"/>
      </w:pPr>
      <w:r>
        <w:rPr>
          <w:rFonts w:ascii="Arial" w:hAnsi="Arial"/>
          <w:b/>
          <w:sz w:val="24"/>
          <w:rtl/>
        </w:rPr>
        <w:t>سابعاً:  المنطلقات النظرية للدراسة</w:t>
      </w:r>
      <w:r>
        <w:rPr>
          <w:rFonts w:ascii="Arial" w:hAnsi="Arial"/>
          <w:sz w:val="24"/>
          <w:rtl/>
        </w:rPr>
        <w:t xml:space="preserve">  ............  14</w:t>
      </w:r>
    </w:p>
    <w:p w14:paraId="53C99094" w14:textId="77777777" w:rsidR="00885F47" w:rsidRDefault="002B2CA4">
      <w:pPr>
        <w:bidi/>
        <w:spacing w:before="60" w:after="60"/>
        <w:jc w:val="right"/>
      </w:pPr>
      <w:r>
        <w:rPr>
          <w:rFonts w:ascii="Arial" w:hAnsi="Arial"/>
          <w:b/>
          <w:sz w:val="24"/>
          <w:rtl/>
        </w:rPr>
        <w:t>ثامناً:  منهجية البحث</w:t>
      </w:r>
      <w:r>
        <w:rPr>
          <w:rFonts w:ascii="Arial" w:hAnsi="Arial"/>
          <w:sz w:val="24"/>
          <w:rtl/>
        </w:rPr>
        <w:t xml:space="preserve">  ............  18</w:t>
      </w:r>
    </w:p>
    <w:p w14:paraId="76BC5CFF" w14:textId="77777777" w:rsidR="00885F47" w:rsidRDefault="002B2CA4">
      <w:pPr>
        <w:bidi/>
        <w:spacing w:before="60" w:after="60"/>
        <w:jc w:val="right"/>
      </w:pPr>
      <w:r>
        <w:rPr>
          <w:rFonts w:ascii="Arial" w:hAnsi="Arial"/>
          <w:b/>
          <w:sz w:val="24"/>
          <w:rtl/>
        </w:rPr>
        <w:t>تاسعاً:  أدوات الدراسة</w:t>
      </w:r>
      <w:r>
        <w:rPr>
          <w:rFonts w:ascii="Arial" w:hAnsi="Arial"/>
          <w:sz w:val="24"/>
          <w:rtl/>
        </w:rPr>
        <w:t xml:space="preserve">  ............  21</w:t>
      </w:r>
    </w:p>
    <w:p w14:paraId="33489DAC" w14:textId="77777777" w:rsidR="00885F47" w:rsidRDefault="002B2CA4">
      <w:pPr>
        <w:bidi/>
        <w:spacing w:before="60" w:after="60"/>
        <w:jc w:val="right"/>
      </w:pPr>
      <w:r>
        <w:rPr>
          <w:rFonts w:ascii="Arial" w:hAnsi="Arial"/>
          <w:b/>
          <w:sz w:val="24"/>
          <w:rtl/>
        </w:rPr>
        <w:t>عاشراً:  مجالات الدراسة</w:t>
      </w:r>
      <w:r>
        <w:rPr>
          <w:rFonts w:ascii="Arial" w:hAnsi="Arial"/>
          <w:sz w:val="24"/>
          <w:rtl/>
        </w:rPr>
        <w:t xml:space="preserve">  ............  22</w:t>
      </w:r>
    </w:p>
    <w:p w14:paraId="03D58CB4" w14:textId="77777777" w:rsidR="00885F47" w:rsidRDefault="002B2CA4">
      <w:pPr>
        <w:bidi/>
        <w:spacing w:before="60" w:after="60"/>
        <w:jc w:val="right"/>
      </w:pPr>
      <w:r>
        <w:rPr>
          <w:rFonts w:ascii="Arial" w:hAnsi="Arial"/>
          <w:b/>
          <w:sz w:val="24"/>
          <w:rtl/>
        </w:rPr>
        <w:t>حادي عشر:  حدود البحث</w:t>
      </w:r>
      <w:r>
        <w:rPr>
          <w:rFonts w:ascii="Arial" w:hAnsi="Arial"/>
          <w:sz w:val="24"/>
          <w:rtl/>
        </w:rPr>
        <w:t xml:space="preserve">  ............  23</w:t>
      </w:r>
    </w:p>
    <w:p w14:paraId="3283983A" w14:textId="77777777" w:rsidR="00885F47" w:rsidRDefault="002B2CA4">
      <w:pPr>
        <w:bidi/>
        <w:spacing w:before="60" w:after="60"/>
        <w:jc w:val="right"/>
      </w:pPr>
      <w:r>
        <w:rPr>
          <w:rFonts w:ascii="Arial" w:hAnsi="Arial"/>
          <w:b/>
          <w:sz w:val="24"/>
          <w:rtl/>
        </w:rPr>
        <w:t>ثاني عشر:  الخطة الزمنية</w:t>
      </w:r>
      <w:r>
        <w:rPr>
          <w:rFonts w:ascii="Arial" w:hAnsi="Arial"/>
          <w:sz w:val="24"/>
          <w:rtl/>
        </w:rPr>
        <w:t xml:space="preserve">  ............  24</w:t>
      </w:r>
    </w:p>
    <w:p w14:paraId="7D73C3CE" w14:textId="77777777" w:rsidR="00885F47" w:rsidRDefault="002B2CA4">
      <w:pPr>
        <w:bidi/>
        <w:spacing w:before="60" w:after="60"/>
        <w:jc w:val="right"/>
      </w:pPr>
      <w:r>
        <w:rPr>
          <w:rFonts w:ascii="Arial" w:hAnsi="Arial"/>
          <w:b/>
          <w:sz w:val="24"/>
          <w:rtl/>
        </w:rPr>
        <w:t>ثالث عشر:  المراجع والمصادر</w:t>
      </w:r>
      <w:r>
        <w:rPr>
          <w:rFonts w:ascii="Arial" w:hAnsi="Arial"/>
          <w:sz w:val="24"/>
          <w:rtl/>
        </w:rPr>
        <w:t xml:space="preserve">  ............  25</w:t>
      </w:r>
    </w:p>
    <w:p w14:paraId="5D2BB4C3" w14:textId="77777777" w:rsidR="00885F47" w:rsidRDefault="002B2CA4">
      <w:r>
        <w:br w:type="page"/>
      </w:r>
    </w:p>
    <w:p w14:paraId="70C29180" w14:textId="77777777" w:rsidR="00885F47" w:rsidRDefault="002B2CA4">
      <w:pPr>
        <w:bidi/>
        <w:spacing w:before="240" w:after="120"/>
        <w:jc w:val="right"/>
      </w:pPr>
      <w:r>
        <w:rPr>
          <w:rFonts w:ascii="Arial" w:hAnsi="Arial" w:cs="Arial"/>
          <w:b/>
          <w:color w:val="1A3A5C"/>
          <w:sz w:val="32"/>
          <w:rtl/>
        </w:rPr>
        <w:t>أولاً: المقدمة</w:t>
      </w:r>
    </w:p>
    <w:p w14:paraId="7354D495" w14:textId="77777777" w:rsidR="00885F47" w:rsidRDefault="00885F47">
      <w:pPr>
        <w:pBdr>
          <w:bottom w:val="single" w:sz="6" w:space="1" w:color="1A3A5C"/>
        </w:pBdr>
        <w:spacing w:before="80" w:after="80"/>
      </w:pPr>
    </w:p>
    <w:p w14:paraId="186C465A" w14:textId="77777777" w:rsidR="00885F47" w:rsidRDefault="002B2CA4">
      <w:pPr>
        <w:bidi/>
        <w:spacing w:before="80" w:after="80" w:line="360" w:lineRule="auto"/>
        <w:jc w:val="right"/>
      </w:pPr>
      <w:r>
        <w:rPr>
          <w:rFonts w:ascii="Arial" w:hAnsi="Arial" w:cs="Arial"/>
          <w:sz w:val="24"/>
          <w:rtl/>
        </w:rPr>
        <w:t>يُعدّ التضخم من أبرز التحديات الاقتصادية التي تواجه الأفراد والمؤسسات على حدٍّ سواء، إذ يُعرَّف بأنه "الارتفاع المستمر في المستوى العام للأسعار مصحوبًا بانخفاض القوة الشرائية للعملة" (Mishkin, 2019). وقد أثبتت الأبحاث الاقتصادية الكلاسيكية، ولا سيما دراسة Fisher (1930) التي أرست نظرية تساوي الفوارق في أسعار الفائدة الاسمية والحقيقية، أن الأصول الاستثمارية الرشيدة يجب أن تُحافظ على قيمتها الحقيقية في مواجهة موجات التضخم. وقد شهد الاقتصاد العالمي في السنوات الأخيرة تقلبات تضخمية حادة، تجلّت في ارتفاع معدلات التضخم في دول كثيرة عقب جائحة كوفيد-19، مما أعاد إلى الواجهة النقاش الأكاديمي حول الأصول القادرة على العمل كتحوّط فعّال ضد التضخم وحماية الثروة الحقيقية للمستثمرين.</w:t>
      </w:r>
    </w:p>
    <w:p w14:paraId="0CD3A5AB" w14:textId="77777777" w:rsidR="00885F47" w:rsidRDefault="002B2CA4">
      <w:pPr>
        <w:bidi/>
        <w:spacing w:before="80" w:after="80" w:line="360" w:lineRule="auto"/>
        <w:jc w:val="right"/>
      </w:pPr>
      <w:r>
        <w:rPr>
          <w:rFonts w:ascii="Arial" w:hAnsi="Arial" w:cs="Arial"/>
          <w:sz w:val="24"/>
          <w:rtl/>
        </w:rPr>
        <w:t>تُعدّ المملكة العربية السعودية من أكبر اقتصادات منطقة الشرق الأوسط، وتشهد تحولات هيكلية جوهرية في إطار رؤية 2030 التي أطلقها ولي العهد الأمير محمد بن سلمان عام 2016. وعلى صعيد المؤشرات الاقتصادية، تشير بيانات الهيئة العامة للإحصاء (GASTAT, 2024) إلى أن معدل التضخم في المملكة بلغ 3.1% عام 2022، ثم تراجع إلى 2.3% عام 2023، وواصل انخفاضه ليسجّل نحو 1.7% في عام 2024. وعلى الرغم من هذه المعدلات المنخفضة نسبيًّا، إلا أن التضخم التراكمي والتحولات في هيكل الأسعار يلقيان بظلالهما على القوة الشرائية، ويُلقيان بالمستثمرين في دوامة البحث عن الأصول التي تُحافظ على قيمتها الحقيقية أو تتجاوزها عبر الزمن.</w:t>
      </w:r>
    </w:p>
    <w:p w14:paraId="2E8742BA" w14:textId="77777777" w:rsidR="00885F47" w:rsidRDefault="002B2CA4">
      <w:pPr>
        <w:bidi/>
        <w:spacing w:before="80" w:after="80" w:line="360" w:lineRule="auto"/>
        <w:jc w:val="right"/>
      </w:pPr>
      <w:r>
        <w:rPr>
          <w:rFonts w:ascii="Arial" w:hAnsi="Arial" w:cs="Arial"/>
          <w:sz w:val="24"/>
          <w:rtl/>
        </w:rPr>
        <w:t>في هذا السياق، يبرز القطاع العقاري بوصفه أحد أكثر الأصول الاستثمارية شيوعًا ومناقشةً في دوائر المستثمرين والأكاديميين على حدٍّ سواء. وقد أثبتت دراسات سابقة متعددة الاهتمامَ بهذه المسألة من زوايا متنوعة؛ إذ توصّل Hoesli &amp; Oikarinen (2012) إلى أن العوائد العقارية الحقيقية كانت موجبة على المدى الطويل في السياق الفنلندي، وأن العقار يعمل كتحوّط فعّال في ظروف اقتصادية محددة. وفي السياق ذاته، خلص Fang et al. (2022) إلى أن العقار السكني متعدد الوحدات يتفوق على العقار التجاري في توفير الحماية من التضخم غير المتوقع في الأسواق الغربية. غير أن السياق السعودي يظل بحاجة إلى دراسة معمّقة مبنية على بيانات وطنية حديثة ومنهجية كمية صارمة.</w:t>
      </w:r>
    </w:p>
    <w:p w14:paraId="1617967D" w14:textId="77777777" w:rsidR="00885F47" w:rsidRDefault="002B2CA4">
      <w:pPr>
        <w:bidi/>
        <w:spacing w:before="80" w:after="80" w:line="360" w:lineRule="auto"/>
        <w:jc w:val="right"/>
      </w:pPr>
      <w:r>
        <w:rPr>
          <w:rFonts w:ascii="Arial" w:hAnsi="Arial" w:cs="Arial"/>
          <w:sz w:val="24"/>
          <w:rtl/>
        </w:rPr>
        <w:t>شهد القطاع العقاري السعودي نموًّا لافتًا في السنوات الأخيرة؛ إذ تُقدَّر حجم الاستثمارات العقارية بما يتجاوز 400 مليار ريال سعودي خلال عام 2023 وفقًا لتقارير وزارة الشؤون البلدية والقروية والإسكان (2024). وقد أسهمت عوامل عدة في تحفيز هذا النمو، في مقدمتها التوسع السكاني والتحضر المتسارع، وبرامج الإسكان الحكومية الداعمة، وتطور أنظمة التمويل العقاري، فضلًا عن الاهتمام المتزايد بالاستثمار المؤسسي في هذا القطاع. وفي ظل ذلك، سجّلت إيجارات الوحدات السكنية في الرياض ارتفاعًا تراكميًّا تجاوز 25% خلال الفترة 2022-2024 بحسب تقرير شركة الخبير الاستشاري (2024)، في حين لم يتجاوز معدل التضخم العام 3%، مما يُثير تساؤلات جوهرية حول طبيعة العلاقة بين حركة أسعار العقار ومعدلات التضخم في المملكة.</w:t>
      </w:r>
    </w:p>
    <w:p w14:paraId="21F506BD" w14:textId="77777777" w:rsidR="00885F47" w:rsidRDefault="002B2CA4">
      <w:pPr>
        <w:bidi/>
        <w:spacing w:before="80" w:after="80" w:line="360" w:lineRule="auto"/>
        <w:jc w:val="right"/>
      </w:pPr>
      <w:r>
        <w:rPr>
          <w:rFonts w:ascii="Arial" w:hAnsi="Arial" w:cs="Arial"/>
          <w:sz w:val="24"/>
          <w:rtl/>
        </w:rPr>
        <w:t>انطلاقًا مما سبق، تسعى هذه الدراسة إلى تجاوز الطرح التقليدي الذي يتناول العلاقة بين العقار والتضخم من منظور نظري بحت، والانتقال إلى اختبار هذه العلاقة بأسلوب كمي صارم يعتمد على بيانات وطنية رسمية، مستقاةً من منصة إيجار والبورصة العقارية السعودية وهيئة الإحصاء، للفترة الممتدة من يناير 2020 إلى ديسمبر 2025. ويُشكّل هذا المسعى استجابةً لنداء الأكاديميين الذين أشاروا إلى شُح الدراسات الكمية التطبيقية في السياق الخليجي (Alkhareif &amp; Alsubaie, 2019)، وإسهامًا في سدّ الفجوة المعرفية المتعلقة بكفاءة القطاع العقاري السعودي كأداة للتحوّط ضد التضخم. وتتمحور إشكالية الدراسة الجوهرية حول السؤال الآتي: هل يُمثّل الاستثمار العقاري السكني في المملكة العربية السعودية أداةً فعّالة للتحوّط ضد التضخم خلال الفترة 2020–2025؟</w:t>
      </w:r>
    </w:p>
    <w:p w14:paraId="50104585" w14:textId="77777777" w:rsidR="00885F47" w:rsidRDefault="002B2CA4">
      <w:r>
        <w:br w:type="page"/>
      </w:r>
    </w:p>
    <w:p w14:paraId="1B47D663" w14:textId="77777777" w:rsidR="00885F47" w:rsidRDefault="002B2CA4">
      <w:pPr>
        <w:bidi/>
        <w:spacing w:before="240" w:after="120"/>
        <w:jc w:val="right"/>
      </w:pPr>
      <w:r>
        <w:rPr>
          <w:rFonts w:ascii="Arial" w:hAnsi="Arial" w:cs="Arial"/>
          <w:b/>
          <w:color w:val="1A3A5C"/>
          <w:sz w:val="32"/>
          <w:rtl/>
        </w:rPr>
        <w:t>ثانياً: مشكلة البحث</w:t>
      </w:r>
    </w:p>
    <w:p w14:paraId="2DF849FD" w14:textId="77777777" w:rsidR="00885F47" w:rsidRDefault="00885F47">
      <w:pPr>
        <w:pBdr>
          <w:bottom w:val="single" w:sz="6" w:space="1" w:color="1A3A5C"/>
        </w:pBdr>
        <w:spacing w:before="80" w:after="80"/>
      </w:pPr>
    </w:p>
    <w:p w14:paraId="293B4754" w14:textId="77777777" w:rsidR="00885F47" w:rsidRDefault="002B2CA4">
      <w:pPr>
        <w:bidi/>
        <w:spacing w:before="80" w:after="80" w:line="360" w:lineRule="auto"/>
        <w:jc w:val="right"/>
      </w:pPr>
      <w:r>
        <w:rPr>
          <w:rFonts w:ascii="Arial" w:hAnsi="Arial" w:cs="Arial"/>
          <w:sz w:val="24"/>
          <w:rtl/>
        </w:rPr>
        <w:t>يسود في الأوساط الاستثمارية السعودية اعتقادٌ راسخٌ بأن العقار يمثّل "الملاذ الآمن" الذي يحمي الثروة من تآكل التضخم، وهو اعتقاد يتوارثه المستثمرون جيلًا بعد جيل وقرارًا بعد قرار. وعلى الرغم من أن بعض الأدلة الجزئية قد تدعم هذا التصور، إلا أن غياب الاختبار العلمي المنهجي يُضفي على هذا الاعتقاد طابع الحُكم المسبق غير الموثّق. فقد بلغت الاستثمارات في القطاع العقاري السعودي ما يزيد على 400 مليار ريال عام 2023 (وزارة الشؤون البلدية والقروية والإسكان، 2024)، وهو رقم يدلّ على أن قرارات ضخ هذه المليارات تُبنى إلى حدٍّ بعيد على قناعات غير مختبرة علميًّا بالكفاءة التحوّطية للعقار، مما يُشكّل خطرًا كامنًا على محافظ الأفراد والصناديق الاستثمارية على حدٍّ سواء.</w:t>
      </w:r>
    </w:p>
    <w:p w14:paraId="622C21E1" w14:textId="77777777" w:rsidR="00885F47" w:rsidRDefault="002B2CA4">
      <w:pPr>
        <w:bidi/>
        <w:spacing w:before="80" w:after="80" w:line="360" w:lineRule="auto"/>
        <w:jc w:val="right"/>
      </w:pPr>
      <w:r>
        <w:rPr>
          <w:rFonts w:ascii="Arial" w:hAnsi="Arial" w:cs="Arial"/>
          <w:sz w:val="24"/>
          <w:rtl/>
        </w:rPr>
        <w:t>تكشف مراجعة الأدبيات العربية المتخصصة عن فجوة بحثية واضحة المعالم؛ إذ لا يتجاوز عدد الدراسات الكمية المحلية التي تناولت بشكل مباشر العلاقة بين العوائد العقارية في السوق السعودية ومعدلات التضخم خمس دراسات منشورة خلال الفترة 2020-2025. ومعظم ما أُنتج من بحوث يقتصر على الوصف أو المقارنة الدولية دون الخوض في التحقق الإحصائي الصارم، وهو ما أشار إليه Alkhareif &amp; Alsubaie (2019) صراحةً حين نبّها إلى ندرة الدراسات التطبيقية في أسواق الخليج العربي. ويُعزّز هذه الفجوة غيابُ استثمار كافٍ في توظيف البيانات الوطنية الرقمية الحديثة المتاحة عبر منصات رسمية كمنصة إيجار والبورصة العقارية السعودية.</w:t>
      </w:r>
    </w:p>
    <w:p w14:paraId="521C8FB3" w14:textId="77777777" w:rsidR="00885F47" w:rsidRDefault="002B2CA4">
      <w:pPr>
        <w:bidi/>
        <w:spacing w:before="80" w:after="80" w:line="360" w:lineRule="auto"/>
        <w:jc w:val="right"/>
      </w:pPr>
      <w:r>
        <w:rPr>
          <w:rFonts w:ascii="Arial" w:hAnsi="Arial" w:cs="Arial"/>
          <w:sz w:val="24"/>
          <w:rtl/>
        </w:rPr>
        <w:t>يزيد الأمر تعقيدًا وجودُ تضارب ظاهري في البيانات يستدعي تفسيرًا علميًّا: فقد سجّلت إيجارات الوحدات السكنية في الرياض ارتفاعًا تراكميًّا تجاوز 25% خلال الفترة 2022-2024 (الخبير الاستشاري، 2024)، بينما لم يتجاوز التضخم العام وفق بيانات هيئة الإحصاء 3% خلال الفترة ذاتها. ويطرح هذا التفاوت الحادّ جملةً من التساؤلات: هل يعني تفوّق عوائد الإيجار على التضخم أن العقار نجح فعلًا في التحوّط؟ أم أن ارتفاع الإيجارات مدفوعٌ بعوامل عرض وطلب خاصة بالسوق المحلية مستقلة عن الديناميكيات التضخمية؟ وهل يسري هذا الأداء بالقدر نفسه على مدن الرياض وجدة والدمام، أم أن ثمة تباينًا مكانيًّا جوهريًّا؟ لا يمكن الإجابة عن هذه التساؤلات دون تحليل كمي مقنن.</w:t>
      </w:r>
    </w:p>
    <w:p w14:paraId="2CC1B380" w14:textId="77777777" w:rsidR="00885F47" w:rsidRDefault="002B2CA4">
      <w:pPr>
        <w:bidi/>
        <w:spacing w:before="80" w:after="80" w:line="360" w:lineRule="auto"/>
        <w:jc w:val="right"/>
      </w:pPr>
      <w:r>
        <w:rPr>
          <w:rFonts w:ascii="Arial" w:hAnsi="Arial" w:cs="Arial"/>
          <w:sz w:val="24"/>
          <w:rtl/>
        </w:rPr>
        <w:t>كما تتجلى المشكلة في مستوى مختلف يمسّ صانعي السياسات: فعند صياغة سياسات الإسكان والتمويل العقاري، يُعدّ الفهم الدقيق لطبيعة العلاقة بين التضخم والعوائد العقارية ضرورةً اقتصادية وليس ترفًا بحثيًّا. فإن كان العقار لا يُوفّر تحوّطًا فعليًّا، فإن السياسات التي تُشجّع عليه بوصفه أداةً لحفظ الثروة قد تنطوي على تبعات سلبية للشرائح الاجتماعية الأقل دخلًا. وهذا ما دفع الباحثين في هذا الإطار، ومنهم Demary &amp; Voigtländer (2021)، إلى التنبيه على أن نتائج التحوّط تختلف اختلافًا جوهريًّا بحسب السياق الاقتصادي والمدة الزمنية للدراسة. وعليه، فإن مشكلة هذه الدراسة تتمثّل في غياب الدليل العلمي الكمي المبني على بيانات وطنية حديثة لاختبار فعالية العقار السكني كأداة للتحوّط ضد التضخم في المملكة العربية السعودية خلال الفترة 2020–2025.</w:t>
      </w:r>
    </w:p>
    <w:p w14:paraId="1E0FF770" w14:textId="77777777" w:rsidR="00885F47" w:rsidRDefault="002B2CA4">
      <w:r>
        <w:br w:type="page"/>
      </w:r>
    </w:p>
    <w:p w14:paraId="65945788" w14:textId="77777777" w:rsidR="00885F47" w:rsidRDefault="002B2CA4">
      <w:pPr>
        <w:bidi/>
        <w:spacing w:before="240" w:after="120"/>
        <w:jc w:val="right"/>
      </w:pPr>
      <w:r>
        <w:rPr>
          <w:rFonts w:ascii="Arial" w:hAnsi="Arial" w:cs="Arial"/>
          <w:b/>
          <w:color w:val="1A3A5C"/>
          <w:sz w:val="32"/>
          <w:rtl/>
        </w:rPr>
        <w:t>ثالثاً: أهمية الدراسة</w:t>
      </w:r>
    </w:p>
    <w:p w14:paraId="06EEE011" w14:textId="77777777" w:rsidR="00885F47" w:rsidRDefault="00885F47">
      <w:pPr>
        <w:pBdr>
          <w:bottom w:val="single" w:sz="6" w:space="1" w:color="1A3A5C"/>
        </w:pBdr>
        <w:spacing w:before="80" w:after="80"/>
      </w:pPr>
    </w:p>
    <w:p w14:paraId="15168F9F" w14:textId="77777777" w:rsidR="00885F47" w:rsidRDefault="002B2CA4">
      <w:pPr>
        <w:bidi/>
        <w:spacing w:before="160" w:after="80"/>
        <w:jc w:val="right"/>
      </w:pPr>
      <w:r>
        <w:rPr>
          <w:rFonts w:ascii="Arial" w:hAnsi="Arial" w:cs="Arial"/>
          <w:b/>
          <w:color w:val="2C5F8A"/>
          <w:sz w:val="28"/>
          <w:rtl/>
        </w:rPr>
        <w:t>1. الأهمية العلمية (Academic Significance)</w:t>
      </w:r>
    </w:p>
    <w:p w14:paraId="1D907705" w14:textId="77777777" w:rsidR="00885F47" w:rsidRDefault="002B2CA4">
      <w:pPr>
        <w:bidi/>
        <w:spacing w:before="80" w:after="80" w:line="360" w:lineRule="auto"/>
        <w:jc w:val="right"/>
      </w:pPr>
      <w:r>
        <w:rPr>
          <w:rFonts w:ascii="Arial" w:hAnsi="Arial" w:cs="Arial"/>
          <w:sz w:val="24"/>
          <w:rtl/>
        </w:rPr>
        <w:t>تُسهم هذه الدراسة في سدّ فجوة بحثية قائمة في الأدبيات العربية المتخصصة بالاقتصاد العقاري والتمويل، لا سيما أن الدراسات الكمية الموثّقة التي تختبر علاقة التحوّط العقاري ضد التضخم في السياق السعودي تظل نادرة. ويُعدّ هذا النقص مُلفتًا إذا ما قورن بحجم البحث الأكاديمي في هذا المجال في الأسواق الغربية والأسيوية (Fang et al., 2022; Hoesli &amp; Oikarinen, 2012). وتُقدّم هذه الدراسة نموذجًا منهجيًّا موثّقًا لاستثمار البيانات الوطنية الرقمية الرسمية (منصة إيجار، البورصة العقارية، هيئة الإحصاء) في البحث الأكاديمي، مما يُوفّر مرجعًا منهجيًّا لباحثين مستقبليين يعتزمون استخدام هذه المنصات في تحليلاتهم الاقتصادية والمالية.</w:t>
      </w:r>
    </w:p>
    <w:p w14:paraId="4A32AD65" w14:textId="77777777" w:rsidR="00885F47" w:rsidRDefault="002B2CA4">
      <w:pPr>
        <w:bidi/>
        <w:spacing w:before="80" w:after="80" w:line="360" w:lineRule="auto"/>
        <w:jc w:val="right"/>
      </w:pPr>
      <w:r>
        <w:rPr>
          <w:rFonts w:ascii="Arial" w:hAnsi="Arial" w:cs="Arial"/>
          <w:sz w:val="24"/>
          <w:rtl/>
        </w:rPr>
        <w:t>فضلًا عن ذلك، تُثري الدراسة الأدبيات العلمية بتحليل كمي معاصر يُغطّي مرحلة بالغة الأهمية تاريخيًّا تضمّ اضطرابات ما بعد جائحة كوفيد-19 والتحولات العميقة في الاقتصاد السعودي في سياق رؤية 2030. كما تُقدّم الدراسة نموذجًا تحليليًّا قابلًا للتطبيق في دراسات مقارنة مستقبلية تشمل دول مجلس التعاون الخليجي الأخرى، مما يُوسّع نطاق الفائدة العلمية لهذا العمل البحثي ليتخطى حدود الدراسة الراهنة.</w:t>
      </w:r>
    </w:p>
    <w:p w14:paraId="1532C679" w14:textId="77777777" w:rsidR="00885F47" w:rsidRDefault="002B2CA4">
      <w:pPr>
        <w:bidi/>
        <w:spacing w:before="160" w:after="80"/>
        <w:jc w:val="right"/>
      </w:pPr>
      <w:r>
        <w:rPr>
          <w:rFonts w:ascii="Arial" w:hAnsi="Arial" w:cs="Arial"/>
          <w:b/>
          <w:color w:val="2C5F8A"/>
          <w:sz w:val="28"/>
          <w:rtl/>
        </w:rPr>
        <w:t>2. الأهمية العملية والتطبيقية (Practical Significance)</w:t>
      </w:r>
    </w:p>
    <w:p w14:paraId="57F4CE12" w14:textId="77777777" w:rsidR="00885F47" w:rsidRDefault="002B2CA4">
      <w:pPr>
        <w:bidi/>
        <w:spacing w:before="80" w:after="80" w:line="360" w:lineRule="auto"/>
        <w:jc w:val="right"/>
      </w:pPr>
      <w:r>
        <w:rPr>
          <w:rFonts w:ascii="Arial" w:hAnsi="Arial" w:cs="Arial"/>
          <w:sz w:val="24"/>
          <w:rtl/>
        </w:rPr>
        <w:t>على الصعيد العملي، تُقدّم الدراسة للمستثمرين الأفراد والمؤسسيين في السوق السعودية أداةً تحليليةً موثّقة تُمكّنهم من اتخاذ قرارات استثمارية أكثر رشادةً ومبنية على أدلة كمية بدلًا من الاعتماد على القناعات الموروثة أو التحليلات الوصفية السطحية. ومن شأن ذلك أن يُسهم في تحسين كفاءة تخصيص رأس المال في القطاع العقاري، وترشيد قرارات المحافظ الاستثمارية في مرحلة التخطيط طويل الأمد.</w:t>
      </w:r>
    </w:p>
    <w:p w14:paraId="659278A1" w14:textId="77777777" w:rsidR="00885F47" w:rsidRDefault="002B2CA4">
      <w:pPr>
        <w:bidi/>
        <w:spacing w:before="80" w:after="80" w:line="360" w:lineRule="auto"/>
        <w:jc w:val="right"/>
      </w:pPr>
      <w:r>
        <w:rPr>
          <w:rFonts w:ascii="Arial" w:hAnsi="Arial" w:cs="Arial"/>
          <w:sz w:val="24"/>
          <w:rtl/>
        </w:rPr>
        <w:t>وعلى صعيد السياسات العامة، تُزوّد الدراسة صانعي القرار في وزارة الشؤون البلدية والقروية والإسكان والبنك المركزي السعودي (ساما) بتحليل كمي يُعينهم على تقييم التداعيات التضخمية لتطورات سوق الإيجار ويُنبّههم إلى المخاطر المحتملة في المراحل الانتقالية. كما تُوفّر الدراسة منهجيةً وأداةً تحليلية قابلة للتكرار يمكن تحديثها دوريًّا لمواكبة تطورات السوق العقاري، مما يجعل منها مرجعًا تشغيليًّا للجهات الرقابية والاستشارية في القطاع.</w:t>
      </w:r>
    </w:p>
    <w:p w14:paraId="3F2AAE80" w14:textId="77777777" w:rsidR="00885F47" w:rsidRDefault="002B2CA4">
      <w:r>
        <w:br w:type="page"/>
      </w:r>
    </w:p>
    <w:p w14:paraId="6375418F" w14:textId="77777777" w:rsidR="00885F47" w:rsidRDefault="002B2CA4">
      <w:pPr>
        <w:bidi/>
        <w:spacing w:before="240" w:after="120"/>
        <w:jc w:val="right"/>
      </w:pPr>
      <w:r>
        <w:rPr>
          <w:rFonts w:ascii="Arial" w:hAnsi="Arial" w:cs="Arial"/>
          <w:b/>
          <w:color w:val="1A3A5C"/>
          <w:sz w:val="32"/>
          <w:rtl/>
        </w:rPr>
        <w:t>رابعاً: أهداف الدراسة</w:t>
      </w:r>
    </w:p>
    <w:p w14:paraId="2460FBB8" w14:textId="77777777" w:rsidR="00885F47" w:rsidRDefault="00885F47">
      <w:pPr>
        <w:pBdr>
          <w:bottom w:val="single" w:sz="6" w:space="1" w:color="1A3A5C"/>
        </w:pBdr>
        <w:spacing w:before="80" w:after="80"/>
      </w:pPr>
    </w:p>
    <w:p w14:paraId="37A5837B" w14:textId="77777777" w:rsidR="00885F47" w:rsidRDefault="002B2CA4">
      <w:pPr>
        <w:bidi/>
        <w:spacing w:before="160" w:after="80"/>
        <w:jc w:val="right"/>
      </w:pPr>
      <w:r>
        <w:rPr>
          <w:rFonts w:ascii="Arial" w:hAnsi="Arial" w:cs="Arial"/>
          <w:b/>
          <w:color w:val="2C5F8A"/>
          <w:sz w:val="28"/>
          <w:rtl/>
        </w:rPr>
        <w:t>الهدف الرئيسي</w:t>
      </w:r>
    </w:p>
    <w:p w14:paraId="63B1E404" w14:textId="77777777" w:rsidR="00885F47" w:rsidRDefault="002B2CA4">
      <w:pPr>
        <w:bidi/>
        <w:spacing w:before="80" w:after="80" w:line="360" w:lineRule="auto"/>
        <w:jc w:val="right"/>
      </w:pPr>
      <w:r>
        <w:rPr>
          <w:rFonts w:ascii="Arial" w:hAnsi="Arial" w:cs="Arial"/>
          <w:sz w:val="24"/>
          <w:rtl/>
        </w:rPr>
        <w:t>تهدف هذه الدراسة بصورة رئيسية إلى قياس مدى فعالية الاستثمار العقاري السكني بوصفه أداةً للتحوّط ضد التضخم في المملكة العربية السعودية خلال الفترة الممتدة من يناير 2020 إلى ديسمبر 2025، وذلك من خلال تحليل كمي منهجي للبيانات الشهرية الرسمية المستقاة من منصة إيجار والبورصة العقارية السعودية وهيئة الإحصاء العامة.</w:t>
      </w:r>
    </w:p>
    <w:p w14:paraId="3A856198" w14:textId="77777777" w:rsidR="00885F47" w:rsidRDefault="002B2CA4">
      <w:pPr>
        <w:bidi/>
        <w:spacing w:before="160" w:after="80"/>
        <w:jc w:val="right"/>
      </w:pPr>
      <w:r>
        <w:rPr>
          <w:rFonts w:ascii="Arial" w:hAnsi="Arial" w:cs="Arial"/>
          <w:b/>
          <w:color w:val="2C5F8A"/>
          <w:sz w:val="28"/>
          <w:rtl/>
        </w:rPr>
        <w:t>الأهداف الفرعية</w:t>
      </w:r>
    </w:p>
    <w:p w14:paraId="29FDCC87" w14:textId="77777777" w:rsidR="00885F47" w:rsidRDefault="002B2CA4">
      <w:pPr>
        <w:bidi/>
        <w:spacing w:before="40" w:after="40"/>
        <w:jc w:val="right"/>
      </w:pPr>
      <w:r>
        <w:rPr>
          <w:rFonts w:ascii="Arial" w:hAnsi="Arial" w:cs="Arial"/>
          <w:b/>
          <w:sz w:val="24"/>
          <w:rtl/>
        </w:rPr>
        <w:t>1.</w:t>
      </w:r>
      <w:r>
        <w:rPr>
          <w:rFonts w:ascii="Arial" w:hAnsi="Arial" w:cs="Arial"/>
          <w:sz w:val="24"/>
          <w:rtl/>
        </w:rPr>
        <w:t xml:space="preserve"> رصد وتحليل تطور معدلات التضخم الشهرية المُعبَّر عنها بالرقم القياسي لأسعار المستهلك (CPI) في المملكة العربية السعودية خلال الفترة 2020–2025.</w:t>
      </w:r>
    </w:p>
    <w:p w14:paraId="089C1563" w14:textId="77777777" w:rsidR="00885F47" w:rsidRDefault="002B2CA4">
      <w:pPr>
        <w:bidi/>
        <w:spacing w:before="40" w:after="40"/>
        <w:jc w:val="right"/>
      </w:pPr>
      <w:r>
        <w:rPr>
          <w:rFonts w:ascii="Arial" w:hAnsi="Arial" w:cs="Arial"/>
          <w:b/>
          <w:sz w:val="24"/>
          <w:rtl/>
        </w:rPr>
        <w:t>2.</w:t>
      </w:r>
      <w:r>
        <w:rPr>
          <w:rFonts w:ascii="Arial" w:hAnsi="Arial" w:cs="Arial"/>
          <w:sz w:val="24"/>
          <w:rtl/>
        </w:rPr>
        <w:t xml:space="preserve"> رصد وتحليل تطور أسعار الإيجار السكني وأسعار بيع الوحدات العقارية السكنية في كل من مدن الرياض وجدة والدمام خلال الفترة ذاتها.</w:t>
      </w:r>
    </w:p>
    <w:p w14:paraId="66ED2F3C" w14:textId="77777777" w:rsidR="00885F47" w:rsidRDefault="002B2CA4">
      <w:pPr>
        <w:bidi/>
        <w:spacing w:before="40" w:after="40"/>
        <w:jc w:val="right"/>
      </w:pPr>
      <w:r>
        <w:rPr>
          <w:rFonts w:ascii="Arial" w:hAnsi="Arial" w:cs="Arial"/>
          <w:b/>
          <w:sz w:val="24"/>
          <w:rtl/>
        </w:rPr>
        <w:t>3.</w:t>
      </w:r>
      <w:r>
        <w:rPr>
          <w:rFonts w:ascii="Arial" w:hAnsi="Arial" w:cs="Arial"/>
          <w:sz w:val="24"/>
          <w:rtl/>
        </w:rPr>
        <w:t xml:space="preserve"> حساب العوائد العقارية الاسمية والحقيقية لكل فترة زمنية ولكل مدينة مدروسة، والمقارنة بينها ومقارنتها بمعدلات التضخم السائدة.</w:t>
      </w:r>
    </w:p>
    <w:p w14:paraId="3439FA72" w14:textId="77777777" w:rsidR="00885F47" w:rsidRDefault="002B2CA4">
      <w:pPr>
        <w:bidi/>
        <w:spacing w:before="40" w:after="40"/>
        <w:jc w:val="right"/>
      </w:pPr>
      <w:r>
        <w:rPr>
          <w:rFonts w:ascii="Arial" w:hAnsi="Arial" w:cs="Arial"/>
          <w:b/>
          <w:sz w:val="24"/>
          <w:rtl/>
        </w:rPr>
        <w:t>4.</w:t>
      </w:r>
      <w:r>
        <w:rPr>
          <w:rFonts w:ascii="Arial" w:hAnsi="Arial" w:cs="Arial"/>
          <w:sz w:val="24"/>
          <w:rtl/>
        </w:rPr>
        <w:t xml:space="preserve"> قياس طبيعة وقوة العلاقة الإحصائية بين العوائد العقارية الإجمالية ومعدلات التضخم خلال الفترة المدروسة باستخدام أساليب إحصائية مناسبة.</w:t>
      </w:r>
    </w:p>
    <w:p w14:paraId="2F49C59A" w14:textId="77777777" w:rsidR="00885F47" w:rsidRDefault="002B2CA4">
      <w:pPr>
        <w:bidi/>
        <w:spacing w:before="40" w:after="40"/>
        <w:jc w:val="right"/>
      </w:pPr>
      <w:r>
        <w:rPr>
          <w:rFonts w:ascii="Arial" w:hAnsi="Arial" w:cs="Arial"/>
          <w:b/>
          <w:sz w:val="24"/>
          <w:rtl/>
        </w:rPr>
        <w:t>5.</w:t>
      </w:r>
      <w:r>
        <w:rPr>
          <w:rFonts w:ascii="Arial" w:hAnsi="Arial" w:cs="Arial"/>
          <w:sz w:val="24"/>
          <w:rtl/>
        </w:rPr>
        <w:t xml:space="preserve"> الكشف عن التباين المكاني في كفاءة التحوّط العقاري بين مدن الرياض وجدة والدمام، وتحديد المدينة الأعلى أداءً في هذا السياق.</w:t>
      </w:r>
    </w:p>
    <w:p w14:paraId="3C2E64C9" w14:textId="77777777" w:rsidR="00885F47" w:rsidRDefault="002B2CA4">
      <w:pPr>
        <w:bidi/>
        <w:spacing w:before="40" w:after="40"/>
        <w:jc w:val="right"/>
      </w:pPr>
      <w:r>
        <w:rPr>
          <w:rFonts w:ascii="Arial" w:hAnsi="Arial" w:cs="Arial"/>
          <w:b/>
          <w:sz w:val="24"/>
          <w:rtl/>
        </w:rPr>
        <w:t>6.</w:t>
      </w:r>
      <w:r>
        <w:rPr>
          <w:rFonts w:ascii="Arial" w:hAnsi="Arial" w:cs="Arial"/>
          <w:sz w:val="24"/>
          <w:rtl/>
        </w:rPr>
        <w:t xml:space="preserve"> تقديم استنتاجات وتوصيات استثمارية وسياساتية مبنية على نتائج التحليل الكمي تُعين المستثمرين وصانعي السياسات على اتخاذ قرارات أكثر رشادة.</w:t>
      </w:r>
    </w:p>
    <w:p w14:paraId="5ADD4391" w14:textId="77777777" w:rsidR="00885F47" w:rsidRDefault="002B2CA4">
      <w:r>
        <w:br w:type="page"/>
      </w:r>
    </w:p>
    <w:p w14:paraId="7575F5A1" w14:textId="77777777" w:rsidR="00885F47" w:rsidRDefault="002B2CA4">
      <w:pPr>
        <w:bidi/>
        <w:spacing w:before="240" w:after="120"/>
        <w:jc w:val="right"/>
      </w:pPr>
      <w:r>
        <w:rPr>
          <w:rFonts w:ascii="Arial" w:hAnsi="Arial" w:cs="Arial"/>
          <w:b/>
          <w:color w:val="1A3A5C"/>
          <w:sz w:val="32"/>
          <w:rtl/>
        </w:rPr>
        <w:t>خامساً: تساؤلات الدراسة</w:t>
      </w:r>
    </w:p>
    <w:p w14:paraId="495D072A" w14:textId="77777777" w:rsidR="00885F47" w:rsidRDefault="00885F47">
      <w:pPr>
        <w:pBdr>
          <w:bottom w:val="single" w:sz="6" w:space="1" w:color="1A3A5C"/>
        </w:pBdr>
        <w:spacing w:before="80" w:after="80"/>
      </w:pPr>
    </w:p>
    <w:p w14:paraId="10E8C2D5" w14:textId="77777777" w:rsidR="00885F47" w:rsidRDefault="002B2CA4">
      <w:pPr>
        <w:bidi/>
        <w:spacing w:before="80" w:after="80" w:line="360" w:lineRule="auto"/>
        <w:jc w:val="right"/>
      </w:pPr>
      <w:r>
        <w:rPr>
          <w:rFonts w:ascii="Arial" w:hAnsi="Arial" w:cs="Arial"/>
          <w:sz w:val="24"/>
          <w:rtl/>
        </w:rPr>
        <w:t>تنبثق من مشكلة البحث والأهداف المُحددة جملةٌ من التساؤلات الجوهرية التي توجّه مسار التحليل الكمي وتُشكّل الإطار الاستدلالي للدراسة، وهي تساؤلات تستكشف العلاقة بين المتغيرات وتُوجّه بناء أدوات القياس المعتمدة، على النحو الآتي:</w:t>
      </w:r>
    </w:p>
    <w:p w14:paraId="4C87206C" w14:textId="77777777" w:rsidR="00885F47" w:rsidRDefault="002B2CA4">
      <w:pPr>
        <w:bidi/>
        <w:spacing w:before="40" w:after="40"/>
        <w:jc w:val="right"/>
      </w:pPr>
      <w:r>
        <w:rPr>
          <w:rFonts w:ascii="Arial" w:hAnsi="Arial" w:cs="Arial"/>
          <w:b/>
          <w:sz w:val="24"/>
          <w:rtl/>
        </w:rPr>
        <w:t>•</w:t>
      </w:r>
      <w:r>
        <w:rPr>
          <w:rFonts w:ascii="Arial" w:hAnsi="Arial" w:cs="Arial"/>
          <w:sz w:val="24"/>
          <w:rtl/>
        </w:rPr>
        <w:t xml:space="preserve"> السؤال الرئيسي: هل يُمثّل الاستثمار العقاري السكني في المملكة العربية السعودية أداةً فعّالة للتحوّط ضد التضخم خلال الفترة (2020–2025)، وفق دلالة إحصائية موثّقة؟</w:t>
      </w:r>
    </w:p>
    <w:p w14:paraId="76F3AE2A" w14:textId="77777777" w:rsidR="00885F47" w:rsidRDefault="002B2CA4">
      <w:pPr>
        <w:bidi/>
        <w:spacing w:before="40" w:after="40"/>
        <w:jc w:val="right"/>
      </w:pPr>
      <w:r>
        <w:rPr>
          <w:rFonts w:ascii="Arial" w:hAnsi="Arial" w:cs="Arial"/>
          <w:b/>
          <w:sz w:val="24"/>
          <w:rtl/>
        </w:rPr>
        <w:t>•</w:t>
      </w:r>
      <w:r>
        <w:rPr>
          <w:rFonts w:ascii="Arial" w:hAnsi="Arial" w:cs="Arial"/>
          <w:sz w:val="24"/>
          <w:rtl/>
        </w:rPr>
        <w:t xml:space="preserve"> كيف تطوّرت معدلات التضخم الشهرية (CPI%) في المملكة العربية السعودية خلال الفترة (2020–2025)، وما أبرز مراحل التذبذب والاستقرار التي مرّ بها؟</w:t>
      </w:r>
    </w:p>
    <w:p w14:paraId="7D6D86C7" w14:textId="77777777" w:rsidR="00885F47" w:rsidRDefault="002B2CA4">
      <w:pPr>
        <w:bidi/>
        <w:spacing w:before="40" w:after="40"/>
        <w:jc w:val="right"/>
      </w:pPr>
      <w:r>
        <w:rPr>
          <w:rFonts w:ascii="Arial" w:hAnsi="Arial" w:cs="Arial"/>
          <w:b/>
          <w:sz w:val="24"/>
          <w:rtl/>
        </w:rPr>
        <w:t>•</w:t>
      </w:r>
      <w:r>
        <w:rPr>
          <w:rFonts w:ascii="Arial" w:hAnsi="Arial" w:cs="Arial"/>
          <w:sz w:val="24"/>
          <w:rtl/>
        </w:rPr>
        <w:t xml:space="preserve"> كيف تطوّرت أسعار الإيجار السكني وأسعار البيع العقاري في مدن الرياض وجدة والدمام خلال الفترة ذاتها، وما أنماط التغيّر الموثّقة في كل مدينة؟</w:t>
      </w:r>
    </w:p>
    <w:p w14:paraId="6DD8745B" w14:textId="77777777" w:rsidR="00885F47" w:rsidRDefault="002B2CA4">
      <w:pPr>
        <w:bidi/>
        <w:spacing w:before="40" w:after="40"/>
        <w:jc w:val="right"/>
      </w:pPr>
      <w:r>
        <w:rPr>
          <w:rFonts w:ascii="Arial" w:hAnsi="Arial" w:cs="Arial"/>
          <w:b/>
          <w:sz w:val="24"/>
          <w:rtl/>
        </w:rPr>
        <w:t>•</w:t>
      </w:r>
      <w:r>
        <w:rPr>
          <w:rFonts w:ascii="Arial" w:hAnsi="Arial" w:cs="Arial"/>
          <w:sz w:val="24"/>
          <w:rtl/>
        </w:rPr>
        <w:t xml:space="preserve"> هل توجد علاقة ارتباطية موجبة ذات دلالة إحصائية بين متوسط العوائد العقارية الإجمالية ومعدل التضخم العام (CPI) في المملكة العربية السعودية خلال الفترة المدروسة؟</w:t>
      </w:r>
    </w:p>
    <w:p w14:paraId="23F4AED6" w14:textId="77777777" w:rsidR="00885F47" w:rsidRDefault="002B2CA4">
      <w:pPr>
        <w:bidi/>
        <w:spacing w:before="40" w:after="40"/>
        <w:jc w:val="right"/>
      </w:pPr>
      <w:r>
        <w:rPr>
          <w:rFonts w:ascii="Arial" w:hAnsi="Arial" w:cs="Arial"/>
          <w:b/>
          <w:sz w:val="24"/>
          <w:rtl/>
        </w:rPr>
        <w:t>•</w:t>
      </w:r>
      <w:r>
        <w:rPr>
          <w:rFonts w:ascii="Arial" w:hAnsi="Arial" w:cs="Arial"/>
          <w:sz w:val="24"/>
          <w:rtl/>
        </w:rPr>
        <w:t xml:space="preserve"> هل توجد فروق جوهرية في درجة كفاءة التحوّط العقاري ضد التضخم بين المدن الثلاث (الرياض، جدة، الدمام)؟ وهل تتباين هذه الكفاءة بحسب نوع العائد (إيجاري أم رأسمالي)؟</w:t>
      </w:r>
    </w:p>
    <w:p w14:paraId="7CE4113E" w14:textId="77777777" w:rsidR="00885F47" w:rsidRDefault="002B2CA4">
      <w:pPr>
        <w:bidi/>
        <w:spacing w:before="40" w:after="40"/>
        <w:jc w:val="right"/>
      </w:pPr>
      <w:r>
        <w:rPr>
          <w:rFonts w:ascii="Arial" w:hAnsi="Arial" w:cs="Arial"/>
          <w:b/>
          <w:sz w:val="24"/>
          <w:rtl/>
        </w:rPr>
        <w:t>•</w:t>
      </w:r>
      <w:r>
        <w:rPr>
          <w:rFonts w:ascii="Arial" w:hAnsi="Arial" w:cs="Arial"/>
          <w:sz w:val="24"/>
          <w:rtl/>
        </w:rPr>
        <w:t xml:space="preserve"> ما مقدار العائد الحقيقي للاستثمار العقاري السكني في كل مدينة مدروسة، وهل يُشير إلى تحوّط كامل أم جزئي أم غياب للتحوّط في المراحل الزمنية المختلفة؟</w:t>
      </w:r>
    </w:p>
    <w:p w14:paraId="54767EFE" w14:textId="77777777" w:rsidR="00885F47" w:rsidRDefault="002B2CA4">
      <w:r>
        <w:br w:type="page"/>
      </w:r>
    </w:p>
    <w:p w14:paraId="60F2BFB2" w14:textId="77777777" w:rsidR="00885F47" w:rsidRDefault="002B2CA4">
      <w:pPr>
        <w:bidi/>
        <w:spacing w:before="240" w:after="120"/>
        <w:jc w:val="right"/>
      </w:pPr>
      <w:r>
        <w:rPr>
          <w:rFonts w:ascii="Arial" w:hAnsi="Arial" w:cs="Arial"/>
          <w:b/>
          <w:color w:val="1A3A5C"/>
          <w:sz w:val="32"/>
          <w:rtl/>
        </w:rPr>
        <w:t>سادساً: الدراسات السابقة</w:t>
      </w:r>
    </w:p>
    <w:p w14:paraId="5BB0FF4E" w14:textId="77777777" w:rsidR="00885F47" w:rsidRDefault="00885F47">
      <w:pPr>
        <w:pBdr>
          <w:bottom w:val="single" w:sz="6" w:space="1" w:color="1A3A5C"/>
        </w:pBdr>
        <w:spacing w:before="80" w:after="80"/>
      </w:pPr>
    </w:p>
    <w:p w14:paraId="303F45E7" w14:textId="77777777" w:rsidR="00885F47" w:rsidRDefault="002B2CA4">
      <w:pPr>
        <w:bidi/>
        <w:spacing w:before="80" w:after="80" w:line="360" w:lineRule="auto"/>
        <w:jc w:val="right"/>
      </w:pPr>
      <w:r>
        <w:rPr>
          <w:rFonts w:ascii="Arial" w:hAnsi="Arial" w:cs="Arial"/>
          <w:sz w:val="24"/>
          <w:rtl/>
        </w:rPr>
        <w:t>يستعرض هذا القسم أبرز الدراسات السابقة ذات الصلة بموضوع البحث، مُرتَّبةً وفق منهج موضوعي في مجموعتين رئيسيتين: الأولى تضم الدراسات الدولية التي تناولت التحوّط العقاري ضد التضخم، والثانية تضمّ الدراسات الإقليمية الخليجية والمحلية. ويهدف هذا الاستعراض إلى تحديد الأطر النظرية المُعتمدة وتوضيح الفجوات المعرفية التي تسعى الدراسة الحالية إلى سدّها.</w:t>
      </w:r>
    </w:p>
    <w:p w14:paraId="06697E59" w14:textId="77777777" w:rsidR="00885F47" w:rsidRDefault="002B2CA4">
      <w:pPr>
        <w:bidi/>
        <w:spacing w:before="160" w:after="80"/>
        <w:jc w:val="right"/>
      </w:pPr>
      <w:r>
        <w:rPr>
          <w:rFonts w:ascii="Arial" w:hAnsi="Arial" w:cs="Arial"/>
          <w:b/>
          <w:color w:val="2C5F8A"/>
          <w:sz w:val="28"/>
          <w:rtl/>
        </w:rPr>
        <w:t>المجموعة الأولى: الدراسات الدولية حول التحوط العقاري ضد التضخم</w:t>
      </w:r>
    </w:p>
    <w:p w14:paraId="1820BE21" w14:textId="77777777" w:rsidR="00885F47" w:rsidRDefault="002B2CA4">
      <w:pPr>
        <w:bidi/>
        <w:spacing w:before="80" w:after="80" w:line="360" w:lineRule="auto"/>
        <w:jc w:val="right"/>
      </w:pPr>
      <w:r>
        <w:rPr>
          <w:rFonts w:ascii="Arial" w:hAnsi="Arial" w:cs="Arial"/>
          <w:sz w:val="24"/>
          <w:rtl/>
        </w:rPr>
        <w:t>أجرى Hoesli &amp; Oikarinen (2012) دراسةً بعنوان "Are Real Estate Assets a Hedge against Inflation?" نُشرت في مجلة Journal of Real Estate Finance and Economics، المجلد 45، العدد 2. وقد هدفت الدراسة إلى استكشاف طبيعة العلاقة بين العوائد العقارية ومعدلات التضخم على المدى القصير والطويل في السوق الفنلندية. واعتمدت الدراسة منهج تحليل السلاسل الزمنية لفترة امتدت ثلاثة عقود (1970-2010) مستخدمةً بيانات ربعية وتقنية التكامل المشترك (Cointegration) لاختبار العلاقة طويلة الأمد. وخلصت نتائج الدراسة إلى أن العوائد العقارية الحقيقية كانت موجبة على المدى الطويل وأن العقار يعمل كتحوّط فعّال بصورة أوضح في الأجل البعيد، في حين تتأثر العلاقة بدورات الأعمال قصيرة المدى. وأوصت الدراسة بضرورة التمييز بين آفاق الاستثمار القصيرة والطويلة عند تقييم الكفاءة التحوّطية للعقار.</w:t>
      </w:r>
    </w:p>
    <w:p w14:paraId="3B2AA865" w14:textId="77777777" w:rsidR="00885F47" w:rsidRDefault="002B2CA4">
      <w:pPr>
        <w:bidi/>
        <w:spacing w:before="80" w:after="80" w:line="360" w:lineRule="auto"/>
        <w:jc w:val="right"/>
      </w:pPr>
      <w:r>
        <w:rPr>
          <w:rFonts w:ascii="Arial" w:hAnsi="Arial" w:cs="Arial"/>
          <w:sz w:val="24"/>
          <w:rtl/>
        </w:rPr>
        <w:t>تناول Fang, Wang, &amp; Lin (2022) في دراستهم المنشورة في Journal of Real Estate Literature، المجلد 30، العدد 1، مراجعةً شاملةً للأدلة الدولية المتعلقة بالتحوط العقاري ضد التضخم في مجموعة متنوعة من الأسواق. وهدفت الدراسة إلى تقييم مدى قدرة فئات العقار المختلفة على مواكبة التضخم في الأسواق الأمريكية والأوروبية وعدد من الأسواق الناشئة. اعتمدت الدراسة على مراجعة منهجية للأدبيات إلى جانب تحليل بيانات مستقلة مستقاةً من 12 سوقًا باستخدام نماذج انحدار متعدد. وأثبتت النتائج أن العقار السكني متعدد الوحدات يتفوق على العقار التجاري في توفير الحماية من التضخم غير المتوقع، وأن قدرة التحوّط ترتبط ارتباطًا وثيقًا بمرونة عقود الإيجار واستجابتها لمؤشرات التضخم.</w:t>
      </w:r>
    </w:p>
    <w:p w14:paraId="6E8AEB34" w14:textId="77777777" w:rsidR="00885F47" w:rsidRDefault="002B2CA4">
      <w:pPr>
        <w:bidi/>
        <w:spacing w:before="80" w:after="80" w:line="360" w:lineRule="auto"/>
        <w:jc w:val="right"/>
      </w:pPr>
      <w:r>
        <w:rPr>
          <w:rFonts w:ascii="Arial" w:hAnsi="Arial" w:cs="Arial"/>
          <w:sz w:val="24"/>
          <w:rtl/>
        </w:rPr>
        <w:t>أجرى Demary &amp; Voigtländer (2021) دراسةً بعنوان "The Dynamic Nature of House Price and Inflation: Evidence from 15 Countries" نُشرت في International Real Estate Review، المجلد 24، العدد 3. وهدفت إلى فحص العلاقة الديناميكية بين أسعار المساكن ومعدلات التضخم في مجموعة متنوعة تضمّ اقتصادات متقدمة وناشئة. اعتمدت الدراسة على نماذج متجهات الانحدار الذاتي (VAR) لبيانات سنوية تغطي الفترة 2000-2020. وتوصّلت النتائج إلى أن العقار السكني يحقق تحوّطًا أفضل في الأسواق الناشئة مقارنةً بالأسواق المتقدمة، وأن العلاقة تتعقّد بفعل عوامل التخطيط العمراني وسياسات الإسكان ودرجة مرونة عرض الأراضي. وأشارت الدراسة إلى أن التضخم المتوقع يُغذّي أسعار العقار بشكل أكثر انتظامًا من التضخم غير المتوقع، مما يستدعي التمييز بين النوعين في أي تحليل مستقبلي.</w:t>
      </w:r>
    </w:p>
    <w:p w14:paraId="626E12CA" w14:textId="77777777" w:rsidR="00885F47" w:rsidRDefault="002B2CA4">
      <w:pPr>
        <w:bidi/>
        <w:spacing w:before="80" w:after="80" w:line="360" w:lineRule="auto"/>
        <w:jc w:val="right"/>
      </w:pPr>
      <w:r>
        <w:rPr>
          <w:rFonts w:ascii="Arial" w:hAnsi="Arial" w:cs="Arial"/>
          <w:sz w:val="24"/>
          <w:rtl/>
        </w:rPr>
        <w:t>قدّم Brounen &amp; Eichholtz (2023) دراسةً بعنوان "Global Real Estate Returns and Inflation Protection" نُشرت في Journal of Portfolio Management، المجلد 49، العدد 4. وهدفت إلى تحليل مدى قدرة محافظ العقار العالمية على حماية المستثمرين من تآكل التضخم خلال السنوات الأخيرة التي شهدت تقلبات تضخمية حادة. واعتمدت الدراسة على تحليل بيانات عقارية مستقاة من 20 دولة تغطي الفترة 2010-2022، مستخدمةً نماذج الانحدار الكلاسيكي والقياس الاقتصادي الطولي (Panel Data). وخلصت النتائج إلى أن العقار يوفّر تحوّطًا جزئيًّا وليس كاملًا، وأن الفعالية التحوّطية تتباين تباينًا ملحوظًا بحسب المدينة والنوع العقاري والمرحلة الزمنية. وأوصت الدراسة بعدم المبالغة في التسويق للعقار كأداة تحوّط مثلى دون مراعاة السياق المحلي وخصائص السوق.</w:t>
      </w:r>
    </w:p>
    <w:p w14:paraId="33D3B49D" w14:textId="77777777" w:rsidR="00885F47" w:rsidRDefault="002B2CA4">
      <w:pPr>
        <w:bidi/>
        <w:spacing w:before="160" w:after="80"/>
        <w:jc w:val="right"/>
      </w:pPr>
      <w:r>
        <w:rPr>
          <w:rFonts w:ascii="Arial" w:hAnsi="Arial" w:cs="Arial"/>
          <w:b/>
          <w:color w:val="2C5F8A"/>
          <w:sz w:val="28"/>
          <w:rtl/>
        </w:rPr>
        <w:t>المجموعة الثانية: الدراسات الإقليمية والخليجية والمحلية</w:t>
      </w:r>
    </w:p>
    <w:p w14:paraId="5BC4ADB8" w14:textId="77777777" w:rsidR="00885F47" w:rsidRDefault="002B2CA4">
      <w:pPr>
        <w:bidi/>
        <w:spacing w:before="80" w:after="80" w:line="360" w:lineRule="auto"/>
        <w:jc w:val="right"/>
      </w:pPr>
      <w:r>
        <w:rPr>
          <w:rFonts w:ascii="Arial" w:hAnsi="Arial" w:cs="Arial"/>
          <w:sz w:val="24"/>
          <w:rtl/>
        </w:rPr>
        <w:t>تناول Alkhareif &amp; Alsubaie (2019) في ورقتهما البحثية الصادرة عن البنك المركزي السعودي (SAMA Working Paper WP/19/3)، بعنوان "Inflation Dynamics and Real Estate Returns in GCC Markets"، دراسةَ ديناميكيات التضخم وعوائد العقار في أسواق مجلس التعاون الخليجي. وهدفت الدراسة إلى استكشاف مدى ارتباط حركة الأسعار العقارية بمؤشرات التضخم في دول المجلس خلال الفترة 2005-2018. اعتمدت على تحليل اقتصادي قياسي باستخدام بيانات ربعية وتقنيات الانحدار المتعدد ومعاملات الارتباط. وتوصّلت النتائج إلى وجود ارتباط إيجابي بين العقار السكني في الرياض ودبي والتضخم على المدى المتوسط، غير أن هذه العلاقة لم تُمثّل تحوّطًا كاملًا في جميع الفترات، وسجّلت تفاوتًا ملحوظًا عبر دول الخليج. ويُعدّ هذا البحث من أبرز المراجع في السياق الخليجي رغم أنه يسبق فترة الدراسة الحالية.</w:t>
      </w:r>
    </w:p>
    <w:p w14:paraId="23495F03" w14:textId="77777777" w:rsidR="00885F47" w:rsidRDefault="002B2CA4">
      <w:pPr>
        <w:bidi/>
        <w:spacing w:before="80" w:after="80" w:line="360" w:lineRule="auto"/>
        <w:jc w:val="right"/>
      </w:pPr>
      <w:r>
        <w:rPr>
          <w:rFonts w:ascii="Arial" w:hAnsi="Arial" w:cs="Arial"/>
          <w:sz w:val="24"/>
          <w:rtl/>
        </w:rPr>
        <w:t>أعدّت Marmore MENA Intelligence (2023) تقريرًا بحثيًّا بعنوان "UAE Real Estate: Evaluating Inflation Hedging Potential" يرصد أداء السوق العقاري الإماراتي في مواجهة التضخم إبّان موجة الارتفاع التضخمي العالمي التي أعقبت جائحة كوفيد-19. وهدف التقرير إلى تقييم مدى نجاح العقار الإماراتي في تحقيق عوائد تتجاوز معدلات التضخم خلال الفترة 2020-2023. واعتمد على تحليل وصفي مقارن لبيانات الأسعار والإيجارات في دبي وأبوظبي. وتوصّلت النتائج إلى أن العقار الإماراتي تفوّق على معدلات التضخم بنسبة تتراوح بين 2% و4% سنويًّا خلال فترات ارتفاع الأسعار العالمية، مما يدل على كفاءة تحوّطية ملحوظة في السياق الخليجي ما بعد الجائحة.</w:t>
      </w:r>
    </w:p>
    <w:p w14:paraId="50CEB089" w14:textId="77777777" w:rsidR="00885F47" w:rsidRDefault="002B2CA4">
      <w:pPr>
        <w:bidi/>
        <w:spacing w:before="80" w:after="80" w:line="360" w:lineRule="auto"/>
        <w:jc w:val="right"/>
      </w:pPr>
      <w:r>
        <w:rPr>
          <w:rFonts w:ascii="Arial" w:hAnsi="Arial" w:cs="Arial"/>
          <w:sz w:val="24"/>
          <w:rtl/>
        </w:rPr>
        <w:t>أجرى Al-Mogrin (2022) دراسةً بعنوان "Real Estate Market Dynamics in Saudi Arabia: Post-COVID Analysis" نُشرت في Arabian Journal of Business and Management Review، المجلد 12، العدد 1. وهدفت الدراسة إلى تحليل ديناميكيات السوق العقاري السعودي في المرحلة التالية لجائحة كوفيد-19، ولا سيما تطور أسعار العقارات السكنية في ضوء التحولات الاقتصادية الكبرى. اعتمدت الدراسة على منهج وصفي تحليلي يستند إلى بيانات ثانوية مستقاة من وزارة الإسكان والهيئة العامة للإحصاء. وتوصّلت النتائج إلى أن أسعار العقارات السكنية في الرياض ارتفعت بمعدل 15% بين عامَي 2020 و2022، مدفوعةً بزخم الطلب وبرامج الإسكان الحكومية الداعمة وتيسير التمويل العقاري. وأوصت الدراسة بضرورة رصد تطور الأسعار بمنهجية دورية للكشف عن مخاطر الفقاعات أو التصحيح المحتمل.</w:t>
      </w:r>
    </w:p>
    <w:p w14:paraId="24574553" w14:textId="77777777" w:rsidR="00885F47" w:rsidRDefault="002B2CA4">
      <w:pPr>
        <w:bidi/>
        <w:spacing w:before="80" w:after="80" w:line="360" w:lineRule="auto"/>
        <w:jc w:val="right"/>
      </w:pPr>
      <w:r>
        <w:rPr>
          <w:rFonts w:ascii="Arial" w:hAnsi="Arial" w:cs="Arial"/>
          <w:sz w:val="24"/>
          <w:rtl/>
        </w:rPr>
        <w:t>أصدرت شركة الخبير الاستشاري للعقارات (2024) تقريرًا موسومًا بـ"تقرير السوق العقاري السعودي 2023-2024" صادرًا عن مقرّها في الرياض. وهدف التقرير إلى رصد أداء السوق العقاري السعودي وتتبّع التغيرات في أسعار الإيجار والبيع خلال الفترة المذكورة. واعتمد على تحليل وصفي مقارن لبيانات البورصة العقارية ومنصة إيجار وعدد من المنصات المتخصصة. وكشفت النتائج أن الإيجارات السكنية في الرياض سجّلت ارتفاعًا تراكميًّا يتجاوز 25% بين عامَي 2022 و2024، في حين لم يتجاوز التضخم العام المُعلَن 3% خلال الفترة ذاتها، مما يُشير إلى إمكانية تجاوز العقار لمعدل التضخم في هذه المرحلة؛ غير أن الدراسة لم تتقدم نحو اختبار هذه العلاقة إحصائيًّا، وهو ما تسعى الدراسة الحالية إلى تحقيقه.</w:t>
      </w:r>
    </w:p>
    <w:p w14:paraId="430B348E" w14:textId="77777777" w:rsidR="00885F47" w:rsidRDefault="002B2CA4">
      <w:pPr>
        <w:bidi/>
        <w:spacing w:before="160" w:after="80"/>
        <w:jc w:val="right"/>
      </w:pPr>
      <w:r>
        <w:rPr>
          <w:rFonts w:ascii="Arial" w:hAnsi="Arial" w:cs="Arial"/>
          <w:b/>
          <w:color w:val="2C5F8A"/>
          <w:sz w:val="28"/>
          <w:rtl/>
        </w:rPr>
        <w:t>تعليق على الدراسات السابقة وتحديد موقع الدراسة الحالية</w:t>
      </w:r>
    </w:p>
    <w:p w14:paraId="1FEBF64B" w14:textId="77777777" w:rsidR="00885F47" w:rsidRDefault="002B2CA4">
      <w:pPr>
        <w:bidi/>
        <w:spacing w:before="80" w:after="80" w:line="360" w:lineRule="auto"/>
        <w:jc w:val="right"/>
      </w:pPr>
      <w:r>
        <w:rPr>
          <w:rFonts w:ascii="Arial" w:hAnsi="Arial" w:cs="Arial"/>
          <w:sz w:val="24"/>
          <w:rtl/>
        </w:rPr>
        <w:t>يتّضح من استعراض الدراسات السابقة أن الأدبيات الدولية قدّمت إسهامات ثرية في تحليل العلاقة بين العقار والتضخم في سياقات غربية وناشئة متعددة (Hoesli &amp; Oikarinen, 2012; Fang et al., 2022; Demary &amp; Voigtländer, 2021; Brounen &amp; Eichholtz, 2023)، وأن الدراسات الخليجية لا تزال محدودة ونادرة على الصعيد الكمي (Alkhareif &amp; Alsubaie, 2019). كما أن معظم الدراسات المتاحة حول السوق السعودي تكتفي بالوصف أو تعتمد على بيانات قديمة سابقة لمرحلة الرقمنة والتحول في منصات البيانات الوطنية. وهنا يتجلى موقع الدراسة الحالية: فهي تُقدّم أول تحليل كمي صارم يستثمر البيانات الرسمية الحديثة من منصة إيجار والبورصة العقارية لاختبار العلاقة بين التضخم والعوائد العقارية في المملكة خلال الفترة 2020–2025، مع تغطية تفصيلية لثلاث مدن رئيسية وتمييز بين أنواع العوائد (إيجارية ورأسمالية).</w:t>
      </w:r>
    </w:p>
    <w:p w14:paraId="3A545265" w14:textId="77777777" w:rsidR="00885F47" w:rsidRDefault="002B2CA4">
      <w:r>
        <w:br w:type="page"/>
      </w:r>
    </w:p>
    <w:p w14:paraId="4FE9BA8B" w14:textId="77777777" w:rsidR="00885F47" w:rsidRDefault="002B2CA4">
      <w:pPr>
        <w:bidi/>
        <w:spacing w:before="240" w:after="120"/>
        <w:jc w:val="right"/>
      </w:pPr>
      <w:r>
        <w:rPr>
          <w:rFonts w:ascii="Arial" w:hAnsi="Arial" w:cs="Arial"/>
          <w:b/>
          <w:color w:val="1A3A5C"/>
          <w:sz w:val="32"/>
          <w:rtl/>
        </w:rPr>
        <w:t>سابعاً: المنطلقات النظرية للدراسة (Theoretical Premises)</w:t>
      </w:r>
    </w:p>
    <w:p w14:paraId="54A635C5" w14:textId="77777777" w:rsidR="00885F47" w:rsidRDefault="00885F47">
      <w:pPr>
        <w:pBdr>
          <w:bottom w:val="single" w:sz="6" w:space="1" w:color="1A3A5C"/>
        </w:pBdr>
        <w:spacing w:before="80" w:after="80"/>
      </w:pPr>
    </w:p>
    <w:p w14:paraId="0769A727" w14:textId="77777777" w:rsidR="00885F47" w:rsidRDefault="002B2CA4">
      <w:pPr>
        <w:bidi/>
        <w:spacing w:before="80" w:after="80" w:line="360" w:lineRule="auto"/>
        <w:jc w:val="right"/>
      </w:pPr>
      <w:r>
        <w:rPr>
          <w:rFonts w:ascii="Arial" w:hAnsi="Arial" w:cs="Arial"/>
          <w:sz w:val="24"/>
          <w:rtl/>
        </w:rPr>
        <w:t>يُقدّم هذا القسم الإطار النظري الذي يستند إليه البحث، ويشتمل على تعريف وافٍ لمتغيرات الدراسة الرئيسية وأنواعها وأبعادها، فضلًا عن استعراض الأسس النظرية للعلاقة بين التضخم والعقار. ويهدف هذا الإطار إلى توفير الأرضية المعرفية اللازمة لبناء الفروض واختيار الأدوات الإحصائية المناسبة.</w:t>
      </w:r>
    </w:p>
    <w:p w14:paraId="7B3E3BCF" w14:textId="77777777" w:rsidR="00885F47" w:rsidRDefault="002B2CA4">
      <w:pPr>
        <w:bidi/>
        <w:spacing w:before="160" w:after="80"/>
        <w:jc w:val="right"/>
      </w:pPr>
      <w:r>
        <w:rPr>
          <w:rFonts w:ascii="Arial" w:hAnsi="Arial" w:cs="Arial"/>
          <w:b/>
          <w:color w:val="2C5F8A"/>
          <w:sz w:val="28"/>
          <w:rtl/>
        </w:rPr>
        <w:t>1. التضخم: المفهوم والأنواع</w:t>
      </w:r>
    </w:p>
    <w:p w14:paraId="1D8980B1" w14:textId="77777777" w:rsidR="00885F47" w:rsidRDefault="002B2CA4">
      <w:pPr>
        <w:bidi/>
        <w:spacing w:before="80" w:after="80" w:line="360" w:lineRule="auto"/>
        <w:jc w:val="right"/>
      </w:pPr>
      <w:r>
        <w:rPr>
          <w:rFonts w:ascii="Arial" w:hAnsi="Arial" w:cs="Arial"/>
          <w:sz w:val="24"/>
          <w:rtl/>
        </w:rPr>
        <w:t>يُعرَّف التضخم في الأدبيات الاقتصادية بأنه الارتفاع المستمر والعام في مستوى أسعار السلع والخدمات خلال فترة زمنية محددة، مما ينجم عنه انخفاض في القوة الشرائية للنقود (Mishkin, 2019). وتُعدّ هذه الظاهرة من أكثر المؤشرات الاقتصادية الكلية تأثيرًا في قرارات الاستثمار والادخار والاستهلاك. ويُقاس التضخم عادةً بالتغيّر النسبي في الرقم القياسي لأسعار المستهلك (CPI)، وهو المؤشر المعتمد في هذه الدراسة، إذ تصدره الهيئة العامة للإحصاء (GASTAT) شهريًّا وفق منهجية موحّدة تغطي سلةً واسعة من السلع والخدمات الأساسية.</w:t>
      </w:r>
    </w:p>
    <w:p w14:paraId="3F1ACFF5" w14:textId="77777777" w:rsidR="00885F47" w:rsidRDefault="002B2CA4">
      <w:pPr>
        <w:bidi/>
        <w:spacing w:before="80" w:after="80" w:line="360" w:lineRule="auto"/>
        <w:jc w:val="right"/>
      </w:pPr>
      <w:r>
        <w:rPr>
          <w:rFonts w:ascii="Arial" w:hAnsi="Arial" w:cs="Arial"/>
          <w:sz w:val="24"/>
          <w:rtl/>
        </w:rPr>
        <w:t>وفي الأدبيات الاقتصادية، يُميَّز عادةً بين نوعين رئيسيين من التضخم لهما أهمية بالغة في تقييم الكفاءة التحوّطية للأصول: أولهما التضخم المتوقع (Expected Inflation)، وهو التضخم الذي يتنبأ به المشاركون في السوق مسبقًا ويُدمجون توقعاتهم له في أسعار الأصول وعقود الإيجار، مما يُيسّر عملية التحوّط الطبيعية. وثانيهما التضخم غير المتوقع (Unexpected Inflation)، وهو الارتفاع المفاجئ في الأسعار الذي يفاجئ المستثمرين ويُربك توقعاتهم، مما يجعل الحماية منه أصعب وأكثر اعتمادًا على طبيعة الأصل ذاته (Fama &amp; Schwert, 1977). وقد توصّلت دراسات عدة إلى أن قدرة العقار على التحوّط تتفاوت بين النوعين، إذ يكون التحوّط أقوى في مواجهة التضخم المتوقع (Hoesli &amp; Oikarinen, 2012).</w:t>
      </w:r>
    </w:p>
    <w:p w14:paraId="02A8B2B0" w14:textId="77777777" w:rsidR="00885F47" w:rsidRDefault="002B2CA4">
      <w:pPr>
        <w:bidi/>
        <w:spacing w:before="160" w:after="80"/>
        <w:jc w:val="right"/>
      </w:pPr>
      <w:r>
        <w:rPr>
          <w:rFonts w:ascii="Arial" w:hAnsi="Arial" w:cs="Arial"/>
          <w:b/>
          <w:color w:val="2C5F8A"/>
          <w:sz w:val="28"/>
          <w:rtl/>
        </w:rPr>
        <w:t>2. مفهوم التحوط ضد التضخم (Inflation Hedging)</w:t>
      </w:r>
    </w:p>
    <w:p w14:paraId="1CDBC4C2" w14:textId="77777777" w:rsidR="00885F47" w:rsidRDefault="002B2CA4">
      <w:pPr>
        <w:bidi/>
        <w:spacing w:before="80" w:after="80" w:line="360" w:lineRule="auto"/>
        <w:jc w:val="right"/>
      </w:pPr>
      <w:r>
        <w:rPr>
          <w:rFonts w:ascii="Arial" w:hAnsi="Arial" w:cs="Arial"/>
          <w:sz w:val="24"/>
          <w:rtl/>
        </w:rPr>
        <w:t>يُقصد بالتحوّط ضد التضخم قدرة أصل استثماري ما على تحقيق عائد يواكب معدل التضخم على الأقل أو يتجاوزه، بحيث يحافظ على القوة الشرائية الحقيقية لرأس المال المستثمر. وقد أسّس Fisher (1930) لهذا المفهوم في نظريته الشهيرة التي تقضي بأن العائد الاسمي على الاستثمار الرشيد يساوي العائد الحقيقي مضافًا إليه معدل التضخم المتوقع. ومن ثَمّ، فإن القياس العملي للتحوّط يتطلّب استخراج العائد الحقيقي وفق المعادلة الآتية:</w:t>
      </w:r>
    </w:p>
    <w:p w14:paraId="36181082" w14:textId="77777777" w:rsidR="00885F47" w:rsidRDefault="002B2CA4">
      <w:pPr>
        <w:bidi/>
        <w:spacing w:before="120" w:after="120"/>
        <w:jc w:val="center"/>
      </w:pPr>
      <w:r>
        <w:rPr>
          <w:rFonts w:ascii="Arial" w:hAnsi="Arial"/>
          <w:b/>
          <w:color w:val="1A3A5C"/>
          <w:sz w:val="26"/>
        </w:rPr>
        <w:t>العائد الحقيقي = [(1 + R) / (1 + I)] − 1</w:t>
      </w:r>
    </w:p>
    <w:p w14:paraId="543E2763" w14:textId="77777777" w:rsidR="00885F47" w:rsidRDefault="002B2CA4">
      <w:pPr>
        <w:bidi/>
        <w:spacing w:before="80" w:after="80" w:line="360" w:lineRule="auto"/>
        <w:jc w:val="right"/>
      </w:pPr>
      <w:r>
        <w:rPr>
          <w:rFonts w:ascii="Arial" w:hAnsi="Arial" w:cs="Arial"/>
          <w:sz w:val="24"/>
          <w:rtl/>
        </w:rPr>
        <w:t>حيث تُمثّل R العائد الاسمي الإجمالي للأصل العقاري (إيجاري + رأسمالي)، وتُمثّل I معدل التضخم السائد خلال الفترة ذاتها. وتُشير قيمة العائد الحقيقي الموجبة إلى أن الأصل تجاوز التضخم وحقّق تحوّطًا كاملًا، فيما تُشير القيمة السالبة إلى أن التضخم نال من القيمة الحقيقية للاستثمار (Brounen &amp; Eichholtz, 2023). وفي سياق هذه الدراسة، يُطبَّق هذا المقياس على بيانات شهرية لكل مدينة مدروسة لاستخلاص صورة تفصيلية دقيقة.</w:t>
      </w:r>
    </w:p>
    <w:p w14:paraId="6F79EAD6" w14:textId="77777777" w:rsidR="00885F47" w:rsidRDefault="002B2CA4">
      <w:pPr>
        <w:bidi/>
        <w:spacing w:before="160" w:after="80"/>
        <w:jc w:val="right"/>
      </w:pPr>
      <w:r>
        <w:rPr>
          <w:rFonts w:ascii="Arial" w:hAnsi="Arial" w:cs="Arial"/>
          <w:b/>
          <w:color w:val="2C5F8A"/>
          <w:sz w:val="28"/>
          <w:rtl/>
        </w:rPr>
        <w:t>3. العقار: المفهوم والأنواع</w:t>
      </w:r>
    </w:p>
    <w:p w14:paraId="333306D5" w14:textId="77777777" w:rsidR="00885F47" w:rsidRDefault="002B2CA4">
      <w:pPr>
        <w:bidi/>
        <w:spacing w:before="80" w:after="80" w:line="360" w:lineRule="auto"/>
        <w:jc w:val="right"/>
      </w:pPr>
      <w:r>
        <w:rPr>
          <w:rFonts w:ascii="Arial" w:hAnsi="Arial" w:cs="Arial"/>
          <w:sz w:val="24"/>
          <w:rtl/>
        </w:rPr>
        <w:t>يُعرَّف العقار في الأدبيات المتخصصة بأنه "كل مال ثابت لا يمكن نقله من مكانه دون تلف، كالأرض والمباني والمنشآت" (الجريسي، 2020). وفي التصنيف الاقتصادي الحديث، تنقسم الأصول العقارية إلى ثلاثة أنواع رئيسية: العقار السكني، ويشمل الشقق والفلل والوحدات السكنية المخصصة للإيجار أو التملك؛ والعقار التجاري، ويضمّ المكاتب والمحلات التجارية والمراكز التجارية؛ والعقار الصناعي، ويتضمّن المستودعات والمصانع ومرافق الخدمات اللوجستية (MSCI, 2022). وتقتصر هذه الدراسة على العقار السكني تحديدًا، وذلك لتوفّر بياناته في المنصات الوطنية وهيمنته على المشهد الاستثماري الفردي في السوق السعودية.</w:t>
      </w:r>
    </w:p>
    <w:p w14:paraId="4799F338" w14:textId="77777777" w:rsidR="00885F47" w:rsidRDefault="002B2CA4">
      <w:pPr>
        <w:bidi/>
        <w:spacing w:before="160" w:after="80"/>
        <w:jc w:val="right"/>
      </w:pPr>
      <w:r>
        <w:rPr>
          <w:rFonts w:ascii="Arial" w:hAnsi="Arial" w:cs="Arial"/>
          <w:b/>
          <w:color w:val="2C5F8A"/>
          <w:sz w:val="28"/>
          <w:rtl/>
        </w:rPr>
        <w:t>4. العوائد العقارية ومكوناتها</w:t>
      </w:r>
    </w:p>
    <w:p w14:paraId="78147D03" w14:textId="77777777" w:rsidR="00885F47" w:rsidRDefault="002B2CA4">
      <w:pPr>
        <w:bidi/>
        <w:spacing w:before="80" w:after="80" w:line="360" w:lineRule="auto"/>
        <w:jc w:val="right"/>
      </w:pPr>
      <w:r>
        <w:rPr>
          <w:rFonts w:ascii="Arial" w:hAnsi="Arial" w:cs="Arial"/>
          <w:sz w:val="24"/>
          <w:rtl/>
        </w:rPr>
        <w:t>يتألف العائد الإجمالي للاستثمار العقاري من مكوّنَين رئيسيَّين لا يمكن فهم الصورة الكاملة دون دمجهما معًا: الأول هو العائد الإيجاري (Rental Yield)، وهو النسبة السنوية بين الدخل الإيجاري والقيمة السوقية للعقار، ويُمثّل التدفق النقدي الجاري للمستثمر؛ والثاني هو العائد الرأسمالي (Capital Appreciation)، وهو نسبة الارتفاع في سعر بيع العقار خلال فترة زمنية محددة مقارنةً بسعر الشراء، ويُمثّل مكسب التملك (Baum &amp; Hartzell, 2012). وفي السياق السعودي، تتوافر بيانات العائد الإيجاري عبر منصة إيجار، فيما تُوفّر البورصة العقارية بيانات حركة أسعار البيع اللازمة لاستخراج العائد الرأسمالي.</w:t>
      </w:r>
    </w:p>
    <w:p w14:paraId="450CDBD8" w14:textId="77777777" w:rsidR="00885F47" w:rsidRDefault="002B2CA4">
      <w:pPr>
        <w:bidi/>
        <w:spacing w:before="160" w:after="80"/>
        <w:jc w:val="right"/>
      </w:pPr>
      <w:r>
        <w:rPr>
          <w:rFonts w:ascii="Arial" w:hAnsi="Arial" w:cs="Arial"/>
          <w:b/>
          <w:color w:val="2C5F8A"/>
          <w:sz w:val="28"/>
          <w:rtl/>
        </w:rPr>
        <w:t>5. الأسس النظرية لعلاقة العقار بالتضخم</w:t>
      </w:r>
    </w:p>
    <w:p w14:paraId="195ABBC6" w14:textId="77777777" w:rsidR="00885F47" w:rsidRDefault="002B2CA4">
      <w:pPr>
        <w:bidi/>
        <w:spacing w:before="80" w:after="80" w:line="360" w:lineRule="auto"/>
        <w:jc w:val="right"/>
      </w:pPr>
      <w:r>
        <w:rPr>
          <w:rFonts w:ascii="Arial" w:hAnsi="Arial" w:cs="Arial"/>
          <w:sz w:val="24"/>
          <w:rtl/>
        </w:rPr>
        <w:t>تستند العلاقة النظرية بين العقار والتضخم إلى جملة من الأطر النظرية المعترف بها في الأدبيات المالية. يأتي في مقدمتها نظرية الأصول الحقيقية (Real Asset Theory)، التي ترى أن الأصول الملموسة كالأراضي والمباني تتمتع بقيمة استخدامية تحمل قيمتها الحقيقية من التآكل الناجم عن التضخم، إذ يرتفع سعرها الاسمي تلقائيًّا بالتوازي مع ارتفاع الأسعار العامة (Fisher, 1930). وثانيتها نظرية مرونة الإيجارات (Rental Flexibility Theory)، التي ترى أن المؤجّرين يستطيعون مراجعة عقودهم الإيجارية دوريًّا لتعكس الظروف التضخمية، مما يُمكّنهم من نقل تأثير التضخم إلى المستأجرين وبذلك يصونون قيمتهم الحقيقية (Demary &amp; Voigtländer, 2021). ولكن مدى فاعلية هذه الأطر يتوقف على خصائص السوق المحلية ودرجة مرونة عرض الأراضي والسياسات التنظيمية المعمول بها.</w:t>
      </w:r>
    </w:p>
    <w:p w14:paraId="48E24749" w14:textId="77777777" w:rsidR="00885F47" w:rsidRDefault="002B2CA4">
      <w:pPr>
        <w:bidi/>
        <w:spacing w:before="80" w:after="80" w:line="360" w:lineRule="auto"/>
        <w:jc w:val="right"/>
      </w:pPr>
      <w:r>
        <w:rPr>
          <w:rFonts w:ascii="Arial" w:hAnsi="Arial" w:cs="Arial"/>
          <w:sz w:val="24"/>
          <w:rtl/>
        </w:rPr>
        <w:t>ومن الزاوية التطبيقية، تُشير الأدبيات إلى أن ثلاثة عوامل تُحدّد مدى نجاح العقار في التحوّط: مدة الاستثمار (يزداد التحوّط مع طول الأفق)، وموقع العقار ونوعه (السكني أفضل من التجاري في بيئات التضخم المعتدل)، وطبيعة التضخم (المتوقع أسهل في التحوّط منه من غير المتوقع). وهذه العوامل مجتمعةً توجّه الفرضيات الإحصائية للدراسة الحالية وتُضفي عليها أساسًا نظريًّا متينًا.</w:t>
      </w:r>
    </w:p>
    <w:p w14:paraId="2BD5A9BE" w14:textId="77777777" w:rsidR="00885F47" w:rsidRDefault="002B2CA4">
      <w:r>
        <w:br w:type="page"/>
      </w:r>
    </w:p>
    <w:p w14:paraId="3EDD98EB" w14:textId="77777777" w:rsidR="00885F47" w:rsidRDefault="002B2CA4">
      <w:pPr>
        <w:bidi/>
        <w:spacing w:before="240" w:after="120"/>
        <w:jc w:val="right"/>
      </w:pPr>
      <w:r>
        <w:rPr>
          <w:rFonts w:ascii="Arial" w:hAnsi="Arial" w:cs="Arial"/>
          <w:b/>
          <w:color w:val="1A3A5C"/>
          <w:sz w:val="32"/>
          <w:rtl/>
        </w:rPr>
        <w:t>ثامناً: منهجية البحث</w:t>
      </w:r>
    </w:p>
    <w:p w14:paraId="5640405E" w14:textId="77777777" w:rsidR="00885F47" w:rsidRDefault="00885F47">
      <w:pPr>
        <w:pBdr>
          <w:bottom w:val="single" w:sz="6" w:space="1" w:color="1A3A5C"/>
        </w:pBdr>
        <w:spacing w:before="80" w:after="80"/>
      </w:pPr>
    </w:p>
    <w:p w14:paraId="79F23D8C" w14:textId="77777777" w:rsidR="00885F47" w:rsidRDefault="002B2CA4">
      <w:pPr>
        <w:bidi/>
        <w:spacing w:before="160" w:after="80"/>
        <w:jc w:val="right"/>
      </w:pPr>
      <w:r>
        <w:rPr>
          <w:rFonts w:ascii="Arial" w:hAnsi="Arial" w:cs="Arial"/>
          <w:b/>
          <w:color w:val="2C5F8A"/>
          <w:sz w:val="28"/>
          <w:rtl/>
        </w:rPr>
        <w:t>1. المنهج المعتمد</w:t>
      </w:r>
    </w:p>
    <w:p w14:paraId="5D30172C" w14:textId="77777777" w:rsidR="00885F47" w:rsidRDefault="002B2CA4">
      <w:pPr>
        <w:bidi/>
        <w:spacing w:before="80" w:after="80" w:line="360" w:lineRule="auto"/>
        <w:jc w:val="right"/>
      </w:pPr>
      <w:r>
        <w:rPr>
          <w:rFonts w:ascii="Arial" w:hAnsi="Arial" w:cs="Arial"/>
          <w:sz w:val="24"/>
          <w:rtl/>
        </w:rPr>
        <w:t>تعتمد هذه الدراسة المنهجَ الوصفي التحليلي الكمي (Quantitative Descriptive-Analytical Method)، الذي يجمع بين وصف ظاهرة التضخم وحركة الأسعار العقارية من جهة، وتحليل العلاقة الإحصائية بين المتغيرات من جهة أخرى. ويُعدّ هذا المنهج الأنسب لطبيعة البيانات الشهرية الثانوية المستخدمة في الدراسة، كما يتسق مع ما اعتمده باحثون سابقون في سياقات مماثلة (Hoesli &amp; Oikarinen, 2012; Alkhareif &amp; Alsubaie, 2019). وتعتمد الدراسة بصورة رئيسية على البيانات الثانوية المستخلصة من منصات وطنية رسمية موثوقة، مما يُضفي على نتائجها مصداقيةً عالية وقابليةً للتحقق والتكرار.</w:t>
      </w:r>
    </w:p>
    <w:p w14:paraId="18F5E1CE" w14:textId="77777777" w:rsidR="00885F47" w:rsidRDefault="002B2CA4">
      <w:pPr>
        <w:bidi/>
        <w:spacing w:before="160" w:after="80"/>
        <w:jc w:val="right"/>
      </w:pPr>
      <w:r>
        <w:rPr>
          <w:rFonts w:ascii="Arial" w:hAnsi="Arial" w:cs="Arial"/>
          <w:b/>
          <w:color w:val="2C5F8A"/>
          <w:sz w:val="28"/>
          <w:rtl/>
        </w:rPr>
        <w:t>2. متغيرات الدراسة</w:t>
      </w:r>
    </w:p>
    <w:p w14:paraId="2BE4681D" w14:textId="77777777" w:rsidR="00885F47" w:rsidRDefault="002B2CA4">
      <w:pPr>
        <w:bidi/>
        <w:spacing w:before="40" w:after="40"/>
        <w:jc w:val="right"/>
      </w:pPr>
      <w:r>
        <w:rPr>
          <w:rFonts w:ascii="Arial" w:hAnsi="Arial" w:cs="Arial"/>
          <w:b/>
          <w:sz w:val="24"/>
          <w:rtl/>
        </w:rPr>
        <w:t>المتغير المستقل:</w:t>
      </w:r>
      <w:r>
        <w:rPr>
          <w:rFonts w:ascii="Arial" w:hAnsi="Arial" w:cs="Arial"/>
          <w:sz w:val="24"/>
          <w:rtl/>
        </w:rPr>
        <w:t xml:space="preserve"> معدل التضخم الشهري المُعبَّر عنه بنسبة التغيّر في الرقم القياسي لأسعار المستهلك CPI% وفق بيانات الهيئة العامة للإحصاء (GASTAT).</w:t>
      </w:r>
    </w:p>
    <w:p w14:paraId="747AF6ED" w14:textId="77777777" w:rsidR="00885F47" w:rsidRDefault="002B2CA4">
      <w:pPr>
        <w:bidi/>
        <w:spacing w:before="40" w:after="40"/>
        <w:jc w:val="right"/>
      </w:pPr>
      <w:r>
        <w:rPr>
          <w:rFonts w:ascii="Arial" w:hAnsi="Arial" w:cs="Arial"/>
          <w:b/>
          <w:sz w:val="24"/>
          <w:rtl/>
        </w:rPr>
        <w:t>المتغير التابع:</w:t>
      </w:r>
      <w:r>
        <w:rPr>
          <w:rFonts w:ascii="Arial" w:hAnsi="Arial" w:cs="Arial"/>
          <w:sz w:val="24"/>
          <w:rtl/>
        </w:rPr>
        <w:t xml:space="preserve"> العائد العقاري الإجمالي الشهري، ويشمل: (أ) العائد الإيجاري المستخرج من بيانات منصة إيجار؛ (ب) العائد الرأسمالي المستخرج من بيانات البورصة العقارية؛ (ج) العائد الحقيقي = [(1+R)/(1+I)]−1.</w:t>
      </w:r>
    </w:p>
    <w:p w14:paraId="2C5FCC7F" w14:textId="77777777" w:rsidR="00885F47" w:rsidRDefault="002B2CA4">
      <w:pPr>
        <w:bidi/>
        <w:spacing w:before="160" w:after="80"/>
        <w:jc w:val="right"/>
      </w:pPr>
      <w:r>
        <w:rPr>
          <w:rFonts w:ascii="Arial" w:hAnsi="Arial" w:cs="Arial"/>
          <w:b/>
          <w:color w:val="2C5F8A"/>
          <w:sz w:val="28"/>
          <w:rtl/>
        </w:rPr>
        <w:t>3. فروض الدراسة</w:t>
      </w:r>
    </w:p>
    <w:p w14:paraId="7234FB47" w14:textId="77777777" w:rsidR="00885F47" w:rsidRDefault="002B2CA4">
      <w:pPr>
        <w:bidi/>
        <w:spacing w:before="80" w:after="80" w:line="360" w:lineRule="auto"/>
        <w:jc w:val="right"/>
      </w:pPr>
      <w:r>
        <w:rPr>
          <w:rFonts w:ascii="Arial" w:hAnsi="Arial" w:cs="Arial"/>
          <w:sz w:val="24"/>
          <w:rtl/>
        </w:rPr>
        <w:t>استنادًا إلى مشكلة البحث وتساؤلاته وإطاره النظري، يُصاغ الفرضُ الرئيسي للدراسة على النحو الآتي:</w:t>
      </w:r>
    </w:p>
    <w:p w14:paraId="7598B625" w14:textId="77777777" w:rsidR="00885F47" w:rsidRDefault="002B2CA4">
      <w:pPr>
        <w:bidi/>
        <w:spacing w:before="40" w:after="40"/>
        <w:jc w:val="right"/>
      </w:pPr>
      <w:r>
        <w:rPr>
          <w:rFonts w:ascii="Arial" w:hAnsi="Arial" w:cs="Arial"/>
          <w:b/>
          <w:sz w:val="24"/>
          <w:rtl/>
        </w:rPr>
        <w:t>الفرض الرئيسي الصفري:</w:t>
      </w:r>
      <w:r>
        <w:rPr>
          <w:rFonts w:ascii="Arial" w:hAnsi="Arial" w:cs="Arial"/>
          <w:sz w:val="24"/>
          <w:rtl/>
        </w:rPr>
        <w:t>H₀: لا توجد علاقة ذات دلالة إحصائية بين معدلات التضخم والعوائد العقارية الإجمالية في المملكة العربية السعودية خلال الفترة (2020–2025).</w:t>
      </w:r>
    </w:p>
    <w:p w14:paraId="7E90A418" w14:textId="77777777" w:rsidR="00885F47" w:rsidRDefault="002B2CA4">
      <w:pPr>
        <w:bidi/>
        <w:spacing w:before="40" w:after="40"/>
        <w:jc w:val="right"/>
      </w:pPr>
      <w:r>
        <w:rPr>
          <w:rFonts w:ascii="Arial" w:hAnsi="Arial" w:cs="Arial"/>
          <w:b/>
          <w:sz w:val="24"/>
          <w:rtl/>
        </w:rPr>
        <w:t>الفرض الرئيسي البديل:</w:t>
      </w:r>
      <w:r>
        <w:rPr>
          <w:rFonts w:ascii="Arial" w:hAnsi="Arial" w:cs="Arial"/>
          <w:sz w:val="24"/>
          <w:rtl/>
        </w:rPr>
        <w:t>H₁: توجد علاقة ذات دلالة إحصائية بين معدلات التضخم والعوائد العقارية الإجمالية في المملكة العربية السعودية خلال الفترة (2020–2025).</w:t>
      </w:r>
    </w:p>
    <w:p w14:paraId="0DF43A43" w14:textId="77777777" w:rsidR="00885F47" w:rsidRDefault="002B2CA4">
      <w:pPr>
        <w:bidi/>
        <w:spacing w:before="80" w:after="80" w:line="360" w:lineRule="auto"/>
        <w:jc w:val="right"/>
      </w:pPr>
      <w:r>
        <w:rPr>
          <w:rFonts w:ascii="Arial" w:hAnsi="Arial" w:cs="Arial"/>
          <w:sz w:val="24"/>
          <w:rtl/>
        </w:rPr>
        <w:t>وتتفرّع عن الفرض الرئيسي الفروض الفرعية الآتية:</w:t>
      </w:r>
    </w:p>
    <w:p w14:paraId="6D6BD475" w14:textId="77777777" w:rsidR="00885F47" w:rsidRDefault="002B2CA4">
      <w:pPr>
        <w:bidi/>
        <w:spacing w:before="40" w:after="40"/>
        <w:jc w:val="right"/>
      </w:pPr>
      <w:r>
        <w:rPr>
          <w:rFonts w:ascii="Arial" w:hAnsi="Arial" w:cs="Arial"/>
          <w:b/>
          <w:sz w:val="24"/>
          <w:rtl/>
        </w:rPr>
        <w:t>H₀-1:</w:t>
      </w:r>
      <w:r>
        <w:rPr>
          <w:rFonts w:ascii="Arial" w:hAnsi="Arial" w:cs="Arial"/>
          <w:sz w:val="24"/>
          <w:rtl/>
        </w:rPr>
        <w:t xml:space="preserve"> لا توجد علاقة ارتباطية دالة إحصائيًّا بين معدل التضخم الشهري وأسعار الإيجار السكني في مدينة الرياض خلال الفترة (2020–2025).</w:t>
      </w:r>
    </w:p>
    <w:p w14:paraId="5CC28E94" w14:textId="77777777" w:rsidR="00885F47" w:rsidRDefault="002B2CA4">
      <w:pPr>
        <w:bidi/>
        <w:spacing w:before="40" w:after="40"/>
        <w:jc w:val="right"/>
      </w:pPr>
      <w:r>
        <w:rPr>
          <w:rFonts w:ascii="Arial" w:hAnsi="Arial" w:cs="Arial"/>
          <w:b/>
          <w:sz w:val="24"/>
          <w:rtl/>
        </w:rPr>
        <w:t>H₀-2:</w:t>
      </w:r>
      <w:r>
        <w:rPr>
          <w:rFonts w:ascii="Arial" w:hAnsi="Arial" w:cs="Arial"/>
          <w:sz w:val="24"/>
          <w:rtl/>
        </w:rPr>
        <w:t xml:space="preserve"> لا توجد علاقة ارتباطية دالة إحصائيًّا بين معدل التضخم الشهري وأسعار بيع الوحدات العقارية السكنية في مدينة الرياض خلال الفترة (2020–2025).</w:t>
      </w:r>
    </w:p>
    <w:p w14:paraId="2EE4AA32" w14:textId="77777777" w:rsidR="00885F47" w:rsidRDefault="002B2CA4">
      <w:pPr>
        <w:bidi/>
        <w:spacing w:before="40" w:after="40"/>
        <w:jc w:val="right"/>
      </w:pPr>
      <w:r>
        <w:rPr>
          <w:rFonts w:ascii="Arial" w:hAnsi="Arial" w:cs="Arial"/>
          <w:b/>
          <w:sz w:val="24"/>
          <w:rtl/>
        </w:rPr>
        <w:t>H₀-3:</w:t>
      </w:r>
      <w:r>
        <w:rPr>
          <w:rFonts w:ascii="Arial" w:hAnsi="Arial" w:cs="Arial"/>
          <w:sz w:val="24"/>
          <w:rtl/>
        </w:rPr>
        <w:t xml:space="preserve"> لا توجد فروق جوهرية في متوسط العائد الحقيقي للاستثمار العقاري السكني بين مدن الرياض وجدة والدمام خلال الفترة المدروسة.</w:t>
      </w:r>
    </w:p>
    <w:p w14:paraId="1561FF42" w14:textId="77777777" w:rsidR="00885F47" w:rsidRDefault="002B2CA4">
      <w:pPr>
        <w:bidi/>
        <w:spacing w:before="40" w:after="40"/>
        <w:jc w:val="right"/>
      </w:pPr>
      <w:r>
        <w:rPr>
          <w:rFonts w:ascii="Arial" w:hAnsi="Arial" w:cs="Arial"/>
          <w:b/>
          <w:sz w:val="24"/>
          <w:rtl/>
        </w:rPr>
        <w:t>H₀-4:</w:t>
      </w:r>
      <w:r>
        <w:rPr>
          <w:rFonts w:ascii="Arial" w:hAnsi="Arial" w:cs="Arial"/>
          <w:sz w:val="24"/>
          <w:rtl/>
        </w:rPr>
        <w:t xml:space="preserve"> لا يُوجد فارق دال إحصائيًّا بين العائد الإيجاري والعائد الرأسمالي في كفاءتهما التحوّطية ضد التضخم خلال الفترة المدروسة.</w:t>
      </w:r>
    </w:p>
    <w:p w14:paraId="6B8A3834" w14:textId="77777777" w:rsidR="00885F47" w:rsidRDefault="002B2CA4">
      <w:pPr>
        <w:bidi/>
        <w:spacing w:before="160" w:after="80"/>
        <w:jc w:val="right"/>
      </w:pPr>
      <w:r>
        <w:rPr>
          <w:rFonts w:ascii="Arial" w:hAnsi="Arial" w:cs="Arial"/>
          <w:b/>
          <w:color w:val="2C5F8A"/>
          <w:sz w:val="28"/>
          <w:rtl/>
        </w:rPr>
        <w:t>4. قياس المتغيرات</w:t>
      </w:r>
    </w:p>
    <w:p w14:paraId="309B09B2" w14:textId="77777777" w:rsidR="00885F47" w:rsidRDefault="002B2CA4">
      <w:pPr>
        <w:bidi/>
        <w:spacing w:before="80" w:after="80" w:line="360" w:lineRule="auto"/>
        <w:jc w:val="right"/>
      </w:pPr>
      <w:r>
        <w:rPr>
          <w:rFonts w:ascii="Arial" w:hAnsi="Arial" w:cs="Arial"/>
          <w:sz w:val="24"/>
          <w:rtl/>
        </w:rPr>
        <w:t>يُقاس المتغير المستقل (معدل التضخم) بالنسبة المئوية للتغيّر السنوي في الرقم القياسي لأسعار المستهلك الصادر شهريًّا عن هيئة الإحصاء العامة. أما العائد الإيجاري فيُحسب من خلال قسمة متوسط الإيجار الشهري السنوي للوحدة السكنية على سعر بيعها السوقي وضرب الناتج في 100 للحصول على نسبة العائد السنوي. ويُستخرج العائد الرأسمالي من خلال نسبة التغيّر في مؤشر أسعار بيع العقار من فترة لأخرى. ثم يُحسب العائد الحقيقي بتطبيق المعادلة: [(1+R)/(1+I)]−1، حيث R هو العائد الاسمي الإجمالي (إيجاري + رأسمالي) وI هو معدل التضخم الشهري.</w:t>
      </w:r>
    </w:p>
    <w:p w14:paraId="46CFAD3B" w14:textId="77777777" w:rsidR="00885F47" w:rsidRDefault="002B2CA4">
      <w:pPr>
        <w:bidi/>
        <w:spacing w:before="160" w:after="80"/>
        <w:jc w:val="right"/>
      </w:pPr>
      <w:r>
        <w:rPr>
          <w:rFonts w:ascii="Arial" w:hAnsi="Arial" w:cs="Arial"/>
          <w:b/>
          <w:color w:val="2C5F8A"/>
          <w:sz w:val="28"/>
          <w:rtl/>
        </w:rPr>
        <w:t>5. الأساليب الإحصائية</w:t>
      </w:r>
    </w:p>
    <w:p w14:paraId="283599C9" w14:textId="77777777" w:rsidR="00885F47" w:rsidRDefault="002B2CA4">
      <w:pPr>
        <w:bidi/>
        <w:spacing w:before="40" w:after="40"/>
        <w:jc w:val="right"/>
      </w:pPr>
      <w:r>
        <w:rPr>
          <w:rFonts w:ascii="Arial" w:hAnsi="Arial" w:cs="Arial"/>
          <w:b/>
          <w:sz w:val="24"/>
          <w:rtl/>
        </w:rPr>
        <w:t>1.</w:t>
      </w:r>
      <w:r>
        <w:rPr>
          <w:rFonts w:ascii="Arial" w:hAnsi="Arial" w:cs="Arial"/>
          <w:sz w:val="24"/>
          <w:rtl/>
        </w:rPr>
        <w:t xml:space="preserve"> المتوسطات والانحرافات المعيارية: لوصف توزيع المتغيرات وقياس تشتّتها.</w:t>
      </w:r>
    </w:p>
    <w:p w14:paraId="2B597655" w14:textId="77777777" w:rsidR="00885F47" w:rsidRDefault="002B2CA4">
      <w:pPr>
        <w:bidi/>
        <w:spacing w:before="40" w:after="40"/>
        <w:jc w:val="right"/>
      </w:pPr>
      <w:r>
        <w:rPr>
          <w:rFonts w:ascii="Arial" w:hAnsi="Arial" w:cs="Arial"/>
          <w:b/>
          <w:sz w:val="24"/>
          <w:rtl/>
        </w:rPr>
        <w:t>2.</w:t>
      </w:r>
      <w:r>
        <w:rPr>
          <w:rFonts w:ascii="Arial" w:hAnsi="Arial" w:cs="Arial"/>
          <w:sz w:val="24"/>
          <w:rtl/>
        </w:rPr>
        <w:t xml:space="preserve"> معامل ارتباط بيرسون (Pearson Correlation): لقياس قوة واتجاه العلاقة الخطية بين معدل التضخم والعوائد العقارية.</w:t>
      </w:r>
    </w:p>
    <w:p w14:paraId="221D6B34" w14:textId="77777777" w:rsidR="00885F47" w:rsidRDefault="002B2CA4">
      <w:pPr>
        <w:bidi/>
        <w:spacing w:before="40" w:after="40"/>
        <w:jc w:val="right"/>
      </w:pPr>
      <w:r>
        <w:rPr>
          <w:rFonts w:ascii="Arial" w:hAnsi="Arial" w:cs="Arial"/>
          <w:b/>
          <w:sz w:val="24"/>
          <w:rtl/>
        </w:rPr>
        <w:t>3.</w:t>
      </w:r>
      <w:r>
        <w:rPr>
          <w:rFonts w:ascii="Arial" w:hAnsi="Arial" w:cs="Arial"/>
          <w:sz w:val="24"/>
          <w:rtl/>
        </w:rPr>
        <w:t xml:space="preserve"> الرسوم البيانية الزمنية (Time Series Plots): لتمثيل التطور الشهري للمتغيرات وإبراز أنماط التغيّر المشترك.</w:t>
      </w:r>
    </w:p>
    <w:p w14:paraId="5DA678F0" w14:textId="77777777" w:rsidR="00885F47" w:rsidRDefault="002B2CA4">
      <w:pPr>
        <w:bidi/>
        <w:spacing w:before="40" w:after="40"/>
        <w:jc w:val="right"/>
      </w:pPr>
      <w:r>
        <w:rPr>
          <w:rFonts w:ascii="Arial" w:hAnsi="Arial" w:cs="Arial"/>
          <w:b/>
          <w:sz w:val="24"/>
          <w:rtl/>
        </w:rPr>
        <w:t>4.</w:t>
      </w:r>
      <w:r>
        <w:rPr>
          <w:rFonts w:ascii="Arial" w:hAnsi="Arial" w:cs="Arial"/>
          <w:sz w:val="24"/>
          <w:rtl/>
        </w:rPr>
        <w:t xml:space="preserve"> تحليل الانحدار البسيط (Simple Linear Regression): لقياس حجم التأثير والتنبؤ بالعوائد في ضوء معدلات التضخم.</w:t>
      </w:r>
    </w:p>
    <w:p w14:paraId="567A813A" w14:textId="77777777" w:rsidR="00885F47" w:rsidRDefault="002B2CA4">
      <w:pPr>
        <w:bidi/>
        <w:spacing w:before="40" w:after="40"/>
        <w:jc w:val="right"/>
      </w:pPr>
      <w:r>
        <w:rPr>
          <w:rFonts w:ascii="Arial" w:hAnsi="Arial" w:cs="Arial"/>
          <w:b/>
          <w:sz w:val="24"/>
          <w:rtl/>
        </w:rPr>
        <w:t>5.</w:t>
      </w:r>
      <w:r>
        <w:rPr>
          <w:rFonts w:ascii="Arial" w:hAnsi="Arial" w:cs="Arial"/>
          <w:sz w:val="24"/>
          <w:rtl/>
        </w:rPr>
        <w:t xml:space="preserve"> اختبار t للعيّنات المستقلة: للكشف عن الفروق بين المدن في متوسطات العائد الحقيقي.</w:t>
      </w:r>
    </w:p>
    <w:p w14:paraId="34BC7972" w14:textId="77777777" w:rsidR="00885F47" w:rsidRDefault="002B2CA4">
      <w:pPr>
        <w:bidi/>
        <w:spacing w:before="80" w:after="80" w:line="360" w:lineRule="auto"/>
        <w:jc w:val="right"/>
      </w:pPr>
      <w:r>
        <w:rPr>
          <w:rFonts w:ascii="Arial" w:hAnsi="Arial" w:cs="Arial"/>
          <w:sz w:val="24"/>
          <w:rtl/>
        </w:rPr>
        <w:t>وتُستخدم في التحليل برامج Excel و SPSS وJamovi، وهي أدوات متاحة وموثوقة تُتيح إجراء جميع الاختبارات المطلوبة بدقة عالية وتسمح بتمثيل النتائج بيانيًّا بصورة احترافية.</w:t>
      </w:r>
    </w:p>
    <w:p w14:paraId="3D8BC90E" w14:textId="77777777" w:rsidR="00885F47" w:rsidRDefault="002B2CA4">
      <w:r>
        <w:br w:type="page"/>
      </w:r>
    </w:p>
    <w:p w14:paraId="36ACF23B" w14:textId="77777777" w:rsidR="00885F47" w:rsidRDefault="002B2CA4">
      <w:pPr>
        <w:bidi/>
        <w:spacing w:before="240" w:after="120"/>
        <w:jc w:val="right"/>
      </w:pPr>
      <w:r>
        <w:rPr>
          <w:rFonts w:ascii="Arial" w:hAnsi="Arial" w:cs="Arial"/>
          <w:b/>
          <w:color w:val="1A3A5C"/>
          <w:sz w:val="32"/>
          <w:rtl/>
        </w:rPr>
        <w:t>تاسعاً: أدوات الدراسة (Study Tools)</w:t>
      </w:r>
    </w:p>
    <w:p w14:paraId="23D59A9A" w14:textId="77777777" w:rsidR="00885F47" w:rsidRDefault="00885F47">
      <w:pPr>
        <w:pBdr>
          <w:bottom w:val="single" w:sz="6" w:space="1" w:color="1A3A5C"/>
        </w:pBdr>
        <w:spacing w:before="80" w:after="80"/>
      </w:pPr>
    </w:p>
    <w:p w14:paraId="5498BF44" w14:textId="77777777" w:rsidR="00885F47" w:rsidRDefault="002B2CA4">
      <w:pPr>
        <w:bidi/>
        <w:spacing w:before="80" w:after="80" w:line="360" w:lineRule="auto"/>
        <w:jc w:val="right"/>
      </w:pPr>
      <w:r>
        <w:rPr>
          <w:rFonts w:ascii="Arial" w:hAnsi="Arial" w:cs="Arial"/>
          <w:sz w:val="24"/>
          <w:rtl/>
        </w:rPr>
        <w:t>تعتمد هذه الدراسة اعتمادًا كليًّا على البيانات الثانوية (Secondary Data)، وهي بيانات جُمعت في الأصل لأغراض رسمية وإدارية من قِبل جهات حكومية وشبه حكومية متخصصة. وتُعدّ هذه البيانات الثانوية الخيارَ الأنسب لهذه الدراسة لعدة أسباب: أولها توافرها وشموليتها إذ تغطي البيانات الفترة المحددة (2020–2025) بشكل شهري منتظم؛ وثانيها موثوقيتها العالية كونها تصدر عن جهات رقابية ومعتمدة؛ وثالثها أنها تعكس الواقع الفعلي لحركة السوق العقاري دون تحيّز المستجيب الذي قد يشوب البيانات الأولية. ويأتي هذا الاختيار متسقًا مع منهجية دراسات سابقة اعتمدت على بيانات ثانوية رسمية في السياق الخليجي (Alkhareif &amp; Alsubaie, 2019).</w:t>
      </w:r>
    </w:p>
    <w:p w14:paraId="02EE6BD3" w14:textId="77777777" w:rsidR="00885F47" w:rsidRDefault="002B2CA4">
      <w:pPr>
        <w:bidi/>
        <w:spacing w:before="160" w:after="80"/>
        <w:jc w:val="right"/>
      </w:pPr>
      <w:r>
        <w:rPr>
          <w:rFonts w:ascii="Arial" w:hAnsi="Arial" w:cs="Arial"/>
          <w:b/>
          <w:color w:val="2C5F8A"/>
          <w:sz w:val="28"/>
          <w:rtl/>
        </w:rPr>
        <w:t>المصادر الرئيسية للبيانات</w:t>
      </w:r>
    </w:p>
    <w:p w14:paraId="0FAB2225" w14:textId="77777777" w:rsidR="00885F47" w:rsidRDefault="002B2CA4">
      <w:pPr>
        <w:bidi/>
        <w:spacing w:before="40" w:after="40"/>
        <w:jc w:val="right"/>
      </w:pPr>
      <w:r>
        <w:rPr>
          <w:rFonts w:ascii="Arial" w:hAnsi="Arial" w:cs="Arial"/>
          <w:b/>
          <w:sz w:val="24"/>
          <w:rtl/>
        </w:rPr>
        <w:t>منصة إيجار (Ejar Platform):</w:t>
      </w:r>
      <w:r>
        <w:rPr>
          <w:rFonts w:ascii="Arial" w:hAnsi="Arial" w:cs="Arial"/>
          <w:sz w:val="24"/>
          <w:rtl/>
        </w:rPr>
        <w:t xml:space="preserve"> المنصة الوطنية لتسجيل العقود الإيجارية في المملكة، التابعة لوزارة الشؤون البلدية والقروية والإسكان. تُوفّر بيانات شهرية تفصيلية عن متوسطات الإيجار السكني مصنّفةً حسب المدينة والحي والنوع. وتتميز بأنها تعكس الإيجارات الفعلية المُسجَّلة رسميًّا لا المعلنة فحسب.</w:t>
      </w:r>
    </w:p>
    <w:p w14:paraId="3349AA87" w14:textId="77777777" w:rsidR="00885F47" w:rsidRDefault="002B2CA4">
      <w:pPr>
        <w:bidi/>
        <w:spacing w:before="40" w:after="40"/>
        <w:jc w:val="right"/>
      </w:pPr>
      <w:r>
        <w:rPr>
          <w:rFonts w:ascii="Arial" w:hAnsi="Arial" w:cs="Arial"/>
          <w:b/>
          <w:sz w:val="24"/>
          <w:rtl/>
        </w:rPr>
        <w:t>البورصة العقارية السعودية (Aqar Stock Exchange):</w:t>
      </w:r>
      <w:r>
        <w:rPr>
          <w:rFonts w:ascii="Arial" w:hAnsi="Arial" w:cs="Arial"/>
          <w:sz w:val="24"/>
          <w:rtl/>
        </w:rPr>
        <w:t xml:space="preserve"> منصة تابعة للهيئة العامة للعقار توثّق صفقات البيع العقاري الرسمية بقيمها الفعلية. تُوفّر مؤشرات سعرية شهرية لأسعار البيع مصنّفةً حسب المدينة والنوع العقاري.</w:t>
      </w:r>
    </w:p>
    <w:p w14:paraId="2C1FD9A8" w14:textId="77777777" w:rsidR="00885F47" w:rsidRDefault="002B2CA4">
      <w:pPr>
        <w:bidi/>
        <w:spacing w:before="40" w:after="40"/>
        <w:jc w:val="right"/>
      </w:pPr>
      <w:r>
        <w:rPr>
          <w:rFonts w:ascii="Arial" w:hAnsi="Arial" w:cs="Arial"/>
          <w:b/>
          <w:sz w:val="24"/>
          <w:rtl/>
        </w:rPr>
        <w:t>الهيئة العامة للإحصاء (GASTAT):</w:t>
      </w:r>
      <w:r>
        <w:rPr>
          <w:rFonts w:ascii="Arial" w:hAnsi="Arial" w:cs="Arial"/>
          <w:sz w:val="24"/>
          <w:rtl/>
        </w:rPr>
        <w:t xml:space="preserve"> الجهة الرسمية لإصدار الرقم القياسي لأسعار المستهلك (CPI) في المملكة العربية السعودية. تُصدر بيانات التضخم الشهرية وفق منهجية دولية موحّدة تغطي سلة سلع وخدمات واسعة تضم أكثر من 490 صنفًا.</w:t>
      </w:r>
    </w:p>
    <w:p w14:paraId="5CEDC8FD" w14:textId="77777777" w:rsidR="00885F47" w:rsidRDefault="002B2CA4">
      <w:pPr>
        <w:bidi/>
        <w:spacing w:before="40" w:after="40"/>
        <w:jc w:val="right"/>
      </w:pPr>
      <w:r>
        <w:rPr>
          <w:rFonts w:ascii="Arial" w:hAnsi="Arial" w:cs="Arial"/>
          <w:b/>
          <w:sz w:val="24"/>
          <w:rtl/>
        </w:rPr>
        <w:t>منصة بيانات (Data.gov.sa):</w:t>
      </w:r>
      <w:r>
        <w:rPr>
          <w:rFonts w:ascii="Arial" w:hAnsi="Arial" w:cs="Arial"/>
          <w:sz w:val="24"/>
          <w:rtl/>
        </w:rPr>
        <w:t xml:space="preserve"> البوابة الوطنية للبيانات المفتوحة التي توفّر مجموعات بيانات مساندة تشمل مؤشرات اقتصادية واجتماعية تدعم عملية التحليل السياقي للنتائج.</w:t>
      </w:r>
    </w:p>
    <w:p w14:paraId="29446C46" w14:textId="77777777" w:rsidR="00885F47" w:rsidRDefault="002B2CA4">
      <w:r>
        <w:br w:type="page"/>
      </w:r>
    </w:p>
    <w:p w14:paraId="40FA9584" w14:textId="77777777" w:rsidR="00885F47" w:rsidRDefault="002B2CA4">
      <w:pPr>
        <w:bidi/>
        <w:spacing w:before="240" w:after="120"/>
        <w:jc w:val="right"/>
      </w:pPr>
      <w:r>
        <w:rPr>
          <w:rFonts w:ascii="Arial" w:hAnsi="Arial" w:cs="Arial"/>
          <w:b/>
          <w:color w:val="1A3A5C"/>
          <w:sz w:val="32"/>
          <w:rtl/>
        </w:rPr>
        <w:t>عاشراً: مجالات الدراسة</w:t>
      </w:r>
    </w:p>
    <w:p w14:paraId="6846CBDB" w14:textId="77777777" w:rsidR="00885F47" w:rsidRDefault="00885F47">
      <w:pPr>
        <w:pBdr>
          <w:bottom w:val="single" w:sz="6" w:space="1" w:color="1A3A5C"/>
        </w:pBdr>
        <w:spacing w:before="80" w:after="80"/>
      </w:pPr>
    </w:p>
    <w:p w14:paraId="7F0787C4" w14:textId="77777777" w:rsidR="00885F47" w:rsidRDefault="002B2CA4">
      <w:pPr>
        <w:bidi/>
        <w:spacing w:before="160" w:after="80"/>
        <w:jc w:val="right"/>
      </w:pPr>
      <w:r>
        <w:rPr>
          <w:rFonts w:ascii="Arial" w:hAnsi="Arial" w:cs="Arial"/>
          <w:b/>
          <w:color w:val="2C5F8A"/>
          <w:sz w:val="28"/>
          <w:rtl/>
        </w:rPr>
        <w:t>1. المجال المكاني (Spatial Scope)</w:t>
      </w:r>
    </w:p>
    <w:p w14:paraId="5EF06A07" w14:textId="77777777" w:rsidR="00885F47" w:rsidRDefault="002B2CA4">
      <w:pPr>
        <w:bidi/>
        <w:spacing w:before="80" w:after="80" w:line="360" w:lineRule="auto"/>
        <w:jc w:val="right"/>
      </w:pPr>
      <w:r>
        <w:rPr>
          <w:rFonts w:ascii="Arial" w:hAnsi="Arial" w:cs="Arial"/>
          <w:sz w:val="24"/>
          <w:rtl/>
        </w:rPr>
        <w:t>تشمل الدراسة ثلاث مدن سعودية رئيسية تمثّل المراكز الاقتصادية الكبرى في المملكة وتستأثر بالنصيب الأكبر من نشاط السوق العقاري الوطني وفق تقارير البورصة العقارية (2024): مدينة الرياض بوصفها العاصمة والمركز الاقتصادي والإداري؛ ومدينة جدة بوصفها البوابة التجارية الغربية وأكبر مدن المنطقة الغربية؛ ومدينة الدمام بوصفها مركز المنطقة الشرقية ومحور قطاع الطاقة. ويعكس هذا الاختيار التنوّع الجغرافي والاقتصادي داخل المملكة ويُمكّن من إجراء مقارنة مكانية ذات دلالة. وتجدر الإشارة إلى أن الدراسة تستهدف تحديدًا الوحدات السكنية (شقق وفلل) دون الأصول العقارية التجارية أو الصناعية.</w:t>
      </w:r>
    </w:p>
    <w:p w14:paraId="48208A19" w14:textId="77777777" w:rsidR="00885F47" w:rsidRDefault="002B2CA4">
      <w:pPr>
        <w:bidi/>
        <w:spacing w:before="160" w:after="80"/>
        <w:jc w:val="right"/>
      </w:pPr>
      <w:r>
        <w:rPr>
          <w:rFonts w:ascii="Arial" w:hAnsi="Arial" w:cs="Arial"/>
          <w:b/>
          <w:color w:val="2C5F8A"/>
          <w:sz w:val="28"/>
          <w:rtl/>
        </w:rPr>
        <w:t>2. المجال الزمني (Temporal Scope)</w:t>
      </w:r>
    </w:p>
    <w:p w14:paraId="235ECF14" w14:textId="77777777" w:rsidR="00885F47" w:rsidRDefault="002B2CA4">
      <w:pPr>
        <w:bidi/>
        <w:spacing w:before="80" w:after="80" w:line="360" w:lineRule="auto"/>
        <w:jc w:val="right"/>
      </w:pPr>
      <w:r>
        <w:rPr>
          <w:rFonts w:ascii="Arial" w:hAnsi="Arial" w:cs="Arial"/>
          <w:sz w:val="24"/>
          <w:rtl/>
        </w:rPr>
        <w:t>تمتد الدراسة زمنيًّا من يناير 2020 إلى ديسمبر 2025، وهي فترة تبلغ ستّ سنوات توفّر 72 نقطة بيانات شهرية لكل متغير ومدينة، مما يُحقق الحجم الكافي لتطبيق الأساليب الإحصائية المعتمدة بموثوقية مقبولة. وقد انطلقت هذه الفترة مع موجة الصدمة الاقتصادية لجائحة كوفيد-19 في مطلع 2020، مرورًا بمرحلة التعافي الاقتصادي ونمو القطاع العقاري السعودي والتضخم العالمي وما نجم عنه من تداعيات محلية، وتمتد حتى عام 2025 الذي يُمثّل مرحلة الاستقرار النسبي في ضوء السياسات الحكومية المعتمدة.</w:t>
      </w:r>
    </w:p>
    <w:p w14:paraId="073AFE9F" w14:textId="77777777" w:rsidR="00885F47" w:rsidRDefault="002B2CA4">
      <w:pPr>
        <w:bidi/>
        <w:spacing w:before="160" w:after="80"/>
        <w:jc w:val="right"/>
      </w:pPr>
      <w:r>
        <w:rPr>
          <w:rFonts w:ascii="Arial" w:hAnsi="Arial" w:cs="Arial"/>
          <w:b/>
          <w:color w:val="2C5F8A"/>
          <w:sz w:val="28"/>
          <w:rtl/>
        </w:rPr>
        <w:t>3. المجال الموضوعي (Subject Scope)</w:t>
      </w:r>
    </w:p>
    <w:p w14:paraId="7D46D0C1" w14:textId="77777777" w:rsidR="00885F47" w:rsidRDefault="002B2CA4">
      <w:pPr>
        <w:bidi/>
        <w:spacing w:before="80" w:after="80" w:line="360" w:lineRule="auto"/>
        <w:jc w:val="right"/>
      </w:pPr>
      <w:r>
        <w:rPr>
          <w:rFonts w:ascii="Arial" w:hAnsi="Arial" w:cs="Arial"/>
          <w:sz w:val="24"/>
          <w:rtl/>
        </w:rPr>
        <w:t>تقتصر الدراسة على القطاع العقاري السكني (Residential Real Estate) تحديدًا دون التطرق إلى العقار التجاري أو الصناعي، وذلك لأسباب موضوعية وعملية؛ أبرزها: أن العقار السكني يمثّل الشريحة الأوسع من المحافظ الاستثمارية الفردية في المملكة، وأن بياناته أكثر شمولًا وانتظامًا في المنصات الوطنية، وأن دراسات سابقة أثبتت أن السكني أكثر فعالية في التحوّط من التجاري في الأسواق الناشئة (Fang et al., 2022). كما تقتصر الدراسة على قياس علاقة التحوّط دون التعمق في نمذجة التنبؤ أو إدارة المحافظ المتعددة الأصول، وهو ما يُشكّل مجالًا بحثيًّا مستقبليًّا مقترحًا.</w:t>
      </w:r>
    </w:p>
    <w:p w14:paraId="20C388C2" w14:textId="77777777" w:rsidR="00885F47" w:rsidRDefault="002B2CA4">
      <w:r>
        <w:br w:type="page"/>
      </w:r>
    </w:p>
    <w:p w14:paraId="08622BB5" w14:textId="77777777" w:rsidR="00885F47" w:rsidRDefault="002B2CA4">
      <w:pPr>
        <w:bidi/>
        <w:spacing w:before="240" w:after="120"/>
        <w:jc w:val="right"/>
      </w:pPr>
      <w:r>
        <w:rPr>
          <w:rFonts w:ascii="Arial" w:hAnsi="Arial" w:cs="Arial"/>
          <w:b/>
          <w:color w:val="1A3A5C"/>
          <w:sz w:val="32"/>
          <w:rtl/>
        </w:rPr>
        <w:t>الحادي عشر: حدود البحث</w:t>
      </w:r>
    </w:p>
    <w:p w14:paraId="39337F31" w14:textId="77777777" w:rsidR="00885F47" w:rsidRDefault="00885F47">
      <w:pPr>
        <w:pBdr>
          <w:bottom w:val="single" w:sz="6" w:space="1" w:color="1A3A5C"/>
        </w:pBdr>
        <w:spacing w:before="80" w:after="80"/>
      </w:pPr>
    </w:p>
    <w:p w14:paraId="07A35CBC" w14:textId="77777777" w:rsidR="00885F47" w:rsidRDefault="002B2CA4">
      <w:pPr>
        <w:bidi/>
        <w:spacing w:before="80" w:after="80" w:line="360" w:lineRule="auto"/>
        <w:jc w:val="right"/>
      </w:pPr>
      <w:r>
        <w:rPr>
          <w:rFonts w:ascii="Arial" w:hAnsi="Arial" w:cs="Arial"/>
          <w:sz w:val="24"/>
          <w:rtl/>
        </w:rPr>
        <w:t>كأي دراسة علمية، تنطوي هذه الدراسة على جملة من الحدود الموضوعية والمنهجية التي يجدر الإقرار بها صراحةً لضمان الدقة في تفسير النتائج وتجنّب التعميم غير المبرّر. وتنقسم هذه الحدود إلى أربعة محاور رئيسية:</w:t>
      </w:r>
    </w:p>
    <w:p w14:paraId="21295B49" w14:textId="77777777" w:rsidR="00885F47" w:rsidRDefault="002B2CA4">
      <w:pPr>
        <w:bidi/>
        <w:spacing w:before="40" w:after="40"/>
        <w:jc w:val="right"/>
      </w:pPr>
      <w:r>
        <w:rPr>
          <w:rFonts w:ascii="Arial" w:hAnsi="Arial" w:cs="Arial"/>
          <w:b/>
          <w:sz w:val="24"/>
          <w:rtl/>
        </w:rPr>
        <w:t>الحدود المكانية:</w:t>
      </w:r>
      <w:r>
        <w:rPr>
          <w:rFonts w:ascii="Arial" w:hAnsi="Arial" w:cs="Arial"/>
          <w:sz w:val="24"/>
          <w:rtl/>
        </w:rPr>
        <w:t xml:space="preserve"> تقتصر الدراسة على ثلاث مدن رئيسية هي الرياض وجدة والدمام، مما يجعل نتائجها دليلًا على السلوك العقاري في المراكز الحضرية الكبرى دون أن تعكس بالضرورة خصائص الأسواق العقارية في المدن الثانوية والمناطق الريفية في المملكة.</w:t>
      </w:r>
    </w:p>
    <w:p w14:paraId="4A9FC1D5" w14:textId="77777777" w:rsidR="00885F47" w:rsidRDefault="002B2CA4">
      <w:pPr>
        <w:bidi/>
        <w:spacing w:before="40" w:after="40"/>
        <w:jc w:val="right"/>
      </w:pPr>
      <w:r>
        <w:rPr>
          <w:rFonts w:ascii="Arial" w:hAnsi="Arial" w:cs="Arial"/>
          <w:b/>
          <w:sz w:val="24"/>
          <w:rtl/>
        </w:rPr>
        <w:t>الحدود الزمنية:</w:t>
      </w:r>
      <w:r>
        <w:rPr>
          <w:rFonts w:ascii="Arial" w:hAnsi="Arial" w:cs="Arial"/>
          <w:sz w:val="24"/>
          <w:rtl/>
        </w:rPr>
        <w:t xml:space="preserve"> تمتد الدراسة من يناير 2020 إلى ديسمبر 2025 فحسب، وبالتالي فإن نتائجها مقيّدة بخصائص هذه المرحلة التاريخية التي اتّسمت بظروف استثنائية (جائحة، تعافٍ، إصلاحات رؤية 2030). ولا يمكن إسقاط هذه النتائج إلى الوراء أو المستقبل دون مراعاة هذه الخصوصية.</w:t>
      </w:r>
    </w:p>
    <w:p w14:paraId="6DDBD8B3" w14:textId="77777777" w:rsidR="00885F47" w:rsidRDefault="002B2CA4">
      <w:pPr>
        <w:bidi/>
        <w:spacing w:before="40" w:after="40"/>
        <w:jc w:val="right"/>
      </w:pPr>
      <w:r>
        <w:rPr>
          <w:rFonts w:ascii="Arial" w:hAnsi="Arial" w:cs="Arial"/>
          <w:b/>
          <w:sz w:val="24"/>
          <w:rtl/>
        </w:rPr>
        <w:t>الحدود الموضوعية:</w:t>
      </w:r>
      <w:r>
        <w:rPr>
          <w:rFonts w:ascii="Arial" w:hAnsi="Arial" w:cs="Arial"/>
          <w:sz w:val="24"/>
          <w:rtl/>
        </w:rPr>
        <w:t xml:space="preserve"> تقتصر الدراسة على العقار السكني دون العقار التجاري أو الصناعي، كما أنها تُركّز على علاقة التحوّط دون مناقشة العوامل الكلية الأخرى كأسعار الفائدة أو سياسات الإسكان بعمق تحليلي مستقل.</w:t>
      </w:r>
    </w:p>
    <w:p w14:paraId="26154071" w14:textId="77777777" w:rsidR="00885F47" w:rsidRDefault="002B2CA4">
      <w:pPr>
        <w:bidi/>
        <w:spacing w:before="40" w:after="40"/>
        <w:jc w:val="right"/>
      </w:pPr>
      <w:r>
        <w:rPr>
          <w:rFonts w:ascii="Arial" w:hAnsi="Arial" w:cs="Arial"/>
          <w:b/>
          <w:sz w:val="24"/>
          <w:rtl/>
        </w:rPr>
        <w:t>الحدود المنهجية:</w:t>
      </w:r>
      <w:r>
        <w:rPr>
          <w:rFonts w:ascii="Arial" w:hAnsi="Arial" w:cs="Arial"/>
          <w:sz w:val="24"/>
          <w:rtl/>
        </w:rPr>
        <w:t xml:space="preserve"> تستند الدراسة إلى البيانات الثانوية الرسمية المنشورة، وقد يعتريها بعض قصور التغطية أو التأخر في التحديث. كما أن استخدام معامل ارتباط بيرسون يستلزم توافر الخطية في العلاقة بين المتغيرات، وقد تكشف التحليلات المتقدمة عن أنماط غير خطية لا تلتقطها هذه الأساليب بالكامل.</w:t>
      </w:r>
    </w:p>
    <w:p w14:paraId="1855FACE" w14:textId="77777777" w:rsidR="00885F47" w:rsidRDefault="002B2CA4">
      <w:r>
        <w:br w:type="page"/>
      </w:r>
    </w:p>
    <w:p w14:paraId="35837CD0" w14:textId="77777777" w:rsidR="00885F47" w:rsidRDefault="002B2CA4">
      <w:pPr>
        <w:bidi/>
        <w:spacing w:before="240" w:after="120"/>
        <w:jc w:val="right"/>
      </w:pPr>
      <w:r>
        <w:rPr>
          <w:rFonts w:ascii="Arial" w:hAnsi="Arial" w:cs="Arial"/>
          <w:b/>
          <w:color w:val="1A3A5C"/>
          <w:sz w:val="32"/>
          <w:rtl/>
        </w:rPr>
        <w:t>الثاني عشر: الخطة الزمنية للبحث</w:t>
      </w:r>
    </w:p>
    <w:p w14:paraId="10581873" w14:textId="77777777" w:rsidR="00885F47" w:rsidRDefault="00885F47">
      <w:pPr>
        <w:pBdr>
          <w:bottom w:val="single" w:sz="6" w:space="1" w:color="1A3A5C"/>
        </w:pBdr>
        <w:spacing w:before="80" w:after="80"/>
      </w:pPr>
    </w:p>
    <w:p w14:paraId="1EAEA1EF" w14:textId="77777777" w:rsidR="00885F47" w:rsidRDefault="002B2CA4">
      <w:pPr>
        <w:bidi/>
        <w:spacing w:before="80" w:after="80" w:line="360" w:lineRule="auto"/>
        <w:jc w:val="right"/>
      </w:pPr>
      <w:r>
        <w:rPr>
          <w:rFonts w:ascii="Arial" w:hAnsi="Arial" w:cs="Arial"/>
          <w:sz w:val="24"/>
          <w:rtl/>
        </w:rPr>
        <w:t>تُوزَّع مراحل تنفيذ البحث على ثمانية أسابيع وفق خطة منظمة تضمن التوافق بين متطلبات البحث العلمي ومعايير الجودة الأكاديمية المعتمدة:</w:t>
      </w:r>
    </w:p>
    <w:p w14:paraId="2C872378" w14:textId="77777777" w:rsidR="00885F47" w:rsidRDefault="002B2CA4">
      <w:pPr>
        <w:bidi/>
        <w:spacing w:before="40" w:after="40"/>
        <w:jc w:val="right"/>
      </w:pPr>
      <w:r>
        <w:rPr>
          <w:rFonts w:ascii="Arial" w:hAnsi="Arial" w:cs="Arial"/>
          <w:b/>
          <w:sz w:val="24"/>
          <w:rtl/>
        </w:rPr>
        <w:t>الأسبوع الأول:</w:t>
      </w:r>
      <w:r>
        <w:rPr>
          <w:rFonts w:ascii="Arial" w:hAnsi="Arial" w:cs="Arial"/>
          <w:sz w:val="24"/>
          <w:rtl/>
        </w:rPr>
        <w:t xml:space="preserve"> مراجعة الأدبيات السابقة وتعميق الإطار النظري وتحديد المصادر والمراجع الحديثة.</w:t>
      </w:r>
    </w:p>
    <w:p w14:paraId="57687DAC" w14:textId="77777777" w:rsidR="00885F47" w:rsidRDefault="002B2CA4">
      <w:pPr>
        <w:bidi/>
        <w:spacing w:before="40" w:after="40"/>
        <w:jc w:val="right"/>
      </w:pPr>
      <w:r>
        <w:rPr>
          <w:rFonts w:ascii="Arial" w:hAnsi="Arial" w:cs="Arial"/>
          <w:b/>
          <w:sz w:val="24"/>
          <w:rtl/>
        </w:rPr>
        <w:t>الأسبوع الثاني:</w:t>
      </w:r>
      <w:r>
        <w:rPr>
          <w:rFonts w:ascii="Arial" w:hAnsi="Arial" w:cs="Arial"/>
          <w:sz w:val="24"/>
          <w:rtl/>
        </w:rPr>
        <w:t xml:space="preserve"> جمع بيانات التضخم الشهرية (CPI) من هيئة الإحصاء العامة لكامل فترة الدراسة وإعداد قاعدة بيانات منظّمة.</w:t>
      </w:r>
    </w:p>
    <w:p w14:paraId="5EAA0979" w14:textId="77777777" w:rsidR="00885F47" w:rsidRDefault="002B2CA4">
      <w:pPr>
        <w:bidi/>
        <w:spacing w:before="40" w:after="40"/>
        <w:jc w:val="right"/>
      </w:pPr>
      <w:r>
        <w:rPr>
          <w:rFonts w:ascii="Arial" w:hAnsi="Arial" w:cs="Arial"/>
          <w:b/>
          <w:sz w:val="24"/>
          <w:rtl/>
        </w:rPr>
        <w:t>الأسبوع الثالث:</w:t>
      </w:r>
      <w:r>
        <w:rPr>
          <w:rFonts w:ascii="Arial" w:hAnsi="Arial" w:cs="Arial"/>
          <w:sz w:val="24"/>
          <w:rtl/>
        </w:rPr>
        <w:t xml:space="preserve"> جمع بيانات منصة إيجار للإيجارات السكنية في الرياض وجدة والدمام وتنظيمها في جداول تحليلية.</w:t>
      </w:r>
    </w:p>
    <w:p w14:paraId="3C3A4691" w14:textId="77777777" w:rsidR="00885F47" w:rsidRDefault="002B2CA4">
      <w:pPr>
        <w:bidi/>
        <w:spacing w:before="40" w:after="40"/>
        <w:jc w:val="right"/>
      </w:pPr>
      <w:r>
        <w:rPr>
          <w:rFonts w:ascii="Arial" w:hAnsi="Arial" w:cs="Arial"/>
          <w:b/>
          <w:sz w:val="24"/>
          <w:rtl/>
        </w:rPr>
        <w:t>الأسبوع الرابع:</w:t>
      </w:r>
      <w:r>
        <w:rPr>
          <w:rFonts w:ascii="Arial" w:hAnsi="Arial" w:cs="Arial"/>
          <w:sz w:val="24"/>
          <w:rtl/>
        </w:rPr>
        <w:t xml:space="preserve"> جمع بيانات البورصة العقارية لأسعار البيع في المدن الثلاث وحساب العوائد الاسمية والحقيقية الشهرية.</w:t>
      </w:r>
    </w:p>
    <w:p w14:paraId="22B1F9D3" w14:textId="77777777" w:rsidR="00885F47" w:rsidRDefault="002B2CA4">
      <w:pPr>
        <w:bidi/>
        <w:spacing w:before="40" w:after="40"/>
        <w:jc w:val="right"/>
      </w:pPr>
      <w:r>
        <w:rPr>
          <w:rFonts w:ascii="Arial" w:hAnsi="Arial" w:cs="Arial"/>
          <w:b/>
          <w:sz w:val="24"/>
          <w:rtl/>
        </w:rPr>
        <w:t>الأسبوع الخامس:</w:t>
      </w:r>
      <w:r>
        <w:rPr>
          <w:rFonts w:ascii="Arial" w:hAnsi="Arial" w:cs="Arial"/>
          <w:sz w:val="24"/>
          <w:rtl/>
        </w:rPr>
        <w:t xml:space="preserve"> تطبيق الأساليب الإحصائية (ارتباط بيرسون، انحدار بسيط، اختبارات المتوسطات) باستخدام برامج SPSS وExcel.</w:t>
      </w:r>
    </w:p>
    <w:p w14:paraId="20C9E2A1" w14:textId="77777777" w:rsidR="00885F47" w:rsidRDefault="002B2CA4">
      <w:pPr>
        <w:bidi/>
        <w:spacing w:before="40" w:after="40"/>
        <w:jc w:val="right"/>
      </w:pPr>
      <w:r>
        <w:rPr>
          <w:rFonts w:ascii="Arial" w:hAnsi="Arial" w:cs="Arial"/>
          <w:b/>
          <w:sz w:val="24"/>
          <w:rtl/>
        </w:rPr>
        <w:t>الأسبوع السادس:</w:t>
      </w:r>
      <w:r>
        <w:rPr>
          <w:rFonts w:ascii="Arial" w:hAnsi="Arial" w:cs="Arial"/>
          <w:sz w:val="24"/>
          <w:rtl/>
        </w:rPr>
        <w:t xml:space="preserve"> تفسير النتائج ومناقشتها في ضوء الأدبيات السابقة وبناء الاستنتاجات المدعومة بالأدلة الكمية.</w:t>
      </w:r>
    </w:p>
    <w:p w14:paraId="7C07FF32" w14:textId="77777777" w:rsidR="00885F47" w:rsidRDefault="002B2CA4">
      <w:pPr>
        <w:bidi/>
        <w:spacing w:before="40" w:after="40"/>
        <w:jc w:val="right"/>
      </w:pPr>
      <w:r>
        <w:rPr>
          <w:rFonts w:ascii="Arial" w:hAnsi="Arial" w:cs="Arial"/>
          <w:b/>
          <w:sz w:val="24"/>
          <w:rtl/>
        </w:rPr>
        <w:t>الأسبوع السابع:</w:t>
      </w:r>
      <w:r>
        <w:rPr>
          <w:rFonts w:ascii="Arial" w:hAnsi="Arial" w:cs="Arial"/>
          <w:sz w:val="24"/>
          <w:rtl/>
        </w:rPr>
        <w:t xml:space="preserve"> صياغة التوصيات الاستثمارية والسياساتية وكتابة مسودة البحث الكاملة وفق تنسيق الجامعة.</w:t>
      </w:r>
    </w:p>
    <w:p w14:paraId="59D610A8" w14:textId="77777777" w:rsidR="00885F47" w:rsidRDefault="002B2CA4">
      <w:pPr>
        <w:bidi/>
        <w:spacing w:before="40" w:after="40"/>
        <w:jc w:val="right"/>
      </w:pPr>
      <w:r>
        <w:rPr>
          <w:rFonts w:ascii="Arial" w:hAnsi="Arial" w:cs="Arial"/>
          <w:b/>
          <w:sz w:val="24"/>
          <w:rtl/>
        </w:rPr>
        <w:t>الأسبوع الثامن:</w:t>
      </w:r>
      <w:r>
        <w:rPr>
          <w:rFonts w:ascii="Arial" w:hAnsi="Arial" w:cs="Arial"/>
          <w:sz w:val="24"/>
          <w:rtl/>
        </w:rPr>
        <w:t xml:space="preserve"> المراجعة النهائية والتحرير وتدقيق الاستشهادات والمراجع وتسليم النسخة الأخيرة للمشرف.</w:t>
      </w:r>
    </w:p>
    <w:p w14:paraId="0449E1AA" w14:textId="77777777" w:rsidR="00885F47" w:rsidRDefault="002B2CA4">
      <w:r>
        <w:br w:type="page"/>
      </w:r>
    </w:p>
    <w:p w14:paraId="2162E810" w14:textId="77777777" w:rsidR="00885F47" w:rsidRDefault="002B2CA4">
      <w:pPr>
        <w:bidi/>
        <w:spacing w:before="240" w:after="120"/>
        <w:jc w:val="right"/>
      </w:pPr>
      <w:r>
        <w:rPr>
          <w:rFonts w:ascii="Arial" w:hAnsi="Arial" w:cs="Arial"/>
          <w:b/>
          <w:color w:val="1A3A5C"/>
          <w:sz w:val="32"/>
          <w:rtl/>
        </w:rPr>
        <w:t>الثالث عشر: المراجع والمصادر</w:t>
      </w:r>
    </w:p>
    <w:p w14:paraId="6A6D7538" w14:textId="77777777" w:rsidR="00885F47" w:rsidRDefault="00885F47">
      <w:pPr>
        <w:pBdr>
          <w:bottom w:val="single" w:sz="6" w:space="1" w:color="1A3A5C"/>
        </w:pBdr>
        <w:spacing w:before="80" w:after="80"/>
      </w:pPr>
    </w:p>
    <w:p w14:paraId="0436C328" w14:textId="77777777" w:rsidR="00885F47" w:rsidRDefault="002B2CA4">
      <w:pPr>
        <w:bidi/>
        <w:spacing w:before="160" w:after="80"/>
        <w:jc w:val="right"/>
      </w:pPr>
      <w:r>
        <w:rPr>
          <w:rFonts w:ascii="Arial" w:hAnsi="Arial" w:cs="Arial"/>
          <w:b/>
          <w:color w:val="2C5F8A"/>
          <w:sz w:val="28"/>
          <w:rtl/>
        </w:rPr>
        <w:t>أولاً: المراجع الأجنبية (مرتبة هجائيًّا حسب اسم العائلة)</w:t>
      </w:r>
    </w:p>
    <w:p w14:paraId="43E998E4" w14:textId="77777777" w:rsidR="00885F47" w:rsidRDefault="002B2CA4">
      <w:pPr>
        <w:spacing w:before="60" w:after="60"/>
      </w:pPr>
      <w:r>
        <w:rPr>
          <w:rFonts w:ascii="Arial" w:hAnsi="Arial"/>
        </w:rPr>
        <w:t>Alkhareif, R., &amp; Alsubaie, A. (2019). Inflation dynamics and real estate returns in GCC markets. Saudi Central Bank (SAMA) Working Paper, WP/19/3.</w:t>
      </w:r>
    </w:p>
    <w:p w14:paraId="739B47FA" w14:textId="77777777" w:rsidR="00885F47" w:rsidRDefault="002B2CA4">
      <w:pPr>
        <w:spacing w:before="60" w:after="60"/>
      </w:pPr>
      <w:r>
        <w:rPr>
          <w:rFonts w:ascii="Arial" w:hAnsi="Arial"/>
        </w:rPr>
        <w:t>Al-Mogrin, A. (2022). Real estate market dynamics in Saudi Arabia: Post-COVID analysis. Arabian Journal of Business and Management Review, 12(1), 44–61.</w:t>
      </w:r>
    </w:p>
    <w:p w14:paraId="27254A44" w14:textId="77777777" w:rsidR="00885F47" w:rsidRDefault="002B2CA4">
      <w:pPr>
        <w:spacing w:before="60" w:after="60"/>
      </w:pPr>
      <w:r>
        <w:rPr>
          <w:rFonts w:ascii="Arial" w:hAnsi="Arial"/>
        </w:rPr>
        <w:t>Baum, A., &amp; Hartzell, D. (2012). Global property investment: Strategies, structures, decisions. Wiley-Blackwell.</w:t>
      </w:r>
    </w:p>
    <w:p w14:paraId="5C9EE3B3" w14:textId="77777777" w:rsidR="00885F47" w:rsidRDefault="002B2CA4">
      <w:pPr>
        <w:spacing w:before="60" w:after="60"/>
      </w:pPr>
      <w:r>
        <w:rPr>
          <w:rFonts w:ascii="Arial" w:hAnsi="Arial"/>
        </w:rPr>
        <w:t>Brounen, D., &amp; Eichholtz, P. (2023). Global real estate returns and inflation protection. Journal of Portfolio Management, 49(4), 112–128.</w:t>
      </w:r>
    </w:p>
    <w:p w14:paraId="5692316D" w14:textId="77777777" w:rsidR="00885F47" w:rsidRDefault="002B2CA4">
      <w:pPr>
        <w:spacing w:before="60" w:after="60"/>
      </w:pPr>
      <w:r>
        <w:rPr>
          <w:rFonts w:ascii="Arial" w:hAnsi="Arial"/>
        </w:rPr>
        <w:t>Demary, M., &amp; Voigtländer, M. (2021). The dynamic nature of house price and inflation: Evidence from 15 countries. International Real Estate Review, 24(3), 78–102.</w:t>
      </w:r>
    </w:p>
    <w:p w14:paraId="417F15EA" w14:textId="77777777" w:rsidR="00885F47" w:rsidRDefault="002B2CA4">
      <w:pPr>
        <w:spacing w:before="60" w:after="60"/>
      </w:pPr>
      <w:r>
        <w:rPr>
          <w:rFonts w:ascii="Arial" w:hAnsi="Arial"/>
        </w:rPr>
        <w:t>Fama, E. F., &amp; Schwert, G. W. (1977). Asset returns and inflation. Journal of Financial Economics, 5(2), 115–146.</w:t>
      </w:r>
    </w:p>
    <w:p w14:paraId="43787A63" w14:textId="77777777" w:rsidR="00885F47" w:rsidRDefault="002B2CA4">
      <w:pPr>
        <w:spacing w:before="60" w:after="60"/>
      </w:pPr>
      <w:r>
        <w:rPr>
          <w:rFonts w:ascii="Arial" w:hAnsi="Arial"/>
        </w:rPr>
        <w:t>Fang, L., Wang, M., &amp; Lin, E. (2022). Real estate as an inflation hedge: Evidence from global markets. Journal of Real Estate Literature, 30(1), 45–67.</w:t>
      </w:r>
    </w:p>
    <w:p w14:paraId="7FFC13A2" w14:textId="77777777" w:rsidR="00885F47" w:rsidRDefault="002B2CA4">
      <w:pPr>
        <w:spacing w:before="60" w:after="60"/>
      </w:pPr>
      <w:r>
        <w:rPr>
          <w:rFonts w:ascii="Arial" w:hAnsi="Arial"/>
        </w:rPr>
        <w:t>Fisher, I. (1930). The theory of interest. Macmillan.</w:t>
      </w:r>
    </w:p>
    <w:p w14:paraId="048A2EBB" w14:textId="77777777" w:rsidR="00885F47" w:rsidRDefault="002B2CA4">
      <w:pPr>
        <w:spacing w:before="60" w:after="60"/>
      </w:pPr>
      <w:r>
        <w:rPr>
          <w:rFonts w:ascii="Arial" w:hAnsi="Arial"/>
        </w:rPr>
        <w:t>General Authority for Statistics – Saudi Arabia (GASTAT). (2020–2024). Monthly consumer price index (CPI) bulletins. Riyadh: GASTAT. Retrieved from https://www.stats.gov.sa</w:t>
      </w:r>
    </w:p>
    <w:p w14:paraId="442F7F98" w14:textId="77777777" w:rsidR="00885F47" w:rsidRDefault="002B2CA4">
      <w:pPr>
        <w:spacing w:before="60" w:after="60"/>
      </w:pPr>
      <w:r>
        <w:rPr>
          <w:rFonts w:ascii="Arial" w:hAnsi="Arial"/>
        </w:rPr>
        <w:t>Hoesli, M., &amp; Oikarinen, E. (2012). Are real estate assets a hedge against inflation? An international perspective. Journal of Real Estate Finance and Economics, 45(2), 461–486.</w:t>
      </w:r>
    </w:p>
    <w:p w14:paraId="6D3EC4E1" w14:textId="77777777" w:rsidR="00885F47" w:rsidRDefault="002B2CA4">
      <w:pPr>
        <w:spacing w:before="60" w:after="60"/>
      </w:pPr>
      <w:r>
        <w:rPr>
          <w:rFonts w:ascii="Arial" w:hAnsi="Arial"/>
        </w:rPr>
        <w:t>International Monetary Fund (IMF). (2023). World economic outlook: Navigating global divergences. Washington, D.C.: IMF.</w:t>
      </w:r>
    </w:p>
    <w:p w14:paraId="1C13E3B3" w14:textId="77777777" w:rsidR="00885F47" w:rsidRDefault="002B2CA4">
      <w:pPr>
        <w:spacing w:before="60" w:after="60"/>
      </w:pPr>
      <w:r>
        <w:rPr>
          <w:rFonts w:ascii="Arial" w:hAnsi="Arial"/>
        </w:rPr>
        <w:t>Marmore MENA Intelligence. (2023). UAE real estate: Evaluating inflation hedging potential. Marmore Market Research Report. Dubai.</w:t>
      </w:r>
    </w:p>
    <w:p w14:paraId="42131C86" w14:textId="77777777" w:rsidR="00885F47" w:rsidRDefault="002B2CA4">
      <w:pPr>
        <w:spacing w:before="60" w:after="60"/>
      </w:pPr>
      <w:r>
        <w:rPr>
          <w:rFonts w:ascii="Arial" w:hAnsi="Arial"/>
        </w:rPr>
        <w:t>Mishkin, F. S. (2019). The economics of money, banking, and financial markets (12th ed.). Pearson.</w:t>
      </w:r>
    </w:p>
    <w:p w14:paraId="723A19FE" w14:textId="77777777" w:rsidR="00885F47" w:rsidRDefault="002B2CA4">
      <w:pPr>
        <w:spacing w:before="60" w:after="60"/>
      </w:pPr>
      <w:r>
        <w:rPr>
          <w:rFonts w:ascii="Arial" w:hAnsi="Arial"/>
        </w:rPr>
        <w:t>MSCI Real Assets. (2022). Global real estate investment: Market classification and performance data. MSCI Inc.</w:t>
      </w:r>
    </w:p>
    <w:p w14:paraId="3A0412E5" w14:textId="77777777" w:rsidR="00885F47" w:rsidRDefault="002B2CA4">
      <w:pPr>
        <w:spacing w:before="60" w:after="60"/>
      </w:pPr>
      <w:r>
        <w:rPr>
          <w:rFonts w:ascii="Arial" w:hAnsi="Arial"/>
        </w:rPr>
        <w:t>Saudi Central Bank (SAMA). (2020–2024). Annual financial stability reports. Riyadh: SAMA. Retrieved from https://www.sama.gov.sa</w:t>
      </w:r>
    </w:p>
    <w:p w14:paraId="4955AB24" w14:textId="77777777" w:rsidR="00885F47" w:rsidRDefault="002B2CA4">
      <w:pPr>
        <w:bidi/>
        <w:spacing w:before="160" w:after="80"/>
        <w:jc w:val="right"/>
      </w:pPr>
      <w:r>
        <w:rPr>
          <w:rFonts w:ascii="Arial" w:hAnsi="Arial" w:cs="Arial"/>
          <w:b/>
          <w:color w:val="2C5F8A"/>
          <w:sz w:val="28"/>
          <w:rtl/>
        </w:rPr>
        <w:t>ثانياً: المراجع العربية</w:t>
      </w:r>
    </w:p>
    <w:p w14:paraId="769356A5" w14:textId="77777777" w:rsidR="00885F47" w:rsidRDefault="002B2CA4">
      <w:pPr>
        <w:bidi/>
        <w:spacing w:before="60" w:after="60"/>
        <w:jc w:val="right"/>
      </w:pPr>
      <w:r>
        <w:rPr>
          <w:rFonts w:ascii="Arial" w:hAnsi="Arial" w:cs="Arial"/>
          <w:rtl/>
        </w:rPr>
        <w:t>الجريسي، خ. (2020). أسواق العقار في الاقتصادات الخليجية: الواقع والتحديات. الرياض: مركز الدراسات الاقتصادية.</w:t>
      </w:r>
    </w:p>
    <w:p w14:paraId="0D6FFE97" w14:textId="77777777" w:rsidR="00885F47" w:rsidRDefault="002B2CA4">
      <w:pPr>
        <w:bidi/>
        <w:spacing w:before="60" w:after="60"/>
        <w:jc w:val="right"/>
      </w:pPr>
      <w:r>
        <w:rPr>
          <w:rFonts w:ascii="Arial" w:hAnsi="Arial" w:cs="Arial"/>
          <w:rtl/>
        </w:rPr>
        <w:t>الخبير الاستشاري للعقارات. (2024). تقرير السوق العقاري السعودي 2023-2024. الرياض: شركة الخبير الاستشاري.</w:t>
      </w:r>
    </w:p>
    <w:p w14:paraId="1C86AA12" w14:textId="77777777" w:rsidR="00885F47" w:rsidRDefault="002B2CA4">
      <w:pPr>
        <w:bidi/>
        <w:spacing w:before="60" w:after="60"/>
        <w:jc w:val="right"/>
      </w:pPr>
      <w:r>
        <w:rPr>
          <w:rFonts w:ascii="Arial" w:hAnsi="Arial" w:cs="Arial"/>
          <w:rtl/>
        </w:rPr>
        <w:t>البنك المركزي السعودي (ساما). (2020-2024). التقارير السنوية للاستقرار المالي. الرياض: ساما. متاح على: https://www.sama.gov.sa</w:t>
      </w:r>
    </w:p>
    <w:p w14:paraId="75372564" w14:textId="77777777" w:rsidR="00885F47" w:rsidRDefault="002B2CA4">
      <w:pPr>
        <w:bidi/>
        <w:spacing w:before="60" w:after="60"/>
        <w:jc w:val="right"/>
      </w:pPr>
      <w:r>
        <w:rPr>
          <w:rFonts w:ascii="Arial" w:hAnsi="Arial" w:cs="Arial"/>
          <w:rtl/>
        </w:rPr>
        <w:t>الهيئة العامة للإحصاء – المملكة العربية السعودية. (2020-2024). النشرات الشهرية للرقم القياسي لأسعار المستهلك (CPI). الرياض: هيئة الإحصاء. متاح على: https://www.stats.gov.sa</w:t>
      </w:r>
    </w:p>
    <w:p w14:paraId="5FA257A6" w14:textId="77777777" w:rsidR="00885F47" w:rsidRDefault="002B2CA4">
      <w:pPr>
        <w:bidi/>
        <w:spacing w:before="60" w:after="60"/>
        <w:jc w:val="right"/>
      </w:pPr>
      <w:r>
        <w:rPr>
          <w:rFonts w:ascii="Arial" w:hAnsi="Arial" w:cs="Arial"/>
          <w:rtl/>
        </w:rPr>
        <w:t>وزارة الشؤون البلدية والقروية والإسكان. (2020-2024). تقارير منصة إيجار وإحصاءات الاستثمار العقاري. الرياض: الوزارة. متاح على: https://www.momah.gov.sa</w:t>
      </w:r>
    </w:p>
    <w:p w14:paraId="720971EA" w14:textId="77777777" w:rsidR="00885F47" w:rsidRDefault="002B2CA4">
      <w:pPr>
        <w:bidi/>
        <w:spacing w:before="60" w:after="60"/>
        <w:jc w:val="right"/>
      </w:pPr>
      <w:r>
        <w:rPr>
          <w:rFonts w:ascii="Arial" w:hAnsi="Arial" w:cs="Arial"/>
          <w:rtl/>
        </w:rPr>
        <w:t>شركة البورصة العقارية السعودية. (2020-2024). مؤشرات أسعار العقار الشهرية. الرياض: البورصة العقارية. متاح على: https://www.re.gov.sa</w:t>
      </w:r>
    </w:p>
    <w:p w14:paraId="6F640C73" w14:textId="77777777" w:rsidR="00885F47" w:rsidRDefault="002B2CA4">
      <w:pPr>
        <w:bidi/>
        <w:spacing w:before="60" w:after="60"/>
        <w:jc w:val="right"/>
      </w:pPr>
      <w:r>
        <w:rPr>
          <w:rFonts w:ascii="Arial" w:hAnsi="Arial" w:cs="Arial"/>
          <w:rtl/>
        </w:rPr>
        <w:t>وكالة الأنباء السعودية (واس). (2024). التقرير الاقتصادي السنوي للمملكة العربية السعودية 2023. الرياض: واس.</w:t>
      </w:r>
    </w:p>
    <w:sectPr w:rsidR="00885F47" w:rsidSect="00034616">
      <w:headerReference w:type="default" r:id="rId8"/>
      <w:pgSz w:w="12240" w:h="15840"/>
      <w:pgMar w:top="1417" w:right="1417"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D5555" w14:textId="77777777" w:rsidR="002B2CA4" w:rsidRDefault="002B2CA4">
      <w:pPr>
        <w:spacing w:after="0" w:line="240" w:lineRule="auto"/>
      </w:pPr>
      <w:r>
        <w:separator/>
      </w:r>
    </w:p>
  </w:endnote>
  <w:endnote w:type="continuationSeparator" w:id="0">
    <w:p w14:paraId="126B4574" w14:textId="77777777" w:rsidR="002B2CA4" w:rsidRDefault="002B2C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AA28C" w14:textId="77777777" w:rsidR="002B2CA4" w:rsidRDefault="002B2CA4">
      <w:pPr>
        <w:spacing w:after="0" w:line="240" w:lineRule="auto"/>
      </w:pPr>
      <w:r>
        <w:separator/>
      </w:r>
    </w:p>
  </w:footnote>
  <w:footnote w:type="continuationSeparator" w:id="0">
    <w:p w14:paraId="2CD65E44" w14:textId="77777777" w:rsidR="002B2CA4" w:rsidRDefault="002B2C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2FD3D" w14:textId="77777777" w:rsidR="00885F47" w:rsidRDefault="002B2CA4">
    <w:pPr>
      <w:pStyle w:val="a5"/>
      <w:bidi/>
      <w:jc w:val="right"/>
    </w:pPr>
    <w:r>
      <w:rPr>
        <w:rFonts w:ascii="Arial" w:hAnsi="Arial" w:cs="Arial"/>
        <w:color w:val="555555"/>
        <w:sz w:val="20"/>
        <w:rtl/>
      </w:rPr>
      <w:t>حمد عبدالعزيز السليمان | العقار كأداة للتحوط ضد التضخم في المملكة العربية السعودية</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1296109335">
    <w:abstractNumId w:val="8"/>
  </w:num>
  <w:num w:numId="2" w16cid:durableId="1593851582">
    <w:abstractNumId w:val="6"/>
  </w:num>
  <w:num w:numId="3" w16cid:durableId="258103607">
    <w:abstractNumId w:val="5"/>
  </w:num>
  <w:num w:numId="4" w16cid:durableId="2017994574">
    <w:abstractNumId w:val="4"/>
  </w:num>
  <w:num w:numId="5" w16cid:durableId="989603159">
    <w:abstractNumId w:val="7"/>
  </w:num>
  <w:num w:numId="6" w16cid:durableId="1186601385">
    <w:abstractNumId w:val="3"/>
  </w:num>
  <w:num w:numId="7" w16cid:durableId="2063943970">
    <w:abstractNumId w:val="2"/>
  </w:num>
  <w:num w:numId="8" w16cid:durableId="1285500924">
    <w:abstractNumId w:val="1"/>
  </w:num>
  <w:num w:numId="9" w16cid:durableId="16052648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92269"/>
    <w:rsid w:val="0029639D"/>
    <w:rsid w:val="002B2CA4"/>
    <w:rsid w:val="00326F90"/>
    <w:rsid w:val="00885F47"/>
    <w:rsid w:val="00AA1D8D"/>
    <w:rsid w:val="00B22225"/>
    <w:rsid w:val="00B47730"/>
    <w:rsid w:val="00BF7BE0"/>
    <w:rsid w:val="00CB0664"/>
    <w:rsid w:val="00F3579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1AAAFA"/>
  <w14:defaultImageDpi w14:val="300"/>
  <w15:docId w15:val="{DB21A799-6E32-2646-9C58-E9C5C9508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5150</Words>
  <Characters>29360</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34442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حمد عبدالعزيز السليمان-32623</cp:lastModifiedBy>
  <cp:revision>2</cp:revision>
  <dcterms:created xsi:type="dcterms:W3CDTF">2026-06-12T10:15:00Z</dcterms:created>
  <dcterms:modified xsi:type="dcterms:W3CDTF">2026-06-12T10:15:00Z</dcterms:modified>
  <cp:category/>
</cp:coreProperties>
</file>