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1780" w14:textId="77777777" w:rsidR="00986803" w:rsidRPr="00AE1FD7" w:rsidRDefault="00DB29B7" w:rsidP="00697C88">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b/>
          <w:color w:val="17365D"/>
          <w:sz w:val="36"/>
          <w:szCs w:val="36"/>
          <w:rtl/>
          <w:lang w:val="ar-SA"/>
        </w:rPr>
        <w:t>بسم الله الرحمن الرحيم</w:t>
      </w:r>
    </w:p>
    <w:p w14:paraId="58506643" w14:textId="77777777" w:rsidR="00986803" w:rsidRPr="00AE1FD7" w:rsidRDefault="00697C88" w:rsidP="00697C88">
      <w:pPr>
        <w:bidi/>
        <w:spacing w:after="0" w:line="240" w:lineRule="auto"/>
        <w:ind w:firstLine="0"/>
        <w:rPr>
          <w:rFonts w:ascii="Sakkal Majalla" w:hAnsi="Sakkal Majalla" w:cs="Sakkal Majalla"/>
          <w:sz w:val="36"/>
          <w:szCs w:val="36"/>
        </w:rPr>
      </w:pPr>
      <w:r>
        <w:rPr>
          <w:rFonts w:ascii="Sakkal Majalla" w:eastAsia="Noto Kufi Arabic" w:hAnsi="Sakkal Majalla" w:cs="Sakkal Majalla" w:hint="cs"/>
          <w:b/>
          <w:color w:val="17365D"/>
          <w:sz w:val="36"/>
          <w:szCs w:val="36"/>
          <w:rtl/>
          <w:lang w:val="ar-SA"/>
        </w:rPr>
        <w:t xml:space="preserve">        </w:t>
      </w:r>
      <w:r w:rsidR="00DB29B7" w:rsidRPr="00AE1FD7">
        <w:rPr>
          <w:rFonts w:ascii="Sakkal Majalla" w:eastAsia="Noto Kufi Arabic" w:hAnsi="Sakkal Majalla" w:cs="Sakkal Majalla"/>
          <w:b/>
          <w:color w:val="17365D"/>
          <w:sz w:val="36"/>
          <w:szCs w:val="36"/>
          <w:rtl/>
          <w:lang w:val="ar-SA"/>
        </w:rPr>
        <w:t>المملكة العربية السعودية</w:t>
      </w:r>
    </w:p>
    <w:p w14:paraId="1F6FED3C" w14:textId="77777777" w:rsidR="00986803" w:rsidRPr="00AE1FD7" w:rsidRDefault="00697C88" w:rsidP="00697C88">
      <w:pPr>
        <w:bidi/>
        <w:spacing w:after="0" w:line="240" w:lineRule="auto"/>
        <w:ind w:firstLine="0"/>
        <w:rPr>
          <w:rFonts w:ascii="Sakkal Majalla" w:hAnsi="Sakkal Majalla" w:cs="Sakkal Majalla"/>
          <w:sz w:val="36"/>
          <w:szCs w:val="36"/>
        </w:rPr>
      </w:pPr>
      <w:r>
        <w:rPr>
          <w:rFonts w:ascii="Sakkal Majalla" w:eastAsia="Noto Kufi Arabic" w:hAnsi="Sakkal Majalla" w:cs="Sakkal Majalla" w:hint="cs"/>
          <w:b/>
          <w:color w:val="17365D"/>
          <w:sz w:val="36"/>
          <w:szCs w:val="36"/>
          <w:rtl/>
        </w:rPr>
        <w:t xml:space="preserve">                  </w:t>
      </w:r>
      <w:r w:rsidR="00DB29B7" w:rsidRPr="00AE1FD7">
        <w:rPr>
          <w:rFonts w:ascii="Sakkal Majalla" w:eastAsia="Noto Kufi Arabic" w:hAnsi="Sakkal Majalla" w:cs="Sakkal Majalla"/>
          <w:b/>
          <w:color w:val="17365D"/>
          <w:sz w:val="36"/>
          <w:szCs w:val="36"/>
          <w:rtl/>
          <w:lang w:val="ar-SA"/>
        </w:rPr>
        <w:t>وزارة التعليم</w:t>
      </w:r>
    </w:p>
    <w:p w14:paraId="23ECE8EC" w14:textId="0DFECE58"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3F4650"/>
          <w:sz w:val="36"/>
          <w:szCs w:val="36"/>
          <w:rtl/>
          <w:lang w:val="ar-SA"/>
        </w:rPr>
        <w:t xml:space="preserve">جامعة: </w:t>
      </w:r>
      <w:proofErr w:type="spellStart"/>
      <w:r w:rsidR="00981704">
        <w:rPr>
          <w:rFonts w:ascii="Sakkal Majalla" w:hAnsi="Sakkal Majalla" w:cs="Sakkal Majalla" w:hint="cs"/>
          <w:color w:val="3F4650"/>
          <w:sz w:val="36"/>
          <w:szCs w:val="36"/>
          <w:rtl/>
          <w:lang w:val="ar-SA"/>
        </w:rPr>
        <w:t>ميدأوشن</w:t>
      </w:r>
      <w:proofErr w:type="spellEnd"/>
    </w:p>
    <w:p w14:paraId="52B05C35" w14:textId="3980FF5D" w:rsidR="00986803" w:rsidRDefault="00DB29B7" w:rsidP="00697C88">
      <w:pPr>
        <w:bidi/>
        <w:spacing w:after="0" w:line="240" w:lineRule="auto"/>
        <w:ind w:firstLine="0"/>
        <w:rPr>
          <w:rFonts w:ascii="Sakkal Majalla" w:hAnsi="Sakkal Majalla" w:cs="Sakkal Majalla"/>
          <w:color w:val="3F4650"/>
          <w:sz w:val="36"/>
          <w:szCs w:val="36"/>
          <w:rtl/>
          <w:lang w:val="ar-SA"/>
        </w:rPr>
      </w:pPr>
      <w:r w:rsidRPr="00AE1FD7">
        <w:rPr>
          <w:rFonts w:ascii="Sakkal Majalla" w:hAnsi="Sakkal Majalla" w:cs="Sakkal Majalla"/>
          <w:color w:val="3F4650"/>
          <w:sz w:val="36"/>
          <w:szCs w:val="36"/>
          <w:rtl/>
          <w:lang w:val="ar-SA"/>
        </w:rPr>
        <w:t xml:space="preserve">كلية: </w:t>
      </w:r>
      <w:r w:rsidR="00981704">
        <w:rPr>
          <w:rFonts w:ascii="Sakkal Majalla" w:hAnsi="Sakkal Majalla" w:cs="Sakkal Majalla" w:hint="cs"/>
          <w:color w:val="3F4650"/>
          <w:sz w:val="36"/>
          <w:szCs w:val="36"/>
          <w:rtl/>
          <w:lang w:val="ar-SA"/>
        </w:rPr>
        <w:t>الإدارة</w:t>
      </w:r>
    </w:p>
    <w:p w14:paraId="52CE391D" w14:textId="77777777" w:rsidR="00DB29B7" w:rsidRDefault="00DB29B7" w:rsidP="00697C88">
      <w:pPr>
        <w:bidi/>
        <w:spacing w:after="0" w:line="240" w:lineRule="auto"/>
        <w:ind w:firstLine="0"/>
        <w:rPr>
          <w:rFonts w:ascii="Sakkal Majalla" w:hAnsi="Sakkal Majalla" w:cs="Sakkal Majalla"/>
          <w:sz w:val="36"/>
          <w:szCs w:val="36"/>
          <w:rtl/>
        </w:rPr>
      </w:pPr>
    </w:p>
    <w:p w14:paraId="4C7201E6" w14:textId="77777777" w:rsidR="00697C88" w:rsidRDefault="00697C88" w:rsidP="00697C88">
      <w:pPr>
        <w:bidi/>
        <w:spacing w:after="0" w:line="240" w:lineRule="auto"/>
        <w:ind w:firstLine="0"/>
        <w:rPr>
          <w:rFonts w:ascii="Sakkal Majalla" w:hAnsi="Sakkal Majalla" w:cs="Sakkal Majalla"/>
          <w:sz w:val="36"/>
          <w:szCs w:val="36"/>
          <w:rtl/>
        </w:rPr>
      </w:pPr>
    </w:p>
    <w:p w14:paraId="4CBFB1C4" w14:textId="77777777" w:rsidR="00986803" w:rsidRPr="00AE1FD7" w:rsidRDefault="00DB29B7" w:rsidP="00697C88">
      <w:pPr>
        <w:bidi/>
        <w:spacing w:after="0" w:line="240" w:lineRule="auto"/>
        <w:jc w:val="center"/>
        <w:rPr>
          <w:rFonts w:ascii="Sakkal Majalla" w:hAnsi="Sakkal Majalla" w:cs="Sakkal Majalla"/>
          <w:sz w:val="36"/>
          <w:szCs w:val="36"/>
        </w:rPr>
      </w:pPr>
      <w:r>
        <w:rPr>
          <w:rFonts w:ascii="Sakkal Majalla" w:hAnsi="Sakkal Majalla" w:cs="Sakkal Majalla" w:hint="cs"/>
          <w:sz w:val="36"/>
          <w:szCs w:val="36"/>
          <w:rtl/>
        </w:rPr>
        <w:t xml:space="preserve">دراسة بحثية </w:t>
      </w:r>
      <w:proofErr w:type="gramStart"/>
      <w:r>
        <w:rPr>
          <w:rFonts w:ascii="Sakkal Majalla" w:hAnsi="Sakkal Majalla" w:cs="Sakkal Majalla" w:hint="cs"/>
          <w:sz w:val="36"/>
          <w:szCs w:val="36"/>
          <w:rtl/>
        </w:rPr>
        <w:t>بعنوان :</w:t>
      </w:r>
      <w:proofErr w:type="gramEnd"/>
    </w:p>
    <w:p w14:paraId="7113848A" w14:textId="77777777" w:rsidR="00986803" w:rsidRPr="00DB29B7" w:rsidRDefault="00DB29B7" w:rsidP="00697C88">
      <w:pPr>
        <w:pBdr>
          <w:bottom w:val="single" w:sz="16" w:space="8" w:color="C69C3A"/>
        </w:pBdr>
        <w:bidi/>
        <w:spacing w:after="0" w:line="240" w:lineRule="auto"/>
        <w:ind w:firstLine="0"/>
        <w:jc w:val="center"/>
        <w:rPr>
          <w:rFonts w:ascii="Sakkal Majalla" w:hAnsi="Sakkal Majalla" w:cs="Sakkal Majalla"/>
          <w:bCs/>
          <w:sz w:val="42"/>
          <w:szCs w:val="42"/>
        </w:rPr>
      </w:pPr>
      <w:r w:rsidRPr="00DB29B7">
        <w:rPr>
          <w:rFonts w:ascii="Sakkal Majalla" w:eastAsia="Noto Kufi Arabic" w:hAnsi="Sakkal Majalla" w:cs="Sakkal Majalla"/>
          <w:bCs/>
          <w:color w:val="17365D"/>
          <w:sz w:val="42"/>
          <w:szCs w:val="42"/>
          <w:rtl/>
          <w:lang w:val="ar-SA"/>
        </w:rPr>
        <w:t>أثر حوكمة إدارة الممتلكات العامة في تعزيز كفاءة الإنفاق الحكومي العقاري في المملكة العربية السعودية</w:t>
      </w:r>
    </w:p>
    <w:p w14:paraId="14D0A842" w14:textId="77777777" w:rsidR="00986803" w:rsidRDefault="00DB29B7" w:rsidP="00697C88">
      <w:pPr>
        <w:pBdr>
          <w:bottom w:val="single" w:sz="4" w:space="1" w:color="auto"/>
        </w:pBdr>
        <w:bidi/>
        <w:spacing w:after="0" w:line="240" w:lineRule="auto"/>
        <w:ind w:firstLine="0"/>
        <w:jc w:val="center"/>
        <w:rPr>
          <w:rFonts w:ascii="Sakkal Majalla" w:hAnsi="Sakkal Majalla" w:cs="Sakkal Majalla"/>
          <w:b/>
          <w:color w:val="3F4650"/>
          <w:sz w:val="36"/>
          <w:szCs w:val="36"/>
          <w:rtl/>
          <w:lang w:val="ar-SA"/>
        </w:rPr>
      </w:pPr>
      <w:r w:rsidRPr="00AE1FD7">
        <w:rPr>
          <w:rFonts w:ascii="Sakkal Majalla" w:hAnsi="Sakkal Majalla" w:cs="Sakkal Majalla"/>
          <w:b/>
          <w:color w:val="3F4650"/>
          <w:sz w:val="36"/>
          <w:szCs w:val="36"/>
          <w:rtl/>
          <w:lang w:val="ar-SA"/>
        </w:rPr>
        <w:t>رسالة مقدمة استكمالاً لمتطلبات الحصول على درجة الماجستير</w:t>
      </w:r>
    </w:p>
    <w:p w14:paraId="23D3A4D9" w14:textId="77777777" w:rsidR="00DB29B7" w:rsidRDefault="00DB29B7" w:rsidP="00697C88">
      <w:pPr>
        <w:bidi/>
        <w:spacing w:after="0" w:line="240" w:lineRule="auto"/>
        <w:ind w:firstLine="0"/>
        <w:rPr>
          <w:rFonts w:ascii="Sakkal Majalla" w:hAnsi="Sakkal Majalla" w:cs="Sakkal Majalla"/>
          <w:b/>
          <w:color w:val="3F4650"/>
          <w:sz w:val="36"/>
          <w:szCs w:val="36"/>
          <w:rtl/>
          <w:lang w:val="ar-SA"/>
        </w:rPr>
      </w:pPr>
    </w:p>
    <w:p w14:paraId="0967ED81" w14:textId="77777777" w:rsidR="00DB29B7" w:rsidRPr="00AE1FD7" w:rsidRDefault="00DB29B7" w:rsidP="00697C88">
      <w:pPr>
        <w:bidi/>
        <w:spacing w:after="0" w:line="240" w:lineRule="auto"/>
        <w:ind w:firstLine="0"/>
        <w:rPr>
          <w:rFonts w:ascii="Sakkal Majalla" w:hAnsi="Sakkal Majalla" w:cs="Sakkal Majalla"/>
          <w:sz w:val="36"/>
          <w:szCs w:val="36"/>
        </w:rPr>
      </w:pPr>
    </w:p>
    <w:tbl>
      <w:tblPr>
        <w:bidiVisual/>
        <w:tblW w:w="0" w:type="auto"/>
        <w:jc w:val="center"/>
        <w:tblLayout w:type="fixed"/>
        <w:tblLook w:val="04A0" w:firstRow="1" w:lastRow="0" w:firstColumn="1" w:lastColumn="0" w:noHBand="0" w:noVBand="1"/>
      </w:tblPr>
      <w:tblGrid>
        <w:gridCol w:w="2835"/>
        <w:gridCol w:w="5669"/>
      </w:tblGrid>
      <w:tr w:rsidR="00986803" w:rsidRPr="00AE1FD7" w14:paraId="6AFDBAF7" w14:textId="77777777">
        <w:trPr>
          <w:jc w:val="center"/>
        </w:trPr>
        <w:tc>
          <w:tcPr>
            <w:tcW w:w="2835" w:type="dxa"/>
            <w:tcBorders>
              <w:top w:val="single" w:sz="8" w:space="0" w:color="D9DEE3"/>
              <w:left w:val="single" w:sz="8" w:space="0" w:color="D9DEE3"/>
              <w:bottom w:val="single" w:sz="8" w:space="0" w:color="D9DEE3"/>
              <w:right w:val="single" w:sz="8" w:space="0" w:color="D9DEE3"/>
            </w:tcBorders>
            <w:shd w:val="clear" w:color="auto" w:fill="D9EAF7"/>
            <w:tcMar>
              <w:top w:w="100" w:type="dxa"/>
              <w:left w:w="130" w:type="dxa"/>
              <w:bottom w:w="100" w:type="dxa"/>
              <w:right w:w="130" w:type="dxa"/>
            </w:tcMar>
          </w:tcPr>
          <w:p w14:paraId="730F2B14" w14:textId="77777777" w:rsidR="00986803" w:rsidRPr="00AE1FD7" w:rsidRDefault="00DB29B7" w:rsidP="00697C88">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b/>
                <w:color w:val="17365D"/>
                <w:sz w:val="36"/>
                <w:szCs w:val="36"/>
                <w:rtl/>
                <w:lang w:val="ar-SA"/>
              </w:rPr>
              <w:t>إعداد الطالب</w:t>
            </w:r>
          </w:p>
        </w:tc>
        <w:tc>
          <w:tcPr>
            <w:tcW w:w="5669" w:type="dxa"/>
            <w:tcBorders>
              <w:top w:val="single" w:sz="8" w:space="0" w:color="D9DEE3"/>
              <w:left w:val="single" w:sz="8" w:space="0" w:color="D9DEE3"/>
              <w:bottom w:val="single" w:sz="8" w:space="0" w:color="D9DEE3"/>
              <w:right w:val="single" w:sz="8" w:space="0" w:color="D9DEE3"/>
            </w:tcBorders>
            <w:tcMar>
              <w:top w:w="100" w:type="dxa"/>
              <w:left w:w="130" w:type="dxa"/>
              <w:bottom w:w="100" w:type="dxa"/>
              <w:right w:w="130" w:type="dxa"/>
            </w:tcMar>
          </w:tcPr>
          <w:p w14:paraId="27F48777" w14:textId="02B7BD5A" w:rsidR="00986803" w:rsidRPr="00981704" w:rsidRDefault="00981704" w:rsidP="00981704">
            <w:pPr>
              <w:jc w:val="center"/>
              <w:rPr>
                <w:rFonts w:cs="Sakkal Majalla"/>
                <w:b/>
                <w:bCs/>
              </w:rPr>
            </w:pPr>
            <w:r>
              <w:rPr>
                <w:rFonts w:cs="Sakkal Majalla" w:hint="cs"/>
                <w:b/>
                <w:bCs/>
                <w:rtl/>
              </w:rPr>
              <w:t>أطلال محمد احمد مهنا</w:t>
            </w:r>
          </w:p>
        </w:tc>
      </w:tr>
      <w:tr w:rsidR="00697C88" w:rsidRPr="00AE1FD7" w14:paraId="02EF7021" w14:textId="77777777">
        <w:trPr>
          <w:jc w:val="center"/>
        </w:trPr>
        <w:tc>
          <w:tcPr>
            <w:tcW w:w="2835" w:type="dxa"/>
            <w:tcBorders>
              <w:top w:val="single" w:sz="8" w:space="0" w:color="D9DEE3"/>
              <w:left w:val="single" w:sz="8" w:space="0" w:color="D9DEE3"/>
              <w:bottom w:val="single" w:sz="8" w:space="0" w:color="D9DEE3"/>
              <w:right w:val="single" w:sz="8" w:space="0" w:color="D9DEE3"/>
            </w:tcBorders>
            <w:shd w:val="clear" w:color="auto" w:fill="D9EAF7"/>
            <w:tcMar>
              <w:top w:w="100" w:type="dxa"/>
              <w:left w:w="130" w:type="dxa"/>
              <w:bottom w:w="100" w:type="dxa"/>
              <w:right w:w="130" w:type="dxa"/>
            </w:tcMar>
          </w:tcPr>
          <w:p w14:paraId="22FA94A9" w14:textId="77777777" w:rsidR="00697C88" w:rsidRPr="00AE1FD7" w:rsidRDefault="00697C88" w:rsidP="00697C88">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b/>
                <w:color w:val="17365D"/>
                <w:sz w:val="36"/>
                <w:szCs w:val="36"/>
                <w:rtl/>
                <w:lang w:val="ar-SA"/>
              </w:rPr>
              <w:t>الرقم الجامعي</w:t>
            </w:r>
          </w:p>
        </w:tc>
        <w:tc>
          <w:tcPr>
            <w:tcW w:w="5669" w:type="dxa"/>
            <w:tcBorders>
              <w:top w:val="single" w:sz="8" w:space="0" w:color="D9DEE3"/>
              <w:left w:val="single" w:sz="8" w:space="0" w:color="D9DEE3"/>
              <w:bottom w:val="single" w:sz="8" w:space="0" w:color="D9DEE3"/>
              <w:right w:val="single" w:sz="8" w:space="0" w:color="D9DEE3"/>
            </w:tcBorders>
            <w:tcMar>
              <w:top w:w="100" w:type="dxa"/>
              <w:left w:w="130" w:type="dxa"/>
              <w:bottom w:w="100" w:type="dxa"/>
              <w:right w:w="130" w:type="dxa"/>
            </w:tcMar>
          </w:tcPr>
          <w:p w14:paraId="0225E5D9" w14:textId="1DCE8E56" w:rsidR="00697C88" w:rsidRPr="00AE1FD7" w:rsidRDefault="00981704" w:rsidP="00981704">
            <w:pPr>
              <w:bidi/>
              <w:spacing w:after="0" w:line="240" w:lineRule="auto"/>
              <w:ind w:firstLine="0"/>
              <w:jc w:val="center"/>
              <w:rPr>
                <w:rFonts w:ascii="Sakkal Majalla" w:hAnsi="Sakkal Majalla" w:cs="Sakkal Majalla"/>
                <w:sz w:val="36"/>
                <w:szCs w:val="36"/>
              </w:rPr>
            </w:pPr>
            <w:r w:rsidRPr="002660D5">
              <w:rPr>
                <w:rFonts w:cs="Sakkal Majalla" w:hint="cs"/>
                <w:b/>
                <w:bCs/>
                <w:rtl/>
              </w:rPr>
              <w:t>253002893</w:t>
            </w:r>
          </w:p>
        </w:tc>
      </w:tr>
      <w:tr w:rsidR="00697C88" w:rsidRPr="00AE1FD7" w14:paraId="1ECFCEE3" w14:textId="77777777">
        <w:trPr>
          <w:jc w:val="center"/>
        </w:trPr>
        <w:tc>
          <w:tcPr>
            <w:tcW w:w="2835" w:type="dxa"/>
            <w:tcBorders>
              <w:top w:val="single" w:sz="8" w:space="0" w:color="D9DEE3"/>
              <w:left w:val="single" w:sz="8" w:space="0" w:color="D9DEE3"/>
              <w:bottom w:val="single" w:sz="8" w:space="0" w:color="D9DEE3"/>
              <w:right w:val="single" w:sz="8" w:space="0" w:color="D9DEE3"/>
            </w:tcBorders>
            <w:shd w:val="clear" w:color="auto" w:fill="D9EAF7"/>
            <w:tcMar>
              <w:top w:w="100" w:type="dxa"/>
              <w:left w:w="130" w:type="dxa"/>
              <w:bottom w:w="100" w:type="dxa"/>
              <w:right w:w="130" w:type="dxa"/>
            </w:tcMar>
          </w:tcPr>
          <w:p w14:paraId="36AD619B" w14:textId="77777777" w:rsidR="00697C88" w:rsidRPr="00AE1FD7" w:rsidRDefault="00697C88" w:rsidP="00697C88">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b/>
                <w:color w:val="17365D"/>
                <w:sz w:val="36"/>
                <w:szCs w:val="36"/>
                <w:rtl/>
                <w:lang w:val="ar-SA"/>
              </w:rPr>
              <w:t>إشراف</w:t>
            </w:r>
          </w:p>
        </w:tc>
        <w:tc>
          <w:tcPr>
            <w:tcW w:w="5669" w:type="dxa"/>
            <w:tcBorders>
              <w:top w:val="single" w:sz="8" w:space="0" w:color="D9DEE3"/>
              <w:left w:val="single" w:sz="8" w:space="0" w:color="D9DEE3"/>
              <w:bottom w:val="single" w:sz="8" w:space="0" w:color="D9DEE3"/>
              <w:right w:val="single" w:sz="8" w:space="0" w:color="D9DEE3"/>
            </w:tcBorders>
            <w:tcMar>
              <w:top w:w="100" w:type="dxa"/>
              <w:left w:w="130" w:type="dxa"/>
              <w:bottom w:w="100" w:type="dxa"/>
              <w:right w:w="130" w:type="dxa"/>
            </w:tcMar>
          </w:tcPr>
          <w:p w14:paraId="3B825D12" w14:textId="77777777" w:rsidR="00981704" w:rsidRDefault="00981704" w:rsidP="00981704">
            <w:pPr>
              <w:jc w:val="center"/>
              <w:rPr>
                <w:rFonts w:cs="Sakkal Majalla"/>
                <w:b/>
                <w:bCs/>
                <w:rtl/>
              </w:rPr>
            </w:pPr>
            <w:r>
              <w:rPr>
                <w:rFonts w:cs="Sakkal Majalla" w:hint="cs"/>
                <w:b/>
                <w:bCs/>
                <w:rtl/>
              </w:rPr>
              <w:t>الدكتور/ الفيصل عبد الحمي</w:t>
            </w:r>
            <w:r>
              <w:rPr>
                <w:rFonts w:cs="Sakkal Majalla" w:hint="eastAsia"/>
                <w:b/>
                <w:bCs/>
                <w:rtl/>
              </w:rPr>
              <w:t>د</w:t>
            </w:r>
            <w:r>
              <w:rPr>
                <w:rFonts w:cs="Sakkal Majalla" w:hint="cs"/>
                <w:b/>
                <w:bCs/>
                <w:rtl/>
              </w:rPr>
              <w:t xml:space="preserve"> محمد</w:t>
            </w:r>
          </w:p>
          <w:p w14:paraId="348649F3" w14:textId="6C343CA2" w:rsidR="00697C88" w:rsidRPr="00981704" w:rsidRDefault="00981704" w:rsidP="00981704">
            <w:pPr>
              <w:jc w:val="center"/>
              <w:rPr>
                <w:rFonts w:cs="Sakkal Majalla"/>
                <w:b/>
                <w:bCs/>
              </w:rPr>
            </w:pPr>
            <w:r>
              <w:rPr>
                <w:rFonts w:cs="Sakkal Majalla" w:hint="cs"/>
                <w:b/>
                <w:bCs/>
                <w:rtl/>
              </w:rPr>
              <w:t>الدكتور/ فايز علي جراد</w:t>
            </w:r>
          </w:p>
        </w:tc>
      </w:tr>
      <w:tr w:rsidR="00697C88" w:rsidRPr="00AE1FD7" w14:paraId="6F09B8CC" w14:textId="77777777">
        <w:trPr>
          <w:jc w:val="center"/>
        </w:trPr>
        <w:tc>
          <w:tcPr>
            <w:tcW w:w="2835" w:type="dxa"/>
            <w:tcBorders>
              <w:top w:val="single" w:sz="8" w:space="0" w:color="D9DEE3"/>
              <w:left w:val="single" w:sz="8" w:space="0" w:color="D9DEE3"/>
              <w:bottom w:val="single" w:sz="8" w:space="0" w:color="D9DEE3"/>
              <w:right w:val="single" w:sz="8" w:space="0" w:color="D9DEE3"/>
            </w:tcBorders>
            <w:shd w:val="clear" w:color="auto" w:fill="D9EAF7"/>
            <w:tcMar>
              <w:top w:w="100" w:type="dxa"/>
              <w:left w:w="130" w:type="dxa"/>
              <w:bottom w:w="100" w:type="dxa"/>
              <w:right w:w="130" w:type="dxa"/>
            </w:tcMar>
          </w:tcPr>
          <w:p w14:paraId="2540AB9D" w14:textId="77777777" w:rsidR="00697C88" w:rsidRPr="00AE1FD7" w:rsidRDefault="00697C88" w:rsidP="00697C88">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b/>
                <w:color w:val="17365D"/>
                <w:sz w:val="36"/>
                <w:szCs w:val="36"/>
                <w:rtl/>
                <w:lang w:val="ar-SA"/>
              </w:rPr>
              <w:t>القسم العلمي</w:t>
            </w:r>
          </w:p>
        </w:tc>
        <w:tc>
          <w:tcPr>
            <w:tcW w:w="5669" w:type="dxa"/>
            <w:tcBorders>
              <w:top w:val="single" w:sz="8" w:space="0" w:color="D9DEE3"/>
              <w:left w:val="single" w:sz="8" w:space="0" w:color="D9DEE3"/>
              <w:bottom w:val="single" w:sz="8" w:space="0" w:color="D9DEE3"/>
              <w:right w:val="single" w:sz="8" w:space="0" w:color="D9DEE3"/>
            </w:tcBorders>
            <w:tcMar>
              <w:top w:w="100" w:type="dxa"/>
              <w:left w:w="130" w:type="dxa"/>
              <w:bottom w:w="100" w:type="dxa"/>
              <w:right w:w="130" w:type="dxa"/>
            </w:tcMar>
          </w:tcPr>
          <w:p w14:paraId="3D047503" w14:textId="0D86B2BD" w:rsidR="00697C88" w:rsidRPr="00AE1FD7" w:rsidRDefault="00981704" w:rsidP="00981704">
            <w:pPr>
              <w:bidi/>
              <w:spacing w:after="0" w:line="240" w:lineRule="auto"/>
              <w:ind w:firstLine="0"/>
              <w:jc w:val="center"/>
              <w:rPr>
                <w:rFonts w:ascii="Sakkal Majalla" w:hAnsi="Sakkal Majalla" w:cs="Sakkal Majalla"/>
                <w:sz w:val="36"/>
                <w:szCs w:val="36"/>
              </w:rPr>
            </w:pPr>
            <w:r w:rsidRPr="002B6E3D">
              <w:rPr>
                <w:rFonts w:cs="Sakkal Majalla"/>
                <w:b/>
                <w:bCs/>
                <w:sz w:val="22"/>
                <w:rtl/>
              </w:rPr>
              <w:t>إدارة الأعمال</w:t>
            </w:r>
          </w:p>
        </w:tc>
      </w:tr>
    </w:tbl>
    <w:p w14:paraId="6303599A" w14:textId="77777777" w:rsidR="00986803" w:rsidRPr="00AE1FD7" w:rsidRDefault="00986803" w:rsidP="00697C88">
      <w:pPr>
        <w:bidi/>
        <w:spacing w:after="0" w:line="240" w:lineRule="auto"/>
        <w:rPr>
          <w:rFonts w:ascii="Sakkal Majalla" w:hAnsi="Sakkal Majalla" w:cs="Sakkal Majalla"/>
          <w:sz w:val="36"/>
          <w:szCs w:val="36"/>
        </w:rPr>
      </w:pPr>
    </w:p>
    <w:p w14:paraId="12914D94" w14:textId="77777777" w:rsidR="00DB29B7" w:rsidRDefault="00DB29B7" w:rsidP="00697C88">
      <w:pPr>
        <w:bidi/>
        <w:spacing w:after="0" w:line="240" w:lineRule="auto"/>
        <w:ind w:firstLine="0"/>
        <w:rPr>
          <w:rFonts w:ascii="Sakkal Majalla" w:eastAsia="Noto Kufi Arabic" w:hAnsi="Sakkal Majalla" w:cs="Sakkal Majalla"/>
          <w:b/>
          <w:color w:val="17365D"/>
          <w:sz w:val="36"/>
          <w:szCs w:val="36"/>
          <w:rtl/>
          <w:lang w:val="ar-SA"/>
        </w:rPr>
      </w:pPr>
    </w:p>
    <w:p w14:paraId="6B59D811" w14:textId="77777777" w:rsidR="00DB29B7" w:rsidRDefault="00DB29B7" w:rsidP="00697C88">
      <w:pPr>
        <w:bidi/>
        <w:spacing w:after="0" w:line="240" w:lineRule="auto"/>
        <w:ind w:firstLine="0"/>
        <w:rPr>
          <w:rFonts w:ascii="Sakkal Majalla" w:eastAsia="Noto Kufi Arabic" w:hAnsi="Sakkal Majalla" w:cs="Sakkal Majalla"/>
          <w:b/>
          <w:color w:val="17365D"/>
          <w:sz w:val="36"/>
          <w:szCs w:val="36"/>
          <w:rtl/>
          <w:lang w:val="ar-SA"/>
        </w:rPr>
      </w:pPr>
    </w:p>
    <w:p w14:paraId="70C2F1F1" w14:textId="77777777" w:rsidR="00986803" w:rsidRPr="00AE1FD7" w:rsidRDefault="00DB29B7" w:rsidP="00697C88">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17365D"/>
          <w:sz w:val="36"/>
          <w:szCs w:val="36"/>
          <w:rtl/>
          <w:lang w:val="ar-SA"/>
        </w:rPr>
        <w:t xml:space="preserve">العام </w:t>
      </w:r>
      <w:proofErr w:type="gramStart"/>
      <w:r w:rsidRPr="00AE1FD7">
        <w:rPr>
          <w:rFonts w:ascii="Sakkal Majalla" w:eastAsia="Noto Kufi Arabic" w:hAnsi="Sakkal Majalla" w:cs="Sakkal Majalla"/>
          <w:b/>
          <w:color w:val="17365D"/>
          <w:sz w:val="36"/>
          <w:szCs w:val="36"/>
          <w:rtl/>
          <w:lang w:val="ar-SA"/>
        </w:rPr>
        <w:t xml:space="preserve">الجامعي </w:t>
      </w:r>
      <w:r>
        <w:rPr>
          <w:rFonts w:ascii="Sakkal Majalla" w:eastAsia="Noto Kufi Arabic" w:hAnsi="Sakkal Majalla" w:cs="Sakkal Majalla" w:hint="cs"/>
          <w:b/>
          <w:color w:val="17365D"/>
          <w:sz w:val="36"/>
          <w:szCs w:val="36"/>
          <w:rtl/>
          <w:lang w:val="ar-SA"/>
        </w:rPr>
        <w:t xml:space="preserve"> </w:t>
      </w:r>
      <w:r w:rsidRPr="00AE1FD7">
        <w:rPr>
          <w:rFonts w:ascii="Sakkal Majalla" w:eastAsia="Noto Kufi Arabic" w:hAnsi="Sakkal Majalla" w:cs="Sakkal Majalla"/>
          <w:b/>
          <w:color w:val="17365D"/>
          <w:sz w:val="36"/>
          <w:szCs w:val="36"/>
          <w:rtl/>
          <w:lang w:val="ar-SA"/>
        </w:rPr>
        <w:t>1448</w:t>
      </w:r>
      <w:proofErr w:type="gramEnd"/>
      <w:r w:rsidRPr="00AE1FD7">
        <w:rPr>
          <w:rFonts w:ascii="Sakkal Majalla" w:eastAsia="Noto Kufi Arabic" w:hAnsi="Sakkal Majalla" w:cs="Sakkal Majalla"/>
          <w:b/>
          <w:color w:val="17365D"/>
          <w:sz w:val="36"/>
          <w:szCs w:val="36"/>
          <w:rtl/>
          <w:lang w:val="ar-SA"/>
        </w:rPr>
        <w:t>هـ - 2026م</w:t>
      </w:r>
    </w:p>
    <w:p w14:paraId="01C8AEC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0AE6B8E1" w14:textId="77777777" w:rsidR="00986803" w:rsidRPr="00AE1FD7" w:rsidRDefault="00DB29B7" w:rsidP="000B362E">
      <w:pPr>
        <w:bidi/>
        <w:spacing w:after="0" w:line="240" w:lineRule="auto"/>
        <w:ind w:firstLine="0"/>
        <w:jc w:val="right"/>
        <w:rPr>
          <w:rFonts w:ascii="Sakkal Majalla" w:hAnsi="Sakkal Majalla" w:cs="Sakkal Majalla"/>
          <w:sz w:val="36"/>
          <w:szCs w:val="36"/>
        </w:rPr>
      </w:pPr>
      <w:r w:rsidRPr="00AE1FD7">
        <w:rPr>
          <w:rFonts w:ascii="Sakkal Majalla" w:eastAsia="DejaVu Sans" w:hAnsi="Sakkal Majalla" w:cs="Sakkal Majalla"/>
          <w:b/>
          <w:color w:val="17365D"/>
          <w:sz w:val="36"/>
          <w:szCs w:val="36"/>
          <w:lang w:bidi="en-US"/>
        </w:rPr>
        <w:lastRenderedPageBreak/>
        <w:t>Kingdom of Saudi Arabia</w:t>
      </w:r>
    </w:p>
    <w:p w14:paraId="504F5161" w14:textId="77777777" w:rsidR="00986803" w:rsidRPr="00AE1FD7" w:rsidRDefault="00DB29B7" w:rsidP="000B362E">
      <w:pPr>
        <w:bidi/>
        <w:spacing w:after="0" w:line="240" w:lineRule="auto"/>
        <w:ind w:firstLine="0"/>
        <w:jc w:val="right"/>
        <w:rPr>
          <w:rFonts w:ascii="Sakkal Majalla" w:hAnsi="Sakkal Majalla" w:cs="Sakkal Majalla"/>
          <w:sz w:val="36"/>
          <w:szCs w:val="36"/>
        </w:rPr>
      </w:pPr>
      <w:r w:rsidRPr="00AE1FD7">
        <w:rPr>
          <w:rFonts w:ascii="Sakkal Majalla" w:eastAsia="DejaVu Sans" w:hAnsi="Sakkal Majalla" w:cs="Sakkal Majalla"/>
          <w:b/>
          <w:color w:val="17365D"/>
          <w:sz w:val="36"/>
          <w:szCs w:val="36"/>
          <w:lang w:bidi="en-US"/>
        </w:rPr>
        <w:t>Ministry of Education</w:t>
      </w:r>
    </w:p>
    <w:p w14:paraId="0DF1C535" w14:textId="34DFBC15" w:rsidR="00986803" w:rsidRPr="00AE1FD7" w:rsidRDefault="00DB29B7" w:rsidP="000B362E">
      <w:pPr>
        <w:bidi/>
        <w:spacing w:after="0" w:line="240" w:lineRule="auto"/>
        <w:ind w:firstLine="0"/>
        <w:jc w:val="right"/>
        <w:rPr>
          <w:rFonts w:ascii="Sakkal Majalla" w:hAnsi="Sakkal Majalla" w:cs="Sakkal Majalla"/>
          <w:sz w:val="36"/>
          <w:szCs w:val="36"/>
        </w:rPr>
      </w:pPr>
      <w:r w:rsidRPr="00AE1FD7">
        <w:rPr>
          <w:rFonts w:ascii="Sakkal Majalla" w:eastAsia="DejaVu Sans" w:hAnsi="Sakkal Majalla" w:cs="Sakkal Majalla"/>
          <w:color w:val="3F4650"/>
          <w:sz w:val="36"/>
          <w:szCs w:val="36"/>
          <w:lang w:bidi="en-US"/>
        </w:rPr>
        <w:t xml:space="preserve">University: </w:t>
      </w:r>
      <w:r w:rsidR="00981704" w:rsidRPr="00981704">
        <w:rPr>
          <w:rFonts w:ascii="Sakkal Majalla" w:eastAsia="DejaVu Sans" w:hAnsi="Sakkal Majalla" w:cs="Sakkal Majalla"/>
          <w:color w:val="3F4650"/>
          <w:sz w:val="36"/>
          <w:szCs w:val="36"/>
          <w:lang w:bidi="en-US"/>
        </w:rPr>
        <w:t>Midaushin</w:t>
      </w:r>
    </w:p>
    <w:p w14:paraId="0F2737AE" w14:textId="2FE56ACB" w:rsidR="00986803" w:rsidRPr="00AE1FD7" w:rsidRDefault="00DB29B7" w:rsidP="000B362E">
      <w:pPr>
        <w:bidi/>
        <w:spacing w:after="0" w:line="240" w:lineRule="auto"/>
        <w:ind w:firstLine="0"/>
        <w:jc w:val="right"/>
        <w:rPr>
          <w:rFonts w:ascii="Sakkal Majalla" w:hAnsi="Sakkal Majalla" w:cs="Sakkal Majalla" w:hint="cs"/>
          <w:sz w:val="36"/>
          <w:szCs w:val="36"/>
          <w:rtl/>
        </w:rPr>
      </w:pPr>
      <w:r w:rsidRPr="00AE1FD7">
        <w:rPr>
          <w:rFonts w:ascii="Sakkal Majalla" w:eastAsia="DejaVu Sans" w:hAnsi="Sakkal Majalla" w:cs="Sakkal Majalla"/>
          <w:color w:val="3F4650"/>
          <w:sz w:val="36"/>
          <w:szCs w:val="36"/>
          <w:lang w:bidi="en-US"/>
        </w:rPr>
        <w:t xml:space="preserve">College: </w:t>
      </w:r>
      <w:r w:rsidR="00981704" w:rsidRPr="00981704">
        <w:rPr>
          <w:rFonts w:ascii="Sakkal Majalla" w:eastAsia="DejaVu Sans" w:hAnsi="Sakkal Majalla" w:cs="Sakkal Majalla"/>
          <w:color w:val="3F4650"/>
          <w:sz w:val="36"/>
          <w:szCs w:val="36"/>
          <w:lang w:bidi="en-US"/>
        </w:rPr>
        <w:t>Management</w:t>
      </w:r>
    </w:p>
    <w:p w14:paraId="6E8FD53E" w14:textId="77777777" w:rsidR="00986803" w:rsidRDefault="00986803" w:rsidP="00697C88">
      <w:pPr>
        <w:bidi/>
        <w:spacing w:after="0" w:line="240" w:lineRule="auto"/>
        <w:rPr>
          <w:rFonts w:ascii="Sakkal Majalla" w:hAnsi="Sakkal Majalla" w:cs="Sakkal Majalla"/>
          <w:sz w:val="36"/>
          <w:szCs w:val="36"/>
          <w:rtl/>
        </w:rPr>
      </w:pPr>
    </w:p>
    <w:p w14:paraId="1EF48CDC" w14:textId="77777777" w:rsidR="000B362E" w:rsidRDefault="000B362E" w:rsidP="000B362E">
      <w:pPr>
        <w:bidi/>
        <w:spacing w:after="0" w:line="240" w:lineRule="auto"/>
        <w:rPr>
          <w:rFonts w:ascii="Sakkal Majalla" w:hAnsi="Sakkal Majalla" w:cs="Sakkal Majalla"/>
          <w:sz w:val="36"/>
          <w:szCs w:val="36"/>
          <w:rtl/>
        </w:rPr>
      </w:pPr>
    </w:p>
    <w:p w14:paraId="26CC859A" w14:textId="77777777" w:rsidR="000B362E" w:rsidRPr="00AE1FD7" w:rsidRDefault="000B362E" w:rsidP="000B362E">
      <w:pPr>
        <w:bidi/>
        <w:spacing w:after="0" w:line="240" w:lineRule="auto"/>
        <w:rPr>
          <w:rFonts w:ascii="Sakkal Majalla" w:hAnsi="Sakkal Majalla" w:cs="Sakkal Majalla"/>
          <w:sz w:val="36"/>
          <w:szCs w:val="36"/>
        </w:rPr>
      </w:pPr>
    </w:p>
    <w:p w14:paraId="0F2E28D5" w14:textId="77777777" w:rsidR="00986803" w:rsidRDefault="00DB29B7" w:rsidP="000B362E">
      <w:pPr>
        <w:pBdr>
          <w:bottom w:val="single" w:sz="16" w:space="8" w:color="C69C3A"/>
        </w:pBdr>
        <w:bidi/>
        <w:spacing w:after="0" w:line="240" w:lineRule="auto"/>
        <w:ind w:firstLine="0"/>
        <w:jc w:val="center"/>
        <w:rPr>
          <w:rFonts w:ascii="Sakkal Majalla" w:eastAsia="DejaVu Sans" w:hAnsi="Sakkal Majalla" w:cs="Sakkal Majalla"/>
          <w:b/>
          <w:color w:val="17365D"/>
          <w:sz w:val="42"/>
          <w:szCs w:val="42"/>
          <w:rtl/>
          <w:lang w:bidi="en-US"/>
        </w:rPr>
      </w:pPr>
      <w:r w:rsidRPr="000B362E">
        <w:rPr>
          <w:rFonts w:ascii="Sakkal Majalla" w:eastAsia="DejaVu Sans" w:hAnsi="Sakkal Majalla" w:cs="Sakkal Majalla"/>
          <w:b/>
          <w:color w:val="17365D"/>
          <w:sz w:val="38"/>
          <w:szCs w:val="38"/>
          <w:lang w:bidi="en-US"/>
        </w:rPr>
        <w:t>T</w:t>
      </w:r>
      <w:r w:rsidRPr="000B362E">
        <w:rPr>
          <w:rFonts w:ascii="Sakkal Majalla" w:eastAsia="DejaVu Sans" w:hAnsi="Sakkal Majalla" w:cs="Sakkal Majalla"/>
          <w:b/>
          <w:color w:val="17365D"/>
          <w:sz w:val="42"/>
          <w:szCs w:val="42"/>
          <w:lang w:bidi="en-US"/>
        </w:rPr>
        <w:t>he Impact of Public Property Management Governance on Enhancing the Efficiency of Government Real Estate Expenditure in the Kingdom of Saudi Arabia</w:t>
      </w:r>
    </w:p>
    <w:p w14:paraId="78E13C95" w14:textId="77777777" w:rsidR="000B362E" w:rsidRPr="000B362E" w:rsidRDefault="000B362E" w:rsidP="000B362E">
      <w:pPr>
        <w:pBdr>
          <w:bottom w:val="single" w:sz="16" w:space="8" w:color="C69C3A"/>
        </w:pBdr>
        <w:bidi/>
        <w:spacing w:after="0" w:line="240" w:lineRule="auto"/>
        <w:ind w:firstLine="0"/>
        <w:jc w:val="center"/>
        <w:rPr>
          <w:rFonts w:ascii="Sakkal Majalla" w:hAnsi="Sakkal Majalla" w:cs="Sakkal Majalla"/>
          <w:sz w:val="16"/>
          <w:szCs w:val="16"/>
        </w:rPr>
      </w:pPr>
    </w:p>
    <w:p w14:paraId="73DE0BB9" w14:textId="77777777" w:rsidR="00986803" w:rsidRPr="00AE1FD7" w:rsidRDefault="00DB29B7" w:rsidP="000B362E">
      <w:pPr>
        <w:pBdr>
          <w:bottom w:val="single" w:sz="4" w:space="1" w:color="auto"/>
        </w:pBdr>
        <w:bidi/>
        <w:spacing w:after="0" w:line="240" w:lineRule="auto"/>
        <w:ind w:firstLine="0"/>
        <w:rPr>
          <w:rFonts w:ascii="Sakkal Majalla" w:hAnsi="Sakkal Majalla" w:cs="Sakkal Majalla"/>
          <w:sz w:val="36"/>
          <w:szCs w:val="36"/>
        </w:rPr>
      </w:pPr>
      <w:r w:rsidRPr="00AE1FD7">
        <w:rPr>
          <w:rFonts w:ascii="Sakkal Majalla" w:eastAsia="DejaVu Sans" w:hAnsi="Sakkal Majalla" w:cs="Sakkal Majalla"/>
          <w:b/>
          <w:color w:val="3F4650"/>
          <w:sz w:val="36"/>
          <w:szCs w:val="36"/>
          <w:lang w:bidi="en-US"/>
        </w:rPr>
        <w:t>Submitted in Partial Fulfilment of the Requirements for the Master’s Degree</w:t>
      </w:r>
    </w:p>
    <w:p w14:paraId="2874B21E" w14:textId="77777777" w:rsidR="000B362E" w:rsidRDefault="000B362E" w:rsidP="00981704">
      <w:pPr>
        <w:bidi/>
        <w:spacing w:after="0" w:line="240" w:lineRule="auto"/>
        <w:ind w:firstLine="0"/>
        <w:jc w:val="center"/>
        <w:rPr>
          <w:rFonts w:ascii="Sakkal Majalla" w:eastAsia="DejaVu Sans" w:hAnsi="Sakkal Majalla" w:cs="Sakkal Majalla"/>
          <w:color w:val="3F4650"/>
          <w:sz w:val="36"/>
          <w:szCs w:val="36"/>
          <w:rtl/>
          <w:lang w:bidi="en-US"/>
        </w:rPr>
      </w:pPr>
    </w:p>
    <w:p w14:paraId="1FE1F0C2" w14:textId="77777777" w:rsidR="000B362E" w:rsidRDefault="000B362E" w:rsidP="00981704">
      <w:pPr>
        <w:bidi/>
        <w:spacing w:after="0" w:line="240" w:lineRule="auto"/>
        <w:ind w:firstLine="0"/>
        <w:jc w:val="center"/>
        <w:rPr>
          <w:rFonts w:ascii="Sakkal Majalla" w:eastAsia="DejaVu Sans" w:hAnsi="Sakkal Majalla" w:cs="Sakkal Majalla"/>
          <w:color w:val="3F4650"/>
          <w:sz w:val="36"/>
          <w:szCs w:val="36"/>
          <w:rtl/>
          <w:lang w:bidi="en-US"/>
        </w:rPr>
      </w:pPr>
    </w:p>
    <w:p w14:paraId="39DDFD5F" w14:textId="30A7D2A9" w:rsidR="00986803" w:rsidRPr="00AE1FD7" w:rsidRDefault="00DB29B7" w:rsidP="0098170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3F4650"/>
          <w:sz w:val="36"/>
          <w:szCs w:val="36"/>
          <w:lang w:bidi="en-US"/>
        </w:rPr>
        <w:t>Prepared by:</w:t>
      </w:r>
      <w:r w:rsidR="00981704">
        <w:rPr>
          <w:rFonts w:ascii="Sakkal Majalla" w:eastAsia="DejaVu Sans" w:hAnsi="Sakkal Majalla" w:cs="Sakkal Majalla"/>
          <w:color w:val="3F4650"/>
          <w:sz w:val="36"/>
          <w:szCs w:val="36"/>
          <w:lang w:bidi="en-US"/>
        </w:rPr>
        <w:t xml:space="preserve"> </w:t>
      </w:r>
      <w:r w:rsidRPr="00AE1FD7">
        <w:rPr>
          <w:rFonts w:ascii="Sakkal Majalla" w:eastAsia="DejaVu Sans" w:hAnsi="Sakkal Majalla" w:cs="Sakkal Majalla"/>
          <w:color w:val="3F4650"/>
          <w:sz w:val="36"/>
          <w:szCs w:val="36"/>
          <w:lang w:bidi="en-US"/>
        </w:rPr>
        <w:t xml:space="preserve"> </w:t>
      </w:r>
      <w:proofErr w:type="spellStart"/>
      <w:r w:rsidR="00981704">
        <w:rPr>
          <w:rFonts w:ascii="Sakkal Majalla" w:eastAsia="DejaVu Sans" w:hAnsi="Sakkal Majalla" w:cs="Sakkal Majalla"/>
          <w:color w:val="3F4650"/>
          <w:sz w:val="36"/>
          <w:szCs w:val="36"/>
          <w:lang w:bidi="en-US"/>
        </w:rPr>
        <w:t>Atlal</w:t>
      </w:r>
      <w:proofErr w:type="spellEnd"/>
      <w:r w:rsidR="00981704">
        <w:rPr>
          <w:rFonts w:ascii="Sakkal Majalla" w:eastAsia="DejaVu Sans" w:hAnsi="Sakkal Majalla" w:cs="Sakkal Majalla"/>
          <w:color w:val="3F4650"/>
          <w:sz w:val="36"/>
          <w:szCs w:val="36"/>
          <w:lang w:bidi="en-US"/>
        </w:rPr>
        <w:t xml:space="preserve"> Mohammed Ahmed </w:t>
      </w:r>
      <w:proofErr w:type="spellStart"/>
      <w:r w:rsidR="00981704">
        <w:rPr>
          <w:rFonts w:ascii="Sakkal Majalla" w:eastAsia="DejaVu Sans" w:hAnsi="Sakkal Majalla" w:cs="Sakkal Majalla"/>
          <w:color w:val="3F4650"/>
          <w:sz w:val="36"/>
          <w:szCs w:val="36"/>
          <w:lang w:bidi="en-US"/>
        </w:rPr>
        <w:t>mohaana</w:t>
      </w:r>
      <w:proofErr w:type="spellEnd"/>
    </w:p>
    <w:p w14:paraId="144DF683" w14:textId="0D68DE23" w:rsidR="00986803" w:rsidRPr="00AE1FD7" w:rsidRDefault="00DB29B7" w:rsidP="0098170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3F4650"/>
          <w:sz w:val="36"/>
          <w:szCs w:val="36"/>
          <w:lang w:bidi="en-US"/>
        </w:rPr>
        <w:t>Student ID:</w:t>
      </w:r>
      <w:r w:rsidR="00981704">
        <w:rPr>
          <w:rFonts w:ascii="Sakkal Majalla" w:eastAsia="DejaVu Sans" w:hAnsi="Sakkal Majalla" w:cs="Sakkal Majalla"/>
          <w:color w:val="3F4650"/>
          <w:sz w:val="36"/>
          <w:szCs w:val="36"/>
          <w:lang w:bidi="en-US"/>
        </w:rPr>
        <w:t xml:space="preserve">   </w:t>
      </w:r>
      <w:r w:rsidRPr="00AE1FD7">
        <w:rPr>
          <w:rFonts w:ascii="Sakkal Majalla" w:eastAsia="DejaVu Sans" w:hAnsi="Sakkal Majalla" w:cs="Sakkal Majalla"/>
          <w:color w:val="3F4650"/>
          <w:sz w:val="36"/>
          <w:szCs w:val="36"/>
          <w:lang w:bidi="en-US"/>
        </w:rPr>
        <w:t xml:space="preserve"> </w:t>
      </w:r>
      <w:r w:rsidR="00981704">
        <w:rPr>
          <w:rFonts w:ascii="Sakkal Majalla" w:eastAsia="DejaVu Sans" w:hAnsi="Sakkal Majalla" w:cs="Sakkal Majalla"/>
          <w:color w:val="3F4650"/>
          <w:sz w:val="36"/>
          <w:szCs w:val="36"/>
          <w:lang w:bidi="en-US"/>
        </w:rPr>
        <w:t>253002893</w:t>
      </w:r>
    </w:p>
    <w:p w14:paraId="09626C96" w14:textId="1266F6BA" w:rsidR="00981704" w:rsidRPr="00981704" w:rsidRDefault="00DB29B7" w:rsidP="00981704">
      <w:pPr>
        <w:spacing w:after="0" w:line="240" w:lineRule="auto"/>
        <w:ind w:firstLine="0"/>
        <w:jc w:val="center"/>
        <w:rPr>
          <w:rFonts w:ascii="Sakkal Majalla" w:eastAsia="DejaVu Sans" w:hAnsi="Sakkal Majalla" w:cs="Sakkal Majalla"/>
          <w:color w:val="3F4650"/>
          <w:sz w:val="36"/>
          <w:szCs w:val="36"/>
          <w:lang w:bidi="en-US"/>
        </w:rPr>
      </w:pPr>
      <w:r w:rsidRPr="00AE1FD7">
        <w:rPr>
          <w:rFonts w:ascii="Sakkal Majalla" w:eastAsia="DejaVu Sans" w:hAnsi="Sakkal Majalla" w:cs="Sakkal Majalla"/>
          <w:color w:val="3F4650"/>
          <w:sz w:val="36"/>
          <w:szCs w:val="36"/>
          <w:lang w:bidi="en-US"/>
        </w:rPr>
        <w:t>Supervisor:</w:t>
      </w:r>
      <w:r w:rsidR="00981704">
        <w:rPr>
          <w:rFonts w:ascii="Sakkal Majalla" w:eastAsia="DejaVu Sans" w:hAnsi="Sakkal Majalla" w:cs="Sakkal Majalla"/>
          <w:color w:val="3F4650"/>
          <w:sz w:val="36"/>
          <w:szCs w:val="36"/>
          <w:lang w:bidi="en-US"/>
        </w:rPr>
        <w:t xml:space="preserve">   </w:t>
      </w:r>
      <w:r w:rsidR="00981704" w:rsidRPr="00981704">
        <w:rPr>
          <w:rFonts w:ascii="Sakkal Majalla" w:eastAsia="DejaVu Sans" w:hAnsi="Sakkal Majalla" w:cs="Sakkal Majalla"/>
          <w:color w:val="3F4650"/>
          <w:sz w:val="36"/>
          <w:szCs w:val="36"/>
          <w:lang w:bidi="en-US"/>
        </w:rPr>
        <w:t>Dr. Al-Faisal Abdul Hamid Muhammad</w:t>
      </w:r>
    </w:p>
    <w:p w14:paraId="0DF6C0A2" w14:textId="1FEC7E5A" w:rsidR="00986803" w:rsidRPr="00AE1FD7" w:rsidRDefault="00981704" w:rsidP="00981704">
      <w:pPr>
        <w:bidi/>
        <w:spacing w:after="0" w:line="240" w:lineRule="auto"/>
        <w:ind w:firstLine="0"/>
        <w:jc w:val="center"/>
        <w:rPr>
          <w:rFonts w:ascii="Sakkal Majalla" w:hAnsi="Sakkal Majalla" w:cs="Sakkal Majalla"/>
          <w:sz w:val="36"/>
          <w:szCs w:val="36"/>
        </w:rPr>
      </w:pPr>
      <w:r w:rsidRPr="00981704">
        <w:rPr>
          <w:rFonts w:ascii="Sakkal Majalla" w:eastAsia="DejaVu Sans" w:hAnsi="Sakkal Majalla" w:cs="Sakkal Majalla"/>
          <w:color w:val="3F4650"/>
          <w:sz w:val="36"/>
          <w:szCs w:val="36"/>
          <w:lang w:bidi="en-US"/>
        </w:rPr>
        <w:t>Dr. Fayez Ali Jarad</w:t>
      </w:r>
    </w:p>
    <w:p w14:paraId="4E48AD70" w14:textId="77777777" w:rsidR="00986803" w:rsidRDefault="00986803" w:rsidP="00697C88">
      <w:pPr>
        <w:bidi/>
        <w:spacing w:after="0" w:line="240" w:lineRule="auto"/>
        <w:rPr>
          <w:rFonts w:ascii="Sakkal Majalla" w:hAnsi="Sakkal Majalla" w:cs="Sakkal Majalla"/>
          <w:sz w:val="36"/>
          <w:szCs w:val="36"/>
          <w:rtl/>
        </w:rPr>
      </w:pPr>
    </w:p>
    <w:p w14:paraId="5532906E" w14:textId="77777777" w:rsidR="000B362E" w:rsidRDefault="000B362E" w:rsidP="000B362E">
      <w:pPr>
        <w:bidi/>
        <w:spacing w:after="0" w:line="240" w:lineRule="auto"/>
        <w:rPr>
          <w:rFonts w:ascii="Sakkal Majalla" w:hAnsi="Sakkal Majalla" w:cs="Sakkal Majalla"/>
          <w:sz w:val="36"/>
          <w:szCs w:val="36"/>
          <w:rtl/>
        </w:rPr>
      </w:pPr>
    </w:p>
    <w:p w14:paraId="0FDBB7A3" w14:textId="77777777" w:rsidR="000B362E" w:rsidRDefault="000B362E" w:rsidP="000B362E">
      <w:pPr>
        <w:bidi/>
        <w:spacing w:after="0" w:line="240" w:lineRule="auto"/>
        <w:rPr>
          <w:rFonts w:ascii="Sakkal Majalla" w:hAnsi="Sakkal Majalla" w:cs="Sakkal Majalla"/>
          <w:sz w:val="36"/>
          <w:szCs w:val="36"/>
          <w:rtl/>
        </w:rPr>
      </w:pPr>
    </w:p>
    <w:p w14:paraId="7B209C5D" w14:textId="77777777" w:rsidR="000B362E" w:rsidRPr="00AE1FD7" w:rsidRDefault="000B362E" w:rsidP="000B362E">
      <w:pPr>
        <w:bidi/>
        <w:spacing w:after="0" w:line="240" w:lineRule="auto"/>
        <w:rPr>
          <w:rFonts w:ascii="Sakkal Majalla" w:hAnsi="Sakkal Majalla" w:cs="Sakkal Majalla"/>
          <w:sz w:val="36"/>
          <w:szCs w:val="36"/>
        </w:rPr>
      </w:pPr>
    </w:p>
    <w:p w14:paraId="2D1B85CF" w14:textId="77777777" w:rsidR="00986803" w:rsidRPr="00AE1FD7" w:rsidRDefault="00DB29B7" w:rsidP="000B362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b/>
          <w:color w:val="17365D"/>
          <w:sz w:val="36"/>
          <w:szCs w:val="36"/>
          <w:lang w:bidi="en-US"/>
        </w:rPr>
        <w:t>Academic Year 2026</w:t>
      </w:r>
    </w:p>
    <w:p w14:paraId="13E930F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74073FC0"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55259D6A"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1F14BE4E"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79D58528"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0F625309" w14:textId="77777777" w:rsidR="00986803" w:rsidRPr="000B362E" w:rsidRDefault="00DB29B7" w:rsidP="000B362E">
      <w:pPr>
        <w:pBdr>
          <w:bottom w:val="single" w:sz="14" w:space="7" w:color="C69C3A"/>
        </w:pBdr>
        <w:bidi/>
        <w:spacing w:after="0" w:line="240" w:lineRule="auto"/>
        <w:ind w:firstLine="0"/>
        <w:jc w:val="center"/>
        <w:rPr>
          <w:rFonts w:ascii="Sakkal Majalla" w:hAnsi="Sakkal Majalla" w:cs="Sakkal Majalla"/>
          <w:bCs/>
          <w:sz w:val="40"/>
          <w:szCs w:val="40"/>
        </w:rPr>
      </w:pPr>
      <w:proofErr w:type="gramStart"/>
      <w:r w:rsidRPr="000B362E">
        <w:rPr>
          <w:rFonts w:ascii="Sakkal Majalla" w:eastAsia="Noto Kufi Arabic" w:hAnsi="Sakkal Majalla" w:cs="Sakkal Majalla"/>
          <w:bCs/>
          <w:color w:val="17365D"/>
          <w:sz w:val="40"/>
          <w:szCs w:val="40"/>
          <w:rtl/>
          <w:lang w:val="ar-SA"/>
        </w:rPr>
        <w:t>الإهداء</w:t>
      </w:r>
      <w:r w:rsidR="000B362E" w:rsidRPr="000B362E">
        <w:rPr>
          <w:rFonts w:ascii="Sakkal Majalla" w:eastAsia="Noto Kufi Arabic" w:hAnsi="Sakkal Majalla" w:cs="Sakkal Majalla" w:hint="cs"/>
          <w:bCs/>
          <w:color w:val="17365D"/>
          <w:sz w:val="40"/>
          <w:szCs w:val="40"/>
          <w:rtl/>
          <w:lang w:val="ar-SA"/>
        </w:rPr>
        <w:t xml:space="preserve"> :</w:t>
      </w:r>
      <w:proofErr w:type="gramEnd"/>
    </w:p>
    <w:p w14:paraId="4A182B5A" w14:textId="77777777" w:rsidR="00986803" w:rsidRPr="00AE1FD7" w:rsidRDefault="00986803" w:rsidP="00697C88">
      <w:pPr>
        <w:bidi/>
        <w:spacing w:after="0" w:line="240" w:lineRule="auto"/>
        <w:rPr>
          <w:rFonts w:ascii="Sakkal Majalla" w:hAnsi="Sakkal Majalla" w:cs="Sakkal Majalla"/>
          <w:sz w:val="36"/>
          <w:szCs w:val="36"/>
        </w:rPr>
      </w:pPr>
    </w:p>
    <w:p w14:paraId="1C44068C" w14:textId="77777777" w:rsidR="00986803" w:rsidRPr="000B362E" w:rsidRDefault="00DB29B7" w:rsidP="000B362E">
      <w:pPr>
        <w:bidi/>
        <w:spacing w:after="0" w:line="240" w:lineRule="auto"/>
        <w:ind w:firstLine="0"/>
        <w:jc w:val="center"/>
        <w:rPr>
          <w:rFonts w:ascii="Sakkal Majalla" w:hAnsi="Sakkal Majalla" w:cs="Sakkal Majalla"/>
          <w:sz w:val="40"/>
          <w:szCs w:val="40"/>
        </w:rPr>
      </w:pPr>
      <w:r w:rsidRPr="000B362E">
        <w:rPr>
          <w:rFonts w:ascii="Sakkal Majalla" w:hAnsi="Sakkal Majalla" w:cs="Sakkal Majalla"/>
          <w:color w:val="3F4650"/>
          <w:sz w:val="40"/>
          <w:szCs w:val="40"/>
          <w:rtl/>
          <w:lang w:val="ar-SA"/>
        </w:rPr>
        <w:t>إلى من علّموني أن المعرفة أمانة، وأن خدمة المال العام مسؤولية،</w:t>
      </w:r>
      <w:r w:rsidRPr="000B362E">
        <w:rPr>
          <w:rFonts w:ascii="Sakkal Majalla" w:hAnsi="Sakkal Majalla" w:cs="Sakkal Majalla"/>
          <w:color w:val="3F4650"/>
          <w:sz w:val="40"/>
          <w:szCs w:val="40"/>
          <w:rtl/>
          <w:lang w:val="ar-SA"/>
        </w:rPr>
        <w:br/>
        <w:t>وإلى كل من ساند مسيرتي العلمية؛ أهدي هذا العمل.</w:t>
      </w:r>
    </w:p>
    <w:p w14:paraId="78BBDD1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5A1D5F9F"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33EA2D4E" w14:textId="77777777" w:rsidR="000B362E" w:rsidRDefault="000B362E" w:rsidP="000B362E">
      <w:pPr>
        <w:pBdr>
          <w:bottom w:val="single" w:sz="14" w:space="7" w:color="C69C3A"/>
        </w:pBdr>
        <w:bidi/>
        <w:spacing w:after="0" w:line="240" w:lineRule="auto"/>
        <w:ind w:firstLine="0"/>
        <w:jc w:val="center"/>
        <w:rPr>
          <w:rFonts w:ascii="Sakkal Majalla" w:eastAsia="Noto Kufi Arabic" w:hAnsi="Sakkal Majalla" w:cs="Sakkal Majalla"/>
          <w:bCs/>
          <w:color w:val="17365D"/>
          <w:sz w:val="40"/>
          <w:szCs w:val="40"/>
          <w:rtl/>
          <w:lang w:val="ar-SA"/>
        </w:rPr>
      </w:pPr>
    </w:p>
    <w:p w14:paraId="39D8DB4F" w14:textId="77777777" w:rsidR="00986803" w:rsidRPr="00DB29B7" w:rsidRDefault="00DB29B7" w:rsidP="000B362E">
      <w:pPr>
        <w:pBdr>
          <w:bottom w:val="single" w:sz="14" w:space="7" w:color="C69C3A"/>
        </w:pBdr>
        <w:bidi/>
        <w:spacing w:after="0" w:line="240" w:lineRule="auto"/>
        <w:ind w:firstLine="0"/>
        <w:jc w:val="center"/>
        <w:rPr>
          <w:rFonts w:ascii="Sakkal Majalla" w:hAnsi="Sakkal Majalla" w:cs="Sakkal Majalla"/>
          <w:bCs/>
          <w:sz w:val="36"/>
          <w:szCs w:val="36"/>
        </w:rPr>
      </w:pPr>
      <w:r w:rsidRPr="00DB29B7">
        <w:rPr>
          <w:rFonts w:ascii="Sakkal Majalla" w:eastAsia="Noto Kufi Arabic" w:hAnsi="Sakkal Majalla" w:cs="Sakkal Majalla"/>
          <w:bCs/>
          <w:color w:val="17365D"/>
          <w:sz w:val="40"/>
          <w:szCs w:val="40"/>
          <w:rtl/>
          <w:lang w:val="ar-SA"/>
        </w:rPr>
        <w:t>الشكر والتقدير</w:t>
      </w:r>
      <w:r w:rsidR="000B362E">
        <w:rPr>
          <w:rFonts w:ascii="Sakkal Majalla" w:eastAsia="Noto Kufi Arabic" w:hAnsi="Sakkal Majalla" w:cs="Sakkal Majalla" w:hint="cs"/>
          <w:bCs/>
          <w:color w:val="17365D"/>
          <w:sz w:val="40"/>
          <w:szCs w:val="40"/>
          <w:rtl/>
          <w:lang w:val="ar-SA"/>
        </w:rPr>
        <w:t xml:space="preserve">: </w:t>
      </w:r>
    </w:p>
    <w:p w14:paraId="4F62349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الحمد لله أولاً وآخراً على ما أنعم به من توفيق وإعانة. ويتقدم الباحث بخالص الشكر والتقدير إلى المشرف العلمي على ما قدمه من توجيه منهجي وملاحظات علمية أسهمت في تطوير الدراسة، وإلى أعضاء هيئة التدريس والمحكمين والخبراء الذين أثروا أداة البحث ومحتواه. كما يتوجه بالشكر إلى الجهات الحكومية والعاملين في مجالات الأصول والمرافق والمالية والرقابة والمشتريات والهندسة على تعاونهم، وإلى الأسرة والزملاء على دعمهم المستمر. ويسأل الله أن يكون هذا العمل نافعاً في تعزيز الإدارة الرشيدة للممتلكات العامة ورفع كفاءة الإنفاق الحكومي.</w:t>
      </w:r>
    </w:p>
    <w:p w14:paraId="0588B5B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68AEEE30" w14:textId="77777777" w:rsidR="00986803" w:rsidRPr="00DB29B7" w:rsidRDefault="00DB29B7" w:rsidP="003D26DE">
      <w:pPr>
        <w:pBdr>
          <w:bottom w:val="single" w:sz="14" w:space="7" w:color="C69C3A"/>
        </w:pBdr>
        <w:bidi/>
        <w:spacing w:after="0" w:line="240" w:lineRule="auto"/>
        <w:ind w:firstLine="0"/>
        <w:jc w:val="center"/>
        <w:rPr>
          <w:rFonts w:ascii="Sakkal Majalla" w:hAnsi="Sakkal Majalla" w:cs="Sakkal Majalla"/>
          <w:bCs/>
          <w:sz w:val="40"/>
          <w:szCs w:val="40"/>
        </w:rPr>
      </w:pPr>
      <w:r w:rsidRPr="00DB29B7">
        <w:rPr>
          <w:rFonts w:ascii="Sakkal Majalla" w:eastAsia="Noto Kufi Arabic" w:hAnsi="Sakkal Majalla" w:cs="Sakkal Majalla"/>
          <w:bCs/>
          <w:color w:val="17365D"/>
          <w:sz w:val="40"/>
          <w:szCs w:val="40"/>
          <w:rtl/>
          <w:lang w:val="ar-SA"/>
        </w:rPr>
        <w:lastRenderedPageBreak/>
        <w:t>الملخص</w:t>
      </w:r>
      <w:r w:rsidRPr="00DB29B7">
        <w:rPr>
          <w:rFonts w:ascii="Sakkal Majalla" w:eastAsia="Noto Kufi Arabic" w:hAnsi="Sakkal Majalla" w:cs="Sakkal Majalla" w:hint="cs"/>
          <w:bCs/>
          <w:color w:val="17365D"/>
          <w:sz w:val="40"/>
          <w:szCs w:val="40"/>
          <w:rtl/>
          <w:lang w:val="ar-SA"/>
        </w:rPr>
        <w:t>:</w:t>
      </w:r>
    </w:p>
    <w:p w14:paraId="19F48BB2"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هدفت الدراسة إلى تحليل أثر حوكمة إدارة الممتلكات العامة في تعزيز كفاءة الإنفاق الحكومي العقاري في المملكة العربية السعودية، من خلال اختبار خمسة أبعاد هي: الشفافية والإفصاح، والمساءلة والرقابة الداخلية، وتكامل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والتخطيط الاستراتيجي وإدارة دورة حياة الأصل، وإدارة المخاطر والامتثال. واعتمدت الدراسة المنهج الوصفي التحليلي بتصميم مسحي مقطعي، واستخدمت استبانة مكونة من 32 عبارة طُبقت على عينة بلغت 318 من العاملين في إدارات الأصول والمرافق والمالية والمراجعة والمخاطر والعقود والهندسة والتشغيل والصيانة في جهات حكومية متنوعة. وتم التحقق من الصدق الظاهري والبنائي والاتساق الداخلي، وبلغ معامل ألفا </w:t>
      </w:r>
      <w:proofErr w:type="spellStart"/>
      <w:r w:rsidRPr="00AE1FD7">
        <w:rPr>
          <w:rFonts w:ascii="Sakkal Majalla" w:hAnsi="Sakkal Majalla" w:cs="Sakkal Majalla"/>
          <w:color w:val="000000"/>
          <w:sz w:val="36"/>
          <w:szCs w:val="36"/>
          <w:rtl/>
          <w:lang w:val="ar-SA"/>
        </w:rPr>
        <w:t>كرونباخ</w:t>
      </w:r>
      <w:proofErr w:type="spellEnd"/>
      <w:r w:rsidRPr="00AE1FD7">
        <w:rPr>
          <w:rFonts w:ascii="Sakkal Majalla" w:hAnsi="Sakkal Majalla" w:cs="Sakkal Majalla"/>
          <w:color w:val="000000"/>
          <w:sz w:val="36"/>
          <w:szCs w:val="36"/>
          <w:rtl/>
          <w:lang w:val="ar-SA"/>
        </w:rPr>
        <w:t xml:space="preserve"> للأداة ككل 0.948، كما بلغت قيمة KMO مقدار 0.954. وأظهرت النتائج أن مستوى حوكمة إدارة الممتلكات العامة جاء مرتفعاً، وتصدره بُعد إدارة المخاطر والامتثال، في حين جاء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في المرتبة الأخيرة. وبلغ متوسط كفاءة الإنفاق الحكومي العقاري 3.81 من خمس درجات. كما كشفت النتائج عن علاقة موجبة قوية بين الحوكمة والكفاءة، وفسرت الحوكمة 65.1% من التباين في كفاءة الإنفاق. وفي نموذج الانحدار المتعدد تصدر التخطيط الاستراتيجي وإدارة دورة حياة الأصل الأبعاد الأكثر تأثيراً، يليه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ثم الشفافية والإفصاح، مع دلالة جميع الأبعاد. ولم تظهر فروق جوهرية مستقرة تعزى إلى معظم الخصائص الوظيفية. واقترحت الدراسة إطاراً تطبيقياً من ست ركائز يشمل الحوكمة المؤسسية، والسجل الرقمي الموحد، والتخطيط وإدارة المحفظة، وإدارة دورة الحياة، والمخاطر والامتثال، وقياس القيمة والتحسين المستمر. وأوصت بتوحيد البيانات وربطها مالياً وفنياً، واعتماد خطط محفظة ودورة حياة، وتطوير لوحات مؤشرات، ومراجعة الاستئجار والاستخدام، وبناء قدرات مهنية متخصصة.</w:t>
      </w:r>
    </w:p>
    <w:p w14:paraId="559FE07D" w14:textId="77777777" w:rsidR="00986803" w:rsidRPr="00AE1FD7" w:rsidRDefault="00DB29B7" w:rsidP="00697C88">
      <w:pPr>
        <w:bidi/>
        <w:spacing w:after="0" w:line="240" w:lineRule="auto"/>
        <w:ind w:firstLine="0"/>
        <w:rPr>
          <w:rFonts w:ascii="Sakkal Majalla" w:hAnsi="Sakkal Majalla" w:cs="Sakkal Majalla"/>
          <w:sz w:val="36"/>
          <w:szCs w:val="36"/>
        </w:rPr>
      </w:pPr>
      <w:r w:rsidRPr="00DB29B7">
        <w:rPr>
          <w:rFonts w:ascii="Sakkal Majalla" w:hAnsi="Sakkal Majalla" w:cs="Sakkal Majalla"/>
          <w:bCs/>
          <w:color w:val="17365D"/>
          <w:sz w:val="36"/>
          <w:szCs w:val="36"/>
          <w:rtl/>
          <w:lang w:val="ar-SA"/>
        </w:rPr>
        <w:t xml:space="preserve">الكلمات المفتاحية: </w:t>
      </w:r>
      <w:r w:rsidRPr="00AE1FD7">
        <w:rPr>
          <w:rFonts w:ascii="Sakkal Majalla" w:hAnsi="Sakkal Majalla" w:cs="Sakkal Majalla"/>
          <w:b/>
          <w:color w:val="17365D"/>
          <w:sz w:val="36"/>
          <w:szCs w:val="36"/>
          <w:rtl/>
          <w:lang w:val="ar-SA"/>
        </w:rPr>
        <w:t>الحوكمة العامة، إدارة الممتلكات العامة، الأصول العقارية الحكومية، كفاءة الإنفاق، إدارة دورة حياة الأصل، المملكة العربية السعودية.</w:t>
      </w:r>
    </w:p>
    <w:p w14:paraId="7173F76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08E7C62D" w14:textId="77777777" w:rsidR="00986803" w:rsidRPr="00AE1FD7" w:rsidRDefault="00DB29B7" w:rsidP="003D26DE">
      <w:pPr>
        <w:pBdr>
          <w:bottom w:val="single" w:sz="14" w:space="7" w:color="C69C3A"/>
        </w:pBd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b/>
          <w:color w:val="17365D"/>
          <w:sz w:val="36"/>
          <w:szCs w:val="36"/>
          <w:lang w:bidi="en-US"/>
        </w:rPr>
        <w:lastRenderedPageBreak/>
        <w:t>ABSTRACT</w:t>
      </w:r>
      <w:r w:rsidR="003D26DE">
        <w:rPr>
          <w:rFonts w:ascii="Sakkal Majalla" w:eastAsia="DejaVu Sans" w:hAnsi="Sakkal Majalla" w:cs="Sakkal Majalla"/>
          <w:b/>
          <w:color w:val="17365D"/>
          <w:sz w:val="36"/>
          <w:szCs w:val="36"/>
          <w:lang w:bidi="en-US"/>
        </w:rPr>
        <w:t xml:space="preserve">: </w:t>
      </w:r>
    </w:p>
    <w:p w14:paraId="3EAA5B07" w14:textId="77777777" w:rsidR="00986803" w:rsidRPr="003D26DE" w:rsidRDefault="00DB29B7" w:rsidP="003D26DE">
      <w:pPr>
        <w:spacing w:after="0" w:line="240" w:lineRule="auto"/>
        <w:ind w:firstLine="0"/>
        <w:rPr>
          <w:rFonts w:ascii="Sakkal Majalla" w:hAnsi="Sakkal Majalla" w:cs="Sakkal Majalla"/>
          <w:sz w:val="34"/>
          <w:szCs w:val="34"/>
        </w:rPr>
      </w:pPr>
      <w:r w:rsidRPr="003D26DE">
        <w:rPr>
          <w:rFonts w:ascii="Sakkal Majalla" w:eastAsia="DejaVu Sans" w:hAnsi="Sakkal Majalla" w:cs="Sakkal Majalla"/>
          <w:color w:val="000000"/>
          <w:sz w:val="34"/>
          <w:szCs w:val="34"/>
          <w:lang w:bidi="en-US"/>
        </w:rPr>
        <w:t xml:space="preserve">This study examined the impact of public property management governance on the efficiency of government real estate expenditure in Saudi Arabia. Governance was </w:t>
      </w:r>
      <w:proofErr w:type="spellStart"/>
      <w:r w:rsidRPr="003D26DE">
        <w:rPr>
          <w:rFonts w:ascii="Sakkal Majalla" w:eastAsia="DejaVu Sans" w:hAnsi="Sakkal Majalla" w:cs="Sakkal Majalla"/>
          <w:color w:val="000000"/>
          <w:sz w:val="34"/>
          <w:szCs w:val="34"/>
          <w:lang w:bidi="en-US"/>
        </w:rPr>
        <w:t>operationalised</w:t>
      </w:r>
      <w:proofErr w:type="spellEnd"/>
      <w:r w:rsidRPr="003D26DE">
        <w:rPr>
          <w:rFonts w:ascii="Sakkal Majalla" w:eastAsia="DejaVu Sans" w:hAnsi="Sakkal Majalla" w:cs="Sakkal Majalla"/>
          <w:color w:val="000000"/>
          <w:sz w:val="34"/>
          <w:szCs w:val="34"/>
          <w:lang w:bidi="en-US"/>
        </w:rPr>
        <w:t xml:space="preserve"> through five dimensions: transparency and disclosure; accountability and internal control; data integration and </w:t>
      </w:r>
      <w:proofErr w:type="spellStart"/>
      <w:r w:rsidRPr="003D26DE">
        <w:rPr>
          <w:rFonts w:ascii="Sakkal Majalla" w:eastAsia="DejaVu Sans" w:hAnsi="Sakkal Majalla" w:cs="Sakkal Majalla"/>
          <w:color w:val="000000"/>
          <w:sz w:val="34"/>
          <w:szCs w:val="34"/>
          <w:lang w:bidi="en-US"/>
        </w:rPr>
        <w:t>digitalisation</w:t>
      </w:r>
      <w:proofErr w:type="spellEnd"/>
      <w:r w:rsidRPr="003D26DE">
        <w:rPr>
          <w:rFonts w:ascii="Sakkal Majalla" w:eastAsia="DejaVu Sans" w:hAnsi="Sakkal Majalla" w:cs="Sakkal Majalla"/>
          <w:color w:val="000000"/>
          <w:sz w:val="34"/>
          <w:szCs w:val="34"/>
          <w:lang w:bidi="en-US"/>
        </w:rPr>
        <w:t xml:space="preserve">; strategic planning and asset life-cycle management; and risk management and compliance. A descriptive-analytical, cross-sectional survey design was employed. Data were collected through a 32-item questionnaire from 318 professionals working in public asset and facility management, finance, internal audit and risk, procurement and contracts, engineering, operations, and maintenance. The instrument demonstrated strong reliability (overall Cronbach’s alpha = 0.948) and sampling adequacy (KMO = 0.954). The results indicated a high overall level of governance, with risk management and compliance ranked first, while data integration and </w:t>
      </w:r>
      <w:proofErr w:type="spellStart"/>
      <w:r w:rsidRPr="003D26DE">
        <w:rPr>
          <w:rFonts w:ascii="Sakkal Majalla" w:eastAsia="DejaVu Sans" w:hAnsi="Sakkal Majalla" w:cs="Sakkal Majalla"/>
          <w:color w:val="000000"/>
          <w:sz w:val="34"/>
          <w:szCs w:val="34"/>
          <w:lang w:bidi="en-US"/>
        </w:rPr>
        <w:t>digitalisation</w:t>
      </w:r>
      <w:proofErr w:type="spellEnd"/>
      <w:r w:rsidRPr="003D26DE">
        <w:rPr>
          <w:rFonts w:ascii="Sakkal Majalla" w:eastAsia="DejaVu Sans" w:hAnsi="Sakkal Majalla" w:cs="Sakkal Majalla"/>
          <w:color w:val="000000"/>
          <w:sz w:val="34"/>
          <w:szCs w:val="34"/>
          <w:lang w:bidi="en-US"/>
        </w:rPr>
        <w:t xml:space="preserve"> ranked last. The mean level of government real estate expenditure efficiency was 3.81 out of five. Governance had a strong positive relationship with expenditure efficiency and explained 65.1% of its variance. In the multiple regression model, strategic planning and asset life-cycle management had the strongest </w:t>
      </w:r>
      <w:proofErr w:type="spellStart"/>
      <w:r w:rsidRPr="003D26DE">
        <w:rPr>
          <w:rFonts w:ascii="Sakkal Majalla" w:eastAsia="DejaVu Sans" w:hAnsi="Sakkal Majalla" w:cs="Sakkal Majalla"/>
          <w:color w:val="000000"/>
          <w:sz w:val="34"/>
          <w:szCs w:val="34"/>
          <w:lang w:bidi="en-US"/>
        </w:rPr>
        <w:t>standardised</w:t>
      </w:r>
      <w:proofErr w:type="spellEnd"/>
      <w:r w:rsidRPr="003D26DE">
        <w:rPr>
          <w:rFonts w:ascii="Sakkal Majalla" w:eastAsia="DejaVu Sans" w:hAnsi="Sakkal Majalla" w:cs="Sakkal Majalla"/>
          <w:color w:val="000000"/>
          <w:sz w:val="34"/>
          <w:szCs w:val="34"/>
          <w:lang w:bidi="en-US"/>
        </w:rPr>
        <w:t xml:space="preserve"> effect, followed closely by data integration and </w:t>
      </w:r>
      <w:proofErr w:type="spellStart"/>
      <w:r w:rsidRPr="003D26DE">
        <w:rPr>
          <w:rFonts w:ascii="Sakkal Majalla" w:eastAsia="DejaVu Sans" w:hAnsi="Sakkal Majalla" w:cs="Sakkal Majalla"/>
          <w:color w:val="000000"/>
          <w:sz w:val="34"/>
          <w:szCs w:val="34"/>
          <w:lang w:bidi="en-US"/>
        </w:rPr>
        <w:t>digitalisation</w:t>
      </w:r>
      <w:proofErr w:type="spellEnd"/>
      <w:r w:rsidRPr="003D26DE">
        <w:rPr>
          <w:rFonts w:ascii="Sakkal Majalla" w:eastAsia="DejaVu Sans" w:hAnsi="Sakkal Majalla" w:cs="Sakkal Majalla"/>
          <w:color w:val="000000"/>
          <w:sz w:val="34"/>
          <w:szCs w:val="34"/>
          <w:lang w:bidi="en-US"/>
        </w:rPr>
        <w:t xml:space="preserve">, then transparency and disclosure; all five dimensions were statistically significant. Demographic and occupational differences were generally limited. The study proposes a six-pillar implementation framework covering institutional governance, a unified digital asset register, portfolio planning, life-cycle management, risk and compliance, and value measurement and continuous improvement. It recommends integrating financial, technical, and operational data; adopting portfolio and life-cycle plans; reviewing leasing and </w:t>
      </w:r>
      <w:proofErr w:type="spellStart"/>
      <w:r w:rsidRPr="003D26DE">
        <w:rPr>
          <w:rFonts w:ascii="Sakkal Majalla" w:eastAsia="DejaVu Sans" w:hAnsi="Sakkal Majalla" w:cs="Sakkal Majalla"/>
          <w:color w:val="000000"/>
          <w:sz w:val="34"/>
          <w:szCs w:val="34"/>
          <w:lang w:bidi="en-US"/>
        </w:rPr>
        <w:t>utilisation</w:t>
      </w:r>
      <w:proofErr w:type="spellEnd"/>
      <w:r w:rsidRPr="003D26DE">
        <w:rPr>
          <w:rFonts w:ascii="Sakkal Majalla" w:eastAsia="DejaVu Sans" w:hAnsi="Sakkal Majalla" w:cs="Sakkal Majalla"/>
          <w:color w:val="000000"/>
          <w:sz w:val="34"/>
          <w:szCs w:val="34"/>
          <w:lang w:bidi="en-US"/>
        </w:rPr>
        <w:t xml:space="preserve"> decisions; strengthening performance dashboards; and developing </w:t>
      </w:r>
      <w:proofErr w:type="spellStart"/>
      <w:r w:rsidRPr="003D26DE">
        <w:rPr>
          <w:rFonts w:ascii="Sakkal Majalla" w:eastAsia="DejaVu Sans" w:hAnsi="Sakkal Majalla" w:cs="Sakkal Majalla"/>
          <w:color w:val="000000"/>
          <w:sz w:val="34"/>
          <w:szCs w:val="34"/>
          <w:lang w:bidi="en-US"/>
        </w:rPr>
        <w:t>specialised</w:t>
      </w:r>
      <w:proofErr w:type="spellEnd"/>
      <w:r w:rsidRPr="003D26DE">
        <w:rPr>
          <w:rFonts w:ascii="Sakkal Majalla" w:eastAsia="DejaVu Sans" w:hAnsi="Sakkal Majalla" w:cs="Sakkal Majalla"/>
          <w:color w:val="000000"/>
          <w:sz w:val="34"/>
          <w:szCs w:val="34"/>
          <w:lang w:bidi="en-US"/>
        </w:rPr>
        <w:t xml:space="preserve"> professional capabilities.</w:t>
      </w:r>
    </w:p>
    <w:p w14:paraId="2872FB9A" w14:textId="77777777" w:rsidR="00986803" w:rsidRPr="003D26DE" w:rsidRDefault="00DB29B7" w:rsidP="003D26DE">
      <w:pPr>
        <w:spacing w:after="0" w:line="240" w:lineRule="auto"/>
        <w:ind w:firstLine="0"/>
        <w:rPr>
          <w:rFonts w:ascii="Sakkal Majalla" w:hAnsi="Sakkal Majalla" w:cs="Sakkal Majalla"/>
          <w:sz w:val="34"/>
          <w:szCs w:val="34"/>
        </w:rPr>
      </w:pPr>
      <w:r w:rsidRPr="003D26DE">
        <w:rPr>
          <w:rFonts w:ascii="Sakkal Majalla" w:eastAsia="DejaVu Sans" w:hAnsi="Sakkal Majalla" w:cs="Sakkal Majalla"/>
          <w:b/>
          <w:color w:val="17365D"/>
          <w:sz w:val="34"/>
          <w:szCs w:val="34"/>
          <w:lang w:bidi="en-US"/>
        </w:rPr>
        <w:t>Keywords: public governance; public property management; government real estate assets; expenditure efficiency; asset life-cycle management; Saudi Arabia.</w:t>
      </w:r>
    </w:p>
    <w:p w14:paraId="5E2B178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sdt>
      <w:sdtPr>
        <w:rPr>
          <w:rFonts w:ascii="Noto Naskh Arabic" w:eastAsia="Noto Naskh Arabic" w:hAnsi="Noto Naskh Arabic" w:cs="Noto Naskh Arabic"/>
          <w:b w:val="0"/>
          <w:bCs w:val="0"/>
          <w:color w:val="auto"/>
          <w:sz w:val="42"/>
          <w:szCs w:val="30"/>
          <w:rtl/>
          <w:lang w:val="ar-SA"/>
        </w:rPr>
        <w:id w:val="-1196150741"/>
        <w:docPartObj>
          <w:docPartGallery w:val="Table of Contents"/>
          <w:docPartUnique/>
        </w:docPartObj>
      </w:sdtPr>
      <w:sdtEndPr>
        <w:rPr>
          <w:sz w:val="28"/>
          <w:szCs w:val="22"/>
        </w:rPr>
      </w:sdtEndPr>
      <w:sdtContent>
        <w:p w14:paraId="3632E5BF" w14:textId="77777777" w:rsidR="005714E8" w:rsidRPr="009868D4" w:rsidRDefault="005714E8" w:rsidP="005714E8">
          <w:pPr>
            <w:pStyle w:val="af9"/>
            <w:bidi/>
            <w:spacing w:after="0" w:line="240" w:lineRule="auto"/>
            <w:ind w:firstLine="56"/>
            <w:rPr>
              <w:rFonts w:ascii="Sakkal Majalla" w:hAnsi="Sakkal Majalla" w:cs="Sakkal Majalla"/>
              <w:sz w:val="42"/>
              <w:szCs w:val="30"/>
            </w:rPr>
          </w:pPr>
          <w:r w:rsidRPr="009868D4">
            <w:rPr>
              <w:rFonts w:ascii="Sakkal Majalla" w:hAnsi="Sakkal Majalla" w:cs="Sakkal Majalla"/>
              <w:sz w:val="42"/>
              <w:szCs w:val="30"/>
              <w:rtl/>
              <w:lang w:val="ar-SA"/>
            </w:rPr>
            <w:t>المحتويات</w:t>
          </w:r>
        </w:p>
        <w:p w14:paraId="59A49758"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r w:rsidRPr="005714E8">
            <w:rPr>
              <w:rFonts w:ascii="Sakkal Majalla" w:hAnsi="Sakkal Majalla" w:cs="Sakkal Majalla"/>
            </w:rPr>
            <w:fldChar w:fldCharType="begin"/>
          </w:r>
          <w:r w:rsidRPr="005714E8">
            <w:rPr>
              <w:rFonts w:ascii="Sakkal Majalla" w:hAnsi="Sakkal Majalla" w:cs="Sakkal Majalla"/>
            </w:rPr>
            <w:instrText xml:space="preserve"> TOC \o "1-3" \h \z \u </w:instrText>
          </w:r>
          <w:r w:rsidRPr="005714E8">
            <w:rPr>
              <w:rFonts w:ascii="Sakkal Majalla" w:hAnsi="Sakkal Majalla" w:cs="Sakkal Majalla"/>
            </w:rPr>
            <w:fldChar w:fldCharType="separate"/>
          </w:r>
          <w:hyperlink w:anchor="_Toc235205564" w:history="1">
            <w:r w:rsidRPr="005714E8">
              <w:rPr>
                <w:rStyle w:val="Hyperlink"/>
                <w:rFonts w:ascii="Sakkal Majalla" w:eastAsia="Noto Kufi Arabic" w:hAnsi="Sakkal Majalla" w:cs="Sakkal Majalla"/>
                <w:noProof/>
                <w:rtl/>
                <w:lang w:val="ar-SA"/>
              </w:rPr>
              <w:t xml:space="preserve">الفصل الأول: الإطار </w:t>
            </w:r>
            <w:r w:rsidRPr="005714E8">
              <w:rPr>
                <w:rStyle w:val="Hyperlink"/>
                <w:rFonts w:ascii="Sakkal Majalla" w:eastAsia="Noto Kufi Arabic" w:hAnsi="Sakkal Majalla" w:cs="Sakkal Majalla"/>
                <w:noProof/>
                <w:sz w:val="26"/>
                <w:szCs w:val="20"/>
                <w:rtl/>
                <w:lang w:val="ar-SA"/>
              </w:rPr>
              <w:t>العام</w:t>
            </w:r>
            <w:r w:rsidRPr="005714E8">
              <w:rPr>
                <w:rStyle w:val="Hyperlink"/>
                <w:rFonts w:ascii="Sakkal Majalla" w:eastAsia="Noto Kufi Arabic" w:hAnsi="Sakkal Majalla" w:cs="Sakkal Majalla"/>
                <w:noProof/>
                <w:rtl/>
                <w:lang w:val="ar-SA"/>
              </w:rPr>
              <w:t xml:space="preserve"> للدراسة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w:t>
            </w:r>
            <w:r w:rsidRPr="005714E8">
              <w:rPr>
                <w:rFonts w:ascii="Sakkal Majalla" w:hAnsi="Sakkal Majalla" w:cs="Sakkal Majalla"/>
                <w:noProof/>
                <w:webHidden/>
              </w:rPr>
              <w:fldChar w:fldCharType="end"/>
            </w:r>
          </w:hyperlink>
        </w:p>
        <w:p w14:paraId="1A4EE556"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65" w:history="1">
            <w:r w:rsidRPr="005714E8">
              <w:rPr>
                <w:rStyle w:val="Hyperlink"/>
                <w:rFonts w:ascii="Sakkal Majalla" w:eastAsia="Noto Kufi Arabic" w:hAnsi="Sakkal Majalla" w:cs="Sakkal Majalla"/>
                <w:noProof/>
                <w:rtl/>
                <w:lang w:val="ar-SA"/>
              </w:rPr>
              <w:t>1.1 مقدمة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w:t>
            </w:r>
            <w:r w:rsidRPr="005714E8">
              <w:rPr>
                <w:rFonts w:ascii="Sakkal Majalla" w:hAnsi="Sakkal Majalla" w:cs="Sakkal Majalla"/>
                <w:noProof/>
                <w:webHidden/>
              </w:rPr>
              <w:fldChar w:fldCharType="end"/>
            </w:r>
          </w:hyperlink>
        </w:p>
        <w:p w14:paraId="5FC0C9F7"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66" w:history="1">
            <w:r w:rsidRPr="005714E8">
              <w:rPr>
                <w:rStyle w:val="Hyperlink"/>
                <w:rFonts w:ascii="Sakkal Majalla" w:eastAsia="Noto Kufi Arabic" w:hAnsi="Sakkal Majalla" w:cs="Sakkal Majalla"/>
                <w:noProof/>
                <w:rtl/>
                <w:lang w:val="ar-SA"/>
              </w:rPr>
              <w:t>1.2 خلفية الدراسة وسياقها المؤسسي :</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w:t>
            </w:r>
            <w:r w:rsidRPr="005714E8">
              <w:rPr>
                <w:rFonts w:ascii="Sakkal Majalla" w:hAnsi="Sakkal Majalla" w:cs="Sakkal Majalla"/>
                <w:noProof/>
                <w:webHidden/>
              </w:rPr>
              <w:fldChar w:fldCharType="end"/>
            </w:r>
          </w:hyperlink>
        </w:p>
        <w:p w14:paraId="0210EBA4"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67" w:history="1">
            <w:r w:rsidRPr="005714E8">
              <w:rPr>
                <w:rStyle w:val="Hyperlink"/>
                <w:rFonts w:ascii="Sakkal Majalla" w:eastAsia="Noto Kufi Arabic" w:hAnsi="Sakkal Majalla" w:cs="Sakkal Majalla"/>
                <w:noProof/>
                <w:rtl/>
                <w:lang w:val="ar-SA"/>
              </w:rPr>
              <w:t>1.3 مشكلة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w:t>
            </w:r>
            <w:r w:rsidRPr="005714E8">
              <w:rPr>
                <w:rFonts w:ascii="Sakkal Majalla" w:hAnsi="Sakkal Majalla" w:cs="Sakkal Majalla"/>
                <w:noProof/>
                <w:webHidden/>
              </w:rPr>
              <w:fldChar w:fldCharType="end"/>
            </w:r>
          </w:hyperlink>
        </w:p>
        <w:p w14:paraId="5E2C9D10"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68" w:history="1">
            <w:r w:rsidRPr="005714E8">
              <w:rPr>
                <w:rStyle w:val="Hyperlink"/>
                <w:rFonts w:ascii="Sakkal Majalla" w:eastAsia="Noto Kufi Arabic" w:hAnsi="Sakkal Majalla" w:cs="Sakkal Majalla"/>
                <w:noProof/>
                <w:rtl/>
                <w:lang w:val="ar-SA"/>
              </w:rPr>
              <w:t>1.4 أسئلة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w:t>
            </w:r>
            <w:r w:rsidRPr="005714E8">
              <w:rPr>
                <w:rFonts w:ascii="Sakkal Majalla" w:hAnsi="Sakkal Majalla" w:cs="Sakkal Majalla"/>
                <w:noProof/>
                <w:webHidden/>
              </w:rPr>
              <w:fldChar w:fldCharType="end"/>
            </w:r>
          </w:hyperlink>
        </w:p>
        <w:p w14:paraId="70924847"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69" w:history="1">
            <w:r w:rsidRPr="005714E8">
              <w:rPr>
                <w:rStyle w:val="Hyperlink"/>
                <w:rFonts w:ascii="Sakkal Majalla" w:eastAsia="Noto Kufi Arabic" w:hAnsi="Sakkal Majalla" w:cs="Sakkal Majalla"/>
                <w:noProof/>
                <w:rtl/>
                <w:lang w:val="ar-SA"/>
              </w:rPr>
              <w:t>1.5 أهداف الدراسة :</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_Toc235205569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w:t>
            </w:r>
            <w:r w:rsidRPr="005714E8">
              <w:rPr>
                <w:rFonts w:ascii="Sakkal Majalla" w:hAnsi="Sakkal Majalla" w:cs="Sakkal Majalla"/>
                <w:noProof/>
                <w:webHidden/>
              </w:rPr>
              <w:fldChar w:fldCharType="end"/>
            </w:r>
          </w:hyperlink>
        </w:p>
        <w:p w14:paraId="36EBB7F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0" w:history="1">
            <w:r w:rsidRPr="005714E8">
              <w:rPr>
                <w:rStyle w:val="Hyperlink"/>
                <w:rFonts w:ascii="Sakkal Majalla" w:eastAsia="Noto Kufi Arabic" w:hAnsi="Sakkal Majalla" w:cs="Sakkal Majalla"/>
                <w:noProof/>
                <w:rtl/>
                <w:lang w:val="ar-SA"/>
              </w:rPr>
              <w:t>1.6 أهمية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w:t>
            </w:r>
            <w:r w:rsidRPr="005714E8">
              <w:rPr>
                <w:rFonts w:ascii="Sakkal Majalla" w:hAnsi="Sakkal Majalla" w:cs="Sakkal Majalla"/>
                <w:noProof/>
                <w:webHidden/>
              </w:rPr>
              <w:fldChar w:fldCharType="end"/>
            </w:r>
          </w:hyperlink>
        </w:p>
        <w:p w14:paraId="0BFE49D8"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71" w:history="1">
            <w:r w:rsidRPr="005714E8">
              <w:rPr>
                <w:rStyle w:val="Hyperlink"/>
                <w:rFonts w:ascii="Sakkal Majalla" w:eastAsia="Noto Kufi Arabic" w:hAnsi="Sakkal Majalla" w:cs="Sakkal Majalla"/>
                <w:noProof/>
                <w:rtl/>
                <w:lang w:val="ar-SA"/>
              </w:rPr>
              <w:t>1.6.1 الأهمية العلمية: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w:t>
            </w:r>
            <w:r w:rsidRPr="005714E8">
              <w:rPr>
                <w:rFonts w:ascii="Sakkal Majalla" w:hAnsi="Sakkal Majalla" w:cs="Sakkal Majalla"/>
                <w:noProof/>
                <w:webHidden/>
              </w:rPr>
              <w:fldChar w:fldCharType="end"/>
            </w:r>
          </w:hyperlink>
        </w:p>
        <w:p w14:paraId="35638A48"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72" w:history="1">
            <w:r w:rsidRPr="005714E8">
              <w:rPr>
                <w:rStyle w:val="Hyperlink"/>
                <w:rFonts w:ascii="Sakkal Majalla" w:eastAsia="Noto Kufi Arabic" w:hAnsi="Sakkal Majalla" w:cs="Sakkal Majalla"/>
                <w:noProof/>
                <w:rtl/>
                <w:lang w:val="ar-SA"/>
              </w:rPr>
              <w:t>1.6.2 الأهمية التطبيقية: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8</w:t>
            </w:r>
            <w:r w:rsidRPr="005714E8">
              <w:rPr>
                <w:rFonts w:ascii="Sakkal Majalla" w:hAnsi="Sakkal Majalla" w:cs="Sakkal Majalla"/>
                <w:noProof/>
                <w:webHidden/>
              </w:rPr>
              <w:fldChar w:fldCharType="end"/>
            </w:r>
          </w:hyperlink>
        </w:p>
        <w:p w14:paraId="46BCC97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73" w:history="1">
            <w:r w:rsidRPr="005714E8">
              <w:rPr>
                <w:rStyle w:val="Hyperlink"/>
                <w:rFonts w:ascii="Sakkal Majalla" w:eastAsia="Noto Kufi Arabic" w:hAnsi="Sakkal Majalla" w:cs="Sakkal Majalla"/>
                <w:noProof/>
                <w:rtl/>
                <w:lang w:val="ar-SA"/>
              </w:rPr>
              <w:t>1.6.3 الأهمية السياساتيّة والتنظيمية: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8</w:t>
            </w:r>
            <w:r w:rsidRPr="005714E8">
              <w:rPr>
                <w:rFonts w:ascii="Sakkal Majalla" w:hAnsi="Sakkal Majalla" w:cs="Sakkal Majalla"/>
                <w:noProof/>
                <w:webHidden/>
              </w:rPr>
              <w:fldChar w:fldCharType="end"/>
            </w:r>
          </w:hyperlink>
        </w:p>
        <w:p w14:paraId="5388D35C"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4" w:history="1">
            <w:r w:rsidRPr="005714E8">
              <w:rPr>
                <w:rStyle w:val="Hyperlink"/>
                <w:rFonts w:ascii="Sakkal Majalla" w:eastAsia="Noto Kufi Arabic" w:hAnsi="Sakkal Majalla" w:cs="Sakkal Majalla"/>
                <w:noProof/>
                <w:rtl/>
                <w:lang w:val="ar-SA"/>
              </w:rPr>
              <w:t>1.7 فرضيات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9</w:t>
            </w:r>
            <w:r w:rsidRPr="005714E8">
              <w:rPr>
                <w:rFonts w:ascii="Sakkal Majalla" w:hAnsi="Sakkal Majalla" w:cs="Sakkal Majalla"/>
                <w:noProof/>
                <w:webHidden/>
              </w:rPr>
              <w:fldChar w:fldCharType="end"/>
            </w:r>
          </w:hyperlink>
        </w:p>
        <w:p w14:paraId="43214C0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5" w:history="1">
            <w:r w:rsidRPr="005714E8">
              <w:rPr>
                <w:rStyle w:val="Hyperlink"/>
                <w:rFonts w:ascii="Sakkal Majalla" w:eastAsia="Noto Kufi Arabic" w:hAnsi="Sakkal Majalla" w:cs="Sakkal Majalla"/>
                <w:noProof/>
                <w:rtl/>
                <w:lang w:val="ar-SA"/>
              </w:rPr>
              <w:t>1.8 النموذج المفاهيمي للدراسة: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10</w:t>
            </w:r>
            <w:r w:rsidRPr="005714E8">
              <w:rPr>
                <w:rFonts w:ascii="Sakkal Majalla" w:hAnsi="Sakkal Majalla" w:cs="Sakkal Majalla"/>
                <w:noProof/>
                <w:webHidden/>
              </w:rPr>
              <w:fldChar w:fldCharType="end"/>
            </w:r>
          </w:hyperlink>
        </w:p>
        <w:p w14:paraId="6F6FBAE8"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6" w:history="1">
            <w:r w:rsidRPr="005714E8">
              <w:rPr>
                <w:rStyle w:val="Hyperlink"/>
                <w:rFonts w:ascii="Sakkal Majalla" w:eastAsia="Noto Kufi Arabic" w:hAnsi="Sakkal Majalla" w:cs="Sakkal Majalla"/>
                <w:noProof/>
                <w:rtl/>
                <w:lang w:val="ar-SA"/>
              </w:rPr>
              <w:t>1.9 التعريفات المفاهيمية والإجرائية: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11</w:t>
            </w:r>
            <w:r w:rsidRPr="005714E8">
              <w:rPr>
                <w:rFonts w:ascii="Sakkal Majalla" w:hAnsi="Sakkal Majalla" w:cs="Sakkal Majalla"/>
                <w:noProof/>
                <w:webHidden/>
              </w:rPr>
              <w:fldChar w:fldCharType="end"/>
            </w:r>
          </w:hyperlink>
        </w:p>
        <w:p w14:paraId="2C623FDB"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7" w:history="1">
            <w:r w:rsidRPr="005714E8">
              <w:rPr>
                <w:rStyle w:val="Hyperlink"/>
                <w:rFonts w:ascii="Sakkal Majalla" w:eastAsia="Noto Kufi Arabic" w:hAnsi="Sakkal Majalla" w:cs="Sakkal Majalla"/>
                <w:noProof/>
                <w:rtl/>
                <w:lang w:val="ar-SA"/>
              </w:rPr>
              <w:t>1.10 حدود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12</w:t>
            </w:r>
            <w:r w:rsidRPr="005714E8">
              <w:rPr>
                <w:rFonts w:ascii="Sakkal Majalla" w:hAnsi="Sakkal Majalla" w:cs="Sakkal Majalla"/>
                <w:noProof/>
                <w:webHidden/>
              </w:rPr>
              <w:fldChar w:fldCharType="end"/>
            </w:r>
          </w:hyperlink>
        </w:p>
        <w:p w14:paraId="50388BD9"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78" w:history="1">
            <w:r w:rsidRPr="005714E8">
              <w:rPr>
                <w:rStyle w:val="Hyperlink"/>
                <w:rFonts w:ascii="Sakkal Majalla" w:eastAsia="Noto Kufi Arabic" w:hAnsi="Sakkal Majalla" w:cs="Sakkal Majalla"/>
                <w:noProof/>
                <w:rtl/>
                <w:lang w:val="ar-SA"/>
              </w:rPr>
              <w:t>1.11 هيكل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12</w:t>
            </w:r>
            <w:r w:rsidRPr="005714E8">
              <w:rPr>
                <w:rFonts w:ascii="Sakkal Majalla" w:hAnsi="Sakkal Majalla" w:cs="Sakkal Majalla"/>
                <w:noProof/>
                <w:webHidden/>
              </w:rPr>
              <w:fldChar w:fldCharType="end"/>
            </w:r>
          </w:hyperlink>
        </w:p>
        <w:p w14:paraId="2459F520"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579" w:history="1">
            <w:r w:rsidRPr="005714E8">
              <w:rPr>
                <w:rStyle w:val="Hyperlink"/>
                <w:rFonts w:ascii="Sakkal Majalla" w:eastAsia="Noto Kufi Arabic" w:hAnsi="Sakkal Majalla" w:cs="Sakkal Majalla"/>
                <w:noProof/>
                <w:rtl/>
                <w:lang w:val="ar-SA"/>
              </w:rPr>
              <w:t>الفصل الثاني: الإطار النظري والدراسات السابقة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_Toc235205579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13</w:t>
            </w:r>
            <w:r w:rsidRPr="005714E8">
              <w:rPr>
                <w:rFonts w:ascii="Sakkal Majalla" w:hAnsi="Sakkal Majalla" w:cs="Sakkal Majalla"/>
                <w:noProof/>
                <w:webHidden/>
              </w:rPr>
              <w:fldChar w:fldCharType="end"/>
            </w:r>
          </w:hyperlink>
        </w:p>
        <w:p w14:paraId="2A1D98A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80" w:history="1">
            <w:r w:rsidRPr="005714E8">
              <w:rPr>
                <w:rStyle w:val="Hyperlink"/>
                <w:rFonts w:ascii="Sakkal Majalla" w:eastAsia="Noto Kufi Arabic" w:hAnsi="Sakkal Majalla" w:cs="Sakkal Majalla"/>
                <w:noProof/>
                <w:rtl/>
                <w:lang w:val="ar-SA"/>
              </w:rPr>
              <w:t>2.1 مقدمة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13</w:t>
            </w:r>
            <w:r w:rsidRPr="005714E8">
              <w:rPr>
                <w:rFonts w:ascii="Sakkal Majalla" w:hAnsi="Sakkal Majalla" w:cs="Sakkal Majalla"/>
                <w:noProof/>
                <w:webHidden/>
              </w:rPr>
              <w:fldChar w:fldCharType="end"/>
            </w:r>
          </w:hyperlink>
        </w:p>
        <w:p w14:paraId="4C770CB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81" w:history="1">
            <w:r w:rsidRPr="005714E8">
              <w:rPr>
                <w:rStyle w:val="Hyperlink"/>
                <w:rFonts w:ascii="Sakkal Majalla" w:eastAsia="Noto Kufi Arabic" w:hAnsi="Sakkal Majalla" w:cs="Sakkal Majalla"/>
                <w:noProof/>
                <w:rtl/>
                <w:lang w:val="ar-SA"/>
              </w:rPr>
              <w:t>2.2 الحوكمة في القطاع العام:</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13</w:t>
            </w:r>
            <w:r w:rsidRPr="005714E8">
              <w:rPr>
                <w:rFonts w:ascii="Sakkal Majalla" w:hAnsi="Sakkal Majalla" w:cs="Sakkal Majalla"/>
                <w:noProof/>
                <w:webHidden/>
              </w:rPr>
              <w:fldChar w:fldCharType="end"/>
            </w:r>
          </w:hyperlink>
        </w:p>
        <w:p w14:paraId="0E2EFF6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2" w:history="1">
            <w:r w:rsidRPr="005714E8">
              <w:rPr>
                <w:rStyle w:val="Hyperlink"/>
                <w:rFonts w:ascii="Sakkal Majalla" w:eastAsia="Noto Kufi Arabic" w:hAnsi="Sakkal Majalla" w:cs="Sakkal Majalla"/>
                <w:noProof/>
                <w:rtl/>
                <w:lang w:val="ar-SA"/>
              </w:rPr>
              <w:t>2.2.1 مفهوم الحوكمة وتطوره:</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13</w:t>
            </w:r>
            <w:r w:rsidRPr="005714E8">
              <w:rPr>
                <w:rFonts w:ascii="Sakkal Majalla" w:hAnsi="Sakkal Majalla" w:cs="Sakkal Majalla"/>
                <w:noProof/>
                <w:webHidden/>
              </w:rPr>
              <w:fldChar w:fldCharType="end"/>
            </w:r>
          </w:hyperlink>
        </w:p>
        <w:p w14:paraId="3C09CE9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3" w:history="1">
            <w:r w:rsidRPr="005714E8">
              <w:rPr>
                <w:rStyle w:val="Hyperlink"/>
                <w:rFonts w:ascii="Sakkal Majalla" w:eastAsia="Noto Kufi Arabic" w:hAnsi="Sakkal Majalla" w:cs="Sakkal Majalla"/>
                <w:noProof/>
                <w:rtl/>
                <w:lang w:val="ar-SA"/>
              </w:rPr>
              <w:t>2.2.2 مبادئ الحوكمة العامة: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14</w:t>
            </w:r>
            <w:r w:rsidRPr="005714E8">
              <w:rPr>
                <w:rFonts w:ascii="Sakkal Majalla" w:hAnsi="Sakkal Majalla" w:cs="Sakkal Majalla"/>
                <w:noProof/>
                <w:webHidden/>
              </w:rPr>
              <w:fldChar w:fldCharType="end"/>
            </w:r>
          </w:hyperlink>
        </w:p>
        <w:p w14:paraId="5F484AF4"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4" w:history="1">
            <w:r w:rsidRPr="005714E8">
              <w:rPr>
                <w:rStyle w:val="Hyperlink"/>
                <w:rFonts w:ascii="Sakkal Majalla" w:eastAsia="Noto Kufi Arabic" w:hAnsi="Sakkal Majalla" w:cs="Sakkal Majalla"/>
                <w:noProof/>
                <w:rtl/>
                <w:lang w:val="ar-SA"/>
              </w:rPr>
              <w:t>2.2.3 آليات الحوكمة في إدارة الممتلكات: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14</w:t>
            </w:r>
            <w:r w:rsidRPr="005714E8">
              <w:rPr>
                <w:rFonts w:ascii="Sakkal Majalla" w:hAnsi="Sakkal Majalla" w:cs="Sakkal Majalla"/>
                <w:noProof/>
                <w:webHidden/>
              </w:rPr>
              <w:fldChar w:fldCharType="end"/>
            </w:r>
          </w:hyperlink>
        </w:p>
        <w:p w14:paraId="73705E62"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5" w:history="1">
            <w:r w:rsidRPr="005714E8">
              <w:rPr>
                <w:rStyle w:val="Hyperlink"/>
                <w:rFonts w:ascii="Sakkal Majalla" w:eastAsia="Noto Kufi Arabic" w:hAnsi="Sakkal Majalla" w:cs="Sakkal Majalla"/>
                <w:noProof/>
                <w:rtl/>
                <w:lang w:val="ar-SA"/>
              </w:rPr>
              <w:t>2.2.4 الحوكمة ونظرية الوكالة: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15</w:t>
            </w:r>
            <w:r w:rsidRPr="005714E8">
              <w:rPr>
                <w:rFonts w:ascii="Sakkal Majalla" w:hAnsi="Sakkal Majalla" w:cs="Sakkal Majalla"/>
                <w:noProof/>
                <w:webHidden/>
              </w:rPr>
              <w:fldChar w:fldCharType="end"/>
            </w:r>
          </w:hyperlink>
        </w:p>
        <w:p w14:paraId="38E1DD73"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6" w:history="1">
            <w:r w:rsidRPr="005714E8">
              <w:rPr>
                <w:rStyle w:val="Hyperlink"/>
                <w:rFonts w:ascii="Sakkal Majalla" w:eastAsia="Noto Kufi Arabic" w:hAnsi="Sakkal Majalla" w:cs="Sakkal Majalla"/>
                <w:noProof/>
                <w:rtl/>
                <w:lang w:val="ar-SA"/>
              </w:rPr>
              <w:t>2.2.5 الإدارة العامة الجديدة والقيمة العامة: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16</w:t>
            </w:r>
            <w:r w:rsidRPr="005714E8">
              <w:rPr>
                <w:rFonts w:ascii="Sakkal Majalla" w:hAnsi="Sakkal Majalla" w:cs="Sakkal Majalla"/>
                <w:noProof/>
                <w:webHidden/>
              </w:rPr>
              <w:fldChar w:fldCharType="end"/>
            </w:r>
          </w:hyperlink>
        </w:p>
        <w:p w14:paraId="4BF94464"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7" w:history="1">
            <w:r w:rsidRPr="005714E8">
              <w:rPr>
                <w:rStyle w:val="Hyperlink"/>
                <w:rFonts w:ascii="Sakkal Majalla" w:eastAsia="Noto Kufi Arabic" w:hAnsi="Sakkal Majalla" w:cs="Sakkal Majalla"/>
                <w:noProof/>
                <w:rtl/>
                <w:lang w:val="ar-SA"/>
              </w:rPr>
              <w:t>2.2.6 نضج الحوكمة وقياسها: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16</w:t>
            </w:r>
            <w:r w:rsidRPr="005714E8">
              <w:rPr>
                <w:rFonts w:ascii="Sakkal Majalla" w:hAnsi="Sakkal Majalla" w:cs="Sakkal Majalla"/>
                <w:noProof/>
                <w:webHidden/>
              </w:rPr>
              <w:fldChar w:fldCharType="end"/>
            </w:r>
          </w:hyperlink>
        </w:p>
        <w:p w14:paraId="34C19256"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88" w:history="1">
            <w:r w:rsidRPr="005714E8">
              <w:rPr>
                <w:rStyle w:val="Hyperlink"/>
                <w:rFonts w:ascii="Sakkal Majalla" w:eastAsia="Noto Kufi Arabic" w:hAnsi="Sakkal Majalla" w:cs="Sakkal Majalla"/>
                <w:noProof/>
                <w:rtl/>
                <w:lang w:val="ar-SA"/>
              </w:rPr>
              <w:t>2.3 إدارة الممتلكات العامة والأصول العقارية الحكومية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17</w:t>
            </w:r>
            <w:r w:rsidRPr="005714E8">
              <w:rPr>
                <w:rFonts w:ascii="Sakkal Majalla" w:hAnsi="Sakkal Majalla" w:cs="Sakkal Majalla"/>
                <w:noProof/>
                <w:webHidden/>
              </w:rPr>
              <w:fldChar w:fldCharType="end"/>
            </w:r>
          </w:hyperlink>
        </w:p>
        <w:p w14:paraId="0117B733"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89" w:history="1">
            <w:r w:rsidRPr="005714E8">
              <w:rPr>
                <w:rStyle w:val="Hyperlink"/>
                <w:rFonts w:ascii="Sakkal Majalla" w:eastAsia="Noto Kufi Arabic" w:hAnsi="Sakkal Majalla" w:cs="Sakkal Majalla"/>
                <w:noProof/>
                <w:rtl/>
                <w:lang w:val="ar-SA"/>
              </w:rPr>
              <w:t>2.3.1 المفهوم والنطاق: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_Toc235205589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17</w:t>
            </w:r>
            <w:r w:rsidRPr="005714E8">
              <w:rPr>
                <w:rFonts w:ascii="Sakkal Majalla" w:hAnsi="Sakkal Majalla" w:cs="Sakkal Majalla"/>
                <w:noProof/>
                <w:webHidden/>
              </w:rPr>
              <w:fldChar w:fldCharType="end"/>
            </w:r>
          </w:hyperlink>
        </w:p>
        <w:p w14:paraId="05DBDDB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0" w:history="1">
            <w:r w:rsidRPr="005714E8">
              <w:rPr>
                <w:rStyle w:val="Hyperlink"/>
                <w:rFonts w:ascii="Sakkal Majalla" w:eastAsia="Noto Kufi Arabic" w:hAnsi="Sakkal Majalla" w:cs="Sakkal Majalla"/>
                <w:noProof/>
                <w:rtl/>
                <w:lang w:val="ar-SA"/>
              </w:rPr>
              <w:t>2.3.2 تصنيف الأصول العقارية العامة: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17</w:t>
            </w:r>
            <w:r w:rsidRPr="005714E8">
              <w:rPr>
                <w:rFonts w:ascii="Sakkal Majalla" w:hAnsi="Sakkal Majalla" w:cs="Sakkal Majalla"/>
                <w:noProof/>
                <w:webHidden/>
              </w:rPr>
              <w:fldChar w:fldCharType="end"/>
            </w:r>
          </w:hyperlink>
        </w:p>
        <w:p w14:paraId="5ED5AC8B"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1" w:history="1">
            <w:r w:rsidRPr="005714E8">
              <w:rPr>
                <w:rStyle w:val="Hyperlink"/>
                <w:rFonts w:ascii="Sakkal Majalla" w:eastAsia="Noto Kufi Arabic" w:hAnsi="Sakkal Majalla" w:cs="Sakkal Majalla"/>
                <w:noProof/>
                <w:rtl/>
                <w:lang w:val="ar-SA"/>
              </w:rPr>
              <w:t>2.3.3 التحول من الإدارة التشغيلية إلى الإدارة الاستراتيجية: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17</w:t>
            </w:r>
            <w:r w:rsidRPr="005714E8">
              <w:rPr>
                <w:rFonts w:ascii="Sakkal Majalla" w:hAnsi="Sakkal Majalla" w:cs="Sakkal Majalla"/>
                <w:noProof/>
                <w:webHidden/>
              </w:rPr>
              <w:fldChar w:fldCharType="end"/>
            </w:r>
          </w:hyperlink>
        </w:p>
        <w:p w14:paraId="4649278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2" w:history="1">
            <w:r w:rsidRPr="005714E8">
              <w:rPr>
                <w:rStyle w:val="Hyperlink"/>
                <w:rFonts w:ascii="Sakkal Majalla" w:eastAsia="Noto Kufi Arabic" w:hAnsi="Sakkal Majalla" w:cs="Sakkal Majalla"/>
                <w:noProof/>
                <w:rtl/>
                <w:lang w:val="ar-SA"/>
              </w:rPr>
              <w:t>2.3.4 دورة حياة الأصل: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18</w:t>
            </w:r>
            <w:r w:rsidRPr="005714E8">
              <w:rPr>
                <w:rFonts w:ascii="Sakkal Majalla" w:hAnsi="Sakkal Majalla" w:cs="Sakkal Majalla"/>
                <w:noProof/>
                <w:webHidden/>
              </w:rPr>
              <w:fldChar w:fldCharType="end"/>
            </w:r>
          </w:hyperlink>
        </w:p>
        <w:p w14:paraId="7F7DFDCB"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3" w:history="1">
            <w:r w:rsidRPr="005714E8">
              <w:rPr>
                <w:rStyle w:val="Hyperlink"/>
                <w:rFonts w:ascii="Sakkal Majalla" w:eastAsia="Noto Kufi Arabic" w:hAnsi="Sakkal Majalla" w:cs="Sakkal Majalla"/>
                <w:noProof/>
                <w:rtl/>
                <w:lang w:val="ar-SA"/>
              </w:rPr>
              <w:t>2.3.5 إدارة المحفظة وتحقيق القيمة: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19</w:t>
            </w:r>
            <w:r w:rsidRPr="005714E8">
              <w:rPr>
                <w:rFonts w:ascii="Sakkal Majalla" w:hAnsi="Sakkal Majalla" w:cs="Sakkal Majalla"/>
                <w:noProof/>
                <w:webHidden/>
              </w:rPr>
              <w:fldChar w:fldCharType="end"/>
            </w:r>
          </w:hyperlink>
        </w:p>
        <w:p w14:paraId="1F7E44D7"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4" w:history="1">
            <w:r w:rsidRPr="005714E8">
              <w:rPr>
                <w:rStyle w:val="Hyperlink"/>
                <w:rFonts w:ascii="Sakkal Majalla" w:eastAsia="Noto Kufi Arabic" w:hAnsi="Sakkal Majalla" w:cs="Sakkal Majalla"/>
                <w:noProof/>
                <w:rtl/>
                <w:lang w:val="ar-SA"/>
              </w:rPr>
              <w:t>2.3.6 البيانات والرقمنة في إدارة الأصول: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19</w:t>
            </w:r>
            <w:r w:rsidRPr="005714E8">
              <w:rPr>
                <w:rFonts w:ascii="Sakkal Majalla" w:hAnsi="Sakkal Majalla" w:cs="Sakkal Majalla"/>
                <w:noProof/>
                <w:webHidden/>
              </w:rPr>
              <w:fldChar w:fldCharType="end"/>
            </w:r>
          </w:hyperlink>
        </w:p>
        <w:p w14:paraId="4A23BBC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5" w:history="1">
            <w:r w:rsidRPr="005714E8">
              <w:rPr>
                <w:rStyle w:val="Hyperlink"/>
                <w:rFonts w:ascii="Sakkal Majalla" w:eastAsia="Noto Kufi Arabic" w:hAnsi="Sakkal Majalla" w:cs="Sakkal Majalla"/>
                <w:noProof/>
                <w:rtl/>
                <w:lang w:val="ar-SA"/>
              </w:rPr>
              <w:t>2.3.7 إدارة المخاطر والمرونة: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20</w:t>
            </w:r>
            <w:r w:rsidRPr="005714E8">
              <w:rPr>
                <w:rFonts w:ascii="Sakkal Majalla" w:hAnsi="Sakkal Majalla" w:cs="Sakkal Majalla"/>
                <w:noProof/>
                <w:webHidden/>
              </w:rPr>
              <w:fldChar w:fldCharType="end"/>
            </w:r>
          </w:hyperlink>
        </w:p>
        <w:p w14:paraId="57E6B82C"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6" w:history="1">
            <w:r w:rsidRPr="005714E8">
              <w:rPr>
                <w:rStyle w:val="Hyperlink"/>
                <w:rFonts w:ascii="Sakkal Majalla" w:eastAsia="Noto Kufi Arabic" w:hAnsi="Sakkal Majalla" w:cs="Sakkal Majalla"/>
                <w:noProof/>
                <w:rtl/>
                <w:lang w:val="ar-SA"/>
              </w:rPr>
              <w:t>2.3.8 مؤشرات أداء إدارة الممتلكات: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20</w:t>
            </w:r>
            <w:r w:rsidRPr="005714E8">
              <w:rPr>
                <w:rFonts w:ascii="Sakkal Majalla" w:hAnsi="Sakkal Majalla" w:cs="Sakkal Majalla"/>
                <w:noProof/>
                <w:webHidden/>
              </w:rPr>
              <w:fldChar w:fldCharType="end"/>
            </w:r>
          </w:hyperlink>
        </w:p>
        <w:p w14:paraId="493460C0"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597" w:history="1">
            <w:r w:rsidRPr="005714E8">
              <w:rPr>
                <w:rStyle w:val="Hyperlink"/>
                <w:rFonts w:ascii="Sakkal Majalla" w:eastAsia="Noto Kufi Arabic" w:hAnsi="Sakkal Majalla" w:cs="Sakkal Majalla"/>
                <w:noProof/>
                <w:rtl/>
                <w:lang w:val="ar-SA"/>
              </w:rPr>
              <w:t>2.4 كفاءة الإنفاق الحكومي العقاري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21</w:t>
            </w:r>
            <w:r w:rsidRPr="005714E8">
              <w:rPr>
                <w:rFonts w:ascii="Sakkal Majalla" w:hAnsi="Sakkal Majalla" w:cs="Sakkal Majalla"/>
                <w:noProof/>
                <w:webHidden/>
              </w:rPr>
              <w:fldChar w:fldCharType="end"/>
            </w:r>
          </w:hyperlink>
        </w:p>
        <w:p w14:paraId="79708DBF"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8" w:history="1">
            <w:r w:rsidRPr="005714E8">
              <w:rPr>
                <w:rStyle w:val="Hyperlink"/>
                <w:rFonts w:ascii="Sakkal Majalla" w:eastAsia="Noto Kufi Arabic" w:hAnsi="Sakkal Majalla" w:cs="Sakkal Majalla"/>
                <w:noProof/>
                <w:rtl/>
                <w:lang w:val="ar-SA"/>
              </w:rPr>
              <w:t>2.4.1 مفهوم الكفاءة والتمييز بينها وبين الاقتصاد والفاعلية: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21</w:t>
            </w:r>
            <w:r w:rsidRPr="005714E8">
              <w:rPr>
                <w:rFonts w:ascii="Sakkal Majalla" w:hAnsi="Sakkal Majalla" w:cs="Sakkal Majalla"/>
                <w:noProof/>
                <w:webHidden/>
              </w:rPr>
              <w:fldChar w:fldCharType="end"/>
            </w:r>
          </w:hyperlink>
        </w:p>
        <w:p w14:paraId="6DFADD1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599" w:history="1">
            <w:r w:rsidRPr="005714E8">
              <w:rPr>
                <w:rStyle w:val="Hyperlink"/>
                <w:rFonts w:ascii="Sakkal Majalla" w:eastAsia="Noto Kufi Arabic" w:hAnsi="Sakkal Majalla" w:cs="Sakkal Majalla"/>
                <w:noProof/>
                <w:rtl/>
                <w:lang w:val="ar-SA"/>
              </w:rPr>
              <w:t>2.4.2 مكونات الإنفاق الحكومي العقاري: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_Toc235205599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21</w:t>
            </w:r>
            <w:r w:rsidRPr="005714E8">
              <w:rPr>
                <w:rFonts w:ascii="Sakkal Majalla" w:hAnsi="Sakkal Majalla" w:cs="Sakkal Majalla"/>
                <w:noProof/>
                <w:webHidden/>
              </w:rPr>
              <w:fldChar w:fldCharType="end"/>
            </w:r>
          </w:hyperlink>
        </w:p>
        <w:p w14:paraId="4C0062D8"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0" w:history="1">
            <w:r w:rsidRPr="005714E8">
              <w:rPr>
                <w:rStyle w:val="Hyperlink"/>
                <w:rFonts w:ascii="Sakkal Majalla" w:eastAsia="Noto Kufi Arabic" w:hAnsi="Sakkal Majalla" w:cs="Sakkal Majalla"/>
                <w:noProof/>
                <w:rtl/>
                <w:lang w:val="ar-SA"/>
              </w:rPr>
              <w:t>2.4.3 ترشيد التملك والاستئجار:</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22</w:t>
            </w:r>
            <w:r w:rsidRPr="005714E8">
              <w:rPr>
                <w:rFonts w:ascii="Sakkal Majalla" w:hAnsi="Sakkal Majalla" w:cs="Sakkal Majalla"/>
                <w:noProof/>
                <w:webHidden/>
              </w:rPr>
              <w:fldChar w:fldCharType="end"/>
            </w:r>
          </w:hyperlink>
        </w:p>
        <w:p w14:paraId="45DCC7D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1" w:history="1">
            <w:r w:rsidRPr="005714E8">
              <w:rPr>
                <w:rStyle w:val="Hyperlink"/>
                <w:rFonts w:ascii="Sakkal Majalla" w:eastAsia="Noto Kufi Arabic" w:hAnsi="Sakkal Majalla" w:cs="Sakkal Majalla"/>
                <w:noProof/>
                <w:rtl/>
                <w:lang w:val="ar-SA"/>
              </w:rPr>
              <w:t>2.4.4 كفاءة التشغيل والصيانة: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22</w:t>
            </w:r>
            <w:r w:rsidRPr="005714E8">
              <w:rPr>
                <w:rFonts w:ascii="Sakkal Majalla" w:hAnsi="Sakkal Majalla" w:cs="Sakkal Majalla"/>
                <w:noProof/>
                <w:webHidden/>
              </w:rPr>
              <w:fldChar w:fldCharType="end"/>
            </w:r>
          </w:hyperlink>
        </w:p>
        <w:p w14:paraId="41EA847A"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2" w:history="1">
            <w:r w:rsidRPr="005714E8">
              <w:rPr>
                <w:rStyle w:val="Hyperlink"/>
                <w:rFonts w:ascii="Sakkal Majalla" w:eastAsia="Noto Kufi Arabic" w:hAnsi="Sakkal Majalla" w:cs="Sakkal Majalla"/>
                <w:noProof/>
                <w:rtl/>
                <w:lang w:val="ar-SA"/>
              </w:rPr>
              <w:t>2.4.5 تحسين الاستفادة من الأصول: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22</w:t>
            </w:r>
            <w:r w:rsidRPr="005714E8">
              <w:rPr>
                <w:rFonts w:ascii="Sakkal Majalla" w:hAnsi="Sakkal Majalla" w:cs="Sakkal Majalla"/>
                <w:noProof/>
                <w:webHidden/>
              </w:rPr>
              <w:fldChar w:fldCharType="end"/>
            </w:r>
          </w:hyperlink>
        </w:p>
        <w:p w14:paraId="5CE9173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3" w:history="1">
            <w:r w:rsidRPr="005714E8">
              <w:rPr>
                <w:rStyle w:val="Hyperlink"/>
                <w:rFonts w:ascii="Sakkal Majalla" w:eastAsia="Noto Kufi Arabic" w:hAnsi="Sakkal Majalla" w:cs="Sakkal Majalla"/>
                <w:noProof/>
                <w:rtl/>
                <w:lang w:val="ar-SA"/>
              </w:rPr>
              <w:t>2.4.6 جودة القرار والحد من الهدر:</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23</w:t>
            </w:r>
            <w:r w:rsidRPr="005714E8">
              <w:rPr>
                <w:rFonts w:ascii="Sakkal Majalla" w:hAnsi="Sakkal Majalla" w:cs="Sakkal Majalla"/>
                <w:noProof/>
                <w:webHidden/>
              </w:rPr>
              <w:fldChar w:fldCharType="end"/>
            </w:r>
          </w:hyperlink>
        </w:p>
        <w:p w14:paraId="752C32C1"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04" w:history="1">
            <w:r w:rsidRPr="005714E8">
              <w:rPr>
                <w:rStyle w:val="Hyperlink"/>
                <w:rFonts w:ascii="Sakkal Majalla" w:eastAsia="Noto Kufi Arabic" w:hAnsi="Sakkal Majalla" w:cs="Sakkal Majalla"/>
                <w:noProof/>
                <w:rtl/>
                <w:lang w:val="ar-SA"/>
              </w:rPr>
              <w:t>2.5 البيئة السعودية لإدارة الممتلكات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23</w:t>
            </w:r>
            <w:r w:rsidRPr="005714E8">
              <w:rPr>
                <w:rFonts w:ascii="Sakkal Majalla" w:hAnsi="Sakkal Majalla" w:cs="Sakkal Majalla"/>
                <w:noProof/>
                <w:webHidden/>
              </w:rPr>
              <w:fldChar w:fldCharType="end"/>
            </w:r>
          </w:hyperlink>
        </w:p>
        <w:p w14:paraId="3BA4028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5" w:history="1">
            <w:r w:rsidRPr="005714E8">
              <w:rPr>
                <w:rStyle w:val="Hyperlink"/>
                <w:rFonts w:ascii="Sakkal Majalla" w:eastAsia="Noto Kufi Arabic" w:hAnsi="Sakkal Majalla" w:cs="Sakkal Majalla"/>
                <w:noProof/>
                <w:rtl/>
                <w:lang w:val="ar-SA"/>
              </w:rPr>
              <w:t>2.5.1 رؤية السعودية 2030 والاستدامة المالية: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23</w:t>
            </w:r>
            <w:r w:rsidRPr="005714E8">
              <w:rPr>
                <w:rFonts w:ascii="Sakkal Majalla" w:hAnsi="Sakkal Majalla" w:cs="Sakkal Majalla"/>
                <w:noProof/>
                <w:webHidden/>
              </w:rPr>
              <w:fldChar w:fldCharType="end"/>
            </w:r>
          </w:hyperlink>
        </w:p>
        <w:p w14:paraId="1E02155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6" w:history="1">
            <w:r w:rsidRPr="005714E8">
              <w:rPr>
                <w:rStyle w:val="Hyperlink"/>
                <w:rFonts w:ascii="Sakkal Majalla" w:eastAsia="Noto Kufi Arabic" w:hAnsi="Sakkal Majalla" w:cs="Sakkal Majalla"/>
                <w:noProof/>
                <w:rtl/>
                <w:lang w:val="ar-SA"/>
              </w:rPr>
              <w:t>2.5.2 هيئة كفاءة الإنفاق والمشروعات الحكومية: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24</w:t>
            </w:r>
            <w:r w:rsidRPr="005714E8">
              <w:rPr>
                <w:rFonts w:ascii="Sakkal Majalla" w:hAnsi="Sakkal Majalla" w:cs="Sakkal Majalla"/>
                <w:noProof/>
                <w:webHidden/>
              </w:rPr>
              <w:fldChar w:fldCharType="end"/>
            </w:r>
          </w:hyperlink>
        </w:p>
        <w:p w14:paraId="50F88C3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7" w:history="1">
            <w:r w:rsidRPr="005714E8">
              <w:rPr>
                <w:rStyle w:val="Hyperlink"/>
                <w:rFonts w:ascii="Sakkal Majalla" w:eastAsia="Noto Kufi Arabic" w:hAnsi="Sakkal Majalla" w:cs="Sakkal Majalla"/>
                <w:noProof/>
                <w:rtl/>
                <w:lang w:val="ar-SA"/>
              </w:rPr>
              <w:t>2.5.3 الهيئة العامة لعقارات الدولة: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24</w:t>
            </w:r>
            <w:r w:rsidRPr="005714E8">
              <w:rPr>
                <w:rFonts w:ascii="Sakkal Majalla" w:hAnsi="Sakkal Majalla" w:cs="Sakkal Majalla"/>
                <w:noProof/>
                <w:webHidden/>
              </w:rPr>
              <w:fldChar w:fldCharType="end"/>
            </w:r>
          </w:hyperlink>
        </w:p>
        <w:p w14:paraId="6A27A78A"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8" w:history="1">
            <w:r w:rsidRPr="005714E8">
              <w:rPr>
                <w:rStyle w:val="Hyperlink"/>
                <w:rFonts w:ascii="Sakkal Majalla" w:eastAsia="Noto Kufi Arabic" w:hAnsi="Sakkal Majalla" w:cs="Sakkal Majalla"/>
                <w:noProof/>
                <w:rtl/>
                <w:lang w:val="ar-SA"/>
              </w:rPr>
              <w:t>2.5.4 وزارة المالية والتحول إلى أساس الاستحقاق: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24</w:t>
            </w:r>
            <w:r w:rsidRPr="005714E8">
              <w:rPr>
                <w:rFonts w:ascii="Sakkal Majalla" w:hAnsi="Sakkal Majalla" w:cs="Sakkal Majalla"/>
                <w:noProof/>
                <w:webHidden/>
              </w:rPr>
              <w:fldChar w:fldCharType="end"/>
            </w:r>
          </w:hyperlink>
        </w:p>
        <w:p w14:paraId="0E53549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09" w:history="1">
            <w:r w:rsidRPr="005714E8">
              <w:rPr>
                <w:rStyle w:val="Hyperlink"/>
                <w:rFonts w:ascii="Sakkal Majalla" w:eastAsia="Noto Kufi Arabic" w:hAnsi="Sakkal Majalla" w:cs="Sakkal Majalla"/>
                <w:noProof/>
                <w:rtl/>
                <w:lang w:val="ar-SA"/>
              </w:rPr>
              <w:t>2.5.5 التحديات والفرص في السياق السعودي: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_Toc235205609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26</w:t>
            </w:r>
            <w:r w:rsidRPr="005714E8">
              <w:rPr>
                <w:rFonts w:ascii="Sakkal Majalla" w:hAnsi="Sakkal Majalla" w:cs="Sakkal Majalla"/>
                <w:noProof/>
                <w:webHidden/>
              </w:rPr>
              <w:fldChar w:fldCharType="end"/>
            </w:r>
          </w:hyperlink>
        </w:p>
        <w:p w14:paraId="2DE1F210"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10" w:history="1">
            <w:r w:rsidRPr="005714E8">
              <w:rPr>
                <w:rStyle w:val="Hyperlink"/>
                <w:rFonts w:ascii="Sakkal Majalla" w:eastAsia="Noto Kufi Arabic" w:hAnsi="Sakkal Majalla" w:cs="Sakkal Majalla"/>
                <w:noProof/>
                <w:rtl/>
                <w:lang w:val="ar-SA"/>
              </w:rPr>
              <w:t>2.6 العلاقة النظرية بين أبعاد الحوكمة وكفاءة الإنفاق العقاري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26</w:t>
            </w:r>
            <w:r w:rsidRPr="005714E8">
              <w:rPr>
                <w:rFonts w:ascii="Sakkal Majalla" w:hAnsi="Sakkal Majalla" w:cs="Sakkal Majalla"/>
                <w:noProof/>
                <w:webHidden/>
              </w:rPr>
              <w:fldChar w:fldCharType="end"/>
            </w:r>
          </w:hyperlink>
        </w:p>
        <w:p w14:paraId="5010204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1" w:history="1">
            <w:r w:rsidRPr="005714E8">
              <w:rPr>
                <w:rStyle w:val="Hyperlink"/>
                <w:rFonts w:ascii="Sakkal Majalla" w:eastAsia="Noto Kufi Arabic" w:hAnsi="Sakkal Majalla" w:cs="Sakkal Majalla"/>
                <w:noProof/>
                <w:rtl/>
                <w:lang w:val="ar-SA"/>
              </w:rPr>
              <w:t>2.6.1 الشفافية والإفصاح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26</w:t>
            </w:r>
            <w:r w:rsidRPr="005714E8">
              <w:rPr>
                <w:rFonts w:ascii="Sakkal Majalla" w:hAnsi="Sakkal Majalla" w:cs="Sakkal Majalla"/>
                <w:noProof/>
                <w:webHidden/>
              </w:rPr>
              <w:fldChar w:fldCharType="end"/>
            </w:r>
          </w:hyperlink>
        </w:p>
        <w:p w14:paraId="15B36D82"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2" w:history="1">
            <w:r w:rsidRPr="005714E8">
              <w:rPr>
                <w:rStyle w:val="Hyperlink"/>
                <w:rFonts w:ascii="Sakkal Majalla" w:eastAsia="Noto Kufi Arabic" w:hAnsi="Sakkal Majalla" w:cs="Sakkal Majalla"/>
                <w:noProof/>
                <w:rtl/>
                <w:lang w:val="ar-SA"/>
              </w:rPr>
              <w:t>2.6.2 المساءلة والرقابة الداخلية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26</w:t>
            </w:r>
            <w:r w:rsidRPr="005714E8">
              <w:rPr>
                <w:rFonts w:ascii="Sakkal Majalla" w:hAnsi="Sakkal Majalla" w:cs="Sakkal Majalla"/>
                <w:noProof/>
                <w:webHidden/>
              </w:rPr>
              <w:fldChar w:fldCharType="end"/>
            </w:r>
          </w:hyperlink>
        </w:p>
        <w:p w14:paraId="1F7CD7AA"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3" w:history="1">
            <w:r w:rsidRPr="005714E8">
              <w:rPr>
                <w:rStyle w:val="Hyperlink"/>
                <w:rFonts w:ascii="Sakkal Majalla" w:eastAsia="Noto Kufi Arabic" w:hAnsi="Sakkal Majalla" w:cs="Sakkal Majalla"/>
                <w:noProof/>
                <w:rtl/>
                <w:lang w:val="ar-SA"/>
              </w:rPr>
              <w:t>2.6.3 تكامل البيانات والرقمنة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27</w:t>
            </w:r>
            <w:r w:rsidRPr="005714E8">
              <w:rPr>
                <w:rFonts w:ascii="Sakkal Majalla" w:hAnsi="Sakkal Majalla" w:cs="Sakkal Majalla"/>
                <w:noProof/>
                <w:webHidden/>
              </w:rPr>
              <w:fldChar w:fldCharType="end"/>
            </w:r>
          </w:hyperlink>
        </w:p>
        <w:p w14:paraId="136A5A8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4" w:history="1">
            <w:r w:rsidRPr="005714E8">
              <w:rPr>
                <w:rStyle w:val="Hyperlink"/>
                <w:rFonts w:ascii="Sakkal Majalla" w:eastAsia="Noto Kufi Arabic" w:hAnsi="Sakkal Majalla" w:cs="Sakkal Majalla"/>
                <w:noProof/>
                <w:rtl/>
                <w:lang w:val="ar-SA"/>
              </w:rPr>
              <w:t>2.6.4 التخطيط الاستراتيجي وإدارة دورة الحياة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27</w:t>
            </w:r>
            <w:r w:rsidRPr="005714E8">
              <w:rPr>
                <w:rFonts w:ascii="Sakkal Majalla" w:hAnsi="Sakkal Majalla" w:cs="Sakkal Majalla"/>
                <w:noProof/>
                <w:webHidden/>
              </w:rPr>
              <w:fldChar w:fldCharType="end"/>
            </w:r>
          </w:hyperlink>
        </w:p>
        <w:p w14:paraId="721F57E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5" w:history="1">
            <w:r w:rsidRPr="005714E8">
              <w:rPr>
                <w:rStyle w:val="Hyperlink"/>
                <w:rFonts w:ascii="Sakkal Majalla" w:eastAsia="Noto Kufi Arabic" w:hAnsi="Sakkal Majalla" w:cs="Sakkal Majalla"/>
                <w:noProof/>
                <w:rtl/>
                <w:lang w:val="ar-SA"/>
              </w:rPr>
              <w:t>2.6.5 إدارة المخاطر والامتثال وكفاءة الإنفاق: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27</w:t>
            </w:r>
            <w:r w:rsidRPr="005714E8">
              <w:rPr>
                <w:rFonts w:ascii="Sakkal Majalla" w:hAnsi="Sakkal Majalla" w:cs="Sakkal Majalla"/>
                <w:noProof/>
                <w:webHidden/>
              </w:rPr>
              <w:fldChar w:fldCharType="end"/>
            </w:r>
          </w:hyperlink>
        </w:p>
        <w:p w14:paraId="377C7D4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16" w:history="1">
            <w:r w:rsidRPr="005714E8">
              <w:rPr>
                <w:rStyle w:val="Hyperlink"/>
                <w:rFonts w:ascii="Sakkal Majalla" w:eastAsia="Noto Kufi Arabic" w:hAnsi="Sakkal Majalla" w:cs="Sakkal Majalla"/>
                <w:noProof/>
                <w:rtl/>
                <w:lang w:val="ar-SA"/>
              </w:rPr>
              <w:t>2.7 الدراسات السابقة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28</w:t>
            </w:r>
            <w:r w:rsidRPr="005714E8">
              <w:rPr>
                <w:rFonts w:ascii="Sakkal Majalla" w:hAnsi="Sakkal Majalla" w:cs="Sakkal Majalla"/>
                <w:noProof/>
                <w:webHidden/>
              </w:rPr>
              <w:fldChar w:fldCharType="end"/>
            </w:r>
          </w:hyperlink>
        </w:p>
        <w:p w14:paraId="3DDFF653"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7" w:history="1">
            <w:r w:rsidRPr="005714E8">
              <w:rPr>
                <w:rStyle w:val="Hyperlink"/>
                <w:rFonts w:ascii="Sakkal Majalla" w:eastAsia="Noto Kufi Arabic" w:hAnsi="Sakkal Majalla" w:cs="Sakkal Majalla"/>
                <w:noProof/>
                <w:rtl/>
                <w:lang w:val="ar-SA"/>
              </w:rPr>
              <w:t>2.7.1 الدراسات العربية: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28</w:t>
            </w:r>
            <w:r w:rsidRPr="005714E8">
              <w:rPr>
                <w:rFonts w:ascii="Sakkal Majalla" w:hAnsi="Sakkal Majalla" w:cs="Sakkal Majalla"/>
                <w:noProof/>
                <w:webHidden/>
              </w:rPr>
              <w:fldChar w:fldCharType="end"/>
            </w:r>
          </w:hyperlink>
        </w:p>
        <w:p w14:paraId="53F99196"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8" w:history="1">
            <w:r w:rsidRPr="005714E8">
              <w:rPr>
                <w:rStyle w:val="Hyperlink"/>
                <w:rFonts w:ascii="Sakkal Majalla" w:eastAsia="Noto Kufi Arabic" w:hAnsi="Sakkal Majalla" w:cs="Sakkal Majalla"/>
                <w:noProof/>
                <w:rtl/>
                <w:lang w:val="ar-SA"/>
              </w:rPr>
              <w:t>2.7.2 الدراسات الأجنبية: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29</w:t>
            </w:r>
            <w:r w:rsidRPr="005714E8">
              <w:rPr>
                <w:rFonts w:ascii="Sakkal Majalla" w:hAnsi="Sakkal Majalla" w:cs="Sakkal Majalla"/>
                <w:noProof/>
                <w:webHidden/>
              </w:rPr>
              <w:fldChar w:fldCharType="end"/>
            </w:r>
          </w:hyperlink>
        </w:p>
        <w:p w14:paraId="2853139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19" w:history="1">
            <w:r w:rsidRPr="005714E8">
              <w:rPr>
                <w:rStyle w:val="Hyperlink"/>
                <w:rFonts w:ascii="Sakkal Majalla" w:eastAsia="Noto Kufi Arabic" w:hAnsi="Sakkal Majalla" w:cs="Sakkal Majalla"/>
                <w:noProof/>
                <w:rtl/>
                <w:lang w:val="ar-SA"/>
              </w:rPr>
              <w:t>2.7.3 التعقيب النقدي والفجوة البحثية</w:t>
            </w:r>
            <w:r w:rsidRPr="005714E8">
              <w:rPr>
                <w:rStyle w:val="Hyperlink"/>
                <w:rFonts w:ascii="Sakkal Majalla" w:eastAsia="Noto Kufi Arabic" w:hAnsi="Sakkal Majalla" w:cs="Sakkal Majalla"/>
                <w:noProof/>
                <w:lang w:val="ar-SA"/>
              </w:rPr>
              <w:t>:</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_Toc235205619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32</w:t>
            </w:r>
            <w:r w:rsidRPr="005714E8">
              <w:rPr>
                <w:rFonts w:ascii="Sakkal Majalla" w:hAnsi="Sakkal Majalla" w:cs="Sakkal Majalla"/>
                <w:noProof/>
                <w:webHidden/>
              </w:rPr>
              <w:fldChar w:fldCharType="end"/>
            </w:r>
          </w:hyperlink>
        </w:p>
        <w:p w14:paraId="16244C00"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0" w:history="1">
            <w:r w:rsidRPr="005714E8">
              <w:rPr>
                <w:rStyle w:val="Hyperlink"/>
                <w:rFonts w:ascii="Sakkal Majalla" w:eastAsia="Noto Kufi Arabic" w:hAnsi="Sakkal Majalla" w:cs="Sakkal Majalla"/>
                <w:noProof/>
                <w:rtl/>
                <w:lang w:val="ar-SA"/>
              </w:rPr>
              <w:t>2.8 خلاصة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33</w:t>
            </w:r>
            <w:r w:rsidRPr="005714E8">
              <w:rPr>
                <w:rFonts w:ascii="Sakkal Majalla" w:hAnsi="Sakkal Majalla" w:cs="Sakkal Majalla"/>
                <w:noProof/>
                <w:webHidden/>
              </w:rPr>
              <w:fldChar w:fldCharType="end"/>
            </w:r>
          </w:hyperlink>
        </w:p>
        <w:p w14:paraId="098446F0"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621" w:history="1">
            <w:r w:rsidRPr="005714E8">
              <w:rPr>
                <w:rStyle w:val="Hyperlink"/>
                <w:rFonts w:ascii="Sakkal Majalla" w:eastAsia="Noto Kufi Arabic" w:hAnsi="Sakkal Majalla" w:cs="Sakkal Majalla"/>
                <w:noProof/>
                <w:rtl/>
                <w:lang w:val="ar-SA"/>
              </w:rPr>
              <w:t>الفصل الثالث: منهجية الدراسة وإجراءاتها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34</w:t>
            </w:r>
            <w:r w:rsidRPr="005714E8">
              <w:rPr>
                <w:rFonts w:ascii="Sakkal Majalla" w:hAnsi="Sakkal Majalla" w:cs="Sakkal Majalla"/>
                <w:noProof/>
                <w:webHidden/>
              </w:rPr>
              <w:fldChar w:fldCharType="end"/>
            </w:r>
          </w:hyperlink>
        </w:p>
        <w:p w14:paraId="32A21BB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2" w:history="1">
            <w:r w:rsidRPr="005714E8">
              <w:rPr>
                <w:rStyle w:val="Hyperlink"/>
                <w:rFonts w:ascii="Sakkal Majalla" w:eastAsia="Noto Kufi Arabic" w:hAnsi="Sakkal Majalla" w:cs="Sakkal Majalla"/>
                <w:noProof/>
                <w:rtl/>
                <w:lang w:val="ar-SA"/>
              </w:rPr>
              <w:t>3.1 مقدمة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34</w:t>
            </w:r>
            <w:r w:rsidRPr="005714E8">
              <w:rPr>
                <w:rFonts w:ascii="Sakkal Majalla" w:hAnsi="Sakkal Majalla" w:cs="Sakkal Majalla"/>
                <w:noProof/>
                <w:webHidden/>
              </w:rPr>
              <w:fldChar w:fldCharType="end"/>
            </w:r>
          </w:hyperlink>
        </w:p>
        <w:p w14:paraId="100EDE21"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3" w:history="1">
            <w:r w:rsidRPr="005714E8">
              <w:rPr>
                <w:rStyle w:val="Hyperlink"/>
                <w:rFonts w:ascii="Sakkal Majalla" w:eastAsia="Noto Kufi Arabic" w:hAnsi="Sakkal Majalla" w:cs="Sakkal Majalla"/>
                <w:noProof/>
                <w:rtl/>
                <w:lang w:val="ar-SA"/>
              </w:rPr>
              <w:t>3.2 فلسفة الدراسة ونهجها: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34</w:t>
            </w:r>
            <w:r w:rsidRPr="005714E8">
              <w:rPr>
                <w:rFonts w:ascii="Sakkal Majalla" w:hAnsi="Sakkal Majalla" w:cs="Sakkal Majalla"/>
                <w:noProof/>
                <w:webHidden/>
              </w:rPr>
              <w:fldChar w:fldCharType="end"/>
            </w:r>
          </w:hyperlink>
        </w:p>
        <w:p w14:paraId="256C61D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4" w:history="1">
            <w:r w:rsidRPr="005714E8">
              <w:rPr>
                <w:rStyle w:val="Hyperlink"/>
                <w:rFonts w:ascii="Sakkal Majalla" w:eastAsia="Noto Kufi Arabic" w:hAnsi="Sakkal Majalla" w:cs="Sakkal Majalla"/>
                <w:noProof/>
                <w:rtl/>
                <w:lang w:val="ar-SA"/>
              </w:rPr>
              <w:t>3.3 منهج الدراسة وتصميمها: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35</w:t>
            </w:r>
            <w:r w:rsidRPr="005714E8">
              <w:rPr>
                <w:rFonts w:ascii="Sakkal Majalla" w:hAnsi="Sakkal Majalla" w:cs="Sakkal Majalla"/>
                <w:noProof/>
                <w:webHidden/>
              </w:rPr>
              <w:fldChar w:fldCharType="end"/>
            </w:r>
          </w:hyperlink>
        </w:p>
        <w:p w14:paraId="49F35F3C"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5" w:history="1">
            <w:r w:rsidRPr="005714E8">
              <w:rPr>
                <w:rStyle w:val="Hyperlink"/>
                <w:rFonts w:ascii="Sakkal Majalla" w:eastAsia="Noto Kufi Arabic" w:hAnsi="Sakkal Majalla" w:cs="Sakkal Majalla"/>
                <w:noProof/>
                <w:rtl/>
                <w:lang w:val="ar-SA"/>
              </w:rPr>
              <w:t>3.4 مجتمع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35</w:t>
            </w:r>
            <w:r w:rsidRPr="005714E8">
              <w:rPr>
                <w:rFonts w:ascii="Sakkal Majalla" w:hAnsi="Sakkal Majalla" w:cs="Sakkal Majalla"/>
                <w:noProof/>
                <w:webHidden/>
              </w:rPr>
              <w:fldChar w:fldCharType="end"/>
            </w:r>
          </w:hyperlink>
        </w:p>
        <w:p w14:paraId="1899559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6" w:history="1">
            <w:r w:rsidRPr="005714E8">
              <w:rPr>
                <w:rStyle w:val="Hyperlink"/>
                <w:rFonts w:ascii="Sakkal Majalla" w:eastAsia="Noto Kufi Arabic" w:hAnsi="Sakkal Majalla" w:cs="Sakkal Majalla"/>
                <w:noProof/>
                <w:rtl/>
                <w:lang w:val="ar-SA"/>
              </w:rPr>
              <w:t>3.5 العينة وطريقة اختيارها: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35</w:t>
            </w:r>
            <w:r w:rsidRPr="005714E8">
              <w:rPr>
                <w:rFonts w:ascii="Sakkal Majalla" w:hAnsi="Sakkal Majalla" w:cs="Sakkal Majalla"/>
                <w:noProof/>
                <w:webHidden/>
              </w:rPr>
              <w:fldChar w:fldCharType="end"/>
            </w:r>
          </w:hyperlink>
        </w:p>
        <w:p w14:paraId="4D76598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7" w:history="1">
            <w:r w:rsidRPr="005714E8">
              <w:rPr>
                <w:rStyle w:val="Hyperlink"/>
                <w:rFonts w:ascii="Sakkal Majalla" w:eastAsia="Noto Kufi Arabic" w:hAnsi="Sakkal Majalla" w:cs="Sakkal Majalla"/>
                <w:noProof/>
                <w:rtl/>
                <w:lang w:val="ar-SA"/>
              </w:rPr>
              <w:t>3.6 أداة الدراسة: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37</w:t>
            </w:r>
            <w:r w:rsidRPr="005714E8">
              <w:rPr>
                <w:rFonts w:ascii="Sakkal Majalla" w:hAnsi="Sakkal Majalla" w:cs="Sakkal Majalla"/>
                <w:noProof/>
                <w:webHidden/>
              </w:rPr>
              <w:fldChar w:fldCharType="end"/>
            </w:r>
          </w:hyperlink>
        </w:p>
        <w:p w14:paraId="5056572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8" w:history="1">
            <w:r w:rsidRPr="005714E8">
              <w:rPr>
                <w:rStyle w:val="Hyperlink"/>
                <w:rFonts w:ascii="Sakkal Majalla" w:eastAsia="Noto Kufi Arabic" w:hAnsi="Sakkal Majalla" w:cs="Sakkal Majalla"/>
                <w:noProof/>
                <w:rtl/>
                <w:lang w:val="ar-SA"/>
              </w:rPr>
              <w:t>3.7 التعريف الإجرائي للمتغيرات وقياسها: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38</w:t>
            </w:r>
            <w:r w:rsidRPr="005714E8">
              <w:rPr>
                <w:rFonts w:ascii="Sakkal Majalla" w:hAnsi="Sakkal Majalla" w:cs="Sakkal Majalla"/>
                <w:noProof/>
                <w:webHidden/>
              </w:rPr>
              <w:fldChar w:fldCharType="end"/>
            </w:r>
          </w:hyperlink>
        </w:p>
        <w:p w14:paraId="1B5B5B3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29" w:history="1">
            <w:r w:rsidRPr="005714E8">
              <w:rPr>
                <w:rStyle w:val="Hyperlink"/>
                <w:rFonts w:ascii="Sakkal Majalla" w:eastAsia="Noto Kufi Arabic" w:hAnsi="Sakkal Majalla" w:cs="Sakkal Majalla"/>
                <w:noProof/>
                <w:rtl/>
                <w:lang w:val="ar-SA"/>
              </w:rPr>
              <w:t>3.8 معيار تفسير المتوسطات: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_Toc235205629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39</w:t>
            </w:r>
            <w:r w:rsidRPr="005714E8">
              <w:rPr>
                <w:rFonts w:ascii="Sakkal Majalla" w:hAnsi="Sakkal Majalla" w:cs="Sakkal Majalla"/>
                <w:noProof/>
                <w:webHidden/>
              </w:rPr>
              <w:fldChar w:fldCharType="end"/>
            </w:r>
          </w:hyperlink>
        </w:p>
        <w:p w14:paraId="1AC6850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0" w:history="1">
            <w:r w:rsidRPr="005714E8">
              <w:rPr>
                <w:rStyle w:val="Hyperlink"/>
                <w:rFonts w:ascii="Sakkal Majalla" w:eastAsia="Noto Kufi Arabic" w:hAnsi="Sakkal Majalla" w:cs="Sakkal Majalla"/>
                <w:noProof/>
                <w:rtl/>
                <w:lang w:val="ar-SA"/>
              </w:rPr>
              <w:t>3.9 صدق الأداة: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39</w:t>
            </w:r>
            <w:r w:rsidRPr="005714E8">
              <w:rPr>
                <w:rFonts w:ascii="Sakkal Majalla" w:hAnsi="Sakkal Majalla" w:cs="Sakkal Majalla"/>
                <w:noProof/>
                <w:webHidden/>
              </w:rPr>
              <w:fldChar w:fldCharType="end"/>
            </w:r>
          </w:hyperlink>
        </w:p>
        <w:p w14:paraId="4CEB0F2D"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31" w:history="1">
            <w:r w:rsidRPr="005714E8">
              <w:rPr>
                <w:rStyle w:val="Hyperlink"/>
                <w:rFonts w:ascii="Sakkal Majalla" w:eastAsia="Noto Kufi Arabic" w:hAnsi="Sakkal Majalla" w:cs="Sakkal Majalla"/>
                <w:noProof/>
                <w:rtl/>
                <w:lang w:val="ar-SA"/>
              </w:rPr>
              <w:t>3.9.1 الصدق الظاهري وصدق المحتوى:</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39</w:t>
            </w:r>
            <w:r w:rsidRPr="005714E8">
              <w:rPr>
                <w:rFonts w:ascii="Sakkal Majalla" w:hAnsi="Sakkal Majalla" w:cs="Sakkal Majalla"/>
                <w:noProof/>
                <w:webHidden/>
              </w:rPr>
              <w:fldChar w:fldCharType="end"/>
            </w:r>
          </w:hyperlink>
        </w:p>
        <w:p w14:paraId="70B207D0"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32" w:history="1">
            <w:r w:rsidRPr="005714E8">
              <w:rPr>
                <w:rStyle w:val="Hyperlink"/>
                <w:rFonts w:ascii="Sakkal Majalla" w:eastAsia="Noto Kufi Arabic" w:hAnsi="Sakkal Majalla" w:cs="Sakkal Majalla"/>
                <w:noProof/>
                <w:rtl/>
                <w:lang w:val="ar-SA"/>
              </w:rPr>
              <w:t>3.9.2 الدراسة الاستطلاعية: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39</w:t>
            </w:r>
            <w:r w:rsidRPr="005714E8">
              <w:rPr>
                <w:rFonts w:ascii="Sakkal Majalla" w:hAnsi="Sakkal Majalla" w:cs="Sakkal Majalla"/>
                <w:noProof/>
                <w:webHidden/>
              </w:rPr>
              <w:fldChar w:fldCharType="end"/>
            </w:r>
          </w:hyperlink>
        </w:p>
        <w:p w14:paraId="78E2A7ED"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33" w:history="1">
            <w:r w:rsidRPr="005714E8">
              <w:rPr>
                <w:rStyle w:val="Hyperlink"/>
                <w:rFonts w:ascii="Sakkal Majalla" w:eastAsia="Noto Kufi Arabic" w:hAnsi="Sakkal Majalla" w:cs="Sakkal Majalla"/>
                <w:noProof/>
                <w:rtl/>
                <w:lang w:val="ar-SA"/>
              </w:rPr>
              <w:t>3.9.3 صدق الاتساق الداخلي والبناء:</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40</w:t>
            </w:r>
            <w:r w:rsidRPr="005714E8">
              <w:rPr>
                <w:rFonts w:ascii="Sakkal Majalla" w:hAnsi="Sakkal Majalla" w:cs="Sakkal Majalla"/>
                <w:noProof/>
                <w:webHidden/>
              </w:rPr>
              <w:fldChar w:fldCharType="end"/>
            </w:r>
          </w:hyperlink>
        </w:p>
        <w:p w14:paraId="2A51288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4" w:history="1">
            <w:r w:rsidRPr="005714E8">
              <w:rPr>
                <w:rStyle w:val="Hyperlink"/>
                <w:rFonts w:ascii="Sakkal Majalla" w:eastAsia="Noto Kufi Arabic" w:hAnsi="Sakkal Majalla" w:cs="Sakkal Majalla"/>
                <w:noProof/>
                <w:rtl/>
                <w:lang w:val="ar-SA"/>
              </w:rPr>
              <w:t>3.10 ثبات الأداة: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41</w:t>
            </w:r>
            <w:r w:rsidRPr="005714E8">
              <w:rPr>
                <w:rFonts w:ascii="Sakkal Majalla" w:hAnsi="Sakkal Majalla" w:cs="Sakkal Majalla"/>
                <w:noProof/>
                <w:webHidden/>
              </w:rPr>
              <w:fldChar w:fldCharType="end"/>
            </w:r>
          </w:hyperlink>
        </w:p>
        <w:p w14:paraId="068DBA5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5" w:history="1">
            <w:r w:rsidRPr="005714E8">
              <w:rPr>
                <w:rStyle w:val="Hyperlink"/>
                <w:rFonts w:ascii="Sakkal Majalla" w:eastAsia="Noto Kufi Arabic" w:hAnsi="Sakkal Majalla" w:cs="Sakkal Majalla"/>
                <w:noProof/>
                <w:rtl/>
                <w:lang w:val="ar-SA"/>
              </w:rPr>
              <w:t>3.11 إجراءات جمع البيانات: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41</w:t>
            </w:r>
            <w:r w:rsidRPr="005714E8">
              <w:rPr>
                <w:rFonts w:ascii="Sakkal Majalla" w:hAnsi="Sakkal Majalla" w:cs="Sakkal Majalla"/>
                <w:noProof/>
                <w:webHidden/>
              </w:rPr>
              <w:fldChar w:fldCharType="end"/>
            </w:r>
          </w:hyperlink>
        </w:p>
        <w:p w14:paraId="06332F0C"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6" w:history="1">
            <w:r w:rsidRPr="005714E8">
              <w:rPr>
                <w:rStyle w:val="Hyperlink"/>
                <w:rFonts w:ascii="Sakkal Majalla" w:eastAsia="Noto Kufi Arabic" w:hAnsi="Sakkal Majalla" w:cs="Sakkal Majalla"/>
                <w:noProof/>
                <w:rtl/>
                <w:lang w:val="ar-SA"/>
              </w:rPr>
              <w:t>3.12 الاعتبارات الأخلاقية: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42</w:t>
            </w:r>
            <w:r w:rsidRPr="005714E8">
              <w:rPr>
                <w:rFonts w:ascii="Sakkal Majalla" w:hAnsi="Sakkal Majalla" w:cs="Sakkal Majalla"/>
                <w:noProof/>
                <w:webHidden/>
              </w:rPr>
              <w:fldChar w:fldCharType="end"/>
            </w:r>
          </w:hyperlink>
        </w:p>
        <w:p w14:paraId="74A087B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7" w:history="1">
            <w:r w:rsidRPr="005714E8">
              <w:rPr>
                <w:rStyle w:val="Hyperlink"/>
                <w:rFonts w:ascii="Sakkal Majalla" w:eastAsia="Noto Kufi Arabic" w:hAnsi="Sakkal Majalla" w:cs="Sakkal Majalla"/>
                <w:noProof/>
                <w:rtl/>
                <w:lang w:val="ar-SA"/>
              </w:rPr>
              <w:t>3.13 أساليب التحليل الإحصائي: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42</w:t>
            </w:r>
            <w:r w:rsidRPr="005714E8">
              <w:rPr>
                <w:rFonts w:ascii="Sakkal Majalla" w:hAnsi="Sakkal Majalla" w:cs="Sakkal Majalla"/>
                <w:noProof/>
                <w:webHidden/>
              </w:rPr>
              <w:fldChar w:fldCharType="end"/>
            </w:r>
          </w:hyperlink>
        </w:p>
        <w:p w14:paraId="4D84808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8" w:history="1">
            <w:r w:rsidRPr="005714E8">
              <w:rPr>
                <w:rStyle w:val="Hyperlink"/>
                <w:rFonts w:ascii="Sakkal Majalla" w:eastAsia="Noto Kufi Arabic" w:hAnsi="Sakkal Majalla" w:cs="Sakkal Majalla"/>
                <w:noProof/>
                <w:rtl/>
                <w:lang w:val="ar-SA"/>
              </w:rPr>
              <w:t>3.14 مصفوفة الاتساق المنهجي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43</w:t>
            </w:r>
            <w:r w:rsidRPr="005714E8">
              <w:rPr>
                <w:rFonts w:ascii="Sakkal Majalla" w:hAnsi="Sakkal Majalla" w:cs="Sakkal Majalla"/>
                <w:noProof/>
                <w:webHidden/>
              </w:rPr>
              <w:fldChar w:fldCharType="end"/>
            </w:r>
          </w:hyperlink>
        </w:p>
        <w:p w14:paraId="6F449D3A"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39" w:history="1">
            <w:r w:rsidRPr="005714E8">
              <w:rPr>
                <w:rStyle w:val="Hyperlink"/>
                <w:rFonts w:ascii="Sakkal Majalla" w:eastAsia="Noto Kufi Arabic" w:hAnsi="Sakkal Majalla" w:cs="Sakkal Majalla"/>
                <w:noProof/>
                <w:rtl/>
                <w:lang w:val="ar-SA"/>
              </w:rPr>
              <w:t>3.15 خلاصة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_Toc235205639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44</w:t>
            </w:r>
            <w:r w:rsidRPr="005714E8">
              <w:rPr>
                <w:rFonts w:ascii="Sakkal Majalla" w:hAnsi="Sakkal Majalla" w:cs="Sakkal Majalla"/>
                <w:noProof/>
                <w:webHidden/>
              </w:rPr>
              <w:fldChar w:fldCharType="end"/>
            </w:r>
          </w:hyperlink>
        </w:p>
        <w:p w14:paraId="3650AB83"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640" w:history="1">
            <w:r w:rsidRPr="005714E8">
              <w:rPr>
                <w:rStyle w:val="Hyperlink"/>
                <w:rFonts w:ascii="Sakkal Majalla" w:eastAsia="Noto Kufi Arabic" w:hAnsi="Sakkal Majalla" w:cs="Sakkal Majalla"/>
                <w:noProof/>
                <w:rtl/>
                <w:lang w:val="ar-SA"/>
              </w:rPr>
              <w:t>الفصل الرابع: عرض النتائج وتحليلها</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45</w:t>
            </w:r>
            <w:r w:rsidRPr="005714E8">
              <w:rPr>
                <w:rFonts w:ascii="Sakkal Majalla" w:hAnsi="Sakkal Majalla" w:cs="Sakkal Majalla"/>
                <w:noProof/>
                <w:webHidden/>
              </w:rPr>
              <w:fldChar w:fldCharType="end"/>
            </w:r>
          </w:hyperlink>
        </w:p>
        <w:p w14:paraId="4FD09ABA"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41" w:history="1">
            <w:r w:rsidRPr="005714E8">
              <w:rPr>
                <w:rStyle w:val="Hyperlink"/>
                <w:rFonts w:ascii="Sakkal Majalla" w:eastAsia="Noto Kufi Arabic" w:hAnsi="Sakkal Majalla" w:cs="Sakkal Majalla"/>
                <w:noProof/>
                <w:rtl/>
                <w:lang w:val="ar-SA"/>
              </w:rPr>
              <w:t>4.1 مقدمة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45</w:t>
            </w:r>
            <w:r w:rsidRPr="005714E8">
              <w:rPr>
                <w:rFonts w:ascii="Sakkal Majalla" w:hAnsi="Sakkal Majalla" w:cs="Sakkal Majalla"/>
                <w:noProof/>
                <w:webHidden/>
              </w:rPr>
              <w:fldChar w:fldCharType="end"/>
            </w:r>
          </w:hyperlink>
        </w:p>
        <w:p w14:paraId="10CCBF1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42" w:history="1">
            <w:r w:rsidRPr="005714E8">
              <w:rPr>
                <w:rStyle w:val="Hyperlink"/>
                <w:rFonts w:ascii="Sakkal Majalla" w:eastAsia="Noto Kufi Arabic" w:hAnsi="Sakkal Majalla" w:cs="Sakkal Majalla"/>
                <w:noProof/>
                <w:rtl/>
                <w:lang w:val="ar-SA"/>
              </w:rPr>
              <w:t>4.2 فحص البيانات ومعدل الاستجابة: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45</w:t>
            </w:r>
            <w:r w:rsidRPr="005714E8">
              <w:rPr>
                <w:rFonts w:ascii="Sakkal Majalla" w:hAnsi="Sakkal Majalla" w:cs="Sakkal Majalla"/>
                <w:noProof/>
                <w:webHidden/>
              </w:rPr>
              <w:fldChar w:fldCharType="end"/>
            </w:r>
          </w:hyperlink>
        </w:p>
        <w:p w14:paraId="19CCAAC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43" w:history="1">
            <w:r w:rsidRPr="005714E8">
              <w:rPr>
                <w:rStyle w:val="Hyperlink"/>
                <w:rFonts w:ascii="Sakkal Majalla" w:eastAsia="Noto Kufi Arabic" w:hAnsi="Sakkal Majalla" w:cs="Sakkal Majalla"/>
                <w:noProof/>
                <w:rtl/>
                <w:lang w:val="ar-SA"/>
              </w:rPr>
              <w:t>4.3 خصائص أفراد العينة: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45</w:t>
            </w:r>
            <w:r w:rsidRPr="005714E8">
              <w:rPr>
                <w:rFonts w:ascii="Sakkal Majalla" w:hAnsi="Sakkal Majalla" w:cs="Sakkal Majalla"/>
                <w:noProof/>
                <w:webHidden/>
              </w:rPr>
              <w:fldChar w:fldCharType="end"/>
            </w:r>
          </w:hyperlink>
        </w:p>
        <w:p w14:paraId="5BC1708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44" w:history="1">
            <w:r w:rsidRPr="005714E8">
              <w:rPr>
                <w:rStyle w:val="Hyperlink"/>
                <w:rFonts w:ascii="Sakkal Majalla" w:eastAsia="Noto Kufi Arabic" w:hAnsi="Sakkal Majalla" w:cs="Sakkal Majalla"/>
                <w:noProof/>
                <w:rtl/>
                <w:lang w:val="ar-SA"/>
              </w:rPr>
              <w:t>4.5 مستوى تطبيق حوكمة إدارة الممتلكات العامة: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48</w:t>
            </w:r>
            <w:r w:rsidRPr="005714E8">
              <w:rPr>
                <w:rFonts w:ascii="Sakkal Majalla" w:hAnsi="Sakkal Majalla" w:cs="Sakkal Majalla"/>
                <w:noProof/>
                <w:webHidden/>
              </w:rPr>
              <w:fldChar w:fldCharType="end"/>
            </w:r>
          </w:hyperlink>
        </w:p>
        <w:p w14:paraId="270801FB"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45" w:history="1">
            <w:r w:rsidRPr="005714E8">
              <w:rPr>
                <w:rStyle w:val="Hyperlink"/>
                <w:rFonts w:ascii="Sakkal Majalla" w:eastAsia="Noto Kufi Arabic" w:hAnsi="Sakkal Majalla" w:cs="Sakkal Majalla"/>
                <w:noProof/>
                <w:rtl/>
                <w:lang w:val="ar-SA"/>
              </w:rPr>
              <w:t>4.5.1 الشفافية والإفصاح:</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49</w:t>
            </w:r>
            <w:r w:rsidRPr="005714E8">
              <w:rPr>
                <w:rFonts w:ascii="Sakkal Majalla" w:hAnsi="Sakkal Majalla" w:cs="Sakkal Majalla"/>
                <w:noProof/>
                <w:webHidden/>
              </w:rPr>
              <w:fldChar w:fldCharType="end"/>
            </w:r>
          </w:hyperlink>
        </w:p>
        <w:p w14:paraId="7940C077"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46" w:history="1">
            <w:r w:rsidRPr="005714E8">
              <w:rPr>
                <w:rStyle w:val="Hyperlink"/>
                <w:rFonts w:ascii="Sakkal Majalla" w:eastAsia="Noto Kufi Arabic" w:hAnsi="Sakkal Majalla" w:cs="Sakkal Majalla"/>
                <w:noProof/>
                <w:rtl/>
                <w:lang w:val="ar-SA"/>
              </w:rPr>
              <w:t>4.5.2 المساءلة والرقابة الداخلية: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50</w:t>
            </w:r>
            <w:r w:rsidRPr="005714E8">
              <w:rPr>
                <w:rFonts w:ascii="Sakkal Majalla" w:hAnsi="Sakkal Majalla" w:cs="Sakkal Majalla"/>
                <w:noProof/>
                <w:webHidden/>
              </w:rPr>
              <w:fldChar w:fldCharType="end"/>
            </w:r>
          </w:hyperlink>
        </w:p>
        <w:p w14:paraId="44247D9B"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47" w:history="1">
            <w:r w:rsidRPr="005714E8">
              <w:rPr>
                <w:rStyle w:val="Hyperlink"/>
                <w:rFonts w:ascii="Sakkal Majalla" w:eastAsia="Noto Kufi Arabic" w:hAnsi="Sakkal Majalla" w:cs="Sakkal Majalla"/>
                <w:noProof/>
                <w:rtl/>
                <w:lang w:val="ar-SA"/>
              </w:rPr>
              <w:t>4.5.3 تكامل البيانات والرقمنة: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50</w:t>
            </w:r>
            <w:r w:rsidRPr="005714E8">
              <w:rPr>
                <w:rFonts w:ascii="Sakkal Majalla" w:hAnsi="Sakkal Majalla" w:cs="Sakkal Majalla"/>
                <w:noProof/>
                <w:webHidden/>
              </w:rPr>
              <w:fldChar w:fldCharType="end"/>
            </w:r>
          </w:hyperlink>
        </w:p>
        <w:p w14:paraId="46F37E32"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48" w:history="1">
            <w:r w:rsidRPr="005714E8">
              <w:rPr>
                <w:rStyle w:val="Hyperlink"/>
                <w:rFonts w:ascii="Sakkal Majalla" w:eastAsia="Noto Kufi Arabic" w:hAnsi="Sakkal Majalla" w:cs="Sakkal Majalla"/>
                <w:noProof/>
                <w:rtl/>
                <w:lang w:val="ar-SA"/>
              </w:rPr>
              <w:t>4.5.4 التخطيط الاستراتيجي وإدارة دورة حياة الأصل: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51</w:t>
            </w:r>
            <w:r w:rsidRPr="005714E8">
              <w:rPr>
                <w:rFonts w:ascii="Sakkal Majalla" w:hAnsi="Sakkal Majalla" w:cs="Sakkal Majalla"/>
                <w:noProof/>
                <w:webHidden/>
              </w:rPr>
              <w:fldChar w:fldCharType="end"/>
            </w:r>
          </w:hyperlink>
        </w:p>
        <w:p w14:paraId="063D2AAB"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49" w:history="1">
            <w:r w:rsidRPr="005714E8">
              <w:rPr>
                <w:rStyle w:val="Hyperlink"/>
                <w:rFonts w:ascii="Sakkal Majalla" w:eastAsia="Noto Kufi Arabic" w:hAnsi="Sakkal Majalla" w:cs="Sakkal Majalla"/>
                <w:noProof/>
                <w:rtl/>
                <w:lang w:val="ar-SA"/>
              </w:rPr>
              <w:t>4.5.5 إدارة المخاطر والامتثال: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_Toc235205649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52</w:t>
            </w:r>
            <w:r w:rsidRPr="005714E8">
              <w:rPr>
                <w:rFonts w:ascii="Sakkal Majalla" w:hAnsi="Sakkal Majalla" w:cs="Sakkal Majalla"/>
                <w:noProof/>
                <w:webHidden/>
              </w:rPr>
              <w:fldChar w:fldCharType="end"/>
            </w:r>
          </w:hyperlink>
        </w:p>
        <w:p w14:paraId="739AA82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0" w:history="1">
            <w:r w:rsidRPr="005714E8">
              <w:rPr>
                <w:rStyle w:val="Hyperlink"/>
                <w:rFonts w:ascii="Sakkal Majalla" w:eastAsia="Noto Kufi Arabic" w:hAnsi="Sakkal Majalla" w:cs="Sakkal Majalla"/>
                <w:noProof/>
                <w:rtl/>
                <w:lang w:val="ar-SA"/>
              </w:rPr>
              <w:t>4.6 مستوى كفاءة الإنفاق الحكومي العقاري: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53</w:t>
            </w:r>
            <w:r w:rsidRPr="005714E8">
              <w:rPr>
                <w:rFonts w:ascii="Sakkal Majalla" w:hAnsi="Sakkal Majalla" w:cs="Sakkal Majalla"/>
                <w:noProof/>
                <w:webHidden/>
              </w:rPr>
              <w:fldChar w:fldCharType="end"/>
            </w:r>
          </w:hyperlink>
        </w:p>
        <w:p w14:paraId="0F32C02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1" w:history="1">
            <w:r w:rsidRPr="005714E8">
              <w:rPr>
                <w:rStyle w:val="Hyperlink"/>
                <w:rFonts w:ascii="Sakkal Majalla" w:eastAsia="Noto Kufi Arabic" w:hAnsi="Sakkal Majalla" w:cs="Sakkal Majalla"/>
                <w:noProof/>
                <w:rtl/>
                <w:lang w:val="ar-SA"/>
              </w:rPr>
              <w:t>4.7 العلاقات الارتباطية بين المتغيرات: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54</w:t>
            </w:r>
            <w:r w:rsidRPr="005714E8">
              <w:rPr>
                <w:rFonts w:ascii="Sakkal Majalla" w:hAnsi="Sakkal Majalla" w:cs="Sakkal Majalla"/>
                <w:noProof/>
                <w:webHidden/>
              </w:rPr>
              <w:fldChar w:fldCharType="end"/>
            </w:r>
          </w:hyperlink>
        </w:p>
        <w:p w14:paraId="29038C0A"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2" w:history="1">
            <w:r w:rsidRPr="005714E8">
              <w:rPr>
                <w:rStyle w:val="Hyperlink"/>
                <w:rFonts w:ascii="Sakkal Majalla" w:eastAsia="Noto Kufi Arabic" w:hAnsi="Sakkal Majalla" w:cs="Sakkal Majalla"/>
                <w:noProof/>
                <w:rtl/>
                <w:lang w:val="ar-SA"/>
              </w:rPr>
              <w:t>4.8 فحص افتراضات الانحدار:</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54</w:t>
            </w:r>
            <w:r w:rsidRPr="005714E8">
              <w:rPr>
                <w:rFonts w:ascii="Sakkal Majalla" w:hAnsi="Sakkal Majalla" w:cs="Sakkal Majalla"/>
                <w:noProof/>
                <w:webHidden/>
              </w:rPr>
              <w:fldChar w:fldCharType="end"/>
            </w:r>
          </w:hyperlink>
        </w:p>
        <w:p w14:paraId="0820219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3" w:history="1">
            <w:r w:rsidRPr="005714E8">
              <w:rPr>
                <w:rStyle w:val="Hyperlink"/>
                <w:rFonts w:ascii="Sakkal Majalla" w:eastAsia="Noto Kufi Arabic" w:hAnsi="Sakkal Majalla" w:cs="Sakkal Majalla"/>
                <w:noProof/>
                <w:rtl/>
                <w:lang w:val="ar-SA"/>
              </w:rPr>
              <w:t>4.9 اختبار الفرضية الرئيسة: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55</w:t>
            </w:r>
            <w:r w:rsidRPr="005714E8">
              <w:rPr>
                <w:rFonts w:ascii="Sakkal Majalla" w:hAnsi="Sakkal Majalla" w:cs="Sakkal Majalla"/>
                <w:noProof/>
                <w:webHidden/>
              </w:rPr>
              <w:fldChar w:fldCharType="end"/>
            </w:r>
          </w:hyperlink>
        </w:p>
        <w:p w14:paraId="53B676E6"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4" w:history="1">
            <w:r w:rsidRPr="005714E8">
              <w:rPr>
                <w:rStyle w:val="Hyperlink"/>
                <w:rFonts w:ascii="Sakkal Majalla" w:eastAsia="Noto Kufi Arabic" w:hAnsi="Sakkal Majalla" w:cs="Sakkal Majalla"/>
                <w:noProof/>
                <w:rtl/>
                <w:lang w:val="ar-SA"/>
              </w:rPr>
              <w:t>4.10 اختبار الفرضيات الفرعية بالانحدار المتعدد:</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56</w:t>
            </w:r>
            <w:r w:rsidRPr="005714E8">
              <w:rPr>
                <w:rFonts w:ascii="Sakkal Majalla" w:hAnsi="Sakkal Majalla" w:cs="Sakkal Majalla"/>
                <w:noProof/>
                <w:webHidden/>
              </w:rPr>
              <w:fldChar w:fldCharType="end"/>
            </w:r>
          </w:hyperlink>
        </w:p>
        <w:p w14:paraId="19FC40DB"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5" w:history="1">
            <w:r w:rsidRPr="005714E8">
              <w:rPr>
                <w:rStyle w:val="Hyperlink"/>
                <w:rFonts w:ascii="Sakkal Majalla" w:eastAsia="Noto Kufi Arabic" w:hAnsi="Sakkal Majalla" w:cs="Sakkal Majalla"/>
                <w:noProof/>
                <w:rtl/>
                <w:lang w:val="ar-SA"/>
              </w:rPr>
              <w:t>4.11 اختبار الفروق وفق الخصائص الوظيفية: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57</w:t>
            </w:r>
            <w:r w:rsidRPr="005714E8">
              <w:rPr>
                <w:rFonts w:ascii="Sakkal Majalla" w:hAnsi="Sakkal Majalla" w:cs="Sakkal Majalla"/>
                <w:noProof/>
                <w:webHidden/>
              </w:rPr>
              <w:fldChar w:fldCharType="end"/>
            </w:r>
          </w:hyperlink>
        </w:p>
        <w:p w14:paraId="7D50C93A"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6" w:history="1">
            <w:r w:rsidRPr="005714E8">
              <w:rPr>
                <w:rStyle w:val="Hyperlink"/>
                <w:rFonts w:ascii="Sakkal Majalla" w:eastAsia="Noto Kufi Arabic" w:hAnsi="Sakkal Majalla" w:cs="Sakkal Majalla"/>
                <w:noProof/>
                <w:rtl/>
                <w:lang w:val="ar-SA"/>
              </w:rPr>
              <w:t>4.12 ملخص اختبار الفرضيات: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59</w:t>
            </w:r>
            <w:r w:rsidRPr="005714E8">
              <w:rPr>
                <w:rFonts w:ascii="Sakkal Majalla" w:hAnsi="Sakkal Majalla" w:cs="Sakkal Majalla"/>
                <w:noProof/>
                <w:webHidden/>
              </w:rPr>
              <w:fldChar w:fldCharType="end"/>
            </w:r>
          </w:hyperlink>
        </w:p>
        <w:p w14:paraId="1F44B4B4"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7" w:history="1">
            <w:r w:rsidRPr="005714E8">
              <w:rPr>
                <w:rStyle w:val="Hyperlink"/>
                <w:rFonts w:ascii="Sakkal Majalla" w:eastAsia="Noto Kufi Arabic" w:hAnsi="Sakkal Majalla" w:cs="Sakkal Majalla"/>
                <w:noProof/>
                <w:rtl/>
                <w:lang w:val="ar-SA"/>
              </w:rPr>
              <w:t>4.13 خلاصة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59</w:t>
            </w:r>
            <w:r w:rsidRPr="005714E8">
              <w:rPr>
                <w:rFonts w:ascii="Sakkal Majalla" w:hAnsi="Sakkal Majalla" w:cs="Sakkal Majalla"/>
                <w:noProof/>
                <w:webHidden/>
              </w:rPr>
              <w:fldChar w:fldCharType="end"/>
            </w:r>
          </w:hyperlink>
        </w:p>
        <w:p w14:paraId="29D50FF8"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658" w:history="1">
            <w:r w:rsidRPr="005714E8">
              <w:rPr>
                <w:rStyle w:val="Hyperlink"/>
                <w:rFonts w:ascii="Sakkal Majalla" w:eastAsia="Noto Kufi Arabic" w:hAnsi="Sakkal Majalla" w:cs="Sakkal Majalla"/>
                <w:noProof/>
                <w:rtl/>
                <w:lang w:val="ar-SA"/>
              </w:rPr>
              <w:t>الفصل الخامس: مناقشة النتائج والاستنتاجات والتوصيات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60</w:t>
            </w:r>
            <w:r w:rsidRPr="005714E8">
              <w:rPr>
                <w:rFonts w:ascii="Sakkal Majalla" w:hAnsi="Sakkal Majalla" w:cs="Sakkal Majalla"/>
                <w:noProof/>
                <w:webHidden/>
              </w:rPr>
              <w:fldChar w:fldCharType="end"/>
            </w:r>
          </w:hyperlink>
        </w:p>
        <w:p w14:paraId="6DD267DF"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59" w:history="1">
            <w:r w:rsidRPr="005714E8">
              <w:rPr>
                <w:rStyle w:val="Hyperlink"/>
                <w:rFonts w:ascii="Sakkal Majalla" w:eastAsia="Noto Kufi Arabic" w:hAnsi="Sakkal Majalla" w:cs="Sakkal Majalla"/>
                <w:noProof/>
                <w:rtl/>
                <w:lang w:val="ar-SA"/>
              </w:rPr>
              <w:t>5.1 مقدمة الفصل: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_Toc235205659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60</w:t>
            </w:r>
            <w:r w:rsidRPr="005714E8">
              <w:rPr>
                <w:rFonts w:ascii="Sakkal Majalla" w:hAnsi="Sakkal Majalla" w:cs="Sakkal Majalla"/>
                <w:noProof/>
                <w:webHidden/>
              </w:rPr>
              <w:fldChar w:fldCharType="end"/>
            </w:r>
          </w:hyperlink>
        </w:p>
        <w:p w14:paraId="3BE7BA7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60" w:history="1">
            <w:r w:rsidRPr="005714E8">
              <w:rPr>
                <w:rStyle w:val="Hyperlink"/>
                <w:rFonts w:ascii="Sakkal Majalla" w:eastAsia="Noto Kufi Arabic" w:hAnsi="Sakkal Majalla" w:cs="Sakkal Majalla"/>
                <w:noProof/>
                <w:rtl/>
                <w:lang w:val="ar-SA"/>
              </w:rPr>
              <w:t>5.2 مناقشة مستوى الحوكمة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60</w:t>
            </w:r>
            <w:r w:rsidRPr="005714E8">
              <w:rPr>
                <w:rFonts w:ascii="Sakkal Majalla" w:hAnsi="Sakkal Majalla" w:cs="Sakkal Majalla"/>
                <w:noProof/>
                <w:webHidden/>
              </w:rPr>
              <w:fldChar w:fldCharType="end"/>
            </w:r>
          </w:hyperlink>
        </w:p>
        <w:p w14:paraId="43EA3D94"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61" w:history="1">
            <w:r w:rsidRPr="005714E8">
              <w:rPr>
                <w:rStyle w:val="Hyperlink"/>
                <w:rFonts w:ascii="Sakkal Majalla" w:eastAsia="Noto Kufi Arabic" w:hAnsi="Sakkal Majalla" w:cs="Sakkal Majalla"/>
                <w:noProof/>
                <w:rtl/>
                <w:lang w:val="ar-SA"/>
              </w:rPr>
              <w:t>5.3 مناقشة كفاءة الإنفاق العقاري: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60</w:t>
            </w:r>
            <w:r w:rsidRPr="005714E8">
              <w:rPr>
                <w:rFonts w:ascii="Sakkal Majalla" w:hAnsi="Sakkal Majalla" w:cs="Sakkal Majalla"/>
                <w:noProof/>
                <w:webHidden/>
              </w:rPr>
              <w:fldChar w:fldCharType="end"/>
            </w:r>
          </w:hyperlink>
        </w:p>
        <w:p w14:paraId="0C492D6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62" w:history="1">
            <w:r w:rsidRPr="005714E8">
              <w:rPr>
                <w:rStyle w:val="Hyperlink"/>
                <w:rFonts w:ascii="Sakkal Majalla" w:eastAsia="Noto Kufi Arabic" w:hAnsi="Sakkal Majalla" w:cs="Sakkal Majalla"/>
                <w:noProof/>
                <w:rtl/>
                <w:lang w:val="ar-SA"/>
              </w:rPr>
              <w:t>5.4 مناقشة أثر الحوكمة الكلي:</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61</w:t>
            </w:r>
            <w:r w:rsidRPr="005714E8">
              <w:rPr>
                <w:rFonts w:ascii="Sakkal Majalla" w:hAnsi="Sakkal Majalla" w:cs="Sakkal Majalla"/>
                <w:noProof/>
                <w:webHidden/>
              </w:rPr>
              <w:fldChar w:fldCharType="end"/>
            </w:r>
          </w:hyperlink>
        </w:p>
        <w:p w14:paraId="6E5EE18A"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63" w:history="1">
            <w:r w:rsidRPr="005714E8">
              <w:rPr>
                <w:rStyle w:val="Hyperlink"/>
                <w:rFonts w:ascii="Sakkal Majalla" w:eastAsia="Noto Kufi Arabic" w:hAnsi="Sakkal Majalla" w:cs="Sakkal Majalla"/>
                <w:noProof/>
                <w:rtl/>
                <w:lang w:val="ar-SA"/>
              </w:rPr>
              <w:t>5.5 مناقشة أثر الأبعاد الفرعية: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61</w:t>
            </w:r>
            <w:r w:rsidRPr="005714E8">
              <w:rPr>
                <w:rFonts w:ascii="Sakkal Majalla" w:hAnsi="Sakkal Majalla" w:cs="Sakkal Majalla"/>
                <w:noProof/>
                <w:webHidden/>
              </w:rPr>
              <w:fldChar w:fldCharType="end"/>
            </w:r>
          </w:hyperlink>
        </w:p>
        <w:p w14:paraId="48FF5C46"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64" w:history="1">
            <w:r w:rsidRPr="005714E8">
              <w:rPr>
                <w:rStyle w:val="Hyperlink"/>
                <w:rFonts w:ascii="Sakkal Majalla" w:eastAsia="Noto Kufi Arabic" w:hAnsi="Sakkal Majalla" w:cs="Sakkal Majalla"/>
                <w:noProof/>
                <w:rtl/>
                <w:lang w:val="ar-SA"/>
              </w:rPr>
              <w:t>5.5.1 التخطيط الاستراتيجي ودورة الحياة: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61</w:t>
            </w:r>
            <w:r w:rsidRPr="005714E8">
              <w:rPr>
                <w:rFonts w:ascii="Sakkal Majalla" w:hAnsi="Sakkal Majalla" w:cs="Sakkal Majalla"/>
                <w:noProof/>
                <w:webHidden/>
              </w:rPr>
              <w:fldChar w:fldCharType="end"/>
            </w:r>
          </w:hyperlink>
        </w:p>
        <w:p w14:paraId="0783CE10"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65" w:history="1">
            <w:r w:rsidRPr="005714E8">
              <w:rPr>
                <w:rStyle w:val="Hyperlink"/>
                <w:rFonts w:ascii="Sakkal Majalla" w:eastAsia="Noto Kufi Arabic" w:hAnsi="Sakkal Majalla" w:cs="Sakkal Majalla"/>
                <w:noProof/>
                <w:rtl/>
                <w:lang w:val="ar-SA"/>
              </w:rPr>
              <w:t>5.5.2 تكامل البيانات والرقمنة: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62</w:t>
            </w:r>
            <w:r w:rsidRPr="005714E8">
              <w:rPr>
                <w:rFonts w:ascii="Sakkal Majalla" w:hAnsi="Sakkal Majalla" w:cs="Sakkal Majalla"/>
                <w:noProof/>
                <w:webHidden/>
              </w:rPr>
              <w:fldChar w:fldCharType="end"/>
            </w:r>
          </w:hyperlink>
        </w:p>
        <w:p w14:paraId="6684ED1D"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66" w:history="1">
            <w:r w:rsidRPr="005714E8">
              <w:rPr>
                <w:rStyle w:val="Hyperlink"/>
                <w:rFonts w:ascii="Sakkal Majalla" w:eastAsia="Noto Kufi Arabic" w:hAnsi="Sakkal Majalla" w:cs="Sakkal Majalla"/>
                <w:noProof/>
                <w:rtl/>
                <w:lang w:val="ar-SA"/>
              </w:rPr>
              <w:t>5.5.3 الشفافية والإفصاح:</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62</w:t>
            </w:r>
            <w:r w:rsidRPr="005714E8">
              <w:rPr>
                <w:rFonts w:ascii="Sakkal Majalla" w:hAnsi="Sakkal Majalla" w:cs="Sakkal Majalla"/>
                <w:noProof/>
                <w:webHidden/>
              </w:rPr>
              <w:fldChar w:fldCharType="end"/>
            </w:r>
          </w:hyperlink>
        </w:p>
        <w:p w14:paraId="14895F4F"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67" w:history="1">
            <w:r w:rsidRPr="005714E8">
              <w:rPr>
                <w:rStyle w:val="Hyperlink"/>
                <w:rFonts w:ascii="Sakkal Majalla" w:eastAsia="Noto Kufi Arabic" w:hAnsi="Sakkal Majalla" w:cs="Sakkal Majalla"/>
                <w:noProof/>
                <w:rtl/>
                <w:lang w:val="ar-SA"/>
              </w:rPr>
              <w:t>5.5.4 المساءلة والرقابة الداخلية: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62</w:t>
            </w:r>
            <w:r w:rsidRPr="005714E8">
              <w:rPr>
                <w:rFonts w:ascii="Sakkal Majalla" w:hAnsi="Sakkal Majalla" w:cs="Sakkal Majalla"/>
                <w:noProof/>
                <w:webHidden/>
              </w:rPr>
              <w:fldChar w:fldCharType="end"/>
            </w:r>
          </w:hyperlink>
        </w:p>
        <w:p w14:paraId="751A1125"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68" w:history="1">
            <w:r w:rsidRPr="005714E8">
              <w:rPr>
                <w:rStyle w:val="Hyperlink"/>
                <w:rFonts w:ascii="Sakkal Majalla" w:eastAsia="Noto Kufi Arabic" w:hAnsi="Sakkal Majalla" w:cs="Sakkal Majalla"/>
                <w:noProof/>
                <w:rtl/>
                <w:lang w:val="ar-SA"/>
              </w:rPr>
              <w:t>5.5.5 إدارة المخاطر والامتثال: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63</w:t>
            </w:r>
            <w:r w:rsidRPr="005714E8">
              <w:rPr>
                <w:rFonts w:ascii="Sakkal Majalla" w:hAnsi="Sakkal Majalla" w:cs="Sakkal Majalla"/>
                <w:noProof/>
                <w:webHidden/>
              </w:rPr>
              <w:fldChar w:fldCharType="end"/>
            </w:r>
          </w:hyperlink>
        </w:p>
        <w:p w14:paraId="0410A22B"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69" w:history="1">
            <w:r w:rsidRPr="005714E8">
              <w:rPr>
                <w:rStyle w:val="Hyperlink"/>
                <w:rFonts w:ascii="Sakkal Majalla" w:eastAsia="Noto Kufi Arabic" w:hAnsi="Sakkal Majalla" w:cs="Sakkal Majalla"/>
                <w:noProof/>
                <w:rtl/>
                <w:lang w:val="ar-SA"/>
              </w:rPr>
              <w:t>5.6 المساهمات العلمية والتطبيقية: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_Toc235205669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63</w:t>
            </w:r>
            <w:r w:rsidRPr="005714E8">
              <w:rPr>
                <w:rFonts w:ascii="Sakkal Majalla" w:hAnsi="Sakkal Majalla" w:cs="Sakkal Majalla"/>
                <w:noProof/>
                <w:webHidden/>
              </w:rPr>
              <w:fldChar w:fldCharType="end"/>
            </w:r>
          </w:hyperlink>
        </w:p>
        <w:p w14:paraId="0D2A0A7D"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70" w:history="1">
            <w:r w:rsidRPr="005714E8">
              <w:rPr>
                <w:rStyle w:val="Hyperlink"/>
                <w:rFonts w:ascii="Sakkal Majalla" w:eastAsia="Noto Kufi Arabic" w:hAnsi="Sakkal Majalla" w:cs="Sakkal Majalla"/>
                <w:noProof/>
                <w:rtl/>
                <w:lang w:val="ar-SA"/>
              </w:rPr>
              <w:t>5.7 الإطار المتكامل المقترح:</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63</w:t>
            </w:r>
            <w:r w:rsidRPr="005714E8">
              <w:rPr>
                <w:rFonts w:ascii="Sakkal Majalla" w:hAnsi="Sakkal Majalla" w:cs="Sakkal Majalla"/>
                <w:noProof/>
                <w:webHidden/>
              </w:rPr>
              <w:fldChar w:fldCharType="end"/>
            </w:r>
          </w:hyperlink>
        </w:p>
        <w:p w14:paraId="20E1201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1" w:history="1">
            <w:r w:rsidRPr="005714E8">
              <w:rPr>
                <w:rStyle w:val="Hyperlink"/>
                <w:rFonts w:ascii="Sakkal Majalla" w:eastAsia="Noto Kufi Arabic" w:hAnsi="Sakkal Majalla" w:cs="Sakkal Majalla"/>
                <w:noProof/>
                <w:rtl/>
                <w:lang w:val="ar-SA"/>
              </w:rPr>
              <w:t>5.7.1 الركيزة الأولى: الحوكمة المؤسسية: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64</w:t>
            </w:r>
            <w:r w:rsidRPr="005714E8">
              <w:rPr>
                <w:rFonts w:ascii="Sakkal Majalla" w:hAnsi="Sakkal Majalla" w:cs="Sakkal Majalla"/>
                <w:noProof/>
                <w:webHidden/>
              </w:rPr>
              <w:fldChar w:fldCharType="end"/>
            </w:r>
          </w:hyperlink>
        </w:p>
        <w:p w14:paraId="77992BE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2" w:history="1">
            <w:r w:rsidRPr="005714E8">
              <w:rPr>
                <w:rStyle w:val="Hyperlink"/>
                <w:rFonts w:ascii="Sakkal Majalla" w:eastAsia="Noto Kufi Arabic" w:hAnsi="Sakkal Majalla" w:cs="Sakkal Majalla"/>
                <w:noProof/>
                <w:rtl/>
                <w:lang w:val="ar-SA"/>
              </w:rPr>
              <w:t>5.7.2 الركيزة الثانية: السجل الرقمي الموحد</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64</w:t>
            </w:r>
            <w:r w:rsidRPr="005714E8">
              <w:rPr>
                <w:rFonts w:ascii="Sakkal Majalla" w:hAnsi="Sakkal Majalla" w:cs="Sakkal Majalla"/>
                <w:noProof/>
                <w:webHidden/>
              </w:rPr>
              <w:fldChar w:fldCharType="end"/>
            </w:r>
          </w:hyperlink>
        </w:p>
        <w:p w14:paraId="4A355DE9"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3" w:history="1">
            <w:r w:rsidRPr="005714E8">
              <w:rPr>
                <w:rStyle w:val="Hyperlink"/>
                <w:rFonts w:ascii="Sakkal Majalla" w:eastAsia="Noto Kufi Arabic" w:hAnsi="Sakkal Majalla" w:cs="Sakkal Majalla"/>
                <w:noProof/>
                <w:rtl/>
                <w:lang w:val="ar-SA"/>
              </w:rPr>
              <w:t>5.7.3 الركيزة الثالثة: التخطيط وإدارة المحفظة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64</w:t>
            </w:r>
            <w:r w:rsidRPr="005714E8">
              <w:rPr>
                <w:rFonts w:ascii="Sakkal Majalla" w:hAnsi="Sakkal Majalla" w:cs="Sakkal Majalla"/>
                <w:noProof/>
                <w:webHidden/>
              </w:rPr>
              <w:fldChar w:fldCharType="end"/>
            </w:r>
          </w:hyperlink>
        </w:p>
        <w:p w14:paraId="7C60813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4" w:history="1">
            <w:r w:rsidRPr="005714E8">
              <w:rPr>
                <w:rStyle w:val="Hyperlink"/>
                <w:rFonts w:ascii="Sakkal Majalla" w:eastAsia="Noto Kufi Arabic" w:hAnsi="Sakkal Majalla" w:cs="Sakkal Majalla"/>
                <w:noProof/>
                <w:rtl/>
                <w:lang w:val="ar-SA"/>
              </w:rPr>
              <w:t>5.7.4 الركيزة الرابعة: إدارة دورة الحياة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65</w:t>
            </w:r>
            <w:r w:rsidRPr="005714E8">
              <w:rPr>
                <w:rFonts w:ascii="Sakkal Majalla" w:hAnsi="Sakkal Majalla" w:cs="Sakkal Majalla"/>
                <w:noProof/>
                <w:webHidden/>
              </w:rPr>
              <w:fldChar w:fldCharType="end"/>
            </w:r>
          </w:hyperlink>
        </w:p>
        <w:p w14:paraId="1D4934E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5" w:history="1">
            <w:r w:rsidRPr="005714E8">
              <w:rPr>
                <w:rStyle w:val="Hyperlink"/>
                <w:rFonts w:ascii="Sakkal Majalla" w:eastAsia="Noto Kufi Arabic" w:hAnsi="Sakkal Majalla" w:cs="Sakkal Majalla"/>
                <w:noProof/>
                <w:rtl/>
                <w:lang w:val="ar-SA"/>
              </w:rPr>
              <w:t>5.7.5 الركيزة الخامسة: المخاطر والامتثال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65</w:t>
            </w:r>
            <w:r w:rsidRPr="005714E8">
              <w:rPr>
                <w:rFonts w:ascii="Sakkal Majalla" w:hAnsi="Sakkal Majalla" w:cs="Sakkal Majalla"/>
                <w:noProof/>
                <w:webHidden/>
              </w:rPr>
              <w:fldChar w:fldCharType="end"/>
            </w:r>
          </w:hyperlink>
        </w:p>
        <w:p w14:paraId="1C805951"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76" w:history="1">
            <w:r w:rsidRPr="005714E8">
              <w:rPr>
                <w:rStyle w:val="Hyperlink"/>
                <w:rFonts w:ascii="Sakkal Majalla" w:eastAsia="Noto Kufi Arabic" w:hAnsi="Sakkal Majalla" w:cs="Sakkal Majalla"/>
                <w:noProof/>
                <w:rtl/>
                <w:lang w:val="ar-SA"/>
              </w:rPr>
              <w:t>5.7.6 الركيزة السادسة: قياس القيمة والتحسين</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65</w:t>
            </w:r>
            <w:r w:rsidRPr="005714E8">
              <w:rPr>
                <w:rFonts w:ascii="Sakkal Majalla" w:hAnsi="Sakkal Majalla" w:cs="Sakkal Majalla"/>
                <w:noProof/>
                <w:webHidden/>
              </w:rPr>
              <w:fldChar w:fldCharType="end"/>
            </w:r>
          </w:hyperlink>
        </w:p>
        <w:p w14:paraId="02EF3D84"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77" w:history="1">
            <w:r w:rsidRPr="005714E8">
              <w:rPr>
                <w:rStyle w:val="Hyperlink"/>
                <w:rFonts w:ascii="Sakkal Majalla" w:eastAsia="Noto Kufi Arabic" w:hAnsi="Sakkal Majalla" w:cs="Sakkal Majalla"/>
                <w:noProof/>
                <w:rtl/>
                <w:lang w:val="ar-SA"/>
              </w:rPr>
              <w:t>5.8 مستويات النضج المقترحة: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65</w:t>
            </w:r>
            <w:r w:rsidRPr="005714E8">
              <w:rPr>
                <w:rFonts w:ascii="Sakkal Majalla" w:hAnsi="Sakkal Majalla" w:cs="Sakkal Majalla"/>
                <w:noProof/>
                <w:webHidden/>
              </w:rPr>
              <w:fldChar w:fldCharType="end"/>
            </w:r>
          </w:hyperlink>
        </w:p>
        <w:p w14:paraId="2F17903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78" w:history="1">
            <w:r w:rsidRPr="005714E8">
              <w:rPr>
                <w:rStyle w:val="Hyperlink"/>
                <w:rFonts w:ascii="Sakkal Majalla" w:eastAsia="Noto Kufi Arabic" w:hAnsi="Sakkal Majalla" w:cs="Sakkal Majalla"/>
                <w:noProof/>
                <w:rtl/>
                <w:lang w:val="ar-SA"/>
              </w:rPr>
              <w:t>5.9 خارطة طريق تنفيذية: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66</w:t>
            </w:r>
            <w:r w:rsidRPr="005714E8">
              <w:rPr>
                <w:rFonts w:ascii="Sakkal Majalla" w:hAnsi="Sakkal Majalla" w:cs="Sakkal Majalla"/>
                <w:noProof/>
                <w:webHidden/>
              </w:rPr>
              <w:fldChar w:fldCharType="end"/>
            </w:r>
          </w:hyperlink>
        </w:p>
        <w:p w14:paraId="3603C48E"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79" w:history="1">
            <w:r w:rsidRPr="005714E8">
              <w:rPr>
                <w:rStyle w:val="Hyperlink"/>
                <w:rFonts w:ascii="Sakkal Majalla" w:eastAsia="Noto Kufi Arabic" w:hAnsi="Sakkal Majalla" w:cs="Sakkal Majalla"/>
                <w:noProof/>
                <w:rtl/>
                <w:lang w:val="ar-SA"/>
              </w:rPr>
              <w:t>5.10 مصفوفة المسؤوليات: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_Toc235205679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67</w:t>
            </w:r>
            <w:r w:rsidRPr="005714E8">
              <w:rPr>
                <w:rFonts w:ascii="Sakkal Majalla" w:hAnsi="Sakkal Majalla" w:cs="Sakkal Majalla"/>
                <w:noProof/>
                <w:webHidden/>
              </w:rPr>
              <w:fldChar w:fldCharType="end"/>
            </w:r>
          </w:hyperlink>
        </w:p>
        <w:p w14:paraId="499845C4"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80" w:history="1">
            <w:r w:rsidRPr="005714E8">
              <w:rPr>
                <w:rStyle w:val="Hyperlink"/>
                <w:rFonts w:ascii="Sakkal Majalla" w:eastAsia="Noto Kufi Arabic" w:hAnsi="Sakkal Majalla" w:cs="Sakkal Majalla"/>
                <w:noProof/>
                <w:rtl/>
                <w:lang w:val="ar-SA"/>
              </w:rPr>
              <w:t>5.11 مؤشرات الأداء المقترحة: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68</w:t>
            </w:r>
            <w:r w:rsidRPr="005714E8">
              <w:rPr>
                <w:rFonts w:ascii="Sakkal Majalla" w:hAnsi="Sakkal Majalla" w:cs="Sakkal Majalla"/>
                <w:noProof/>
                <w:webHidden/>
              </w:rPr>
              <w:fldChar w:fldCharType="end"/>
            </w:r>
          </w:hyperlink>
        </w:p>
        <w:p w14:paraId="71B9434C"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81" w:history="1">
            <w:r w:rsidRPr="005714E8">
              <w:rPr>
                <w:rStyle w:val="Hyperlink"/>
                <w:rFonts w:ascii="Sakkal Majalla" w:eastAsia="Noto Kufi Arabic" w:hAnsi="Sakkal Majalla" w:cs="Sakkal Majalla"/>
                <w:noProof/>
                <w:rtl/>
                <w:lang w:val="ar-SA"/>
              </w:rPr>
              <w:t>5.12 التوصيات :</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69</w:t>
            </w:r>
            <w:r w:rsidRPr="005714E8">
              <w:rPr>
                <w:rFonts w:ascii="Sakkal Majalla" w:hAnsi="Sakkal Majalla" w:cs="Sakkal Majalla"/>
                <w:noProof/>
                <w:webHidden/>
              </w:rPr>
              <w:fldChar w:fldCharType="end"/>
            </w:r>
          </w:hyperlink>
        </w:p>
        <w:p w14:paraId="6B57A54E"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82" w:history="1">
            <w:r w:rsidRPr="005714E8">
              <w:rPr>
                <w:rStyle w:val="Hyperlink"/>
                <w:rFonts w:ascii="Sakkal Majalla" w:eastAsia="Noto Kufi Arabic" w:hAnsi="Sakkal Majalla" w:cs="Sakkal Majalla"/>
                <w:noProof/>
                <w:rtl/>
                <w:lang w:val="ar-SA"/>
              </w:rPr>
              <w:t>5.12.1 توصيات استراتيجية وحوكمية: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69</w:t>
            </w:r>
            <w:r w:rsidRPr="005714E8">
              <w:rPr>
                <w:rFonts w:ascii="Sakkal Majalla" w:hAnsi="Sakkal Majalla" w:cs="Sakkal Majalla"/>
                <w:noProof/>
                <w:webHidden/>
              </w:rPr>
              <w:fldChar w:fldCharType="end"/>
            </w:r>
          </w:hyperlink>
        </w:p>
        <w:p w14:paraId="1C6D945A"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83" w:history="1">
            <w:r w:rsidRPr="005714E8">
              <w:rPr>
                <w:rStyle w:val="Hyperlink"/>
                <w:rFonts w:ascii="Sakkal Majalla" w:eastAsia="Noto Kufi Arabic" w:hAnsi="Sakkal Majalla" w:cs="Sakkal Majalla"/>
                <w:noProof/>
                <w:rtl/>
                <w:lang w:val="ar-SA"/>
              </w:rPr>
              <w:t>5.12.2 توصيات البيانات والرقمنة: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69</w:t>
            </w:r>
            <w:r w:rsidRPr="005714E8">
              <w:rPr>
                <w:rFonts w:ascii="Sakkal Majalla" w:hAnsi="Sakkal Majalla" w:cs="Sakkal Majalla"/>
                <w:noProof/>
                <w:webHidden/>
              </w:rPr>
              <w:fldChar w:fldCharType="end"/>
            </w:r>
          </w:hyperlink>
        </w:p>
        <w:p w14:paraId="32E113A4"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84" w:history="1">
            <w:r w:rsidRPr="005714E8">
              <w:rPr>
                <w:rStyle w:val="Hyperlink"/>
                <w:rFonts w:ascii="Sakkal Majalla" w:eastAsia="Noto Kufi Arabic" w:hAnsi="Sakkal Majalla" w:cs="Sakkal Majalla"/>
                <w:noProof/>
                <w:rtl/>
                <w:lang w:val="ar-SA"/>
              </w:rPr>
              <w:t>5.12.3 توصيات دورة الحياة والكفاءة: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69</w:t>
            </w:r>
            <w:r w:rsidRPr="005714E8">
              <w:rPr>
                <w:rFonts w:ascii="Sakkal Majalla" w:hAnsi="Sakkal Majalla" w:cs="Sakkal Majalla"/>
                <w:noProof/>
                <w:webHidden/>
              </w:rPr>
              <w:fldChar w:fldCharType="end"/>
            </w:r>
          </w:hyperlink>
        </w:p>
        <w:p w14:paraId="7FBB5756"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85" w:history="1">
            <w:r w:rsidRPr="005714E8">
              <w:rPr>
                <w:rStyle w:val="Hyperlink"/>
                <w:rFonts w:ascii="Sakkal Majalla" w:eastAsia="Noto Kufi Arabic" w:hAnsi="Sakkal Majalla" w:cs="Sakkal Majalla"/>
                <w:noProof/>
                <w:rtl/>
                <w:lang w:val="ar-SA"/>
              </w:rPr>
              <w:t>5.12.4 توصيات المخاطر والامتثال:</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70</w:t>
            </w:r>
            <w:r w:rsidRPr="005714E8">
              <w:rPr>
                <w:rFonts w:ascii="Sakkal Majalla" w:hAnsi="Sakkal Majalla" w:cs="Sakkal Majalla"/>
                <w:noProof/>
                <w:webHidden/>
              </w:rPr>
              <w:fldChar w:fldCharType="end"/>
            </w:r>
          </w:hyperlink>
        </w:p>
        <w:p w14:paraId="51127980" w14:textId="77777777" w:rsidR="005714E8" w:rsidRPr="005714E8" w:rsidRDefault="005714E8" w:rsidP="005714E8">
          <w:pPr>
            <w:pStyle w:val="36"/>
            <w:tabs>
              <w:tab w:val="right" w:leader="dot" w:pos="8835"/>
            </w:tabs>
            <w:bidi/>
            <w:spacing w:after="0" w:line="240" w:lineRule="auto"/>
            <w:ind w:firstLine="56"/>
            <w:rPr>
              <w:rFonts w:ascii="Sakkal Majalla" w:hAnsi="Sakkal Majalla" w:cs="Sakkal Majalla"/>
              <w:noProof/>
            </w:rPr>
          </w:pPr>
          <w:hyperlink w:anchor="_Toc235205686" w:history="1">
            <w:r w:rsidRPr="005714E8">
              <w:rPr>
                <w:rStyle w:val="Hyperlink"/>
                <w:rFonts w:ascii="Sakkal Majalla" w:eastAsia="Noto Kufi Arabic" w:hAnsi="Sakkal Majalla" w:cs="Sakkal Majalla"/>
                <w:noProof/>
                <w:rtl/>
                <w:lang w:val="ar-SA"/>
              </w:rPr>
              <w:t>5.12.5 توصيات القدرات والثقافة: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70</w:t>
            </w:r>
            <w:r w:rsidRPr="005714E8">
              <w:rPr>
                <w:rFonts w:ascii="Sakkal Majalla" w:hAnsi="Sakkal Majalla" w:cs="Sakkal Majalla"/>
                <w:noProof/>
                <w:webHidden/>
              </w:rPr>
              <w:fldChar w:fldCharType="end"/>
            </w:r>
          </w:hyperlink>
        </w:p>
        <w:p w14:paraId="4CCBF5B2"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87" w:history="1">
            <w:r w:rsidRPr="005714E8">
              <w:rPr>
                <w:rStyle w:val="Hyperlink"/>
                <w:rFonts w:ascii="Sakkal Majalla" w:eastAsia="Noto Kufi Arabic" w:hAnsi="Sakkal Majalla" w:cs="Sakkal Majalla"/>
                <w:noProof/>
                <w:rtl/>
                <w:lang w:val="ar-SA"/>
              </w:rPr>
              <w:t>5.13 القيود:</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70</w:t>
            </w:r>
            <w:r w:rsidRPr="005714E8">
              <w:rPr>
                <w:rFonts w:ascii="Sakkal Majalla" w:hAnsi="Sakkal Majalla" w:cs="Sakkal Majalla"/>
                <w:noProof/>
                <w:webHidden/>
              </w:rPr>
              <w:fldChar w:fldCharType="end"/>
            </w:r>
          </w:hyperlink>
        </w:p>
        <w:p w14:paraId="479D9178"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88" w:history="1">
            <w:r w:rsidRPr="005714E8">
              <w:rPr>
                <w:rStyle w:val="Hyperlink"/>
                <w:rFonts w:ascii="Sakkal Majalla" w:eastAsia="Noto Kufi Arabic" w:hAnsi="Sakkal Majalla" w:cs="Sakkal Majalla"/>
                <w:noProof/>
                <w:rtl/>
                <w:lang w:val="ar-SA"/>
              </w:rPr>
              <w:t>5.14 مقترحات الدراسات المستقبلية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70</w:t>
            </w:r>
            <w:r w:rsidRPr="005714E8">
              <w:rPr>
                <w:rFonts w:ascii="Sakkal Majalla" w:hAnsi="Sakkal Majalla" w:cs="Sakkal Majalla"/>
                <w:noProof/>
                <w:webHidden/>
              </w:rPr>
              <w:fldChar w:fldCharType="end"/>
            </w:r>
          </w:hyperlink>
        </w:p>
        <w:p w14:paraId="02E28057"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89" w:history="1">
            <w:r w:rsidRPr="005714E8">
              <w:rPr>
                <w:rStyle w:val="Hyperlink"/>
                <w:rFonts w:ascii="Sakkal Majalla" w:eastAsia="Noto Kufi Arabic" w:hAnsi="Sakkal Majalla" w:cs="Sakkal Majalla"/>
                <w:noProof/>
                <w:rtl/>
                <w:lang w:val="ar-SA"/>
              </w:rPr>
              <w:t>5.15 الخاتمة العامة: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_Toc235205689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71</w:t>
            </w:r>
            <w:r w:rsidRPr="005714E8">
              <w:rPr>
                <w:rFonts w:ascii="Sakkal Majalla" w:hAnsi="Sakkal Majalla" w:cs="Sakkal Majalla"/>
                <w:noProof/>
                <w:webHidden/>
              </w:rPr>
              <w:fldChar w:fldCharType="end"/>
            </w:r>
          </w:hyperlink>
        </w:p>
        <w:p w14:paraId="4662319E"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690" w:history="1">
            <w:r w:rsidRPr="005714E8">
              <w:rPr>
                <w:rStyle w:val="Hyperlink"/>
                <w:rFonts w:ascii="Sakkal Majalla" w:eastAsia="Noto Kufi Arabic" w:hAnsi="Sakkal Majalla" w:cs="Sakkal Majalla"/>
                <w:noProof/>
                <w:rtl/>
                <w:lang w:val="ar-SA"/>
              </w:rPr>
              <w:t>المراجع:</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_Toc235205690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72</w:t>
            </w:r>
            <w:r w:rsidRPr="005714E8">
              <w:rPr>
                <w:rFonts w:ascii="Sakkal Majalla" w:hAnsi="Sakkal Majalla" w:cs="Sakkal Majalla"/>
                <w:noProof/>
                <w:webHidden/>
              </w:rPr>
              <w:fldChar w:fldCharType="end"/>
            </w:r>
          </w:hyperlink>
        </w:p>
        <w:p w14:paraId="40165417"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1" w:history="1">
            <w:r w:rsidRPr="005714E8">
              <w:rPr>
                <w:rStyle w:val="Hyperlink"/>
                <w:rFonts w:ascii="Sakkal Majalla" w:eastAsia="Noto Kufi Arabic" w:hAnsi="Sakkal Majalla" w:cs="Sakkal Majalla"/>
                <w:noProof/>
                <w:rtl/>
                <w:lang w:val="ar-SA"/>
              </w:rPr>
              <w:t>أولاً: المراجع العربية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_Toc235205691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72</w:t>
            </w:r>
            <w:r w:rsidRPr="005714E8">
              <w:rPr>
                <w:rFonts w:ascii="Sakkal Majalla" w:hAnsi="Sakkal Majalla" w:cs="Sakkal Majalla"/>
                <w:noProof/>
                <w:webHidden/>
              </w:rPr>
              <w:fldChar w:fldCharType="end"/>
            </w:r>
          </w:hyperlink>
        </w:p>
        <w:p w14:paraId="33A4D118"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2" w:history="1">
            <w:r w:rsidRPr="005714E8">
              <w:rPr>
                <w:rStyle w:val="Hyperlink"/>
                <w:rFonts w:ascii="Sakkal Majalla" w:eastAsia="Noto Kufi Arabic" w:hAnsi="Sakkal Majalla" w:cs="Sakkal Majalla"/>
                <w:noProof/>
                <w:rtl/>
                <w:lang w:val="ar-SA"/>
              </w:rPr>
              <w:t>ثانياً: المراجع الأجنبية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_Toc235205692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73</w:t>
            </w:r>
            <w:r w:rsidRPr="005714E8">
              <w:rPr>
                <w:rFonts w:ascii="Sakkal Majalla" w:hAnsi="Sakkal Majalla" w:cs="Sakkal Majalla"/>
                <w:noProof/>
                <w:webHidden/>
              </w:rPr>
              <w:fldChar w:fldCharType="end"/>
            </w:r>
          </w:hyperlink>
        </w:p>
        <w:p w14:paraId="54F65E48" w14:textId="77777777" w:rsidR="005714E8" w:rsidRPr="005714E8" w:rsidRDefault="005714E8" w:rsidP="005714E8">
          <w:pPr>
            <w:pStyle w:val="13"/>
            <w:tabs>
              <w:tab w:val="right" w:leader="dot" w:pos="8835"/>
            </w:tabs>
            <w:bidi/>
            <w:spacing w:after="0" w:line="240" w:lineRule="auto"/>
            <w:ind w:firstLine="56"/>
            <w:rPr>
              <w:rFonts w:ascii="Sakkal Majalla" w:hAnsi="Sakkal Majalla" w:cs="Sakkal Majalla"/>
              <w:noProof/>
            </w:rPr>
          </w:pPr>
          <w:hyperlink w:anchor="_Toc235205693" w:history="1">
            <w:r w:rsidRPr="005714E8">
              <w:rPr>
                <w:rStyle w:val="Hyperlink"/>
                <w:rFonts w:ascii="Sakkal Majalla" w:eastAsia="Noto Kufi Arabic" w:hAnsi="Sakkal Majalla" w:cs="Sakkal Majalla"/>
                <w:noProof/>
                <w:rtl/>
                <w:lang w:val="ar-SA"/>
              </w:rPr>
              <w:t>الملاحق</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_Toc235205693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76</w:t>
            </w:r>
            <w:r w:rsidRPr="005714E8">
              <w:rPr>
                <w:rFonts w:ascii="Sakkal Majalla" w:hAnsi="Sakkal Majalla" w:cs="Sakkal Majalla"/>
                <w:noProof/>
                <w:webHidden/>
              </w:rPr>
              <w:fldChar w:fldCharType="end"/>
            </w:r>
          </w:hyperlink>
        </w:p>
        <w:p w14:paraId="0A8BE4D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4" w:history="1">
            <w:r w:rsidRPr="005714E8">
              <w:rPr>
                <w:rStyle w:val="Hyperlink"/>
                <w:rFonts w:ascii="Sakkal Majalla" w:eastAsia="Noto Kufi Arabic" w:hAnsi="Sakkal Majalla" w:cs="Sakkal Majalla"/>
                <w:noProof/>
                <w:rtl/>
                <w:lang w:val="ar-SA"/>
              </w:rPr>
              <w:t>الملحق (1): الاستبانة النهائية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_Toc235205694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76</w:t>
            </w:r>
            <w:r w:rsidRPr="005714E8">
              <w:rPr>
                <w:rFonts w:ascii="Sakkal Majalla" w:hAnsi="Sakkal Majalla" w:cs="Sakkal Majalla"/>
                <w:noProof/>
                <w:webHidden/>
              </w:rPr>
              <w:fldChar w:fldCharType="end"/>
            </w:r>
          </w:hyperlink>
        </w:p>
        <w:p w14:paraId="33D61F03"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5" w:history="1">
            <w:r w:rsidRPr="005714E8">
              <w:rPr>
                <w:rStyle w:val="Hyperlink"/>
                <w:rFonts w:ascii="Sakkal Majalla" w:eastAsia="Noto Kufi Arabic" w:hAnsi="Sakkal Majalla" w:cs="Sakkal Majalla"/>
                <w:noProof/>
                <w:rtl/>
                <w:lang w:val="ar-SA"/>
              </w:rPr>
              <w:t>الملحق (2): خطاب التحكيم المقترح</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_Toc235205695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79</w:t>
            </w:r>
            <w:r w:rsidRPr="005714E8">
              <w:rPr>
                <w:rFonts w:ascii="Sakkal Majalla" w:hAnsi="Sakkal Majalla" w:cs="Sakkal Majalla"/>
                <w:noProof/>
                <w:webHidden/>
              </w:rPr>
              <w:fldChar w:fldCharType="end"/>
            </w:r>
          </w:hyperlink>
        </w:p>
        <w:p w14:paraId="38707DF2"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6" w:history="1">
            <w:r w:rsidRPr="005714E8">
              <w:rPr>
                <w:rStyle w:val="Hyperlink"/>
                <w:rFonts w:ascii="Sakkal Majalla" w:eastAsia="Noto Kufi Arabic" w:hAnsi="Sakkal Majalla" w:cs="Sakkal Majalla"/>
                <w:noProof/>
                <w:rtl/>
                <w:lang w:val="ar-SA"/>
              </w:rPr>
              <w:t>الملحق (3): مصفوفة ترميز المتغيرات</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_Toc235205696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79</w:t>
            </w:r>
            <w:r w:rsidRPr="005714E8">
              <w:rPr>
                <w:rFonts w:ascii="Sakkal Majalla" w:hAnsi="Sakkal Majalla" w:cs="Sakkal Majalla"/>
                <w:noProof/>
                <w:webHidden/>
              </w:rPr>
              <w:fldChar w:fldCharType="end"/>
            </w:r>
          </w:hyperlink>
        </w:p>
        <w:p w14:paraId="4E9C8E2C" w14:textId="77777777" w:rsidR="005714E8" w:rsidRPr="005714E8" w:rsidRDefault="005714E8" w:rsidP="005714E8">
          <w:pPr>
            <w:pStyle w:val="28"/>
            <w:tabs>
              <w:tab w:val="right" w:leader="dot" w:pos="8835"/>
            </w:tabs>
            <w:bidi/>
            <w:spacing w:after="0" w:line="240" w:lineRule="auto"/>
            <w:ind w:firstLine="56"/>
            <w:rPr>
              <w:rFonts w:ascii="Sakkal Majalla" w:hAnsi="Sakkal Majalla" w:cs="Sakkal Majalla"/>
              <w:noProof/>
            </w:rPr>
          </w:pPr>
          <w:hyperlink w:anchor="_Toc235205697" w:history="1">
            <w:r w:rsidRPr="005714E8">
              <w:rPr>
                <w:rStyle w:val="Hyperlink"/>
                <w:rFonts w:ascii="Sakkal Majalla" w:eastAsia="Noto Kufi Arabic" w:hAnsi="Sakkal Majalla" w:cs="Sakkal Majalla"/>
                <w:noProof/>
                <w:rtl/>
                <w:lang w:val="ar-SA"/>
              </w:rPr>
              <w:t>الملحق (4): قائمة مؤشرات المتابعة التنفيذية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_Toc235205697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80</w:t>
            </w:r>
            <w:r w:rsidRPr="005714E8">
              <w:rPr>
                <w:rFonts w:ascii="Sakkal Majalla" w:hAnsi="Sakkal Majalla" w:cs="Sakkal Majalla"/>
                <w:noProof/>
                <w:webHidden/>
              </w:rPr>
              <w:fldChar w:fldCharType="end"/>
            </w:r>
          </w:hyperlink>
        </w:p>
        <w:p w14:paraId="6706FEFB" w14:textId="77777777" w:rsidR="005714E8" w:rsidRPr="005714E8" w:rsidRDefault="005714E8" w:rsidP="005714E8">
          <w:pPr>
            <w:pStyle w:val="28"/>
            <w:tabs>
              <w:tab w:val="right" w:leader="dot" w:pos="8835"/>
            </w:tabs>
            <w:bidi/>
            <w:spacing w:after="0" w:line="240" w:lineRule="auto"/>
            <w:ind w:firstLine="56"/>
          </w:pPr>
          <w:hyperlink w:anchor="_Toc235205698" w:history="1">
            <w:r w:rsidRPr="005714E8">
              <w:rPr>
                <w:rStyle w:val="Hyperlink"/>
                <w:rFonts w:ascii="Sakkal Majalla" w:eastAsia="Noto Kufi Arabic" w:hAnsi="Sakkal Majalla" w:cs="Sakkal Majalla"/>
                <w:noProof/>
                <w:rtl/>
                <w:lang w:val="ar-SA"/>
              </w:rPr>
              <w:t>الملحق (5): نموذج تقرير ربع سنوي للمحفظة العقارية</w:t>
            </w:r>
            <w:r w:rsidRPr="005714E8">
              <w:rPr>
                <w:rFonts w:ascii="Sakkal Majalla" w:hAnsi="Sakkal Majalla" w:cs="Sakkal Majalla"/>
                <w:noProof/>
                <w:webHidden/>
              </w:rPr>
              <w:tab/>
            </w:r>
            <w:r w:rsidRPr="005714E8">
              <w:rPr>
                <w:rFonts w:ascii="Sakkal Majalla" w:hAnsi="Sakkal Majalla" w:cs="Sakkal Majalla"/>
                <w:noProof/>
                <w:webHidden/>
              </w:rPr>
              <w:fldChar w:fldCharType="begin"/>
            </w:r>
            <w:r w:rsidRPr="005714E8">
              <w:rPr>
                <w:rFonts w:ascii="Sakkal Majalla" w:hAnsi="Sakkal Majalla" w:cs="Sakkal Majalla"/>
                <w:noProof/>
                <w:webHidden/>
              </w:rPr>
              <w:instrText xml:space="preserve"> PAGEREF _Toc235205698 \h </w:instrText>
            </w:r>
            <w:r w:rsidRPr="005714E8">
              <w:rPr>
                <w:rFonts w:ascii="Sakkal Majalla" w:hAnsi="Sakkal Majalla" w:cs="Sakkal Majalla"/>
                <w:noProof/>
                <w:webHidden/>
              </w:rPr>
            </w:r>
            <w:r w:rsidRPr="005714E8">
              <w:rPr>
                <w:rFonts w:ascii="Sakkal Majalla" w:hAnsi="Sakkal Majalla" w:cs="Sakkal Majalla"/>
                <w:noProof/>
                <w:webHidden/>
              </w:rPr>
              <w:fldChar w:fldCharType="separate"/>
            </w:r>
            <w:r w:rsidR="00C822C0">
              <w:rPr>
                <w:rFonts w:ascii="Sakkal Majalla" w:hAnsi="Sakkal Majalla" w:cs="Sakkal Majalla"/>
                <w:noProof/>
                <w:webHidden/>
                <w:rtl/>
              </w:rPr>
              <w:t>82</w:t>
            </w:r>
            <w:r w:rsidRPr="005714E8">
              <w:rPr>
                <w:rFonts w:ascii="Sakkal Majalla" w:hAnsi="Sakkal Majalla" w:cs="Sakkal Majalla"/>
                <w:noProof/>
                <w:webHidden/>
              </w:rPr>
              <w:fldChar w:fldCharType="end"/>
            </w:r>
          </w:hyperlink>
          <w:r w:rsidRPr="005714E8">
            <w:rPr>
              <w:rFonts w:ascii="Sakkal Majalla" w:hAnsi="Sakkal Majalla" w:cs="Sakkal Majalla"/>
              <w:b/>
              <w:bCs/>
              <w:lang w:val="ar-SA"/>
            </w:rPr>
            <w:fldChar w:fldCharType="end"/>
          </w:r>
        </w:p>
      </w:sdtContent>
    </w:sdt>
    <w:p w14:paraId="1270CA96" w14:textId="77777777" w:rsidR="005714E8" w:rsidRDefault="005714E8">
      <w:pPr>
        <w:spacing w:after="200" w:line="276" w:lineRule="auto"/>
        <w:ind w:firstLine="0"/>
        <w:jc w:val="left"/>
        <w:rPr>
          <w:rFonts w:ascii="Sakkal Majalla" w:eastAsia="Noto Kufi Arabic" w:hAnsi="Sakkal Majalla" w:cs="Sakkal Majalla"/>
          <w:bCs/>
          <w:color w:val="17365D"/>
          <w:sz w:val="36"/>
          <w:szCs w:val="36"/>
          <w:rtl/>
          <w:lang w:val="ar-SA"/>
        </w:rPr>
      </w:pPr>
      <w:r>
        <w:rPr>
          <w:rFonts w:ascii="Sakkal Majalla" w:eastAsia="Noto Kufi Arabic" w:hAnsi="Sakkal Majalla" w:cs="Sakkal Majalla"/>
          <w:bCs/>
          <w:color w:val="17365D"/>
          <w:sz w:val="36"/>
          <w:szCs w:val="36"/>
          <w:rtl/>
          <w:lang w:val="ar-SA"/>
        </w:rPr>
        <w:br w:type="page"/>
      </w:r>
    </w:p>
    <w:p w14:paraId="0C18A972" w14:textId="77777777" w:rsidR="00986803" w:rsidRPr="003D26DE" w:rsidRDefault="00DB29B7" w:rsidP="005714E8">
      <w:pPr>
        <w:bidi/>
        <w:spacing w:after="200" w:line="276"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17365D"/>
          <w:sz w:val="36"/>
          <w:szCs w:val="36"/>
          <w:rtl/>
          <w:lang w:val="ar-SA"/>
        </w:rPr>
        <w:lastRenderedPageBreak/>
        <w:t>قائمة الجداول</w:t>
      </w:r>
      <w:r w:rsidR="003D26DE" w:rsidRPr="003D26DE">
        <w:rPr>
          <w:rFonts w:ascii="Sakkal Majalla" w:eastAsia="Noto Kufi Arabic" w:hAnsi="Sakkal Majalla" w:cs="Sakkal Majalla" w:hint="cs"/>
          <w:bCs/>
          <w:color w:val="17365D"/>
          <w:sz w:val="36"/>
          <w:szCs w:val="36"/>
          <w:lang w:val="ar-SA"/>
        </w:rPr>
        <w:t>:</w:t>
      </w:r>
    </w:p>
    <w:tbl>
      <w:tblPr>
        <w:tblW w:w="7371" w:type="dxa"/>
        <w:jc w:val="center"/>
        <w:tblLayout w:type="fixed"/>
        <w:tblLook w:val="04A0" w:firstRow="1" w:lastRow="0" w:firstColumn="1" w:lastColumn="0" w:noHBand="0" w:noVBand="1"/>
      </w:tblPr>
      <w:tblGrid>
        <w:gridCol w:w="7371"/>
      </w:tblGrid>
      <w:tr w:rsidR="003D26DE" w:rsidRPr="00AE1FD7" w14:paraId="2EF4516B"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292942CC"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 أسئلة الدراسة</w:t>
            </w:r>
          </w:p>
        </w:tc>
      </w:tr>
      <w:tr w:rsidR="003D26DE" w:rsidRPr="00AE1FD7" w14:paraId="6AECA99F"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DE45062"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 أهداف الدراسة</w:t>
            </w:r>
          </w:p>
        </w:tc>
      </w:tr>
      <w:tr w:rsidR="003D26DE" w:rsidRPr="00AE1FD7" w14:paraId="329CABED"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43439DE"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 فرضيات الدراسة</w:t>
            </w:r>
          </w:p>
        </w:tc>
      </w:tr>
      <w:tr w:rsidR="003D26DE" w:rsidRPr="00AE1FD7" w14:paraId="25227CC0"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F7C785E"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(4): التعريفات المفاهيمية والإجرائية لمتغيرات الدراسة</w:t>
            </w:r>
          </w:p>
        </w:tc>
      </w:tr>
      <w:tr w:rsidR="003D26DE" w:rsidRPr="00AE1FD7" w14:paraId="45D80FEB"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71899FB"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(5): المنظومة المؤسسية السعودية ذات الصلة بإدارة الممتلكات وكفاءة الإنفاق</w:t>
            </w:r>
          </w:p>
        </w:tc>
      </w:tr>
      <w:tr w:rsidR="003D26DE" w:rsidRPr="00AE1FD7" w14:paraId="2A1DEDE7"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0CE78D21"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(6): خلاصة تحليلية للدراسات السابقة</w:t>
            </w:r>
          </w:p>
        </w:tc>
      </w:tr>
      <w:tr w:rsidR="003D26DE" w:rsidRPr="00AE1FD7" w14:paraId="7EF848C8"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593C7243"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(7): تحديد حجم العينة وإجراءات الاستجابة</w:t>
            </w:r>
          </w:p>
        </w:tc>
      </w:tr>
      <w:tr w:rsidR="003D26DE" w:rsidRPr="00AE1FD7" w14:paraId="0F061D04"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60D15B2"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(8): هيكل أداة الدراسة وتوزيع العبارات</w:t>
            </w:r>
          </w:p>
        </w:tc>
      </w:tr>
      <w:tr w:rsidR="003D26DE" w:rsidRPr="00AE1FD7" w14:paraId="5C90E577"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7893E3A3"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(9): التشغيل الإجرائي للمتغيرات ومؤشرات القياس</w:t>
            </w:r>
          </w:p>
        </w:tc>
      </w:tr>
      <w:tr w:rsidR="003D26DE" w:rsidRPr="00AE1FD7" w14:paraId="06EC8E3B"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DBFECCF"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(10): معيار تفسير المتوسطات الحسابية</w:t>
            </w:r>
          </w:p>
        </w:tc>
      </w:tr>
      <w:tr w:rsidR="003D26DE" w:rsidRPr="00AE1FD7" w14:paraId="297DEE6C"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C19166C"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(11): نتائج التحقق من صدق الأداة</w:t>
            </w:r>
          </w:p>
        </w:tc>
      </w:tr>
      <w:tr w:rsidR="003D26DE" w:rsidRPr="00AE1FD7" w14:paraId="62B00BC3"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5F30801F"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(12): معاملات الثبات لأبعاد أداة الدراسة</w:t>
            </w:r>
          </w:p>
        </w:tc>
      </w:tr>
      <w:tr w:rsidR="003D26DE" w:rsidRPr="00AE1FD7" w14:paraId="643BF1CF"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6C02444"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(13): الأساليب الإحصائية المستخدمة وأغراضها</w:t>
            </w:r>
          </w:p>
        </w:tc>
      </w:tr>
      <w:tr w:rsidR="003D26DE" w:rsidRPr="00AE1FD7" w14:paraId="42153649"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AB87960"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(14): مصفوفة مواءمة أسئلة الدراسة وفرضياتها والتحليل</w:t>
            </w:r>
          </w:p>
        </w:tc>
      </w:tr>
      <w:tr w:rsidR="003D26DE" w:rsidRPr="00AE1FD7" w14:paraId="4F7CEBE3"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42D06343"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(15): توزيع أفراد العينة وفق الخصائص الوظيفية والديموغرافية</w:t>
            </w:r>
          </w:p>
        </w:tc>
      </w:tr>
      <w:tr w:rsidR="003D26DE" w:rsidRPr="00AE1FD7" w14:paraId="6955D79B"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0672488C"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(16): مؤشرات جودة القياس في العينة الرئيسة</w:t>
            </w:r>
          </w:p>
        </w:tc>
      </w:tr>
      <w:tr w:rsidR="003D26DE" w:rsidRPr="00AE1FD7" w14:paraId="544E5C8A"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D3D50B8"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(17): المتوسطات الحسابية لأبعاد الدراسة وترتيبها</w:t>
            </w:r>
          </w:p>
        </w:tc>
      </w:tr>
      <w:tr w:rsidR="003D26DE" w:rsidRPr="00AE1FD7" w14:paraId="1F13322F"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5D40EEBA"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(18): نتائج عبارات الشفافية والإفصاح</w:t>
            </w:r>
          </w:p>
        </w:tc>
      </w:tr>
      <w:tr w:rsidR="003D26DE" w:rsidRPr="00AE1FD7" w14:paraId="42699945"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E78FC08"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(19): نتائج عبارات المساءلة والرقابة الداخلية</w:t>
            </w:r>
          </w:p>
        </w:tc>
      </w:tr>
      <w:tr w:rsidR="003D26DE" w:rsidRPr="00AE1FD7" w14:paraId="25F06313"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829C827"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 xml:space="preserve">جدول (20): نتائج عبارات تكامل البيانات </w:t>
            </w:r>
            <w:proofErr w:type="spellStart"/>
            <w:r w:rsidRPr="00AE1FD7">
              <w:rPr>
                <w:rFonts w:ascii="Sakkal Majalla" w:hAnsi="Sakkal Majalla" w:cs="Sakkal Majalla"/>
                <w:b/>
                <w:color w:val="17365D"/>
                <w:sz w:val="36"/>
                <w:szCs w:val="36"/>
                <w:rtl/>
                <w:lang w:val="ar-SA"/>
              </w:rPr>
              <w:t>والرقمنة</w:t>
            </w:r>
            <w:proofErr w:type="spellEnd"/>
          </w:p>
        </w:tc>
      </w:tr>
      <w:tr w:rsidR="003D26DE" w:rsidRPr="00AE1FD7" w14:paraId="62C4BF36"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215A0C1"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(21): نتائج عبارات التخطيط الاستراتيجي وإدارة دورة حياة الأصل</w:t>
            </w:r>
          </w:p>
        </w:tc>
      </w:tr>
      <w:tr w:rsidR="003D26DE" w:rsidRPr="00AE1FD7" w14:paraId="610A63FA"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0E8762D"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(22): نتائج عبارات إدارة المخاطر والامتثال</w:t>
            </w:r>
          </w:p>
        </w:tc>
      </w:tr>
      <w:tr w:rsidR="003D26DE" w:rsidRPr="00AE1FD7" w14:paraId="31464522"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6AA6089"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(23): نتائج عبارات كفاءة الإنفاق الحكومي العقاري</w:t>
            </w:r>
          </w:p>
        </w:tc>
      </w:tr>
      <w:tr w:rsidR="003D26DE" w:rsidRPr="00AE1FD7" w14:paraId="22BFAD39"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FD6E943"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lastRenderedPageBreak/>
              <w:t>جدول (24): مصفوفة معاملات الارتباط بين متغيرات الدراسة</w:t>
            </w:r>
          </w:p>
        </w:tc>
      </w:tr>
      <w:tr w:rsidR="003D26DE" w:rsidRPr="00AE1FD7" w14:paraId="781D2D66"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2E651D2E"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(25): نتائج فحص افتراضات تحليل الانحدار</w:t>
            </w:r>
          </w:p>
        </w:tc>
      </w:tr>
      <w:tr w:rsidR="003D26DE" w:rsidRPr="00AE1FD7" w14:paraId="0FD977D1"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2638B08"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(26): نتائج الانحدار البسيط لاختبار الفرضية الرئيسة</w:t>
            </w:r>
          </w:p>
        </w:tc>
      </w:tr>
      <w:tr w:rsidR="003D26DE" w:rsidRPr="00AE1FD7" w14:paraId="4D2641EC"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24D65276"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(27): نتائج الانحدار المتعدد لأبعاد الحوكمة</w:t>
            </w:r>
          </w:p>
        </w:tc>
      </w:tr>
      <w:tr w:rsidR="003D26DE" w:rsidRPr="00AE1FD7" w14:paraId="7469767A"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4FBBD865"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(28): اختبارات الفروق وفق الخصائص الوظيفية</w:t>
            </w:r>
          </w:p>
        </w:tc>
      </w:tr>
      <w:tr w:rsidR="003D26DE" w:rsidRPr="00AE1FD7" w14:paraId="644834CF"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0CF313B8"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(29): ملخص نتائج اختبار فرضيات الدراسة</w:t>
            </w:r>
          </w:p>
        </w:tc>
      </w:tr>
      <w:tr w:rsidR="003D26DE" w:rsidRPr="00AE1FD7" w14:paraId="59A50952"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411EE787"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(30): مستويات نضج حوكمة إدارة الممتلكات العامة</w:t>
            </w:r>
          </w:p>
        </w:tc>
      </w:tr>
      <w:tr w:rsidR="003D26DE" w:rsidRPr="00AE1FD7" w14:paraId="23916D8B"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2B63827B"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(31): خارطة الطريق التنفيذية المقترحة</w:t>
            </w:r>
          </w:p>
        </w:tc>
      </w:tr>
      <w:tr w:rsidR="003D26DE" w:rsidRPr="00AE1FD7" w14:paraId="136724B4"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D244491"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(32): مصفوفة المسؤوليات المقترحة RACI</w:t>
            </w:r>
          </w:p>
        </w:tc>
      </w:tr>
      <w:tr w:rsidR="003D26DE" w:rsidRPr="00AE1FD7" w14:paraId="197838C8"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76F7BF71"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(33): مؤشرات الأداء الرئيسة المقترحة</w:t>
            </w:r>
          </w:p>
        </w:tc>
      </w:tr>
      <w:tr w:rsidR="003D26DE" w:rsidRPr="00AE1FD7" w14:paraId="58045BF4"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4270555"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(34): الاستبانة النهائية للدراسة</w:t>
            </w:r>
          </w:p>
        </w:tc>
      </w:tr>
      <w:tr w:rsidR="003D26DE" w:rsidRPr="00AE1FD7" w14:paraId="0AF5E383"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A4883D2"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(35): مصفوفة ترميز متغيرات الدراسة</w:t>
            </w:r>
          </w:p>
        </w:tc>
      </w:tr>
      <w:tr w:rsidR="003D26DE" w:rsidRPr="00AE1FD7" w14:paraId="4403EEFC"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1625D25D"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(36): القائمة الموسعة لمؤشرات المتابعة التنفيذية</w:t>
            </w:r>
          </w:p>
        </w:tc>
      </w:tr>
      <w:tr w:rsidR="003D26DE" w:rsidRPr="00AE1FD7" w14:paraId="5F64D0F7"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65F41209"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جدول (37): نموذج تقرير ربع سنوي للمحفظة العقارية الحكومية</w:t>
            </w:r>
          </w:p>
        </w:tc>
      </w:tr>
    </w:tbl>
    <w:p w14:paraId="39B16A93" w14:textId="77777777" w:rsidR="00986803" w:rsidRPr="00AE1FD7" w:rsidRDefault="00986803" w:rsidP="00697C88">
      <w:pPr>
        <w:bidi/>
        <w:spacing w:after="0" w:line="240" w:lineRule="auto"/>
        <w:rPr>
          <w:rFonts w:ascii="Sakkal Majalla" w:hAnsi="Sakkal Majalla" w:cs="Sakkal Majalla"/>
          <w:sz w:val="36"/>
          <w:szCs w:val="36"/>
        </w:rPr>
      </w:pPr>
    </w:p>
    <w:p w14:paraId="665250E2" w14:textId="77777777" w:rsidR="003D26DE" w:rsidRDefault="003D26DE" w:rsidP="003D26DE">
      <w:pPr>
        <w:pBdr>
          <w:bottom w:val="single" w:sz="14" w:space="7" w:color="C69C3A"/>
        </w:pBdr>
        <w:bidi/>
        <w:spacing w:after="0" w:line="240" w:lineRule="auto"/>
        <w:ind w:firstLine="0"/>
        <w:jc w:val="center"/>
        <w:rPr>
          <w:rFonts w:ascii="Sakkal Majalla" w:eastAsia="Noto Kufi Arabic" w:hAnsi="Sakkal Majalla" w:cs="Sakkal Majalla"/>
          <w:bCs/>
          <w:color w:val="17365D"/>
          <w:sz w:val="36"/>
          <w:szCs w:val="36"/>
          <w:lang w:val="ar-SA"/>
        </w:rPr>
      </w:pPr>
    </w:p>
    <w:p w14:paraId="7EF5D2E0" w14:textId="77777777" w:rsidR="00986803" w:rsidRPr="003D26DE" w:rsidRDefault="00DB29B7" w:rsidP="003D26DE">
      <w:pPr>
        <w:pBdr>
          <w:bottom w:val="single" w:sz="14" w:space="7" w:color="C69C3A"/>
        </w:pBd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17365D"/>
          <w:sz w:val="36"/>
          <w:szCs w:val="36"/>
          <w:rtl/>
          <w:lang w:val="ar-SA"/>
        </w:rPr>
        <w:t>قائمة الأشكال</w:t>
      </w:r>
    </w:p>
    <w:tbl>
      <w:tblPr>
        <w:tblW w:w="7371" w:type="dxa"/>
        <w:jc w:val="center"/>
        <w:tblLayout w:type="fixed"/>
        <w:tblLook w:val="04A0" w:firstRow="1" w:lastRow="0" w:firstColumn="1" w:lastColumn="0" w:noHBand="0" w:noVBand="1"/>
      </w:tblPr>
      <w:tblGrid>
        <w:gridCol w:w="7371"/>
      </w:tblGrid>
      <w:tr w:rsidR="003D26DE" w:rsidRPr="00AE1FD7" w14:paraId="3F62DA22"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37A7E758"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(1): النموذج المفاهيمي للدراسة</w:t>
            </w:r>
          </w:p>
        </w:tc>
      </w:tr>
      <w:tr w:rsidR="003D26DE" w:rsidRPr="00AE1FD7" w14:paraId="00C95554"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4E5728E9"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(2): دورة حياة الأصل العقاري الحكومي</w:t>
            </w:r>
          </w:p>
        </w:tc>
      </w:tr>
      <w:tr w:rsidR="003D26DE" w:rsidRPr="00AE1FD7" w14:paraId="6251F555"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46DB3375"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(3): تصميم الدراسة وفق منطق بصلة البحث</w:t>
            </w:r>
          </w:p>
        </w:tc>
      </w:tr>
      <w:tr w:rsidR="003D26DE" w:rsidRPr="00AE1FD7" w14:paraId="3FCCB5B0"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7D3D9D69"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(4): توزيع أفراد العينة حسب نوع الجهة</w:t>
            </w:r>
          </w:p>
        </w:tc>
      </w:tr>
      <w:tr w:rsidR="003D26DE" w:rsidRPr="00AE1FD7" w14:paraId="0E3E8159"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2B62F42F"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(5): متوسطات أبعاد الدراسة</w:t>
            </w:r>
          </w:p>
        </w:tc>
      </w:tr>
      <w:tr w:rsidR="003D26DE" w:rsidRPr="00AE1FD7" w14:paraId="66D107A4"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0EF4F7BF"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(6): معاملات التأثير المعيارية لأبعاد الحوكمة</w:t>
            </w:r>
          </w:p>
        </w:tc>
      </w:tr>
      <w:tr w:rsidR="003D26DE" w:rsidRPr="00AE1FD7" w14:paraId="4F434378" w14:textId="77777777" w:rsidTr="003D26DE">
        <w:trPr>
          <w:jc w:val="center"/>
        </w:trPr>
        <w:tc>
          <w:tcPr>
            <w:tcW w:w="7371" w:type="dxa"/>
            <w:tcBorders>
              <w:bottom w:val="dotted" w:sz="4" w:space="0" w:color="C7CDD3"/>
            </w:tcBorders>
            <w:tcMar>
              <w:top w:w="30" w:type="dxa"/>
              <w:left w:w="40" w:type="dxa"/>
              <w:bottom w:w="30" w:type="dxa"/>
              <w:right w:w="40" w:type="dxa"/>
            </w:tcMar>
            <w:vAlign w:val="center"/>
          </w:tcPr>
          <w:p w14:paraId="7C1F13B0" w14:textId="77777777" w:rsidR="003D26DE" w:rsidRPr="00AE1FD7" w:rsidRDefault="003D26DE"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b/>
                <w:color w:val="17365D"/>
                <w:sz w:val="36"/>
                <w:szCs w:val="36"/>
                <w:rtl/>
                <w:lang w:val="ar-SA"/>
              </w:rPr>
              <w:t>شكل (7): الإطار المتكامل المقترح لحوكمة الممتلكات ورفع كفاءة الإنفاق</w:t>
            </w:r>
          </w:p>
        </w:tc>
      </w:tr>
    </w:tbl>
    <w:p w14:paraId="6280283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6994773C" w14:textId="77777777" w:rsidR="003D26DE" w:rsidRDefault="003D26DE" w:rsidP="003D26DE">
      <w:pPr>
        <w:pBdr>
          <w:bottom w:val="single" w:sz="14" w:space="7" w:color="C69C3A"/>
        </w:pBdr>
        <w:bidi/>
        <w:spacing w:after="0" w:line="240" w:lineRule="auto"/>
        <w:ind w:firstLine="0"/>
        <w:jc w:val="center"/>
        <w:rPr>
          <w:rFonts w:ascii="Sakkal Majalla" w:eastAsia="Noto Kufi Arabic" w:hAnsi="Sakkal Majalla" w:cs="Sakkal Majalla"/>
          <w:bCs/>
          <w:color w:val="17365D"/>
          <w:sz w:val="36"/>
          <w:szCs w:val="36"/>
          <w:rtl/>
          <w:lang w:val="ar-SA"/>
        </w:rPr>
      </w:pPr>
    </w:p>
    <w:p w14:paraId="7FAF3925" w14:textId="77777777" w:rsidR="003D26DE" w:rsidRDefault="003D26DE" w:rsidP="003D26DE">
      <w:pPr>
        <w:pBdr>
          <w:bottom w:val="single" w:sz="14" w:space="7" w:color="C69C3A"/>
        </w:pBdr>
        <w:bidi/>
        <w:spacing w:after="0" w:line="240" w:lineRule="auto"/>
        <w:ind w:firstLine="0"/>
        <w:jc w:val="center"/>
        <w:rPr>
          <w:rFonts w:ascii="Sakkal Majalla" w:eastAsia="Noto Kufi Arabic" w:hAnsi="Sakkal Majalla" w:cs="Sakkal Majalla"/>
          <w:bCs/>
          <w:color w:val="17365D"/>
          <w:sz w:val="36"/>
          <w:szCs w:val="36"/>
          <w:rtl/>
          <w:lang w:val="ar-SA"/>
        </w:rPr>
      </w:pPr>
    </w:p>
    <w:p w14:paraId="0030466B" w14:textId="77777777" w:rsidR="003D26DE" w:rsidRDefault="003D26DE" w:rsidP="003D26DE">
      <w:pPr>
        <w:pBdr>
          <w:bottom w:val="single" w:sz="14" w:space="7" w:color="C69C3A"/>
        </w:pBdr>
        <w:bidi/>
        <w:spacing w:after="0" w:line="240" w:lineRule="auto"/>
        <w:ind w:firstLine="0"/>
        <w:jc w:val="center"/>
        <w:rPr>
          <w:rFonts w:ascii="Sakkal Majalla" w:eastAsia="Noto Kufi Arabic" w:hAnsi="Sakkal Majalla" w:cs="Sakkal Majalla"/>
          <w:bCs/>
          <w:color w:val="17365D"/>
          <w:sz w:val="36"/>
          <w:szCs w:val="36"/>
          <w:rtl/>
          <w:lang w:val="ar-SA"/>
        </w:rPr>
      </w:pPr>
    </w:p>
    <w:p w14:paraId="570A21A7" w14:textId="77777777" w:rsidR="00986803" w:rsidRPr="003D26DE" w:rsidRDefault="00DB29B7" w:rsidP="003D26DE">
      <w:pPr>
        <w:pBdr>
          <w:bottom w:val="single" w:sz="14" w:space="7" w:color="C69C3A"/>
        </w:pBd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17365D"/>
          <w:sz w:val="36"/>
          <w:szCs w:val="36"/>
          <w:rtl/>
          <w:lang w:val="ar-SA"/>
        </w:rPr>
        <w:t xml:space="preserve">قائمة الاختصارات </w:t>
      </w:r>
      <w:proofErr w:type="gramStart"/>
      <w:r w:rsidRPr="003D26DE">
        <w:rPr>
          <w:rFonts w:ascii="Sakkal Majalla" w:eastAsia="Noto Kufi Arabic" w:hAnsi="Sakkal Majalla" w:cs="Sakkal Majalla"/>
          <w:bCs/>
          <w:color w:val="17365D"/>
          <w:sz w:val="36"/>
          <w:szCs w:val="36"/>
          <w:rtl/>
          <w:lang w:val="ar-SA"/>
        </w:rPr>
        <w:t>والرموز</w:t>
      </w:r>
      <w:r w:rsidR="003D26DE">
        <w:rPr>
          <w:rFonts w:ascii="Sakkal Majalla" w:eastAsia="Noto Kufi Arabic" w:hAnsi="Sakkal Majalla" w:cs="Sakkal Majalla" w:hint="cs"/>
          <w:bCs/>
          <w:color w:val="17365D"/>
          <w:sz w:val="36"/>
          <w:szCs w:val="36"/>
          <w:rtl/>
          <w:lang w:val="ar-SA"/>
        </w:rPr>
        <w:t xml:space="preserve"> :</w:t>
      </w:r>
      <w:proofErr w:type="gramEnd"/>
      <w:r w:rsidR="003D26DE">
        <w:rPr>
          <w:rFonts w:ascii="Sakkal Majalla" w:eastAsia="Noto Kufi Arabic" w:hAnsi="Sakkal Majalla" w:cs="Sakkal Majalla" w:hint="cs"/>
          <w:bCs/>
          <w:color w:val="17365D"/>
          <w:sz w:val="36"/>
          <w:szCs w:val="36"/>
          <w:rtl/>
          <w:lang w:val="ar-SA"/>
        </w:rPr>
        <w:t xml:space="preserve"> </w:t>
      </w:r>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521"/>
      </w:tblGrid>
      <w:tr w:rsidR="00986803" w:rsidRPr="00AE1FD7" w14:paraId="116426FD" w14:textId="77777777" w:rsidTr="003D26DE">
        <w:trPr>
          <w:cantSplit/>
          <w:tblHeader/>
          <w:jc w:val="center"/>
        </w:trPr>
        <w:tc>
          <w:tcPr>
            <w:tcW w:w="1984" w:type="dxa"/>
            <w:shd w:val="clear" w:color="auto" w:fill="17365D"/>
            <w:tcMar>
              <w:top w:w="90" w:type="dxa"/>
              <w:left w:w="80" w:type="dxa"/>
              <w:bottom w:w="90" w:type="dxa"/>
              <w:right w:w="80" w:type="dxa"/>
            </w:tcMar>
            <w:vAlign w:val="center"/>
          </w:tcPr>
          <w:p w14:paraId="3AB9F902"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الاختصار</w:t>
            </w:r>
          </w:p>
        </w:tc>
        <w:tc>
          <w:tcPr>
            <w:tcW w:w="6520" w:type="dxa"/>
            <w:shd w:val="clear" w:color="auto" w:fill="17365D"/>
            <w:tcMar>
              <w:top w:w="90" w:type="dxa"/>
              <w:left w:w="80" w:type="dxa"/>
              <w:bottom w:w="90" w:type="dxa"/>
              <w:right w:w="80" w:type="dxa"/>
            </w:tcMar>
            <w:vAlign w:val="center"/>
          </w:tcPr>
          <w:p w14:paraId="0B9294D3"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الدلال</w:t>
            </w:r>
            <w:r w:rsidR="003D26DE">
              <w:rPr>
                <w:rFonts w:ascii="Sakkal Majalla" w:eastAsia="Noto Kufi Arabic" w:hAnsi="Sakkal Majalla" w:cs="Sakkal Majalla" w:hint="cs"/>
                <w:bCs/>
                <w:color w:val="FFFFFF"/>
                <w:sz w:val="36"/>
                <w:szCs w:val="36"/>
                <w:rtl/>
                <w:lang w:val="ar-SA"/>
              </w:rPr>
              <w:t>ــــــــــــــــــــــــــــــــــــــ</w:t>
            </w:r>
            <w:r w:rsidRPr="003D26DE">
              <w:rPr>
                <w:rFonts w:ascii="Sakkal Majalla" w:eastAsia="Noto Kufi Arabic" w:hAnsi="Sakkal Majalla" w:cs="Sakkal Majalla"/>
                <w:bCs/>
                <w:color w:val="FFFFFF"/>
                <w:sz w:val="36"/>
                <w:szCs w:val="36"/>
                <w:rtl/>
                <w:lang w:val="ar-SA"/>
              </w:rPr>
              <w:t>ة</w:t>
            </w:r>
          </w:p>
        </w:tc>
      </w:tr>
      <w:tr w:rsidR="00986803" w:rsidRPr="00AE1FD7" w14:paraId="0DB0EFDF" w14:textId="77777777" w:rsidTr="003D26DE">
        <w:trPr>
          <w:jc w:val="center"/>
        </w:trPr>
        <w:tc>
          <w:tcPr>
            <w:tcW w:w="1984" w:type="dxa"/>
            <w:shd w:val="clear" w:color="auto" w:fill="FFFFFF"/>
            <w:tcMar>
              <w:top w:w="70" w:type="dxa"/>
              <w:left w:w="70" w:type="dxa"/>
              <w:bottom w:w="70" w:type="dxa"/>
              <w:right w:w="70" w:type="dxa"/>
            </w:tcMar>
            <w:vAlign w:val="center"/>
          </w:tcPr>
          <w:p w14:paraId="4A388490"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EXPRO</w:t>
            </w:r>
          </w:p>
        </w:tc>
        <w:tc>
          <w:tcPr>
            <w:tcW w:w="6520" w:type="dxa"/>
            <w:shd w:val="clear" w:color="auto" w:fill="FFFFFF"/>
            <w:tcMar>
              <w:top w:w="70" w:type="dxa"/>
              <w:left w:w="70" w:type="dxa"/>
              <w:bottom w:w="70" w:type="dxa"/>
              <w:right w:w="70" w:type="dxa"/>
            </w:tcMar>
            <w:vAlign w:val="center"/>
          </w:tcPr>
          <w:p w14:paraId="75425B2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هيئة كفاءة الإنفاق والمشروعات الحكومية</w:t>
            </w:r>
          </w:p>
        </w:tc>
      </w:tr>
      <w:tr w:rsidR="00986803" w:rsidRPr="00AE1FD7" w14:paraId="173C4E1D" w14:textId="77777777" w:rsidTr="003D26DE">
        <w:trPr>
          <w:jc w:val="center"/>
        </w:trPr>
        <w:tc>
          <w:tcPr>
            <w:tcW w:w="1984" w:type="dxa"/>
            <w:shd w:val="clear" w:color="auto" w:fill="F2F4F6"/>
            <w:tcMar>
              <w:top w:w="70" w:type="dxa"/>
              <w:left w:w="70" w:type="dxa"/>
              <w:bottom w:w="70" w:type="dxa"/>
              <w:right w:w="70" w:type="dxa"/>
            </w:tcMar>
            <w:vAlign w:val="center"/>
          </w:tcPr>
          <w:p w14:paraId="57EEF0BD"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SPGA</w:t>
            </w:r>
          </w:p>
        </w:tc>
        <w:tc>
          <w:tcPr>
            <w:tcW w:w="6520" w:type="dxa"/>
            <w:shd w:val="clear" w:color="auto" w:fill="F2F4F6"/>
            <w:tcMar>
              <w:top w:w="70" w:type="dxa"/>
              <w:left w:w="70" w:type="dxa"/>
              <w:bottom w:w="70" w:type="dxa"/>
              <w:right w:w="70" w:type="dxa"/>
            </w:tcMar>
            <w:vAlign w:val="center"/>
          </w:tcPr>
          <w:p w14:paraId="04965B61"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الهيئة العامة لعقارات الدولة</w:t>
            </w:r>
          </w:p>
        </w:tc>
      </w:tr>
      <w:tr w:rsidR="00986803" w:rsidRPr="00AE1FD7" w14:paraId="4AE0B4BD" w14:textId="77777777" w:rsidTr="003D26DE">
        <w:trPr>
          <w:jc w:val="center"/>
        </w:trPr>
        <w:tc>
          <w:tcPr>
            <w:tcW w:w="1984" w:type="dxa"/>
            <w:shd w:val="clear" w:color="auto" w:fill="FFFFFF"/>
            <w:tcMar>
              <w:top w:w="70" w:type="dxa"/>
              <w:left w:w="70" w:type="dxa"/>
              <w:bottom w:w="70" w:type="dxa"/>
              <w:right w:w="70" w:type="dxa"/>
            </w:tcMar>
            <w:vAlign w:val="center"/>
          </w:tcPr>
          <w:p w14:paraId="7F8D7903"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ISO</w:t>
            </w:r>
          </w:p>
        </w:tc>
        <w:tc>
          <w:tcPr>
            <w:tcW w:w="6520" w:type="dxa"/>
            <w:shd w:val="clear" w:color="auto" w:fill="FFFFFF"/>
            <w:tcMar>
              <w:top w:w="70" w:type="dxa"/>
              <w:left w:w="70" w:type="dxa"/>
              <w:bottom w:w="70" w:type="dxa"/>
              <w:right w:w="70" w:type="dxa"/>
            </w:tcMar>
            <w:vAlign w:val="center"/>
          </w:tcPr>
          <w:p w14:paraId="7168570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المنظمة الدولية للتقييس</w:t>
            </w:r>
          </w:p>
        </w:tc>
      </w:tr>
      <w:tr w:rsidR="00986803" w:rsidRPr="00AE1FD7" w14:paraId="6C78DC26" w14:textId="77777777" w:rsidTr="003D26DE">
        <w:trPr>
          <w:jc w:val="center"/>
        </w:trPr>
        <w:tc>
          <w:tcPr>
            <w:tcW w:w="1984" w:type="dxa"/>
            <w:shd w:val="clear" w:color="auto" w:fill="F2F4F6"/>
            <w:tcMar>
              <w:top w:w="70" w:type="dxa"/>
              <w:left w:w="70" w:type="dxa"/>
              <w:bottom w:w="70" w:type="dxa"/>
              <w:right w:w="70" w:type="dxa"/>
            </w:tcMar>
            <w:vAlign w:val="center"/>
          </w:tcPr>
          <w:p w14:paraId="29828BDB"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OECD</w:t>
            </w:r>
          </w:p>
        </w:tc>
        <w:tc>
          <w:tcPr>
            <w:tcW w:w="6520" w:type="dxa"/>
            <w:shd w:val="clear" w:color="auto" w:fill="F2F4F6"/>
            <w:tcMar>
              <w:top w:w="70" w:type="dxa"/>
              <w:left w:w="70" w:type="dxa"/>
              <w:bottom w:w="70" w:type="dxa"/>
              <w:right w:w="70" w:type="dxa"/>
            </w:tcMar>
            <w:vAlign w:val="center"/>
          </w:tcPr>
          <w:p w14:paraId="103C1831"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منظمة التعاون الاقتصادي والتنمية</w:t>
            </w:r>
          </w:p>
        </w:tc>
      </w:tr>
      <w:tr w:rsidR="00986803" w:rsidRPr="00AE1FD7" w14:paraId="5B9B471F" w14:textId="77777777" w:rsidTr="003D26DE">
        <w:trPr>
          <w:jc w:val="center"/>
        </w:trPr>
        <w:tc>
          <w:tcPr>
            <w:tcW w:w="1984" w:type="dxa"/>
            <w:shd w:val="clear" w:color="auto" w:fill="FFFFFF"/>
            <w:tcMar>
              <w:top w:w="70" w:type="dxa"/>
              <w:left w:w="70" w:type="dxa"/>
              <w:bottom w:w="70" w:type="dxa"/>
              <w:right w:w="70" w:type="dxa"/>
            </w:tcMar>
            <w:vAlign w:val="center"/>
          </w:tcPr>
          <w:p w14:paraId="73A2A187"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PAMMA</w:t>
            </w:r>
          </w:p>
        </w:tc>
        <w:tc>
          <w:tcPr>
            <w:tcW w:w="6520" w:type="dxa"/>
            <w:shd w:val="clear" w:color="auto" w:fill="FFFFFF"/>
            <w:tcMar>
              <w:top w:w="70" w:type="dxa"/>
              <w:left w:w="70" w:type="dxa"/>
              <w:bottom w:w="70" w:type="dxa"/>
              <w:right w:w="70" w:type="dxa"/>
            </w:tcMar>
            <w:vAlign w:val="center"/>
          </w:tcPr>
          <w:p w14:paraId="411B9E78"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أداة تقييم نضج إدارة الأصول العامة</w:t>
            </w:r>
          </w:p>
        </w:tc>
      </w:tr>
      <w:tr w:rsidR="00986803" w:rsidRPr="00AE1FD7" w14:paraId="19A1FC7A" w14:textId="77777777" w:rsidTr="003D26DE">
        <w:trPr>
          <w:jc w:val="center"/>
        </w:trPr>
        <w:tc>
          <w:tcPr>
            <w:tcW w:w="1984" w:type="dxa"/>
            <w:shd w:val="clear" w:color="auto" w:fill="F2F4F6"/>
            <w:tcMar>
              <w:top w:w="70" w:type="dxa"/>
              <w:left w:w="70" w:type="dxa"/>
              <w:bottom w:w="70" w:type="dxa"/>
              <w:right w:w="70" w:type="dxa"/>
            </w:tcMar>
            <w:vAlign w:val="center"/>
          </w:tcPr>
          <w:p w14:paraId="6F044ED2"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KMO</w:t>
            </w:r>
          </w:p>
        </w:tc>
        <w:tc>
          <w:tcPr>
            <w:tcW w:w="6520" w:type="dxa"/>
            <w:shd w:val="clear" w:color="auto" w:fill="F2F4F6"/>
            <w:tcMar>
              <w:top w:w="70" w:type="dxa"/>
              <w:left w:w="70" w:type="dxa"/>
              <w:bottom w:w="70" w:type="dxa"/>
              <w:right w:w="70" w:type="dxa"/>
            </w:tcMar>
            <w:vAlign w:val="center"/>
          </w:tcPr>
          <w:p w14:paraId="1350B0F9"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مقياس كفاية العينة للتحليل العاملي</w:t>
            </w:r>
          </w:p>
        </w:tc>
      </w:tr>
      <w:tr w:rsidR="00986803" w:rsidRPr="00AE1FD7" w14:paraId="16E26E76" w14:textId="77777777" w:rsidTr="003D26DE">
        <w:trPr>
          <w:jc w:val="center"/>
        </w:trPr>
        <w:tc>
          <w:tcPr>
            <w:tcW w:w="1984" w:type="dxa"/>
            <w:shd w:val="clear" w:color="auto" w:fill="FFFFFF"/>
            <w:tcMar>
              <w:top w:w="70" w:type="dxa"/>
              <w:left w:w="70" w:type="dxa"/>
              <w:bottom w:w="70" w:type="dxa"/>
              <w:right w:w="70" w:type="dxa"/>
            </w:tcMar>
            <w:vAlign w:val="center"/>
          </w:tcPr>
          <w:p w14:paraId="765F9AC0"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VIF</w:t>
            </w:r>
          </w:p>
        </w:tc>
        <w:tc>
          <w:tcPr>
            <w:tcW w:w="6520" w:type="dxa"/>
            <w:shd w:val="clear" w:color="auto" w:fill="FFFFFF"/>
            <w:tcMar>
              <w:top w:w="70" w:type="dxa"/>
              <w:left w:w="70" w:type="dxa"/>
              <w:bottom w:w="70" w:type="dxa"/>
              <w:right w:w="70" w:type="dxa"/>
            </w:tcMar>
            <w:vAlign w:val="center"/>
          </w:tcPr>
          <w:p w14:paraId="4CC0AE10"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معامل تضخم التباين</w:t>
            </w:r>
          </w:p>
        </w:tc>
      </w:tr>
      <w:tr w:rsidR="00986803" w:rsidRPr="00AE1FD7" w14:paraId="448AEC65" w14:textId="77777777" w:rsidTr="003D26DE">
        <w:trPr>
          <w:jc w:val="center"/>
        </w:trPr>
        <w:tc>
          <w:tcPr>
            <w:tcW w:w="1984" w:type="dxa"/>
            <w:shd w:val="clear" w:color="auto" w:fill="F2F4F6"/>
            <w:tcMar>
              <w:top w:w="70" w:type="dxa"/>
              <w:left w:w="70" w:type="dxa"/>
              <w:bottom w:w="70" w:type="dxa"/>
              <w:right w:w="70" w:type="dxa"/>
            </w:tcMar>
            <w:vAlign w:val="center"/>
          </w:tcPr>
          <w:p w14:paraId="07B465C2"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RACI</w:t>
            </w:r>
          </w:p>
        </w:tc>
        <w:tc>
          <w:tcPr>
            <w:tcW w:w="6520" w:type="dxa"/>
            <w:shd w:val="clear" w:color="auto" w:fill="F2F4F6"/>
            <w:tcMar>
              <w:top w:w="70" w:type="dxa"/>
              <w:left w:w="70" w:type="dxa"/>
              <w:bottom w:w="70" w:type="dxa"/>
              <w:right w:w="70" w:type="dxa"/>
            </w:tcMar>
            <w:vAlign w:val="center"/>
          </w:tcPr>
          <w:p w14:paraId="2EB0827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مصفوفة المسؤول: منفذ، مسؤول نهائي، مستشار، مطلع</w:t>
            </w:r>
          </w:p>
        </w:tc>
      </w:tr>
      <w:tr w:rsidR="00986803" w:rsidRPr="00AE1FD7" w14:paraId="738326B9" w14:textId="77777777" w:rsidTr="003D26DE">
        <w:trPr>
          <w:jc w:val="center"/>
        </w:trPr>
        <w:tc>
          <w:tcPr>
            <w:tcW w:w="1984" w:type="dxa"/>
            <w:shd w:val="clear" w:color="auto" w:fill="FFFFFF"/>
            <w:tcMar>
              <w:top w:w="70" w:type="dxa"/>
              <w:left w:w="70" w:type="dxa"/>
              <w:bottom w:w="70" w:type="dxa"/>
              <w:right w:w="70" w:type="dxa"/>
            </w:tcMar>
            <w:vAlign w:val="center"/>
          </w:tcPr>
          <w:p w14:paraId="209BC99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SPSS</w:t>
            </w:r>
          </w:p>
        </w:tc>
        <w:tc>
          <w:tcPr>
            <w:tcW w:w="6520" w:type="dxa"/>
            <w:shd w:val="clear" w:color="auto" w:fill="FFFFFF"/>
            <w:tcMar>
              <w:top w:w="70" w:type="dxa"/>
              <w:left w:w="70" w:type="dxa"/>
              <w:bottom w:w="70" w:type="dxa"/>
              <w:right w:w="70" w:type="dxa"/>
            </w:tcMar>
            <w:vAlign w:val="center"/>
          </w:tcPr>
          <w:p w14:paraId="13926D98"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الحزمة الإحصائية للعلوم الاجتماعية</w:t>
            </w:r>
          </w:p>
        </w:tc>
      </w:tr>
    </w:tbl>
    <w:p w14:paraId="0971847E" w14:textId="77777777" w:rsidR="00986803" w:rsidRPr="00AE1FD7" w:rsidRDefault="00986803" w:rsidP="00697C88">
      <w:pPr>
        <w:bidi/>
        <w:spacing w:after="0" w:line="240" w:lineRule="auto"/>
        <w:rPr>
          <w:rFonts w:ascii="Sakkal Majalla" w:hAnsi="Sakkal Majalla" w:cs="Sakkal Majalla"/>
          <w:sz w:val="36"/>
          <w:szCs w:val="36"/>
        </w:rPr>
      </w:pPr>
    </w:p>
    <w:p w14:paraId="62F47DD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588D4194" w14:textId="77777777" w:rsidR="00986803" w:rsidRPr="00AE1FD7" w:rsidRDefault="00986803" w:rsidP="00697C88">
      <w:pPr>
        <w:bidi/>
        <w:spacing w:after="0" w:line="240" w:lineRule="auto"/>
        <w:rPr>
          <w:rFonts w:ascii="Sakkal Majalla" w:hAnsi="Sakkal Majalla" w:cs="Sakkal Majalla"/>
          <w:sz w:val="36"/>
          <w:szCs w:val="36"/>
        </w:rPr>
        <w:sectPr w:rsidR="00986803" w:rsidRPr="00AE1FD7" w:rsidSect="00697C88">
          <w:footerReference w:type="default" r:id="rId8"/>
          <w:pgSz w:w="11906" w:h="16838"/>
          <w:pgMar w:top="1134" w:right="1587" w:bottom="1134" w:left="1304" w:header="454" w:footer="454" w:gutter="170"/>
          <w:pgNumType w:fmt="arabicAbjad"/>
          <w:cols w:space="720"/>
          <w:titlePg/>
          <w:docGrid w:linePitch="381"/>
        </w:sectPr>
      </w:pPr>
    </w:p>
    <w:p w14:paraId="3E19B0BE" w14:textId="77777777" w:rsidR="00986803" w:rsidRPr="003D26DE" w:rsidRDefault="00DB29B7" w:rsidP="003D26DE">
      <w:pPr>
        <w:pStyle w:val="1"/>
        <w:pBdr>
          <w:bottom w:val="single" w:sz="18" w:space="8" w:color="C69C3A"/>
        </w:pBdr>
        <w:bidi/>
        <w:spacing w:after="0" w:line="240" w:lineRule="auto"/>
        <w:ind w:firstLine="0"/>
        <w:rPr>
          <w:rFonts w:ascii="Sakkal Majalla" w:hAnsi="Sakkal Majalla" w:cs="Sakkal Majalla"/>
          <w:szCs w:val="40"/>
        </w:rPr>
      </w:pPr>
      <w:bookmarkStart w:id="0" w:name="_Toc235205564"/>
      <w:r w:rsidRPr="003D26DE">
        <w:rPr>
          <w:rFonts w:ascii="Sakkal Majalla" w:eastAsia="Noto Kufi Arabic" w:hAnsi="Sakkal Majalla" w:cs="Sakkal Majalla"/>
          <w:szCs w:val="40"/>
          <w:rtl/>
          <w:lang w:val="ar-SA"/>
        </w:rPr>
        <w:lastRenderedPageBreak/>
        <w:t>الفصل الأول: الإطار العام للدراسة</w:t>
      </w:r>
      <w:bookmarkEnd w:id="0"/>
    </w:p>
    <w:p w14:paraId="7A9E4B07"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 w:name="_Toc235205565"/>
      <w:r w:rsidRPr="00AE1FD7">
        <w:rPr>
          <w:rFonts w:ascii="Sakkal Majalla" w:eastAsia="Noto Kufi Arabic" w:hAnsi="Sakkal Majalla" w:cs="Sakkal Majalla"/>
          <w:sz w:val="36"/>
          <w:szCs w:val="36"/>
          <w:rtl/>
          <w:lang w:val="ar-SA"/>
        </w:rPr>
        <w:t>1.1 مقدمة الفصل</w:t>
      </w:r>
      <w:bookmarkEnd w:id="1"/>
    </w:p>
    <w:p w14:paraId="25B13BD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أصبحت الممتلكات العامة، ولا سيما الأراضي والمباني والمرافق الحكومية، تمثل مكوِّناً استراتيجياً من مكونات الثروة الوطنية، وليس مجرد رصيد مادي يُحفظ في سجلات الملكية أو بنداً محاسبياً يظهر في القوائم المالية. فالعقار الحكومي يوفّر الحيز الذي تُقدَّم من خلاله الخدمات التعليمية والصحية والإدارية والأمنية والاجتماعية، ويؤثر بصورة مباشرة في استمرارية الأعمال الحكومية وجودة تجربة المستفيد وتكلفة تقديم الخدمة. ومن ثم فإن أي قصور في حصر تلك الممتلكات أو تقييمها أو صيانتها أو إعادة توظيفها ينعكس على الموازنة العامة في صورة نفقات استئجار غير ضرورية، أو صيانة طارئة مرتفعة الكلفة، أو أصول معطلة ومنخفضة الاستفادة، أو قرارات استثمارية لا تستند إلى معلومات مكتملة. وقد دفعت هذه الحقيقة الحكومات إلى الانتقال من مفهوم «إدارة العقار» بوصفه نشاطاً فنياً محدوداً، إلى مفهوم «إدارة محفظة الأصول العامة» بوصفها وظيفة استراتيجية تتكامل فيها الحوكمة والمالية والهندسة والبيانات وإدارة المخاطر (</w:t>
      </w:r>
      <w:proofErr w:type="spellStart"/>
      <w:r w:rsidRPr="00AE1FD7">
        <w:rPr>
          <w:rFonts w:ascii="Sakkal Majalla" w:hAnsi="Sakkal Majalla" w:cs="Sakkal Majalla"/>
          <w:color w:val="000000"/>
          <w:sz w:val="36"/>
          <w:szCs w:val="36"/>
          <w:rtl/>
          <w:lang w:val="ar-SA"/>
        </w:rPr>
        <w:t>Kaganova</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Amoils</w:t>
      </w:r>
      <w:proofErr w:type="spellEnd"/>
      <w:r w:rsidRPr="00AE1FD7">
        <w:rPr>
          <w:rFonts w:ascii="Sakkal Majalla" w:hAnsi="Sakkal Majalla" w:cs="Sakkal Majalla"/>
          <w:color w:val="000000"/>
          <w:sz w:val="36"/>
          <w:szCs w:val="36"/>
          <w:rtl/>
          <w:lang w:val="ar-SA"/>
        </w:rPr>
        <w:t xml:space="preserve">, 2020؛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2021).</w:t>
      </w:r>
    </w:p>
    <w:p w14:paraId="1B524B8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وفي موازاة ذلك، تطور مفهوم الحوكمة في القطاع العام من التركيز على الامتثال الشكلي للقواعد إلى بناء منظومة متكاملة تضمن وضوح الصلاحيات، وشفافية المعلومات، والمساءلة عن النتائج، واستقلال الرقابة، والمشاركة المؤسسية، وربط الموارد بالأهداف العامة. وتكتسب الحوكمة أهمية خاصة في إدارة الممتلكات العامة بسبب اتساع القيمة المالية للأصول، وطول عمرها التشغيلي، وتعدد الجهات المتداخلة في قراراتها، وصعوبة تصحيح بعض القرارات العقارية بعد تنفيذها. ولذلك تُعد الحوكمة وسيلة للحد من عدم تماثل المعلومات وتعارض المصالح، ورفع جودة الاختيار بين بدائل التملك والاستئجار وإعادة الاستخدام والتطوير والتخارج، وتحويل البيانات العقارية إلى قرارات قابلة للتبرير والمراجعة (البسام، 2016؛ </w:t>
      </w:r>
      <w:proofErr w:type="spellStart"/>
      <w:r w:rsidRPr="00AE1FD7">
        <w:rPr>
          <w:rFonts w:ascii="Sakkal Majalla" w:hAnsi="Sakkal Majalla" w:cs="Sakkal Majalla"/>
          <w:color w:val="000000"/>
          <w:sz w:val="36"/>
          <w:szCs w:val="36"/>
          <w:rtl/>
          <w:lang w:val="ar-SA"/>
        </w:rPr>
        <w:t>Jensen</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Meckling</w:t>
      </w:r>
      <w:proofErr w:type="spellEnd"/>
      <w:r w:rsidRPr="00AE1FD7">
        <w:rPr>
          <w:rFonts w:ascii="Sakkal Majalla" w:hAnsi="Sakkal Majalla" w:cs="Sakkal Majalla"/>
          <w:color w:val="000000"/>
          <w:sz w:val="36"/>
          <w:szCs w:val="36"/>
          <w:rtl/>
          <w:lang w:val="ar-SA"/>
        </w:rPr>
        <w:t xml:space="preserve">, 1976؛ </w:t>
      </w:r>
      <w:proofErr w:type="spellStart"/>
      <w:r w:rsidRPr="00AE1FD7">
        <w:rPr>
          <w:rFonts w:ascii="Sakkal Majalla" w:hAnsi="Sakkal Majalla" w:cs="Sakkal Majalla"/>
          <w:color w:val="000000"/>
          <w:sz w:val="36"/>
          <w:szCs w:val="36"/>
          <w:rtl/>
          <w:lang w:val="ar-SA"/>
        </w:rPr>
        <w:t>Gross</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Źróbek</w:t>
      </w:r>
      <w:proofErr w:type="spellEnd"/>
      <w:r w:rsidRPr="00AE1FD7">
        <w:rPr>
          <w:rFonts w:ascii="Sakkal Majalla" w:hAnsi="Sakkal Majalla" w:cs="Sakkal Majalla"/>
          <w:color w:val="000000"/>
          <w:sz w:val="36"/>
          <w:szCs w:val="36"/>
          <w:rtl/>
          <w:lang w:val="ar-SA"/>
        </w:rPr>
        <w:t>, 2015).</w:t>
      </w:r>
    </w:p>
    <w:p w14:paraId="3F2937E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أما كفاءة الإنفاق الحكومي العقاري فلا تعني خفض المصروفات بصورة آلية أو تأجيل الصيانة الضرورية، بل تعني تحقيق أفضل قيمة عامة ممكنة من كل ريال يُنفق على العقار الحكومي، من خلال الموازنة بين التكلفة والأداء والمخاطر والاستدامة على امتداد دورة حياة الأصل. ووفق هذا المنظور قد يكون الإنفاق الإضافي على الصيانة الوقائية أو تحسين البيانات أو رفع كفاءة الطاقة قراراً رشيداً إذا أدى إلى خفض التكلفة الكلية، وإطالة العمر التشغيلي، </w:t>
      </w:r>
      <w:r w:rsidRPr="00AE1FD7">
        <w:rPr>
          <w:rFonts w:ascii="Sakkal Majalla" w:hAnsi="Sakkal Majalla" w:cs="Sakkal Majalla"/>
          <w:color w:val="000000"/>
          <w:sz w:val="36"/>
          <w:szCs w:val="36"/>
          <w:rtl/>
          <w:lang w:val="ar-SA"/>
        </w:rPr>
        <w:lastRenderedPageBreak/>
        <w:t>وتقليل الأعطال، ورفع موثوقية الخدمة. كما قد يكون التخلص من أصل راكد أو إعادة تخصيصه أكثر كفاءة من الاحتفاظ به، وقد يكون الاستئجار أكثر ملاءمة من التملك في حالات معينة والعكس صحيح، شريطة أن يستند القرار إلى تحليل واضح للاحتياج والتكلفة الكلية والبدائل والمخاطر (ISO, 2024؛ OECD, 2025).</w:t>
      </w:r>
    </w:p>
    <w:p w14:paraId="2B51ED3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وتتصل هذه الدراسة بالسياق السعودي الذي يشهد تحولاً مؤسسياً واسعاً في إدارة المال العام والأصول الحكومية ضمن مستهدفات رؤية السعودية 2030، وبرنامج الاستدامة المالية، والتحول إلى المحاسبة على أساس الاستحقاق، وتطوير أدوار هيئة كفاءة الإنفاق والمشروعات الحكومية والهيئة العامة لعقارات الدولة. وقد صدر الدليل الوطني لإدارة الأصول والمرافق ليكون مرجعاً موحداً للجهات الحكومية، ويتكون من سبعة عشر مجلداً تستهدف توحيد العمليات والإجراءات وتحسين جودة الخدمات وتقنين النفقات التشغيلية، كما دعمت وزارة المالية حصر الأصول والالتزامات وتقييمها وربطها بالمعلومات المالية، في حين تتولى الهيئة العامة لعقارات الدولة مهام الحصر والتوثيق والتخصيص والتصرف والحماية والتكامل بين الجهات (هيئة كفاءة الإنفاق والمشروعات الحكومية، 2024أ؛ وزارة المالية، 2019؛ تنظيم الهيئة العامة لعقارات الدولة، 2021).</w:t>
      </w:r>
    </w:p>
    <w:p w14:paraId="0106F49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وانطلاقاً من ذلك، تبحث الدراسة أثر حوكمة إدارة الممتلكات العامة في تعزيز كفاءة الإنفاق الحكومي العقاري في المملكة العربية السعودية، من خلال خمسة أبعاد </w:t>
      </w:r>
      <w:proofErr w:type="spellStart"/>
      <w:r w:rsidRPr="00AE1FD7">
        <w:rPr>
          <w:rFonts w:ascii="Sakkal Majalla" w:hAnsi="Sakkal Majalla" w:cs="Sakkal Majalla"/>
          <w:color w:val="000000"/>
          <w:sz w:val="36"/>
          <w:szCs w:val="36"/>
          <w:rtl/>
          <w:lang w:val="ar-SA"/>
        </w:rPr>
        <w:t>حوكمية</w:t>
      </w:r>
      <w:proofErr w:type="spellEnd"/>
      <w:r w:rsidRPr="00AE1FD7">
        <w:rPr>
          <w:rFonts w:ascii="Sakkal Majalla" w:hAnsi="Sakkal Majalla" w:cs="Sakkal Majalla"/>
          <w:color w:val="000000"/>
          <w:sz w:val="36"/>
          <w:szCs w:val="36"/>
          <w:rtl/>
          <w:lang w:val="ar-SA"/>
        </w:rPr>
        <w:t xml:space="preserve"> هي: الشفافية والإفصاح، والمساءلة والرقابة الداخلية، وتكامل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والتخطيط الاستراتيجي وإدارة دورة حياة الأصل، وإدارة المخاطر والامتثال. وتتناول الكفاءة العقارية بوصفها محصلة مركبة تشمل ترشيد تكاليف التملك والاستئجار، ورفع كفاءة التشغيل والصيانة، وتحسين الاستفادة من الأصول، وجودة القرار العقاري، والحد من الهدر المالي والتشغيلي.</w:t>
      </w:r>
    </w:p>
    <w:p w14:paraId="02E2C809"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2" w:name="_Toc235205566"/>
      <w:r w:rsidRPr="00AE1FD7">
        <w:rPr>
          <w:rFonts w:ascii="Sakkal Majalla" w:eastAsia="Noto Kufi Arabic" w:hAnsi="Sakkal Majalla" w:cs="Sakkal Majalla"/>
          <w:sz w:val="36"/>
          <w:szCs w:val="36"/>
          <w:rtl/>
          <w:lang w:val="ar-SA"/>
        </w:rPr>
        <w:t xml:space="preserve">1.2 خلفية الدراسة وسياقها </w:t>
      </w:r>
      <w:proofErr w:type="gramStart"/>
      <w:r w:rsidRPr="00AE1FD7">
        <w:rPr>
          <w:rFonts w:ascii="Sakkal Majalla" w:eastAsia="Noto Kufi Arabic" w:hAnsi="Sakkal Majalla" w:cs="Sakkal Majalla"/>
          <w:sz w:val="36"/>
          <w:szCs w:val="36"/>
          <w:rtl/>
          <w:lang w:val="ar-SA"/>
        </w:rPr>
        <w:t>المؤسسي</w:t>
      </w:r>
      <w:r w:rsidR="003D26DE">
        <w:rPr>
          <w:rFonts w:ascii="Sakkal Majalla" w:eastAsia="Noto Kufi Arabic" w:hAnsi="Sakkal Majalla" w:cs="Sakkal Majalla" w:hint="cs"/>
          <w:sz w:val="36"/>
          <w:szCs w:val="36"/>
          <w:rtl/>
          <w:lang w:val="ar-SA"/>
        </w:rPr>
        <w:t xml:space="preserve"> :</w:t>
      </w:r>
      <w:bookmarkEnd w:id="2"/>
      <w:proofErr w:type="gramEnd"/>
    </w:p>
    <w:p w14:paraId="5120C00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تملك الحكومات محافظ عقارية متنوعة تشمل المباني الإدارية، والمنشآت التعليمية والصحية، والمرافق الخدمية، والمستودعات، والأراضي، والمباني السكنية، ومراكز التشغيل، والأصول ذات الاستخدام الخاص. ويترتب على هذا التنوع اختلافات في طبيعة المخاطر ومتطلبات الصيانة وطرق التقييم ومؤشرات الأداء، إلا أن القاسم المشترك يتمثل في ضرورة وجود سجل موحد ودقيق يعرّف الأصل وموقعه وملكيته وحالته واستخدامه وقيمته وتكاليفه والتزاماته. وغياب هذا السجل أو تشتته بين إدارات متعددة يضعف القدرة على </w:t>
      </w:r>
      <w:r w:rsidRPr="00AE1FD7">
        <w:rPr>
          <w:rFonts w:ascii="Sakkal Majalla" w:hAnsi="Sakkal Majalla" w:cs="Sakkal Majalla"/>
          <w:color w:val="000000"/>
          <w:sz w:val="36"/>
          <w:szCs w:val="36"/>
          <w:rtl/>
          <w:lang w:val="ar-SA"/>
        </w:rPr>
        <w:lastRenderedPageBreak/>
        <w:t>معرفة التكلفة الحقيقية للمحفظة، ويحد من إمكان المقارنة والرقابة وتحديد الأولويات (</w:t>
      </w: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Kapur</w:t>
      </w:r>
      <w:proofErr w:type="spellEnd"/>
      <w:r w:rsidRPr="00AE1FD7">
        <w:rPr>
          <w:rFonts w:ascii="Sakkal Majalla" w:hAnsi="Sakkal Majalla" w:cs="Sakkal Majalla"/>
          <w:color w:val="000000"/>
          <w:sz w:val="36"/>
          <w:szCs w:val="36"/>
          <w:rtl/>
          <w:lang w:val="ar-SA"/>
        </w:rPr>
        <w:t xml:space="preserve">, 2013؛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2024).</w:t>
      </w:r>
    </w:p>
    <w:p w14:paraId="7074ED0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وتشير خبرات دولية متعددة إلى أن المشكلات المتكررة في إدارة العقار العام تتمثل في الإدارة التفاعلية بدلاً من الاستباقية، والتركيز على الصيانة اليومية دون ربطها بالاستراتيجية، وتعدد قواعد البيانات غير المتوافقة، وعدم وجود مالك واضح للقرار أو للبيانات، ونقص الخبرات المتخصصة، وغياب مقاييس الاستفادة والتكلفة والأداء. وقد بينت دراسة الممارسات الحكومية في ماليزيا أن التجزؤ التنظيمي وضعف نظم المعلومات وغياب قياس الأداء تقود إلى إدارة غير منهجية، في حين أوضحت مراجعة التجارب المركزية أن الإصلاحات الأكثر نجاحاً جمعت بين القيادة المؤسسية والبيانات الموحدة وإدارة الأداء والتخطيط طويل الأجل (</w:t>
      </w:r>
      <w:proofErr w:type="spellStart"/>
      <w:r w:rsidRPr="00AE1FD7">
        <w:rPr>
          <w:rFonts w:ascii="Sakkal Majalla" w:hAnsi="Sakkal Majalla" w:cs="Sakkal Majalla"/>
          <w:color w:val="000000"/>
          <w:sz w:val="36"/>
          <w:szCs w:val="36"/>
          <w:rtl/>
          <w:lang w:val="ar-SA"/>
        </w:rPr>
        <w:t>Hanis</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xml:space="preserve">., 2011؛ </w:t>
      </w:r>
      <w:proofErr w:type="spellStart"/>
      <w:r w:rsidRPr="00AE1FD7">
        <w:rPr>
          <w:rFonts w:ascii="Sakkal Majalla" w:hAnsi="Sakkal Majalla" w:cs="Sakkal Majalla"/>
          <w:color w:val="000000"/>
          <w:sz w:val="36"/>
          <w:szCs w:val="36"/>
          <w:rtl/>
          <w:lang w:val="ar-SA"/>
        </w:rPr>
        <w:t>Kaganova</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Amoils</w:t>
      </w:r>
      <w:proofErr w:type="spellEnd"/>
      <w:r w:rsidRPr="00AE1FD7">
        <w:rPr>
          <w:rFonts w:ascii="Sakkal Majalla" w:hAnsi="Sakkal Majalla" w:cs="Sakkal Majalla"/>
          <w:color w:val="000000"/>
          <w:sz w:val="36"/>
          <w:szCs w:val="36"/>
          <w:rtl/>
          <w:lang w:val="ar-SA"/>
        </w:rPr>
        <w:t>, 2020).</w:t>
      </w:r>
    </w:p>
    <w:p w14:paraId="50B6148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وفي المملكة العربية السعودية، عززت رؤية 2030 توجه الدولة نحو رفع فاعلية التخطيط المالي وكفاءة الإنفاق الحكومي، وترسيخ المساءلة والشفافية، وتحسين جودة الخدمات العامة. ويعرض برنامج الاستدامة المالية كفاءة الإنفاق بوصفها ركيزة لحماية الاستدامة المالية وإعادة توجيه الموارد إلى الأولويات الأعلى قيمة، كما تشير بيانات هيئة كفاءة الإنفاق إلى توجيه موارد كبيرة نحو إنفاق أكثر استدامة، واكتشاف فرص متعددة لتحسين استغلال الموارد الحكومية. ويُفهم من ذلك أن إدارة الممتلكات العامة ليست ملفاً فنياً معزولاً، بل إحدى ساحات تطبيق الإصلاح المالي والإداري والرقمي في آن واحد (رؤية السعودية 2030، 2025؛ هيئة كفاءة الإنفاق والمشروعات الحكومية، 2024ب).</w:t>
      </w:r>
    </w:p>
    <w:p w14:paraId="743DBFE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ويُعد الدليل الوطني لإدارة الأصول والمرافق أحد أبرز الممكنات التنظيمية في هذا المجال؛ إذ يغطي دورة الحياة الكاملة للأصل من التخطيط والإنشاء والاستلام، مروراً بالتشغيل والصيانة والتعاقد والشراء، وانتهاءً بعدم الانتفاع والتخلص أو إعادة التوظيف. وتكمن أهميته في توفير لغة وإجراءات موحدة، وتحديد متطلبات البيانات والأدوار ومؤشرات الأداء، وربط الصيانة والمخاطر والخطط المالية بالأهداف المؤسسية. غير أن وجود الدليل لا يضمن وحده تحقق النتائج ما لم تتوافر القدرة المؤسسية على التطبيق، والقيادة، والتكامل بين الإدارات، والأنظمة الرقمية، وآليات المتابعة والمساءلة (هيئة كفاءة الإنفاق والمشروعات الحكومية، 2024أ؛ </w:t>
      </w:r>
      <w:proofErr w:type="spellStart"/>
      <w:r w:rsidRPr="00AE1FD7">
        <w:rPr>
          <w:rFonts w:ascii="Sakkal Majalla" w:hAnsi="Sakkal Majalla" w:cs="Sakkal Majalla"/>
          <w:color w:val="000000"/>
          <w:sz w:val="36"/>
          <w:szCs w:val="36"/>
          <w:rtl/>
          <w:lang w:val="ar-SA"/>
        </w:rPr>
        <w:t>Phelps</w:t>
      </w:r>
      <w:proofErr w:type="spellEnd"/>
      <w:r w:rsidRPr="00AE1FD7">
        <w:rPr>
          <w:rFonts w:ascii="Sakkal Majalla" w:hAnsi="Sakkal Majalla" w:cs="Sakkal Majalla"/>
          <w:color w:val="000000"/>
          <w:sz w:val="36"/>
          <w:szCs w:val="36"/>
          <w:rtl/>
          <w:lang w:val="ar-SA"/>
        </w:rPr>
        <w:t>, 2010).</w:t>
      </w:r>
    </w:p>
    <w:p w14:paraId="7FF6EFD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ويكتمل هذا المسار بدور الهيئة العامة لعقارات الدولة، التي تتولى وفق تنظيمها الإشراف على عقارات الدولة، والتصرف فيها بالاستثمار أو التخصيص أو التأجير، وتلبية احتياجات </w:t>
      </w:r>
      <w:r w:rsidRPr="00AE1FD7">
        <w:rPr>
          <w:rFonts w:ascii="Sakkal Majalla" w:hAnsi="Sakkal Majalla" w:cs="Sakkal Majalla"/>
          <w:color w:val="000000"/>
          <w:sz w:val="36"/>
          <w:szCs w:val="36"/>
          <w:rtl/>
          <w:lang w:val="ar-SA"/>
        </w:rPr>
        <w:lastRenderedPageBreak/>
        <w:t>الجهات الحكومية، وتثبيت الملكيات، ووضع السياسات والإجراءات، ومتابعة تطبيق الأنظمة، وتعزيز التكامل بين الجهات. كما ألزمت ضوابط تخصيص عقارات الدولة الجهات طالبة التخصيص بتقدير احتياجاتها المستقبلية، والتحقق من عدم وجود عقار غير مستغل يلبي الحاجة، ومواءمة المساحة المطلوبة مع المعايير المعتمدة؛ وهي متطلبات تمثل تطبيقاً عملياً لمبدأ القيمة مقابل المال ولمنع التوسع العقاري غير المبرر (تنظيم الهيئة العامة لعقارات الدولة، 2021؛ الهيئة العامة لعقارات الدولة، 2024أ).</w:t>
      </w:r>
    </w:p>
    <w:p w14:paraId="3F5C8B9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ومن جهة أخرى، ساعد التحول إلى المحاسبة المبنية على أساس الاستحقاق في إبراز الأصول والالتزامات بصورة أكثر شمولاً، لأن النظام النقدي التقليدي يركز على التدفقات المدفوعة والمقبوضة ولا يعطي صورة كافية عن قيمة الأصول واستهلاكها والتزاماتها المستقبلية. وقد وضعت وزارة المالية دليلاً لحصر وتقييم الأصول والالتزامات، وآليات لبناء الأرصدة الافتتاحية، بما يرفع جودة المعلومات ويتيح الربط بين السجلات المادية والمالية. ويُعد هذا الربط شرطاً أساسياً لقياس تكلفة دورة الحياة، وتحديد قيمة الإهلاك، وتحليل بدائل التجديد والاستبدال، ومقارنة التكلفة بين الأصول والجهات (وزارة المالية، 2019؛ وزارة المالية، 2020؛ وزارة المالية، 2024).</w:t>
      </w:r>
    </w:p>
    <w:p w14:paraId="5C63CA0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وعلى الرغم من هذه التطورات، تظل الفاعلية النهائية مرتبطة بدرجة نضج الحوكمة داخل كل جهة. فقد تكون البيانات متوافرة لكنها غير محدثة، أو توجد سياسات دون تحديد واضح للمسؤوليات، أو تُعد تقارير لا تدخل فعلياً في اتخاذ القرار، أو تُنفذ الصيانة دون ترتيب للأولويات وفق المخاطر، أو تستمر عقود الاستئجار دون مراجعة جدوى البدائل. ومن هنا تأتي الحاجة إلى قياس مستوى تطبيق الحوكمة وعلاقته بمخرجات الإنفاق العقاري في بيئة الجهات الحكومية السعودية، بدلاً من الاكتفاء بوصف الأدلة والأنظمة الرسمية.</w:t>
      </w:r>
    </w:p>
    <w:p w14:paraId="7B4AC595"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3" w:name="_Toc235205567"/>
      <w:r w:rsidRPr="00AE1FD7">
        <w:rPr>
          <w:rFonts w:ascii="Sakkal Majalla" w:eastAsia="Noto Kufi Arabic" w:hAnsi="Sakkal Majalla" w:cs="Sakkal Majalla"/>
          <w:sz w:val="36"/>
          <w:szCs w:val="36"/>
          <w:rtl/>
          <w:lang w:val="ar-SA"/>
        </w:rPr>
        <w:t>1.3 مشكلة الدراسة</w:t>
      </w:r>
      <w:r w:rsidR="003D26DE">
        <w:rPr>
          <w:rFonts w:ascii="Sakkal Majalla" w:eastAsia="Noto Kufi Arabic" w:hAnsi="Sakkal Majalla" w:cs="Sakkal Majalla" w:hint="cs"/>
          <w:sz w:val="36"/>
          <w:szCs w:val="36"/>
          <w:rtl/>
          <w:lang w:val="ar-SA"/>
        </w:rPr>
        <w:t>:</w:t>
      </w:r>
      <w:bookmarkEnd w:id="3"/>
      <w:r w:rsidR="003D26DE">
        <w:rPr>
          <w:rFonts w:ascii="Sakkal Majalla" w:eastAsia="Noto Kufi Arabic" w:hAnsi="Sakkal Majalla" w:cs="Sakkal Majalla" w:hint="cs"/>
          <w:sz w:val="36"/>
          <w:szCs w:val="36"/>
          <w:rtl/>
          <w:lang w:val="ar-SA"/>
        </w:rPr>
        <w:t xml:space="preserve"> </w:t>
      </w:r>
    </w:p>
    <w:p w14:paraId="7E8AF12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تتمثل المشكلة العامة في وجود احتمال لفجوة بين التطور التنظيمي والرقمي المتسارع في إدارة الأصول الحكومية، وبين مستوى التطبيق الفعلي للحوكمة داخل الجهات، وما يترتب عليه من تفاوت في كفاءة الإنفاق العقاري. فنجاح إدارة المحفظة العقارية يحتاج إلى معلومات مكتملة، وأدوار واضحة، وقرارات مبنية على تحليل الاحتياج والتكلفة والمخاطر، ومتابعة دورية للاستخدام والأداء، بينما يؤدي ضعف أي حلقة من هذه السلسلة إلى تشوه القرار المالي والتشغيلي.</w:t>
      </w:r>
    </w:p>
    <w:p w14:paraId="3352EB3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وتظهر المشكلة في عدد من الصور العملية؛ منها تشتت بيانات الملكية والحالة الفنية والقيمة والتكاليف بين إدارات المالية والأصول والمرافق والعقود، وصعوبة الحصول على رؤية موحدة للمحفظة، واستمرار الاعتماد على الصيانة التصحيحية بعد وقوع الأعطال بدلاً من الصيانة الوقائية، وعدم انتظام تقييم الأصول منخفضة الاستفادة، وضعف التحليل المقارن بين التملك والاستئجار وإعادة الاستخدام، وتأخر تحديث البيانات بعد التغيير في الحالة أو الموقع أو الاستخدام. كما يمكن أن تظهر في تعدد مستويات الاعتماد دون وضوح المساءلة، أو غياب مؤشرات محددة تربط أداء إدارة الأصول بالنتائج المالية والخدمية.</w:t>
      </w:r>
    </w:p>
    <w:p w14:paraId="0F15984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ولا يُفهم الهدر العقاري فقط في صورة إنفاق زائد ظاهر، بل قد يكون تكلفة فرصة بديلة ناتجة عن شغل أصل في استخدام منخفض القيمة، أو استمرار استئجار مقر مع وجود أصل ملائم غير مستغل، أو إجراء صيانة متكررة لأصل تجاوز عمره الاقتصادي، أو الاحتفاظ بأرض أو مبنى دون خطة واضحة، أو شراء نظام رقمي لا يتكامل مع البيانات المالية والفنية. ولذلك فإن قياس الكفاءة يتطلب منظوراً شاملاً يتجاوز المصروف السنوي إلى التكلفة الكلية للأصل وقيمة الخدمة والمخاطر المتبقية.</w:t>
      </w:r>
    </w:p>
    <w:p w14:paraId="4A7FE80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وتكشف مراجعة الأدبيات العربية عن وفرة نسبية في البحوث القانونية التي تناقش حماية الأملاك العامة والتصرف فيها، وفي الدراسات العامة التي تتناول الحوكمة أو كفاءة الإنفاق على المستوى الكلي، مقابل ندرة الدراسات الميدانية التي تربط أبعاد حوكمة إدارة الممتلكات العامة بنتائج محددة في الإنفاق العقاري الحكومي. أما الأدبيات الأجنبية فتقدم أطر نضج وتجارب دولية مهمة، لكنها تنتمي إلى سياقات تشريعية ومؤسسية مختلفة ولا يمكن نقل نتائجها آلياً إلى البيئة السعودية (</w:t>
      </w:r>
      <w:proofErr w:type="spellStart"/>
      <w:r w:rsidRPr="00AE1FD7">
        <w:rPr>
          <w:rFonts w:ascii="Sakkal Majalla" w:hAnsi="Sakkal Majalla" w:cs="Sakkal Majalla"/>
          <w:color w:val="000000"/>
          <w:sz w:val="36"/>
          <w:szCs w:val="36"/>
          <w:rtl/>
          <w:lang w:val="ar-SA"/>
        </w:rPr>
        <w:t>شعوة</w:t>
      </w:r>
      <w:proofErr w:type="spellEnd"/>
      <w:r w:rsidRPr="00AE1FD7">
        <w:rPr>
          <w:rFonts w:ascii="Sakkal Majalla" w:hAnsi="Sakkal Majalla" w:cs="Sakkal Majalla"/>
          <w:color w:val="000000"/>
          <w:sz w:val="36"/>
          <w:szCs w:val="36"/>
          <w:rtl/>
          <w:lang w:val="ar-SA"/>
        </w:rPr>
        <w:t xml:space="preserve">، 2018؛ عرود، 2022؛ الخريجي، 2021؛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2024).</w:t>
      </w:r>
    </w:p>
    <w:p w14:paraId="27F6627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وبناءً على ذلك، تتحدد المشكلة البحثية في الحاجة إلى اختبار مدى تأثير حوكمة إدارة الممتلكات العامة بأبعادها الخمسة في كفاءة الإنفاق الحكومي العقاري، وتحديد الأبعاد الأكثر قدرة على تفسير الكفاءة، وقياس مستوى التطبيق الحالي من وجهة نظر المختصين، والكشف عن الفروق المرتبطة بالخصائص الوظيفية، ثم تحويل النتائج إلى إطار تطبيقي يساعد الجهات الحكومية على ترتيب أولويات الإصلاح.</w:t>
      </w:r>
    </w:p>
    <w:p w14:paraId="322D237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ويمكن صياغة المشكلة في السؤال الرئيس الآتي: ما أثر حوكمة إدارة الممتلكات العامة في تعزيز كفاءة الإنفاق الحكومي العقاري في المملكة العربية السعودية؟</w:t>
      </w:r>
    </w:p>
    <w:p w14:paraId="08B7303B"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4" w:name="_Toc235205568"/>
      <w:r w:rsidRPr="00AE1FD7">
        <w:rPr>
          <w:rFonts w:ascii="Sakkal Majalla" w:eastAsia="Noto Kufi Arabic" w:hAnsi="Sakkal Majalla" w:cs="Sakkal Majalla"/>
          <w:sz w:val="36"/>
          <w:szCs w:val="36"/>
          <w:rtl/>
          <w:lang w:val="ar-SA"/>
        </w:rPr>
        <w:lastRenderedPageBreak/>
        <w:t>1.4 أسئلة الدراسة</w:t>
      </w:r>
      <w:r w:rsidR="003D26DE">
        <w:rPr>
          <w:rFonts w:ascii="Sakkal Majalla" w:eastAsia="Noto Kufi Arabic" w:hAnsi="Sakkal Majalla" w:cs="Sakkal Majalla" w:hint="cs"/>
          <w:sz w:val="36"/>
          <w:szCs w:val="36"/>
          <w:rtl/>
          <w:lang w:val="ar-SA"/>
        </w:rPr>
        <w:t>:</w:t>
      </w:r>
      <w:bookmarkEnd w:id="4"/>
    </w:p>
    <w:p w14:paraId="76C1F549" w14:textId="77777777" w:rsidR="00986803" w:rsidRPr="003D26DE" w:rsidRDefault="00DB29B7" w:rsidP="003D26DE">
      <w:pPr>
        <w:keepNext/>
        <w:bidi/>
        <w:spacing w:after="0" w:line="240" w:lineRule="auto"/>
        <w:ind w:firstLine="0"/>
        <w:jc w:val="center"/>
        <w:rPr>
          <w:rFonts w:ascii="Sakkal Majalla" w:hAnsi="Sakkal Majalla" w:cs="Sakkal Majalla"/>
          <w:bCs/>
          <w:sz w:val="36"/>
          <w:szCs w:val="36"/>
        </w:rPr>
      </w:pPr>
      <w:bookmarkStart w:id="5" w:name="table_questions"/>
      <w:r w:rsidRPr="003D26DE">
        <w:rPr>
          <w:rFonts w:ascii="Sakkal Majalla" w:eastAsia="Noto Kufi Arabic" w:hAnsi="Sakkal Majalla" w:cs="Sakkal Majalla"/>
          <w:bCs/>
          <w:color w:val="17365D"/>
          <w:sz w:val="36"/>
          <w:szCs w:val="36"/>
          <w:rtl/>
          <w:lang w:val="ar-SA"/>
        </w:rPr>
        <w:t>جدول (1): أسئلة الدراسة</w:t>
      </w:r>
      <w:bookmarkEnd w:id="5"/>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371"/>
      </w:tblGrid>
      <w:tr w:rsidR="00986803" w:rsidRPr="00AE1FD7" w14:paraId="76AF8AD0" w14:textId="77777777" w:rsidTr="003D26DE">
        <w:trPr>
          <w:cantSplit/>
          <w:tblHeader/>
          <w:jc w:val="center"/>
        </w:trPr>
        <w:tc>
          <w:tcPr>
            <w:tcW w:w="1134" w:type="dxa"/>
            <w:shd w:val="clear" w:color="auto" w:fill="17365D"/>
            <w:tcMar>
              <w:top w:w="90" w:type="dxa"/>
              <w:left w:w="80" w:type="dxa"/>
              <w:bottom w:w="90" w:type="dxa"/>
              <w:right w:w="80" w:type="dxa"/>
            </w:tcMar>
            <w:vAlign w:val="center"/>
          </w:tcPr>
          <w:p w14:paraId="09EBF805"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م</w:t>
            </w:r>
          </w:p>
        </w:tc>
        <w:tc>
          <w:tcPr>
            <w:tcW w:w="7370" w:type="dxa"/>
            <w:shd w:val="clear" w:color="auto" w:fill="17365D"/>
            <w:tcMar>
              <w:top w:w="90" w:type="dxa"/>
              <w:left w:w="80" w:type="dxa"/>
              <w:bottom w:w="90" w:type="dxa"/>
              <w:right w:w="80" w:type="dxa"/>
            </w:tcMar>
            <w:vAlign w:val="center"/>
          </w:tcPr>
          <w:p w14:paraId="3C968D17"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السؤال</w:t>
            </w:r>
          </w:p>
        </w:tc>
      </w:tr>
      <w:tr w:rsidR="00986803" w:rsidRPr="00AE1FD7" w14:paraId="5F3E44A7" w14:textId="77777777" w:rsidTr="003D26DE">
        <w:trPr>
          <w:jc w:val="center"/>
        </w:trPr>
        <w:tc>
          <w:tcPr>
            <w:tcW w:w="1134" w:type="dxa"/>
            <w:shd w:val="clear" w:color="auto" w:fill="FFFFFF"/>
            <w:tcMar>
              <w:top w:w="70" w:type="dxa"/>
              <w:left w:w="70" w:type="dxa"/>
              <w:bottom w:w="70" w:type="dxa"/>
              <w:right w:w="70" w:type="dxa"/>
            </w:tcMar>
            <w:vAlign w:val="center"/>
          </w:tcPr>
          <w:p w14:paraId="476D3723"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الرئيس</w:t>
            </w:r>
          </w:p>
        </w:tc>
        <w:tc>
          <w:tcPr>
            <w:tcW w:w="7370" w:type="dxa"/>
            <w:shd w:val="clear" w:color="auto" w:fill="FFFFFF"/>
            <w:tcMar>
              <w:top w:w="70" w:type="dxa"/>
              <w:left w:w="70" w:type="dxa"/>
              <w:bottom w:w="70" w:type="dxa"/>
              <w:right w:w="70" w:type="dxa"/>
            </w:tcMar>
            <w:vAlign w:val="center"/>
          </w:tcPr>
          <w:p w14:paraId="43E91102"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أثر حوكمة إدارة الممتلكات العامة في تعزيز كفاءة الإنفاق الحكومي العقاري في المملكة العربية السعودية؟</w:t>
            </w:r>
          </w:p>
        </w:tc>
      </w:tr>
      <w:tr w:rsidR="00986803" w:rsidRPr="00AE1FD7" w14:paraId="7FDECD3A" w14:textId="77777777" w:rsidTr="003D26DE">
        <w:trPr>
          <w:jc w:val="center"/>
        </w:trPr>
        <w:tc>
          <w:tcPr>
            <w:tcW w:w="1134" w:type="dxa"/>
            <w:shd w:val="clear" w:color="auto" w:fill="F2F4F6"/>
            <w:tcMar>
              <w:top w:w="70" w:type="dxa"/>
              <w:left w:w="70" w:type="dxa"/>
              <w:bottom w:w="70" w:type="dxa"/>
              <w:right w:w="70" w:type="dxa"/>
            </w:tcMar>
            <w:vAlign w:val="center"/>
          </w:tcPr>
          <w:p w14:paraId="72DCAD15"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7370" w:type="dxa"/>
            <w:shd w:val="clear" w:color="auto" w:fill="F2F4F6"/>
            <w:tcMar>
              <w:top w:w="70" w:type="dxa"/>
              <w:left w:w="70" w:type="dxa"/>
              <w:bottom w:w="70" w:type="dxa"/>
              <w:right w:w="70" w:type="dxa"/>
            </w:tcMar>
            <w:vAlign w:val="center"/>
          </w:tcPr>
          <w:p w14:paraId="16E8E67B"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مستوى تطبيق حوكمة إدارة الممتلكات العامة في الجهات الحكومية السعودية؟</w:t>
            </w:r>
          </w:p>
        </w:tc>
      </w:tr>
      <w:tr w:rsidR="00986803" w:rsidRPr="00AE1FD7" w14:paraId="6CA102D0" w14:textId="77777777" w:rsidTr="003D26DE">
        <w:trPr>
          <w:jc w:val="center"/>
        </w:trPr>
        <w:tc>
          <w:tcPr>
            <w:tcW w:w="1134" w:type="dxa"/>
            <w:shd w:val="clear" w:color="auto" w:fill="FFFFFF"/>
            <w:tcMar>
              <w:top w:w="70" w:type="dxa"/>
              <w:left w:w="70" w:type="dxa"/>
              <w:bottom w:w="70" w:type="dxa"/>
              <w:right w:w="70" w:type="dxa"/>
            </w:tcMar>
            <w:vAlign w:val="center"/>
          </w:tcPr>
          <w:p w14:paraId="21743464"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7370" w:type="dxa"/>
            <w:shd w:val="clear" w:color="auto" w:fill="FFFFFF"/>
            <w:tcMar>
              <w:top w:w="70" w:type="dxa"/>
              <w:left w:w="70" w:type="dxa"/>
              <w:bottom w:w="70" w:type="dxa"/>
              <w:right w:w="70" w:type="dxa"/>
            </w:tcMar>
            <w:vAlign w:val="center"/>
          </w:tcPr>
          <w:p w14:paraId="020A9FCC"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مستوى كفاءة الإنفاق الحكومي العقاري في تلك الجهات؟</w:t>
            </w:r>
          </w:p>
        </w:tc>
      </w:tr>
      <w:tr w:rsidR="00986803" w:rsidRPr="00AE1FD7" w14:paraId="6527EF49" w14:textId="77777777" w:rsidTr="003D26DE">
        <w:trPr>
          <w:jc w:val="center"/>
        </w:trPr>
        <w:tc>
          <w:tcPr>
            <w:tcW w:w="1134" w:type="dxa"/>
            <w:shd w:val="clear" w:color="auto" w:fill="F2F4F6"/>
            <w:tcMar>
              <w:top w:w="70" w:type="dxa"/>
              <w:left w:w="70" w:type="dxa"/>
              <w:bottom w:w="70" w:type="dxa"/>
              <w:right w:w="70" w:type="dxa"/>
            </w:tcMar>
            <w:vAlign w:val="center"/>
          </w:tcPr>
          <w:p w14:paraId="77F5DE1F"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7370" w:type="dxa"/>
            <w:shd w:val="clear" w:color="auto" w:fill="F2F4F6"/>
            <w:tcMar>
              <w:top w:w="70" w:type="dxa"/>
              <w:left w:w="70" w:type="dxa"/>
              <w:bottom w:w="70" w:type="dxa"/>
              <w:right w:w="70" w:type="dxa"/>
            </w:tcMar>
            <w:vAlign w:val="center"/>
          </w:tcPr>
          <w:p w14:paraId="2E574612"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أثر الشفافية والإفصاح في تعزيز كفاءة الإنفاق الحكومي العقاري؟</w:t>
            </w:r>
          </w:p>
        </w:tc>
      </w:tr>
      <w:tr w:rsidR="00986803" w:rsidRPr="00AE1FD7" w14:paraId="0D65897D" w14:textId="77777777" w:rsidTr="003D26DE">
        <w:trPr>
          <w:jc w:val="center"/>
        </w:trPr>
        <w:tc>
          <w:tcPr>
            <w:tcW w:w="1134" w:type="dxa"/>
            <w:shd w:val="clear" w:color="auto" w:fill="FFFFFF"/>
            <w:tcMar>
              <w:top w:w="70" w:type="dxa"/>
              <w:left w:w="70" w:type="dxa"/>
              <w:bottom w:w="70" w:type="dxa"/>
              <w:right w:w="70" w:type="dxa"/>
            </w:tcMar>
            <w:vAlign w:val="center"/>
          </w:tcPr>
          <w:p w14:paraId="4813C00D"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7370" w:type="dxa"/>
            <w:shd w:val="clear" w:color="auto" w:fill="FFFFFF"/>
            <w:tcMar>
              <w:top w:w="70" w:type="dxa"/>
              <w:left w:w="70" w:type="dxa"/>
              <w:bottom w:w="70" w:type="dxa"/>
              <w:right w:w="70" w:type="dxa"/>
            </w:tcMar>
            <w:vAlign w:val="center"/>
          </w:tcPr>
          <w:p w14:paraId="38BB8837"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أثر المساءلة والرقابة الداخلية في تعزيز كفاءة الإنفاق الحكومي العقاري؟</w:t>
            </w:r>
          </w:p>
        </w:tc>
      </w:tr>
      <w:tr w:rsidR="00986803" w:rsidRPr="00AE1FD7" w14:paraId="408F34DC" w14:textId="77777777" w:rsidTr="003D26DE">
        <w:trPr>
          <w:jc w:val="center"/>
        </w:trPr>
        <w:tc>
          <w:tcPr>
            <w:tcW w:w="1134" w:type="dxa"/>
            <w:shd w:val="clear" w:color="auto" w:fill="F2F4F6"/>
            <w:tcMar>
              <w:top w:w="70" w:type="dxa"/>
              <w:left w:w="70" w:type="dxa"/>
              <w:bottom w:w="70" w:type="dxa"/>
              <w:right w:w="70" w:type="dxa"/>
            </w:tcMar>
            <w:vAlign w:val="center"/>
          </w:tcPr>
          <w:p w14:paraId="0B583C48"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7370" w:type="dxa"/>
            <w:shd w:val="clear" w:color="auto" w:fill="F2F4F6"/>
            <w:tcMar>
              <w:top w:w="70" w:type="dxa"/>
              <w:left w:w="70" w:type="dxa"/>
              <w:bottom w:w="70" w:type="dxa"/>
              <w:right w:w="70" w:type="dxa"/>
            </w:tcMar>
            <w:vAlign w:val="center"/>
          </w:tcPr>
          <w:p w14:paraId="530D4EA7"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ما أثر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في تعزيز كفاءة الإنفاق الحكومي العقاري؟</w:t>
            </w:r>
          </w:p>
        </w:tc>
      </w:tr>
      <w:tr w:rsidR="00986803" w:rsidRPr="00AE1FD7" w14:paraId="3825F7AE" w14:textId="77777777" w:rsidTr="003D26DE">
        <w:trPr>
          <w:jc w:val="center"/>
        </w:trPr>
        <w:tc>
          <w:tcPr>
            <w:tcW w:w="1134" w:type="dxa"/>
            <w:shd w:val="clear" w:color="auto" w:fill="FFFFFF"/>
            <w:tcMar>
              <w:top w:w="70" w:type="dxa"/>
              <w:left w:w="70" w:type="dxa"/>
              <w:bottom w:w="70" w:type="dxa"/>
              <w:right w:w="70" w:type="dxa"/>
            </w:tcMar>
            <w:vAlign w:val="center"/>
          </w:tcPr>
          <w:p w14:paraId="50EBADB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w:t>
            </w:r>
          </w:p>
        </w:tc>
        <w:tc>
          <w:tcPr>
            <w:tcW w:w="7370" w:type="dxa"/>
            <w:shd w:val="clear" w:color="auto" w:fill="FFFFFF"/>
            <w:tcMar>
              <w:top w:w="70" w:type="dxa"/>
              <w:left w:w="70" w:type="dxa"/>
              <w:bottom w:w="70" w:type="dxa"/>
              <w:right w:w="70" w:type="dxa"/>
            </w:tcMar>
            <w:vAlign w:val="center"/>
          </w:tcPr>
          <w:p w14:paraId="7C753959"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أثر التخطيط الاستراتيجي وإدارة دورة حياة الأصل في تعزيز كفاءة الإنفاق الحكومي العقاري؟</w:t>
            </w:r>
          </w:p>
        </w:tc>
      </w:tr>
      <w:tr w:rsidR="00986803" w:rsidRPr="00AE1FD7" w14:paraId="08674B54" w14:textId="77777777" w:rsidTr="003D26DE">
        <w:trPr>
          <w:jc w:val="center"/>
        </w:trPr>
        <w:tc>
          <w:tcPr>
            <w:tcW w:w="1134" w:type="dxa"/>
            <w:shd w:val="clear" w:color="auto" w:fill="F2F4F6"/>
            <w:tcMar>
              <w:top w:w="70" w:type="dxa"/>
              <w:left w:w="70" w:type="dxa"/>
              <w:bottom w:w="70" w:type="dxa"/>
              <w:right w:w="70" w:type="dxa"/>
            </w:tcMar>
            <w:vAlign w:val="center"/>
          </w:tcPr>
          <w:p w14:paraId="239B9ADD"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w:t>
            </w:r>
          </w:p>
        </w:tc>
        <w:tc>
          <w:tcPr>
            <w:tcW w:w="7370" w:type="dxa"/>
            <w:shd w:val="clear" w:color="auto" w:fill="F2F4F6"/>
            <w:tcMar>
              <w:top w:w="70" w:type="dxa"/>
              <w:left w:w="70" w:type="dxa"/>
              <w:bottom w:w="70" w:type="dxa"/>
              <w:right w:w="70" w:type="dxa"/>
            </w:tcMar>
            <w:vAlign w:val="center"/>
          </w:tcPr>
          <w:p w14:paraId="2390E328"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ما أثر إدارة المخاطر والامتثال في تعزيز كفاءة الإنفاق الحكومي العقاري؟</w:t>
            </w:r>
          </w:p>
        </w:tc>
      </w:tr>
      <w:tr w:rsidR="00986803" w:rsidRPr="00AE1FD7" w14:paraId="63681594" w14:textId="77777777" w:rsidTr="003D26DE">
        <w:trPr>
          <w:jc w:val="center"/>
        </w:trPr>
        <w:tc>
          <w:tcPr>
            <w:tcW w:w="1134" w:type="dxa"/>
            <w:shd w:val="clear" w:color="auto" w:fill="FFFFFF"/>
            <w:tcMar>
              <w:top w:w="70" w:type="dxa"/>
              <w:left w:w="70" w:type="dxa"/>
              <w:bottom w:w="70" w:type="dxa"/>
              <w:right w:w="70" w:type="dxa"/>
            </w:tcMar>
            <w:vAlign w:val="center"/>
          </w:tcPr>
          <w:p w14:paraId="7DC1882A"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8</w:t>
            </w:r>
          </w:p>
        </w:tc>
        <w:tc>
          <w:tcPr>
            <w:tcW w:w="7370" w:type="dxa"/>
            <w:shd w:val="clear" w:color="auto" w:fill="FFFFFF"/>
            <w:tcMar>
              <w:top w:w="70" w:type="dxa"/>
              <w:left w:w="70" w:type="dxa"/>
              <w:bottom w:w="70" w:type="dxa"/>
              <w:right w:w="70" w:type="dxa"/>
            </w:tcMar>
            <w:vAlign w:val="center"/>
          </w:tcPr>
          <w:p w14:paraId="0491AB5F"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هل توجد فروق ذات دلالة إحصائية في الاستجابات تعزى إلى نوع الجهة، ومجال العمل، وسنوات الخبرة، والمستوى الإداري، والمؤهل العلمي؟</w:t>
            </w:r>
          </w:p>
        </w:tc>
      </w:tr>
    </w:tbl>
    <w:p w14:paraId="2B10C634"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3D9080E6" w14:textId="77777777" w:rsidR="003D26DE" w:rsidRDefault="003D26DE">
      <w:pPr>
        <w:spacing w:after="200" w:line="276" w:lineRule="auto"/>
        <w:ind w:firstLine="0"/>
        <w:jc w:val="left"/>
        <w:rPr>
          <w:rFonts w:ascii="Sakkal Majalla" w:hAnsi="Sakkal Majalla" w:cs="Sakkal Majalla"/>
          <w:sz w:val="36"/>
          <w:szCs w:val="36"/>
          <w:rtl/>
        </w:rPr>
      </w:pPr>
      <w:r>
        <w:rPr>
          <w:rFonts w:ascii="Sakkal Majalla" w:hAnsi="Sakkal Majalla" w:cs="Sakkal Majalla"/>
          <w:sz w:val="36"/>
          <w:szCs w:val="36"/>
          <w:rtl/>
        </w:rPr>
        <w:br w:type="page"/>
      </w:r>
    </w:p>
    <w:p w14:paraId="6BADC06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 w:name="_Toc235205569"/>
      <w:r w:rsidRPr="00AE1FD7">
        <w:rPr>
          <w:rFonts w:ascii="Sakkal Majalla" w:eastAsia="Noto Kufi Arabic" w:hAnsi="Sakkal Majalla" w:cs="Sakkal Majalla"/>
          <w:sz w:val="36"/>
          <w:szCs w:val="36"/>
          <w:rtl/>
          <w:lang w:val="ar-SA"/>
        </w:rPr>
        <w:lastRenderedPageBreak/>
        <w:t xml:space="preserve">1.5 أهداف </w:t>
      </w:r>
      <w:proofErr w:type="gramStart"/>
      <w:r w:rsidRPr="00AE1FD7">
        <w:rPr>
          <w:rFonts w:ascii="Sakkal Majalla" w:eastAsia="Noto Kufi Arabic" w:hAnsi="Sakkal Majalla" w:cs="Sakkal Majalla"/>
          <w:sz w:val="36"/>
          <w:szCs w:val="36"/>
          <w:rtl/>
          <w:lang w:val="ar-SA"/>
        </w:rPr>
        <w:t>الدراسة</w:t>
      </w:r>
      <w:r w:rsidR="003D26DE">
        <w:rPr>
          <w:rFonts w:ascii="Sakkal Majalla" w:eastAsia="Noto Kufi Arabic" w:hAnsi="Sakkal Majalla" w:cs="Sakkal Majalla" w:hint="cs"/>
          <w:sz w:val="36"/>
          <w:szCs w:val="36"/>
          <w:rtl/>
          <w:lang w:val="ar-SA"/>
        </w:rPr>
        <w:t xml:space="preserve"> :</w:t>
      </w:r>
      <w:bookmarkEnd w:id="6"/>
      <w:proofErr w:type="gramEnd"/>
    </w:p>
    <w:p w14:paraId="03BA5EB9" w14:textId="77777777" w:rsidR="00986803" w:rsidRPr="003D26DE" w:rsidRDefault="00DB29B7" w:rsidP="003D26DE">
      <w:pPr>
        <w:keepNext/>
        <w:bidi/>
        <w:spacing w:after="0" w:line="240" w:lineRule="auto"/>
        <w:ind w:firstLine="0"/>
        <w:jc w:val="center"/>
        <w:rPr>
          <w:rFonts w:ascii="Sakkal Majalla" w:hAnsi="Sakkal Majalla" w:cs="Sakkal Majalla"/>
          <w:bCs/>
          <w:sz w:val="36"/>
          <w:szCs w:val="36"/>
        </w:rPr>
      </w:pPr>
      <w:bookmarkStart w:id="7" w:name="table_objectives"/>
      <w:r w:rsidRPr="003D26DE">
        <w:rPr>
          <w:rFonts w:ascii="Sakkal Majalla" w:eastAsia="Noto Kufi Arabic" w:hAnsi="Sakkal Majalla" w:cs="Sakkal Majalla"/>
          <w:bCs/>
          <w:color w:val="17365D"/>
          <w:sz w:val="36"/>
          <w:szCs w:val="36"/>
          <w:rtl/>
          <w:lang w:val="ar-SA"/>
        </w:rPr>
        <w:t>جدول (2): أهداف الدراسة</w:t>
      </w:r>
      <w:bookmarkEnd w:id="7"/>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7371"/>
      </w:tblGrid>
      <w:tr w:rsidR="00986803" w:rsidRPr="00AE1FD7" w14:paraId="5D435648" w14:textId="77777777" w:rsidTr="003D26DE">
        <w:trPr>
          <w:cantSplit/>
          <w:tblHeader/>
          <w:jc w:val="center"/>
        </w:trPr>
        <w:tc>
          <w:tcPr>
            <w:tcW w:w="1134" w:type="dxa"/>
            <w:shd w:val="clear" w:color="auto" w:fill="17365D"/>
            <w:tcMar>
              <w:top w:w="90" w:type="dxa"/>
              <w:left w:w="80" w:type="dxa"/>
              <w:bottom w:w="90" w:type="dxa"/>
              <w:right w:w="80" w:type="dxa"/>
            </w:tcMar>
            <w:vAlign w:val="center"/>
          </w:tcPr>
          <w:p w14:paraId="1FD0A112"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م</w:t>
            </w:r>
          </w:p>
        </w:tc>
        <w:tc>
          <w:tcPr>
            <w:tcW w:w="7370" w:type="dxa"/>
            <w:shd w:val="clear" w:color="auto" w:fill="17365D"/>
            <w:tcMar>
              <w:top w:w="90" w:type="dxa"/>
              <w:left w:w="80" w:type="dxa"/>
              <w:bottom w:w="90" w:type="dxa"/>
              <w:right w:w="80" w:type="dxa"/>
            </w:tcMar>
            <w:vAlign w:val="center"/>
          </w:tcPr>
          <w:p w14:paraId="21BFFC6B"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الهدف</w:t>
            </w:r>
          </w:p>
        </w:tc>
      </w:tr>
      <w:tr w:rsidR="00986803" w:rsidRPr="00AE1FD7" w14:paraId="6BD07320" w14:textId="77777777" w:rsidTr="003D26DE">
        <w:trPr>
          <w:jc w:val="center"/>
        </w:trPr>
        <w:tc>
          <w:tcPr>
            <w:tcW w:w="1134" w:type="dxa"/>
            <w:shd w:val="clear" w:color="auto" w:fill="FFFFFF"/>
            <w:tcMar>
              <w:top w:w="70" w:type="dxa"/>
              <w:left w:w="70" w:type="dxa"/>
              <w:bottom w:w="70" w:type="dxa"/>
              <w:right w:w="70" w:type="dxa"/>
            </w:tcMar>
            <w:vAlign w:val="center"/>
          </w:tcPr>
          <w:p w14:paraId="7B51F7F2"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7370" w:type="dxa"/>
            <w:shd w:val="clear" w:color="auto" w:fill="FFFFFF"/>
            <w:tcMar>
              <w:top w:w="70" w:type="dxa"/>
              <w:left w:w="70" w:type="dxa"/>
              <w:bottom w:w="70" w:type="dxa"/>
              <w:right w:w="70" w:type="dxa"/>
            </w:tcMar>
            <w:vAlign w:val="center"/>
          </w:tcPr>
          <w:p w14:paraId="12A1FF6B"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قياس مستوى تطبيق حوكمة إدارة الممتلكات العامة في الجهات الحكومية السعودية.</w:t>
            </w:r>
          </w:p>
        </w:tc>
      </w:tr>
      <w:tr w:rsidR="00986803" w:rsidRPr="00AE1FD7" w14:paraId="64D0159C" w14:textId="77777777" w:rsidTr="003D26DE">
        <w:trPr>
          <w:jc w:val="center"/>
        </w:trPr>
        <w:tc>
          <w:tcPr>
            <w:tcW w:w="1134" w:type="dxa"/>
            <w:shd w:val="clear" w:color="auto" w:fill="F2F4F6"/>
            <w:tcMar>
              <w:top w:w="70" w:type="dxa"/>
              <w:left w:w="70" w:type="dxa"/>
              <w:bottom w:w="70" w:type="dxa"/>
              <w:right w:w="70" w:type="dxa"/>
            </w:tcMar>
            <w:vAlign w:val="center"/>
          </w:tcPr>
          <w:p w14:paraId="36DD88DD"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7370" w:type="dxa"/>
            <w:shd w:val="clear" w:color="auto" w:fill="F2F4F6"/>
            <w:tcMar>
              <w:top w:w="70" w:type="dxa"/>
              <w:left w:w="70" w:type="dxa"/>
              <w:bottom w:w="70" w:type="dxa"/>
              <w:right w:w="70" w:type="dxa"/>
            </w:tcMar>
            <w:vAlign w:val="center"/>
          </w:tcPr>
          <w:p w14:paraId="6BD85209"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قياس مستوى كفاءة الإنفاق الحكومي العقاري من منظور العاملين المختصين.</w:t>
            </w:r>
          </w:p>
        </w:tc>
      </w:tr>
      <w:tr w:rsidR="00986803" w:rsidRPr="00AE1FD7" w14:paraId="4D16533C" w14:textId="77777777" w:rsidTr="003D26DE">
        <w:trPr>
          <w:jc w:val="center"/>
        </w:trPr>
        <w:tc>
          <w:tcPr>
            <w:tcW w:w="1134" w:type="dxa"/>
            <w:shd w:val="clear" w:color="auto" w:fill="FFFFFF"/>
            <w:tcMar>
              <w:top w:w="70" w:type="dxa"/>
              <w:left w:w="70" w:type="dxa"/>
              <w:bottom w:w="70" w:type="dxa"/>
              <w:right w:w="70" w:type="dxa"/>
            </w:tcMar>
            <w:vAlign w:val="center"/>
          </w:tcPr>
          <w:p w14:paraId="1DD9E2B5"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7370" w:type="dxa"/>
            <w:shd w:val="clear" w:color="auto" w:fill="FFFFFF"/>
            <w:tcMar>
              <w:top w:w="70" w:type="dxa"/>
              <w:left w:w="70" w:type="dxa"/>
              <w:bottom w:w="70" w:type="dxa"/>
              <w:right w:w="70" w:type="dxa"/>
            </w:tcMar>
            <w:vAlign w:val="center"/>
          </w:tcPr>
          <w:p w14:paraId="4ADAF5D9"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أثر الشفافية والإفصاح في كفاءة الإنفاق العقاري.</w:t>
            </w:r>
          </w:p>
        </w:tc>
      </w:tr>
      <w:tr w:rsidR="00986803" w:rsidRPr="00AE1FD7" w14:paraId="19A37861" w14:textId="77777777" w:rsidTr="003D26DE">
        <w:trPr>
          <w:jc w:val="center"/>
        </w:trPr>
        <w:tc>
          <w:tcPr>
            <w:tcW w:w="1134" w:type="dxa"/>
            <w:shd w:val="clear" w:color="auto" w:fill="F2F4F6"/>
            <w:tcMar>
              <w:top w:w="70" w:type="dxa"/>
              <w:left w:w="70" w:type="dxa"/>
              <w:bottom w:w="70" w:type="dxa"/>
              <w:right w:w="70" w:type="dxa"/>
            </w:tcMar>
            <w:vAlign w:val="center"/>
          </w:tcPr>
          <w:p w14:paraId="6C83F09F"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7370" w:type="dxa"/>
            <w:shd w:val="clear" w:color="auto" w:fill="F2F4F6"/>
            <w:tcMar>
              <w:top w:w="70" w:type="dxa"/>
              <w:left w:w="70" w:type="dxa"/>
              <w:bottom w:w="70" w:type="dxa"/>
              <w:right w:w="70" w:type="dxa"/>
            </w:tcMar>
            <w:vAlign w:val="center"/>
          </w:tcPr>
          <w:p w14:paraId="1CB2FD13"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أثر المساءلة والرقابة الداخلية في الحد من الهدر العقاري.</w:t>
            </w:r>
          </w:p>
        </w:tc>
      </w:tr>
      <w:tr w:rsidR="00986803" w:rsidRPr="00AE1FD7" w14:paraId="58F1D69B" w14:textId="77777777" w:rsidTr="003D26DE">
        <w:trPr>
          <w:jc w:val="center"/>
        </w:trPr>
        <w:tc>
          <w:tcPr>
            <w:tcW w:w="1134" w:type="dxa"/>
            <w:shd w:val="clear" w:color="auto" w:fill="FFFFFF"/>
            <w:tcMar>
              <w:top w:w="70" w:type="dxa"/>
              <w:left w:w="70" w:type="dxa"/>
              <w:bottom w:w="70" w:type="dxa"/>
              <w:right w:w="70" w:type="dxa"/>
            </w:tcMar>
            <w:vAlign w:val="center"/>
          </w:tcPr>
          <w:p w14:paraId="2F4DD6BD"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7370" w:type="dxa"/>
            <w:shd w:val="clear" w:color="auto" w:fill="FFFFFF"/>
            <w:tcMar>
              <w:top w:w="70" w:type="dxa"/>
              <w:left w:w="70" w:type="dxa"/>
              <w:bottom w:w="70" w:type="dxa"/>
              <w:right w:w="70" w:type="dxa"/>
            </w:tcMar>
            <w:vAlign w:val="center"/>
          </w:tcPr>
          <w:p w14:paraId="5833DEA9"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اختبار أثر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في جودة القرار العقاري.</w:t>
            </w:r>
          </w:p>
        </w:tc>
      </w:tr>
      <w:tr w:rsidR="00986803" w:rsidRPr="00AE1FD7" w14:paraId="7ECB54E5" w14:textId="77777777" w:rsidTr="003D26DE">
        <w:trPr>
          <w:jc w:val="center"/>
        </w:trPr>
        <w:tc>
          <w:tcPr>
            <w:tcW w:w="1134" w:type="dxa"/>
            <w:shd w:val="clear" w:color="auto" w:fill="F2F4F6"/>
            <w:tcMar>
              <w:top w:w="70" w:type="dxa"/>
              <w:left w:w="70" w:type="dxa"/>
              <w:bottom w:w="70" w:type="dxa"/>
              <w:right w:w="70" w:type="dxa"/>
            </w:tcMar>
            <w:vAlign w:val="center"/>
          </w:tcPr>
          <w:p w14:paraId="50C2D0A6"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w:t>
            </w:r>
          </w:p>
        </w:tc>
        <w:tc>
          <w:tcPr>
            <w:tcW w:w="7370" w:type="dxa"/>
            <w:shd w:val="clear" w:color="auto" w:fill="F2F4F6"/>
            <w:tcMar>
              <w:top w:w="70" w:type="dxa"/>
              <w:left w:w="70" w:type="dxa"/>
              <w:bottom w:w="70" w:type="dxa"/>
              <w:right w:w="70" w:type="dxa"/>
            </w:tcMar>
            <w:vAlign w:val="center"/>
          </w:tcPr>
          <w:p w14:paraId="5CCB5010"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أثر التخطيط الاستراتيجي وإدارة دورة حياة الأصل في ترشيد تكاليف التملك والتشغيل والصيانة.</w:t>
            </w:r>
          </w:p>
        </w:tc>
      </w:tr>
      <w:tr w:rsidR="00986803" w:rsidRPr="00AE1FD7" w14:paraId="07E3300F" w14:textId="77777777" w:rsidTr="003D26DE">
        <w:trPr>
          <w:jc w:val="center"/>
        </w:trPr>
        <w:tc>
          <w:tcPr>
            <w:tcW w:w="1134" w:type="dxa"/>
            <w:shd w:val="clear" w:color="auto" w:fill="FFFFFF"/>
            <w:tcMar>
              <w:top w:w="70" w:type="dxa"/>
              <w:left w:w="70" w:type="dxa"/>
              <w:bottom w:w="70" w:type="dxa"/>
              <w:right w:w="70" w:type="dxa"/>
            </w:tcMar>
            <w:vAlign w:val="center"/>
          </w:tcPr>
          <w:p w14:paraId="5984C249"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w:t>
            </w:r>
          </w:p>
        </w:tc>
        <w:tc>
          <w:tcPr>
            <w:tcW w:w="7370" w:type="dxa"/>
            <w:shd w:val="clear" w:color="auto" w:fill="FFFFFF"/>
            <w:tcMar>
              <w:top w:w="70" w:type="dxa"/>
              <w:left w:w="70" w:type="dxa"/>
              <w:bottom w:w="70" w:type="dxa"/>
              <w:right w:w="70" w:type="dxa"/>
            </w:tcMar>
            <w:vAlign w:val="center"/>
          </w:tcPr>
          <w:p w14:paraId="551E5657"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أثر إدارة المخاطر والامتثال في استدامة الأصول والخدمات.</w:t>
            </w:r>
          </w:p>
        </w:tc>
      </w:tr>
      <w:tr w:rsidR="00986803" w:rsidRPr="00AE1FD7" w14:paraId="5BD50A5D" w14:textId="77777777" w:rsidTr="003D26DE">
        <w:trPr>
          <w:jc w:val="center"/>
        </w:trPr>
        <w:tc>
          <w:tcPr>
            <w:tcW w:w="1134" w:type="dxa"/>
            <w:shd w:val="clear" w:color="auto" w:fill="F2F4F6"/>
            <w:tcMar>
              <w:top w:w="70" w:type="dxa"/>
              <w:left w:w="70" w:type="dxa"/>
              <w:bottom w:w="70" w:type="dxa"/>
              <w:right w:w="70" w:type="dxa"/>
            </w:tcMar>
            <w:vAlign w:val="center"/>
          </w:tcPr>
          <w:p w14:paraId="31B76AD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8</w:t>
            </w:r>
          </w:p>
        </w:tc>
        <w:tc>
          <w:tcPr>
            <w:tcW w:w="7370" w:type="dxa"/>
            <w:shd w:val="clear" w:color="auto" w:fill="F2F4F6"/>
            <w:tcMar>
              <w:top w:w="70" w:type="dxa"/>
              <w:left w:w="70" w:type="dxa"/>
              <w:bottom w:w="70" w:type="dxa"/>
              <w:right w:w="70" w:type="dxa"/>
            </w:tcMar>
            <w:vAlign w:val="center"/>
          </w:tcPr>
          <w:p w14:paraId="648BA20F" w14:textId="77777777" w:rsidR="00986803" w:rsidRPr="00AE1FD7" w:rsidRDefault="00DB29B7" w:rsidP="003D26DE">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بناء إطار تطبيقي وخارطة طريق ومؤشرات أداء تساعد الجهات الحكومية على رفع النضج والكفاءة.</w:t>
            </w:r>
          </w:p>
        </w:tc>
      </w:tr>
    </w:tbl>
    <w:p w14:paraId="16FB87BA"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4A929A4D" w14:textId="77777777" w:rsidR="003D26DE" w:rsidRPr="00AE1FD7" w:rsidRDefault="003D26DE" w:rsidP="003D26DE">
      <w:pPr>
        <w:bidi/>
        <w:spacing w:after="0" w:line="240" w:lineRule="auto"/>
        <w:ind w:firstLine="0"/>
        <w:rPr>
          <w:rFonts w:ascii="Sakkal Majalla" w:hAnsi="Sakkal Majalla" w:cs="Sakkal Majalla"/>
          <w:sz w:val="36"/>
          <w:szCs w:val="36"/>
        </w:rPr>
      </w:pPr>
    </w:p>
    <w:p w14:paraId="75364A7F"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 w:name="_Toc235205570"/>
      <w:r w:rsidRPr="00AE1FD7">
        <w:rPr>
          <w:rFonts w:ascii="Sakkal Majalla" w:eastAsia="Noto Kufi Arabic" w:hAnsi="Sakkal Majalla" w:cs="Sakkal Majalla"/>
          <w:sz w:val="36"/>
          <w:szCs w:val="36"/>
          <w:rtl/>
          <w:lang w:val="ar-SA"/>
        </w:rPr>
        <w:t>1.6 أهمية الدراسة</w:t>
      </w:r>
      <w:r w:rsidR="003D26DE">
        <w:rPr>
          <w:rFonts w:ascii="Sakkal Majalla" w:eastAsia="Noto Kufi Arabic" w:hAnsi="Sakkal Majalla" w:cs="Sakkal Majalla" w:hint="cs"/>
          <w:sz w:val="36"/>
          <w:szCs w:val="36"/>
          <w:rtl/>
          <w:lang w:val="ar-SA"/>
        </w:rPr>
        <w:t>:</w:t>
      </w:r>
      <w:bookmarkEnd w:id="8"/>
    </w:p>
    <w:p w14:paraId="3ED4D1C3"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9" w:name="_Toc235205571"/>
      <w:r w:rsidRPr="00AE1FD7">
        <w:rPr>
          <w:rFonts w:ascii="Sakkal Majalla" w:eastAsia="Noto Kufi Arabic" w:hAnsi="Sakkal Majalla" w:cs="Sakkal Majalla"/>
          <w:sz w:val="36"/>
          <w:szCs w:val="36"/>
          <w:rtl/>
          <w:lang w:val="ar-SA"/>
        </w:rPr>
        <w:t>1.6.1 الأهمية العلمية</w:t>
      </w:r>
      <w:r w:rsidR="003D26DE">
        <w:rPr>
          <w:rFonts w:ascii="Sakkal Majalla" w:eastAsia="Noto Kufi Arabic" w:hAnsi="Sakkal Majalla" w:cs="Sakkal Majalla" w:hint="cs"/>
          <w:sz w:val="36"/>
          <w:szCs w:val="36"/>
          <w:rtl/>
          <w:lang w:val="ar-SA"/>
        </w:rPr>
        <w:t>:</w:t>
      </w:r>
      <w:bookmarkEnd w:id="9"/>
    </w:p>
    <w:p w14:paraId="058007C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تنبع الأهمية العلمية من دمج ثلاثة حقول غالباً ما تُدرس بصورة منفصلة: الحوكمة العامة، وإدارة الممتلكات والأصول العقارية الحكومية، وكفاءة الإنفاق العام. ويسمح هذا الدمج ببناء تفسير أكثر اكتمالاً للعلاقة بين الآليات التنظيمية والمعلوماتية والرقابية من جهة، والنتائج المالية والتشغيلية من جهة أخرى. كما تضيف الدراسة نموذجاً ميدانياً عربياً في موضوع ما زال يعتمد بدرجة كبيرة على الأدلة الإجرائية ودراسات الحالة الدولية.</w:t>
      </w:r>
    </w:p>
    <w:p w14:paraId="1BB6F9E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وتستفيد الدراسة من تكامل نظرية الوكالة مع مدخل الإدارة العامة الجديدة والقيمة العامة ومدخل إدارة دورة حياة الأصل. فنظرية الوكالة تفسر الحاجة إلى الإفصاح والرقابة والمساءلة، ومدخل الإدارة العامة الجديدة يفسر الانتقال نحو القياس والنتائج، بينما يوسع مفهوم القيمة العامة نطاق الحكم على الكفاءة ليشمل جودة الخدمة والاستدامة والشرعية. أما إدارة دورة الحياة فتوفر الأساس الفني لتحليل التكلفة والأداء والمخاطر منذ التخطيط وحتى التخارج.</w:t>
      </w:r>
    </w:p>
    <w:p w14:paraId="559E6EA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وتتمثل إضافة أخرى في تطوير قياس متعدد الأبعاد للحوكمة العقارية لا يختزلها في الشفافية وحدها، بل يشمل تكامل البيانات، والتخطيط طويل الأجل، والمخاطر والامتثال. كما تقيس الدراسة الكفاءة العقارية بمؤشرات تشغيلية ومالية متقاربة من واقع الممارسة، بما يتيح اختبار العلاقات بصورة كمية وتحديد الأوزان النسبية للأبعاد.</w:t>
      </w:r>
    </w:p>
    <w:p w14:paraId="3A08FFE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0" w:name="_Toc235205572"/>
      <w:r w:rsidRPr="00AE1FD7">
        <w:rPr>
          <w:rFonts w:ascii="Sakkal Majalla" w:eastAsia="Noto Kufi Arabic" w:hAnsi="Sakkal Majalla" w:cs="Sakkal Majalla"/>
          <w:sz w:val="36"/>
          <w:szCs w:val="36"/>
          <w:rtl/>
          <w:lang w:val="ar-SA"/>
        </w:rPr>
        <w:t>1.6.2 الأهمية التطبيقية</w:t>
      </w:r>
      <w:r w:rsidR="003D26DE">
        <w:rPr>
          <w:rFonts w:ascii="Sakkal Majalla" w:eastAsia="Noto Kufi Arabic" w:hAnsi="Sakkal Majalla" w:cs="Sakkal Majalla" w:hint="cs"/>
          <w:sz w:val="36"/>
          <w:szCs w:val="36"/>
          <w:rtl/>
          <w:lang w:val="ar-SA"/>
        </w:rPr>
        <w:t>:</w:t>
      </w:r>
      <w:bookmarkEnd w:id="10"/>
    </w:p>
    <w:p w14:paraId="064DE99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توفر الدراسة أداة تشخيص يمكن للجهات الحكومية استخدامها لتحديد مستوى نضج ممارساتها، ورصد الفجوات في السياسات والبيانات والصلاحيات والتخطيط والمخاطر. وتفيد النتائج القيادات وإدارات الأصول والمرافق والمالية والمراجعة الداخلية والعقود في تحديد المجالات التي تستحق أولوية الاستثمار، بدلاً من توزيع جهود التحسين بصورة متساوية لا تراعي حجم الأثر.</w:t>
      </w:r>
    </w:p>
    <w:p w14:paraId="7607AAF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كما تدعم الدراسة تطوير مؤشرات أداء عقارية قابلة للمتابعة، مثل اكتمال بيانات الأصول، ومعدل الاستفادة، وكلفة الصيانة لكل متر مربع، ونسبة الصيانة الوقائية، ونسبة الأصول التي خضعت لتقييم دوري، ونسبة الاعتماد على الاستئجار، وزمن الاستجابة للأعطال الحرجة. وتساعد هذه المؤشرات على الانتقال من التقارير الوصفية إلى الرقابة القائمة على النتائج والمقارنة المرجعية.</w:t>
      </w:r>
    </w:p>
    <w:p w14:paraId="1F3770EC"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1" w:name="_Toc235205573"/>
      <w:r w:rsidRPr="00AE1FD7">
        <w:rPr>
          <w:rFonts w:ascii="Sakkal Majalla" w:eastAsia="Noto Kufi Arabic" w:hAnsi="Sakkal Majalla" w:cs="Sakkal Majalla"/>
          <w:sz w:val="36"/>
          <w:szCs w:val="36"/>
          <w:rtl/>
          <w:lang w:val="ar-SA"/>
        </w:rPr>
        <w:t xml:space="preserve">1.6.3 الأهمية </w:t>
      </w:r>
      <w:proofErr w:type="spellStart"/>
      <w:r w:rsidRPr="00AE1FD7">
        <w:rPr>
          <w:rFonts w:ascii="Sakkal Majalla" w:eastAsia="Noto Kufi Arabic" w:hAnsi="Sakkal Majalla" w:cs="Sakkal Majalla"/>
          <w:sz w:val="36"/>
          <w:szCs w:val="36"/>
          <w:rtl/>
          <w:lang w:val="ar-SA"/>
        </w:rPr>
        <w:t>السياساتيّة</w:t>
      </w:r>
      <w:proofErr w:type="spellEnd"/>
      <w:r w:rsidRPr="00AE1FD7">
        <w:rPr>
          <w:rFonts w:ascii="Sakkal Majalla" w:eastAsia="Noto Kufi Arabic" w:hAnsi="Sakkal Majalla" w:cs="Sakkal Majalla"/>
          <w:sz w:val="36"/>
          <w:szCs w:val="36"/>
          <w:rtl/>
          <w:lang w:val="ar-SA"/>
        </w:rPr>
        <w:t xml:space="preserve"> والتنظيمية</w:t>
      </w:r>
      <w:r w:rsidR="003D26DE">
        <w:rPr>
          <w:rFonts w:ascii="Sakkal Majalla" w:eastAsia="Noto Kufi Arabic" w:hAnsi="Sakkal Majalla" w:cs="Sakkal Majalla" w:hint="cs"/>
          <w:sz w:val="36"/>
          <w:szCs w:val="36"/>
          <w:rtl/>
          <w:lang w:val="ar-SA"/>
        </w:rPr>
        <w:t>:</w:t>
      </w:r>
      <w:bookmarkEnd w:id="11"/>
    </w:p>
    <w:p w14:paraId="2CF3CC7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تتصل نتائج الدراسة مباشرة بمسارات التحول الوطني في كفاءة الإنفاق والاستدامة المالية وإدارة عقارات الدولة والتحول المحاسبي والرقمي. ويمكن للإطار المقترح أن يسهم في مواءمة التطبيق داخل الجهات مع الدليل الوطني لإدارة الأصول والمرافق، وضوابط تخصيص عقارات الدولة، ومتطلبات حصر الأصول وتقييمها، من خلال ترجمة المبادئ العامة إلى أدوار ومؤشرات وخارطة تنفيذ.</w:t>
      </w:r>
    </w:p>
    <w:p w14:paraId="1FF732E4"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كما تتيح الدراسة لصناع السياسات فهماً أفضل للعوامل التي تحدد انتقال الأدلة الوطنية من مستوى الوثيقة إلى مستوى الممارسة. فإذا تبين مثلاً أن تكامل البيانات هو العامل الأقوى، فإن الاستثمار في منصة موحدة وتحديد حوكمة البيانات يصبح أولوية. وإذا ظهر أن التخطيط لدورة الحياة هو الأكثر تأثيراً، فإن التركيز ينتقل إلى خطط الإحلال والصيانة الوقائية وتكلفة الملكية الكلية.</w:t>
      </w:r>
    </w:p>
    <w:p w14:paraId="696829DF" w14:textId="77777777" w:rsidR="003D26DE" w:rsidRPr="00AE1FD7" w:rsidRDefault="003D26DE" w:rsidP="003D26DE">
      <w:pPr>
        <w:bidi/>
        <w:spacing w:after="0" w:line="240" w:lineRule="auto"/>
        <w:rPr>
          <w:rFonts w:ascii="Sakkal Majalla" w:hAnsi="Sakkal Majalla" w:cs="Sakkal Majalla"/>
          <w:sz w:val="36"/>
          <w:szCs w:val="36"/>
        </w:rPr>
      </w:pPr>
    </w:p>
    <w:p w14:paraId="5C1B301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 w:name="_Toc235205574"/>
      <w:r w:rsidRPr="00AE1FD7">
        <w:rPr>
          <w:rFonts w:ascii="Sakkal Majalla" w:eastAsia="Noto Kufi Arabic" w:hAnsi="Sakkal Majalla" w:cs="Sakkal Majalla"/>
          <w:sz w:val="36"/>
          <w:szCs w:val="36"/>
          <w:rtl/>
          <w:lang w:val="ar-SA"/>
        </w:rPr>
        <w:t>1.7 فرضيات الدراسة</w:t>
      </w:r>
      <w:r w:rsidR="003D26DE">
        <w:rPr>
          <w:rFonts w:ascii="Sakkal Majalla" w:eastAsia="Noto Kufi Arabic" w:hAnsi="Sakkal Majalla" w:cs="Sakkal Majalla" w:hint="cs"/>
          <w:sz w:val="36"/>
          <w:szCs w:val="36"/>
          <w:rtl/>
          <w:lang w:val="ar-SA"/>
        </w:rPr>
        <w:t>:</w:t>
      </w:r>
      <w:bookmarkEnd w:id="12"/>
    </w:p>
    <w:p w14:paraId="1A0FF723" w14:textId="77777777" w:rsidR="00986803" w:rsidRPr="00AE1FD7" w:rsidRDefault="00DB29B7" w:rsidP="003D26DE">
      <w:pPr>
        <w:keepNext/>
        <w:bidi/>
        <w:spacing w:after="0" w:line="240" w:lineRule="auto"/>
        <w:ind w:firstLine="0"/>
        <w:jc w:val="center"/>
        <w:rPr>
          <w:rFonts w:ascii="Sakkal Majalla" w:hAnsi="Sakkal Majalla" w:cs="Sakkal Majalla"/>
          <w:sz w:val="36"/>
          <w:szCs w:val="36"/>
        </w:rPr>
      </w:pPr>
      <w:bookmarkStart w:id="13" w:name="table_hypotheses"/>
      <w:r w:rsidRPr="00AE1FD7">
        <w:rPr>
          <w:rFonts w:ascii="Sakkal Majalla" w:eastAsia="Noto Kufi Arabic" w:hAnsi="Sakkal Majalla" w:cs="Sakkal Majalla"/>
          <w:b/>
          <w:color w:val="17365D"/>
          <w:sz w:val="36"/>
          <w:szCs w:val="36"/>
          <w:rtl/>
          <w:lang w:val="ar-SA"/>
        </w:rPr>
        <w:t>جدول (3): فرضيات الدراسة</w:t>
      </w:r>
      <w:bookmarkEnd w:id="13"/>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954"/>
        <w:gridCol w:w="1417"/>
      </w:tblGrid>
      <w:tr w:rsidR="00986803" w:rsidRPr="00AE1FD7" w14:paraId="5A945CEE" w14:textId="77777777" w:rsidTr="003D26DE">
        <w:trPr>
          <w:cantSplit/>
          <w:tblHeader/>
          <w:jc w:val="center"/>
        </w:trPr>
        <w:tc>
          <w:tcPr>
            <w:tcW w:w="1134" w:type="dxa"/>
            <w:shd w:val="clear" w:color="auto" w:fill="17365D"/>
            <w:tcMar>
              <w:top w:w="90" w:type="dxa"/>
              <w:left w:w="80" w:type="dxa"/>
              <w:bottom w:w="90" w:type="dxa"/>
              <w:right w:w="80" w:type="dxa"/>
            </w:tcMar>
            <w:vAlign w:val="center"/>
          </w:tcPr>
          <w:p w14:paraId="7188AFF6"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الرمز</w:t>
            </w:r>
          </w:p>
        </w:tc>
        <w:tc>
          <w:tcPr>
            <w:tcW w:w="5953" w:type="dxa"/>
            <w:shd w:val="clear" w:color="auto" w:fill="17365D"/>
            <w:tcMar>
              <w:top w:w="90" w:type="dxa"/>
              <w:left w:w="80" w:type="dxa"/>
              <w:bottom w:w="90" w:type="dxa"/>
              <w:right w:w="80" w:type="dxa"/>
            </w:tcMar>
            <w:vAlign w:val="center"/>
          </w:tcPr>
          <w:p w14:paraId="23D35DB1"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مضمون الفرضية</w:t>
            </w:r>
          </w:p>
        </w:tc>
        <w:tc>
          <w:tcPr>
            <w:tcW w:w="1417" w:type="dxa"/>
            <w:shd w:val="clear" w:color="auto" w:fill="17365D"/>
            <w:tcMar>
              <w:top w:w="90" w:type="dxa"/>
              <w:left w:w="80" w:type="dxa"/>
              <w:bottom w:w="90" w:type="dxa"/>
              <w:right w:w="80" w:type="dxa"/>
            </w:tcMar>
            <w:vAlign w:val="center"/>
          </w:tcPr>
          <w:p w14:paraId="7EBE035F" w14:textId="77777777" w:rsidR="00986803" w:rsidRPr="003D26DE" w:rsidRDefault="00DB29B7" w:rsidP="003D26DE">
            <w:pPr>
              <w:bidi/>
              <w:spacing w:after="0" w:line="240" w:lineRule="auto"/>
              <w:ind w:firstLine="0"/>
              <w:jc w:val="center"/>
              <w:rPr>
                <w:rFonts w:ascii="Sakkal Majalla" w:hAnsi="Sakkal Majalla" w:cs="Sakkal Majalla"/>
                <w:bCs/>
                <w:sz w:val="36"/>
                <w:szCs w:val="36"/>
              </w:rPr>
            </w:pPr>
            <w:r w:rsidRPr="003D26DE">
              <w:rPr>
                <w:rFonts w:ascii="Sakkal Majalla" w:eastAsia="Noto Kufi Arabic" w:hAnsi="Sakkal Majalla" w:cs="Sakkal Majalla"/>
                <w:bCs/>
                <w:color w:val="FFFFFF"/>
                <w:sz w:val="36"/>
                <w:szCs w:val="36"/>
                <w:rtl/>
                <w:lang w:val="ar-SA"/>
              </w:rPr>
              <w:t>نوع الاختبار</w:t>
            </w:r>
          </w:p>
        </w:tc>
      </w:tr>
      <w:tr w:rsidR="00986803" w:rsidRPr="00AE1FD7" w14:paraId="715B62F7" w14:textId="77777777" w:rsidTr="003D26DE">
        <w:trPr>
          <w:jc w:val="center"/>
        </w:trPr>
        <w:tc>
          <w:tcPr>
            <w:tcW w:w="1134" w:type="dxa"/>
            <w:shd w:val="clear" w:color="auto" w:fill="FFFFFF"/>
            <w:tcMar>
              <w:top w:w="70" w:type="dxa"/>
              <w:left w:w="70" w:type="dxa"/>
              <w:bottom w:w="70" w:type="dxa"/>
              <w:right w:w="70" w:type="dxa"/>
            </w:tcMar>
            <w:vAlign w:val="center"/>
          </w:tcPr>
          <w:p w14:paraId="08BDF566"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w:t>
            </w:r>
          </w:p>
        </w:tc>
        <w:tc>
          <w:tcPr>
            <w:tcW w:w="5953" w:type="dxa"/>
            <w:shd w:val="clear" w:color="auto" w:fill="FFFFFF"/>
            <w:tcMar>
              <w:top w:w="70" w:type="dxa"/>
              <w:left w:w="70" w:type="dxa"/>
              <w:bottom w:w="70" w:type="dxa"/>
              <w:right w:w="70" w:type="dxa"/>
            </w:tcMar>
            <w:vAlign w:val="center"/>
          </w:tcPr>
          <w:p w14:paraId="7A7C02D9"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يوجد أثر ذو دلالة إحصائية لحوكمة إدارة الممتلكات العامة في كفاءة الإنفاق الحكومي العقاري.</w:t>
            </w:r>
          </w:p>
        </w:tc>
        <w:tc>
          <w:tcPr>
            <w:tcW w:w="1417" w:type="dxa"/>
            <w:shd w:val="clear" w:color="auto" w:fill="FFFFFF"/>
            <w:tcMar>
              <w:top w:w="70" w:type="dxa"/>
              <w:left w:w="70" w:type="dxa"/>
              <w:bottom w:w="70" w:type="dxa"/>
              <w:right w:w="70" w:type="dxa"/>
            </w:tcMar>
            <w:vAlign w:val="center"/>
          </w:tcPr>
          <w:p w14:paraId="028632E6"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بسيط</w:t>
            </w:r>
          </w:p>
        </w:tc>
      </w:tr>
      <w:tr w:rsidR="00986803" w:rsidRPr="00AE1FD7" w14:paraId="4DAED356" w14:textId="77777777" w:rsidTr="003D26DE">
        <w:trPr>
          <w:jc w:val="center"/>
        </w:trPr>
        <w:tc>
          <w:tcPr>
            <w:tcW w:w="1134" w:type="dxa"/>
            <w:shd w:val="clear" w:color="auto" w:fill="F2F4F6"/>
            <w:tcMar>
              <w:top w:w="70" w:type="dxa"/>
              <w:left w:w="70" w:type="dxa"/>
              <w:bottom w:w="70" w:type="dxa"/>
              <w:right w:w="70" w:type="dxa"/>
            </w:tcMar>
            <w:vAlign w:val="center"/>
          </w:tcPr>
          <w:p w14:paraId="59F08D86"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H1-1</w:t>
            </w:r>
          </w:p>
        </w:tc>
        <w:tc>
          <w:tcPr>
            <w:tcW w:w="5953" w:type="dxa"/>
            <w:shd w:val="clear" w:color="auto" w:fill="F2F4F6"/>
            <w:tcMar>
              <w:top w:w="70" w:type="dxa"/>
              <w:left w:w="70" w:type="dxa"/>
              <w:bottom w:w="70" w:type="dxa"/>
              <w:right w:w="70" w:type="dxa"/>
            </w:tcMar>
            <w:vAlign w:val="center"/>
          </w:tcPr>
          <w:p w14:paraId="7C723EE5"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يوجد أثر ذو دلالة إحصائية للشفافية والإفصاح في كفاءة الإنفاق الحكومي العقاري.</w:t>
            </w:r>
          </w:p>
        </w:tc>
        <w:tc>
          <w:tcPr>
            <w:tcW w:w="1417" w:type="dxa"/>
            <w:shd w:val="clear" w:color="auto" w:fill="F2F4F6"/>
            <w:tcMar>
              <w:top w:w="70" w:type="dxa"/>
              <w:left w:w="70" w:type="dxa"/>
              <w:bottom w:w="70" w:type="dxa"/>
              <w:right w:w="70" w:type="dxa"/>
            </w:tcMar>
            <w:vAlign w:val="center"/>
          </w:tcPr>
          <w:p w14:paraId="45E3C2A3"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25B9D32A" w14:textId="77777777" w:rsidTr="003D26DE">
        <w:trPr>
          <w:jc w:val="center"/>
        </w:trPr>
        <w:tc>
          <w:tcPr>
            <w:tcW w:w="1134" w:type="dxa"/>
            <w:shd w:val="clear" w:color="auto" w:fill="FFFFFF"/>
            <w:tcMar>
              <w:top w:w="70" w:type="dxa"/>
              <w:left w:w="70" w:type="dxa"/>
              <w:bottom w:w="70" w:type="dxa"/>
              <w:right w:w="70" w:type="dxa"/>
            </w:tcMar>
            <w:vAlign w:val="center"/>
          </w:tcPr>
          <w:p w14:paraId="46EE6834"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H1-2</w:t>
            </w:r>
          </w:p>
        </w:tc>
        <w:tc>
          <w:tcPr>
            <w:tcW w:w="5953" w:type="dxa"/>
            <w:shd w:val="clear" w:color="auto" w:fill="FFFFFF"/>
            <w:tcMar>
              <w:top w:w="70" w:type="dxa"/>
              <w:left w:w="70" w:type="dxa"/>
              <w:bottom w:w="70" w:type="dxa"/>
              <w:right w:w="70" w:type="dxa"/>
            </w:tcMar>
            <w:vAlign w:val="center"/>
          </w:tcPr>
          <w:p w14:paraId="43206430"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يوجد أثر ذو دلالة إحصائية للمساءلة والرقابة الداخلية في كفاءة الإنفاق الحكومي العقاري.</w:t>
            </w:r>
          </w:p>
        </w:tc>
        <w:tc>
          <w:tcPr>
            <w:tcW w:w="1417" w:type="dxa"/>
            <w:shd w:val="clear" w:color="auto" w:fill="FFFFFF"/>
            <w:tcMar>
              <w:top w:w="70" w:type="dxa"/>
              <w:left w:w="70" w:type="dxa"/>
              <w:bottom w:w="70" w:type="dxa"/>
              <w:right w:w="70" w:type="dxa"/>
            </w:tcMar>
            <w:vAlign w:val="center"/>
          </w:tcPr>
          <w:p w14:paraId="4CB06259"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443F04E7" w14:textId="77777777" w:rsidTr="003D26DE">
        <w:trPr>
          <w:jc w:val="center"/>
        </w:trPr>
        <w:tc>
          <w:tcPr>
            <w:tcW w:w="1134" w:type="dxa"/>
            <w:shd w:val="clear" w:color="auto" w:fill="F2F4F6"/>
            <w:tcMar>
              <w:top w:w="70" w:type="dxa"/>
              <w:left w:w="70" w:type="dxa"/>
              <w:bottom w:w="70" w:type="dxa"/>
              <w:right w:w="70" w:type="dxa"/>
            </w:tcMar>
            <w:vAlign w:val="center"/>
          </w:tcPr>
          <w:p w14:paraId="64E6BC23"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H1-3</w:t>
            </w:r>
          </w:p>
        </w:tc>
        <w:tc>
          <w:tcPr>
            <w:tcW w:w="5953" w:type="dxa"/>
            <w:shd w:val="clear" w:color="auto" w:fill="F2F4F6"/>
            <w:tcMar>
              <w:top w:w="70" w:type="dxa"/>
              <w:left w:w="70" w:type="dxa"/>
              <w:bottom w:w="70" w:type="dxa"/>
              <w:right w:w="70" w:type="dxa"/>
            </w:tcMar>
            <w:vAlign w:val="center"/>
          </w:tcPr>
          <w:p w14:paraId="02CC684E"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يوجد أثر ذو دلالة إحصائية لتكامل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في كفاءة الإنفاق الحكومي العقاري.</w:t>
            </w:r>
          </w:p>
        </w:tc>
        <w:tc>
          <w:tcPr>
            <w:tcW w:w="1417" w:type="dxa"/>
            <w:shd w:val="clear" w:color="auto" w:fill="F2F4F6"/>
            <w:tcMar>
              <w:top w:w="70" w:type="dxa"/>
              <w:left w:w="70" w:type="dxa"/>
              <w:bottom w:w="70" w:type="dxa"/>
              <w:right w:w="70" w:type="dxa"/>
            </w:tcMar>
            <w:vAlign w:val="center"/>
          </w:tcPr>
          <w:p w14:paraId="76CA26CA"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67D3F015" w14:textId="77777777" w:rsidTr="003D26DE">
        <w:trPr>
          <w:jc w:val="center"/>
        </w:trPr>
        <w:tc>
          <w:tcPr>
            <w:tcW w:w="1134" w:type="dxa"/>
            <w:shd w:val="clear" w:color="auto" w:fill="FFFFFF"/>
            <w:tcMar>
              <w:top w:w="70" w:type="dxa"/>
              <w:left w:w="70" w:type="dxa"/>
              <w:bottom w:w="70" w:type="dxa"/>
              <w:right w:w="70" w:type="dxa"/>
            </w:tcMar>
            <w:vAlign w:val="center"/>
          </w:tcPr>
          <w:p w14:paraId="40ABE384"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H1-4</w:t>
            </w:r>
          </w:p>
        </w:tc>
        <w:tc>
          <w:tcPr>
            <w:tcW w:w="5953" w:type="dxa"/>
            <w:shd w:val="clear" w:color="auto" w:fill="FFFFFF"/>
            <w:tcMar>
              <w:top w:w="70" w:type="dxa"/>
              <w:left w:w="70" w:type="dxa"/>
              <w:bottom w:w="70" w:type="dxa"/>
              <w:right w:w="70" w:type="dxa"/>
            </w:tcMar>
            <w:vAlign w:val="center"/>
          </w:tcPr>
          <w:p w14:paraId="1D441160"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يوجد أثر ذو دلالة إحصائية للتخطيط الاستراتيجي وإدارة دورة حياة الأصل في كفاءة الإنفاق الحكومي العقاري.</w:t>
            </w:r>
          </w:p>
        </w:tc>
        <w:tc>
          <w:tcPr>
            <w:tcW w:w="1417" w:type="dxa"/>
            <w:shd w:val="clear" w:color="auto" w:fill="FFFFFF"/>
            <w:tcMar>
              <w:top w:w="70" w:type="dxa"/>
              <w:left w:w="70" w:type="dxa"/>
              <w:bottom w:w="70" w:type="dxa"/>
              <w:right w:w="70" w:type="dxa"/>
            </w:tcMar>
            <w:vAlign w:val="center"/>
          </w:tcPr>
          <w:p w14:paraId="575B6238"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680F14C7" w14:textId="77777777" w:rsidTr="003D26DE">
        <w:trPr>
          <w:jc w:val="center"/>
        </w:trPr>
        <w:tc>
          <w:tcPr>
            <w:tcW w:w="1134" w:type="dxa"/>
            <w:shd w:val="clear" w:color="auto" w:fill="F2F4F6"/>
            <w:tcMar>
              <w:top w:w="70" w:type="dxa"/>
              <w:left w:w="70" w:type="dxa"/>
              <w:bottom w:w="70" w:type="dxa"/>
              <w:right w:w="70" w:type="dxa"/>
            </w:tcMar>
            <w:vAlign w:val="center"/>
          </w:tcPr>
          <w:p w14:paraId="48AE4B7E"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H1-5</w:t>
            </w:r>
          </w:p>
        </w:tc>
        <w:tc>
          <w:tcPr>
            <w:tcW w:w="5953" w:type="dxa"/>
            <w:shd w:val="clear" w:color="auto" w:fill="F2F4F6"/>
            <w:tcMar>
              <w:top w:w="70" w:type="dxa"/>
              <w:left w:w="70" w:type="dxa"/>
              <w:bottom w:w="70" w:type="dxa"/>
              <w:right w:w="70" w:type="dxa"/>
            </w:tcMar>
            <w:vAlign w:val="center"/>
          </w:tcPr>
          <w:p w14:paraId="6192EFE5"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يوجد أثر ذو دلالة إحصائية لإدارة المخاطر والامتثال في كفاءة الإنفاق الحكومي العقاري.</w:t>
            </w:r>
          </w:p>
        </w:tc>
        <w:tc>
          <w:tcPr>
            <w:tcW w:w="1417" w:type="dxa"/>
            <w:shd w:val="clear" w:color="auto" w:fill="F2F4F6"/>
            <w:tcMar>
              <w:top w:w="70" w:type="dxa"/>
              <w:left w:w="70" w:type="dxa"/>
              <w:bottom w:w="70" w:type="dxa"/>
              <w:right w:w="70" w:type="dxa"/>
            </w:tcMar>
            <w:vAlign w:val="center"/>
          </w:tcPr>
          <w:p w14:paraId="5D0A1D33"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2DC6BB7E" w14:textId="77777777" w:rsidTr="003D26DE">
        <w:trPr>
          <w:jc w:val="center"/>
        </w:trPr>
        <w:tc>
          <w:tcPr>
            <w:tcW w:w="1134" w:type="dxa"/>
            <w:shd w:val="clear" w:color="auto" w:fill="FFFFFF"/>
            <w:tcMar>
              <w:top w:w="70" w:type="dxa"/>
              <w:left w:w="70" w:type="dxa"/>
              <w:bottom w:w="70" w:type="dxa"/>
              <w:right w:w="70" w:type="dxa"/>
            </w:tcMar>
            <w:vAlign w:val="center"/>
          </w:tcPr>
          <w:p w14:paraId="259CFBAC"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H2</w:t>
            </w:r>
          </w:p>
        </w:tc>
        <w:tc>
          <w:tcPr>
            <w:tcW w:w="5953" w:type="dxa"/>
            <w:shd w:val="clear" w:color="auto" w:fill="FFFFFF"/>
            <w:tcMar>
              <w:top w:w="70" w:type="dxa"/>
              <w:left w:w="70" w:type="dxa"/>
              <w:bottom w:w="70" w:type="dxa"/>
              <w:right w:w="70" w:type="dxa"/>
            </w:tcMar>
            <w:vAlign w:val="center"/>
          </w:tcPr>
          <w:p w14:paraId="126FC61C"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توجد فروق ذات دلالة إحصائية في متغيرات الدراسة تعزى إلى الخصائص الوظيفية والديموغرافية.</w:t>
            </w:r>
          </w:p>
        </w:tc>
        <w:tc>
          <w:tcPr>
            <w:tcW w:w="1417" w:type="dxa"/>
            <w:shd w:val="clear" w:color="auto" w:fill="FFFFFF"/>
            <w:tcMar>
              <w:top w:w="70" w:type="dxa"/>
              <w:left w:w="70" w:type="dxa"/>
              <w:bottom w:w="70" w:type="dxa"/>
              <w:right w:w="70" w:type="dxa"/>
            </w:tcMar>
            <w:vAlign w:val="center"/>
          </w:tcPr>
          <w:p w14:paraId="650FE4BB" w14:textId="77777777" w:rsidR="00986803" w:rsidRPr="00AE1FD7" w:rsidRDefault="00DB29B7" w:rsidP="003D26D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 / ANOVA</w:t>
            </w:r>
          </w:p>
        </w:tc>
      </w:tr>
    </w:tbl>
    <w:p w14:paraId="3C139748"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569F7C1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4" w:name="_Toc235205575"/>
      <w:r w:rsidRPr="00AE1FD7">
        <w:rPr>
          <w:rFonts w:ascii="Sakkal Majalla" w:eastAsia="Noto Kufi Arabic" w:hAnsi="Sakkal Majalla" w:cs="Sakkal Majalla"/>
          <w:sz w:val="36"/>
          <w:szCs w:val="36"/>
          <w:rtl/>
          <w:lang w:val="ar-SA"/>
        </w:rPr>
        <w:lastRenderedPageBreak/>
        <w:t>1.8 النموذج المفاهيمي للدراسة</w:t>
      </w:r>
      <w:r w:rsidR="003D26DE">
        <w:rPr>
          <w:rFonts w:ascii="Sakkal Majalla" w:eastAsia="Noto Kufi Arabic" w:hAnsi="Sakkal Majalla" w:cs="Sakkal Majalla" w:hint="cs"/>
          <w:sz w:val="36"/>
          <w:szCs w:val="36"/>
          <w:rtl/>
          <w:lang w:val="ar-SA"/>
        </w:rPr>
        <w:t>:</w:t>
      </w:r>
      <w:bookmarkEnd w:id="14"/>
      <w:r w:rsidR="003D26DE">
        <w:rPr>
          <w:rFonts w:ascii="Sakkal Majalla" w:eastAsia="Noto Kufi Arabic" w:hAnsi="Sakkal Majalla" w:cs="Sakkal Majalla" w:hint="cs"/>
          <w:sz w:val="36"/>
          <w:szCs w:val="36"/>
          <w:rtl/>
          <w:lang w:val="ar-SA"/>
        </w:rPr>
        <w:t xml:space="preserve"> </w:t>
      </w:r>
    </w:p>
    <w:p w14:paraId="3F67B35A" w14:textId="77777777" w:rsidR="00986803" w:rsidRPr="00AE1FD7" w:rsidRDefault="00190A10" w:rsidP="00697C88">
      <w:pPr>
        <w:bidi/>
        <w:spacing w:after="0" w:line="240" w:lineRule="auto"/>
        <w:rPr>
          <w:rFonts w:ascii="Sakkal Majalla" w:hAnsi="Sakkal Majalla" w:cs="Sakkal Majalla"/>
          <w:sz w:val="36"/>
          <w:szCs w:val="36"/>
        </w:rPr>
      </w:pPr>
      <w:r w:rsidRPr="00190A10">
        <w:rPr>
          <w:rFonts w:ascii="Sakkal Majalla" w:eastAsia="Noto Kufi Arabic" w:hAnsi="Sakkal Majalla" w:cs="Sakkal Majalla"/>
          <w:bCs/>
          <w:noProof/>
          <w:color w:val="17365D"/>
          <w:sz w:val="36"/>
          <w:szCs w:val="36"/>
          <w:rtl/>
          <w:lang w:val="ar-SA"/>
        </w:rPr>
        <w:drawing>
          <wp:anchor distT="0" distB="0" distL="114300" distR="114300" simplePos="0" relativeHeight="251659264" behindDoc="0" locked="0" layoutInCell="1" allowOverlap="1" wp14:anchorId="1EDF82CC" wp14:editId="10FE7ADC">
            <wp:simplePos x="0" y="0"/>
            <wp:positionH relativeFrom="margin">
              <wp:align>right</wp:align>
            </wp:positionH>
            <wp:positionV relativeFrom="paragraph">
              <wp:posOffset>1959610</wp:posOffset>
            </wp:positionV>
            <wp:extent cx="5715635" cy="3573780"/>
            <wp:effectExtent l="0" t="0" r="0" b="7620"/>
            <wp:wrapTight wrapText="bothSides">
              <wp:wrapPolygon edited="0">
                <wp:start x="0" y="0"/>
                <wp:lineTo x="0" y="21531"/>
                <wp:lineTo x="21526" y="21531"/>
                <wp:lineTo x="21526" y="0"/>
                <wp:lineTo x="0" y="0"/>
              </wp:wrapPolygon>
            </wp:wrapTight>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635" cy="3573780"/>
                    </a:xfrm>
                    <a:prstGeom prst="rect">
                      <a:avLst/>
                    </a:prstGeom>
                  </pic:spPr>
                </pic:pic>
              </a:graphicData>
            </a:graphic>
            <wp14:sizeRelH relativeFrom="margin">
              <wp14:pctWidth>0</wp14:pctWidth>
            </wp14:sizeRelH>
            <wp14:sizeRelV relativeFrom="margin">
              <wp14:pctHeight>0</wp14:pctHeight>
            </wp14:sizeRelV>
          </wp:anchor>
        </w:drawing>
      </w:r>
      <w:r w:rsidR="00DB29B7" w:rsidRPr="00AE1FD7">
        <w:rPr>
          <w:rFonts w:ascii="Sakkal Majalla" w:hAnsi="Sakkal Majalla" w:cs="Sakkal Majalla"/>
          <w:color w:val="000000"/>
          <w:sz w:val="36"/>
          <w:szCs w:val="36"/>
          <w:rtl/>
          <w:lang w:val="ar-SA"/>
        </w:rPr>
        <w:t>يرتكز النموذج المفاهيمي على افتراض أن حوكمة إدارة الممتلكات العامة متغير مستقل مركب من خمسة أبعاد مترابطة، وأن كفاءة الإنفاق الحكومي العقاري متغير تابع يعكس قدرة الجهة على تحقيق أفضل قيمة من محفظتها العقارية. ويُتوقع أن تعمل الحوكمة من خلال تحسين جودة المعلومات، وتقليل الغموض في المسؤوليات، ورفع الانضباط الرقابي، وتوسيع أفق القرار من الإنفاق الآني إلى دورة الحياة، وربط المخاطر بالأولويات. ويبين الشكل الآتي مسار العلاقة المفترضة.</w:t>
      </w:r>
    </w:p>
    <w:p w14:paraId="0858645B" w14:textId="77777777" w:rsidR="00986803" w:rsidRPr="00AE1FD7" w:rsidRDefault="00190A10" w:rsidP="00190A10">
      <w:pPr>
        <w:bidi/>
        <w:spacing w:after="0" w:line="240" w:lineRule="auto"/>
        <w:ind w:firstLine="0"/>
        <w:rPr>
          <w:rFonts w:ascii="Sakkal Majalla" w:hAnsi="Sakkal Majalla" w:cs="Sakkal Majalla"/>
          <w:sz w:val="36"/>
          <w:szCs w:val="36"/>
        </w:rPr>
      </w:pPr>
      <w:r>
        <w:rPr>
          <w:rFonts w:ascii="Sakkal Majalla" w:eastAsia="Noto Kufi Arabic" w:hAnsi="Sakkal Majalla" w:cs="Sakkal Majalla" w:hint="cs"/>
          <w:bCs/>
          <w:color w:val="17365D"/>
          <w:sz w:val="36"/>
          <w:szCs w:val="36"/>
          <w:rtl/>
          <w:lang w:val="ar-SA"/>
        </w:rPr>
        <w:t xml:space="preserve"> </w:t>
      </w:r>
      <w:r>
        <w:rPr>
          <w:rFonts w:ascii="Sakkal Majalla" w:eastAsia="Noto Kufi Arabic" w:hAnsi="Sakkal Majalla" w:cs="Sakkal Majalla"/>
          <w:bCs/>
          <w:color w:val="17365D"/>
          <w:sz w:val="36"/>
          <w:szCs w:val="36"/>
          <w:rtl/>
          <w:lang w:val="ar-SA"/>
        </w:rPr>
        <w:tab/>
      </w:r>
      <w:r w:rsidR="00DB29B7" w:rsidRPr="00AE1FD7">
        <w:rPr>
          <w:rFonts w:ascii="Sakkal Majalla" w:hAnsi="Sakkal Majalla" w:cs="Sakkal Majalla"/>
          <w:color w:val="000000"/>
          <w:sz w:val="36"/>
          <w:szCs w:val="36"/>
          <w:rtl/>
          <w:lang w:val="ar-SA"/>
        </w:rPr>
        <w:t xml:space="preserve">ويُلاحظ أن الأبعاد ليست بدائل متنافسة، بل مكونات لنظام واحد؛ فالشفافية دون بيانات رقمية محدثة تظل محدودة، </w:t>
      </w:r>
      <w:proofErr w:type="spellStart"/>
      <w:r w:rsidR="00DB29B7" w:rsidRPr="00AE1FD7">
        <w:rPr>
          <w:rFonts w:ascii="Sakkal Majalla" w:hAnsi="Sakkal Majalla" w:cs="Sakkal Majalla"/>
          <w:color w:val="000000"/>
          <w:sz w:val="36"/>
          <w:szCs w:val="36"/>
          <w:rtl/>
          <w:lang w:val="ar-SA"/>
        </w:rPr>
        <w:t>والرقمنة</w:t>
      </w:r>
      <w:proofErr w:type="spellEnd"/>
      <w:r w:rsidR="00DB29B7" w:rsidRPr="00AE1FD7">
        <w:rPr>
          <w:rFonts w:ascii="Sakkal Majalla" w:hAnsi="Sakkal Majalla" w:cs="Sakkal Majalla"/>
          <w:color w:val="000000"/>
          <w:sz w:val="36"/>
          <w:szCs w:val="36"/>
          <w:rtl/>
          <w:lang w:val="ar-SA"/>
        </w:rPr>
        <w:t xml:space="preserve"> دون مساءلة قد تنتج معلومات لا تستخدم، والتخطيط دون تقييم للمخاطر قد يوجه الموارد إلى أولويات غير مناسبة. ولذلك تختبر الدراسة الأثر الكلي للحوكمة، ثم الأثر النسبي لكل بعد مع تثبيت بقية الأبعاد.</w:t>
      </w:r>
    </w:p>
    <w:p w14:paraId="420EB6AC"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5" w:name="_Toc235205576"/>
      <w:r w:rsidRPr="00AE1FD7">
        <w:rPr>
          <w:rFonts w:ascii="Sakkal Majalla" w:eastAsia="Noto Kufi Arabic" w:hAnsi="Sakkal Majalla" w:cs="Sakkal Majalla"/>
          <w:sz w:val="36"/>
          <w:szCs w:val="36"/>
          <w:rtl/>
          <w:lang w:val="ar-SA"/>
        </w:rPr>
        <w:lastRenderedPageBreak/>
        <w:t>1.9 التعريفات المفاهيمية والإجرائية</w:t>
      </w:r>
      <w:r w:rsidR="00190A10">
        <w:rPr>
          <w:rFonts w:ascii="Sakkal Majalla" w:eastAsia="Noto Kufi Arabic" w:hAnsi="Sakkal Majalla" w:cs="Sakkal Majalla" w:hint="cs"/>
          <w:sz w:val="36"/>
          <w:szCs w:val="36"/>
          <w:rtl/>
          <w:lang w:val="ar-SA"/>
        </w:rPr>
        <w:t>:</w:t>
      </w:r>
      <w:bookmarkEnd w:id="15"/>
    </w:p>
    <w:p w14:paraId="4982C67E" w14:textId="77777777" w:rsidR="00986803" w:rsidRPr="00190A10" w:rsidRDefault="00DB29B7" w:rsidP="00190A10">
      <w:pPr>
        <w:keepNext/>
        <w:bidi/>
        <w:spacing w:after="0" w:line="240" w:lineRule="auto"/>
        <w:ind w:firstLine="0"/>
        <w:jc w:val="center"/>
        <w:rPr>
          <w:rFonts w:ascii="Sakkal Majalla" w:hAnsi="Sakkal Majalla" w:cs="Sakkal Majalla"/>
          <w:bCs/>
          <w:sz w:val="36"/>
          <w:szCs w:val="36"/>
        </w:rPr>
      </w:pPr>
      <w:bookmarkStart w:id="16" w:name="table_definitions"/>
      <w:r w:rsidRPr="00190A10">
        <w:rPr>
          <w:rFonts w:ascii="Sakkal Majalla" w:eastAsia="Noto Kufi Arabic" w:hAnsi="Sakkal Majalla" w:cs="Sakkal Majalla"/>
          <w:bCs/>
          <w:color w:val="17365D"/>
          <w:sz w:val="36"/>
          <w:szCs w:val="36"/>
          <w:rtl/>
          <w:lang w:val="ar-SA"/>
        </w:rPr>
        <w:t>جدول (4): التعريفات المفاهيمية والإجرائية لمتغيرات الدراسة</w:t>
      </w:r>
      <w:bookmarkEnd w:id="16"/>
    </w:p>
    <w:tbl>
      <w:tblPr>
        <w:bidiVisual/>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3971"/>
        <w:gridCol w:w="3545"/>
      </w:tblGrid>
      <w:tr w:rsidR="00986803" w:rsidRPr="00190A10" w14:paraId="4D00C8AE" w14:textId="77777777" w:rsidTr="00190A10">
        <w:trPr>
          <w:cantSplit/>
          <w:tblHeader/>
          <w:jc w:val="center"/>
        </w:trPr>
        <w:tc>
          <w:tcPr>
            <w:tcW w:w="1844" w:type="dxa"/>
            <w:shd w:val="clear" w:color="auto" w:fill="17365D"/>
            <w:tcMar>
              <w:top w:w="90" w:type="dxa"/>
              <w:left w:w="80" w:type="dxa"/>
              <w:bottom w:w="90" w:type="dxa"/>
              <w:right w:w="80" w:type="dxa"/>
            </w:tcMar>
            <w:vAlign w:val="center"/>
          </w:tcPr>
          <w:p w14:paraId="390599BA" w14:textId="77777777" w:rsidR="00986803" w:rsidRPr="00190A10" w:rsidRDefault="00DB29B7" w:rsidP="00190A10">
            <w:pPr>
              <w:bidi/>
              <w:spacing w:after="0" w:line="240" w:lineRule="auto"/>
              <w:ind w:firstLine="0"/>
              <w:jc w:val="center"/>
              <w:rPr>
                <w:rFonts w:ascii="Sakkal Majalla" w:hAnsi="Sakkal Majalla" w:cs="Sakkal Majalla"/>
                <w:bCs/>
                <w:sz w:val="34"/>
                <w:szCs w:val="34"/>
              </w:rPr>
            </w:pPr>
            <w:r w:rsidRPr="00190A10">
              <w:rPr>
                <w:rFonts w:ascii="Sakkal Majalla" w:eastAsia="Noto Kufi Arabic" w:hAnsi="Sakkal Majalla" w:cs="Sakkal Majalla"/>
                <w:bCs/>
                <w:color w:val="FFFFFF"/>
                <w:sz w:val="34"/>
                <w:szCs w:val="34"/>
                <w:rtl/>
                <w:lang w:val="ar-SA"/>
              </w:rPr>
              <w:t>المفهوم</w:t>
            </w:r>
          </w:p>
        </w:tc>
        <w:tc>
          <w:tcPr>
            <w:tcW w:w="3971" w:type="dxa"/>
            <w:shd w:val="clear" w:color="auto" w:fill="17365D"/>
            <w:tcMar>
              <w:top w:w="90" w:type="dxa"/>
              <w:left w:w="80" w:type="dxa"/>
              <w:bottom w:w="90" w:type="dxa"/>
              <w:right w:w="80" w:type="dxa"/>
            </w:tcMar>
            <w:vAlign w:val="center"/>
          </w:tcPr>
          <w:p w14:paraId="26E75920" w14:textId="77777777" w:rsidR="00986803" w:rsidRPr="00190A10" w:rsidRDefault="00DB29B7" w:rsidP="00190A10">
            <w:pPr>
              <w:bidi/>
              <w:spacing w:after="0" w:line="240" w:lineRule="auto"/>
              <w:ind w:firstLine="0"/>
              <w:jc w:val="center"/>
              <w:rPr>
                <w:rFonts w:ascii="Sakkal Majalla" w:hAnsi="Sakkal Majalla" w:cs="Sakkal Majalla"/>
                <w:bCs/>
                <w:sz w:val="34"/>
                <w:szCs w:val="34"/>
              </w:rPr>
            </w:pPr>
            <w:r w:rsidRPr="00190A10">
              <w:rPr>
                <w:rFonts w:ascii="Sakkal Majalla" w:eastAsia="Noto Kufi Arabic" w:hAnsi="Sakkal Majalla" w:cs="Sakkal Majalla"/>
                <w:bCs/>
                <w:color w:val="FFFFFF"/>
                <w:sz w:val="34"/>
                <w:szCs w:val="34"/>
                <w:rtl/>
                <w:lang w:val="ar-SA"/>
              </w:rPr>
              <w:t>التعريف الإجرائي</w:t>
            </w:r>
          </w:p>
        </w:tc>
        <w:tc>
          <w:tcPr>
            <w:tcW w:w="3545" w:type="dxa"/>
            <w:shd w:val="clear" w:color="auto" w:fill="17365D"/>
            <w:tcMar>
              <w:top w:w="90" w:type="dxa"/>
              <w:left w:w="80" w:type="dxa"/>
              <w:bottom w:w="90" w:type="dxa"/>
              <w:right w:w="80" w:type="dxa"/>
            </w:tcMar>
            <w:vAlign w:val="center"/>
          </w:tcPr>
          <w:p w14:paraId="1452F153" w14:textId="77777777" w:rsidR="00986803" w:rsidRPr="00190A10" w:rsidRDefault="00DB29B7" w:rsidP="00190A10">
            <w:pPr>
              <w:bidi/>
              <w:spacing w:after="0" w:line="240" w:lineRule="auto"/>
              <w:ind w:firstLine="0"/>
              <w:jc w:val="center"/>
              <w:rPr>
                <w:rFonts w:ascii="Sakkal Majalla" w:hAnsi="Sakkal Majalla" w:cs="Sakkal Majalla"/>
                <w:bCs/>
                <w:sz w:val="34"/>
                <w:szCs w:val="34"/>
              </w:rPr>
            </w:pPr>
            <w:r w:rsidRPr="00190A10">
              <w:rPr>
                <w:rFonts w:ascii="Sakkal Majalla" w:eastAsia="Noto Kufi Arabic" w:hAnsi="Sakkal Majalla" w:cs="Sakkal Majalla"/>
                <w:bCs/>
                <w:color w:val="FFFFFF"/>
                <w:sz w:val="34"/>
                <w:szCs w:val="34"/>
                <w:rtl/>
                <w:lang w:val="ar-SA"/>
              </w:rPr>
              <w:t>مؤشرات القياس</w:t>
            </w:r>
          </w:p>
        </w:tc>
      </w:tr>
      <w:tr w:rsidR="00986803" w:rsidRPr="00190A10" w14:paraId="11435697" w14:textId="77777777" w:rsidTr="00190A10">
        <w:trPr>
          <w:jc w:val="center"/>
        </w:trPr>
        <w:tc>
          <w:tcPr>
            <w:tcW w:w="1844" w:type="dxa"/>
            <w:shd w:val="clear" w:color="auto" w:fill="FFFFFF"/>
            <w:tcMar>
              <w:top w:w="70" w:type="dxa"/>
              <w:left w:w="70" w:type="dxa"/>
              <w:bottom w:w="70" w:type="dxa"/>
              <w:right w:w="70" w:type="dxa"/>
            </w:tcMar>
            <w:vAlign w:val="center"/>
          </w:tcPr>
          <w:p w14:paraId="321F98A6"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حوكمة إدارة الممتلكات العامة</w:t>
            </w:r>
          </w:p>
        </w:tc>
        <w:tc>
          <w:tcPr>
            <w:tcW w:w="3971" w:type="dxa"/>
            <w:shd w:val="clear" w:color="auto" w:fill="FFFFFF"/>
            <w:tcMar>
              <w:top w:w="70" w:type="dxa"/>
              <w:left w:w="70" w:type="dxa"/>
              <w:bottom w:w="70" w:type="dxa"/>
              <w:right w:w="70" w:type="dxa"/>
            </w:tcMar>
            <w:vAlign w:val="center"/>
          </w:tcPr>
          <w:p w14:paraId="012FDF31"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منظومة السياسات والأدوار والضوابط والبيانات والرقابة التي تضبط قرارات الممتلكات عبر دورة الحياة.</w:t>
            </w:r>
          </w:p>
        </w:tc>
        <w:tc>
          <w:tcPr>
            <w:tcW w:w="3545" w:type="dxa"/>
            <w:shd w:val="clear" w:color="auto" w:fill="FFFFFF"/>
            <w:tcMar>
              <w:top w:w="70" w:type="dxa"/>
              <w:left w:w="70" w:type="dxa"/>
              <w:bottom w:w="70" w:type="dxa"/>
              <w:right w:w="70" w:type="dxa"/>
            </w:tcMar>
            <w:vAlign w:val="center"/>
          </w:tcPr>
          <w:p w14:paraId="249207D6"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درجة الاستجابة على الأبعاد الخمسة في العبارات TR1-RC5.</w:t>
            </w:r>
          </w:p>
        </w:tc>
      </w:tr>
      <w:tr w:rsidR="00986803" w:rsidRPr="00190A10" w14:paraId="1E377DF9" w14:textId="77777777" w:rsidTr="00190A10">
        <w:trPr>
          <w:jc w:val="center"/>
        </w:trPr>
        <w:tc>
          <w:tcPr>
            <w:tcW w:w="1844" w:type="dxa"/>
            <w:shd w:val="clear" w:color="auto" w:fill="F2F4F6"/>
            <w:tcMar>
              <w:top w:w="70" w:type="dxa"/>
              <w:left w:w="70" w:type="dxa"/>
              <w:bottom w:w="70" w:type="dxa"/>
              <w:right w:w="70" w:type="dxa"/>
            </w:tcMar>
            <w:vAlign w:val="center"/>
          </w:tcPr>
          <w:p w14:paraId="5F5DA686"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الشفافية والإفصاح</w:t>
            </w:r>
          </w:p>
        </w:tc>
        <w:tc>
          <w:tcPr>
            <w:tcW w:w="3971" w:type="dxa"/>
            <w:shd w:val="clear" w:color="auto" w:fill="F2F4F6"/>
            <w:tcMar>
              <w:top w:w="70" w:type="dxa"/>
              <w:left w:w="70" w:type="dxa"/>
              <w:bottom w:w="70" w:type="dxa"/>
              <w:right w:w="70" w:type="dxa"/>
            </w:tcMar>
            <w:vAlign w:val="center"/>
          </w:tcPr>
          <w:p w14:paraId="26CA45B3"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وضوح السياسات وإتاحة معلومات الأصل وتكاليفه واستخدامه وتقاريره للمعنيين في الوقت المناسب.</w:t>
            </w:r>
          </w:p>
        </w:tc>
        <w:tc>
          <w:tcPr>
            <w:tcW w:w="3545" w:type="dxa"/>
            <w:shd w:val="clear" w:color="auto" w:fill="F2F4F6"/>
            <w:tcMar>
              <w:top w:w="70" w:type="dxa"/>
              <w:left w:w="70" w:type="dxa"/>
              <w:bottom w:w="70" w:type="dxa"/>
              <w:right w:w="70" w:type="dxa"/>
            </w:tcMar>
            <w:vAlign w:val="center"/>
          </w:tcPr>
          <w:p w14:paraId="38E0AC1C"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السياسات المكتوبة، سهولة الوصول، التقارير، مشاركة التكلفة، الإفصاح عن الأصل غير المستغل.</w:t>
            </w:r>
          </w:p>
        </w:tc>
      </w:tr>
      <w:tr w:rsidR="00986803" w:rsidRPr="00190A10" w14:paraId="7512D2B3" w14:textId="77777777" w:rsidTr="00190A10">
        <w:trPr>
          <w:jc w:val="center"/>
        </w:trPr>
        <w:tc>
          <w:tcPr>
            <w:tcW w:w="1844" w:type="dxa"/>
            <w:shd w:val="clear" w:color="auto" w:fill="FFFFFF"/>
            <w:tcMar>
              <w:top w:w="70" w:type="dxa"/>
              <w:left w:w="70" w:type="dxa"/>
              <w:bottom w:w="70" w:type="dxa"/>
              <w:right w:w="70" w:type="dxa"/>
            </w:tcMar>
            <w:vAlign w:val="center"/>
          </w:tcPr>
          <w:p w14:paraId="51E87E17"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المساءلة والرقابة الداخلية</w:t>
            </w:r>
          </w:p>
        </w:tc>
        <w:tc>
          <w:tcPr>
            <w:tcW w:w="3971" w:type="dxa"/>
            <w:shd w:val="clear" w:color="auto" w:fill="FFFFFF"/>
            <w:tcMar>
              <w:top w:w="70" w:type="dxa"/>
              <w:left w:w="70" w:type="dxa"/>
              <w:bottom w:w="70" w:type="dxa"/>
              <w:right w:w="70" w:type="dxa"/>
            </w:tcMar>
            <w:vAlign w:val="center"/>
          </w:tcPr>
          <w:p w14:paraId="5F3A20E1"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تحديد المسؤوليات ومستويات الاعتماد ومراجعة القرارات ومعالجة الانحرافات.</w:t>
            </w:r>
          </w:p>
        </w:tc>
        <w:tc>
          <w:tcPr>
            <w:tcW w:w="3545" w:type="dxa"/>
            <w:shd w:val="clear" w:color="auto" w:fill="FFFFFF"/>
            <w:tcMar>
              <w:top w:w="70" w:type="dxa"/>
              <w:left w:w="70" w:type="dxa"/>
              <w:bottom w:w="70" w:type="dxa"/>
              <w:right w:w="70" w:type="dxa"/>
            </w:tcMar>
            <w:vAlign w:val="center"/>
          </w:tcPr>
          <w:p w14:paraId="540C407D"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وضوح الأدوار، المراجعة، الاعتماد، متابعة الالتزام، التصحيح.</w:t>
            </w:r>
          </w:p>
        </w:tc>
      </w:tr>
      <w:tr w:rsidR="00986803" w:rsidRPr="00190A10" w14:paraId="2F276D46" w14:textId="77777777" w:rsidTr="00190A10">
        <w:trPr>
          <w:jc w:val="center"/>
        </w:trPr>
        <w:tc>
          <w:tcPr>
            <w:tcW w:w="1844" w:type="dxa"/>
            <w:shd w:val="clear" w:color="auto" w:fill="F2F4F6"/>
            <w:tcMar>
              <w:top w:w="70" w:type="dxa"/>
              <w:left w:w="70" w:type="dxa"/>
              <w:bottom w:w="70" w:type="dxa"/>
              <w:right w:w="70" w:type="dxa"/>
            </w:tcMar>
            <w:vAlign w:val="center"/>
          </w:tcPr>
          <w:p w14:paraId="6E2A0E51"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 xml:space="preserve">تكامل البيانات </w:t>
            </w:r>
            <w:proofErr w:type="spellStart"/>
            <w:r w:rsidRPr="00190A10">
              <w:rPr>
                <w:rFonts w:ascii="Sakkal Majalla" w:hAnsi="Sakkal Majalla" w:cs="Sakkal Majalla"/>
                <w:color w:val="000000"/>
                <w:sz w:val="34"/>
                <w:szCs w:val="34"/>
                <w:rtl/>
                <w:lang w:val="ar-SA"/>
              </w:rPr>
              <w:t>والرقمنة</w:t>
            </w:r>
            <w:proofErr w:type="spellEnd"/>
          </w:p>
        </w:tc>
        <w:tc>
          <w:tcPr>
            <w:tcW w:w="3971" w:type="dxa"/>
            <w:shd w:val="clear" w:color="auto" w:fill="F2F4F6"/>
            <w:tcMar>
              <w:top w:w="70" w:type="dxa"/>
              <w:left w:w="70" w:type="dxa"/>
              <w:bottom w:w="70" w:type="dxa"/>
              <w:right w:w="70" w:type="dxa"/>
            </w:tcMar>
            <w:vAlign w:val="center"/>
          </w:tcPr>
          <w:p w14:paraId="5E742BD7"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وجود سجل موحد وربط البيانات الفنية والمالية والتشغيلية وتحديثها واستخدامها في القرار.</w:t>
            </w:r>
          </w:p>
        </w:tc>
        <w:tc>
          <w:tcPr>
            <w:tcW w:w="3545" w:type="dxa"/>
            <w:shd w:val="clear" w:color="auto" w:fill="F2F4F6"/>
            <w:tcMar>
              <w:top w:w="70" w:type="dxa"/>
              <w:left w:w="70" w:type="dxa"/>
              <w:bottom w:w="70" w:type="dxa"/>
              <w:right w:w="70" w:type="dxa"/>
            </w:tcMar>
            <w:vAlign w:val="center"/>
          </w:tcPr>
          <w:p w14:paraId="29C2BF08"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قاعدة موحدة، ربط الأنظمة، دعم القرار، التحديث، التقارير الإلكترونية.</w:t>
            </w:r>
          </w:p>
        </w:tc>
      </w:tr>
      <w:tr w:rsidR="00986803" w:rsidRPr="00190A10" w14:paraId="62209F74" w14:textId="77777777" w:rsidTr="00190A10">
        <w:trPr>
          <w:jc w:val="center"/>
        </w:trPr>
        <w:tc>
          <w:tcPr>
            <w:tcW w:w="1844" w:type="dxa"/>
            <w:shd w:val="clear" w:color="auto" w:fill="FFFFFF"/>
            <w:tcMar>
              <w:top w:w="70" w:type="dxa"/>
              <w:left w:w="70" w:type="dxa"/>
              <w:bottom w:w="70" w:type="dxa"/>
              <w:right w:w="70" w:type="dxa"/>
            </w:tcMar>
            <w:vAlign w:val="center"/>
          </w:tcPr>
          <w:p w14:paraId="1697E854"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التخطيط ودورة حياة الأصل</w:t>
            </w:r>
          </w:p>
        </w:tc>
        <w:tc>
          <w:tcPr>
            <w:tcW w:w="3971" w:type="dxa"/>
            <w:shd w:val="clear" w:color="auto" w:fill="FFFFFF"/>
            <w:tcMar>
              <w:top w:w="70" w:type="dxa"/>
              <w:left w:w="70" w:type="dxa"/>
              <w:bottom w:w="70" w:type="dxa"/>
              <w:right w:w="70" w:type="dxa"/>
            </w:tcMar>
            <w:vAlign w:val="center"/>
          </w:tcPr>
          <w:p w14:paraId="5CB8A672"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مواءمة المحفظة بالاستراتيجية وتخطيط الصيانة والتجديد وتحليل البدائل والتكلفة الكلية.</w:t>
            </w:r>
          </w:p>
        </w:tc>
        <w:tc>
          <w:tcPr>
            <w:tcW w:w="3545" w:type="dxa"/>
            <w:shd w:val="clear" w:color="auto" w:fill="FFFFFF"/>
            <w:tcMar>
              <w:top w:w="70" w:type="dxa"/>
              <w:left w:w="70" w:type="dxa"/>
              <w:bottom w:w="70" w:type="dxa"/>
              <w:right w:w="70" w:type="dxa"/>
            </w:tcMar>
            <w:vAlign w:val="center"/>
          </w:tcPr>
          <w:p w14:paraId="32D64BA4"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المواءمة، الخطة طويلة الأجل، تحليل التملك/الاستئجار، تكلفة الدورة، مراجعة الاستخدام.</w:t>
            </w:r>
          </w:p>
        </w:tc>
      </w:tr>
      <w:tr w:rsidR="00986803" w:rsidRPr="00190A10" w14:paraId="328E9438" w14:textId="77777777" w:rsidTr="00190A10">
        <w:trPr>
          <w:jc w:val="center"/>
        </w:trPr>
        <w:tc>
          <w:tcPr>
            <w:tcW w:w="1844" w:type="dxa"/>
            <w:shd w:val="clear" w:color="auto" w:fill="F2F4F6"/>
            <w:tcMar>
              <w:top w:w="70" w:type="dxa"/>
              <w:left w:w="70" w:type="dxa"/>
              <w:bottom w:w="70" w:type="dxa"/>
              <w:right w:w="70" w:type="dxa"/>
            </w:tcMar>
            <w:vAlign w:val="center"/>
          </w:tcPr>
          <w:p w14:paraId="18920CEB"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إدارة المخاطر والامتثال</w:t>
            </w:r>
          </w:p>
        </w:tc>
        <w:tc>
          <w:tcPr>
            <w:tcW w:w="3971" w:type="dxa"/>
            <w:shd w:val="clear" w:color="auto" w:fill="F2F4F6"/>
            <w:tcMar>
              <w:top w:w="70" w:type="dxa"/>
              <w:left w:w="70" w:type="dxa"/>
              <w:bottom w:w="70" w:type="dxa"/>
              <w:right w:w="70" w:type="dxa"/>
            </w:tcMar>
            <w:vAlign w:val="center"/>
          </w:tcPr>
          <w:p w14:paraId="36065CCD"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تحديد مخاطر الأصل ومعالجتها والالتزام بالاشتراطات وإدارة المخاطر التعاقدية والتشغيلية.</w:t>
            </w:r>
          </w:p>
        </w:tc>
        <w:tc>
          <w:tcPr>
            <w:tcW w:w="3545" w:type="dxa"/>
            <w:shd w:val="clear" w:color="auto" w:fill="F2F4F6"/>
            <w:tcMar>
              <w:top w:w="70" w:type="dxa"/>
              <w:left w:w="70" w:type="dxa"/>
              <w:bottom w:w="70" w:type="dxa"/>
              <w:right w:w="70" w:type="dxa"/>
            </w:tcMar>
            <w:vAlign w:val="center"/>
          </w:tcPr>
          <w:p w14:paraId="2D22FE9D"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سجل المخاطر، خطط المعالجة، الالتزام، السلامة والاستدامة، مراجعة العقود.</w:t>
            </w:r>
          </w:p>
        </w:tc>
      </w:tr>
      <w:tr w:rsidR="00986803" w:rsidRPr="00190A10" w14:paraId="257D30C5" w14:textId="77777777" w:rsidTr="00190A10">
        <w:trPr>
          <w:jc w:val="center"/>
        </w:trPr>
        <w:tc>
          <w:tcPr>
            <w:tcW w:w="1844" w:type="dxa"/>
            <w:shd w:val="clear" w:color="auto" w:fill="FFFFFF"/>
            <w:tcMar>
              <w:top w:w="70" w:type="dxa"/>
              <w:left w:w="70" w:type="dxa"/>
              <w:bottom w:w="70" w:type="dxa"/>
              <w:right w:w="70" w:type="dxa"/>
            </w:tcMar>
            <w:vAlign w:val="center"/>
          </w:tcPr>
          <w:p w14:paraId="22D8F140"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كفاءة الإنفاق الحكومي العقاري</w:t>
            </w:r>
          </w:p>
        </w:tc>
        <w:tc>
          <w:tcPr>
            <w:tcW w:w="3971" w:type="dxa"/>
            <w:shd w:val="clear" w:color="auto" w:fill="FFFFFF"/>
            <w:tcMar>
              <w:top w:w="70" w:type="dxa"/>
              <w:left w:w="70" w:type="dxa"/>
              <w:bottom w:w="70" w:type="dxa"/>
              <w:right w:w="70" w:type="dxa"/>
            </w:tcMar>
            <w:vAlign w:val="center"/>
          </w:tcPr>
          <w:p w14:paraId="77ABF3F8"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تحقيق أعلى منفعة خدمية وتشغيلية من الأصول بأفضل توازن بين التكلفة والأداء والمخاطر والاستدامة.</w:t>
            </w:r>
          </w:p>
        </w:tc>
        <w:tc>
          <w:tcPr>
            <w:tcW w:w="3545" w:type="dxa"/>
            <w:shd w:val="clear" w:color="auto" w:fill="FFFFFF"/>
            <w:tcMar>
              <w:top w:w="70" w:type="dxa"/>
              <w:left w:w="70" w:type="dxa"/>
              <w:bottom w:w="70" w:type="dxa"/>
              <w:right w:w="70" w:type="dxa"/>
            </w:tcMar>
            <w:vAlign w:val="center"/>
          </w:tcPr>
          <w:p w14:paraId="1ABB7B7D" w14:textId="77777777" w:rsidR="00986803" w:rsidRPr="00190A10" w:rsidRDefault="00DB29B7" w:rsidP="00190A10">
            <w:pPr>
              <w:bidi/>
              <w:spacing w:after="0" w:line="240" w:lineRule="auto"/>
              <w:ind w:firstLine="0"/>
              <w:jc w:val="center"/>
              <w:rPr>
                <w:rFonts w:ascii="Sakkal Majalla" w:hAnsi="Sakkal Majalla" w:cs="Sakkal Majalla"/>
                <w:sz w:val="34"/>
                <w:szCs w:val="34"/>
              </w:rPr>
            </w:pPr>
            <w:r w:rsidRPr="00190A10">
              <w:rPr>
                <w:rFonts w:ascii="Sakkal Majalla" w:hAnsi="Sakkal Majalla" w:cs="Sakkal Majalla"/>
                <w:color w:val="000000"/>
                <w:sz w:val="34"/>
                <w:szCs w:val="34"/>
                <w:rtl/>
                <w:lang w:val="ar-SA"/>
              </w:rPr>
              <w:t>خفض الإيجار غير الضروري، كفاءة الصيانة، تقليل الهدر، جودة البدائل، إطالة العمر، الأولوية، القيمة.</w:t>
            </w:r>
          </w:p>
        </w:tc>
      </w:tr>
    </w:tbl>
    <w:p w14:paraId="4EC4BE8C" w14:textId="77777777" w:rsidR="00986803" w:rsidRPr="00AE1FD7" w:rsidRDefault="00190A10" w:rsidP="00697C88">
      <w:pPr>
        <w:bidi/>
        <w:spacing w:after="0" w:line="240" w:lineRule="auto"/>
        <w:ind w:firstLine="0"/>
        <w:rPr>
          <w:rFonts w:ascii="Sakkal Majalla" w:hAnsi="Sakkal Majalla" w:cs="Sakkal Majalla"/>
          <w:sz w:val="36"/>
          <w:szCs w:val="36"/>
        </w:rPr>
      </w:pPr>
      <w:r>
        <w:rPr>
          <w:rFonts w:ascii="Sakkal Majalla" w:hAnsi="Sakkal Majalla" w:cs="Sakkal Majalla" w:hint="cs"/>
          <w:i/>
          <w:color w:val="3F4650"/>
          <w:sz w:val="36"/>
          <w:szCs w:val="36"/>
          <w:rtl/>
          <w:lang w:val="ar-SA"/>
        </w:rPr>
        <w:t>*</w:t>
      </w:r>
      <w:r w:rsidR="00DB29B7"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6CCED78D"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7" w:name="_Toc235205577"/>
      <w:r w:rsidRPr="00AE1FD7">
        <w:rPr>
          <w:rFonts w:ascii="Sakkal Majalla" w:eastAsia="Noto Kufi Arabic" w:hAnsi="Sakkal Majalla" w:cs="Sakkal Majalla"/>
          <w:sz w:val="36"/>
          <w:szCs w:val="36"/>
          <w:rtl/>
          <w:lang w:val="ar-SA"/>
        </w:rPr>
        <w:lastRenderedPageBreak/>
        <w:t>1.10 حدود الدراسة</w:t>
      </w:r>
      <w:r w:rsidR="00190A10">
        <w:rPr>
          <w:rFonts w:ascii="Sakkal Majalla" w:eastAsia="Noto Kufi Arabic" w:hAnsi="Sakkal Majalla" w:cs="Sakkal Majalla" w:hint="cs"/>
          <w:sz w:val="36"/>
          <w:szCs w:val="36"/>
          <w:rtl/>
          <w:lang w:val="ar-SA"/>
        </w:rPr>
        <w:t>:</w:t>
      </w:r>
      <w:bookmarkEnd w:id="17"/>
    </w:p>
    <w:p w14:paraId="56301C2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تتمثل الحدود الموضوعية في التركيز على حوكمة إدارة الممتلكات العامة العقارية وكفاءة الإنفاق المرتبط بها، دون التوسع في الأصول المنقولة أو المالية إلا عند الضرورة التفسيرية. وتغطي أبعاد الحوكمة: الشفافية والإفصاح، والمساءلة والرقابة الداخلية، وتكامل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والتخطيط الاستراتيجي وإدارة دورة الحياة، وإدارة المخاطر والامتثال.</w:t>
      </w:r>
    </w:p>
    <w:p w14:paraId="0EB40B0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أما الحدود المكانية فتشمل جهات حكومية سعودية من فئات تنظيمية متعددة، مثل الوزارات والهيئات والمؤسسات العامة والجامعات والجهات الخدمية، بهدف تمثيل تنوع الممارسات دون الإفصاح عن أسماء الجهات. وتتمثل الحدود البشرية في الموظفين والمسؤولين المرتبطين بإدارة الأصول والمرافق والمالية والمحاسبة والمشتريات والعقود والمراجعة الداخلية والمخاطر والهندسة والتشغيل والصيانة.</w:t>
      </w:r>
    </w:p>
    <w:p w14:paraId="2C17309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وتغطي الحدود الزمانية التطبيق والتحليل خلال عام 2026، مع الاعتماد على الأدبيات والأنظمة والأدلة المتاحة حتى ذلك التاريخ. وتقتصر الحدود المنهجية على تصميم مقطعي يعتمد على الاستبانة، ولذلك تقيس النتائج تصورات المختصين في نقطة زمنية محددة، ولا تثبت السببية الزمنية الكاملة رغم استخدام نماذج الانحدار لتقدير الأثر التفسيري.</w:t>
      </w:r>
    </w:p>
    <w:p w14:paraId="10AF8A57"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8" w:name="_Toc235205578"/>
      <w:r w:rsidRPr="00AE1FD7">
        <w:rPr>
          <w:rFonts w:ascii="Sakkal Majalla" w:eastAsia="Noto Kufi Arabic" w:hAnsi="Sakkal Majalla" w:cs="Sakkal Majalla"/>
          <w:sz w:val="36"/>
          <w:szCs w:val="36"/>
          <w:rtl/>
          <w:lang w:val="ar-SA"/>
        </w:rPr>
        <w:t>1.11 هيكل الدراسة</w:t>
      </w:r>
      <w:r w:rsidR="00190A10">
        <w:rPr>
          <w:rFonts w:ascii="Sakkal Majalla" w:eastAsia="Noto Kufi Arabic" w:hAnsi="Sakkal Majalla" w:cs="Sakkal Majalla" w:hint="cs"/>
          <w:sz w:val="36"/>
          <w:szCs w:val="36"/>
          <w:rtl/>
          <w:lang w:val="ar-SA"/>
        </w:rPr>
        <w:t>:</w:t>
      </w:r>
      <w:bookmarkEnd w:id="18"/>
    </w:p>
    <w:p w14:paraId="395AE6A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تتكون الدراسة من خمسة فصول مترابطة. يعرض الفصل الأول الإطار العام بما يشمل المشكلة والأسئلة والأهداف والفرضيات والنموذج والتعريفات. ويقدم الفصل الثاني الإطار النظري والدراسات السابقة والسياق السعودي والفجوة البحثية. ويشرح الفصل الثالث المنهجية ومجتمع الدراسة والعينة والأداة وإجراءات الصدق والثبات والتحليل. ويعرض الفصل الرابع النتائج الوصفية والاستدلالية واختبار الفرضيات. أما الفصل الخامس فيناقش النتائج ويستخلص الدلالات والتوصيات والإطار التطبيقي المقترح والقيود والمقترحات البحثية.</w:t>
      </w:r>
    </w:p>
    <w:p w14:paraId="6F4F4D3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5052FC52" w14:textId="77777777" w:rsidR="00986803" w:rsidRPr="00190A10" w:rsidRDefault="00DB29B7" w:rsidP="00190A10">
      <w:pPr>
        <w:pStyle w:val="1"/>
        <w:pBdr>
          <w:bottom w:val="single" w:sz="18" w:space="8" w:color="C69C3A"/>
        </w:pBdr>
        <w:bidi/>
        <w:spacing w:after="0" w:line="240" w:lineRule="auto"/>
        <w:ind w:firstLine="0"/>
        <w:rPr>
          <w:rFonts w:ascii="Sakkal Majalla" w:hAnsi="Sakkal Majalla" w:cs="Sakkal Majalla"/>
          <w:sz w:val="42"/>
          <w:szCs w:val="42"/>
        </w:rPr>
      </w:pPr>
      <w:bookmarkStart w:id="19" w:name="_Toc235205579"/>
      <w:r w:rsidRPr="00190A10">
        <w:rPr>
          <w:rFonts w:ascii="Sakkal Majalla" w:eastAsia="Noto Kufi Arabic" w:hAnsi="Sakkal Majalla" w:cs="Sakkal Majalla"/>
          <w:sz w:val="42"/>
          <w:szCs w:val="42"/>
          <w:rtl/>
          <w:lang w:val="ar-SA"/>
        </w:rPr>
        <w:lastRenderedPageBreak/>
        <w:t>الفصل الثاني: الإطار النظري والدراسات السابقة</w:t>
      </w:r>
      <w:bookmarkEnd w:id="19"/>
    </w:p>
    <w:p w14:paraId="1AA6A3A4"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20" w:name="_Toc235205580"/>
      <w:r w:rsidRPr="00AE1FD7">
        <w:rPr>
          <w:rFonts w:ascii="Sakkal Majalla" w:eastAsia="Noto Kufi Arabic" w:hAnsi="Sakkal Majalla" w:cs="Sakkal Majalla"/>
          <w:sz w:val="36"/>
          <w:szCs w:val="36"/>
          <w:rtl/>
          <w:lang w:val="ar-SA"/>
        </w:rPr>
        <w:t>2.1 مقدمة الفصل</w:t>
      </w:r>
      <w:r w:rsidR="00190A10">
        <w:rPr>
          <w:rFonts w:ascii="Sakkal Majalla" w:eastAsia="Noto Kufi Arabic" w:hAnsi="Sakkal Majalla" w:cs="Sakkal Majalla" w:hint="cs"/>
          <w:sz w:val="36"/>
          <w:szCs w:val="36"/>
          <w:rtl/>
          <w:lang w:val="ar-SA"/>
        </w:rPr>
        <w:t>:</w:t>
      </w:r>
      <w:bookmarkEnd w:id="20"/>
    </w:p>
    <w:p w14:paraId="05E099D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يهدف هذا الفصل إلى بناء الأساس المفاهيمي والتفسيري للعلاقة بين حوكمة إدارة الممتلكات العامة وكفاءة الإنفاق الحكومي العقاري. ويبدأ بتأصيل مفهوم الحوكمة في القطاع العام وخصائصه وآلياته، ثم ينتقل إلى إدارة الممتلكات العامة بوصفها وظيفة استراتيجية قائمة على تحقيق القيمة عبر دورة حياة الأصل، ويشرح مفهوم كفاءة الإنفاق العقاري ومكوناته ومؤشراته. بعد ذلك يستعرض البيئة التنظيمية السعودية، ويحلل المسارات النظرية التي تربط أبعاد الحوكمة بالكفاءة، ثم يقدم مراجعة نقدية للدراسات السابقة والفجوة التي تعالجها الدراسة.</w:t>
      </w:r>
    </w:p>
    <w:p w14:paraId="147B20C8" w14:textId="77777777" w:rsidR="00986803" w:rsidRPr="00AE1FD7" w:rsidRDefault="00DB29B7" w:rsidP="00190A10">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21" w:name="_Toc235205581"/>
      <w:r w:rsidRPr="00AE1FD7">
        <w:rPr>
          <w:rFonts w:ascii="Sakkal Majalla" w:eastAsia="Noto Kufi Arabic" w:hAnsi="Sakkal Majalla" w:cs="Sakkal Majalla"/>
          <w:sz w:val="36"/>
          <w:szCs w:val="36"/>
          <w:rtl/>
          <w:lang w:val="ar-SA"/>
        </w:rPr>
        <w:t>2.2 الحوكمة في القطاع العام</w:t>
      </w:r>
      <w:r w:rsidR="00190A10">
        <w:rPr>
          <w:rFonts w:ascii="Sakkal Majalla" w:eastAsia="Noto Kufi Arabic" w:hAnsi="Sakkal Majalla" w:cs="Sakkal Majalla" w:hint="cs"/>
          <w:sz w:val="36"/>
          <w:szCs w:val="36"/>
          <w:rtl/>
          <w:lang w:val="ar-SA"/>
        </w:rPr>
        <w:t>:</w:t>
      </w:r>
      <w:bookmarkEnd w:id="21"/>
    </w:p>
    <w:p w14:paraId="52A5514D"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2" w:name="_Toc235205582"/>
      <w:r w:rsidRPr="00AE1FD7">
        <w:rPr>
          <w:rFonts w:ascii="Sakkal Majalla" w:eastAsia="Noto Kufi Arabic" w:hAnsi="Sakkal Majalla" w:cs="Sakkal Majalla"/>
          <w:sz w:val="36"/>
          <w:szCs w:val="36"/>
          <w:rtl/>
          <w:lang w:val="ar-SA"/>
        </w:rPr>
        <w:t>2.2.1 مفهوم الحوكمة وتطوره</w:t>
      </w:r>
      <w:r w:rsidR="00190A10">
        <w:rPr>
          <w:rFonts w:ascii="Sakkal Majalla" w:eastAsia="Noto Kufi Arabic" w:hAnsi="Sakkal Majalla" w:cs="Sakkal Majalla" w:hint="cs"/>
          <w:sz w:val="36"/>
          <w:szCs w:val="36"/>
          <w:rtl/>
          <w:lang w:val="ar-SA"/>
        </w:rPr>
        <w:t>:</w:t>
      </w:r>
      <w:bookmarkEnd w:id="22"/>
    </w:p>
    <w:p w14:paraId="2B2CDD1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تشير الحوكمة إلى النظام الذي تُتخذ من خلاله القرارات، وتُوزع الصلاحيات والمسؤوليات، وتُدار العلاقات بين أصحاب المصلحة، وتُراقب النتائج ويُسأل عنها المسؤولون. وهي أوسع من الإدارة اليومية؛ لأن الإدارة تنفذ الأعمال داخل إطار قائم، بينما تحدد الحوكمة من يملك حق القرار، وعلى أي أساس يُتخذ، وكيف تُدار المخاطر، وما المعلومات الواجب الإفصاح عنها، ومن يراجع الانحرافات. وفي القطاع العام ترتبط الحوكمة بشرعية استخدام المال العام وعدالة توزيع المنافع وشفافية الإجراءات وقدرة المؤسسات على تحقيق الأهداف العامة بكفاءة (البسام، 2016؛ </w:t>
      </w:r>
      <w:proofErr w:type="spellStart"/>
      <w:r w:rsidRPr="00AE1FD7">
        <w:rPr>
          <w:rFonts w:ascii="Sakkal Majalla" w:hAnsi="Sakkal Majalla" w:cs="Sakkal Majalla"/>
          <w:color w:val="000000"/>
          <w:sz w:val="36"/>
          <w:szCs w:val="36"/>
          <w:rtl/>
          <w:lang w:val="ar-SA"/>
        </w:rPr>
        <w:t>Stoker</w:t>
      </w:r>
      <w:proofErr w:type="spellEnd"/>
      <w:r w:rsidRPr="00AE1FD7">
        <w:rPr>
          <w:rFonts w:ascii="Sakkal Majalla" w:hAnsi="Sakkal Majalla" w:cs="Sakkal Majalla"/>
          <w:color w:val="000000"/>
          <w:sz w:val="36"/>
          <w:szCs w:val="36"/>
          <w:rtl/>
          <w:lang w:val="ar-SA"/>
        </w:rPr>
        <w:t>, 2006).</w:t>
      </w:r>
    </w:p>
    <w:p w14:paraId="732AF80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نشأ الاهتمام الحديث بالحوكمة نتيجة إدراك أن جودة السياسات لا تكفي إذا كانت المؤسسات ضعيفة أو غير خاضعة للمساءلة. ومع توسع حجم الدولة وتنوع خدماتها، أصبحت الحاجة أكبر إلى نظم تحد من تشتت المسؤولية وتعارض المصالح والفساد والهدر، وتزيد الثقة في القرار العام. وقد ارتبطت الحوكمة في الأدبيات الدولية بمؤشرات مثل فاعلية الحكومة وسيادة القانون والجودة التنظيمية والمساءلة ومكافحة الفساد، بينما ركزت الأدبيات الإدارية على وضوح الأهداف والرقابة والأداء والمشاركة وإدارة المخاطر (الحصري، 2024؛ OECD, 2017).</w:t>
      </w:r>
    </w:p>
    <w:p w14:paraId="5279E64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ويختلف تطبيق الحوكمة العامة عن حوكمة الشركات في أن «المالك» في القطاع العام هو المجتمع بمفهومه الواسع، وأن الأهداف متعددة ولا تختزل في الربح، وأن القرارات تخضع </w:t>
      </w:r>
      <w:r w:rsidRPr="00AE1FD7">
        <w:rPr>
          <w:rFonts w:ascii="Sakkal Majalla" w:hAnsi="Sakkal Majalla" w:cs="Sakkal Majalla"/>
          <w:color w:val="000000"/>
          <w:sz w:val="36"/>
          <w:szCs w:val="36"/>
          <w:rtl/>
          <w:lang w:val="ar-SA"/>
        </w:rPr>
        <w:lastRenderedPageBreak/>
        <w:t>لقواعد قانونية وسياسية وأخلاقية أكثر تعقيداً. فالعقار الحكومي قد يحقق قيمة اجتماعية أو أمنية أو خدمية لا تظهر في عائد مالي مباشر، ولذلك يجب أن توازن الحوكمة بين الكفاءة الاقتصادية والعدالة والاستدامة واستمرارية الخدمة. وهذا ما يجعل مفهوم القيمة العامة أكثر ملاءمة من معيار الربحية وحده (</w:t>
      </w:r>
      <w:proofErr w:type="spellStart"/>
      <w:r w:rsidRPr="00AE1FD7">
        <w:rPr>
          <w:rFonts w:ascii="Sakkal Majalla" w:hAnsi="Sakkal Majalla" w:cs="Sakkal Majalla"/>
          <w:color w:val="000000"/>
          <w:sz w:val="36"/>
          <w:szCs w:val="36"/>
          <w:rtl/>
          <w:lang w:val="ar-SA"/>
        </w:rPr>
        <w:t>Moore</w:t>
      </w:r>
      <w:proofErr w:type="spellEnd"/>
      <w:r w:rsidRPr="00AE1FD7">
        <w:rPr>
          <w:rFonts w:ascii="Sakkal Majalla" w:hAnsi="Sakkal Majalla" w:cs="Sakkal Majalla"/>
          <w:color w:val="000000"/>
          <w:sz w:val="36"/>
          <w:szCs w:val="36"/>
          <w:rtl/>
          <w:lang w:val="ar-SA"/>
        </w:rPr>
        <w:t xml:space="preserve">, 1995؛ </w:t>
      </w:r>
      <w:proofErr w:type="spellStart"/>
      <w:r w:rsidRPr="00AE1FD7">
        <w:rPr>
          <w:rFonts w:ascii="Sakkal Majalla" w:hAnsi="Sakkal Majalla" w:cs="Sakkal Majalla"/>
          <w:color w:val="000000"/>
          <w:sz w:val="36"/>
          <w:szCs w:val="36"/>
          <w:rtl/>
          <w:lang w:val="ar-SA"/>
        </w:rPr>
        <w:t>Stoker</w:t>
      </w:r>
      <w:proofErr w:type="spellEnd"/>
      <w:r w:rsidRPr="00AE1FD7">
        <w:rPr>
          <w:rFonts w:ascii="Sakkal Majalla" w:hAnsi="Sakkal Majalla" w:cs="Sakkal Majalla"/>
          <w:color w:val="000000"/>
          <w:sz w:val="36"/>
          <w:szCs w:val="36"/>
          <w:rtl/>
          <w:lang w:val="ar-SA"/>
        </w:rPr>
        <w:t>, 2006).</w:t>
      </w:r>
    </w:p>
    <w:p w14:paraId="298330F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3" w:name="_Toc235205583"/>
      <w:r w:rsidRPr="00AE1FD7">
        <w:rPr>
          <w:rFonts w:ascii="Sakkal Majalla" w:eastAsia="Noto Kufi Arabic" w:hAnsi="Sakkal Majalla" w:cs="Sakkal Majalla"/>
          <w:sz w:val="36"/>
          <w:szCs w:val="36"/>
          <w:rtl/>
          <w:lang w:val="ar-SA"/>
        </w:rPr>
        <w:t>2.2.2 مبادئ الحوكمة العامة</w:t>
      </w:r>
      <w:r w:rsidR="00190A10">
        <w:rPr>
          <w:rFonts w:ascii="Sakkal Majalla" w:eastAsia="Noto Kufi Arabic" w:hAnsi="Sakkal Majalla" w:cs="Sakkal Majalla" w:hint="cs"/>
          <w:sz w:val="36"/>
          <w:szCs w:val="36"/>
          <w:rtl/>
          <w:lang w:val="ar-SA"/>
        </w:rPr>
        <w:t>:</w:t>
      </w:r>
      <w:bookmarkEnd w:id="23"/>
    </w:p>
    <w:p w14:paraId="28FB50E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تتفق الأدبيات على مجموعة من المبادئ الأساسية، أولها الشفافية التي تعني إتاحة معلومات موثوقة وفي الوقت المناسب عن السياسات والقرارات والموارد والنتائج. ولا تقتصر الشفافية على نشر المعلومات، بل تشمل قابليتها للفهم والمقارنة والربط بالمسؤولية. وفي إدارة الممتلكات تعني وجود سجل واضح للأصول، وتقارير عن الاستخدام والتكلفة والحالة والمخاطر، ومعايير معلنة للتخصيص والاستئجار والتصرف.</w:t>
      </w:r>
    </w:p>
    <w:p w14:paraId="4C5B4C1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وثاني المبادئ المساءلة، وهي التزام صاحب الصلاحية بتفسير قراره وتحمل نتائجه، مع وجود آليات للمراجعة والتصحيح والجزاء. وتحتاج المساءلة إلى تحديد دقيق للأدوار، لأن تعدد الإدارات دون تعيين مالك للعملية أو القرار يؤدي إلى «تشتت المسؤولية»، حيث يستطيع كل طرف إحالة الخطأ إلى طرف آخر. ومن ثم ترتبط المساءلة بمصفوفة صلاحيات واضحة، ولجان اعتماد ذات اختصاص، ومراجعة داخلية مستقلة، وتقارير أداء دورية.</w:t>
      </w:r>
    </w:p>
    <w:p w14:paraId="6583D61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وثالث المبادئ الفاعلية والكفاءة، ويعنيان قدرة الجهة على تحقيق النتائج المستهدفة بأفضل استخدام للموارد. ويتطلب ذلك ربط الأصول بالأهداف الاستراتيجية والخدمات التي تمكّنها، وعدم التعامل مع الأصل كغاية في ذاته. أما الاتساق وسيادة القواعد فيعنيان تطبيق المعايير على الحالات المتشابهة، وتوثيق الاستثناءات، ومنع القرارات الانتقائية. ويضاف إلى ذلك مبدأ إدارة المخاطر، الذي يضمن عدم السعي إلى خفض التكلفة على حساب السلامة أو استمرارية الخدمة أو الالتزام النظامي (</w:t>
      </w:r>
      <w:proofErr w:type="spellStart"/>
      <w:r w:rsidRPr="00AE1FD7">
        <w:rPr>
          <w:rFonts w:ascii="Sakkal Majalla" w:hAnsi="Sakkal Majalla" w:cs="Sakkal Majalla"/>
          <w:color w:val="000000"/>
          <w:sz w:val="36"/>
          <w:szCs w:val="36"/>
          <w:rtl/>
          <w:lang w:val="ar-SA"/>
        </w:rPr>
        <w:t>Gross</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Źróbek</w:t>
      </w:r>
      <w:proofErr w:type="spellEnd"/>
      <w:r w:rsidRPr="00AE1FD7">
        <w:rPr>
          <w:rFonts w:ascii="Sakkal Majalla" w:hAnsi="Sakkal Majalla" w:cs="Sakkal Majalla"/>
          <w:color w:val="000000"/>
          <w:sz w:val="36"/>
          <w:szCs w:val="36"/>
          <w:rtl/>
          <w:lang w:val="ar-SA"/>
        </w:rPr>
        <w:t>, 2015؛ ISO, 2024).</w:t>
      </w:r>
    </w:p>
    <w:p w14:paraId="0DB91D3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4" w:name="_Toc235205584"/>
      <w:r w:rsidRPr="00AE1FD7">
        <w:rPr>
          <w:rFonts w:ascii="Sakkal Majalla" w:eastAsia="Noto Kufi Arabic" w:hAnsi="Sakkal Majalla" w:cs="Sakkal Majalla"/>
          <w:sz w:val="36"/>
          <w:szCs w:val="36"/>
          <w:rtl/>
          <w:lang w:val="ar-SA"/>
        </w:rPr>
        <w:t>2.2.3 آليات الحوكمة في إدارة الممتلكات</w:t>
      </w:r>
      <w:r w:rsidR="00190A10">
        <w:rPr>
          <w:rFonts w:ascii="Sakkal Majalla" w:eastAsia="Noto Kufi Arabic" w:hAnsi="Sakkal Majalla" w:cs="Sakkal Majalla" w:hint="cs"/>
          <w:sz w:val="36"/>
          <w:szCs w:val="36"/>
          <w:rtl/>
          <w:lang w:val="ar-SA"/>
        </w:rPr>
        <w:t>:</w:t>
      </w:r>
      <w:bookmarkEnd w:id="24"/>
    </w:p>
    <w:p w14:paraId="11A310F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تتحول المبادئ إلى ممارسة من خلال حزمة من الآليات التنظيمية والإجرائية. وتشمل الآليات التنظيمية وجود سياسة معتمدة لإدارة الأصول، وهيكل يحدد الجهة المالكة للبيانات والقرار، ولجنة أو مجلس لمحفظة الأصول، ومصفوفة للصلاحيات، وآلية للتنسيق بين المالية والمرافق والعقود والمراجعة الداخلية. أما الآليات الإجرائية فتشمل توحيد الجرد والترميز والتقييم، وإجراءات دراسة الاحتياج والبدائل، ودورات اعتماد الصيانة الرأسمالية، وآليات تقييم الأصول غير المستغلة والتخارج منها.</w:t>
      </w:r>
    </w:p>
    <w:p w14:paraId="37CF885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وتشمل الآليات المعلوماتية قاعدة بيانات موحدة، وربطها بالأنظمة المالية والجغرافية والتشغيلية والعقود، وتحديد قواعد جودة البيانات ودورية التحديث وحقوق الوصول. وتندرج لوحات المؤشرات والتقارير التحليلية ضمن الحوكمة لأنها تجعل الأداء مرئياً وقابلاً للمقارنة. أما الآليات الرقابية فتشمل الفصل المناسب بين الإعداد والاعتماد والتنفيذ، والمراجعة اللاحقة، والتحقق من الالتزام، ومتابعة التوصيات، وإدارة البلاغات والانحرافات.</w:t>
      </w:r>
    </w:p>
    <w:p w14:paraId="2FAF121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وتتطلب الحوكمة الفعالة توازناً بين المركزية واللامركزية. فالمركزية تساعد على توحيد المعايير وتجميع البيانات والاستفادة من القوة الشرائية، بينما تسمح اللامركزية بالاستجابة لخصوصية المواقع والخدمات. والحل ليس اختيار أحد الطرفين بصورة مطلقة، بل تحديد القرارات التي تحتاج إلى معيار مركزي، والقرارات التي يمكن تفويضها، مع بقاء البيانات والمساءلة موحدة.</w:t>
      </w:r>
    </w:p>
    <w:p w14:paraId="6A556F3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5" w:name="_Toc235205585"/>
      <w:r w:rsidRPr="00AE1FD7">
        <w:rPr>
          <w:rFonts w:ascii="Sakkal Majalla" w:eastAsia="Noto Kufi Arabic" w:hAnsi="Sakkal Majalla" w:cs="Sakkal Majalla"/>
          <w:sz w:val="36"/>
          <w:szCs w:val="36"/>
          <w:rtl/>
          <w:lang w:val="ar-SA"/>
        </w:rPr>
        <w:t>2.2.4 الحوكمة ونظرية الوكالة</w:t>
      </w:r>
      <w:r w:rsidR="00190A10">
        <w:rPr>
          <w:rFonts w:ascii="Sakkal Majalla" w:eastAsia="Noto Kufi Arabic" w:hAnsi="Sakkal Majalla" w:cs="Sakkal Majalla" w:hint="cs"/>
          <w:sz w:val="36"/>
          <w:szCs w:val="36"/>
          <w:rtl/>
          <w:lang w:val="ar-SA"/>
        </w:rPr>
        <w:t>:</w:t>
      </w:r>
      <w:bookmarkEnd w:id="25"/>
    </w:p>
    <w:p w14:paraId="6A997F8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تفترض نظرية الوكالة وجود علاقة بين أصيل يفوض وكيلاً لإدارة موارد أو اتخاذ قرارات نيابة عنه، مع احتمال اختلاف الأهداف وعدم تماثل المعلومات. وفي القطاع العام يمثل المواطنون والدولة الأصيل النهائي، بينما تتوزع الوكالة على الوزارات والهيئات والإدارات والموظفين والمتعاقدين. وكلما طال تسلسل الوكالة وتعددت الأطراف، ارتفع خطر ضعف المعلومات أو السلوك غير المنضبط أو القرارات التي تخدم مصالح جزئية بدلاً من القيمة العامة (</w:t>
      </w:r>
      <w:proofErr w:type="spellStart"/>
      <w:r w:rsidRPr="00AE1FD7">
        <w:rPr>
          <w:rFonts w:ascii="Sakkal Majalla" w:hAnsi="Sakkal Majalla" w:cs="Sakkal Majalla"/>
          <w:color w:val="000000"/>
          <w:sz w:val="36"/>
          <w:szCs w:val="36"/>
          <w:rtl/>
          <w:lang w:val="ar-SA"/>
        </w:rPr>
        <w:t>Jensen</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Meckling</w:t>
      </w:r>
      <w:proofErr w:type="spellEnd"/>
      <w:r w:rsidRPr="00AE1FD7">
        <w:rPr>
          <w:rFonts w:ascii="Sakkal Majalla" w:hAnsi="Sakkal Majalla" w:cs="Sakkal Majalla"/>
          <w:color w:val="000000"/>
          <w:sz w:val="36"/>
          <w:szCs w:val="36"/>
          <w:rtl/>
          <w:lang w:val="ar-SA"/>
        </w:rPr>
        <w:t>, 1976).</w:t>
      </w:r>
    </w:p>
    <w:p w14:paraId="1DBE4E5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وفي إدارة الممتلكات يمكن أن تظهر تكاليف الوكالة في تضخيم الاحتياج للمساحات، أو الاحتفاظ بأصول غير مستخدمة لتجنب فقد السيطرة عليها، أو تفضيل الصيانة الطارئة بسبب سهولة اعتمادها، أو إخفاء ضعف الأداء، أو عدم تحديث السجلات. وتعمل الحوكمة على خفض تلك التكاليف من خلال الإفصاح، وتوحيد البيانات، وربط المسؤولية بمؤشرات، وفصل بعض الصلاحيات، وإجراء مراجعات مستقلة، ومقارنة الأداء بين الوحدات.</w:t>
      </w:r>
    </w:p>
    <w:p w14:paraId="28D103F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ولا تعني نظرية الوكالة افتراض سوء النية، بل الاعتراف بأن بنية الحوافز والمعلومات قد تنتج قرارات غير مثلى حتى مع حسن النية. فقد يركز مدير المنشأة على استمرار التشغيل اليومي لأنه يقاس عليه، بينما لا يملك حافزاً للاستثمار في بيانات أو صيانة وقائية تظهر فوائدها بعد سنوات. ومن هنا يجب أن تصمم مؤشرات الأداء والحوافز بحيث تشجع المنظور طويل الأجل، وتمنع نقل التكلفة إلى المستقبل.</w:t>
      </w:r>
    </w:p>
    <w:p w14:paraId="75925E84"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6" w:name="_Toc235205586"/>
      <w:r w:rsidRPr="00AE1FD7">
        <w:rPr>
          <w:rFonts w:ascii="Sakkal Majalla" w:eastAsia="Noto Kufi Arabic" w:hAnsi="Sakkal Majalla" w:cs="Sakkal Majalla"/>
          <w:sz w:val="36"/>
          <w:szCs w:val="36"/>
          <w:rtl/>
          <w:lang w:val="ar-SA"/>
        </w:rPr>
        <w:lastRenderedPageBreak/>
        <w:t>2.2.5 الإدارة العامة الجديدة والقيمة العامة</w:t>
      </w:r>
      <w:r w:rsidR="00190A10">
        <w:rPr>
          <w:rFonts w:ascii="Sakkal Majalla" w:eastAsia="Noto Kufi Arabic" w:hAnsi="Sakkal Majalla" w:cs="Sakkal Majalla" w:hint="cs"/>
          <w:sz w:val="36"/>
          <w:szCs w:val="36"/>
          <w:rtl/>
          <w:lang w:val="ar-SA"/>
        </w:rPr>
        <w:t>:</w:t>
      </w:r>
      <w:bookmarkEnd w:id="26"/>
    </w:p>
    <w:p w14:paraId="0B40DFD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ركزت الإدارة العامة الجديدة على نقل الاهتمام من المدخلات والإجراءات إلى النتائج، واستخدام مؤشرات الأداء والمقارنة والتعاقد والمساءلة عن المخرجات. وقد أسهم هذا الاتجاه في إدخال مفاهيم إدارة المحافظ والأصول وقياس التكاليف إلى القطاع العام، إلا أنه تعرض للنقد عندما اختزل الأداء في مؤشرات مالية أو كمية ضيقة (</w:t>
      </w:r>
      <w:proofErr w:type="spellStart"/>
      <w:r w:rsidRPr="00AE1FD7">
        <w:rPr>
          <w:rFonts w:ascii="Sakkal Majalla" w:hAnsi="Sakkal Majalla" w:cs="Sakkal Majalla"/>
          <w:color w:val="000000"/>
          <w:sz w:val="36"/>
          <w:szCs w:val="36"/>
          <w:rtl/>
          <w:lang w:val="ar-SA"/>
        </w:rPr>
        <w:t>Hood</w:t>
      </w:r>
      <w:proofErr w:type="spellEnd"/>
      <w:r w:rsidRPr="00AE1FD7">
        <w:rPr>
          <w:rFonts w:ascii="Sakkal Majalla" w:hAnsi="Sakkal Majalla" w:cs="Sakkal Majalla"/>
          <w:color w:val="000000"/>
          <w:sz w:val="36"/>
          <w:szCs w:val="36"/>
          <w:rtl/>
          <w:lang w:val="ar-SA"/>
        </w:rPr>
        <w:t>, 1991).</w:t>
      </w:r>
    </w:p>
    <w:p w14:paraId="52D83EE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ويعالج مدخل القيمة العامة هذا القصور من خلال التأكيد على أن نجاح المؤسسة العامة يقاس بقدرتها على إنتاج منافع عامة تحظى بالشرعية والدعم، وتملك القدرة التشغيلية لتحقيقها. وفي العقار الحكومي قد تتمثل القيمة في توفير خدمة في موقع مناسب، أو حماية أصل ذي أهمية استراتيجية، أو رفع جودة البيئة المدرسية أو الصحية، أو خفض استهلاك الطاقة، إضافة إلى الوفورات المالية. ومن ثم يجب أن تجمع القرارات بين القيمة والتكلفة والمخاطر، لا أن تعطي الأولوية لمؤشر منفرد (</w:t>
      </w:r>
      <w:proofErr w:type="spellStart"/>
      <w:r w:rsidRPr="00AE1FD7">
        <w:rPr>
          <w:rFonts w:ascii="Sakkal Majalla" w:hAnsi="Sakkal Majalla" w:cs="Sakkal Majalla"/>
          <w:color w:val="000000"/>
          <w:sz w:val="36"/>
          <w:szCs w:val="36"/>
          <w:rtl/>
          <w:lang w:val="ar-SA"/>
        </w:rPr>
        <w:t>Moore</w:t>
      </w:r>
      <w:proofErr w:type="spellEnd"/>
      <w:r w:rsidRPr="00AE1FD7">
        <w:rPr>
          <w:rFonts w:ascii="Sakkal Majalla" w:hAnsi="Sakkal Majalla" w:cs="Sakkal Majalla"/>
          <w:color w:val="000000"/>
          <w:sz w:val="36"/>
          <w:szCs w:val="36"/>
          <w:rtl/>
          <w:lang w:val="ar-SA"/>
        </w:rPr>
        <w:t xml:space="preserve">, 1995؛ </w:t>
      </w:r>
      <w:proofErr w:type="spellStart"/>
      <w:r w:rsidRPr="00AE1FD7">
        <w:rPr>
          <w:rFonts w:ascii="Sakkal Majalla" w:hAnsi="Sakkal Majalla" w:cs="Sakkal Majalla"/>
          <w:color w:val="000000"/>
          <w:sz w:val="36"/>
          <w:szCs w:val="36"/>
          <w:rtl/>
          <w:lang w:val="ar-SA"/>
        </w:rPr>
        <w:t>Stoker</w:t>
      </w:r>
      <w:proofErr w:type="spellEnd"/>
      <w:r w:rsidRPr="00AE1FD7">
        <w:rPr>
          <w:rFonts w:ascii="Sakkal Majalla" w:hAnsi="Sakkal Majalla" w:cs="Sakkal Majalla"/>
          <w:color w:val="000000"/>
          <w:sz w:val="36"/>
          <w:szCs w:val="36"/>
          <w:rtl/>
          <w:lang w:val="ar-SA"/>
        </w:rPr>
        <w:t>, 2006).</w:t>
      </w:r>
    </w:p>
    <w:p w14:paraId="4CF2112A"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7" w:name="_Toc235205587"/>
      <w:r w:rsidRPr="00AE1FD7">
        <w:rPr>
          <w:rFonts w:ascii="Sakkal Majalla" w:eastAsia="Noto Kufi Arabic" w:hAnsi="Sakkal Majalla" w:cs="Sakkal Majalla"/>
          <w:sz w:val="36"/>
          <w:szCs w:val="36"/>
          <w:rtl/>
          <w:lang w:val="ar-SA"/>
        </w:rPr>
        <w:t>2.2.6 نضج الحوكمة وقياسها</w:t>
      </w:r>
      <w:r w:rsidR="00190A10">
        <w:rPr>
          <w:rFonts w:ascii="Sakkal Majalla" w:eastAsia="Noto Kufi Arabic" w:hAnsi="Sakkal Majalla" w:cs="Sakkal Majalla" w:hint="cs"/>
          <w:sz w:val="36"/>
          <w:szCs w:val="36"/>
          <w:rtl/>
          <w:lang w:val="ar-SA"/>
        </w:rPr>
        <w:t>:</w:t>
      </w:r>
      <w:bookmarkEnd w:id="27"/>
    </w:p>
    <w:p w14:paraId="7D894BA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لا تُطبق الحوكمة بصورة ثنائية «موجودة أو غير موجودة»، بل تتدرج في مستويات نضج. ففي المستوى الأول تكون الممارسات فردية وتفاعلية، والبيانات مجزأة، والقرارات مرتبطة بالأزمات. وفي المستوى الثاني توجد إجراءات أساسية لكنها غير موحدة أو غير مقاسة. وفي المستوى الثالث تتوافر سياسات وعمليات موحدة وبيانات معقولة ومؤشرات دورية. وفي المستوى الرابع تصبح الإدارة استباقية ومتكاملة وقائمة على التحليلات والمقارنة والتحسين المستمر.</w:t>
      </w:r>
    </w:p>
    <w:p w14:paraId="172825E1" w14:textId="77777777" w:rsidR="00190A10"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وتقترح أداة تقييم نضج إدارة الأصول العامة عناصر تشمل السياسات والقيادة والمؤسسات والسجلات والتمويل والتخطيط والمخاطر وقياس الأداء والتقنية والقدرات البشرية. وتفيد هذه النظرة في الدراسة الحالية لأنها تفسر لماذا قد تتشابه الجهات في وجود السياسات لكنها تختلف في النتائج؛ فالفارق يكمن في جودة التطبيق والتكامل واستدامة الممارسة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2024).</w:t>
      </w:r>
    </w:p>
    <w:p w14:paraId="7A41E4E7" w14:textId="77777777" w:rsidR="00190A10" w:rsidRDefault="00190A10">
      <w:pPr>
        <w:spacing w:after="200" w:line="276" w:lineRule="auto"/>
        <w:ind w:firstLine="0"/>
        <w:jc w:val="left"/>
        <w:rPr>
          <w:rFonts w:ascii="Sakkal Majalla" w:hAnsi="Sakkal Majalla" w:cs="Sakkal Majalla"/>
          <w:color w:val="000000"/>
          <w:sz w:val="36"/>
          <w:szCs w:val="36"/>
          <w:rtl/>
          <w:lang w:val="ar-SA"/>
        </w:rPr>
      </w:pPr>
      <w:r>
        <w:rPr>
          <w:rFonts w:ascii="Sakkal Majalla" w:hAnsi="Sakkal Majalla" w:cs="Sakkal Majalla"/>
          <w:color w:val="000000"/>
          <w:sz w:val="36"/>
          <w:szCs w:val="36"/>
          <w:rtl/>
          <w:lang w:val="ar-SA"/>
        </w:rPr>
        <w:br w:type="page"/>
      </w:r>
    </w:p>
    <w:p w14:paraId="4CF76CA6" w14:textId="77777777" w:rsidR="00986803" w:rsidRPr="00AE1FD7" w:rsidRDefault="00DB29B7" w:rsidP="00190A10">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28" w:name="_Toc235205588"/>
      <w:r w:rsidRPr="00AE1FD7">
        <w:rPr>
          <w:rFonts w:ascii="Sakkal Majalla" w:eastAsia="Noto Kufi Arabic" w:hAnsi="Sakkal Majalla" w:cs="Sakkal Majalla"/>
          <w:sz w:val="36"/>
          <w:szCs w:val="36"/>
          <w:rtl/>
          <w:lang w:val="ar-SA"/>
        </w:rPr>
        <w:lastRenderedPageBreak/>
        <w:t>2.3 إدارة الممتلكات العامة والأصول العقارية الحكومية</w:t>
      </w:r>
      <w:bookmarkEnd w:id="28"/>
    </w:p>
    <w:p w14:paraId="4B100A8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29" w:name="_Toc235205589"/>
      <w:r w:rsidRPr="00AE1FD7">
        <w:rPr>
          <w:rFonts w:ascii="Sakkal Majalla" w:eastAsia="Noto Kufi Arabic" w:hAnsi="Sakkal Majalla" w:cs="Sakkal Majalla"/>
          <w:sz w:val="36"/>
          <w:szCs w:val="36"/>
          <w:rtl/>
          <w:lang w:val="ar-SA"/>
        </w:rPr>
        <w:t>2.3.1 المفهوم والنطاق</w:t>
      </w:r>
      <w:r w:rsidR="00190A10">
        <w:rPr>
          <w:rFonts w:ascii="Sakkal Majalla" w:eastAsia="Noto Kufi Arabic" w:hAnsi="Sakkal Majalla" w:cs="Sakkal Majalla" w:hint="cs"/>
          <w:sz w:val="36"/>
          <w:szCs w:val="36"/>
          <w:rtl/>
          <w:lang w:val="ar-SA"/>
        </w:rPr>
        <w:t>:</w:t>
      </w:r>
      <w:bookmarkEnd w:id="29"/>
    </w:p>
    <w:p w14:paraId="417097F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إدارة الممتلكات العامة هي مجموعة القرارات والعمليات التي تهدف إلى تحقيق القيمة من الأصول المملوكة للدولة أو الواقعة تحت تصرفها، بما يشمل الحصر والتسجيل والتصنيف والتقييم والتخصيص والاستعمال والصيانة والتطوير والاستثمار وإعادة التوظيف والتخارج والحماية. أما إدارة الأصول وفق سلسلة ISO 55000 فهي نشاط منسق لتحقيق القيمة من الأصول، ويرتبط بنظام إداري يضمن المواءمة والقيادة والتخطيط والدعم والتشغيل والتقييم والتحسين (ISO, 2024).</w:t>
      </w:r>
    </w:p>
    <w:p w14:paraId="1781A33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وتتجاوز إدارة الممتلكات مفهوم إدارة المرافق، فإدارة المرافق تركز غالباً على تشغيل البيئة المبنية والخدمات المساندة مثل الصيانة والنظافة والأمن والطاقة، بينما تتناول إدارة الأصول قرارات أوسع تتعلق بالمحفظة والاحتياج والاستثمار والإحلال والتصرف. ومع ذلك فالمجالان متكاملان، لأن بيانات التشغيل والصيانة ضرورية لتقييم أداء الأصل واتخاذ قراراته الاستراتيجية.</w:t>
      </w:r>
    </w:p>
    <w:p w14:paraId="635E2979"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0" w:name="_Toc235205590"/>
      <w:r w:rsidRPr="00AE1FD7">
        <w:rPr>
          <w:rFonts w:ascii="Sakkal Majalla" w:eastAsia="Noto Kufi Arabic" w:hAnsi="Sakkal Majalla" w:cs="Sakkal Majalla"/>
          <w:sz w:val="36"/>
          <w:szCs w:val="36"/>
          <w:rtl/>
          <w:lang w:val="ar-SA"/>
        </w:rPr>
        <w:t>2.3.2 تصنيف الأصول العقارية العامة</w:t>
      </w:r>
      <w:r w:rsidR="00190A10">
        <w:rPr>
          <w:rFonts w:ascii="Sakkal Majalla" w:eastAsia="Noto Kufi Arabic" w:hAnsi="Sakkal Majalla" w:cs="Sakkal Majalla" w:hint="cs"/>
          <w:sz w:val="36"/>
          <w:szCs w:val="36"/>
          <w:rtl/>
          <w:lang w:val="ar-SA"/>
        </w:rPr>
        <w:t>:</w:t>
      </w:r>
      <w:bookmarkEnd w:id="30"/>
    </w:p>
    <w:p w14:paraId="2E69FA4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يساعد التصنيف على اختيار الاستراتيجية المناسبة لكل أصل. ويمكن تصنيف الأصول حسب الاستخدام إلى أصول تشغيلية مباشرة تمكّن تقديم خدمة عامة، وأصول داعمة مثل المكاتب والمستودعات، وأصول استثمارية أو قابلة لتحقيق إيراد، وأصول احتياطية أو استراتيجية، وأصول فائضة أو غير مستغلة. كما يمكن تصنيفها حسب الحالة الفنية، والأهمية الحرجة، والقيمة، ومستوى الاستخدام، والمخاطر، والقيود النظامية.</w:t>
      </w:r>
    </w:p>
    <w:p w14:paraId="32B317D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ويمنع التصنيف تطبيق سياسة واحدة على جميع الأصول. فالأصل الحرج الذي تتوقف عليه خدمة أساسية يحتاج إلى مستوى مرتفع من الاعتمادية وخطط استمرارية، بينما يمكن النظر في التخارج من أصل منخفض الاستخدام ولا يرتبط بحاجة مستقبلية. كما تختلف مؤشرات الأداء؛ فنجاح أصل استثماري قد يقاس بالعائد، بينما يقاس الأصل الخدمي بجودة الخدمة والسعة والتكلفة والجاهزية.</w:t>
      </w:r>
    </w:p>
    <w:p w14:paraId="1BA54BE0"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1" w:name="_Toc235205591"/>
      <w:r w:rsidRPr="00AE1FD7">
        <w:rPr>
          <w:rFonts w:ascii="Sakkal Majalla" w:eastAsia="Noto Kufi Arabic" w:hAnsi="Sakkal Majalla" w:cs="Sakkal Majalla"/>
          <w:sz w:val="36"/>
          <w:szCs w:val="36"/>
          <w:rtl/>
          <w:lang w:val="ar-SA"/>
        </w:rPr>
        <w:t>2.3.3 التحول من الإدارة التشغيلية إلى الإدارة الاستراتيجية</w:t>
      </w:r>
      <w:r w:rsidR="00190A10">
        <w:rPr>
          <w:rFonts w:ascii="Sakkal Majalla" w:eastAsia="Noto Kufi Arabic" w:hAnsi="Sakkal Majalla" w:cs="Sakkal Majalla" w:hint="cs"/>
          <w:sz w:val="36"/>
          <w:szCs w:val="36"/>
          <w:rtl/>
          <w:lang w:val="ar-SA"/>
        </w:rPr>
        <w:t>:</w:t>
      </w:r>
      <w:bookmarkEnd w:id="31"/>
    </w:p>
    <w:p w14:paraId="2F5C848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أظهرت مراجعة القطاع العام البريطاني أن إدارة العقار تطورت من التركيز على المعاملات والصيانة إلى ربط المحفظة بأهداف المؤسسة والخدمة العامة. ويتطلب هذا التحول النظر إلى العقار كأداة تنفيذ للاستراتيجية، بحيث تبدأ القرارات من سؤال: ما الخدمات والقدرات </w:t>
      </w:r>
      <w:r w:rsidRPr="00AE1FD7">
        <w:rPr>
          <w:rFonts w:ascii="Sakkal Majalla" w:hAnsi="Sakkal Majalla" w:cs="Sakkal Majalla"/>
          <w:color w:val="000000"/>
          <w:sz w:val="36"/>
          <w:szCs w:val="36"/>
          <w:rtl/>
          <w:lang w:val="ar-SA"/>
        </w:rPr>
        <w:lastRenderedPageBreak/>
        <w:t>المطلوبة؟ ثم ما المحفظة العقارية الأنسب لتمكينها؟ بدلاً من بدء التخطيط من الأصول القائمة فقط (</w:t>
      </w:r>
      <w:proofErr w:type="spellStart"/>
      <w:r w:rsidRPr="00AE1FD7">
        <w:rPr>
          <w:rFonts w:ascii="Sakkal Majalla" w:hAnsi="Sakkal Majalla" w:cs="Sakkal Majalla"/>
          <w:color w:val="000000"/>
          <w:sz w:val="36"/>
          <w:szCs w:val="36"/>
          <w:rtl/>
          <w:lang w:val="ar-SA"/>
        </w:rPr>
        <w:t>White</w:t>
      </w:r>
      <w:proofErr w:type="spellEnd"/>
      <w:r w:rsidRPr="00AE1FD7">
        <w:rPr>
          <w:rFonts w:ascii="Sakkal Majalla" w:hAnsi="Sakkal Majalla" w:cs="Sakkal Majalla"/>
          <w:color w:val="000000"/>
          <w:sz w:val="36"/>
          <w:szCs w:val="36"/>
          <w:rtl/>
          <w:lang w:val="ar-SA"/>
        </w:rPr>
        <w:t>, 2011).</w:t>
      </w:r>
    </w:p>
    <w:p w14:paraId="0B54F2B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وتعني الإدارة الاستراتيجية إعداد خطة لمحفظة الأصول تربط الطلب المتوقع بالعرض المتاح، وتحدد فجوات السعة والحالة والموقع، وترتب الاستثمارات والتخارج، وتضع أهدافاً للاستخدام والتكلفة والاستدامة. كما تقتضي مراجعة دورية لأن تغير أنماط العمل والخدمات والتقنية قد يقلل الحاجة إلى بعض المساحات أو يخلق احتياجات جديدة.</w:t>
      </w:r>
    </w:p>
    <w:p w14:paraId="54EFBE0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2" w:name="_Toc235205592"/>
      <w:r w:rsidRPr="00AE1FD7">
        <w:rPr>
          <w:rFonts w:ascii="Sakkal Majalla" w:eastAsia="Noto Kufi Arabic" w:hAnsi="Sakkal Majalla" w:cs="Sakkal Majalla"/>
          <w:sz w:val="36"/>
          <w:szCs w:val="36"/>
          <w:rtl/>
          <w:lang w:val="ar-SA"/>
        </w:rPr>
        <w:t>2.3.4 دورة حياة الأصل</w:t>
      </w:r>
      <w:r w:rsidR="00190A10">
        <w:rPr>
          <w:rFonts w:ascii="Sakkal Majalla" w:eastAsia="Noto Kufi Arabic" w:hAnsi="Sakkal Majalla" w:cs="Sakkal Majalla" w:hint="cs"/>
          <w:sz w:val="36"/>
          <w:szCs w:val="36"/>
          <w:rtl/>
          <w:lang w:val="ar-SA"/>
        </w:rPr>
        <w:t>:</w:t>
      </w:r>
      <w:bookmarkEnd w:id="32"/>
    </w:p>
    <w:p w14:paraId="0C5AF0B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تمر دورة الحياة بمراحل تبدأ بتحديد الحاجة وتخطيط الخدمة، ثم دراسة البدائل والتصميم والاقتناء أو الإنشاء، ثم الاستلام والتشغيل والصيانة والتجديد، وتنتهي بإعادة الاستخدام أو الإحلال أو التخارج. وتؤكد إدارة دورة الحياة أن القرارات المبكرة تحدد نسبة كبيرة من التكلفة المستقبلية؛ فاختيار الموقع والتصميم والمواد ونظام التشغيل يؤثر في الطاقة والصيانة والمرونة والعمر الاقتصادي.</w:t>
      </w:r>
    </w:p>
    <w:p w14:paraId="17D03C0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ويقتضي المنظور الكلي احتساب التكلفة الإجمالية للملكية، التي تشمل كلفة الاقتناء والتمويل والتشغيل والطاقة والصيانة والإصلاح والتوقف والتجديد والتخلص، مطروحاً منها القيمة المتبقية أو الإيرادات. وقد يبدو بديل أقل كلفة عند الشراء أكثر كلفة على مدى عشرين عاماً، ولذلك لا ينبغي أن تعتمد المفاضلة على السعر الأولي وحده.</w:t>
      </w:r>
    </w:p>
    <w:p w14:paraId="2A9A77FC"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وتُعد الصيانة الوقائية والتنبؤية جزءاً أساسياً من دورة الحياة. فالصيانة التفاعلية قد تؤجل الإنفاق لكنها تزيد الأعطال وتقلل العمر وتسبب توقف الخدمة. أما الصيانة الوقائية فتستند إلى خطط زمنية وحالة الأصل، بينما تستخدم الصيانة التنبؤية بيانات الحساسات والتحليلات لتوقع الفشل. ويجب أن تُرتب الأعمال بحسب خطورة الأصل وأثر العطل، لا بحسب من يرفع الطلب أولاً.</w:t>
      </w:r>
    </w:p>
    <w:p w14:paraId="02F9C9EE" w14:textId="77777777" w:rsidR="00190A10" w:rsidRPr="00AE1FD7" w:rsidRDefault="009B6272" w:rsidP="009B6272">
      <w:pPr>
        <w:bidi/>
        <w:spacing w:after="0" w:line="240" w:lineRule="auto"/>
        <w:ind w:firstLine="0"/>
        <w:rPr>
          <w:rFonts w:ascii="Sakkal Majalla" w:hAnsi="Sakkal Majalla" w:cs="Sakkal Majalla"/>
          <w:sz w:val="36"/>
          <w:szCs w:val="36"/>
        </w:rPr>
      </w:pPr>
      <w:r w:rsidRPr="009B6272">
        <w:rPr>
          <w:rFonts w:ascii="Sakkal Majalla" w:hAnsi="Sakkal Majalla" w:cs="Sakkal Majalla"/>
          <w:noProof/>
          <w:sz w:val="36"/>
          <w:szCs w:val="36"/>
          <w:rtl/>
        </w:rPr>
        <w:lastRenderedPageBreak/>
        <w:drawing>
          <wp:anchor distT="0" distB="0" distL="114300" distR="114300" simplePos="0" relativeHeight="251661312" behindDoc="0" locked="0" layoutInCell="1" allowOverlap="1" wp14:anchorId="1A1D3B58" wp14:editId="58BBAEA5">
            <wp:simplePos x="0" y="0"/>
            <wp:positionH relativeFrom="column">
              <wp:posOffset>0</wp:posOffset>
            </wp:positionH>
            <wp:positionV relativeFrom="paragraph">
              <wp:posOffset>320040</wp:posOffset>
            </wp:positionV>
            <wp:extent cx="5616575" cy="3024505"/>
            <wp:effectExtent l="0" t="0" r="3175" b="4445"/>
            <wp:wrapTight wrapText="bothSides">
              <wp:wrapPolygon edited="0">
                <wp:start x="0" y="0"/>
                <wp:lineTo x="0" y="21496"/>
                <wp:lineTo x="21539" y="21496"/>
                <wp:lineTo x="21539" y="0"/>
                <wp:lineTo x="0" y="0"/>
              </wp:wrapPolygon>
            </wp:wrapTight>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6575" cy="3024505"/>
                    </a:xfrm>
                    <a:prstGeom prst="rect">
                      <a:avLst/>
                    </a:prstGeom>
                  </pic:spPr>
                </pic:pic>
              </a:graphicData>
            </a:graphic>
          </wp:anchor>
        </w:drawing>
      </w:r>
    </w:p>
    <w:p w14:paraId="43C45899" w14:textId="77777777" w:rsidR="00986803" w:rsidRPr="009B6272" w:rsidRDefault="009B6272" w:rsidP="00190A10">
      <w:pPr>
        <w:bidi/>
        <w:spacing w:after="0" w:line="240" w:lineRule="auto"/>
        <w:ind w:firstLine="0"/>
        <w:jc w:val="center"/>
        <w:rPr>
          <w:rFonts w:ascii="Sakkal Majalla" w:hAnsi="Sakkal Majalla" w:cs="Sakkal Majalla"/>
          <w:sz w:val="14"/>
          <w:szCs w:val="14"/>
        </w:rPr>
      </w:pPr>
      <w:r>
        <w:rPr>
          <w:rFonts w:ascii="Sakkal Majalla" w:eastAsia="Noto Kufi Arabic" w:hAnsi="Sakkal Majalla" w:cs="Sakkal Majalla" w:hint="cs"/>
          <w:b/>
          <w:color w:val="17365D"/>
          <w:sz w:val="36"/>
          <w:szCs w:val="36"/>
          <w:rtl/>
          <w:lang w:val="ar-SA"/>
        </w:rPr>
        <w:t xml:space="preserve"> </w:t>
      </w:r>
    </w:p>
    <w:p w14:paraId="5E87B4B5"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3" w:name="_Toc235205593"/>
      <w:r w:rsidRPr="00AE1FD7">
        <w:rPr>
          <w:rFonts w:ascii="Sakkal Majalla" w:eastAsia="Noto Kufi Arabic" w:hAnsi="Sakkal Majalla" w:cs="Sakkal Majalla"/>
          <w:sz w:val="36"/>
          <w:szCs w:val="36"/>
          <w:rtl/>
          <w:lang w:val="ar-SA"/>
        </w:rPr>
        <w:t>2.3.5 إدارة المحفظة وتحقيق القيمة</w:t>
      </w:r>
      <w:r w:rsidR="009B6272">
        <w:rPr>
          <w:rFonts w:ascii="Sakkal Majalla" w:eastAsia="Noto Kufi Arabic" w:hAnsi="Sakkal Majalla" w:cs="Sakkal Majalla" w:hint="cs"/>
          <w:sz w:val="36"/>
          <w:szCs w:val="36"/>
          <w:rtl/>
          <w:lang w:val="ar-SA"/>
        </w:rPr>
        <w:t>:</w:t>
      </w:r>
      <w:bookmarkEnd w:id="33"/>
    </w:p>
    <w:p w14:paraId="172C6D6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تختلف إدارة المحفظة عن إدارة أصل منفرد، لأنها تسعى إلى تحقيق أفضل توزيع للموارد بين مجموعة أصول متنافسة. ويتطلب ذلك مصفوفة تجمع أهمية الأصل وحالته واستخدامه وتكلفته ومخاطره، ثم تصنف القرارات إلى: استثمار، أو صيانة، أو إعادة توظيف، أو دمج، أو تخارج. وقد عرضت أدبيات إدارة الثروة العامة مصفوفات للأولوية والحالة تساعد على تجنب الإنفاق المتساوي على أصول غير متساوية في القيمة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2021).</w:t>
      </w:r>
    </w:p>
    <w:p w14:paraId="1E6DE69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ويتحقق جانب من القيمة عبر رفع الاستخدام، مثل مشاركة المساحات بين جهات، أو توحيد المكاتب، أو إعادة تصميم الفراغات، أو تحويل أصل غير مستغل إلى خدمة مطلوبة. ويتحقق جانب آخر عبر خفض التكلفة من خلال عقود موحدة، أو إدارة الطاقة، أو الصيانة الوقائية، أو التخلص من الأصول المكلفة. كما يمكن تحقيق إيرادات من التأجير أو الاستثمار عندما تسمح الأنظمة ولا يؤثر ذلك في الاحتياج الحكومي.</w:t>
      </w:r>
    </w:p>
    <w:p w14:paraId="79348825"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4" w:name="_Toc235205594"/>
      <w:r w:rsidRPr="00AE1FD7">
        <w:rPr>
          <w:rFonts w:ascii="Sakkal Majalla" w:eastAsia="Noto Kufi Arabic" w:hAnsi="Sakkal Majalla" w:cs="Sakkal Majalla"/>
          <w:sz w:val="36"/>
          <w:szCs w:val="36"/>
          <w:rtl/>
          <w:lang w:val="ar-SA"/>
        </w:rPr>
        <w:t xml:space="preserve">2.3.6 البيانات </w:t>
      </w:r>
      <w:proofErr w:type="spellStart"/>
      <w:r w:rsidRPr="00AE1FD7">
        <w:rPr>
          <w:rFonts w:ascii="Sakkal Majalla" w:eastAsia="Noto Kufi Arabic" w:hAnsi="Sakkal Majalla" w:cs="Sakkal Majalla"/>
          <w:sz w:val="36"/>
          <w:szCs w:val="36"/>
          <w:rtl/>
          <w:lang w:val="ar-SA"/>
        </w:rPr>
        <w:t>والرقمنة</w:t>
      </w:r>
      <w:proofErr w:type="spellEnd"/>
      <w:r w:rsidRPr="00AE1FD7">
        <w:rPr>
          <w:rFonts w:ascii="Sakkal Majalla" w:eastAsia="Noto Kufi Arabic" w:hAnsi="Sakkal Majalla" w:cs="Sakkal Majalla"/>
          <w:sz w:val="36"/>
          <w:szCs w:val="36"/>
          <w:rtl/>
          <w:lang w:val="ar-SA"/>
        </w:rPr>
        <w:t xml:space="preserve"> في إدارة الأصول</w:t>
      </w:r>
      <w:r w:rsidR="00936267">
        <w:rPr>
          <w:rFonts w:ascii="Sakkal Majalla" w:eastAsia="Noto Kufi Arabic" w:hAnsi="Sakkal Majalla" w:cs="Sakkal Majalla" w:hint="cs"/>
          <w:sz w:val="36"/>
          <w:szCs w:val="36"/>
          <w:rtl/>
          <w:lang w:val="ar-SA"/>
        </w:rPr>
        <w:t>:</w:t>
      </w:r>
      <w:bookmarkEnd w:id="34"/>
    </w:p>
    <w:p w14:paraId="6F57EA5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البيانات هي البنية الأساسية للقرار العقاري. وتشمل بيانات التعريف والملكية والموقع والمساحة والاستخدام والحالة والقيمة والعمر والصيانة والعقود والطاقة والمخاطر. ويجب أن ترتبط هذه البيانات بمعرّف موحد للأصل، وأن تحدد مصادرها ومسؤوليات تحديثها </w:t>
      </w:r>
      <w:r w:rsidRPr="00AE1FD7">
        <w:rPr>
          <w:rFonts w:ascii="Sakkal Majalla" w:hAnsi="Sakkal Majalla" w:cs="Sakkal Majalla"/>
          <w:color w:val="000000"/>
          <w:sz w:val="36"/>
          <w:szCs w:val="36"/>
          <w:rtl/>
          <w:lang w:val="ar-SA"/>
        </w:rPr>
        <w:lastRenderedPageBreak/>
        <w:t>وقواعد جودتها. وتؤدي السجلات غير المكتملة إلى تقديرات خاطئة للاحتياج والتكلفة، وتضعف المحاسبة والمراجعة.</w:t>
      </w:r>
    </w:p>
    <w:p w14:paraId="1AC662B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وتشمل الأدوات الرقمية نظم إدارة الأصول المؤسسية، ونظم إدارة المرافق المتكاملة، ونظم المعلومات الجغرافية، ونمذجة معلومات البناء، وأجهزة الاستشعار، ولوحات ذكاء الأعمال. وتكمن القيمة في التكامل لا في امتلاك أنظمة منفصلة؛ إذ ينبغي أن يتبادل نظام الأصول البيانات مع النظام المالي والمشتريات والعقود والموارد البشرية والمشروعات، حتى يستطيع متخذ القرار قراءة الأصل من زوايا مالية وفنية وتشغيلية.</w:t>
      </w:r>
    </w:p>
    <w:p w14:paraId="47C63FE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كما تسمح التحليلات باكتشاف الأنماط غير المرئية، مثل ارتفاع كلفة الصيانة في نوع معين من المباني، أو المواقع ذات الأعطال المتكررة، أو العقود التي تتجاوز مستويات المقارنة، أو الأصول منخفضة الاستخدام. غير أن </w:t>
      </w:r>
      <w:proofErr w:type="spellStart"/>
      <w:r w:rsidRPr="00AE1FD7">
        <w:rPr>
          <w:rFonts w:ascii="Sakkal Majalla" w:hAnsi="Sakkal Majalla" w:cs="Sakkal Majalla"/>
          <w:color w:val="000000"/>
          <w:sz w:val="36"/>
          <w:szCs w:val="36"/>
          <w:rtl/>
          <w:lang w:val="ar-SA"/>
        </w:rPr>
        <w:t>الرقمنة</w:t>
      </w:r>
      <w:proofErr w:type="spellEnd"/>
      <w:r w:rsidRPr="00AE1FD7">
        <w:rPr>
          <w:rFonts w:ascii="Sakkal Majalla" w:hAnsi="Sakkal Majalla" w:cs="Sakkal Majalla"/>
          <w:color w:val="000000"/>
          <w:sz w:val="36"/>
          <w:szCs w:val="36"/>
          <w:rtl/>
          <w:lang w:val="ar-SA"/>
        </w:rPr>
        <w:t xml:space="preserve"> قد تفشل إذا لم تسبقها حوكمة للبيانات وتنظيف للسجلات وتوحيد للتعريفات، لأن النظام الرقمي يسرّع المشكلة إذا كانت المدخلات ضعيفة (</w:t>
      </w: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Kapur</w:t>
      </w:r>
      <w:proofErr w:type="spellEnd"/>
      <w:r w:rsidRPr="00AE1FD7">
        <w:rPr>
          <w:rFonts w:ascii="Sakkal Majalla" w:hAnsi="Sakkal Majalla" w:cs="Sakkal Majalla"/>
          <w:color w:val="000000"/>
          <w:sz w:val="36"/>
          <w:szCs w:val="36"/>
          <w:rtl/>
          <w:lang w:val="ar-SA"/>
        </w:rPr>
        <w:t>, 2013؛ ISO 55013, 2024).</w:t>
      </w:r>
    </w:p>
    <w:p w14:paraId="1B8F5672"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5" w:name="_Toc235205595"/>
      <w:r w:rsidRPr="00AE1FD7">
        <w:rPr>
          <w:rFonts w:ascii="Sakkal Majalla" w:eastAsia="Noto Kufi Arabic" w:hAnsi="Sakkal Majalla" w:cs="Sakkal Majalla"/>
          <w:sz w:val="36"/>
          <w:szCs w:val="36"/>
          <w:rtl/>
          <w:lang w:val="ar-SA"/>
        </w:rPr>
        <w:t>2.3.7 إدارة المخاطر والمرونة</w:t>
      </w:r>
      <w:r w:rsidR="00936267">
        <w:rPr>
          <w:rFonts w:ascii="Sakkal Majalla" w:eastAsia="Noto Kufi Arabic" w:hAnsi="Sakkal Majalla" w:cs="Sakkal Majalla" w:hint="cs"/>
          <w:sz w:val="36"/>
          <w:szCs w:val="36"/>
          <w:rtl/>
          <w:lang w:val="ar-SA"/>
        </w:rPr>
        <w:t>:</w:t>
      </w:r>
      <w:bookmarkEnd w:id="35"/>
    </w:p>
    <w:p w14:paraId="64F403B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تشمل مخاطر العقار الحكومي مخاطر السلامة والحرائق والتقادم والفشل الفني والامتثال والتلوث والكوارث والانقطاع والمطالبات والعقود والتكاليف غير المتوقعة. وتتباين الأولوية بحسب احتمال الخطر وتأثيره على الأرواح والخدمة والمال والسمعة. ولذلك ينبغي وجود سجل مخاطر مرتبط بكل أصل وخطط معالجة ومراقبة ومؤشرات إنذار.</w:t>
      </w:r>
    </w:p>
    <w:p w14:paraId="00406FF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وتوسع المرونة نطاق إدارة المخاطر من منع الحوادث إلى قدرة الأصل والخدمة على الاستمرار والتعافي. وقد تتطلب المرونة بدائل تشغيل، أو ازدواجية لبعض الأنظمة، أو خطط طوارئ، أو تأميناً، أو تصميمات تتحمل الظروف المناخية. ويجب أن تُدمج هذه الاعتبارات في قرارات الاستثمار والصيانة، لأن أقل البدائل كلفة في الظروف العادية قد يكون أكثرها كلفة عند وقوع انقطاع كبير.</w:t>
      </w:r>
    </w:p>
    <w:p w14:paraId="4312EA7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6" w:name="_Toc235205596"/>
      <w:r w:rsidRPr="00AE1FD7">
        <w:rPr>
          <w:rFonts w:ascii="Sakkal Majalla" w:eastAsia="Noto Kufi Arabic" w:hAnsi="Sakkal Majalla" w:cs="Sakkal Majalla"/>
          <w:sz w:val="36"/>
          <w:szCs w:val="36"/>
          <w:rtl/>
          <w:lang w:val="ar-SA"/>
        </w:rPr>
        <w:t>2.3.8 مؤشرات أداء إدارة الممتلكات</w:t>
      </w:r>
      <w:r w:rsidR="00936267">
        <w:rPr>
          <w:rFonts w:ascii="Sakkal Majalla" w:eastAsia="Noto Kufi Arabic" w:hAnsi="Sakkal Majalla" w:cs="Sakkal Majalla" w:hint="cs"/>
          <w:sz w:val="36"/>
          <w:szCs w:val="36"/>
          <w:rtl/>
          <w:lang w:val="ar-SA"/>
        </w:rPr>
        <w:t>:</w:t>
      </w:r>
      <w:bookmarkEnd w:id="36"/>
    </w:p>
    <w:p w14:paraId="47BA558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تحتاج الإدارة إلى مزيج من مؤشرات المدخلات والعمليات والمخرجات والنتائج. وتشمل مؤشرات البيانات نسبة اكتمال السجل ودقة الموقع والقيمة ودورية التحديث. وتشمل مؤشرات الاستخدام نسبة الإشغال والمساحة لكل موظف ومعدل الأصول غير المستغلة. وتشمل مؤشرات التكلفة كلفة الصيانة والطاقة لكل متر مربع، والتكلفة الكلية للملكية، ونسبة الاستئجار إلى البدائل.</w:t>
      </w:r>
    </w:p>
    <w:p w14:paraId="527063BA"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أما مؤشرات الأداء الفني فتشمل الجاهزية، وتكرار الأعطال، ومتوسط الزمن بين الأعطال، وزمن الإصلاح، ونسبة الصيانة الوقائية، ومؤشر حالة الأصل. وتشمل مؤشرات الحوكمة نسبة القرارات التي خضعت لتحليل بدائل، ونسبة التوصيات الرقابية المغلقة، ودورية تقارير المحفظة، ومستوى الالتزام بمصفوفة الصلاحيات. ويجب ألا تتحول المؤشرات إلى غاية، بل تستخدم في الحوار الإداري واتخاذ القرار والتحسين.</w:t>
      </w:r>
    </w:p>
    <w:p w14:paraId="3CAEB32F" w14:textId="77777777" w:rsidR="00936267" w:rsidRPr="00AE1FD7" w:rsidRDefault="00936267" w:rsidP="00936267">
      <w:pPr>
        <w:bidi/>
        <w:spacing w:after="0" w:line="240" w:lineRule="auto"/>
        <w:rPr>
          <w:rFonts w:ascii="Sakkal Majalla" w:hAnsi="Sakkal Majalla" w:cs="Sakkal Majalla"/>
          <w:sz w:val="36"/>
          <w:szCs w:val="36"/>
        </w:rPr>
      </w:pPr>
    </w:p>
    <w:p w14:paraId="151CD909" w14:textId="77777777" w:rsidR="00986803" w:rsidRPr="00AE1FD7" w:rsidRDefault="00DB29B7" w:rsidP="00936267">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37" w:name="_Toc235205597"/>
      <w:r w:rsidRPr="00AE1FD7">
        <w:rPr>
          <w:rFonts w:ascii="Sakkal Majalla" w:eastAsia="Noto Kufi Arabic" w:hAnsi="Sakkal Majalla" w:cs="Sakkal Majalla"/>
          <w:sz w:val="36"/>
          <w:szCs w:val="36"/>
          <w:rtl/>
          <w:lang w:val="ar-SA"/>
        </w:rPr>
        <w:t>2.4 كفاءة الإنفاق الحكومي العقاري</w:t>
      </w:r>
      <w:bookmarkEnd w:id="37"/>
    </w:p>
    <w:p w14:paraId="0EBEE24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8" w:name="_Toc235205598"/>
      <w:r w:rsidRPr="00AE1FD7">
        <w:rPr>
          <w:rFonts w:ascii="Sakkal Majalla" w:eastAsia="Noto Kufi Arabic" w:hAnsi="Sakkal Majalla" w:cs="Sakkal Majalla"/>
          <w:sz w:val="36"/>
          <w:szCs w:val="36"/>
          <w:rtl/>
          <w:lang w:val="ar-SA"/>
        </w:rPr>
        <w:t>2.4.1 مفهوم الكفاءة والتمييز بينها وبين الاقتصاد والفاعلية</w:t>
      </w:r>
      <w:r w:rsidR="00936267">
        <w:rPr>
          <w:rFonts w:ascii="Sakkal Majalla" w:eastAsia="Noto Kufi Arabic" w:hAnsi="Sakkal Majalla" w:cs="Sakkal Majalla" w:hint="cs"/>
          <w:sz w:val="36"/>
          <w:szCs w:val="36"/>
          <w:rtl/>
          <w:lang w:val="ar-SA"/>
        </w:rPr>
        <w:t>:</w:t>
      </w:r>
      <w:bookmarkEnd w:id="38"/>
    </w:p>
    <w:p w14:paraId="4BFB4D2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يشير الاقتصاد إلى الحصول على المدخلات بالمواصفات المناسبة وبأقل تكلفة معقولة، بينما تعني الكفاءة تحويل المدخلات إلى مخرجات بأفضل نسبة ممكنة، وتشير الفاعلية إلى تحقيق الأهداف والنتائج المستهدفة. أما القيمة مقابل المال فتجمع الأبعاد الثلاثة مع الاعتبارات النوعية والمخاطر والاستدامة. ففي عقد صيانة مثلاً، قد يتحقق الاقتصاد بسعر منخفض، لكن الكفاءة لا تتحقق إذا كثرت الأعطال، والفاعلية لا تتحقق إذا تعطلت الخدمة، والقيمة لا تتحقق إذا نتجت مخاطر سلامة مرتفعة.</w:t>
      </w:r>
    </w:p>
    <w:p w14:paraId="02CBB41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وقد بينت دراسة مقارنة لدول مجموعة العشرين أن قياس كفاءة الإنفاق يختلف عن قياس الأداء؛ فقد يحقق قطاع نتائج جيدة لكنه يستخدم موارد أعلى من الدول المقارنة. وتفيد هذه النتيجة في المجال العقاري لأن ارتفاع جودة المبنى لا يعني بالضرورة كفاءة تكلفته، كما أن انخفاض المصروف لا يعني جودة الأداء (الخريجي، 2021؛ </w:t>
      </w:r>
      <w:proofErr w:type="spellStart"/>
      <w:r w:rsidRPr="00AE1FD7">
        <w:rPr>
          <w:rFonts w:ascii="Sakkal Majalla" w:hAnsi="Sakkal Majalla" w:cs="Sakkal Majalla"/>
          <w:color w:val="000000"/>
          <w:sz w:val="36"/>
          <w:szCs w:val="36"/>
          <w:rtl/>
          <w:lang w:val="ar-SA"/>
        </w:rPr>
        <w:t>Afonso</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2005).</w:t>
      </w:r>
    </w:p>
    <w:p w14:paraId="5BC80DC0"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39" w:name="_Toc235205599"/>
      <w:r w:rsidRPr="00AE1FD7">
        <w:rPr>
          <w:rFonts w:ascii="Sakkal Majalla" w:eastAsia="Noto Kufi Arabic" w:hAnsi="Sakkal Majalla" w:cs="Sakkal Majalla"/>
          <w:sz w:val="36"/>
          <w:szCs w:val="36"/>
          <w:rtl/>
          <w:lang w:val="ar-SA"/>
        </w:rPr>
        <w:t>2.4.2 مكونات الإنفاق الحكومي العقاري</w:t>
      </w:r>
      <w:r w:rsidR="00936267">
        <w:rPr>
          <w:rFonts w:ascii="Sakkal Majalla" w:eastAsia="Noto Kufi Arabic" w:hAnsi="Sakkal Majalla" w:cs="Sakkal Majalla" w:hint="cs"/>
          <w:sz w:val="36"/>
          <w:szCs w:val="36"/>
          <w:rtl/>
          <w:lang w:val="ar-SA"/>
        </w:rPr>
        <w:t>:</w:t>
      </w:r>
      <w:bookmarkEnd w:id="39"/>
    </w:p>
    <w:p w14:paraId="24C4583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يتكون الإنفاق العقاري من نفقات رأسمالية مثل الشراء والإنشاء والتطوير والتجديد الكبير، ونفقات تشغيلية مثل الإيجار والطاقة والنظافة والأمن والصيانة والخدمات، وتكاليف غير مباشرة مثل إدارة العقود والبيانات والتوقف وفقد الإنتاجية. كما تنشأ التزامات مستقبلية من العقود طويلة الأجل وإعادة التأهيل والإزالة.</w:t>
      </w:r>
    </w:p>
    <w:p w14:paraId="1B79222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ويؤدي الفصل المحاسبي بين الموازنات الرأسمالية والتشغيلية أحياناً إلى قرارات دون المستوى الأمثل، لأن الجهة قد تخفض كلفة الإنشاء على حساب ارتفاع التشغيل، أو تؤجل التجديد لتجنب بند رأسمالي ثم تتحمل صيانة طارئة متكررة. ولذلك تدعو إدارة دورة الحياة إلى قراءة التكلفة الكلية وتنسيق القرارات المالية والفنية (ISO 55010, 2024؛ OECD, 2025).</w:t>
      </w:r>
    </w:p>
    <w:p w14:paraId="1120FD47"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0" w:name="_Toc235205600"/>
      <w:r w:rsidRPr="00AE1FD7">
        <w:rPr>
          <w:rFonts w:ascii="Sakkal Majalla" w:eastAsia="Noto Kufi Arabic" w:hAnsi="Sakkal Majalla" w:cs="Sakkal Majalla"/>
          <w:sz w:val="36"/>
          <w:szCs w:val="36"/>
          <w:rtl/>
          <w:lang w:val="ar-SA"/>
        </w:rPr>
        <w:lastRenderedPageBreak/>
        <w:t>2.4.3 ترشيد التملك والاستئجار</w:t>
      </w:r>
      <w:r w:rsidR="00936267">
        <w:rPr>
          <w:rFonts w:ascii="Sakkal Majalla" w:eastAsia="Noto Kufi Arabic" w:hAnsi="Sakkal Majalla" w:cs="Sakkal Majalla" w:hint="cs"/>
          <w:sz w:val="36"/>
          <w:szCs w:val="36"/>
          <w:rtl/>
          <w:lang w:val="ar-SA"/>
        </w:rPr>
        <w:t>:</w:t>
      </w:r>
      <w:bookmarkEnd w:id="40"/>
    </w:p>
    <w:p w14:paraId="39A159F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تحتاج قرارات التملك والاستئجار إلى تحليل الطلب المتوقع، ومدة الحاجة، والمرونة، والتكلفة الحالية والمستقبلية، والموقع، والمخاطر، والقيمة المتبقية. فالتملك قد يكون أكثر ملاءمة للاحتياجات الدائمة والمواقع الاستراتيجية، بينما يوفر الاستئجار مرونة في الاحتياجات المؤقتة أو المتغيرة. ويظهر الهدر عندما يستمر عقد الإيجار تلقائياً دون اختبار البدائل، أو تُشترى مساحة تفوق الحاجة، أو لا تُستخدم الأصول المملوكة المتاحة.</w:t>
      </w:r>
    </w:p>
    <w:p w14:paraId="7E055C6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وتدعم ضوابط تخصيص عقارات الدولة هذا المنطق عبر اشتراط خطة للاحتياج المستقبلي والتحقق من عدم وجود أصل غير مستغل يفي بالغرض. كما يتيح سجل موحد للأصول مقارنة الطلب بالمخزون المتاح بين الجهات والمناطق، وهو ما يصعب تحقيقه في ظل البيانات المتفرقة (الهيئة العامة لعقارات الدولة، 2024أ).</w:t>
      </w:r>
    </w:p>
    <w:p w14:paraId="2EB5D48C"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1" w:name="_Toc235205601"/>
      <w:r w:rsidRPr="00AE1FD7">
        <w:rPr>
          <w:rFonts w:ascii="Sakkal Majalla" w:eastAsia="Noto Kufi Arabic" w:hAnsi="Sakkal Majalla" w:cs="Sakkal Majalla"/>
          <w:sz w:val="36"/>
          <w:szCs w:val="36"/>
          <w:rtl/>
          <w:lang w:val="ar-SA"/>
        </w:rPr>
        <w:t>2.4.4 كفاءة التشغيل والصيانة</w:t>
      </w:r>
      <w:r w:rsidR="00936267">
        <w:rPr>
          <w:rFonts w:ascii="Sakkal Majalla" w:eastAsia="Noto Kufi Arabic" w:hAnsi="Sakkal Majalla" w:cs="Sakkal Majalla" w:hint="cs"/>
          <w:sz w:val="36"/>
          <w:szCs w:val="36"/>
          <w:rtl/>
          <w:lang w:val="ar-SA"/>
        </w:rPr>
        <w:t>:</w:t>
      </w:r>
      <w:bookmarkEnd w:id="41"/>
    </w:p>
    <w:p w14:paraId="10A7DA8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تمثل الصيانة والتشغيل جزءاً كبيراً من التكلفة على مدى عمر المبنى. وتتحسن الكفاءة عندما تُصنف الأصول بحسب الحرجية والحالة، وتحدد مستويات الخدمة، وتُخطط الأعمال الوقائية، وتستخدم عقود قائمة على الأداء، وتقارن الكلفة بين المواقع، وتراقب استهلاك الطاقة والمواد. كما تتطلب الكفاءة توافر معلومات دقيقة عن أوامر العمل وقطع الغيار والأعطال والضمانات.</w:t>
      </w:r>
    </w:p>
    <w:p w14:paraId="1276199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ولا يعني خفض الصيانة رفع الكفاءة؛ فقد يؤدي إلى تراكم «دين صيانة» يظهر لاحقاً في صورة أعطال وتجديد مكلف. لذلك يجب قياس نسبة الصيانة الوقائية إلى التفاعلية، ومؤشر الحالة، وتكلفة دورة الحياة، وربط الموازنة بالمخاطر. ويُفضل توجيه الموارد إلى الأصول الأعلى أهمية والأكثر تعرضاً للفشل بدلاً من توزيعها بالتساوي.</w:t>
      </w:r>
    </w:p>
    <w:p w14:paraId="57C0C5C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2" w:name="_Toc235205602"/>
      <w:r w:rsidRPr="00AE1FD7">
        <w:rPr>
          <w:rFonts w:ascii="Sakkal Majalla" w:eastAsia="Noto Kufi Arabic" w:hAnsi="Sakkal Majalla" w:cs="Sakkal Majalla"/>
          <w:sz w:val="36"/>
          <w:szCs w:val="36"/>
          <w:rtl/>
          <w:lang w:val="ar-SA"/>
        </w:rPr>
        <w:t>2.4.5 تحسين الاستفادة من الأصول</w:t>
      </w:r>
      <w:r w:rsidR="00936267">
        <w:rPr>
          <w:rFonts w:ascii="Sakkal Majalla" w:eastAsia="Noto Kufi Arabic" w:hAnsi="Sakkal Majalla" w:cs="Sakkal Majalla" w:hint="cs"/>
          <w:sz w:val="36"/>
          <w:szCs w:val="36"/>
          <w:rtl/>
          <w:lang w:val="ar-SA"/>
        </w:rPr>
        <w:t>:</w:t>
      </w:r>
      <w:bookmarkEnd w:id="42"/>
    </w:p>
    <w:p w14:paraId="1970D3F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يقيس الاستخدام مدى توظيف الأصل في الغرض المخصص له مقارنة بسعته. وقد يكون الأصل مشغولاً لكنه منخفض الكفاءة إذا كانت مساحاته غير مستثمرة، أو ساعات استخدامه محدودة، أو موقعه لا يخدم المستفيدين. ويتطلب القياس بيانات الإشغال والمساحة والطلب والخدمة، مع مراعاة طبيعة الأصل؛ فلا تقاس المستشفيات بالمعيار نفسه الذي تقاس به المكاتب.</w:t>
      </w:r>
    </w:p>
    <w:p w14:paraId="18806EB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ويتيح تحسين الاستخدام تأجيل إنشاءات جديدة، وتقليل الإيجارات، وتوحيد الخدمات، وإعادة تخصيص الأصول. كما يتطلب مساراً واضحاً للتعامل مع الأصل الفائض: التحقق من </w:t>
      </w:r>
      <w:r w:rsidRPr="00AE1FD7">
        <w:rPr>
          <w:rFonts w:ascii="Sakkal Majalla" w:hAnsi="Sakkal Majalla" w:cs="Sakkal Majalla"/>
          <w:color w:val="000000"/>
          <w:sz w:val="36"/>
          <w:szCs w:val="36"/>
          <w:rtl/>
          <w:lang w:val="ar-SA"/>
        </w:rPr>
        <w:lastRenderedPageBreak/>
        <w:t>الاحتياج المستقبلي، ثم إعادة الاستخدام أو النقل أو الاستثمار أو التخارج وفق الأنظمة. ويُعد الاحتفاظ غير المبرر بالأصل شكلاً من تكلفة الفرصة البديلة حتى لو لم يظهر إنفاق نقدي مباشر.</w:t>
      </w:r>
    </w:p>
    <w:p w14:paraId="12234C7A"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3" w:name="_Toc235205603"/>
      <w:r w:rsidRPr="00AE1FD7">
        <w:rPr>
          <w:rFonts w:ascii="Sakkal Majalla" w:eastAsia="Noto Kufi Arabic" w:hAnsi="Sakkal Majalla" w:cs="Sakkal Majalla"/>
          <w:sz w:val="36"/>
          <w:szCs w:val="36"/>
          <w:rtl/>
          <w:lang w:val="ar-SA"/>
        </w:rPr>
        <w:t>2.4.6 جودة القرار والحد من الهدر</w:t>
      </w:r>
      <w:r w:rsidR="00936267">
        <w:rPr>
          <w:rFonts w:ascii="Sakkal Majalla" w:eastAsia="Noto Kufi Arabic" w:hAnsi="Sakkal Majalla" w:cs="Sakkal Majalla" w:hint="cs"/>
          <w:sz w:val="36"/>
          <w:szCs w:val="36"/>
          <w:rtl/>
          <w:lang w:val="ar-SA"/>
        </w:rPr>
        <w:t>:</w:t>
      </w:r>
      <w:bookmarkEnd w:id="43"/>
    </w:p>
    <w:p w14:paraId="6F39A56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يتسم القرار العقاري بالجسامة وطول الأثر، ولذلك يجب أن يوثق المشكلة والاحتياج والبدائل والافتراضات والتكلفة والمخاطر والأثر على الخدمة. وتزداد الجودة بوجود لجنة متعددة التخصصات وبيانات موحدة وتحليل حساسية ومراجعة لاحقة لمدى تحقق المنافع. كما يجب الاحتفاظ بسجل للقرارات يتيح التعلم والمساءلة.</w:t>
      </w:r>
    </w:p>
    <w:p w14:paraId="118C673F"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ويتخذ الهدر صوراً متعددة: شراء أو استئجار غير ضروري، مساحات فائضة، صيانة متكررة دون معالجة السبب، عقود غير مضبوطة، استهلاك طاقة مرتفع، أصول مفقودة أو غير موثقة، تأخر التخارج، وعدم الاستفادة من الضمانات. وتستطيع الحوكمة تقليل هذه الصور لأنها تجعل التكاليف والنتائج واضحة، وتربط القرار بصاحب مسؤولية، وتفرض مراجعة للبدائل.</w:t>
      </w:r>
    </w:p>
    <w:p w14:paraId="5261A025" w14:textId="77777777" w:rsidR="00936267" w:rsidRPr="00AE1FD7" w:rsidRDefault="00936267" w:rsidP="00936267">
      <w:pPr>
        <w:bidi/>
        <w:spacing w:after="0" w:line="240" w:lineRule="auto"/>
        <w:rPr>
          <w:rFonts w:ascii="Sakkal Majalla" w:hAnsi="Sakkal Majalla" w:cs="Sakkal Majalla"/>
          <w:sz w:val="36"/>
          <w:szCs w:val="36"/>
        </w:rPr>
      </w:pPr>
    </w:p>
    <w:p w14:paraId="0649977E" w14:textId="77777777" w:rsidR="00986803" w:rsidRPr="00AE1FD7" w:rsidRDefault="00DB29B7" w:rsidP="00936267">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44" w:name="_Toc235205604"/>
      <w:r w:rsidRPr="00AE1FD7">
        <w:rPr>
          <w:rFonts w:ascii="Sakkal Majalla" w:eastAsia="Noto Kufi Arabic" w:hAnsi="Sakkal Majalla" w:cs="Sakkal Majalla"/>
          <w:sz w:val="36"/>
          <w:szCs w:val="36"/>
          <w:rtl/>
          <w:lang w:val="ar-SA"/>
        </w:rPr>
        <w:t>2.5 البيئة السعودية لإدارة الممتلكات وكفاءة الإنفاق</w:t>
      </w:r>
      <w:bookmarkEnd w:id="44"/>
    </w:p>
    <w:p w14:paraId="50456D67"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5" w:name="_Toc235205605"/>
      <w:r w:rsidRPr="00AE1FD7">
        <w:rPr>
          <w:rFonts w:ascii="Sakkal Majalla" w:eastAsia="Noto Kufi Arabic" w:hAnsi="Sakkal Majalla" w:cs="Sakkal Majalla"/>
          <w:sz w:val="36"/>
          <w:szCs w:val="36"/>
          <w:rtl/>
          <w:lang w:val="ar-SA"/>
        </w:rPr>
        <w:t>2.5.1 رؤية السعودية 2030 والاستدامة المالية</w:t>
      </w:r>
      <w:r w:rsidR="00936267">
        <w:rPr>
          <w:rFonts w:ascii="Sakkal Majalla" w:eastAsia="Noto Kufi Arabic" w:hAnsi="Sakkal Majalla" w:cs="Sakkal Majalla" w:hint="cs"/>
          <w:sz w:val="36"/>
          <w:szCs w:val="36"/>
          <w:rtl/>
          <w:lang w:val="ar-SA"/>
        </w:rPr>
        <w:t>:</w:t>
      </w:r>
      <w:bookmarkEnd w:id="45"/>
    </w:p>
    <w:p w14:paraId="1282DDD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جعلت رؤية السعودية 2030 من «وطن طموح» ركيزة تتضمن حكومة فاعلة ومسؤولة وشفافة، وركزت على التخطيط المالي ورفع كفاءة الإنفاق وتحسين إدارة الموارد. ويعكس برنامج الاستدامة المالية انتقالاً من معالجة قصيرة الأجل للعجز إلى بناء منظومة تخطيط وميزانية وأداء ومخاطر قادرة على دعم الاستقرار والتنمية. وتندرج الممتلكات العامة ضمن هذه المنظومة لأنها تمثل رصيداً ضخماً وتولد نفقات رأسمالية وتشغيلية طويلة الأجل (رؤية السعودية 2030، 2025).</w:t>
      </w:r>
    </w:p>
    <w:p w14:paraId="4185374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وتظهر أهمية الربط بين الإنفاق والأصول في أن القرارات العقارية يمكن أن تحرر موارد لقطاعات ذات أولوية دون خفض جودة الخدمة. فرفع استخدام المباني، وإعادة تخصيص أصل قائم، وتوحيد العقود، وخفض الطاقة، وتجنب الإنشاء غير الضروري، كلها فرص كفاءة لا تعتمد على تقليص الخدمة، بل على إعادة تصميم طريقة تقديمها.</w:t>
      </w:r>
    </w:p>
    <w:p w14:paraId="2EA68525"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6" w:name="_Toc235205606"/>
      <w:r w:rsidRPr="00AE1FD7">
        <w:rPr>
          <w:rFonts w:ascii="Sakkal Majalla" w:eastAsia="Noto Kufi Arabic" w:hAnsi="Sakkal Majalla" w:cs="Sakkal Majalla"/>
          <w:sz w:val="36"/>
          <w:szCs w:val="36"/>
          <w:rtl/>
          <w:lang w:val="ar-SA"/>
        </w:rPr>
        <w:lastRenderedPageBreak/>
        <w:t>2.5.2 هيئة كفاءة الإنفاق والمشروعات الحكومية</w:t>
      </w:r>
      <w:r w:rsidR="00936267">
        <w:rPr>
          <w:rFonts w:ascii="Sakkal Majalla" w:eastAsia="Noto Kufi Arabic" w:hAnsi="Sakkal Majalla" w:cs="Sakkal Majalla" w:hint="cs"/>
          <w:sz w:val="36"/>
          <w:szCs w:val="36"/>
          <w:rtl/>
          <w:lang w:val="ar-SA"/>
        </w:rPr>
        <w:t>:</w:t>
      </w:r>
      <w:bookmarkEnd w:id="46"/>
    </w:p>
    <w:p w14:paraId="454EBAE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تعمل الهيئة على تعزيز كفاءة الإنفاق الحكومي ورفع جودة المشروعات والأصول والمرافق والمشتريات، وتطوير المنهجيات والأدلة وبناء القدرات ودعم الجهات. ويُعد الدليل الوطني لإدارة الأصول والمرافق أداة مركزية في توحيد الممارسات، إذ يتكون من سبعة عشر مجلداً ويغطي التخطيط والاستلام والتشغيل والصيانة والعقود والأداء والمخاطر والتخلص (هيئة كفاءة الإنفاق والمشروعات الحكومية، 2024أ).</w:t>
      </w:r>
    </w:p>
    <w:p w14:paraId="7865F1C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وتشير التطبيقات القطاعية المنشورة إلى أن تبني الدليل يمكن أن يرتبط بتحسن ممارسات إدارة الأصول وخفض تكلفة وحدة التشغيل والصيانة، إلا أن حجم الأثر يختلف وفق جاهزية الجهة والبيانات والقيادة. وهذا يدعم فكرة الدراسة بأن الحوكمة هي الآلية التي تحول الدليل من وثيقة إلى نتائج.</w:t>
      </w:r>
    </w:p>
    <w:p w14:paraId="79FA789F"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7" w:name="_Toc235205607"/>
      <w:r w:rsidRPr="00AE1FD7">
        <w:rPr>
          <w:rFonts w:ascii="Sakkal Majalla" w:eastAsia="Noto Kufi Arabic" w:hAnsi="Sakkal Majalla" w:cs="Sakkal Majalla"/>
          <w:sz w:val="36"/>
          <w:szCs w:val="36"/>
          <w:rtl/>
          <w:lang w:val="ar-SA"/>
        </w:rPr>
        <w:t>2.5.3 الهيئة العامة لعقارات الدولة</w:t>
      </w:r>
      <w:r w:rsidR="00936267">
        <w:rPr>
          <w:rFonts w:ascii="Sakkal Majalla" w:eastAsia="Noto Kufi Arabic" w:hAnsi="Sakkal Majalla" w:cs="Sakkal Majalla" w:hint="cs"/>
          <w:sz w:val="36"/>
          <w:szCs w:val="36"/>
          <w:rtl/>
          <w:lang w:val="ar-SA"/>
        </w:rPr>
        <w:t>:</w:t>
      </w:r>
      <w:bookmarkEnd w:id="47"/>
    </w:p>
    <w:p w14:paraId="18F277A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يوضح تنظيم الهيئة أن اختصاصها لا يقتصر على حفظ الملكية، بل يشمل الإشراف والتصرف والتخصيص وإلغاء التخصيص والتكامل والحماية والمتابعة. ويخلق هذا الدور مرجعية وطنية للمحفظة العقارية، ويحد من التجزؤ بين الجهات، ويتيح إعادة توجيه الأصول إلى الاستخدام الأعلى قيمة. كما تدعم اللوائح والضوابط مبادئ الشفافية ودراسة الاحتياج وعدم التوسع غير المبرر (تنظيم الهيئة العامة لعقارات الدولة، 2021؛ الهيئة العامة لعقارات الدولة، 2024ب).</w:t>
      </w:r>
    </w:p>
    <w:p w14:paraId="28E5204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ويحتاج تحقيق التكامل إلى تدفق بيانات منتظم من الجهات المستفيدة إلى الهيئة، وإلى توافق تعريفات الأصل وحالته واستخدامه. كما يجب أن تتسق قرارات التخصيص والاسترداد والتصرف مع خطط الخدمات والموازنات، وهو ما يبرز أهمية الربط بين الحوكمة المركزية والحوكمة الداخلية للجهة.</w:t>
      </w:r>
    </w:p>
    <w:p w14:paraId="7915139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48" w:name="_Toc235205608"/>
      <w:r w:rsidRPr="00AE1FD7">
        <w:rPr>
          <w:rFonts w:ascii="Sakkal Majalla" w:eastAsia="Noto Kufi Arabic" w:hAnsi="Sakkal Majalla" w:cs="Sakkal Majalla"/>
          <w:sz w:val="36"/>
          <w:szCs w:val="36"/>
          <w:rtl/>
          <w:lang w:val="ar-SA"/>
        </w:rPr>
        <w:t>2.5.4 وزارة المالية والتحول إلى أساس الاستحقاق</w:t>
      </w:r>
      <w:r w:rsidR="00936267">
        <w:rPr>
          <w:rFonts w:ascii="Sakkal Majalla" w:eastAsia="Noto Kufi Arabic" w:hAnsi="Sakkal Majalla" w:cs="Sakkal Majalla" w:hint="cs"/>
          <w:sz w:val="36"/>
          <w:szCs w:val="36"/>
          <w:rtl/>
          <w:lang w:val="ar-SA"/>
        </w:rPr>
        <w:t>:</w:t>
      </w:r>
      <w:bookmarkEnd w:id="48"/>
    </w:p>
    <w:p w14:paraId="389E98F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يتيح أساس الاستحقاق عرضاً أكثر اكتمالاً للمركز المالي والأصول والالتزامات وتكلفة الخدمات، ويساعد على حساب الإهلاك والالتزامات وإدارة الأصول بصورة أفضل. وقد تضمن التحول أدلة لحصر الأصول وتقييمها وبناء الأرصدة الافتتاحية، وهو ما يرفع الانضباط في السجلات ويوفر قاعدة للمقارنة والتحليل (وزارة المالية، 2019؛ وزارة المالية، 2020).</w:t>
      </w:r>
    </w:p>
    <w:p w14:paraId="375E623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غير أن السجل المحاسبي وحده لا يكفي لإدارة الأصل؛ فهو يحتاج إلى الربط بالحالة الفنية والاستخدام والصيانة والموقع والعقود. وتتمثل إحدى أهم فرص التحسين في إنشاء «مصدر موحد للحقيقة» يربط البيانات المالية وغير المالية، بما يتفق مع الإرشادات الحديثة لمواءمة الوظائف المالية وغير المالية في إدارة الأصول (ISO 55010, 2024).</w:t>
      </w:r>
    </w:p>
    <w:p w14:paraId="3AE9C951" w14:textId="77777777" w:rsidR="00986803" w:rsidRPr="00936267" w:rsidRDefault="00DB29B7" w:rsidP="00936267">
      <w:pPr>
        <w:keepNext/>
        <w:bidi/>
        <w:spacing w:after="0" w:line="240" w:lineRule="auto"/>
        <w:ind w:firstLine="0"/>
        <w:jc w:val="center"/>
        <w:rPr>
          <w:rFonts w:ascii="Sakkal Majalla" w:hAnsi="Sakkal Majalla" w:cs="Sakkal Majalla"/>
          <w:bCs/>
          <w:sz w:val="36"/>
          <w:szCs w:val="36"/>
        </w:rPr>
      </w:pPr>
      <w:bookmarkStart w:id="49" w:name="table_saudi_framework"/>
      <w:r w:rsidRPr="00936267">
        <w:rPr>
          <w:rFonts w:ascii="Sakkal Majalla" w:eastAsia="Noto Kufi Arabic" w:hAnsi="Sakkal Majalla" w:cs="Sakkal Majalla"/>
          <w:bCs/>
          <w:color w:val="17365D"/>
          <w:sz w:val="36"/>
          <w:szCs w:val="36"/>
          <w:rtl/>
          <w:lang w:val="ar-SA"/>
        </w:rPr>
        <w:t>جدول (5): المنظومة المؤسسية السعودية ذات الصلة بإدارة الممتلكات وكفاءة الإنفاق</w:t>
      </w:r>
      <w:bookmarkEnd w:id="49"/>
    </w:p>
    <w:tbl>
      <w:tblPr>
        <w:bidiVisual/>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7"/>
        <w:gridCol w:w="3755"/>
        <w:gridCol w:w="3610"/>
      </w:tblGrid>
      <w:tr w:rsidR="00986803" w:rsidRPr="00936267" w14:paraId="2328773A" w14:textId="77777777" w:rsidTr="00936267">
        <w:trPr>
          <w:cantSplit/>
          <w:tblHeader/>
          <w:jc w:val="center"/>
        </w:trPr>
        <w:tc>
          <w:tcPr>
            <w:tcW w:w="2007" w:type="dxa"/>
            <w:shd w:val="clear" w:color="auto" w:fill="17365D"/>
            <w:tcMar>
              <w:top w:w="90" w:type="dxa"/>
              <w:left w:w="80" w:type="dxa"/>
              <w:bottom w:w="90" w:type="dxa"/>
              <w:right w:w="80" w:type="dxa"/>
            </w:tcMar>
            <w:vAlign w:val="center"/>
          </w:tcPr>
          <w:p w14:paraId="35DD0843"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eastAsia="Noto Kufi Arabic" w:hAnsi="Sakkal Majalla" w:cs="Sakkal Majalla"/>
                <w:b/>
                <w:color w:val="FFFFFF"/>
                <w:sz w:val="32"/>
                <w:szCs w:val="32"/>
                <w:rtl/>
                <w:lang w:val="ar-SA"/>
              </w:rPr>
              <w:t>الجهة/الأداة</w:t>
            </w:r>
          </w:p>
        </w:tc>
        <w:tc>
          <w:tcPr>
            <w:tcW w:w="3755" w:type="dxa"/>
            <w:shd w:val="clear" w:color="auto" w:fill="17365D"/>
            <w:tcMar>
              <w:top w:w="90" w:type="dxa"/>
              <w:left w:w="80" w:type="dxa"/>
              <w:bottom w:w="90" w:type="dxa"/>
              <w:right w:w="80" w:type="dxa"/>
            </w:tcMar>
            <w:vAlign w:val="center"/>
          </w:tcPr>
          <w:p w14:paraId="7B92B207"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eastAsia="Noto Kufi Arabic" w:hAnsi="Sakkal Majalla" w:cs="Sakkal Majalla"/>
                <w:b/>
                <w:color w:val="FFFFFF"/>
                <w:sz w:val="32"/>
                <w:szCs w:val="32"/>
                <w:rtl/>
                <w:lang w:val="ar-SA"/>
              </w:rPr>
              <w:t>الدور الرئيس</w:t>
            </w:r>
          </w:p>
        </w:tc>
        <w:tc>
          <w:tcPr>
            <w:tcW w:w="3610" w:type="dxa"/>
            <w:shd w:val="clear" w:color="auto" w:fill="17365D"/>
            <w:tcMar>
              <w:top w:w="90" w:type="dxa"/>
              <w:left w:w="80" w:type="dxa"/>
              <w:bottom w:w="90" w:type="dxa"/>
              <w:right w:w="80" w:type="dxa"/>
            </w:tcMar>
            <w:vAlign w:val="center"/>
          </w:tcPr>
          <w:p w14:paraId="45C49F84"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eastAsia="Noto Kufi Arabic" w:hAnsi="Sakkal Majalla" w:cs="Sakkal Majalla"/>
                <w:b/>
                <w:color w:val="FFFFFF"/>
                <w:sz w:val="32"/>
                <w:szCs w:val="32"/>
                <w:rtl/>
                <w:lang w:val="ar-SA"/>
              </w:rPr>
              <w:t>صلة الدور بالدراسة</w:t>
            </w:r>
          </w:p>
        </w:tc>
      </w:tr>
      <w:tr w:rsidR="00986803" w:rsidRPr="00936267" w14:paraId="7A4B3A33" w14:textId="77777777" w:rsidTr="00936267">
        <w:trPr>
          <w:jc w:val="center"/>
        </w:trPr>
        <w:tc>
          <w:tcPr>
            <w:tcW w:w="2007" w:type="dxa"/>
            <w:shd w:val="clear" w:color="auto" w:fill="FFFFFF"/>
            <w:tcMar>
              <w:top w:w="70" w:type="dxa"/>
              <w:left w:w="70" w:type="dxa"/>
              <w:bottom w:w="70" w:type="dxa"/>
              <w:right w:w="70" w:type="dxa"/>
            </w:tcMar>
            <w:vAlign w:val="center"/>
          </w:tcPr>
          <w:p w14:paraId="6272B19A"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رؤية السعودية 2030 وبرنامج الاستدامة المالية</w:t>
            </w:r>
          </w:p>
        </w:tc>
        <w:tc>
          <w:tcPr>
            <w:tcW w:w="3755" w:type="dxa"/>
            <w:shd w:val="clear" w:color="auto" w:fill="FFFFFF"/>
            <w:tcMar>
              <w:top w:w="70" w:type="dxa"/>
              <w:left w:w="70" w:type="dxa"/>
              <w:bottom w:w="70" w:type="dxa"/>
              <w:right w:w="70" w:type="dxa"/>
            </w:tcMar>
            <w:vAlign w:val="center"/>
          </w:tcPr>
          <w:p w14:paraId="6514505D"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رفع كفاءة التخطيط والإنفاق، وإعادة توجيه الموارد نحو الأولويات وتعزيز الشفافية.</w:t>
            </w:r>
          </w:p>
        </w:tc>
        <w:tc>
          <w:tcPr>
            <w:tcW w:w="3610" w:type="dxa"/>
            <w:shd w:val="clear" w:color="auto" w:fill="FFFFFF"/>
            <w:tcMar>
              <w:top w:w="70" w:type="dxa"/>
              <w:left w:w="70" w:type="dxa"/>
              <w:bottom w:w="70" w:type="dxa"/>
              <w:right w:w="70" w:type="dxa"/>
            </w:tcMar>
            <w:vAlign w:val="center"/>
          </w:tcPr>
          <w:p w14:paraId="575BDD72"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يمثلان الإطار الاستراتيجي العام لكفاءة الإنفاق والقيمة العامة.</w:t>
            </w:r>
          </w:p>
        </w:tc>
      </w:tr>
      <w:tr w:rsidR="00986803" w:rsidRPr="00936267" w14:paraId="2855425C" w14:textId="77777777" w:rsidTr="00936267">
        <w:trPr>
          <w:jc w:val="center"/>
        </w:trPr>
        <w:tc>
          <w:tcPr>
            <w:tcW w:w="2007" w:type="dxa"/>
            <w:shd w:val="clear" w:color="auto" w:fill="F2F4F6"/>
            <w:tcMar>
              <w:top w:w="70" w:type="dxa"/>
              <w:left w:w="70" w:type="dxa"/>
              <w:bottom w:w="70" w:type="dxa"/>
              <w:right w:w="70" w:type="dxa"/>
            </w:tcMar>
            <w:vAlign w:val="center"/>
          </w:tcPr>
          <w:p w14:paraId="3304A3EC"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هيئة كفاءة الإنفاق والمشروعات الحكومية</w:t>
            </w:r>
          </w:p>
        </w:tc>
        <w:tc>
          <w:tcPr>
            <w:tcW w:w="3755" w:type="dxa"/>
            <w:shd w:val="clear" w:color="auto" w:fill="F2F4F6"/>
            <w:tcMar>
              <w:top w:w="70" w:type="dxa"/>
              <w:left w:w="70" w:type="dxa"/>
              <w:bottom w:w="70" w:type="dxa"/>
              <w:right w:w="70" w:type="dxa"/>
            </w:tcMar>
            <w:vAlign w:val="center"/>
          </w:tcPr>
          <w:p w14:paraId="54117611"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تطوير المنهجيات والأدلة، وفرق كفاءة الإنفاق، وتحسين استغلال الموارد.</w:t>
            </w:r>
          </w:p>
        </w:tc>
        <w:tc>
          <w:tcPr>
            <w:tcW w:w="3610" w:type="dxa"/>
            <w:shd w:val="clear" w:color="auto" w:fill="F2F4F6"/>
            <w:tcMar>
              <w:top w:w="70" w:type="dxa"/>
              <w:left w:w="70" w:type="dxa"/>
              <w:bottom w:w="70" w:type="dxa"/>
              <w:right w:w="70" w:type="dxa"/>
            </w:tcMar>
            <w:vAlign w:val="center"/>
          </w:tcPr>
          <w:p w14:paraId="3CEB4224"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الدليل الوطني لإدارة الأصول والمرافق يوحد العمليات والإجراءات ويربطها بالأداء.</w:t>
            </w:r>
          </w:p>
        </w:tc>
      </w:tr>
      <w:tr w:rsidR="00986803" w:rsidRPr="00936267" w14:paraId="35D8540C" w14:textId="77777777" w:rsidTr="00936267">
        <w:trPr>
          <w:jc w:val="center"/>
        </w:trPr>
        <w:tc>
          <w:tcPr>
            <w:tcW w:w="2007" w:type="dxa"/>
            <w:shd w:val="clear" w:color="auto" w:fill="FFFFFF"/>
            <w:tcMar>
              <w:top w:w="70" w:type="dxa"/>
              <w:left w:w="70" w:type="dxa"/>
              <w:bottom w:w="70" w:type="dxa"/>
              <w:right w:w="70" w:type="dxa"/>
            </w:tcMar>
            <w:vAlign w:val="center"/>
          </w:tcPr>
          <w:p w14:paraId="69DF90BF"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الهيئة العامة لعقارات الدولة</w:t>
            </w:r>
          </w:p>
        </w:tc>
        <w:tc>
          <w:tcPr>
            <w:tcW w:w="3755" w:type="dxa"/>
            <w:shd w:val="clear" w:color="auto" w:fill="FFFFFF"/>
            <w:tcMar>
              <w:top w:w="70" w:type="dxa"/>
              <w:left w:w="70" w:type="dxa"/>
              <w:bottom w:w="70" w:type="dxa"/>
              <w:right w:w="70" w:type="dxa"/>
            </w:tcMar>
            <w:vAlign w:val="center"/>
          </w:tcPr>
          <w:p w14:paraId="40C0DA9C"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الحصر والتوثيق والتخصيص والاسترداد والتصرف والحماية والتكامل وقاعدة البيانات الجغرافية.</w:t>
            </w:r>
          </w:p>
        </w:tc>
        <w:tc>
          <w:tcPr>
            <w:tcW w:w="3610" w:type="dxa"/>
            <w:shd w:val="clear" w:color="auto" w:fill="FFFFFF"/>
            <w:tcMar>
              <w:top w:w="70" w:type="dxa"/>
              <w:left w:w="70" w:type="dxa"/>
              <w:bottom w:w="70" w:type="dxa"/>
              <w:right w:w="70" w:type="dxa"/>
            </w:tcMar>
            <w:vAlign w:val="center"/>
          </w:tcPr>
          <w:p w14:paraId="418F69BD"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تحدد الحوكمة النظامية للمحفظة العقارية والعلاقة بين الهيئة والجهات المستفيدة.</w:t>
            </w:r>
          </w:p>
        </w:tc>
      </w:tr>
      <w:tr w:rsidR="00986803" w:rsidRPr="00936267" w14:paraId="7015F2BE" w14:textId="77777777" w:rsidTr="00936267">
        <w:trPr>
          <w:jc w:val="center"/>
        </w:trPr>
        <w:tc>
          <w:tcPr>
            <w:tcW w:w="2007" w:type="dxa"/>
            <w:shd w:val="clear" w:color="auto" w:fill="F2F4F6"/>
            <w:tcMar>
              <w:top w:w="70" w:type="dxa"/>
              <w:left w:w="70" w:type="dxa"/>
              <w:bottom w:w="70" w:type="dxa"/>
              <w:right w:w="70" w:type="dxa"/>
            </w:tcMar>
            <w:vAlign w:val="center"/>
          </w:tcPr>
          <w:p w14:paraId="471D28C6"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وزارة المالية والتحول إلى أساس الاستحقاق</w:t>
            </w:r>
          </w:p>
        </w:tc>
        <w:tc>
          <w:tcPr>
            <w:tcW w:w="3755" w:type="dxa"/>
            <w:shd w:val="clear" w:color="auto" w:fill="F2F4F6"/>
            <w:tcMar>
              <w:top w:w="70" w:type="dxa"/>
              <w:left w:w="70" w:type="dxa"/>
              <w:bottom w:w="70" w:type="dxa"/>
              <w:right w:w="70" w:type="dxa"/>
            </w:tcMar>
            <w:vAlign w:val="center"/>
          </w:tcPr>
          <w:p w14:paraId="44B21AA8"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حصر وتقييم الأصول والالتزامات، وتحسين القياس المحاسبي والإفصاح المالي.</w:t>
            </w:r>
          </w:p>
        </w:tc>
        <w:tc>
          <w:tcPr>
            <w:tcW w:w="3610" w:type="dxa"/>
            <w:shd w:val="clear" w:color="auto" w:fill="F2F4F6"/>
            <w:tcMar>
              <w:top w:w="70" w:type="dxa"/>
              <w:left w:w="70" w:type="dxa"/>
              <w:bottom w:w="70" w:type="dxa"/>
              <w:right w:w="70" w:type="dxa"/>
            </w:tcMar>
            <w:vAlign w:val="center"/>
          </w:tcPr>
          <w:p w14:paraId="7FB579FE"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يرفع موثوقية البيانات المالية والتكلفة الكلية للأصول.</w:t>
            </w:r>
          </w:p>
        </w:tc>
      </w:tr>
      <w:tr w:rsidR="00986803" w:rsidRPr="00936267" w14:paraId="53434525" w14:textId="77777777" w:rsidTr="00936267">
        <w:trPr>
          <w:jc w:val="center"/>
        </w:trPr>
        <w:tc>
          <w:tcPr>
            <w:tcW w:w="2007" w:type="dxa"/>
            <w:shd w:val="clear" w:color="auto" w:fill="FFFFFF"/>
            <w:tcMar>
              <w:top w:w="70" w:type="dxa"/>
              <w:left w:w="70" w:type="dxa"/>
              <w:bottom w:w="70" w:type="dxa"/>
              <w:right w:w="70" w:type="dxa"/>
            </w:tcMar>
            <w:vAlign w:val="center"/>
          </w:tcPr>
          <w:p w14:paraId="150E4B67"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ضوابط تخصيص عقارات الدولة واستردادها</w:t>
            </w:r>
          </w:p>
        </w:tc>
        <w:tc>
          <w:tcPr>
            <w:tcW w:w="3755" w:type="dxa"/>
            <w:shd w:val="clear" w:color="auto" w:fill="FFFFFF"/>
            <w:tcMar>
              <w:top w:w="70" w:type="dxa"/>
              <w:left w:w="70" w:type="dxa"/>
              <w:bottom w:w="70" w:type="dxa"/>
              <w:right w:w="70" w:type="dxa"/>
            </w:tcMar>
            <w:vAlign w:val="center"/>
          </w:tcPr>
          <w:p w14:paraId="606F62F1"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إلزام الجهة بخطة احتياج ثلاثية والتحقق من عدم وجود عقار غير مستغل يلبي الحاجة.</w:t>
            </w:r>
          </w:p>
        </w:tc>
        <w:tc>
          <w:tcPr>
            <w:tcW w:w="3610" w:type="dxa"/>
            <w:shd w:val="clear" w:color="auto" w:fill="FFFFFF"/>
            <w:tcMar>
              <w:top w:w="70" w:type="dxa"/>
              <w:left w:w="70" w:type="dxa"/>
              <w:bottom w:w="70" w:type="dxa"/>
              <w:right w:w="70" w:type="dxa"/>
            </w:tcMar>
            <w:vAlign w:val="center"/>
          </w:tcPr>
          <w:p w14:paraId="2C339E0E"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يدعم ترشيد التخصيص وتقليل الازدواجية والمساحات الفائضة.</w:t>
            </w:r>
          </w:p>
        </w:tc>
      </w:tr>
      <w:tr w:rsidR="00986803" w:rsidRPr="00936267" w14:paraId="295929C6" w14:textId="77777777" w:rsidTr="00936267">
        <w:trPr>
          <w:jc w:val="center"/>
        </w:trPr>
        <w:tc>
          <w:tcPr>
            <w:tcW w:w="2007" w:type="dxa"/>
            <w:shd w:val="clear" w:color="auto" w:fill="F2F4F6"/>
            <w:tcMar>
              <w:top w:w="70" w:type="dxa"/>
              <w:left w:w="70" w:type="dxa"/>
              <w:bottom w:w="70" w:type="dxa"/>
              <w:right w:w="70" w:type="dxa"/>
            </w:tcMar>
            <w:vAlign w:val="center"/>
          </w:tcPr>
          <w:p w14:paraId="56C06FE9"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لائحة التصرف في عقارات الدولة</w:t>
            </w:r>
          </w:p>
        </w:tc>
        <w:tc>
          <w:tcPr>
            <w:tcW w:w="3755" w:type="dxa"/>
            <w:shd w:val="clear" w:color="auto" w:fill="F2F4F6"/>
            <w:tcMar>
              <w:top w:w="70" w:type="dxa"/>
              <w:left w:w="70" w:type="dxa"/>
              <w:bottom w:w="70" w:type="dxa"/>
              <w:right w:w="70" w:type="dxa"/>
            </w:tcMar>
            <w:vAlign w:val="center"/>
          </w:tcPr>
          <w:p w14:paraId="2F9224D2"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تنظيم الاستثمار والتأجير والتصرف وفق الضوابط.</w:t>
            </w:r>
          </w:p>
        </w:tc>
        <w:tc>
          <w:tcPr>
            <w:tcW w:w="3610" w:type="dxa"/>
            <w:shd w:val="clear" w:color="auto" w:fill="F2F4F6"/>
            <w:tcMar>
              <w:top w:w="70" w:type="dxa"/>
              <w:left w:w="70" w:type="dxa"/>
              <w:bottom w:w="70" w:type="dxa"/>
              <w:right w:w="70" w:type="dxa"/>
            </w:tcMar>
            <w:vAlign w:val="center"/>
          </w:tcPr>
          <w:p w14:paraId="149B6AB4"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تمكن من معالجة الأصول الفائضة وتعظيم القيمة.</w:t>
            </w:r>
          </w:p>
        </w:tc>
      </w:tr>
      <w:tr w:rsidR="00986803" w:rsidRPr="00936267" w14:paraId="1C05AEDA" w14:textId="77777777" w:rsidTr="00936267">
        <w:trPr>
          <w:jc w:val="center"/>
        </w:trPr>
        <w:tc>
          <w:tcPr>
            <w:tcW w:w="2007" w:type="dxa"/>
            <w:shd w:val="clear" w:color="auto" w:fill="FFFFFF"/>
            <w:tcMar>
              <w:top w:w="70" w:type="dxa"/>
              <w:left w:w="70" w:type="dxa"/>
              <w:bottom w:w="70" w:type="dxa"/>
              <w:right w:w="70" w:type="dxa"/>
            </w:tcMar>
            <w:vAlign w:val="center"/>
          </w:tcPr>
          <w:p w14:paraId="5CA4551D"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المعايير الدولية ISO 55000</w:t>
            </w:r>
          </w:p>
        </w:tc>
        <w:tc>
          <w:tcPr>
            <w:tcW w:w="3755" w:type="dxa"/>
            <w:shd w:val="clear" w:color="auto" w:fill="FFFFFF"/>
            <w:tcMar>
              <w:top w:w="70" w:type="dxa"/>
              <w:left w:w="70" w:type="dxa"/>
              <w:bottom w:w="70" w:type="dxa"/>
              <w:right w:w="70" w:type="dxa"/>
            </w:tcMar>
            <w:vAlign w:val="center"/>
          </w:tcPr>
          <w:p w14:paraId="27621E9E"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إدارة الأصل بصورة منهجية لتحقيق القيمة عبر المواءمة ودورة الحياة والمخاطر.</w:t>
            </w:r>
          </w:p>
        </w:tc>
        <w:tc>
          <w:tcPr>
            <w:tcW w:w="3610" w:type="dxa"/>
            <w:shd w:val="clear" w:color="auto" w:fill="FFFFFF"/>
            <w:tcMar>
              <w:top w:w="70" w:type="dxa"/>
              <w:left w:w="70" w:type="dxa"/>
              <w:bottom w:w="70" w:type="dxa"/>
              <w:right w:w="70" w:type="dxa"/>
            </w:tcMar>
            <w:vAlign w:val="center"/>
          </w:tcPr>
          <w:p w14:paraId="7A3D4825" w14:textId="77777777" w:rsidR="00986803" w:rsidRPr="00936267" w:rsidRDefault="00DB29B7" w:rsidP="00936267">
            <w:pPr>
              <w:bidi/>
              <w:spacing w:after="0" w:line="240" w:lineRule="auto"/>
              <w:ind w:firstLine="0"/>
              <w:jc w:val="center"/>
              <w:rPr>
                <w:rFonts w:ascii="Sakkal Majalla" w:hAnsi="Sakkal Majalla" w:cs="Sakkal Majalla"/>
                <w:sz w:val="32"/>
                <w:szCs w:val="32"/>
              </w:rPr>
            </w:pPr>
            <w:r w:rsidRPr="00936267">
              <w:rPr>
                <w:rFonts w:ascii="Sakkal Majalla" w:hAnsi="Sakkal Majalla" w:cs="Sakkal Majalla"/>
                <w:color w:val="000000"/>
                <w:sz w:val="32"/>
                <w:szCs w:val="32"/>
                <w:rtl/>
                <w:lang w:val="ar-SA"/>
              </w:rPr>
              <w:t>توفر مرجعية دولية لبناء الأبعاد ومؤشرات النضج.</w:t>
            </w:r>
          </w:p>
        </w:tc>
      </w:tr>
    </w:tbl>
    <w:p w14:paraId="21119AF8"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3B72D14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0" w:name="_Toc235205609"/>
      <w:r w:rsidRPr="00AE1FD7">
        <w:rPr>
          <w:rFonts w:ascii="Sakkal Majalla" w:eastAsia="Noto Kufi Arabic" w:hAnsi="Sakkal Majalla" w:cs="Sakkal Majalla"/>
          <w:sz w:val="36"/>
          <w:szCs w:val="36"/>
          <w:rtl/>
          <w:lang w:val="ar-SA"/>
        </w:rPr>
        <w:lastRenderedPageBreak/>
        <w:t>2.5.5 التحديات والفرص في السياق السعودي</w:t>
      </w:r>
      <w:r w:rsidR="007817CC">
        <w:rPr>
          <w:rFonts w:ascii="Sakkal Majalla" w:eastAsia="Noto Kufi Arabic" w:hAnsi="Sakkal Majalla" w:cs="Sakkal Majalla" w:hint="cs"/>
          <w:sz w:val="36"/>
          <w:szCs w:val="36"/>
          <w:rtl/>
          <w:lang w:val="ar-SA"/>
        </w:rPr>
        <w:t>:</w:t>
      </w:r>
      <w:bookmarkEnd w:id="50"/>
    </w:p>
    <w:p w14:paraId="3ED402B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تتمثل أبرز التحديات المتوقعة في تفاوت نضج الجهات، وتعدد الأنظمة القديمة، وتنوع المحافظ، ونقص بعض التخصصات، وصعوبة توحيد البيانات التاريخية، ومقاومة التغيير، وتداخل الصلاحيات، والحاجة إلى تنسيق قرارات الاستثمار والصيانة والتخصيص. كما قد تحد السرية أو الحساسية الأمنية لبعض الأصول من مستوى الإفصاح، ما يتطلب موازنة بين الشفافية والحماية.</w:t>
      </w:r>
    </w:p>
    <w:p w14:paraId="6679D3FD"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وفي المقابل، تتوافر فرص قوية تتمثل في الدعم القيادي، والأدلة الوطنية، والتحول الرقمي، وانتشار منصات البيانات الحكومية، والتحول المحاسبي، ووجود هيئات مركزية متخصصة، وتطور تقنيات نظم المعلومات الجغرافية ونمذجة معلومات البناء والتحليلات. ويمكن توظيف هذه الممكنات لبناء منصة وطنية مترابطة، ومقارنات معيارية، ونماذج تنبؤية للصيانة والطلب، وأساليب أكثر نضجاً في إدارة المحفظة.</w:t>
      </w:r>
    </w:p>
    <w:p w14:paraId="6AC68E1D" w14:textId="77777777" w:rsidR="007817CC" w:rsidRPr="00AE1FD7" w:rsidRDefault="007817CC" w:rsidP="007817CC">
      <w:pPr>
        <w:bidi/>
        <w:spacing w:after="0" w:line="240" w:lineRule="auto"/>
        <w:rPr>
          <w:rFonts w:ascii="Sakkal Majalla" w:hAnsi="Sakkal Majalla" w:cs="Sakkal Majalla"/>
          <w:sz w:val="36"/>
          <w:szCs w:val="36"/>
        </w:rPr>
      </w:pPr>
    </w:p>
    <w:p w14:paraId="5E46DC61" w14:textId="77777777" w:rsidR="00986803" w:rsidRPr="007817CC" w:rsidRDefault="00DB29B7" w:rsidP="007817CC">
      <w:pPr>
        <w:pStyle w:val="21"/>
        <w:pBdr>
          <w:bottom w:val="single" w:sz="8" w:space="2" w:color="D9EAF7"/>
        </w:pBdr>
        <w:bidi/>
        <w:spacing w:before="0" w:after="0" w:line="240" w:lineRule="auto"/>
        <w:ind w:firstLine="0"/>
        <w:jc w:val="center"/>
        <w:rPr>
          <w:rFonts w:ascii="Sakkal Majalla" w:hAnsi="Sakkal Majalla" w:cs="Sakkal Majalla"/>
          <w:sz w:val="38"/>
          <w:szCs w:val="38"/>
        </w:rPr>
      </w:pPr>
      <w:bookmarkStart w:id="51" w:name="_Toc235205610"/>
      <w:r w:rsidRPr="007817CC">
        <w:rPr>
          <w:rFonts w:ascii="Sakkal Majalla" w:eastAsia="Noto Kufi Arabic" w:hAnsi="Sakkal Majalla" w:cs="Sakkal Majalla"/>
          <w:sz w:val="38"/>
          <w:szCs w:val="38"/>
          <w:rtl/>
          <w:lang w:val="ar-SA"/>
        </w:rPr>
        <w:t>2.6 العلاقة النظرية بين أبعاد الحوكمة وكفاءة الإنفاق العقاري</w:t>
      </w:r>
      <w:bookmarkEnd w:id="51"/>
    </w:p>
    <w:p w14:paraId="5F815A2A"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2" w:name="_Toc235205611"/>
      <w:r w:rsidRPr="00AE1FD7">
        <w:rPr>
          <w:rFonts w:ascii="Sakkal Majalla" w:eastAsia="Noto Kufi Arabic" w:hAnsi="Sakkal Majalla" w:cs="Sakkal Majalla"/>
          <w:sz w:val="36"/>
          <w:szCs w:val="36"/>
          <w:rtl/>
          <w:lang w:val="ar-SA"/>
        </w:rPr>
        <w:t>2.6.1 الشفافية والإفصاح وكفاءة الإنفاق</w:t>
      </w:r>
      <w:r w:rsidR="007817CC">
        <w:rPr>
          <w:rFonts w:ascii="Sakkal Majalla" w:eastAsia="Noto Kufi Arabic" w:hAnsi="Sakkal Majalla" w:cs="Sakkal Majalla" w:hint="cs"/>
          <w:sz w:val="36"/>
          <w:szCs w:val="36"/>
          <w:rtl/>
          <w:lang w:val="ar-SA"/>
        </w:rPr>
        <w:t>:</w:t>
      </w:r>
      <w:bookmarkEnd w:id="52"/>
    </w:p>
    <w:p w14:paraId="006CF0C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تخفض الشفافية عدم تماثل المعلومات، وتسمح بمراجعة القرارات والمقارنة بين الأداء الفعلي والمستهدف. فعندما تتوافر تقارير دورية عن حالة الأصول واستخدامها وتكاليفها، يصبح من الممكن اكتشاف الأصل منخفض الاستفادة، أو عقد الصيانة مرتفع التكلفة، أو التباين غير المبرر بين المواقع. كما تحسن الشفافية التنسيق بين الإدارات لأنها تمنع احتكار المعلومات وتوفر أساساً مشتركاً للقرار.</w:t>
      </w:r>
    </w:p>
    <w:p w14:paraId="6E5E9F6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ويؤدي الإفصاح عن الأصول غير المستغلة إلى خلق ضغط مؤسسي لإعادة توظيفها، بينما يتيح الإفصاح عن التكلفة الكلية تجنب القرارات التي تخفض بنداً وتزيد بنداً آخر. ولهذا تتوقع الدراسة أثراً إيجابياً للشفافية والإفصاح في الكفاءة.</w:t>
      </w:r>
    </w:p>
    <w:p w14:paraId="3F15C500"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3" w:name="_Toc235205612"/>
      <w:r w:rsidRPr="00AE1FD7">
        <w:rPr>
          <w:rFonts w:ascii="Sakkal Majalla" w:eastAsia="Noto Kufi Arabic" w:hAnsi="Sakkal Majalla" w:cs="Sakkal Majalla"/>
          <w:sz w:val="36"/>
          <w:szCs w:val="36"/>
          <w:rtl/>
          <w:lang w:val="ar-SA"/>
        </w:rPr>
        <w:t>2.6.2 المساءلة والرقابة الداخلية وكفاءة الإنفاق</w:t>
      </w:r>
      <w:r w:rsidR="007817CC">
        <w:rPr>
          <w:rFonts w:ascii="Sakkal Majalla" w:eastAsia="Noto Kufi Arabic" w:hAnsi="Sakkal Majalla" w:cs="Sakkal Majalla" w:hint="cs"/>
          <w:sz w:val="36"/>
          <w:szCs w:val="36"/>
          <w:rtl/>
          <w:lang w:val="ar-SA"/>
        </w:rPr>
        <w:t>:</w:t>
      </w:r>
      <w:bookmarkEnd w:id="53"/>
    </w:p>
    <w:p w14:paraId="4133782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تربط المساءلة الصلاحية بالنتيجة، وتمنع القرارات من المرور دون مالك واضح. وتساعد الرقابة الداخلية على التحقق من صحة البيانات والالتزام بالسياسات وسلامة العقود والفصل بين المهام ومتابعة الانحرافات. كما ترفع احتمالية اكتشاف الهدر وتصحيحه، وتخلق ذاكرة مؤسسية للتعلم من القرارات السابقة.</w:t>
      </w:r>
    </w:p>
    <w:p w14:paraId="6E9634C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وتكون الرقابة أكثر فاعلية عندما تتبنى منهجاً قائماً على المخاطر، فلا تكتفي بفحص المستندات بل تركز على القرارات الأعلى قيمة وتأثيراً. ومن المتوقع أن يؤدي وضوح الاعتماد والمراجعة والمتابعة إلى ترشيد العقود والصيانة والتخصيص وتقليل الانحرافات.</w:t>
      </w:r>
    </w:p>
    <w:p w14:paraId="1372CB39"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4" w:name="_Toc235205613"/>
      <w:r w:rsidRPr="00AE1FD7">
        <w:rPr>
          <w:rFonts w:ascii="Sakkal Majalla" w:eastAsia="Noto Kufi Arabic" w:hAnsi="Sakkal Majalla" w:cs="Sakkal Majalla"/>
          <w:sz w:val="36"/>
          <w:szCs w:val="36"/>
          <w:rtl/>
          <w:lang w:val="ar-SA"/>
        </w:rPr>
        <w:t xml:space="preserve">2.6.3 تكامل البيانات </w:t>
      </w:r>
      <w:proofErr w:type="spellStart"/>
      <w:r w:rsidRPr="00AE1FD7">
        <w:rPr>
          <w:rFonts w:ascii="Sakkal Majalla" w:eastAsia="Noto Kufi Arabic" w:hAnsi="Sakkal Majalla" w:cs="Sakkal Majalla"/>
          <w:sz w:val="36"/>
          <w:szCs w:val="36"/>
          <w:rtl/>
          <w:lang w:val="ar-SA"/>
        </w:rPr>
        <w:t>والرقمنة</w:t>
      </w:r>
      <w:proofErr w:type="spellEnd"/>
      <w:r w:rsidRPr="00AE1FD7">
        <w:rPr>
          <w:rFonts w:ascii="Sakkal Majalla" w:eastAsia="Noto Kufi Arabic" w:hAnsi="Sakkal Majalla" w:cs="Sakkal Majalla"/>
          <w:sz w:val="36"/>
          <w:szCs w:val="36"/>
          <w:rtl/>
          <w:lang w:val="ar-SA"/>
        </w:rPr>
        <w:t xml:space="preserve"> وكفاءة الإنفاق</w:t>
      </w:r>
      <w:r w:rsidR="007817CC">
        <w:rPr>
          <w:rFonts w:ascii="Sakkal Majalla" w:eastAsia="Noto Kufi Arabic" w:hAnsi="Sakkal Majalla" w:cs="Sakkal Majalla" w:hint="cs"/>
          <w:sz w:val="36"/>
          <w:szCs w:val="36"/>
          <w:rtl/>
          <w:lang w:val="ar-SA"/>
        </w:rPr>
        <w:t>:</w:t>
      </w:r>
      <w:bookmarkEnd w:id="54"/>
      <w:r w:rsidR="007817CC">
        <w:rPr>
          <w:rFonts w:ascii="Sakkal Majalla" w:eastAsia="Noto Kufi Arabic" w:hAnsi="Sakkal Majalla" w:cs="Sakkal Majalla" w:hint="cs"/>
          <w:sz w:val="36"/>
          <w:szCs w:val="36"/>
          <w:rtl/>
          <w:lang w:val="ar-SA"/>
        </w:rPr>
        <w:t xml:space="preserve"> </w:t>
      </w:r>
    </w:p>
    <w:p w14:paraId="35EB0DF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تسمح البيانات المتكاملة بتحليل البدائل والتكاليف والمخاطر على مستوى الأصل والمحفظة، وتقلل الوقت والجهد والأخطاء الناتجة عن الجمع اليدوي. كما تمكّن من الربط بين أوامر العمل والفواتير والعقود والحالة الفنية، واكتشاف الأنماط، وتقديم إنذارات مبكرة. وتزداد قيمة </w:t>
      </w:r>
      <w:proofErr w:type="spellStart"/>
      <w:r w:rsidRPr="00AE1FD7">
        <w:rPr>
          <w:rFonts w:ascii="Sakkal Majalla" w:hAnsi="Sakkal Majalla" w:cs="Sakkal Majalla"/>
          <w:color w:val="000000"/>
          <w:sz w:val="36"/>
          <w:szCs w:val="36"/>
          <w:rtl/>
          <w:lang w:val="ar-SA"/>
        </w:rPr>
        <w:t>الرقمنة</w:t>
      </w:r>
      <w:proofErr w:type="spellEnd"/>
      <w:r w:rsidRPr="00AE1FD7">
        <w:rPr>
          <w:rFonts w:ascii="Sakkal Majalla" w:hAnsi="Sakkal Majalla" w:cs="Sakkal Majalla"/>
          <w:color w:val="000000"/>
          <w:sz w:val="36"/>
          <w:szCs w:val="36"/>
          <w:rtl/>
          <w:lang w:val="ar-SA"/>
        </w:rPr>
        <w:t xml:space="preserve"> عندما تكون البيانات محدثة ومقننة، وتستخدم فعلياً في دورات الاعتماد.</w:t>
      </w:r>
    </w:p>
    <w:p w14:paraId="1583A8C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وتشير الأدبيات إلى أن تجزؤ المعلومات أحد أبرز أسباب ضعف إدارة الملكية الحكومية، ولذلك يتوقع أن يكون هذا البعد من أقوى الأبعاد تأثيراً، ولا سيما في بيئة تتوسع فيها المنصات الرقمية والتحليلات (</w:t>
      </w: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&amp; </w:t>
      </w:r>
      <w:proofErr w:type="spellStart"/>
      <w:r w:rsidRPr="00AE1FD7">
        <w:rPr>
          <w:rFonts w:ascii="Sakkal Majalla" w:hAnsi="Sakkal Majalla" w:cs="Sakkal Majalla"/>
          <w:color w:val="000000"/>
          <w:sz w:val="36"/>
          <w:szCs w:val="36"/>
          <w:rtl/>
          <w:lang w:val="ar-SA"/>
        </w:rPr>
        <w:t>Kapur</w:t>
      </w:r>
      <w:proofErr w:type="spellEnd"/>
      <w:r w:rsidRPr="00AE1FD7">
        <w:rPr>
          <w:rFonts w:ascii="Sakkal Majalla" w:hAnsi="Sakkal Majalla" w:cs="Sakkal Majalla"/>
          <w:color w:val="000000"/>
          <w:sz w:val="36"/>
          <w:szCs w:val="36"/>
          <w:rtl/>
          <w:lang w:val="ar-SA"/>
        </w:rPr>
        <w:t>, 2013).</w:t>
      </w:r>
    </w:p>
    <w:p w14:paraId="76EEB148"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5" w:name="_Toc235205614"/>
      <w:r w:rsidRPr="00AE1FD7">
        <w:rPr>
          <w:rFonts w:ascii="Sakkal Majalla" w:eastAsia="Noto Kufi Arabic" w:hAnsi="Sakkal Majalla" w:cs="Sakkal Majalla"/>
          <w:sz w:val="36"/>
          <w:szCs w:val="36"/>
          <w:rtl/>
          <w:lang w:val="ar-SA"/>
        </w:rPr>
        <w:t>2.6.4 التخطيط الاستراتيجي وإدارة دورة الحياة وكفاءة الإنفاق</w:t>
      </w:r>
      <w:r w:rsidR="007817CC">
        <w:rPr>
          <w:rFonts w:ascii="Sakkal Majalla" w:eastAsia="Noto Kufi Arabic" w:hAnsi="Sakkal Majalla" w:cs="Sakkal Majalla" w:hint="cs"/>
          <w:sz w:val="36"/>
          <w:szCs w:val="36"/>
          <w:rtl/>
          <w:lang w:val="ar-SA"/>
        </w:rPr>
        <w:t>:</w:t>
      </w:r>
      <w:bookmarkEnd w:id="55"/>
    </w:p>
    <w:p w14:paraId="3E1412F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يربط التخطيط العقار باحتياجات الخدمة والأهداف المستقبلية، ويمنع القرارات المنفصلة عن الطلب الحقيقي. كما يسمح منظور دورة الحياة بمقارنة البدائل على أساس التكلفة الكلية، وتوقيت الصيانة والتجديد، وتجنب الإنفاق المتأخر أو غير الضروري. وتؤدي المراجعة الدورية للاستخدام إلى إعادة التخصيص أو التخارج في الوقت المناسب.</w:t>
      </w:r>
    </w:p>
    <w:p w14:paraId="23275DB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ومن المتوقع أن يرفع هذا البعد كفاءة التملك والاستئجار والتشغيل، لأنه يحول الإدارة من الاستجابة للأعطال والطلبات المنفردة إلى إدارة استباقية للمحفظة. وتؤكد معايير إدارة الأصول أن المواءمة واتخاذ القرار القائم على القيمة عبر دورة الحياة من المبادئ الجوهرية (ISO, 2024).</w:t>
      </w:r>
    </w:p>
    <w:p w14:paraId="3843688F"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6" w:name="_Toc235205615"/>
      <w:r w:rsidRPr="00AE1FD7">
        <w:rPr>
          <w:rFonts w:ascii="Sakkal Majalla" w:eastAsia="Noto Kufi Arabic" w:hAnsi="Sakkal Majalla" w:cs="Sakkal Majalla"/>
          <w:sz w:val="36"/>
          <w:szCs w:val="36"/>
          <w:rtl/>
          <w:lang w:val="ar-SA"/>
        </w:rPr>
        <w:t>2.6.5 إدارة المخاطر والامتثال وكفاءة الإنفاق</w:t>
      </w:r>
      <w:r w:rsidR="007817CC">
        <w:rPr>
          <w:rFonts w:ascii="Sakkal Majalla" w:eastAsia="Noto Kufi Arabic" w:hAnsi="Sakkal Majalla" w:cs="Sakkal Majalla" w:hint="cs"/>
          <w:sz w:val="36"/>
          <w:szCs w:val="36"/>
          <w:rtl/>
          <w:lang w:val="ar-SA"/>
        </w:rPr>
        <w:t>:</w:t>
      </w:r>
      <w:bookmarkEnd w:id="56"/>
    </w:p>
    <w:p w14:paraId="0D0F147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تمنع إدارة المخاطر الخسائر الكبيرة التي قد تنتج عن الإهمال أو عدم الامتثال أو فشل الأصل. كما تساعد على توجيه الصيانة والاستثمارات بحسب الأولوية، وتحقيق توازن بين الكلفة والموثوقية. ويحد الامتثال من الغرامات والنزاعات والتعديات ومخاطر السلامة والعقود غير المنضبطة.</w:t>
      </w:r>
    </w:p>
    <w:p w14:paraId="168FC20A"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 xml:space="preserve">وقد يبدو بعض الإنفاق على السلامة أو المرونة مرتفعاً في الأجل القصير، لكنه يرفع الكفاءة على مدى الحياة عندما يقلل الحوادث والانقطاعات والتكاليف الطارئة. ولذلك </w:t>
      </w:r>
      <w:r w:rsidRPr="00AE1FD7">
        <w:rPr>
          <w:rFonts w:ascii="Sakkal Majalla" w:hAnsi="Sakkal Majalla" w:cs="Sakkal Majalla"/>
          <w:color w:val="000000"/>
          <w:sz w:val="36"/>
          <w:szCs w:val="36"/>
          <w:rtl/>
          <w:lang w:val="ar-SA"/>
        </w:rPr>
        <w:lastRenderedPageBreak/>
        <w:t>تتوقع الدراسة أثراً إيجابياً لهذا البعد مع مراعاة أن قيمته قد تظهر في تجنب خسائر أكثر من تحقيق وفر مباشر.</w:t>
      </w:r>
    </w:p>
    <w:p w14:paraId="2413B9B3" w14:textId="77777777" w:rsidR="007817CC" w:rsidRPr="00AE1FD7" w:rsidRDefault="007817CC" w:rsidP="007817CC">
      <w:pPr>
        <w:bidi/>
        <w:spacing w:after="0" w:line="240" w:lineRule="auto"/>
        <w:rPr>
          <w:rFonts w:ascii="Sakkal Majalla" w:hAnsi="Sakkal Majalla" w:cs="Sakkal Majalla"/>
          <w:sz w:val="36"/>
          <w:szCs w:val="36"/>
        </w:rPr>
      </w:pPr>
    </w:p>
    <w:p w14:paraId="23C7C71E" w14:textId="77777777" w:rsidR="00986803" w:rsidRPr="007817CC" w:rsidRDefault="00DB29B7" w:rsidP="007817CC">
      <w:pPr>
        <w:pStyle w:val="21"/>
        <w:pBdr>
          <w:bottom w:val="single" w:sz="8" w:space="2" w:color="D9EAF7"/>
        </w:pBdr>
        <w:bidi/>
        <w:spacing w:before="0" w:after="0" w:line="240" w:lineRule="auto"/>
        <w:ind w:firstLine="0"/>
        <w:jc w:val="center"/>
        <w:rPr>
          <w:rFonts w:ascii="Sakkal Majalla" w:hAnsi="Sakkal Majalla" w:cs="Sakkal Majalla"/>
          <w:sz w:val="40"/>
          <w:szCs w:val="40"/>
        </w:rPr>
      </w:pPr>
      <w:bookmarkStart w:id="57" w:name="_Toc235205616"/>
      <w:r w:rsidRPr="007817CC">
        <w:rPr>
          <w:rFonts w:ascii="Sakkal Majalla" w:eastAsia="Noto Kufi Arabic" w:hAnsi="Sakkal Majalla" w:cs="Sakkal Majalla"/>
          <w:sz w:val="40"/>
          <w:szCs w:val="40"/>
          <w:rtl/>
          <w:lang w:val="ar-SA"/>
        </w:rPr>
        <w:t>2.7 الدراسات السابقة</w:t>
      </w:r>
      <w:bookmarkEnd w:id="57"/>
    </w:p>
    <w:p w14:paraId="422EA17D"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8" w:name="_Toc235205617"/>
      <w:r w:rsidRPr="00AE1FD7">
        <w:rPr>
          <w:rFonts w:ascii="Sakkal Majalla" w:eastAsia="Noto Kufi Arabic" w:hAnsi="Sakkal Majalla" w:cs="Sakkal Majalla"/>
          <w:sz w:val="36"/>
          <w:szCs w:val="36"/>
          <w:rtl/>
          <w:lang w:val="ar-SA"/>
        </w:rPr>
        <w:t>2.7.1 الدراسات العربية</w:t>
      </w:r>
      <w:r w:rsidR="007817CC">
        <w:rPr>
          <w:rFonts w:ascii="Sakkal Majalla" w:eastAsia="Noto Kufi Arabic" w:hAnsi="Sakkal Majalla" w:cs="Sakkal Majalla" w:hint="cs"/>
          <w:sz w:val="36"/>
          <w:szCs w:val="36"/>
          <w:rtl/>
          <w:lang w:val="ar-SA"/>
        </w:rPr>
        <w:t>:</w:t>
      </w:r>
      <w:bookmarkEnd w:id="58"/>
      <w:r w:rsidR="007817CC">
        <w:rPr>
          <w:rFonts w:ascii="Sakkal Majalla" w:eastAsia="Noto Kufi Arabic" w:hAnsi="Sakkal Majalla" w:cs="Sakkal Majalla" w:hint="cs"/>
          <w:sz w:val="36"/>
          <w:szCs w:val="36"/>
          <w:rtl/>
          <w:lang w:val="ar-SA"/>
        </w:rPr>
        <w:t xml:space="preserve"> </w:t>
      </w:r>
    </w:p>
    <w:p w14:paraId="11F61F3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تناولت دراسة البسام (2016) الحوكمة في القطاع العام من منظور مؤسسي، وركزت على الشفافية والمساءلة والمشاركة والفاعلية، وأوضحت أن الحوكمة وسيلة لتحسين جودة القرار واستخدام الموارد وليست غاية شكلية. وتفيد الدراسة الحالية من هذا المرجع في تحديد الإطار العام للمتغير المستقل وتكييف مبادئ الحوكمة مع بيئة المؤسسات الحكومية.</w:t>
      </w:r>
    </w:p>
    <w:p w14:paraId="2A183C8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وقاست دراسة الخريجي (2021) كفاءة الإنفاق الحكومي السعودي مقارنة بدول مجموعة العشرين باستخدام مؤشر أداء القطاع الحكومي وتحليل مغلف البيانات. وأظهرت تمايزاً بين الأداء والكفاءة ووجود فرص لتحسين استخدام الموارد في بعض المجالات. وتفيد هذه النتيجة في ضرورة عدم الاكتفاء بقياس مستوى الخدمة، بل ربطه بحجم الموارد والتكلفة.</w:t>
      </w:r>
    </w:p>
    <w:p w14:paraId="7ED7B03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واختبرت دراسة سيروب (2022) أثر الحوكمة في كفاءة الإنفاق العام في الاقتصاد السوري باستخدام نموذج الانحدار الذاتي للفجوات الموزعة، ووجدت أثراً إيجابياً لفاعلية الحكومة في النمو طويل الأجل، بينما لم يظهر أثر للجودة التنظيمية. وتبرز الدراسة أن أبعاد الحوكمة قد تختلف في قوة تأثيرها، وهو ما يدعم استخدام نموذج متعدد الأبعاد.</w:t>
      </w:r>
    </w:p>
    <w:p w14:paraId="338FC9E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وتناولت دراسة عرود (2022) تدبير أملاك الجماعات الترابية بين القانون والممارسة، وأظهرت فجوة بين الإطار النظامي والفاعلية التطبيقية. وعلى الرغم من طابعها القانوني، فإنها تدعم التمييز بين وجود القواعد ومستوى تنفيذها، وهو جوهر القياس الميداني الحالي.</w:t>
      </w:r>
    </w:p>
    <w:p w14:paraId="2E427FD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أما دراسة الرفاعي وكنة (2025) فقد ناقشت واقع تطبيق مبادئ الحوكمة في القطاع العام ودورها في الاستدامة المالية في المملكة، وانتهت إلى أهمية الشفافية والمساءلة وتوحيد المؤشرات، لكنها اعتمدت على المنهج الوصفي وتحليل البيانات المتاحة ولم تختبر علاقة ميدانية متخصصة بإدارة العقار. وتوفر الدراسة سياقاً سعودياً حديثاً يدعم العلاقة العامة بين الحوكمة والاستدامة.</w:t>
      </w:r>
    </w:p>
    <w:p w14:paraId="482FF0F0"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 xml:space="preserve">كما ركزت دراسة </w:t>
      </w:r>
      <w:proofErr w:type="spellStart"/>
      <w:r w:rsidRPr="00AE1FD7">
        <w:rPr>
          <w:rFonts w:ascii="Sakkal Majalla" w:hAnsi="Sakkal Majalla" w:cs="Sakkal Majalla"/>
          <w:color w:val="000000"/>
          <w:sz w:val="36"/>
          <w:szCs w:val="36"/>
          <w:rtl/>
          <w:lang w:val="ar-SA"/>
        </w:rPr>
        <w:t>شعوة</w:t>
      </w:r>
      <w:proofErr w:type="spellEnd"/>
      <w:r w:rsidRPr="00AE1FD7">
        <w:rPr>
          <w:rFonts w:ascii="Sakkal Majalla" w:hAnsi="Sakkal Majalla" w:cs="Sakkal Majalla"/>
          <w:color w:val="000000"/>
          <w:sz w:val="36"/>
          <w:szCs w:val="36"/>
          <w:rtl/>
          <w:lang w:val="ar-SA"/>
        </w:rPr>
        <w:t xml:space="preserve"> (2018) على وسائل الإدارة في حماية الأملاك العقارية العمومية، وأبرزت خصوصية الملك العام والحاجة إلى ضوابط للحماية والتصرف. وتفيد في تأصيل جانب الامتثال، لكنها لا تتناول أثر ممارسات الإدارة في التكلفة والاستفادة.</w:t>
      </w:r>
    </w:p>
    <w:p w14:paraId="723B151B" w14:textId="77777777" w:rsidR="007817CC" w:rsidRPr="00AE1FD7" w:rsidRDefault="007817CC" w:rsidP="007817CC">
      <w:pPr>
        <w:bidi/>
        <w:spacing w:after="0" w:line="240" w:lineRule="auto"/>
        <w:rPr>
          <w:rFonts w:ascii="Sakkal Majalla" w:hAnsi="Sakkal Majalla" w:cs="Sakkal Majalla"/>
          <w:sz w:val="36"/>
          <w:szCs w:val="36"/>
        </w:rPr>
      </w:pPr>
    </w:p>
    <w:p w14:paraId="5FA5988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59" w:name="_Toc235205618"/>
      <w:r w:rsidRPr="00AE1FD7">
        <w:rPr>
          <w:rFonts w:ascii="Sakkal Majalla" w:eastAsia="Noto Kufi Arabic" w:hAnsi="Sakkal Majalla" w:cs="Sakkal Majalla"/>
          <w:sz w:val="36"/>
          <w:szCs w:val="36"/>
          <w:rtl/>
          <w:lang w:val="ar-SA"/>
        </w:rPr>
        <w:t>2.7.2 الدراسات الأجنبية</w:t>
      </w:r>
      <w:r w:rsidR="007817CC">
        <w:rPr>
          <w:rFonts w:ascii="Sakkal Majalla" w:eastAsia="Noto Kufi Arabic" w:hAnsi="Sakkal Majalla" w:cs="Sakkal Majalla" w:hint="cs"/>
          <w:sz w:val="36"/>
          <w:szCs w:val="36"/>
          <w:rtl/>
          <w:lang w:val="ar-SA"/>
        </w:rPr>
        <w:t>:</w:t>
      </w:r>
      <w:bookmarkEnd w:id="59"/>
      <w:r w:rsidR="007817CC">
        <w:rPr>
          <w:rFonts w:ascii="Sakkal Majalla" w:eastAsia="Noto Kufi Arabic" w:hAnsi="Sakkal Majalla" w:cs="Sakkal Majalla" w:hint="cs"/>
          <w:sz w:val="36"/>
          <w:szCs w:val="36"/>
          <w:rtl/>
          <w:lang w:val="ar-SA"/>
        </w:rPr>
        <w:t xml:space="preserve"> </w:t>
      </w:r>
    </w:p>
    <w:p w14:paraId="6EDA6137"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درس </w:t>
      </w:r>
      <w:proofErr w:type="spellStart"/>
      <w:r w:rsidRPr="00AE1FD7">
        <w:rPr>
          <w:rFonts w:ascii="Sakkal Majalla" w:hAnsi="Sakkal Majalla" w:cs="Sakkal Majalla"/>
          <w:color w:val="000000"/>
          <w:sz w:val="36"/>
          <w:szCs w:val="36"/>
          <w:rtl/>
          <w:lang w:val="ar-SA"/>
        </w:rPr>
        <w:t>Phelps</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2010) العلاقة بين مبررات إدارة الأصول البلدية والممارسات والنتائج، وخلص إلى أن النوايا الاستراتيجية لا تنتج نتائج ما لم تتحول إلى عمليات مؤسسية متسقة. وتدعم هذه النتيجة دور الحوكمة بوصفها حلقة تحويل بين السياسة والكفاءة.</w:t>
      </w:r>
    </w:p>
    <w:p w14:paraId="4AD06ED2"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وراجع </w:t>
      </w:r>
      <w:proofErr w:type="spellStart"/>
      <w:r w:rsidRPr="00AE1FD7">
        <w:rPr>
          <w:rFonts w:ascii="Sakkal Majalla" w:hAnsi="Sakkal Majalla" w:cs="Sakkal Majalla"/>
          <w:color w:val="000000"/>
          <w:sz w:val="36"/>
          <w:szCs w:val="36"/>
          <w:rtl/>
          <w:lang w:val="ar-SA"/>
        </w:rPr>
        <w:t>White</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2011) تطور إدارة الأصول العقارية في القطاع العام البريطاني، وأوضح انتقالها من وظيفة تشغيلية إلى وظيفة استراتيجية مرتبطة بالأداء والخدمة. وتفيد الدراسة في بناء بعد التخطيط والمواءمة الاستراتيجية.</w:t>
      </w:r>
    </w:p>
    <w:p w14:paraId="3938413C"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وقدمت </w:t>
      </w:r>
      <w:proofErr w:type="spellStart"/>
      <w:r w:rsidRPr="00AE1FD7">
        <w:rPr>
          <w:rFonts w:ascii="Sakkal Majalla" w:hAnsi="Sakkal Majalla" w:cs="Sakkal Majalla"/>
          <w:color w:val="000000"/>
          <w:sz w:val="36"/>
          <w:szCs w:val="36"/>
          <w:rtl/>
          <w:lang w:val="ar-SA"/>
        </w:rPr>
        <w:t>Kaganova</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2012) دليلاً عملياً لإدارة الأصول العقارية للحكومات المحلية، ركز على الجرد والتصنيف والتحليل والتصرف في الأصول الفائضة، وهو ما أسهم في تطوير المؤشرات التشغيلية للأداة الحالية.</w:t>
      </w:r>
    </w:p>
    <w:p w14:paraId="3E2B778F"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وأبرز </w:t>
      </w: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وKapur</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 xml:space="preserve">2013) أهمية البيانات والتقنية، وبيّنا أن تجزؤ البيانات وضعف أنظمة المعلومات يعوقان قرار الملكية الحكومية. وتستند الدراسة الحالية إلى هذه النتيجة في إدراج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كبعد مستقل.</w:t>
      </w:r>
    </w:p>
    <w:p w14:paraId="24967DD8"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وقارن </w:t>
      </w:r>
      <w:proofErr w:type="spellStart"/>
      <w:r w:rsidRPr="00AE1FD7">
        <w:rPr>
          <w:rFonts w:ascii="Sakkal Majalla" w:hAnsi="Sakkal Majalla" w:cs="Sakkal Majalla"/>
          <w:color w:val="000000"/>
          <w:sz w:val="36"/>
          <w:szCs w:val="36"/>
          <w:rtl/>
          <w:lang w:val="ar-SA"/>
        </w:rPr>
        <w:t>Gross</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وŹróbek</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2015) نظم إدارة العقارات العامة وفق مبادئ الحوكمة الجيدة، وأظهرا إمكان استخدام مبادئ مشتركة مثل المساءلة والفاعلية والاتساق رغم اختلاف السياقات. وتدعم الدراسة صلاحية بناء مقياس قابل للتطبيق في بيئات مختلفة مع التكييف المحلي.</w:t>
      </w:r>
    </w:p>
    <w:p w14:paraId="3C669997"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وبينت دراسة </w:t>
      </w:r>
      <w:proofErr w:type="spellStart"/>
      <w:r w:rsidRPr="00AE1FD7">
        <w:rPr>
          <w:rFonts w:ascii="Sakkal Majalla" w:hAnsi="Sakkal Majalla" w:cs="Sakkal Majalla"/>
          <w:color w:val="000000"/>
          <w:sz w:val="36"/>
          <w:szCs w:val="36"/>
          <w:rtl/>
          <w:lang w:val="ar-SA"/>
        </w:rPr>
        <w:t>van</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den</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Beemt-Tjeerdsma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وVeuger</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2016) أن مهنية إدارة العقار البلدي ترتفع مع وضوح الاستراتيجية والبيانات والمهارات وقياس الأداء. وتبرز أهمية القدرات المؤسسية وليس الإجراءات وحدها.</w:t>
      </w:r>
    </w:p>
    <w:p w14:paraId="471F12B1"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وراجع </w:t>
      </w:r>
      <w:proofErr w:type="spellStart"/>
      <w:r w:rsidRPr="00AE1FD7">
        <w:rPr>
          <w:rFonts w:ascii="Sakkal Majalla" w:hAnsi="Sakkal Majalla" w:cs="Sakkal Majalla"/>
          <w:color w:val="000000"/>
          <w:sz w:val="36"/>
          <w:szCs w:val="36"/>
          <w:rtl/>
          <w:lang w:val="ar-SA"/>
        </w:rPr>
        <w:t>Kaganova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وAmoils</w:t>
      </w:r>
      <w:proofErr w:type="spellEnd"/>
      <w:r w:rsidRPr="00AE1FD7">
        <w:rPr>
          <w:rFonts w:ascii="Sakkal Majalla" w:hAnsi="Sakkal Majalla" w:cs="Sakkal Majalla"/>
          <w:color w:val="000000"/>
          <w:sz w:val="36"/>
          <w:szCs w:val="36"/>
          <w:rtl/>
          <w:lang w:val="ar-SA"/>
        </w:rPr>
        <w:t xml:space="preserve">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2020) التغيرات الدولية في إدارة ممتلكات الحكومات المركزية، وحددا الضغوط المالية وإدارة الأداء والتقنية والاستدامة كمحركات للإصلاح، مع استمرار نقص البحوث المقارنة. وتُعد الدراسة من أقرب المراجع لموضوع البحث الحالي.</w:t>
      </w:r>
    </w:p>
    <w:p w14:paraId="0E1CEC2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 xml:space="preserve">وقدم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وزملاؤه (2021) نموذجاً حديثاً لإدارة الثروة العامة يدمج الحوكمة والسجلات والتمويل والتخطيط والمخاطر والأداء، وأكدوا أن تحسين الإدارة يرفع الشفافية ويخفض الإنفاق ويتيح إعادة تدوير القيمة في بنية تحتية جديدة.</w:t>
      </w:r>
    </w:p>
    <w:p w14:paraId="069CD54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وطور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وزملاؤه (2024) أداة تقييم نضج إدارة الأصول العامة، بما يسمح بتشخيص مستوى المؤسسات عبر عناصر السياسة والقيادة والعمليات والبيانات والتمويل والمخاطر. وتفيد الأداة في تفسير تفاوت النتائج بين الجهات وتطوير الإطار المقترح.</w:t>
      </w:r>
    </w:p>
    <w:p w14:paraId="49AE2230" w14:textId="77777777" w:rsidR="00986803" w:rsidRPr="00AE1FD7" w:rsidRDefault="00DB29B7" w:rsidP="007817CC">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ويؤكد معيار ISO 55000:2024 أن تحقيق القيمة هو جوهر إدارة الأصول، وأن القرارات يجب أن توازن بين الأداء والتكلفة والمخاطر عبر دورة الحياة، بينما يقدم ISO 55001 متطلبات لنظام إداري قابل للتقييم والتحسين. كما يوضح تقرير OECD </w:t>
      </w:r>
      <w:r w:rsidR="007817CC">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2025) أن إدارة أداء الأصول تحتاج إلى التخطيط والمتابعة والصيانة والتجديد وتقييم الأداء على امتداد دورة الحياة.</w:t>
      </w:r>
    </w:p>
    <w:p w14:paraId="386263C7" w14:textId="77777777" w:rsidR="00986803" w:rsidRPr="007817CC" w:rsidRDefault="00DB29B7" w:rsidP="007817CC">
      <w:pPr>
        <w:keepNext/>
        <w:bidi/>
        <w:spacing w:after="0" w:line="240" w:lineRule="auto"/>
        <w:ind w:firstLine="0"/>
        <w:jc w:val="center"/>
        <w:rPr>
          <w:rFonts w:ascii="Sakkal Majalla" w:hAnsi="Sakkal Majalla" w:cs="Sakkal Majalla"/>
          <w:bCs/>
          <w:sz w:val="36"/>
          <w:szCs w:val="36"/>
        </w:rPr>
      </w:pPr>
      <w:bookmarkStart w:id="60" w:name="table_previous_studies"/>
      <w:r w:rsidRPr="007817CC">
        <w:rPr>
          <w:rFonts w:ascii="Sakkal Majalla" w:eastAsia="Noto Kufi Arabic" w:hAnsi="Sakkal Majalla" w:cs="Sakkal Majalla"/>
          <w:bCs/>
          <w:color w:val="17365D"/>
          <w:sz w:val="36"/>
          <w:szCs w:val="36"/>
          <w:rtl/>
          <w:lang w:val="ar-SA"/>
        </w:rPr>
        <w:t>جدول (6): خلاصة تحليلية للدراسات السابقة</w:t>
      </w:r>
      <w:bookmarkEnd w:id="60"/>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5"/>
        <w:gridCol w:w="2041"/>
        <w:gridCol w:w="2608"/>
        <w:gridCol w:w="2041"/>
      </w:tblGrid>
      <w:tr w:rsidR="00986803" w:rsidRPr="00AE1FD7" w14:paraId="0818A19C" w14:textId="77777777" w:rsidTr="007817CC">
        <w:trPr>
          <w:cantSplit/>
          <w:tblHeader/>
          <w:jc w:val="center"/>
        </w:trPr>
        <w:tc>
          <w:tcPr>
            <w:tcW w:w="1814" w:type="dxa"/>
            <w:shd w:val="clear" w:color="auto" w:fill="17365D"/>
            <w:tcMar>
              <w:top w:w="90" w:type="dxa"/>
              <w:left w:w="80" w:type="dxa"/>
              <w:bottom w:w="90" w:type="dxa"/>
              <w:right w:w="80" w:type="dxa"/>
            </w:tcMar>
            <w:vAlign w:val="center"/>
          </w:tcPr>
          <w:p w14:paraId="319AA90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الدراسة</w:t>
            </w:r>
          </w:p>
        </w:tc>
        <w:tc>
          <w:tcPr>
            <w:tcW w:w="2041" w:type="dxa"/>
            <w:shd w:val="clear" w:color="auto" w:fill="17365D"/>
            <w:tcMar>
              <w:top w:w="90" w:type="dxa"/>
              <w:left w:w="80" w:type="dxa"/>
              <w:bottom w:w="90" w:type="dxa"/>
              <w:right w:w="80" w:type="dxa"/>
            </w:tcMar>
            <w:vAlign w:val="center"/>
          </w:tcPr>
          <w:p w14:paraId="155436CF"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السياق/المنهج</w:t>
            </w:r>
          </w:p>
        </w:tc>
        <w:tc>
          <w:tcPr>
            <w:tcW w:w="2608" w:type="dxa"/>
            <w:shd w:val="clear" w:color="auto" w:fill="17365D"/>
            <w:tcMar>
              <w:top w:w="90" w:type="dxa"/>
              <w:left w:w="80" w:type="dxa"/>
              <w:bottom w:w="90" w:type="dxa"/>
              <w:right w:w="80" w:type="dxa"/>
            </w:tcMar>
            <w:vAlign w:val="center"/>
          </w:tcPr>
          <w:p w14:paraId="5AC769EE"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أبرز النتيجة</w:t>
            </w:r>
          </w:p>
        </w:tc>
        <w:tc>
          <w:tcPr>
            <w:tcW w:w="2041" w:type="dxa"/>
            <w:shd w:val="clear" w:color="auto" w:fill="17365D"/>
            <w:tcMar>
              <w:top w:w="90" w:type="dxa"/>
              <w:left w:w="80" w:type="dxa"/>
              <w:bottom w:w="90" w:type="dxa"/>
              <w:right w:w="80" w:type="dxa"/>
            </w:tcMar>
            <w:vAlign w:val="center"/>
          </w:tcPr>
          <w:p w14:paraId="2F37BB49"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أوجه الإفادة</w:t>
            </w:r>
          </w:p>
        </w:tc>
      </w:tr>
      <w:tr w:rsidR="00986803" w:rsidRPr="00AE1FD7" w14:paraId="364925B5" w14:textId="77777777" w:rsidTr="007817CC">
        <w:trPr>
          <w:jc w:val="center"/>
        </w:trPr>
        <w:tc>
          <w:tcPr>
            <w:tcW w:w="1814" w:type="dxa"/>
            <w:shd w:val="clear" w:color="auto" w:fill="FFFFFF"/>
            <w:tcMar>
              <w:top w:w="70" w:type="dxa"/>
              <w:left w:w="70" w:type="dxa"/>
              <w:bottom w:w="70" w:type="dxa"/>
              <w:right w:w="70" w:type="dxa"/>
            </w:tcMar>
            <w:vAlign w:val="center"/>
          </w:tcPr>
          <w:p w14:paraId="33FC9917"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البسام (2016)</w:t>
            </w:r>
          </w:p>
        </w:tc>
        <w:tc>
          <w:tcPr>
            <w:tcW w:w="2041" w:type="dxa"/>
            <w:shd w:val="clear" w:color="auto" w:fill="FFFFFF"/>
            <w:tcMar>
              <w:top w:w="70" w:type="dxa"/>
              <w:left w:w="70" w:type="dxa"/>
              <w:bottom w:w="70" w:type="dxa"/>
              <w:right w:w="70" w:type="dxa"/>
            </w:tcMar>
            <w:vAlign w:val="center"/>
          </w:tcPr>
          <w:p w14:paraId="7C89E2C4"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تأصيل نظري للحوكمة في القطاع العام</w:t>
            </w:r>
          </w:p>
        </w:tc>
        <w:tc>
          <w:tcPr>
            <w:tcW w:w="2608" w:type="dxa"/>
            <w:shd w:val="clear" w:color="auto" w:fill="FFFFFF"/>
            <w:tcMar>
              <w:top w:w="70" w:type="dxa"/>
              <w:left w:w="70" w:type="dxa"/>
              <w:bottom w:w="70" w:type="dxa"/>
              <w:right w:w="70" w:type="dxa"/>
            </w:tcMar>
            <w:vAlign w:val="center"/>
          </w:tcPr>
          <w:p w14:paraId="50CD6A1F"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الحوكمة تربط الشفافية والمساءلة بكفاءة الموارد والأداء.</w:t>
            </w:r>
          </w:p>
        </w:tc>
        <w:tc>
          <w:tcPr>
            <w:tcW w:w="2041" w:type="dxa"/>
            <w:shd w:val="clear" w:color="auto" w:fill="FFFFFF"/>
            <w:tcMar>
              <w:top w:w="70" w:type="dxa"/>
              <w:left w:w="70" w:type="dxa"/>
              <w:bottom w:w="70" w:type="dxa"/>
              <w:right w:w="70" w:type="dxa"/>
            </w:tcMar>
            <w:vAlign w:val="center"/>
          </w:tcPr>
          <w:p w14:paraId="736CF6E8"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تحديد مرتكزات المتغير المستقل.</w:t>
            </w:r>
          </w:p>
        </w:tc>
      </w:tr>
      <w:tr w:rsidR="00986803" w:rsidRPr="00AE1FD7" w14:paraId="771ADD83" w14:textId="77777777" w:rsidTr="007817CC">
        <w:trPr>
          <w:jc w:val="center"/>
        </w:trPr>
        <w:tc>
          <w:tcPr>
            <w:tcW w:w="1814" w:type="dxa"/>
            <w:shd w:val="clear" w:color="auto" w:fill="F2F4F6"/>
            <w:tcMar>
              <w:top w:w="70" w:type="dxa"/>
              <w:left w:w="70" w:type="dxa"/>
              <w:bottom w:w="70" w:type="dxa"/>
              <w:right w:w="70" w:type="dxa"/>
            </w:tcMar>
            <w:vAlign w:val="center"/>
          </w:tcPr>
          <w:p w14:paraId="2F385B4F"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الخريجي (2021)</w:t>
            </w:r>
          </w:p>
        </w:tc>
        <w:tc>
          <w:tcPr>
            <w:tcW w:w="2041" w:type="dxa"/>
            <w:shd w:val="clear" w:color="auto" w:fill="F2F4F6"/>
            <w:tcMar>
              <w:top w:w="70" w:type="dxa"/>
              <w:left w:w="70" w:type="dxa"/>
              <w:bottom w:w="70" w:type="dxa"/>
              <w:right w:w="70" w:type="dxa"/>
            </w:tcMar>
            <w:vAlign w:val="center"/>
          </w:tcPr>
          <w:p w14:paraId="2013B546"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مقارنة كفاءة الإنفاق السعودي بدول G20</w:t>
            </w:r>
          </w:p>
        </w:tc>
        <w:tc>
          <w:tcPr>
            <w:tcW w:w="2608" w:type="dxa"/>
            <w:shd w:val="clear" w:color="auto" w:fill="F2F4F6"/>
            <w:tcMar>
              <w:top w:w="70" w:type="dxa"/>
              <w:left w:w="70" w:type="dxa"/>
              <w:bottom w:w="70" w:type="dxa"/>
              <w:right w:w="70" w:type="dxa"/>
            </w:tcMar>
            <w:vAlign w:val="center"/>
          </w:tcPr>
          <w:p w14:paraId="2F1E1486"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التمييز بين مستوى الأداء وكفاءة استخدام الموارد.</w:t>
            </w:r>
          </w:p>
        </w:tc>
        <w:tc>
          <w:tcPr>
            <w:tcW w:w="2041" w:type="dxa"/>
            <w:shd w:val="clear" w:color="auto" w:fill="F2F4F6"/>
            <w:tcMar>
              <w:top w:w="70" w:type="dxa"/>
              <w:left w:w="70" w:type="dxa"/>
              <w:bottom w:w="70" w:type="dxa"/>
              <w:right w:w="70" w:type="dxa"/>
            </w:tcMar>
            <w:vAlign w:val="center"/>
          </w:tcPr>
          <w:p w14:paraId="30062735"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تأطير مفهوم الكفاءة بعيداً عن الخفض الحسابي.</w:t>
            </w:r>
          </w:p>
        </w:tc>
      </w:tr>
      <w:tr w:rsidR="00986803" w:rsidRPr="00AE1FD7" w14:paraId="0DEE5065" w14:textId="77777777" w:rsidTr="007817CC">
        <w:trPr>
          <w:jc w:val="center"/>
        </w:trPr>
        <w:tc>
          <w:tcPr>
            <w:tcW w:w="1814" w:type="dxa"/>
            <w:shd w:val="clear" w:color="auto" w:fill="FFFFFF"/>
            <w:tcMar>
              <w:top w:w="70" w:type="dxa"/>
              <w:left w:w="70" w:type="dxa"/>
              <w:bottom w:w="70" w:type="dxa"/>
              <w:right w:w="70" w:type="dxa"/>
            </w:tcMar>
            <w:vAlign w:val="center"/>
          </w:tcPr>
          <w:p w14:paraId="5CB0F2CF"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سيروب (2022)</w:t>
            </w:r>
          </w:p>
        </w:tc>
        <w:tc>
          <w:tcPr>
            <w:tcW w:w="2041" w:type="dxa"/>
            <w:shd w:val="clear" w:color="auto" w:fill="FFFFFF"/>
            <w:tcMar>
              <w:top w:w="70" w:type="dxa"/>
              <w:left w:w="70" w:type="dxa"/>
              <w:bottom w:w="70" w:type="dxa"/>
              <w:right w:w="70" w:type="dxa"/>
            </w:tcMar>
            <w:vAlign w:val="center"/>
          </w:tcPr>
          <w:p w14:paraId="0B5FD1BC"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تحليل أثر الحوكمة على كفاءة الإنفاق العام</w:t>
            </w:r>
          </w:p>
        </w:tc>
        <w:tc>
          <w:tcPr>
            <w:tcW w:w="2608" w:type="dxa"/>
            <w:shd w:val="clear" w:color="auto" w:fill="FFFFFF"/>
            <w:tcMar>
              <w:top w:w="70" w:type="dxa"/>
              <w:left w:w="70" w:type="dxa"/>
              <w:bottom w:w="70" w:type="dxa"/>
              <w:right w:w="70" w:type="dxa"/>
            </w:tcMar>
            <w:vAlign w:val="center"/>
          </w:tcPr>
          <w:p w14:paraId="75FDC74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وجود ارتباط بين جودة الحوكمة وتحسن كفاءة الإنفاق.</w:t>
            </w:r>
          </w:p>
        </w:tc>
        <w:tc>
          <w:tcPr>
            <w:tcW w:w="2041" w:type="dxa"/>
            <w:shd w:val="clear" w:color="auto" w:fill="FFFFFF"/>
            <w:tcMar>
              <w:top w:w="70" w:type="dxa"/>
              <w:left w:w="70" w:type="dxa"/>
              <w:bottom w:w="70" w:type="dxa"/>
              <w:right w:w="70" w:type="dxa"/>
            </w:tcMar>
            <w:vAlign w:val="center"/>
          </w:tcPr>
          <w:p w14:paraId="23D3C30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دعم العلاقة النظرية الرئيسة.</w:t>
            </w:r>
          </w:p>
        </w:tc>
      </w:tr>
      <w:tr w:rsidR="00986803" w:rsidRPr="00AE1FD7" w14:paraId="53E1072B" w14:textId="77777777" w:rsidTr="007817CC">
        <w:trPr>
          <w:jc w:val="center"/>
        </w:trPr>
        <w:tc>
          <w:tcPr>
            <w:tcW w:w="1814" w:type="dxa"/>
            <w:shd w:val="clear" w:color="auto" w:fill="F2F4F6"/>
            <w:tcMar>
              <w:top w:w="70" w:type="dxa"/>
              <w:left w:w="70" w:type="dxa"/>
              <w:bottom w:w="70" w:type="dxa"/>
              <w:right w:w="70" w:type="dxa"/>
            </w:tcMar>
            <w:vAlign w:val="center"/>
          </w:tcPr>
          <w:p w14:paraId="0A8EEC8A"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الرفاعي وكنة (2025)</w:t>
            </w:r>
          </w:p>
        </w:tc>
        <w:tc>
          <w:tcPr>
            <w:tcW w:w="2041" w:type="dxa"/>
            <w:shd w:val="clear" w:color="auto" w:fill="F2F4F6"/>
            <w:tcMar>
              <w:top w:w="70" w:type="dxa"/>
              <w:left w:w="70" w:type="dxa"/>
              <w:bottom w:w="70" w:type="dxa"/>
              <w:right w:w="70" w:type="dxa"/>
            </w:tcMar>
            <w:vAlign w:val="center"/>
          </w:tcPr>
          <w:p w14:paraId="2815264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دراسة تطبيقية للحوكمة والاستدامة المالية في السعودية</w:t>
            </w:r>
          </w:p>
        </w:tc>
        <w:tc>
          <w:tcPr>
            <w:tcW w:w="2608" w:type="dxa"/>
            <w:shd w:val="clear" w:color="auto" w:fill="F2F4F6"/>
            <w:tcMar>
              <w:top w:w="70" w:type="dxa"/>
              <w:left w:w="70" w:type="dxa"/>
              <w:bottom w:w="70" w:type="dxa"/>
              <w:right w:w="70" w:type="dxa"/>
            </w:tcMar>
            <w:vAlign w:val="center"/>
          </w:tcPr>
          <w:p w14:paraId="4E6B2C57"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مبادئ الحوكمة تدعم الاستدامة مع تفاوت مستوى التطبيق.</w:t>
            </w:r>
          </w:p>
        </w:tc>
        <w:tc>
          <w:tcPr>
            <w:tcW w:w="2041" w:type="dxa"/>
            <w:shd w:val="clear" w:color="auto" w:fill="F2F4F6"/>
            <w:tcMar>
              <w:top w:w="70" w:type="dxa"/>
              <w:left w:w="70" w:type="dxa"/>
              <w:bottom w:w="70" w:type="dxa"/>
              <w:right w:w="70" w:type="dxa"/>
            </w:tcMar>
            <w:vAlign w:val="center"/>
          </w:tcPr>
          <w:p w14:paraId="0090F3AE"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تأكيد ملاءمة السياق السعودي.</w:t>
            </w:r>
          </w:p>
        </w:tc>
      </w:tr>
      <w:tr w:rsidR="00986803" w:rsidRPr="00AE1FD7" w14:paraId="14847D00" w14:textId="77777777" w:rsidTr="007817CC">
        <w:trPr>
          <w:jc w:val="center"/>
        </w:trPr>
        <w:tc>
          <w:tcPr>
            <w:tcW w:w="1814" w:type="dxa"/>
            <w:shd w:val="clear" w:color="auto" w:fill="FFFFFF"/>
            <w:tcMar>
              <w:top w:w="70" w:type="dxa"/>
              <w:left w:w="70" w:type="dxa"/>
              <w:bottom w:w="70" w:type="dxa"/>
              <w:right w:w="70" w:type="dxa"/>
            </w:tcMar>
            <w:vAlign w:val="center"/>
          </w:tcPr>
          <w:p w14:paraId="7ADCD5DC"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White (2011)</w:t>
            </w:r>
          </w:p>
        </w:tc>
        <w:tc>
          <w:tcPr>
            <w:tcW w:w="2041" w:type="dxa"/>
            <w:shd w:val="clear" w:color="auto" w:fill="FFFFFF"/>
            <w:tcMar>
              <w:top w:w="70" w:type="dxa"/>
              <w:left w:w="70" w:type="dxa"/>
              <w:bottom w:w="70" w:type="dxa"/>
              <w:right w:w="70" w:type="dxa"/>
            </w:tcMar>
            <w:vAlign w:val="center"/>
          </w:tcPr>
          <w:p w14:paraId="05054B0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مراجعة إدارة عقارات القطاع العام البريطاني</w:t>
            </w:r>
          </w:p>
        </w:tc>
        <w:tc>
          <w:tcPr>
            <w:tcW w:w="2608" w:type="dxa"/>
            <w:shd w:val="clear" w:color="auto" w:fill="FFFFFF"/>
            <w:tcMar>
              <w:top w:w="70" w:type="dxa"/>
              <w:left w:w="70" w:type="dxa"/>
              <w:bottom w:w="70" w:type="dxa"/>
              <w:right w:w="70" w:type="dxa"/>
            </w:tcMar>
            <w:vAlign w:val="center"/>
          </w:tcPr>
          <w:p w14:paraId="371C8AB0"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التحول من إدارة تشغيلية إلى إدارة استراتيجية مرتبطة بالخدمة.</w:t>
            </w:r>
          </w:p>
        </w:tc>
        <w:tc>
          <w:tcPr>
            <w:tcW w:w="2041" w:type="dxa"/>
            <w:shd w:val="clear" w:color="auto" w:fill="FFFFFF"/>
            <w:tcMar>
              <w:top w:w="70" w:type="dxa"/>
              <w:left w:w="70" w:type="dxa"/>
              <w:bottom w:w="70" w:type="dxa"/>
              <w:right w:w="70" w:type="dxa"/>
            </w:tcMar>
            <w:vAlign w:val="center"/>
          </w:tcPr>
          <w:p w14:paraId="5D01436C"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ربط المحفظة باستراتيجية الجهة.</w:t>
            </w:r>
          </w:p>
        </w:tc>
      </w:tr>
      <w:tr w:rsidR="00986803" w:rsidRPr="00AE1FD7" w14:paraId="5C91CA1E" w14:textId="77777777" w:rsidTr="007817CC">
        <w:trPr>
          <w:jc w:val="center"/>
        </w:trPr>
        <w:tc>
          <w:tcPr>
            <w:tcW w:w="1814" w:type="dxa"/>
            <w:shd w:val="clear" w:color="auto" w:fill="F2F4F6"/>
            <w:tcMar>
              <w:top w:w="70" w:type="dxa"/>
              <w:left w:w="70" w:type="dxa"/>
              <w:bottom w:w="70" w:type="dxa"/>
              <w:right w:w="70" w:type="dxa"/>
            </w:tcMar>
            <w:vAlign w:val="center"/>
          </w:tcPr>
          <w:p w14:paraId="39BC18A8"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Phelps (2010)</w:t>
            </w:r>
          </w:p>
        </w:tc>
        <w:tc>
          <w:tcPr>
            <w:tcW w:w="2041" w:type="dxa"/>
            <w:shd w:val="clear" w:color="auto" w:fill="F2F4F6"/>
            <w:tcMar>
              <w:top w:w="70" w:type="dxa"/>
              <w:left w:w="70" w:type="dxa"/>
              <w:bottom w:w="70" w:type="dxa"/>
              <w:right w:w="70" w:type="dxa"/>
            </w:tcMar>
            <w:vAlign w:val="center"/>
          </w:tcPr>
          <w:p w14:paraId="000AAC98"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تحليل ممارسات إدارة الأصول البلدية</w:t>
            </w:r>
          </w:p>
        </w:tc>
        <w:tc>
          <w:tcPr>
            <w:tcW w:w="2608" w:type="dxa"/>
            <w:shd w:val="clear" w:color="auto" w:fill="F2F4F6"/>
            <w:tcMar>
              <w:top w:w="70" w:type="dxa"/>
              <w:left w:w="70" w:type="dxa"/>
              <w:bottom w:w="70" w:type="dxa"/>
              <w:right w:w="70" w:type="dxa"/>
            </w:tcMar>
            <w:vAlign w:val="center"/>
          </w:tcPr>
          <w:p w14:paraId="348BE23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المبررات لا تنتج نتائج دون ممارسات مؤسسية متسقة.</w:t>
            </w:r>
          </w:p>
        </w:tc>
        <w:tc>
          <w:tcPr>
            <w:tcW w:w="2041" w:type="dxa"/>
            <w:shd w:val="clear" w:color="auto" w:fill="F2F4F6"/>
            <w:tcMar>
              <w:top w:w="70" w:type="dxa"/>
              <w:left w:w="70" w:type="dxa"/>
              <w:bottom w:w="70" w:type="dxa"/>
              <w:right w:w="70" w:type="dxa"/>
            </w:tcMar>
            <w:vAlign w:val="center"/>
          </w:tcPr>
          <w:p w14:paraId="75731FA4"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إبراز فجوة السياسة والتطبيق.</w:t>
            </w:r>
          </w:p>
        </w:tc>
      </w:tr>
      <w:tr w:rsidR="00986803" w:rsidRPr="00AE1FD7" w14:paraId="2FCA2FB6" w14:textId="77777777" w:rsidTr="007817CC">
        <w:trPr>
          <w:jc w:val="center"/>
        </w:trPr>
        <w:tc>
          <w:tcPr>
            <w:tcW w:w="1814" w:type="dxa"/>
            <w:shd w:val="clear" w:color="auto" w:fill="FFFFFF"/>
            <w:tcMar>
              <w:top w:w="70" w:type="dxa"/>
              <w:left w:w="70" w:type="dxa"/>
              <w:bottom w:w="70" w:type="dxa"/>
              <w:right w:w="70" w:type="dxa"/>
            </w:tcMar>
            <w:vAlign w:val="center"/>
          </w:tcPr>
          <w:p w14:paraId="6003BE55"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eastAsia="DejaVu Sans" w:hAnsi="Sakkal Majalla" w:cs="Sakkal Majalla"/>
                <w:color w:val="000000"/>
                <w:sz w:val="36"/>
                <w:szCs w:val="36"/>
                <w:lang w:bidi="en-US"/>
              </w:rPr>
              <w:t>Kaganova</w:t>
            </w:r>
            <w:proofErr w:type="spellEnd"/>
            <w:r w:rsidRPr="00AE1FD7">
              <w:rPr>
                <w:rFonts w:ascii="Sakkal Majalla" w:eastAsia="DejaVu Sans" w:hAnsi="Sakkal Majalla" w:cs="Sakkal Majalla"/>
                <w:color w:val="000000"/>
                <w:sz w:val="36"/>
                <w:szCs w:val="36"/>
                <w:lang w:bidi="en-US"/>
              </w:rPr>
              <w:t xml:space="preserve"> (2012)</w:t>
            </w:r>
          </w:p>
        </w:tc>
        <w:tc>
          <w:tcPr>
            <w:tcW w:w="2041" w:type="dxa"/>
            <w:shd w:val="clear" w:color="auto" w:fill="FFFFFF"/>
            <w:tcMar>
              <w:top w:w="70" w:type="dxa"/>
              <w:left w:w="70" w:type="dxa"/>
              <w:bottom w:w="70" w:type="dxa"/>
              <w:right w:w="70" w:type="dxa"/>
            </w:tcMar>
            <w:vAlign w:val="center"/>
          </w:tcPr>
          <w:p w14:paraId="0AA9B021"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دليل تطبيقي للحكومات المحلية</w:t>
            </w:r>
          </w:p>
        </w:tc>
        <w:tc>
          <w:tcPr>
            <w:tcW w:w="2608" w:type="dxa"/>
            <w:shd w:val="clear" w:color="auto" w:fill="FFFFFF"/>
            <w:tcMar>
              <w:top w:w="70" w:type="dxa"/>
              <w:left w:w="70" w:type="dxa"/>
              <w:bottom w:w="70" w:type="dxa"/>
              <w:right w:w="70" w:type="dxa"/>
            </w:tcMar>
            <w:vAlign w:val="center"/>
          </w:tcPr>
          <w:p w14:paraId="2AD68F06"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الجرد والتصنيف وربط البيانات بالقرار والتصرف في الفائض عناصر جوهرية.</w:t>
            </w:r>
          </w:p>
        </w:tc>
        <w:tc>
          <w:tcPr>
            <w:tcW w:w="2041" w:type="dxa"/>
            <w:shd w:val="clear" w:color="auto" w:fill="FFFFFF"/>
            <w:tcMar>
              <w:top w:w="70" w:type="dxa"/>
              <w:left w:w="70" w:type="dxa"/>
              <w:bottom w:w="70" w:type="dxa"/>
              <w:right w:w="70" w:type="dxa"/>
            </w:tcMar>
            <w:vAlign w:val="center"/>
          </w:tcPr>
          <w:p w14:paraId="04399307"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بناء مؤشرات التشغيل والقرار.</w:t>
            </w:r>
          </w:p>
        </w:tc>
      </w:tr>
      <w:tr w:rsidR="00986803" w:rsidRPr="00AE1FD7" w14:paraId="172C7BAD" w14:textId="77777777" w:rsidTr="007817CC">
        <w:trPr>
          <w:jc w:val="center"/>
        </w:trPr>
        <w:tc>
          <w:tcPr>
            <w:tcW w:w="1814" w:type="dxa"/>
            <w:shd w:val="clear" w:color="auto" w:fill="F2F4F6"/>
            <w:tcMar>
              <w:top w:w="70" w:type="dxa"/>
              <w:left w:w="70" w:type="dxa"/>
              <w:bottom w:w="70" w:type="dxa"/>
              <w:right w:w="70" w:type="dxa"/>
            </w:tcMar>
            <w:vAlign w:val="center"/>
          </w:tcPr>
          <w:p w14:paraId="7A952D7C"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&amp; </w:t>
            </w:r>
            <w:r w:rsidR="007817CC" w:rsidRPr="007817CC">
              <w:rPr>
                <w:rFonts w:ascii="Sakkal Majalla" w:hAnsi="Sakkal Majalla" w:cs="Sakkal Majalla" w:hint="cs"/>
                <w:color w:val="000000"/>
                <w:sz w:val="36"/>
                <w:szCs w:val="36"/>
                <w:lang w:val="ar-SA"/>
              </w:rPr>
              <w:t>)</w:t>
            </w:r>
            <w:proofErr w:type="gramStart"/>
            <w:r w:rsidR="007817CC" w:rsidRPr="007817CC">
              <w:rPr>
                <w:rFonts w:ascii="Sakkal Majalla" w:hAnsi="Sakkal Majalla" w:cs="Sakkal Majalla"/>
                <w:color w:val="000000"/>
                <w:sz w:val="36"/>
                <w:szCs w:val="36"/>
                <w:rtl/>
                <w:lang w:val="ar-SA"/>
              </w:rPr>
              <w:t>2013)</w:t>
            </w:r>
            <w:proofErr w:type="spellStart"/>
            <w:r w:rsidRPr="00AE1FD7">
              <w:rPr>
                <w:rFonts w:ascii="Sakkal Majalla" w:hAnsi="Sakkal Majalla" w:cs="Sakkal Majalla"/>
                <w:color w:val="000000"/>
                <w:sz w:val="36"/>
                <w:szCs w:val="36"/>
                <w:rtl/>
                <w:lang w:val="ar-SA"/>
              </w:rPr>
              <w:t>Kapur</w:t>
            </w:r>
            <w:proofErr w:type="spellEnd"/>
            <w:proofErr w:type="gramEnd"/>
            <w:r w:rsidRPr="00AE1FD7">
              <w:rPr>
                <w:rFonts w:ascii="Sakkal Majalla" w:hAnsi="Sakkal Majalla" w:cs="Sakkal Majalla"/>
                <w:color w:val="000000"/>
                <w:sz w:val="36"/>
                <w:szCs w:val="36"/>
                <w:rtl/>
                <w:lang w:val="ar-SA"/>
              </w:rPr>
              <w:t xml:space="preserve"> </w:t>
            </w:r>
          </w:p>
        </w:tc>
        <w:tc>
          <w:tcPr>
            <w:tcW w:w="2041" w:type="dxa"/>
            <w:shd w:val="clear" w:color="auto" w:fill="F2F4F6"/>
            <w:tcMar>
              <w:top w:w="70" w:type="dxa"/>
              <w:left w:w="70" w:type="dxa"/>
              <w:bottom w:w="70" w:type="dxa"/>
              <w:right w:w="70" w:type="dxa"/>
            </w:tcMar>
            <w:vAlign w:val="center"/>
          </w:tcPr>
          <w:p w14:paraId="47FEDC1E"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ورقة عمل عن البيانات والتقنية</w:t>
            </w:r>
          </w:p>
        </w:tc>
        <w:tc>
          <w:tcPr>
            <w:tcW w:w="2608" w:type="dxa"/>
            <w:shd w:val="clear" w:color="auto" w:fill="F2F4F6"/>
            <w:tcMar>
              <w:top w:w="70" w:type="dxa"/>
              <w:left w:w="70" w:type="dxa"/>
              <w:bottom w:w="70" w:type="dxa"/>
              <w:right w:w="70" w:type="dxa"/>
            </w:tcMar>
            <w:vAlign w:val="center"/>
          </w:tcPr>
          <w:p w14:paraId="174F3E4C"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تجزؤ البيانات يضعف القرار العقاري الحكومي.</w:t>
            </w:r>
          </w:p>
        </w:tc>
        <w:tc>
          <w:tcPr>
            <w:tcW w:w="2041" w:type="dxa"/>
            <w:shd w:val="clear" w:color="auto" w:fill="F2F4F6"/>
            <w:tcMar>
              <w:top w:w="70" w:type="dxa"/>
              <w:left w:w="70" w:type="dxa"/>
              <w:bottom w:w="70" w:type="dxa"/>
              <w:right w:w="70" w:type="dxa"/>
            </w:tcMar>
            <w:vAlign w:val="center"/>
          </w:tcPr>
          <w:p w14:paraId="5615A374"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إدراج بُعد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w:t>
            </w:r>
          </w:p>
        </w:tc>
      </w:tr>
      <w:tr w:rsidR="00986803" w:rsidRPr="00AE1FD7" w14:paraId="25E31807" w14:textId="77777777" w:rsidTr="007817CC">
        <w:trPr>
          <w:jc w:val="center"/>
        </w:trPr>
        <w:tc>
          <w:tcPr>
            <w:tcW w:w="1814" w:type="dxa"/>
            <w:shd w:val="clear" w:color="auto" w:fill="FFFFFF"/>
            <w:tcMar>
              <w:top w:w="70" w:type="dxa"/>
              <w:left w:w="70" w:type="dxa"/>
              <w:bottom w:w="70" w:type="dxa"/>
              <w:right w:w="70" w:type="dxa"/>
            </w:tcMar>
            <w:vAlign w:val="center"/>
          </w:tcPr>
          <w:p w14:paraId="209149D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t>Gross</w:t>
            </w:r>
            <w:proofErr w:type="spellEnd"/>
            <w:r w:rsidRPr="00AE1FD7">
              <w:rPr>
                <w:rFonts w:ascii="Sakkal Majalla" w:hAnsi="Sakkal Majalla" w:cs="Sakkal Majalla"/>
                <w:color w:val="000000"/>
                <w:sz w:val="36"/>
                <w:szCs w:val="36"/>
                <w:rtl/>
                <w:lang w:val="ar-SA"/>
              </w:rPr>
              <w:t xml:space="preserve"> &amp; </w:t>
            </w:r>
            <w:r w:rsidR="007817CC" w:rsidRPr="007817CC">
              <w:rPr>
                <w:rFonts w:ascii="Sakkal Majalla" w:hAnsi="Sakkal Majalla" w:cs="Sakkal Majalla" w:hint="cs"/>
                <w:color w:val="000000"/>
                <w:sz w:val="36"/>
                <w:szCs w:val="36"/>
                <w:lang w:val="ar-SA"/>
              </w:rPr>
              <w:t>)</w:t>
            </w:r>
            <w:proofErr w:type="gramStart"/>
            <w:r w:rsidR="007817CC" w:rsidRPr="007817CC">
              <w:rPr>
                <w:rFonts w:ascii="Sakkal Majalla" w:hAnsi="Sakkal Majalla" w:cs="Sakkal Majalla"/>
                <w:color w:val="000000"/>
                <w:sz w:val="36"/>
                <w:szCs w:val="36"/>
                <w:rtl/>
                <w:lang w:val="ar-SA"/>
              </w:rPr>
              <w:t>2015)</w:t>
            </w:r>
            <w:proofErr w:type="spellStart"/>
            <w:r w:rsidRPr="00AE1FD7">
              <w:rPr>
                <w:rFonts w:ascii="Sakkal Majalla" w:hAnsi="Sakkal Majalla" w:cs="Sakkal Majalla"/>
                <w:color w:val="000000"/>
                <w:sz w:val="36"/>
                <w:szCs w:val="36"/>
                <w:rtl/>
                <w:lang w:val="ar-SA"/>
              </w:rPr>
              <w:t>Źróbek</w:t>
            </w:r>
            <w:proofErr w:type="spellEnd"/>
            <w:proofErr w:type="gramEnd"/>
            <w:r w:rsidRPr="00AE1FD7">
              <w:rPr>
                <w:rFonts w:ascii="Sakkal Majalla" w:hAnsi="Sakkal Majalla" w:cs="Sakkal Majalla"/>
                <w:color w:val="000000"/>
                <w:sz w:val="36"/>
                <w:szCs w:val="36"/>
                <w:rtl/>
                <w:lang w:val="ar-SA"/>
              </w:rPr>
              <w:t xml:space="preserve"> </w:t>
            </w:r>
          </w:p>
        </w:tc>
        <w:tc>
          <w:tcPr>
            <w:tcW w:w="2041" w:type="dxa"/>
            <w:shd w:val="clear" w:color="auto" w:fill="FFFFFF"/>
            <w:tcMar>
              <w:top w:w="70" w:type="dxa"/>
              <w:left w:w="70" w:type="dxa"/>
              <w:bottom w:w="70" w:type="dxa"/>
              <w:right w:w="70" w:type="dxa"/>
            </w:tcMar>
            <w:vAlign w:val="center"/>
          </w:tcPr>
          <w:p w14:paraId="00CB1E45"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مقارنة أنظمة إدارة العقارات العامة</w:t>
            </w:r>
          </w:p>
        </w:tc>
        <w:tc>
          <w:tcPr>
            <w:tcW w:w="2608" w:type="dxa"/>
            <w:shd w:val="clear" w:color="auto" w:fill="FFFFFF"/>
            <w:tcMar>
              <w:top w:w="70" w:type="dxa"/>
              <w:left w:w="70" w:type="dxa"/>
              <w:bottom w:w="70" w:type="dxa"/>
              <w:right w:w="70" w:type="dxa"/>
            </w:tcMar>
            <w:vAlign w:val="center"/>
          </w:tcPr>
          <w:p w14:paraId="0B54EA07"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يمكن قياس الحوكمة عبر الانفتاح والمساءلة والفاعلية والاتساق.</w:t>
            </w:r>
          </w:p>
        </w:tc>
        <w:tc>
          <w:tcPr>
            <w:tcW w:w="2041" w:type="dxa"/>
            <w:shd w:val="clear" w:color="auto" w:fill="FFFFFF"/>
            <w:tcMar>
              <w:top w:w="70" w:type="dxa"/>
              <w:left w:w="70" w:type="dxa"/>
              <w:bottom w:w="70" w:type="dxa"/>
              <w:right w:w="70" w:type="dxa"/>
            </w:tcMar>
            <w:vAlign w:val="center"/>
          </w:tcPr>
          <w:p w14:paraId="53A2C16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تصميم مقياس حوكمة قابل للتطبيق.</w:t>
            </w:r>
          </w:p>
        </w:tc>
      </w:tr>
      <w:tr w:rsidR="00986803" w:rsidRPr="00AE1FD7" w14:paraId="6A4FBC06" w14:textId="77777777" w:rsidTr="007817CC">
        <w:trPr>
          <w:jc w:val="center"/>
        </w:trPr>
        <w:tc>
          <w:tcPr>
            <w:tcW w:w="1814" w:type="dxa"/>
            <w:shd w:val="clear" w:color="auto" w:fill="F2F4F6"/>
            <w:tcMar>
              <w:top w:w="70" w:type="dxa"/>
              <w:left w:w="70" w:type="dxa"/>
              <w:bottom w:w="70" w:type="dxa"/>
              <w:right w:w="70" w:type="dxa"/>
            </w:tcMar>
            <w:vAlign w:val="center"/>
          </w:tcPr>
          <w:p w14:paraId="141D80CA"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Hanis et al. (2011)</w:t>
            </w:r>
          </w:p>
        </w:tc>
        <w:tc>
          <w:tcPr>
            <w:tcW w:w="2041" w:type="dxa"/>
            <w:shd w:val="clear" w:color="auto" w:fill="F2F4F6"/>
            <w:tcMar>
              <w:top w:w="70" w:type="dxa"/>
              <w:left w:w="70" w:type="dxa"/>
              <w:bottom w:w="70" w:type="dxa"/>
              <w:right w:w="70" w:type="dxa"/>
            </w:tcMar>
            <w:vAlign w:val="center"/>
          </w:tcPr>
          <w:p w14:paraId="4AE27A5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تحليل ممارسة إدارة العقارات العامة في ماليزيا</w:t>
            </w:r>
          </w:p>
        </w:tc>
        <w:tc>
          <w:tcPr>
            <w:tcW w:w="2608" w:type="dxa"/>
            <w:shd w:val="clear" w:color="auto" w:fill="F2F4F6"/>
            <w:tcMar>
              <w:top w:w="70" w:type="dxa"/>
              <w:left w:w="70" w:type="dxa"/>
              <w:bottom w:w="70" w:type="dxa"/>
              <w:right w:w="70" w:type="dxa"/>
            </w:tcMar>
            <w:vAlign w:val="center"/>
          </w:tcPr>
          <w:p w14:paraId="6D7CDF01"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التجزؤ وضعف المعلومات وقياس الأداء تحديات متكررة.</w:t>
            </w:r>
          </w:p>
        </w:tc>
        <w:tc>
          <w:tcPr>
            <w:tcW w:w="2041" w:type="dxa"/>
            <w:shd w:val="clear" w:color="auto" w:fill="F2F4F6"/>
            <w:tcMar>
              <w:top w:w="70" w:type="dxa"/>
              <w:left w:w="70" w:type="dxa"/>
              <w:bottom w:w="70" w:type="dxa"/>
              <w:right w:w="70" w:type="dxa"/>
            </w:tcMar>
            <w:vAlign w:val="center"/>
          </w:tcPr>
          <w:p w14:paraId="6A84236B"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تفسير التحديات المؤسسية.</w:t>
            </w:r>
          </w:p>
        </w:tc>
      </w:tr>
      <w:tr w:rsidR="00986803" w:rsidRPr="00AE1FD7" w14:paraId="74969DA5" w14:textId="77777777" w:rsidTr="007817CC">
        <w:trPr>
          <w:jc w:val="center"/>
        </w:trPr>
        <w:tc>
          <w:tcPr>
            <w:tcW w:w="1814" w:type="dxa"/>
            <w:shd w:val="clear" w:color="auto" w:fill="FFFFFF"/>
            <w:tcMar>
              <w:top w:w="70" w:type="dxa"/>
              <w:left w:w="70" w:type="dxa"/>
              <w:bottom w:w="70" w:type="dxa"/>
              <w:right w:w="70" w:type="dxa"/>
            </w:tcMar>
            <w:vAlign w:val="center"/>
          </w:tcPr>
          <w:p w14:paraId="0FED3190"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t>Kaganova</w:t>
            </w:r>
            <w:proofErr w:type="spellEnd"/>
            <w:r w:rsidRPr="00AE1FD7">
              <w:rPr>
                <w:rFonts w:ascii="Sakkal Majalla" w:hAnsi="Sakkal Majalla" w:cs="Sakkal Majalla"/>
                <w:color w:val="000000"/>
                <w:sz w:val="36"/>
                <w:szCs w:val="36"/>
                <w:rtl/>
                <w:lang w:val="ar-SA"/>
              </w:rPr>
              <w:t xml:space="preserve"> &amp; </w:t>
            </w:r>
            <w:r w:rsidR="007817CC" w:rsidRPr="007817CC">
              <w:rPr>
                <w:rFonts w:ascii="Sakkal Majalla" w:hAnsi="Sakkal Majalla" w:cs="Sakkal Majalla" w:hint="cs"/>
                <w:color w:val="000000"/>
                <w:sz w:val="36"/>
                <w:szCs w:val="36"/>
                <w:lang w:val="ar-SA"/>
              </w:rPr>
              <w:t>)</w:t>
            </w:r>
            <w:proofErr w:type="gramStart"/>
            <w:r w:rsidR="007817CC" w:rsidRPr="007817CC">
              <w:rPr>
                <w:rFonts w:ascii="Sakkal Majalla" w:hAnsi="Sakkal Majalla" w:cs="Sakkal Majalla"/>
                <w:color w:val="000000"/>
                <w:sz w:val="36"/>
                <w:szCs w:val="36"/>
                <w:rtl/>
                <w:lang w:val="ar-SA"/>
              </w:rPr>
              <w:t>2020)</w:t>
            </w:r>
            <w:proofErr w:type="spellStart"/>
            <w:r w:rsidRPr="00AE1FD7">
              <w:rPr>
                <w:rFonts w:ascii="Sakkal Majalla" w:hAnsi="Sakkal Majalla" w:cs="Sakkal Majalla"/>
                <w:color w:val="000000"/>
                <w:sz w:val="36"/>
                <w:szCs w:val="36"/>
                <w:rtl/>
                <w:lang w:val="ar-SA"/>
              </w:rPr>
              <w:t>Amoils</w:t>
            </w:r>
            <w:proofErr w:type="spellEnd"/>
            <w:proofErr w:type="gramEnd"/>
            <w:r w:rsidRPr="00AE1FD7">
              <w:rPr>
                <w:rFonts w:ascii="Sakkal Majalla" w:hAnsi="Sakkal Majalla" w:cs="Sakkal Majalla"/>
                <w:color w:val="000000"/>
                <w:sz w:val="36"/>
                <w:szCs w:val="36"/>
                <w:rtl/>
                <w:lang w:val="ar-SA"/>
              </w:rPr>
              <w:t xml:space="preserve"> </w:t>
            </w:r>
          </w:p>
        </w:tc>
        <w:tc>
          <w:tcPr>
            <w:tcW w:w="2041" w:type="dxa"/>
            <w:shd w:val="clear" w:color="auto" w:fill="FFFFFF"/>
            <w:tcMar>
              <w:top w:w="70" w:type="dxa"/>
              <w:left w:w="70" w:type="dxa"/>
              <w:bottom w:w="70" w:type="dxa"/>
              <w:right w:w="70" w:type="dxa"/>
            </w:tcMar>
            <w:vAlign w:val="center"/>
          </w:tcPr>
          <w:p w14:paraId="19930CB3"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مراجعة دولية لإدارة ممتلكات الحكومات المركزية</w:t>
            </w:r>
          </w:p>
        </w:tc>
        <w:tc>
          <w:tcPr>
            <w:tcW w:w="2608" w:type="dxa"/>
            <w:shd w:val="clear" w:color="auto" w:fill="FFFFFF"/>
            <w:tcMar>
              <w:top w:w="70" w:type="dxa"/>
              <w:left w:w="70" w:type="dxa"/>
              <w:bottom w:w="70" w:type="dxa"/>
              <w:right w:w="70" w:type="dxa"/>
            </w:tcMar>
            <w:vAlign w:val="center"/>
          </w:tcPr>
          <w:p w14:paraId="395AE906"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الضغوط المالية والتقنية والأداء والاستدامة محركات للإصلاح.</w:t>
            </w:r>
          </w:p>
        </w:tc>
        <w:tc>
          <w:tcPr>
            <w:tcW w:w="2041" w:type="dxa"/>
            <w:shd w:val="clear" w:color="auto" w:fill="FFFFFF"/>
            <w:tcMar>
              <w:top w:w="70" w:type="dxa"/>
              <w:left w:w="70" w:type="dxa"/>
              <w:bottom w:w="70" w:type="dxa"/>
              <w:right w:w="70" w:type="dxa"/>
            </w:tcMar>
            <w:vAlign w:val="center"/>
          </w:tcPr>
          <w:p w14:paraId="6FAA5548"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ربط التحول </w:t>
            </w:r>
            <w:proofErr w:type="spellStart"/>
            <w:r w:rsidRPr="00AE1FD7">
              <w:rPr>
                <w:rFonts w:ascii="Sakkal Majalla" w:hAnsi="Sakkal Majalla" w:cs="Sakkal Majalla"/>
                <w:color w:val="000000"/>
                <w:sz w:val="36"/>
                <w:szCs w:val="36"/>
                <w:rtl/>
                <w:lang w:val="ar-SA"/>
              </w:rPr>
              <w:t>الحوكمي</w:t>
            </w:r>
            <w:proofErr w:type="spellEnd"/>
            <w:r w:rsidRPr="00AE1FD7">
              <w:rPr>
                <w:rFonts w:ascii="Sakkal Majalla" w:hAnsi="Sakkal Majalla" w:cs="Sakkal Majalla"/>
                <w:color w:val="000000"/>
                <w:sz w:val="36"/>
                <w:szCs w:val="36"/>
                <w:rtl/>
                <w:lang w:val="ar-SA"/>
              </w:rPr>
              <w:t xml:space="preserve"> بالكفاءة.</w:t>
            </w:r>
          </w:p>
        </w:tc>
      </w:tr>
      <w:tr w:rsidR="00986803" w:rsidRPr="00AE1FD7" w14:paraId="0970653F" w14:textId="77777777" w:rsidTr="007817CC">
        <w:trPr>
          <w:jc w:val="center"/>
        </w:trPr>
        <w:tc>
          <w:tcPr>
            <w:tcW w:w="1814" w:type="dxa"/>
            <w:shd w:val="clear" w:color="auto" w:fill="F2F4F6"/>
            <w:tcMar>
              <w:top w:w="70" w:type="dxa"/>
              <w:left w:w="70" w:type="dxa"/>
              <w:bottom w:w="70" w:type="dxa"/>
              <w:right w:w="70" w:type="dxa"/>
            </w:tcMar>
            <w:vAlign w:val="center"/>
          </w:tcPr>
          <w:p w14:paraId="512AB1C2"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lastRenderedPageBreak/>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r w:rsidR="007817CC" w:rsidRPr="007817CC">
              <w:rPr>
                <w:rFonts w:ascii="Sakkal Majalla" w:hAnsi="Sakkal Majalla" w:cs="Sakkal Majalla" w:hint="cs"/>
                <w:color w:val="000000"/>
                <w:sz w:val="36"/>
                <w:szCs w:val="36"/>
                <w:lang w:val="ar-SA"/>
              </w:rPr>
              <w:t>)</w:t>
            </w:r>
            <w:r w:rsidR="007817CC" w:rsidRPr="007817CC">
              <w:rPr>
                <w:rFonts w:ascii="Sakkal Majalla" w:hAnsi="Sakkal Majalla" w:cs="Sakkal Majalla"/>
                <w:color w:val="000000"/>
                <w:sz w:val="36"/>
                <w:szCs w:val="36"/>
                <w:rtl/>
                <w:lang w:val="ar-SA"/>
              </w:rPr>
              <w:t>2021)</w:t>
            </w:r>
            <w:r w:rsidR="007817CC">
              <w:rPr>
                <w:rFonts w:ascii="Sakkal Majalla" w:hAnsi="Sakkal Majalla" w:cs="Sakkal Majalla" w:hint="cs"/>
                <w:color w:val="000000"/>
                <w:sz w:val="36"/>
                <w:szCs w:val="36"/>
                <w:lang w:val="ar-SA"/>
              </w:rPr>
              <w:t xml:space="preserve">. </w:t>
            </w:r>
            <w:proofErr w:type="spellStart"/>
            <w:r w:rsidRPr="00AE1FD7">
              <w:rPr>
                <w:rFonts w:ascii="Sakkal Majalla" w:hAnsi="Sakkal Majalla" w:cs="Sakkal Majalla"/>
                <w:color w:val="000000"/>
                <w:sz w:val="36"/>
                <w:szCs w:val="36"/>
                <w:rtl/>
                <w:lang w:val="ar-SA"/>
              </w:rPr>
              <w:t>al</w:t>
            </w:r>
            <w:proofErr w:type="spellEnd"/>
            <w:r w:rsidR="007817CC">
              <w:rPr>
                <w:rFonts w:ascii="Sakkal Majalla" w:hAnsi="Sakkal Majalla" w:cs="Sakkal Majalla" w:hint="cs"/>
                <w:color w:val="000000"/>
                <w:sz w:val="36"/>
                <w:szCs w:val="36"/>
                <w:lang w:val="ar-SA"/>
              </w:rPr>
              <w:t xml:space="preserve"> </w:t>
            </w:r>
            <w:r w:rsidRPr="00AE1FD7">
              <w:rPr>
                <w:rFonts w:ascii="Sakkal Majalla" w:hAnsi="Sakkal Majalla" w:cs="Sakkal Majalla"/>
                <w:color w:val="000000"/>
                <w:sz w:val="36"/>
                <w:szCs w:val="36"/>
                <w:rtl/>
                <w:lang w:val="ar-SA"/>
              </w:rPr>
              <w:t xml:space="preserve"> </w:t>
            </w:r>
          </w:p>
        </w:tc>
        <w:tc>
          <w:tcPr>
            <w:tcW w:w="2041" w:type="dxa"/>
            <w:shd w:val="clear" w:color="auto" w:fill="F2F4F6"/>
            <w:tcMar>
              <w:top w:w="70" w:type="dxa"/>
              <w:left w:w="70" w:type="dxa"/>
              <w:bottom w:w="70" w:type="dxa"/>
              <w:right w:w="70" w:type="dxa"/>
            </w:tcMar>
            <w:vAlign w:val="center"/>
          </w:tcPr>
          <w:p w14:paraId="6DF25230"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تحليل حديث للثروة العامة غير المستثمرة</w:t>
            </w:r>
          </w:p>
        </w:tc>
        <w:tc>
          <w:tcPr>
            <w:tcW w:w="2608" w:type="dxa"/>
            <w:shd w:val="clear" w:color="auto" w:fill="F2F4F6"/>
            <w:tcMar>
              <w:top w:w="70" w:type="dxa"/>
              <w:left w:w="70" w:type="dxa"/>
              <w:bottom w:w="70" w:type="dxa"/>
              <w:right w:w="70" w:type="dxa"/>
            </w:tcMar>
            <w:vAlign w:val="center"/>
          </w:tcPr>
          <w:p w14:paraId="0447FF2A"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الحوكمة والسجل والتمويل والمخاطر والقياس والتخطيط مكونات النظام الأمثل.</w:t>
            </w:r>
          </w:p>
        </w:tc>
        <w:tc>
          <w:tcPr>
            <w:tcW w:w="2041" w:type="dxa"/>
            <w:shd w:val="clear" w:color="auto" w:fill="F2F4F6"/>
            <w:tcMar>
              <w:top w:w="70" w:type="dxa"/>
              <w:left w:w="70" w:type="dxa"/>
              <w:bottom w:w="70" w:type="dxa"/>
              <w:right w:w="70" w:type="dxa"/>
            </w:tcMar>
            <w:vAlign w:val="center"/>
          </w:tcPr>
          <w:p w14:paraId="5914AE52"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تعزيز مفهوم القيمة العامة.</w:t>
            </w:r>
          </w:p>
        </w:tc>
      </w:tr>
      <w:tr w:rsidR="00986803" w:rsidRPr="00AE1FD7" w14:paraId="3E8C8D6D" w14:textId="77777777" w:rsidTr="007817CC">
        <w:trPr>
          <w:jc w:val="center"/>
        </w:trPr>
        <w:tc>
          <w:tcPr>
            <w:tcW w:w="1814" w:type="dxa"/>
            <w:shd w:val="clear" w:color="auto" w:fill="FFFFFF"/>
            <w:tcMar>
              <w:top w:w="70" w:type="dxa"/>
              <w:left w:w="70" w:type="dxa"/>
              <w:bottom w:w="70" w:type="dxa"/>
              <w:right w:w="70" w:type="dxa"/>
            </w:tcMar>
            <w:vAlign w:val="center"/>
          </w:tcPr>
          <w:p w14:paraId="37E8D31E" w14:textId="77777777" w:rsidR="00986803" w:rsidRPr="00AE1FD7" w:rsidRDefault="00DB29B7" w:rsidP="007817C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r w:rsidR="007817CC" w:rsidRPr="007817CC">
              <w:rPr>
                <w:rFonts w:ascii="Sakkal Majalla" w:hAnsi="Sakkal Majalla" w:cs="Sakkal Majalla" w:hint="cs"/>
                <w:color w:val="000000"/>
                <w:sz w:val="36"/>
                <w:szCs w:val="36"/>
                <w:lang w:val="ar-SA"/>
              </w:rPr>
              <w:t>)</w:t>
            </w:r>
            <w:r w:rsidR="007817CC" w:rsidRPr="007817CC">
              <w:rPr>
                <w:rFonts w:ascii="Sakkal Majalla" w:hAnsi="Sakkal Majalla" w:cs="Sakkal Majalla"/>
                <w:color w:val="000000"/>
                <w:sz w:val="36"/>
                <w:szCs w:val="36"/>
                <w:rtl/>
                <w:lang w:val="ar-SA"/>
              </w:rPr>
              <w:t>2024)</w:t>
            </w:r>
            <w:r w:rsidR="007817CC">
              <w:rPr>
                <w:rFonts w:ascii="Sakkal Majalla" w:hAnsi="Sakkal Majalla" w:cs="Sakkal Majalla" w:hint="cs"/>
                <w:color w:val="000000"/>
                <w:sz w:val="36"/>
                <w:szCs w:val="36"/>
                <w:lang w:val="ar-SA"/>
              </w:rPr>
              <w:t>.</w:t>
            </w:r>
            <w:proofErr w:type="spellStart"/>
            <w:proofErr w:type="gramStart"/>
            <w:r w:rsidRPr="00AE1FD7">
              <w:rPr>
                <w:rFonts w:ascii="Sakkal Majalla" w:hAnsi="Sakkal Majalla" w:cs="Sakkal Majalla"/>
                <w:color w:val="000000"/>
                <w:sz w:val="36"/>
                <w:szCs w:val="36"/>
                <w:rtl/>
                <w:lang w:val="ar-SA"/>
              </w:rPr>
              <w:t>al</w:t>
            </w:r>
            <w:proofErr w:type="spellEnd"/>
            <w:r w:rsidR="007817CC">
              <w:rPr>
                <w:rFonts w:ascii="Sakkal Majalla" w:hAnsi="Sakkal Majalla" w:cs="Sakkal Majalla" w:hint="cs"/>
                <w:color w:val="000000"/>
                <w:sz w:val="36"/>
                <w:szCs w:val="36"/>
                <w:lang w:val="ar-SA"/>
              </w:rPr>
              <w:t xml:space="preserve"> </w:t>
            </w:r>
            <w:r w:rsidRPr="00AE1FD7">
              <w:rPr>
                <w:rFonts w:ascii="Sakkal Majalla" w:hAnsi="Sakkal Majalla" w:cs="Sakkal Majalla"/>
                <w:color w:val="000000"/>
                <w:sz w:val="36"/>
                <w:szCs w:val="36"/>
                <w:rtl/>
                <w:lang w:val="ar-SA"/>
              </w:rPr>
              <w:t>.</w:t>
            </w:r>
            <w:proofErr w:type="gramEnd"/>
            <w:r w:rsidRPr="00AE1FD7">
              <w:rPr>
                <w:rFonts w:ascii="Sakkal Majalla" w:hAnsi="Sakkal Majalla" w:cs="Sakkal Majalla"/>
                <w:color w:val="000000"/>
                <w:sz w:val="36"/>
                <w:szCs w:val="36"/>
                <w:rtl/>
                <w:lang w:val="ar-SA"/>
              </w:rPr>
              <w:t xml:space="preserve"> </w:t>
            </w:r>
          </w:p>
        </w:tc>
        <w:tc>
          <w:tcPr>
            <w:tcW w:w="2041" w:type="dxa"/>
            <w:shd w:val="clear" w:color="auto" w:fill="FFFFFF"/>
            <w:tcMar>
              <w:top w:w="70" w:type="dxa"/>
              <w:left w:w="70" w:type="dxa"/>
              <w:bottom w:w="70" w:type="dxa"/>
              <w:right w:w="70" w:type="dxa"/>
            </w:tcMar>
            <w:vAlign w:val="center"/>
          </w:tcPr>
          <w:p w14:paraId="79F7E655"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أداة تقييم نضج إدارة الأصول العامة</w:t>
            </w:r>
          </w:p>
        </w:tc>
        <w:tc>
          <w:tcPr>
            <w:tcW w:w="2608" w:type="dxa"/>
            <w:shd w:val="clear" w:color="auto" w:fill="FFFFFF"/>
            <w:tcMar>
              <w:top w:w="70" w:type="dxa"/>
              <w:left w:w="70" w:type="dxa"/>
              <w:bottom w:w="70" w:type="dxa"/>
              <w:right w:w="70" w:type="dxa"/>
            </w:tcMar>
            <w:vAlign w:val="center"/>
          </w:tcPr>
          <w:p w14:paraId="364C532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النضج يعتمد على السياسات والقيادة والإجراءات والتمويل والتقنية والمعلومات.</w:t>
            </w:r>
          </w:p>
        </w:tc>
        <w:tc>
          <w:tcPr>
            <w:tcW w:w="2041" w:type="dxa"/>
            <w:shd w:val="clear" w:color="auto" w:fill="FFFFFF"/>
            <w:tcMar>
              <w:top w:w="70" w:type="dxa"/>
              <w:left w:w="70" w:type="dxa"/>
              <w:bottom w:w="70" w:type="dxa"/>
              <w:right w:w="70" w:type="dxa"/>
            </w:tcMar>
            <w:vAlign w:val="center"/>
          </w:tcPr>
          <w:p w14:paraId="291FA869"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بناء مستويات النضج المقترحة.</w:t>
            </w:r>
          </w:p>
        </w:tc>
      </w:tr>
      <w:tr w:rsidR="00986803" w:rsidRPr="00AE1FD7" w14:paraId="668F84FA" w14:textId="77777777" w:rsidTr="007817CC">
        <w:trPr>
          <w:jc w:val="center"/>
        </w:trPr>
        <w:tc>
          <w:tcPr>
            <w:tcW w:w="1814" w:type="dxa"/>
            <w:shd w:val="clear" w:color="auto" w:fill="F2F4F6"/>
            <w:tcMar>
              <w:top w:w="70" w:type="dxa"/>
              <w:left w:w="70" w:type="dxa"/>
              <w:bottom w:w="70" w:type="dxa"/>
              <w:right w:w="70" w:type="dxa"/>
            </w:tcMar>
            <w:vAlign w:val="center"/>
          </w:tcPr>
          <w:p w14:paraId="311A5ACD"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OECD (2025)</w:t>
            </w:r>
          </w:p>
        </w:tc>
        <w:tc>
          <w:tcPr>
            <w:tcW w:w="2041" w:type="dxa"/>
            <w:shd w:val="clear" w:color="auto" w:fill="F2F4F6"/>
            <w:tcMar>
              <w:top w:w="70" w:type="dxa"/>
              <w:left w:w="70" w:type="dxa"/>
              <w:bottom w:w="70" w:type="dxa"/>
              <w:right w:w="70" w:type="dxa"/>
            </w:tcMar>
            <w:vAlign w:val="center"/>
          </w:tcPr>
          <w:p w14:paraId="5B1A39E5"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مؤشر إدارة أداء الأصول عبر دورة الحياة</w:t>
            </w:r>
          </w:p>
        </w:tc>
        <w:tc>
          <w:tcPr>
            <w:tcW w:w="2608" w:type="dxa"/>
            <w:shd w:val="clear" w:color="auto" w:fill="F2F4F6"/>
            <w:tcMar>
              <w:top w:w="70" w:type="dxa"/>
              <w:left w:w="70" w:type="dxa"/>
              <w:bottom w:w="70" w:type="dxa"/>
              <w:right w:w="70" w:type="dxa"/>
            </w:tcMar>
            <w:vAlign w:val="center"/>
          </w:tcPr>
          <w:p w14:paraId="182BF4B7"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الأداء يحتاج سياسات وأدوات ومساءلة ومهنية وإدارة مالية مترابطة.</w:t>
            </w:r>
          </w:p>
        </w:tc>
        <w:tc>
          <w:tcPr>
            <w:tcW w:w="2041" w:type="dxa"/>
            <w:shd w:val="clear" w:color="auto" w:fill="F2F4F6"/>
            <w:tcMar>
              <w:top w:w="70" w:type="dxa"/>
              <w:left w:w="70" w:type="dxa"/>
              <w:bottom w:w="70" w:type="dxa"/>
              <w:right w:w="70" w:type="dxa"/>
            </w:tcMar>
            <w:vAlign w:val="center"/>
          </w:tcPr>
          <w:p w14:paraId="6957C0E2" w14:textId="77777777" w:rsidR="00986803" w:rsidRPr="00AE1FD7" w:rsidRDefault="00DB29B7" w:rsidP="007817C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تدعيم دورة الحياة والربط المالي والفني.</w:t>
            </w:r>
          </w:p>
        </w:tc>
      </w:tr>
    </w:tbl>
    <w:p w14:paraId="2AED53B9" w14:textId="77777777" w:rsidR="00986803" w:rsidRDefault="00DB29B7" w:rsidP="00697C88">
      <w:pPr>
        <w:bidi/>
        <w:spacing w:after="0" w:line="240" w:lineRule="auto"/>
        <w:ind w:firstLine="0"/>
        <w:rPr>
          <w:rFonts w:ascii="Sakkal Majalla" w:hAnsi="Sakkal Majalla" w:cs="Sakkal Majalla"/>
          <w:i/>
          <w:color w:val="3F4650"/>
          <w:sz w:val="36"/>
          <w:szCs w:val="36"/>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6DB19F12" w14:textId="77777777" w:rsidR="007817CC" w:rsidRPr="007817CC" w:rsidRDefault="007817CC" w:rsidP="007817CC">
      <w:pPr>
        <w:bidi/>
        <w:spacing w:after="0" w:line="240" w:lineRule="auto"/>
        <w:ind w:firstLine="0"/>
        <w:rPr>
          <w:rFonts w:ascii="Sakkal Majalla" w:hAnsi="Sakkal Majalla" w:cs="Sakkal Majalla"/>
          <w:iCs/>
          <w:sz w:val="36"/>
          <w:szCs w:val="36"/>
        </w:rPr>
      </w:pPr>
    </w:p>
    <w:p w14:paraId="52305E9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61" w:name="_Toc235205619"/>
      <w:r w:rsidRPr="00AE1FD7">
        <w:rPr>
          <w:rFonts w:ascii="Sakkal Majalla" w:eastAsia="Noto Kufi Arabic" w:hAnsi="Sakkal Majalla" w:cs="Sakkal Majalla"/>
          <w:sz w:val="36"/>
          <w:szCs w:val="36"/>
          <w:rtl/>
          <w:lang w:val="ar-SA"/>
        </w:rPr>
        <w:t>2.7.3 التعقيب النقدي والفجوة البحثية</w:t>
      </w:r>
      <w:r w:rsidR="007817CC">
        <w:rPr>
          <w:rFonts w:ascii="Sakkal Majalla" w:eastAsia="Noto Kufi Arabic" w:hAnsi="Sakkal Majalla" w:cs="Sakkal Majalla" w:hint="cs"/>
          <w:sz w:val="36"/>
          <w:szCs w:val="36"/>
          <w:lang w:val="ar-SA"/>
        </w:rPr>
        <w:t>:</w:t>
      </w:r>
      <w:bookmarkEnd w:id="61"/>
      <w:r w:rsidR="007817CC">
        <w:rPr>
          <w:rFonts w:ascii="Sakkal Majalla" w:eastAsia="Noto Kufi Arabic" w:hAnsi="Sakkal Majalla" w:cs="Sakkal Majalla" w:hint="cs"/>
          <w:sz w:val="36"/>
          <w:szCs w:val="36"/>
          <w:lang w:val="ar-SA"/>
        </w:rPr>
        <w:t xml:space="preserve"> </w:t>
      </w:r>
    </w:p>
    <w:p w14:paraId="24A993C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يتضح من المراجعة وجود اتفاق واسع على أن الإدارة الفعالة للأصول تحتاج إلى بيانات متكاملة وقيادة واضحة وتخطيط دورة حياة وقياس أداء ومساءلة. كما تتفق الدراسات على أن النمط التقليدي القائم على الجرد الجزئي والصيانة التفاعلية يحد من القيمة ويزيد التكاليف. إلا أن الأدبيات تختلف في مستوى التحليل؛ فبعضها يركز على الحوكمة الكلية، وبعضها على الإطار القانوني، وبعضها على أدلة إدارة الأصول، وقليل منها يختبر نموذجاً كمياً يربط الأبعاد </w:t>
      </w:r>
      <w:proofErr w:type="spellStart"/>
      <w:r w:rsidRPr="00AE1FD7">
        <w:rPr>
          <w:rFonts w:ascii="Sakkal Majalla" w:hAnsi="Sakkal Majalla" w:cs="Sakkal Majalla"/>
          <w:color w:val="000000"/>
          <w:sz w:val="36"/>
          <w:szCs w:val="36"/>
          <w:rtl/>
          <w:lang w:val="ar-SA"/>
        </w:rPr>
        <w:t>الحوكمية</w:t>
      </w:r>
      <w:proofErr w:type="spellEnd"/>
      <w:r w:rsidRPr="00AE1FD7">
        <w:rPr>
          <w:rFonts w:ascii="Sakkal Majalla" w:hAnsi="Sakkal Majalla" w:cs="Sakkal Majalla"/>
          <w:color w:val="000000"/>
          <w:sz w:val="36"/>
          <w:szCs w:val="36"/>
          <w:rtl/>
          <w:lang w:val="ar-SA"/>
        </w:rPr>
        <w:t xml:space="preserve"> بنتيجة عقارية مركبة.</w:t>
      </w:r>
    </w:p>
    <w:p w14:paraId="1898349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وتتمثل الفجوة الموضوعية في نقص الدمج بين الحوكمة وإدارة الممتلكات وكفاءة الإنفاق العقاري. وتتمثل الفجوة المنهجية في غلبة الدراسات الوصفية والقانونية والمراجعات على الدراسات الميدانية، ولا سيما عربياً. أما الفجوة السياقية فتتمثل في عدم توافر دراسة سعودية ميدانية متخصصة ـ في حدود المراجعة ـ تختبر الأثر النسبي للشفافية والمساءلة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ودورة الحياة والمخاطر في كفاءة الإنفاق العقاري.</w:t>
      </w:r>
    </w:p>
    <w:p w14:paraId="2225FD71"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وتعالج الدراسة هذه الفجوة من خلال نموذج متعدد الأبعاد، وعينة من مختصين في جهات حكومية متنوعة، وأداة قياس تخضع لاختبارات الصدق والثبات، وتحليل يجمع الوصف والارتباط والانحدار والفروق. كما تتجاوز التشخيص إلى بناء إطار تطبيقي ومؤشرات وخارطة طريق قابلة للمواءمة مع الأدلة الوطنية.</w:t>
      </w:r>
    </w:p>
    <w:p w14:paraId="26788C34" w14:textId="77777777" w:rsidR="007817CC" w:rsidRPr="00AE1FD7" w:rsidRDefault="007817CC" w:rsidP="007817CC">
      <w:pPr>
        <w:bidi/>
        <w:spacing w:after="0" w:line="240" w:lineRule="auto"/>
        <w:rPr>
          <w:rFonts w:ascii="Sakkal Majalla" w:hAnsi="Sakkal Majalla" w:cs="Sakkal Majalla"/>
          <w:sz w:val="36"/>
          <w:szCs w:val="36"/>
        </w:rPr>
      </w:pPr>
    </w:p>
    <w:p w14:paraId="79A76A8C" w14:textId="77777777" w:rsidR="00986803" w:rsidRPr="00AE1FD7" w:rsidRDefault="00DB29B7" w:rsidP="007817CC">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62" w:name="_Toc235205620"/>
      <w:r w:rsidRPr="00AE1FD7">
        <w:rPr>
          <w:rFonts w:ascii="Sakkal Majalla" w:eastAsia="Noto Kufi Arabic" w:hAnsi="Sakkal Majalla" w:cs="Sakkal Majalla"/>
          <w:sz w:val="36"/>
          <w:szCs w:val="36"/>
          <w:rtl/>
          <w:lang w:val="ar-SA"/>
        </w:rPr>
        <w:t>2.8 خلاصة الفصل</w:t>
      </w:r>
      <w:r w:rsidR="007817CC">
        <w:rPr>
          <w:rFonts w:ascii="Sakkal Majalla" w:eastAsia="Noto Kufi Arabic" w:hAnsi="Sakkal Majalla" w:cs="Sakkal Majalla" w:hint="cs"/>
          <w:sz w:val="36"/>
          <w:szCs w:val="36"/>
          <w:rtl/>
          <w:lang w:val="ar-SA"/>
        </w:rPr>
        <w:t>:</w:t>
      </w:r>
      <w:bookmarkEnd w:id="62"/>
    </w:p>
    <w:p w14:paraId="26AF7DE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خلص الفصل إلى أن حوكمة الممتلكات العامة تمثل نظاماً متكاملاً يربط السياسات والصلاحيات والبيانات والرقابة والتخطيط والمخاطر بهدف تحقيق القيمة من الأصول. كما أوضح أن كفاءة الإنفاق العقاري مفهوم مركب لا يساوي خفض التكلفة، بل يجمع الاقتصاد والكفاءة والفاعلية والاستدامة. وبين السياق السعودي وجود ممكنات تنظيمية قوية، يقابلها احتياج إلى قياس التطبيق الفعلي والتكامل بين الجهات والإدارات. وتؤسس هذه النتائج للمنهجية الميدانية التي يعرضها الفصل التالي.</w:t>
      </w:r>
    </w:p>
    <w:p w14:paraId="357D3F3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20EEDAFA" w14:textId="77777777" w:rsidR="00986803" w:rsidRPr="007817CC" w:rsidRDefault="00DB29B7" w:rsidP="007817CC">
      <w:pPr>
        <w:pStyle w:val="1"/>
        <w:pBdr>
          <w:bottom w:val="single" w:sz="18" w:space="8" w:color="C69C3A"/>
        </w:pBdr>
        <w:bidi/>
        <w:spacing w:after="0" w:line="240" w:lineRule="auto"/>
        <w:ind w:firstLine="0"/>
        <w:rPr>
          <w:rFonts w:ascii="Sakkal Majalla" w:hAnsi="Sakkal Majalla" w:cs="Sakkal Majalla"/>
          <w:szCs w:val="40"/>
        </w:rPr>
      </w:pPr>
      <w:bookmarkStart w:id="63" w:name="_Toc235205621"/>
      <w:r w:rsidRPr="007817CC">
        <w:rPr>
          <w:rFonts w:ascii="Sakkal Majalla" w:eastAsia="Noto Kufi Arabic" w:hAnsi="Sakkal Majalla" w:cs="Sakkal Majalla"/>
          <w:szCs w:val="40"/>
          <w:rtl/>
          <w:lang w:val="ar-SA"/>
        </w:rPr>
        <w:lastRenderedPageBreak/>
        <w:t>الفصل الثالث: منهجية الدراسة وإجراءاتها</w:t>
      </w:r>
      <w:bookmarkEnd w:id="63"/>
    </w:p>
    <w:p w14:paraId="065372EE"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4" w:name="_Toc235205622"/>
      <w:r w:rsidRPr="00AE1FD7">
        <w:rPr>
          <w:rFonts w:ascii="Sakkal Majalla" w:eastAsia="Noto Kufi Arabic" w:hAnsi="Sakkal Majalla" w:cs="Sakkal Majalla"/>
          <w:sz w:val="36"/>
          <w:szCs w:val="36"/>
          <w:rtl/>
          <w:lang w:val="ar-SA"/>
        </w:rPr>
        <w:t>3.1 مقدمة الفصل</w:t>
      </w:r>
      <w:r w:rsidR="007817CC">
        <w:rPr>
          <w:rFonts w:ascii="Sakkal Majalla" w:eastAsia="Noto Kufi Arabic" w:hAnsi="Sakkal Majalla" w:cs="Sakkal Majalla" w:hint="cs"/>
          <w:sz w:val="36"/>
          <w:szCs w:val="36"/>
          <w:rtl/>
          <w:lang w:val="ar-SA"/>
        </w:rPr>
        <w:t>:</w:t>
      </w:r>
      <w:bookmarkEnd w:id="64"/>
    </w:p>
    <w:p w14:paraId="4A6CBA3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يعرض هذا الفصل المنهجية التي اتبعتها الدراسة لاختبار أثر حوكمة إدارة الممتلكات العامة في كفاءة الإنفاق الحكومي العقاري. ويتناول الفلسفة والنهج والتصميم، ومجتمع الدراسة والعينة، وبناء الأداة وتعريف المتغيرات، وإجراءات الصدق والثبات، وجمع البيانات والأخلاقيات، وأساليب المعالجة الإحصائية. وقد روعي في التصميم تحقيق الاتساق بين المشكلة والأسئلة والفرضيات والمؤشرات، وتوفير إجراءات تسمح بتكرار الدراسة والتحقق من نتائجها.</w:t>
      </w:r>
    </w:p>
    <w:p w14:paraId="48310B87"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5" w:name="_Toc235205623"/>
      <w:r w:rsidRPr="00AE1FD7">
        <w:rPr>
          <w:rFonts w:ascii="Sakkal Majalla" w:eastAsia="Noto Kufi Arabic" w:hAnsi="Sakkal Majalla" w:cs="Sakkal Majalla"/>
          <w:sz w:val="36"/>
          <w:szCs w:val="36"/>
          <w:rtl/>
          <w:lang w:val="ar-SA"/>
        </w:rPr>
        <w:t>3.2 فلسفة الدراسة ونهجها</w:t>
      </w:r>
      <w:r w:rsidR="007817CC">
        <w:rPr>
          <w:rFonts w:ascii="Sakkal Majalla" w:eastAsia="Noto Kufi Arabic" w:hAnsi="Sakkal Majalla" w:cs="Sakkal Majalla" w:hint="cs"/>
          <w:sz w:val="36"/>
          <w:szCs w:val="36"/>
          <w:rtl/>
          <w:lang w:val="ar-SA"/>
        </w:rPr>
        <w:t>:</w:t>
      </w:r>
      <w:bookmarkEnd w:id="65"/>
    </w:p>
    <w:p w14:paraId="1C94065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تنطلق الدراسة من فلسفة وضعية ذات توجه تطبيقي؛ إذ تفترض إمكان قياس مفاهيم الحوكمة والكفاءة من خلال مؤشرات ملاحظة، واختبار العلاقات بينها باستخدام أساليب كمية. ولا يعني ذلك اختزال الواقع المؤسسي في الأرقام، بل استخدام القياس لتقديم أدلة قابلة للمقارنة، مع تفسير النتائج في ضوء السياق التنظيمي والأدبيات.</w:t>
      </w:r>
    </w:p>
    <w:p w14:paraId="75C34E2E" w14:textId="77777777" w:rsidR="00986803" w:rsidRDefault="00C3635B" w:rsidP="00697C88">
      <w:pPr>
        <w:bidi/>
        <w:spacing w:after="0" w:line="240" w:lineRule="auto"/>
        <w:rPr>
          <w:rFonts w:ascii="Sakkal Majalla" w:hAnsi="Sakkal Majalla" w:cs="Sakkal Majalla"/>
          <w:color w:val="000000"/>
          <w:sz w:val="36"/>
          <w:szCs w:val="36"/>
          <w:rtl/>
          <w:lang w:val="ar-SA"/>
        </w:rPr>
      </w:pPr>
      <w:r w:rsidRPr="00C3635B">
        <w:rPr>
          <w:rFonts w:ascii="Sakkal Majalla" w:hAnsi="Sakkal Majalla" w:cs="Sakkal Majalla"/>
          <w:noProof/>
          <w:sz w:val="36"/>
          <w:szCs w:val="36"/>
          <w:rtl/>
        </w:rPr>
        <w:drawing>
          <wp:anchor distT="0" distB="0" distL="114300" distR="114300" simplePos="0" relativeHeight="251663360" behindDoc="0" locked="0" layoutInCell="1" allowOverlap="1" wp14:anchorId="51AA9B7B" wp14:editId="383EBB31">
            <wp:simplePos x="0" y="0"/>
            <wp:positionH relativeFrom="margin">
              <wp:align>left</wp:align>
            </wp:positionH>
            <wp:positionV relativeFrom="paragraph">
              <wp:posOffset>1470660</wp:posOffset>
            </wp:positionV>
            <wp:extent cx="5616575" cy="3309620"/>
            <wp:effectExtent l="0" t="0" r="3175" b="5080"/>
            <wp:wrapTight wrapText="bothSides">
              <wp:wrapPolygon edited="0">
                <wp:start x="0" y="0"/>
                <wp:lineTo x="0" y="21509"/>
                <wp:lineTo x="21539" y="21509"/>
                <wp:lineTo x="21539" y="0"/>
                <wp:lineTo x="0" y="0"/>
              </wp:wrapPolygon>
            </wp:wrapTight>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6575" cy="3309620"/>
                    </a:xfrm>
                    <a:prstGeom prst="rect">
                      <a:avLst/>
                    </a:prstGeom>
                  </pic:spPr>
                </pic:pic>
              </a:graphicData>
            </a:graphic>
            <wp14:sizeRelV relativeFrom="margin">
              <wp14:pctHeight>0</wp14:pctHeight>
            </wp14:sizeRelV>
          </wp:anchor>
        </w:drawing>
      </w:r>
      <w:r w:rsidR="00DB29B7" w:rsidRPr="00AE1FD7">
        <w:rPr>
          <w:rFonts w:ascii="Sakkal Majalla" w:hAnsi="Sakkal Majalla" w:cs="Sakkal Majalla"/>
          <w:color w:val="000000"/>
          <w:sz w:val="36"/>
          <w:szCs w:val="36"/>
          <w:rtl/>
          <w:lang w:val="ar-SA"/>
        </w:rPr>
        <w:t>واعتمدت الدراسة النهج الاستنباطي، حيث بدأت من نظريات ومراجع سابقة لتحديد الأبعاد وصياغة الفرضيات، ثم جمعت البيانات لاختبارها. كما استفادت من التحليل الوثائقي للأدلة الوطنية واللوائح والتقارير لتكييف المؤشرات مع البيئة السعودية، وبذلك جمعت بين الاستنباط النظري والحساسية للسياق التطبيقي.</w:t>
      </w:r>
    </w:p>
    <w:p w14:paraId="609B251C"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6" w:name="_Toc235205624"/>
      <w:r w:rsidRPr="00AE1FD7">
        <w:rPr>
          <w:rFonts w:ascii="Sakkal Majalla" w:eastAsia="Noto Kufi Arabic" w:hAnsi="Sakkal Majalla" w:cs="Sakkal Majalla"/>
          <w:sz w:val="36"/>
          <w:szCs w:val="36"/>
          <w:rtl/>
          <w:lang w:val="ar-SA"/>
        </w:rPr>
        <w:lastRenderedPageBreak/>
        <w:t>3.3 منهج الدراسة وتصميمها</w:t>
      </w:r>
      <w:r w:rsidR="00C3635B">
        <w:rPr>
          <w:rFonts w:ascii="Sakkal Majalla" w:eastAsia="Noto Kufi Arabic" w:hAnsi="Sakkal Majalla" w:cs="Sakkal Majalla" w:hint="cs"/>
          <w:sz w:val="36"/>
          <w:szCs w:val="36"/>
          <w:rtl/>
          <w:lang w:val="ar-SA"/>
        </w:rPr>
        <w:t>:</w:t>
      </w:r>
      <w:bookmarkEnd w:id="66"/>
    </w:p>
    <w:p w14:paraId="3AEB7A5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استخدمت الدراسة المنهج الوصفي التحليلي ذي النزعة التفسيرية. فالجانب الوصفي يقيس مستوى تطبيق أبعاد الحوكمة ومستوى كفاءة الإنفاق، بينما يحلل الجانب التفسيري اتجاه العلاقات وقوتها وقدرة الأبعاد المستقلة على تفسير التباين في المتغير التابع. ويُعد هذا المنهج ملائماً عندما يكون الهدف تشخيص واقع قائم واختبار نموذج مفاهيمي دون تدخل تجريبي مباشر.</w:t>
      </w:r>
    </w:p>
    <w:p w14:paraId="76C0326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واتبعت الدراسة تصميم المسح المقطعي، حيث جُمعت الاستجابات خلال فترة زمنية محددة من موظفين ذوي صلة بالموضوع. ويتميز التصميم بقدرته على تغطية فئات وظيفية وجهات متنوعة، وملاءمته للموارد والوقت، لكنه لا يسمح بإثبات التسلسل الزمني للسببية بالدرجة التي توفرها الدراسات الطولية. ولذلك تُفسر معاملات الانحدار بوصفها أثراً إحصائياً تفسيرياً متسقاً مع النظرية، لا دليلاً تجريبياً نهائياً على السببية.</w:t>
      </w:r>
    </w:p>
    <w:p w14:paraId="465B072A"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7" w:name="_Toc235205625"/>
      <w:r w:rsidRPr="00AE1FD7">
        <w:rPr>
          <w:rFonts w:ascii="Sakkal Majalla" w:eastAsia="Noto Kufi Arabic" w:hAnsi="Sakkal Majalla" w:cs="Sakkal Majalla"/>
          <w:sz w:val="36"/>
          <w:szCs w:val="36"/>
          <w:rtl/>
          <w:lang w:val="ar-SA"/>
        </w:rPr>
        <w:t>3.4 مجتمع الدراسة</w:t>
      </w:r>
      <w:r w:rsidR="00C3635B">
        <w:rPr>
          <w:rFonts w:ascii="Sakkal Majalla" w:eastAsia="Noto Kufi Arabic" w:hAnsi="Sakkal Majalla" w:cs="Sakkal Majalla" w:hint="cs"/>
          <w:sz w:val="36"/>
          <w:szCs w:val="36"/>
          <w:rtl/>
          <w:lang w:val="ar-SA"/>
        </w:rPr>
        <w:t>:</w:t>
      </w:r>
      <w:bookmarkEnd w:id="67"/>
    </w:p>
    <w:p w14:paraId="2D2EBD6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يتكون المجتمع المستهدف من العاملين والمسؤولين في الجهات الحكومية السعودية الذين ترتبط وظائفهم بإدارة الأصول والممتلكات والمرافق أو بالقرارات المالية والرقابية والتعاقدية ذات الصلة. ويشمل ذلك إدارات الأصول والمرافق، والمالية والمحاسبة، والمشتريات والعقود، والمراجعة الداخلية وإدارة المخاطر، والهندسة والتشغيل والصيانة.</w:t>
      </w:r>
    </w:p>
    <w:p w14:paraId="752629B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وقد اختير هذا المجتمع لأن تقييم الحوكمة والكفاءة يتطلب معرفة عملية بمسارات القرار والبيانات والعقود والصيانة، ولا يكفي أن يكون المشارك موظفاً في الجهة دون صلة بالمجال. كما روعي تمثيل جهات متنوعة تشمل الوزارات والهيئات والمؤسسات العامة والجامعات والجهات الخدمية، لأن طبيعة المحفظة ومستوى المركزية والخدمة قد تؤثر في الممارسات.</w:t>
      </w:r>
    </w:p>
    <w:p w14:paraId="541BE60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وبُني إطار المجتمع المتاح من قوائم الوحدات ذات الصلة في مجموعة من الجهات، وبلغ التقدير نحو 1,650 موظفاً ومسؤولاً. ويُعد المجتمع محدوداً لكنه موزع بين تخصصات ومستويات إدارية مختلفة، ما استلزم استخدام أسلوب يضمن التمثيل الوظيفي والمؤسسي.</w:t>
      </w:r>
    </w:p>
    <w:p w14:paraId="4D54F841"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68" w:name="_Toc235205626"/>
      <w:r w:rsidRPr="00AE1FD7">
        <w:rPr>
          <w:rFonts w:ascii="Sakkal Majalla" w:eastAsia="Noto Kufi Arabic" w:hAnsi="Sakkal Majalla" w:cs="Sakkal Majalla"/>
          <w:sz w:val="36"/>
          <w:szCs w:val="36"/>
          <w:rtl/>
          <w:lang w:val="ar-SA"/>
        </w:rPr>
        <w:t>3.5 العينة وطريقة اختيارها</w:t>
      </w:r>
      <w:r w:rsidR="00C3635B">
        <w:rPr>
          <w:rFonts w:ascii="Sakkal Majalla" w:eastAsia="Noto Kufi Arabic" w:hAnsi="Sakkal Majalla" w:cs="Sakkal Majalla" w:hint="cs"/>
          <w:sz w:val="36"/>
          <w:szCs w:val="36"/>
          <w:rtl/>
          <w:lang w:val="ar-SA"/>
        </w:rPr>
        <w:t>:</w:t>
      </w:r>
      <w:bookmarkEnd w:id="68"/>
    </w:p>
    <w:p w14:paraId="4FC4C1A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استخدمت الدراسة عينة طبقية قصدية؛ فتم أولاً تحديد طبقات بحسب نوع الجهة ومجال العمل، ثم استهداف من تتوافر لديهم خبرة مرتبطة بالمتغيرات. ويجمع هذا الأسلوب </w:t>
      </w:r>
      <w:r w:rsidRPr="00AE1FD7">
        <w:rPr>
          <w:rFonts w:ascii="Sakkal Majalla" w:hAnsi="Sakkal Majalla" w:cs="Sakkal Majalla"/>
          <w:color w:val="000000"/>
          <w:sz w:val="36"/>
          <w:szCs w:val="36"/>
          <w:rtl/>
          <w:lang w:val="ar-SA"/>
        </w:rPr>
        <w:lastRenderedPageBreak/>
        <w:t>بين ضمان التنوع وبين اشتراط المعرفة المهنية، وهو أكثر ملاءمة من العينة العشوائية البسيطة التي قد تشمل أفراداً غير قادرين على تقييم الممارسات العقارية.</w:t>
      </w:r>
    </w:p>
    <w:p w14:paraId="4A46476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حُسب الحد الأدنى للعينة باستخدام معادلة المجتمع المحدود عند مستوى ثقة 95% وهامش خطأ 5% ونسبة تباين متوقعة 50%، فبلغ نحو 312 مفردة. وجرى توزيع 360 استبانة، واستعيدت 326 استبانة، واستبعدت ثماني استبانات بسبب النقص أو النمط غير الصالح، ليصبح العدد النهائي 318 استبانة بنسبة استجابة صالحة مقدارها 88.3%.</w:t>
      </w:r>
    </w:p>
    <w:p w14:paraId="052D766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وشملت معايير الإدراج أن يكون المشارك قد أمضى سنة واحدة على الأقل في الجهة، وأن يعمل في مجال ذي صلة، وأن يوافق على المشاركة. واستبعدت الاستجابات التي تجاوز فيها النقص 10% من البنود أو أظهرت اختياراً واحداً لجميع البنود دون تباين، حفاظاً على جودة البيانات.</w:t>
      </w:r>
    </w:p>
    <w:p w14:paraId="3C236A23"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69" w:name="table_sample_calculation"/>
      <w:r w:rsidRPr="00C3635B">
        <w:rPr>
          <w:rFonts w:ascii="Sakkal Majalla" w:eastAsia="Noto Kufi Arabic" w:hAnsi="Sakkal Majalla" w:cs="Sakkal Majalla"/>
          <w:bCs/>
          <w:color w:val="17365D"/>
          <w:sz w:val="36"/>
          <w:szCs w:val="36"/>
          <w:rtl/>
          <w:lang w:val="ar-SA"/>
        </w:rPr>
        <w:t>جدول (7): تحديد حجم العينة وإجراءات الاستجابة</w:t>
      </w:r>
      <w:bookmarkEnd w:id="69"/>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7"/>
        <w:gridCol w:w="5378"/>
      </w:tblGrid>
      <w:tr w:rsidR="00986803" w:rsidRPr="00AE1FD7" w14:paraId="308CD01C" w14:textId="77777777" w:rsidTr="00C3635B">
        <w:trPr>
          <w:cantSplit/>
          <w:tblHeader/>
          <w:jc w:val="center"/>
        </w:trPr>
        <w:tc>
          <w:tcPr>
            <w:tcW w:w="3127" w:type="dxa"/>
            <w:shd w:val="clear" w:color="auto" w:fill="17365D"/>
            <w:tcMar>
              <w:top w:w="90" w:type="dxa"/>
              <w:left w:w="80" w:type="dxa"/>
              <w:bottom w:w="90" w:type="dxa"/>
              <w:right w:w="80" w:type="dxa"/>
            </w:tcMar>
            <w:vAlign w:val="center"/>
          </w:tcPr>
          <w:p w14:paraId="35ABA711"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العنصر</w:t>
            </w:r>
          </w:p>
        </w:tc>
        <w:tc>
          <w:tcPr>
            <w:tcW w:w="5378" w:type="dxa"/>
            <w:shd w:val="clear" w:color="auto" w:fill="17365D"/>
            <w:tcMar>
              <w:top w:w="90" w:type="dxa"/>
              <w:left w:w="80" w:type="dxa"/>
              <w:bottom w:w="90" w:type="dxa"/>
              <w:right w:w="80" w:type="dxa"/>
            </w:tcMar>
            <w:vAlign w:val="center"/>
          </w:tcPr>
          <w:p w14:paraId="153515AA"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القيمة/الإجراء</w:t>
            </w:r>
          </w:p>
        </w:tc>
      </w:tr>
      <w:tr w:rsidR="00986803" w:rsidRPr="00AE1FD7" w14:paraId="67F3F7D7" w14:textId="77777777" w:rsidTr="00C3635B">
        <w:trPr>
          <w:jc w:val="center"/>
        </w:trPr>
        <w:tc>
          <w:tcPr>
            <w:tcW w:w="3127" w:type="dxa"/>
            <w:shd w:val="clear" w:color="auto" w:fill="FFFFFF"/>
            <w:tcMar>
              <w:top w:w="70" w:type="dxa"/>
              <w:left w:w="70" w:type="dxa"/>
              <w:bottom w:w="70" w:type="dxa"/>
              <w:right w:w="70" w:type="dxa"/>
            </w:tcMar>
            <w:vAlign w:val="center"/>
          </w:tcPr>
          <w:p w14:paraId="2518823D"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مجتمع الدراسة المقدر في إطار الجهات المشاركة</w:t>
            </w:r>
          </w:p>
        </w:tc>
        <w:tc>
          <w:tcPr>
            <w:tcW w:w="5378" w:type="dxa"/>
            <w:shd w:val="clear" w:color="auto" w:fill="FFFFFF"/>
            <w:tcMar>
              <w:top w:w="70" w:type="dxa"/>
              <w:left w:w="70" w:type="dxa"/>
              <w:bottom w:w="70" w:type="dxa"/>
              <w:right w:w="70" w:type="dxa"/>
            </w:tcMar>
            <w:vAlign w:val="center"/>
          </w:tcPr>
          <w:p w14:paraId="38491D4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نحو 1,650 موظفاً مختصاً في الأصول والمرافق والمالية والرقابة والعقود والهندسة.</w:t>
            </w:r>
          </w:p>
        </w:tc>
      </w:tr>
      <w:tr w:rsidR="00986803" w:rsidRPr="00AE1FD7" w14:paraId="4B56AFF7" w14:textId="77777777" w:rsidTr="00C3635B">
        <w:trPr>
          <w:jc w:val="center"/>
        </w:trPr>
        <w:tc>
          <w:tcPr>
            <w:tcW w:w="3127" w:type="dxa"/>
            <w:shd w:val="clear" w:color="auto" w:fill="F2F4F6"/>
            <w:tcMar>
              <w:top w:w="70" w:type="dxa"/>
              <w:left w:w="70" w:type="dxa"/>
              <w:bottom w:w="70" w:type="dxa"/>
              <w:right w:w="70" w:type="dxa"/>
            </w:tcMar>
            <w:vAlign w:val="center"/>
          </w:tcPr>
          <w:p w14:paraId="1577D9E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مستوى الثقة</w:t>
            </w:r>
          </w:p>
        </w:tc>
        <w:tc>
          <w:tcPr>
            <w:tcW w:w="5378" w:type="dxa"/>
            <w:shd w:val="clear" w:color="auto" w:fill="F2F4F6"/>
            <w:tcMar>
              <w:top w:w="70" w:type="dxa"/>
              <w:left w:w="70" w:type="dxa"/>
              <w:bottom w:w="70" w:type="dxa"/>
              <w:right w:w="70" w:type="dxa"/>
            </w:tcMar>
            <w:vAlign w:val="center"/>
          </w:tcPr>
          <w:p w14:paraId="31EF7B37"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95% (Z = 1.96).</w:t>
            </w:r>
          </w:p>
        </w:tc>
      </w:tr>
      <w:tr w:rsidR="00986803" w:rsidRPr="00AE1FD7" w14:paraId="635D9FDB" w14:textId="77777777" w:rsidTr="00C3635B">
        <w:trPr>
          <w:jc w:val="center"/>
        </w:trPr>
        <w:tc>
          <w:tcPr>
            <w:tcW w:w="3127" w:type="dxa"/>
            <w:shd w:val="clear" w:color="auto" w:fill="FFFFFF"/>
            <w:tcMar>
              <w:top w:w="70" w:type="dxa"/>
              <w:left w:w="70" w:type="dxa"/>
              <w:bottom w:w="70" w:type="dxa"/>
              <w:right w:w="70" w:type="dxa"/>
            </w:tcMar>
            <w:vAlign w:val="center"/>
          </w:tcPr>
          <w:p w14:paraId="57A97F67"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هامش الخطأ</w:t>
            </w:r>
          </w:p>
        </w:tc>
        <w:tc>
          <w:tcPr>
            <w:tcW w:w="5378" w:type="dxa"/>
            <w:shd w:val="clear" w:color="auto" w:fill="FFFFFF"/>
            <w:tcMar>
              <w:top w:w="70" w:type="dxa"/>
              <w:left w:w="70" w:type="dxa"/>
              <w:bottom w:w="70" w:type="dxa"/>
              <w:right w:w="70" w:type="dxa"/>
            </w:tcMar>
            <w:vAlign w:val="center"/>
          </w:tcPr>
          <w:p w14:paraId="1C89891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r>
      <w:tr w:rsidR="00986803" w:rsidRPr="00AE1FD7" w14:paraId="083823A6" w14:textId="77777777" w:rsidTr="00C3635B">
        <w:trPr>
          <w:jc w:val="center"/>
        </w:trPr>
        <w:tc>
          <w:tcPr>
            <w:tcW w:w="3127" w:type="dxa"/>
            <w:shd w:val="clear" w:color="auto" w:fill="F2F4F6"/>
            <w:tcMar>
              <w:top w:w="70" w:type="dxa"/>
              <w:left w:w="70" w:type="dxa"/>
              <w:bottom w:w="70" w:type="dxa"/>
              <w:right w:w="70" w:type="dxa"/>
            </w:tcMar>
            <w:vAlign w:val="center"/>
          </w:tcPr>
          <w:p w14:paraId="19CA869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نسبة التباين المفترضة</w:t>
            </w:r>
          </w:p>
        </w:tc>
        <w:tc>
          <w:tcPr>
            <w:tcW w:w="5378" w:type="dxa"/>
            <w:shd w:val="clear" w:color="auto" w:fill="F2F4F6"/>
            <w:tcMar>
              <w:top w:w="70" w:type="dxa"/>
              <w:left w:w="70" w:type="dxa"/>
              <w:bottom w:w="70" w:type="dxa"/>
              <w:right w:w="70" w:type="dxa"/>
            </w:tcMar>
            <w:vAlign w:val="center"/>
          </w:tcPr>
          <w:p w14:paraId="099A86F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p = 0.50 لتحقيق أكبر حجم مطلوب.</w:t>
            </w:r>
          </w:p>
        </w:tc>
      </w:tr>
      <w:tr w:rsidR="00986803" w:rsidRPr="00AE1FD7" w14:paraId="2F317C5E" w14:textId="77777777" w:rsidTr="00C3635B">
        <w:trPr>
          <w:jc w:val="center"/>
        </w:trPr>
        <w:tc>
          <w:tcPr>
            <w:tcW w:w="3127" w:type="dxa"/>
            <w:shd w:val="clear" w:color="auto" w:fill="FFFFFF"/>
            <w:tcMar>
              <w:top w:w="70" w:type="dxa"/>
              <w:left w:w="70" w:type="dxa"/>
              <w:bottom w:w="70" w:type="dxa"/>
              <w:right w:w="70" w:type="dxa"/>
            </w:tcMar>
            <w:vAlign w:val="center"/>
          </w:tcPr>
          <w:p w14:paraId="6CBC451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الحجم الأدنى بعد تصحيح المجتمع المحدود</w:t>
            </w:r>
          </w:p>
        </w:tc>
        <w:tc>
          <w:tcPr>
            <w:tcW w:w="5378" w:type="dxa"/>
            <w:shd w:val="clear" w:color="auto" w:fill="FFFFFF"/>
            <w:tcMar>
              <w:top w:w="70" w:type="dxa"/>
              <w:left w:w="70" w:type="dxa"/>
              <w:bottom w:w="70" w:type="dxa"/>
              <w:right w:w="70" w:type="dxa"/>
            </w:tcMar>
            <w:vAlign w:val="center"/>
          </w:tcPr>
          <w:p w14:paraId="0DB3362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312 مفردة.</w:t>
            </w:r>
          </w:p>
        </w:tc>
      </w:tr>
      <w:tr w:rsidR="00986803" w:rsidRPr="00AE1FD7" w14:paraId="72C4D3AD" w14:textId="77777777" w:rsidTr="00C3635B">
        <w:trPr>
          <w:jc w:val="center"/>
        </w:trPr>
        <w:tc>
          <w:tcPr>
            <w:tcW w:w="3127" w:type="dxa"/>
            <w:shd w:val="clear" w:color="auto" w:fill="F2F4F6"/>
            <w:tcMar>
              <w:top w:w="70" w:type="dxa"/>
              <w:left w:w="70" w:type="dxa"/>
              <w:bottom w:w="70" w:type="dxa"/>
              <w:right w:w="70" w:type="dxa"/>
            </w:tcMar>
            <w:vAlign w:val="center"/>
          </w:tcPr>
          <w:p w14:paraId="187CE1D7"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الاستبانات الموزعة</w:t>
            </w:r>
          </w:p>
        </w:tc>
        <w:tc>
          <w:tcPr>
            <w:tcW w:w="5378" w:type="dxa"/>
            <w:shd w:val="clear" w:color="auto" w:fill="F2F4F6"/>
            <w:tcMar>
              <w:top w:w="70" w:type="dxa"/>
              <w:left w:w="70" w:type="dxa"/>
              <w:bottom w:w="70" w:type="dxa"/>
              <w:right w:w="70" w:type="dxa"/>
            </w:tcMar>
            <w:vAlign w:val="center"/>
          </w:tcPr>
          <w:p w14:paraId="09F0B7B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365 استبانة.</w:t>
            </w:r>
          </w:p>
        </w:tc>
      </w:tr>
      <w:tr w:rsidR="00986803" w:rsidRPr="00AE1FD7" w14:paraId="21AEB3C1" w14:textId="77777777" w:rsidTr="00C3635B">
        <w:trPr>
          <w:jc w:val="center"/>
        </w:trPr>
        <w:tc>
          <w:tcPr>
            <w:tcW w:w="3127" w:type="dxa"/>
            <w:shd w:val="clear" w:color="auto" w:fill="FFFFFF"/>
            <w:tcMar>
              <w:top w:w="70" w:type="dxa"/>
              <w:left w:w="70" w:type="dxa"/>
              <w:bottom w:w="70" w:type="dxa"/>
              <w:right w:w="70" w:type="dxa"/>
            </w:tcMar>
            <w:vAlign w:val="center"/>
          </w:tcPr>
          <w:p w14:paraId="03F978C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الاستبانات المستردة</w:t>
            </w:r>
          </w:p>
        </w:tc>
        <w:tc>
          <w:tcPr>
            <w:tcW w:w="5378" w:type="dxa"/>
            <w:shd w:val="clear" w:color="auto" w:fill="FFFFFF"/>
            <w:tcMar>
              <w:top w:w="70" w:type="dxa"/>
              <w:left w:w="70" w:type="dxa"/>
              <w:bottom w:w="70" w:type="dxa"/>
              <w:right w:w="70" w:type="dxa"/>
            </w:tcMar>
            <w:vAlign w:val="center"/>
          </w:tcPr>
          <w:p w14:paraId="149B378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327 استبانة.</w:t>
            </w:r>
          </w:p>
        </w:tc>
      </w:tr>
      <w:tr w:rsidR="00986803" w:rsidRPr="00AE1FD7" w14:paraId="57334677" w14:textId="77777777" w:rsidTr="00C3635B">
        <w:trPr>
          <w:jc w:val="center"/>
        </w:trPr>
        <w:tc>
          <w:tcPr>
            <w:tcW w:w="3127" w:type="dxa"/>
            <w:shd w:val="clear" w:color="auto" w:fill="F2F4F6"/>
            <w:tcMar>
              <w:top w:w="70" w:type="dxa"/>
              <w:left w:w="70" w:type="dxa"/>
              <w:bottom w:w="70" w:type="dxa"/>
              <w:right w:w="70" w:type="dxa"/>
            </w:tcMar>
            <w:vAlign w:val="center"/>
          </w:tcPr>
          <w:p w14:paraId="4632A7F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الاستبانات المستبعدة</w:t>
            </w:r>
          </w:p>
        </w:tc>
        <w:tc>
          <w:tcPr>
            <w:tcW w:w="5378" w:type="dxa"/>
            <w:shd w:val="clear" w:color="auto" w:fill="F2F4F6"/>
            <w:tcMar>
              <w:top w:w="70" w:type="dxa"/>
              <w:left w:w="70" w:type="dxa"/>
              <w:bottom w:w="70" w:type="dxa"/>
              <w:right w:w="70" w:type="dxa"/>
            </w:tcMar>
            <w:vAlign w:val="center"/>
          </w:tcPr>
          <w:p w14:paraId="20617E3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9 استبانات لعدم الاكتمال أو نمط الاستجابة غير الصالح.</w:t>
            </w:r>
          </w:p>
        </w:tc>
      </w:tr>
      <w:tr w:rsidR="00986803" w:rsidRPr="00AE1FD7" w14:paraId="3569C71D" w14:textId="77777777" w:rsidTr="00C3635B">
        <w:trPr>
          <w:jc w:val="center"/>
        </w:trPr>
        <w:tc>
          <w:tcPr>
            <w:tcW w:w="3127" w:type="dxa"/>
            <w:shd w:val="clear" w:color="auto" w:fill="FFFFFF"/>
            <w:tcMar>
              <w:top w:w="70" w:type="dxa"/>
              <w:left w:w="70" w:type="dxa"/>
              <w:bottom w:w="70" w:type="dxa"/>
              <w:right w:w="70" w:type="dxa"/>
            </w:tcMar>
            <w:vAlign w:val="center"/>
          </w:tcPr>
          <w:p w14:paraId="6523183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الاستبانات الصالحة للتحليل</w:t>
            </w:r>
          </w:p>
        </w:tc>
        <w:tc>
          <w:tcPr>
            <w:tcW w:w="5378" w:type="dxa"/>
            <w:shd w:val="clear" w:color="auto" w:fill="FFFFFF"/>
            <w:tcMar>
              <w:top w:w="70" w:type="dxa"/>
              <w:left w:w="70" w:type="dxa"/>
              <w:bottom w:w="70" w:type="dxa"/>
              <w:right w:w="70" w:type="dxa"/>
            </w:tcMar>
            <w:vAlign w:val="center"/>
          </w:tcPr>
          <w:p w14:paraId="0E64359F"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318 استبانة، بمعدل استجابة صالحة 87.1%.</w:t>
            </w:r>
          </w:p>
        </w:tc>
      </w:tr>
    </w:tbl>
    <w:p w14:paraId="36087FC6"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7F1A9968"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70" w:name="_Toc235205627"/>
      <w:r w:rsidRPr="00AE1FD7">
        <w:rPr>
          <w:rFonts w:ascii="Sakkal Majalla" w:eastAsia="Noto Kufi Arabic" w:hAnsi="Sakkal Majalla" w:cs="Sakkal Majalla"/>
          <w:sz w:val="36"/>
          <w:szCs w:val="36"/>
          <w:rtl/>
          <w:lang w:val="ar-SA"/>
        </w:rPr>
        <w:lastRenderedPageBreak/>
        <w:t>3.6 أداة الدراسة</w:t>
      </w:r>
      <w:r w:rsidR="00C3635B">
        <w:rPr>
          <w:rFonts w:ascii="Sakkal Majalla" w:eastAsia="Noto Kufi Arabic" w:hAnsi="Sakkal Majalla" w:cs="Sakkal Majalla" w:hint="cs"/>
          <w:sz w:val="36"/>
          <w:szCs w:val="36"/>
          <w:rtl/>
          <w:lang w:val="ar-SA"/>
        </w:rPr>
        <w:t>:</w:t>
      </w:r>
      <w:bookmarkEnd w:id="70"/>
    </w:p>
    <w:p w14:paraId="3A7C19C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اعتمدت الدراسة الاستبانة أداة رئيسة لجمع البيانات، لأنها تسمح بقياس تصورات عدد كبير من المختصين باستخدام بنود موحدة. وبُنيت الأداة في ضوء الأدبيات ومعايير ISO 55000، وأداة نضج إدارة الأصول العامة، والدليل الوطني لإدارة الأصول والمرافق، والدراسات المتعلقة بالحوكمة وكفاءة الإنفاق.</w:t>
      </w:r>
    </w:p>
    <w:p w14:paraId="45F4B50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تكونت الاستبانة من قسم للبيانات الوظيفية وخمسة محاور للمتغير المستقل بواقع خمسة بنود لكل محور، ومحور للمتغير التابع بواقع سبعة بنود، ليصبح مجموع البنود الموضوعية 32 بنداً. واستخدم مقياس </w:t>
      </w:r>
      <w:proofErr w:type="spellStart"/>
      <w:r w:rsidRPr="00AE1FD7">
        <w:rPr>
          <w:rFonts w:ascii="Sakkal Majalla" w:hAnsi="Sakkal Majalla" w:cs="Sakkal Majalla"/>
          <w:color w:val="000000"/>
          <w:sz w:val="36"/>
          <w:szCs w:val="36"/>
          <w:rtl/>
          <w:lang w:val="ar-SA"/>
        </w:rPr>
        <w:t>ليكرت</w:t>
      </w:r>
      <w:proofErr w:type="spellEnd"/>
      <w:r w:rsidRPr="00AE1FD7">
        <w:rPr>
          <w:rFonts w:ascii="Sakkal Majalla" w:hAnsi="Sakkal Majalla" w:cs="Sakkal Majalla"/>
          <w:color w:val="000000"/>
          <w:sz w:val="36"/>
          <w:szCs w:val="36"/>
          <w:rtl/>
          <w:lang w:val="ar-SA"/>
        </w:rPr>
        <w:t xml:space="preserve"> الخماسي: غير موافق بشدة (1)، غير موافق (2)، محايد (3)، موافق (4)، موافق بشدة (5).</w:t>
      </w:r>
    </w:p>
    <w:p w14:paraId="57D215C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وصيغت البنود بلغة مباشرة، وتجنب الجمع بين فكرتين في بند واحد، ومراعاة أن تكون قابلة للتقييم من خبرة المشارك. كما جرى توزيع البنود بين السياسات والبيانات والعمليات والنتائج حتى لا يقتصر القياس على الانطباع العام.</w:t>
      </w:r>
    </w:p>
    <w:p w14:paraId="31994DC7"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71" w:name="table_instrument_structure"/>
      <w:r w:rsidRPr="00C3635B">
        <w:rPr>
          <w:rFonts w:ascii="Sakkal Majalla" w:eastAsia="Noto Kufi Arabic" w:hAnsi="Sakkal Majalla" w:cs="Sakkal Majalla"/>
          <w:bCs/>
          <w:color w:val="17365D"/>
          <w:sz w:val="36"/>
          <w:szCs w:val="36"/>
          <w:rtl/>
          <w:lang w:val="ar-SA"/>
        </w:rPr>
        <w:t>جدول (8): هيكل أداة الدراسة وتوزيع العبارات</w:t>
      </w:r>
      <w:bookmarkEnd w:id="71"/>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7"/>
        <w:gridCol w:w="2827"/>
        <w:gridCol w:w="1134"/>
        <w:gridCol w:w="1417"/>
      </w:tblGrid>
      <w:tr w:rsidR="00986803" w:rsidRPr="00AE1FD7" w14:paraId="579BA454" w14:textId="77777777" w:rsidTr="00C3635B">
        <w:trPr>
          <w:cantSplit/>
          <w:tblHeader/>
          <w:jc w:val="center"/>
        </w:trPr>
        <w:tc>
          <w:tcPr>
            <w:tcW w:w="3127" w:type="dxa"/>
            <w:shd w:val="clear" w:color="auto" w:fill="17365D"/>
            <w:tcMar>
              <w:top w:w="90" w:type="dxa"/>
              <w:left w:w="80" w:type="dxa"/>
              <w:bottom w:w="90" w:type="dxa"/>
              <w:right w:w="80" w:type="dxa"/>
            </w:tcMar>
            <w:vAlign w:val="center"/>
          </w:tcPr>
          <w:p w14:paraId="61499BC4"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المتغير</w:t>
            </w:r>
          </w:p>
        </w:tc>
        <w:tc>
          <w:tcPr>
            <w:tcW w:w="2827" w:type="dxa"/>
            <w:shd w:val="clear" w:color="auto" w:fill="17365D"/>
            <w:tcMar>
              <w:top w:w="90" w:type="dxa"/>
              <w:left w:w="80" w:type="dxa"/>
              <w:bottom w:w="90" w:type="dxa"/>
              <w:right w:w="80" w:type="dxa"/>
            </w:tcMar>
            <w:vAlign w:val="center"/>
          </w:tcPr>
          <w:p w14:paraId="5FE98B30"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البعد</w:t>
            </w:r>
          </w:p>
        </w:tc>
        <w:tc>
          <w:tcPr>
            <w:tcW w:w="1134" w:type="dxa"/>
            <w:shd w:val="clear" w:color="auto" w:fill="17365D"/>
            <w:tcMar>
              <w:top w:w="90" w:type="dxa"/>
              <w:left w:w="80" w:type="dxa"/>
              <w:bottom w:w="90" w:type="dxa"/>
              <w:right w:w="80" w:type="dxa"/>
            </w:tcMar>
            <w:vAlign w:val="center"/>
          </w:tcPr>
          <w:p w14:paraId="1D8D9A3D"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عدد العبارات</w:t>
            </w:r>
          </w:p>
        </w:tc>
        <w:tc>
          <w:tcPr>
            <w:tcW w:w="1417" w:type="dxa"/>
            <w:shd w:val="clear" w:color="auto" w:fill="17365D"/>
            <w:tcMar>
              <w:top w:w="90" w:type="dxa"/>
              <w:left w:w="80" w:type="dxa"/>
              <w:bottom w:w="90" w:type="dxa"/>
              <w:right w:w="80" w:type="dxa"/>
            </w:tcMar>
            <w:vAlign w:val="center"/>
          </w:tcPr>
          <w:p w14:paraId="5C62DBEB"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الرموز</w:t>
            </w:r>
          </w:p>
        </w:tc>
      </w:tr>
      <w:tr w:rsidR="00986803" w:rsidRPr="00AE1FD7" w14:paraId="6AC34F00" w14:textId="77777777" w:rsidTr="00C3635B">
        <w:trPr>
          <w:jc w:val="center"/>
        </w:trPr>
        <w:tc>
          <w:tcPr>
            <w:tcW w:w="3127" w:type="dxa"/>
            <w:shd w:val="clear" w:color="auto" w:fill="FFFFFF"/>
            <w:tcMar>
              <w:top w:w="70" w:type="dxa"/>
              <w:left w:w="70" w:type="dxa"/>
              <w:bottom w:w="70" w:type="dxa"/>
              <w:right w:w="70" w:type="dxa"/>
            </w:tcMar>
            <w:vAlign w:val="center"/>
          </w:tcPr>
          <w:p w14:paraId="08FC222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2827" w:type="dxa"/>
            <w:shd w:val="clear" w:color="auto" w:fill="FFFFFF"/>
            <w:tcMar>
              <w:top w:w="70" w:type="dxa"/>
              <w:left w:w="70" w:type="dxa"/>
              <w:bottom w:w="70" w:type="dxa"/>
              <w:right w:w="70" w:type="dxa"/>
            </w:tcMar>
            <w:vAlign w:val="center"/>
          </w:tcPr>
          <w:p w14:paraId="4BB7F54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الشفافية والإفصاح</w:t>
            </w:r>
          </w:p>
        </w:tc>
        <w:tc>
          <w:tcPr>
            <w:tcW w:w="1134" w:type="dxa"/>
            <w:shd w:val="clear" w:color="auto" w:fill="FFFFFF"/>
            <w:tcMar>
              <w:top w:w="70" w:type="dxa"/>
              <w:left w:w="70" w:type="dxa"/>
              <w:bottom w:w="70" w:type="dxa"/>
              <w:right w:w="70" w:type="dxa"/>
            </w:tcMar>
            <w:vAlign w:val="center"/>
          </w:tcPr>
          <w:p w14:paraId="6B48C7C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1417" w:type="dxa"/>
            <w:shd w:val="clear" w:color="auto" w:fill="FFFFFF"/>
            <w:tcMar>
              <w:top w:w="70" w:type="dxa"/>
              <w:left w:w="70" w:type="dxa"/>
              <w:bottom w:w="70" w:type="dxa"/>
              <w:right w:w="70" w:type="dxa"/>
            </w:tcMar>
            <w:vAlign w:val="center"/>
          </w:tcPr>
          <w:p w14:paraId="62261A1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TR1-TR5</w:t>
            </w:r>
          </w:p>
        </w:tc>
      </w:tr>
      <w:tr w:rsidR="00986803" w:rsidRPr="00AE1FD7" w14:paraId="3B6FE823" w14:textId="77777777" w:rsidTr="00C3635B">
        <w:trPr>
          <w:jc w:val="center"/>
        </w:trPr>
        <w:tc>
          <w:tcPr>
            <w:tcW w:w="3127" w:type="dxa"/>
            <w:shd w:val="clear" w:color="auto" w:fill="F2F4F6"/>
            <w:tcMar>
              <w:top w:w="70" w:type="dxa"/>
              <w:left w:w="70" w:type="dxa"/>
              <w:bottom w:w="70" w:type="dxa"/>
              <w:right w:w="70" w:type="dxa"/>
            </w:tcMar>
            <w:vAlign w:val="center"/>
          </w:tcPr>
          <w:p w14:paraId="61BA95C1"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2827" w:type="dxa"/>
            <w:shd w:val="clear" w:color="auto" w:fill="F2F4F6"/>
            <w:tcMar>
              <w:top w:w="70" w:type="dxa"/>
              <w:left w:w="70" w:type="dxa"/>
              <w:bottom w:w="70" w:type="dxa"/>
              <w:right w:w="70" w:type="dxa"/>
            </w:tcMar>
            <w:vAlign w:val="center"/>
          </w:tcPr>
          <w:p w14:paraId="4E0FF66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المساءلة والرقابة الداخلية</w:t>
            </w:r>
          </w:p>
        </w:tc>
        <w:tc>
          <w:tcPr>
            <w:tcW w:w="1134" w:type="dxa"/>
            <w:shd w:val="clear" w:color="auto" w:fill="F2F4F6"/>
            <w:tcMar>
              <w:top w:w="70" w:type="dxa"/>
              <w:left w:w="70" w:type="dxa"/>
              <w:bottom w:w="70" w:type="dxa"/>
              <w:right w:w="70" w:type="dxa"/>
            </w:tcMar>
            <w:vAlign w:val="center"/>
          </w:tcPr>
          <w:p w14:paraId="556C15A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1417" w:type="dxa"/>
            <w:shd w:val="clear" w:color="auto" w:fill="F2F4F6"/>
            <w:tcMar>
              <w:top w:w="70" w:type="dxa"/>
              <w:left w:w="70" w:type="dxa"/>
              <w:bottom w:w="70" w:type="dxa"/>
              <w:right w:w="70" w:type="dxa"/>
            </w:tcMar>
            <w:vAlign w:val="center"/>
          </w:tcPr>
          <w:p w14:paraId="2E883BE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AC1-AC5</w:t>
            </w:r>
          </w:p>
        </w:tc>
      </w:tr>
      <w:tr w:rsidR="00986803" w:rsidRPr="00AE1FD7" w14:paraId="6280AE19" w14:textId="77777777" w:rsidTr="00C3635B">
        <w:trPr>
          <w:jc w:val="center"/>
        </w:trPr>
        <w:tc>
          <w:tcPr>
            <w:tcW w:w="3127" w:type="dxa"/>
            <w:shd w:val="clear" w:color="auto" w:fill="FFFFFF"/>
            <w:tcMar>
              <w:top w:w="70" w:type="dxa"/>
              <w:left w:w="70" w:type="dxa"/>
              <w:bottom w:w="70" w:type="dxa"/>
              <w:right w:w="70" w:type="dxa"/>
            </w:tcMar>
            <w:vAlign w:val="center"/>
          </w:tcPr>
          <w:p w14:paraId="4F2955E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2827" w:type="dxa"/>
            <w:shd w:val="clear" w:color="auto" w:fill="FFFFFF"/>
            <w:tcMar>
              <w:top w:w="70" w:type="dxa"/>
              <w:left w:w="70" w:type="dxa"/>
              <w:bottom w:w="70" w:type="dxa"/>
              <w:right w:w="70" w:type="dxa"/>
            </w:tcMar>
            <w:vAlign w:val="center"/>
          </w:tcPr>
          <w:p w14:paraId="7FD1CB9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تكامل البيانات </w:t>
            </w:r>
            <w:proofErr w:type="spellStart"/>
            <w:r w:rsidRPr="00AE1FD7">
              <w:rPr>
                <w:rFonts w:ascii="Sakkal Majalla" w:hAnsi="Sakkal Majalla" w:cs="Sakkal Majalla"/>
                <w:color w:val="000000"/>
                <w:sz w:val="36"/>
                <w:szCs w:val="36"/>
                <w:rtl/>
                <w:lang w:val="ar-SA"/>
              </w:rPr>
              <w:t>والرقمنة</w:t>
            </w:r>
            <w:proofErr w:type="spellEnd"/>
          </w:p>
        </w:tc>
        <w:tc>
          <w:tcPr>
            <w:tcW w:w="1134" w:type="dxa"/>
            <w:shd w:val="clear" w:color="auto" w:fill="FFFFFF"/>
            <w:tcMar>
              <w:top w:w="70" w:type="dxa"/>
              <w:left w:w="70" w:type="dxa"/>
              <w:bottom w:w="70" w:type="dxa"/>
              <w:right w:w="70" w:type="dxa"/>
            </w:tcMar>
            <w:vAlign w:val="center"/>
          </w:tcPr>
          <w:p w14:paraId="2E7D75E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1417" w:type="dxa"/>
            <w:shd w:val="clear" w:color="auto" w:fill="FFFFFF"/>
            <w:tcMar>
              <w:top w:w="70" w:type="dxa"/>
              <w:left w:w="70" w:type="dxa"/>
              <w:bottom w:w="70" w:type="dxa"/>
              <w:right w:w="70" w:type="dxa"/>
            </w:tcMar>
            <w:vAlign w:val="center"/>
          </w:tcPr>
          <w:p w14:paraId="1E2091A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DI1-DI5</w:t>
            </w:r>
          </w:p>
        </w:tc>
      </w:tr>
      <w:tr w:rsidR="00986803" w:rsidRPr="00AE1FD7" w14:paraId="2C6A1EA9" w14:textId="77777777" w:rsidTr="00C3635B">
        <w:trPr>
          <w:jc w:val="center"/>
        </w:trPr>
        <w:tc>
          <w:tcPr>
            <w:tcW w:w="3127" w:type="dxa"/>
            <w:shd w:val="clear" w:color="auto" w:fill="F2F4F6"/>
            <w:tcMar>
              <w:top w:w="70" w:type="dxa"/>
              <w:left w:w="70" w:type="dxa"/>
              <w:bottom w:w="70" w:type="dxa"/>
              <w:right w:w="70" w:type="dxa"/>
            </w:tcMar>
            <w:vAlign w:val="center"/>
          </w:tcPr>
          <w:p w14:paraId="7DA3EDA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2827" w:type="dxa"/>
            <w:shd w:val="clear" w:color="auto" w:fill="F2F4F6"/>
            <w:tcMar>
              <w:top w:w="70" w:type="dxa"/>
              <w:left w:w="70" w:type="dxa"/>
              <w:bottom w:w="70" w:type="dxa"/>
              <w:right w:w="70" w:type="dxa"/>
            </w:tcMar>
            <w:vAlign w:val="center"/>
          </w:tcPr>
          <w:p w14:paraId="14E0906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التخطيط الاستراتيجي وإدارة دورة حياة الأصل</w:t>
            </w:r>
          </w:p>
        </w:tc>
        <w:tc>
          <w:tcPr>
            <w:tcW w:w="1134" w:type="dxa"/>
            <w:shd w:val="clear" w:color="auto" w:fill="F2F4F6"/>
            <w:tcMar>
              <w:top w:w="70" w:type="dxa"/>
              <w:left w:w="70" w:type="dxa"/>
              <w:bottom w:w="70" w:type="dxa"/>
              <w:right w:w="70" w:type="dxa"/>
            </w:tcMar>
            <w:vAlign w:val="center"/>
          </w:tcPr>
          <w:p w14:paraId="060FD75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1417" w:type="dxa"/>
            <w:shd w:val="clear" w:color="auto" w:fill="F2F4F6"/>
            <w:tcMar>
              <w:top w:w="70" w:type="dxa"/>
              <w:left w:w="70" w:type="dxa"/>
              <w:bottom w:w="70" w:type="dxa"/>
              <w:right w:w="70" w:type="dxa"/>
            </w:tcMar>
            <w:vAlign w:val="center"/>
          </w:tcPr>
          <w:p w14:paraId="28C5195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LC1-LC5</w:t>
            </w:r>
          </w:p>
        </w:tc>
      </w:tr>
      <w:tr w:rsidR="00986803" w:rsidRPr="00AE1FD7" w14:paraId="476662B8" w14:textId="77777777" w:rsidTr="00C3635B">
        <w:trPr>
          <w:jc w:val="center"/>
        </w:trPr>
        <w:tc>
          <w:tcPr>
            <w:tcW w:w="3127" w:type="dxa"/>
            <w:shd w:val="clear" w:color="auto" w:fill="FFFFFF"/>
            <w:tcMar>
              <w:top w:w="70" w:type="dxa"/>
              <w:left w:w="70" w:type="dxa"/>
              <w:bottom w:w="70" w:type="dxa"/>
              <w:right w:w="70" w:type="dxa"/>
            </w:tcMar>
            <w:vAlign w:val="center"/>
          </w:tcPr>
          <w:p w14:paraId="7E26FD2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2827" w:type="dxa"/>
            <w:shd w:val="clear" w:color="auto" w:fill="FFFFFF"/>
            <w:tcMar>
              <w:top w:w="70" w:type="dxa"/>
              <w:left w:w="70" w:type="dxa"/>
              <w:bottom w:w="70" w:type="dxa"/>
              <w:right w:w="70" w:type="dxa"/>
            </w:tcMar>
            <w:vAlign w:val="center"/>
          </w:tcPr>
          <w:p w14:paraId="38C9BC9F"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إدارة المخاطر والامتثال</w:t>
            </w:r>
          </w:p>
        </w:tc>
        <w:tc>
          <w:tcPr>
            <w:tcW w:w="1134" w:type="dxa"/>
            <w:shd w:val="clear" w:color="auto" w:fill="FFFFFF"/>
            <w:tcMar>
              <w:top w:w="70" w:type="dxa"/>
              <w:left w:w="70" w:type="dxa"/>
              <w:bottom w:w="70" w:type="dxa"/>
              <w:right w:w="70" w:type="dxa"/>
            </w:tcMar>
            <w:vAlign w:val="center"/>
          </w:tcPr>
          <w:p w14:paraId="2E55ED5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1417" w:type="dxa"/>
            <w:shd w:val="clear" w:color="auto" w:fill="FFFFFF"/>
            <w:tcMar>
              <w:top w:w="70" w:type="dxa"/>
              <w:left w:w="70" w:type="dxa"/>
              <w:bottom w:w="70" w:type="dxa"/>
              <w:right w:w="70" w:type="dxa"/>
            </w:tcMar>
            <w:vAlign w:val="center"/>
          </w:tcPr>
          <w:p w14:paraId="317DEFD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RC1-RC5</w:t>
            </w:r>
          </w:p>
        </w:tc>
      </w:tr>
      <w:tr w:rsidR="00986803" w:rsidRPr="00AE1FD7" w14:paraId="0FF965A7" w14:textId="77777777" w:rsidTr="00C3635B">
        <w:trPr>
          <w:jc w:val="center"/>
        </w:trPr>
        <w:tc>
          <w:tcPr>
            <w:tcW w:w="3127" w:type="dxa"/>
            <w:shd w:val="clear" w:color="auto" w:fill="F2F4F6"/>
            <w:tcMar>
              <w:top w:w="70" w:type="dxa"/>
              <w:left w:w="70" w:type="dxa"/>
              <w:bottom w:w="70" w:type="dxa"/>
              <w:right w:w="70" w:type="dxa"/>
            </w:tcMar>
            <w:vAlign w:val="center"/>
          </w:tcPr>
          <w:p w14:paraId="3DE60A5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2827" w:type="dxa"/>
            <w:shd w:val="clear" w:color="auto" w:fill="F2F4F6"/>
            <w:tcMar>
              <w:top w:w="70" w:type="dxa"/>
              <w:left w:w="70" w:type="dxa"/>
              <w:bottom w:w="70" w:type="dxa"/>
              <w:right w:w="70" w:type="dxa"/>
            </w:tcMar>
            <w:vAlign w:val="center"/>
          </w:tcPr>
          <w:p w14:paraId="3D2812E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الكفاءة العقارية</w:t>
            </w:r>
          </w:p>
        </w:tc>
        <w:tc>
          <w:tcPr>
            <w:tcW w:w="1134" w:type="dxa"/>
            <w:shd w:val="clear" w:color="auto" w:fill="F2F4F6"/>
            <w:tcMar>
              <w:top w:w="70" w:type="dxa"/>
              <w:left w:w="70" w:type="dxa"/>
              <w:bottom w:w="70" w:type="dxa"/>
              <w:right w:w="70" w:type="dxa"/>
            </w:tcMar>
            <w:vAlign w:val="center"/>
          </w:tcPr>
          <w:p w14:paraId="456A43E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w:t>
            </w:r>
          </w:p>
        </w:tc>
        <w:tc>
          <w:tcPr>
            <w:tcW w:w="1417" w:type="dxa"/>
            <w:shd w:val="clear" w:color="auto" w:fill="F2F4F6"/>
            <w:tcMar>
              <w:top w:w="70" w:type="dxa"/>
              <w:left w:w="70" w:type="dxa"/>
              <w:bottom w:w="70" w:type="dxa"/>
              <w:right w:w="70" w:type="dxa"/>
            </w:tcMar>
            <w:vAlign w:val="center"/>
          </w:tcPr>
          <w:p w14:paraId="18BC6EF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EF1-EF7</w:t>
            </w:r>
          </w:p>
        </w:tc>
      </w:tr>
      <w:tr w:rsidR="00986803" w:rsidRPr="00AE1FD7" w14:paraId="78CB7733" w14:textId="77777777" w:rsidTr="00C3635B">
        <w:trPr>
          <w:jc w:val="center"/>
        </w:trPr>
        <w:tc>
          <w:tcPr>
            <w:tcW w:w="3127" w:type="dxa"/>
            <w:shd w:val="clear" w:color="auto" w:fill="FFFFFF"/>
            <w:tcMar>
              <w:top w:w="70" w:type="dxa"/>
              <w:left w:w="70" w:type="dxa"/>
              <w:bottom w:w="70" w:type="dxa"/>
              <w:right w:w="70" w:type="dxa"/>
            </w:tcMar>
            <w:vAlign w:val="center"/>
          </w:tcPr>
          <w:p w14:paraId="6DBD776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الإجمالي</w:t>
            </w:r>
          </w:p>
        </w:tc>
        <w:tc>
          <w:tcPr>
            <w:tcW w:w="2827" w:type="dxa"/>
            <w:shd w:val="clear" w:color="auto" w:fill="FFFFFF"/>
            <w:tcMar>
              <w:top w:w="70" w:type="dxa"/>
              <w:left w:w="70" w:type="dxa"/>
              <w:bottom w:w="70" w:type="dxa"/>
              <w:right w:w="70" w:type="dxa"/>
            </w:tcMar>
            <w:vAlign w:val="center"/>
          </w:tcPr>
          <w:p w14:paraId="189BA6E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ستة أبعاد</w:t>
            </w:r>
          </w:p>
        </w:tc>
        <w:tc>
          <w:tcPr>
            <w:tcW w:w="1134" w:type="dxa"/>
            <w:shd w:val="clear" w:color="auto" w:fill="FFFFFF"/>
            <w:tcMar>
              <w:top w:w="70" w:type="dxa"/>
              <w:left w:w="70" w:type="dxa"/>
              <w:bottom w:w="70" w:type="dxa"/>
              <w:right w:w="70" w:type="dxa"/>
            </w:tcMar>
            <w:vAlign w:val="center"/>
          </w:tcPr>
          <w:p w14:paraId="265ED42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32</w:t>
            </w:r>
          </w:p>
        </w:tc>
        <w:tc>
          <w:tcPr>
            <w:tcW w:w="1417" w:type="dxa"/>
            <w:shd w:val="clear" w:color="auto" w:fill="FFFFFF"/>
            <w:tcMar>
              <w:top w:w="70" w:type="dxa"/>
              <w:left w:w="70" w:type="dxa"/>
              <w:bottom w:w="70" w:type="dxa"/>
              <w:right w:w="70" w:type="dxa"/>
            </w:tcMar>
            <w:vAlign w:val="center"/>
          </w:tcPr>
          <w:p w14:paraId="1EFD5C5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w:t>
            </w:r>
          </w:p>
        </w:tc>
      </w:tr>
    </w:tbl>
    <w:p w14:paraId="30A8CF52"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572656ED"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72" w:name="_Toc235205628"/>
      <w:r w:rsidRPr="00AE1FD7">
        <w:rPr>
          <w:rFonts w:ascii="Sakkal Majalla" w:eastAsia="Noto Kufi Arabic" w:hAnsi="Sakkal Majalla" w:cs="Sakkal Majalla"/>
          <w:sz w:val="36"/>
          <w:szCs w:val="36"/>
          <w:rtl/>
          <w:lang w:val="ar-SA"/>
        </w:rPr>
        <w:lastRenderedPageBreak/>
        <w:t>3.7 التعريف الإجرائي للمتغيرات وقياسها</w:t>
      </w:r>
      <w:r w:rsidR="00C3635B">
        <w:rPr>
          <w:rFonts w:ascii="Sakkal Majalla" w:eastAsia="Noto Kufi Arabic" w:hAnsi="Sakkal Majalla" w:cs="Sakkal Majalla" w:hint="cs"/>
          <w:sz w:val="36"/>
          <w:szCs w:val="36"/>
          <w:rtl/>
          <w:lang w:val="ar-SA"/>
        </w:rPr>
        <w:t>:</w:t>
      </w:r>
      <w:bookmarkEnd w:id="72"/>
    </w:p>
    <w:p w14:paraId="74E1AFA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يمثل المتغير المستقل الدرجة الكلية لممارسات حوكمة إدارة الممتلكات العامة، وتحسب بمتوسط البنود الخمسة والعشرين. وتمثل كل مجموعة من خمسة بنود بعداً فرعياً. أما المتغير التابع فيحسب بمتوسط سبعة بنود تقيس جوانب الترشيد والتشغيل والاستفادة وجودة القرار والقيمة.</w:t>
      </w:r>
    </w:p>
    <w:p w14:paraId="111C15DA"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73" w:name="table_operationalization"/>
      <w:r w:rsidRPr="00C3635B">
        <w:rPr>
          <w:rFonts w:ascii="Sakkal Majalla" w:eastAsia="Noto Kufi Arabic" w:hAnsi="Sakkal Majalla" w:cs="Sakkal Majalla"/>
          <w:bCs/>
          <w:color w:val="17365D"/>
          <w:sz w:val="36"/>
          <w:szCs w:val="36"/>
          <w:rtl/>
          <w:lang w:val="ar-SA"/>
        </w:rPr>
        <w:t>جدول (9): التشغيل الإجرائي للمتغيرات ومؤشرات القياس</w:t>
      </w:r>
      <w:bookmarkEnd w:id="73"/>
    </w:p>
    <w:tbl>
      <w:tblPr>
        <w:bidiVisual/>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6"/>
        <w:gridCol w:w="3872"/>
        <w:gridCol w:w="948"/>
        <w:gridCol w:w="2835"/>
      </w:tblGrid>
      <w:tr w:rsidR="00986803" w:rsidRPr="00AE1FD7" w14:paraId="213082AD" w14:textId="77777777" w:rsidTr="00C3635B">
        <w:trPr>
          <w:cantSplit/>
          <w:tblHeader/>
          <w:jc w:val="center"/>
        </w:trPr>
        <w:tc>
          <w:tcPr>
            <w:tcW w:w="1426" w:type="dxa"/>
            <w:shd w:val="clear" w:color="auto" w:fill="17365D"/>
            <w:tcMar>
              <w:top w:w="90" w:type="dxa"/>
              <w:left w:w="80" w:type="dxa"/>
              <w:bottom w:w="90" w:type="dxa"/>
              <w:right w:w="80" w:type="dxa"/>
            </w:tcMar>
            <w:vAlign w:val="center"/>
          </w:tcPr>
          <w:p w14:paraId="7D7EF5A1"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المتغير/البعد</w:t>
            </w:r>
          </w:p>
        </w:tc>
        <w:tc>
          <w:tcPr>
            <w:tcW w:w="3872" w:type="dxa"/>
            <w:shd w:val="clear" w:color="auto" w:fill="17365D"/>
            <w:tcMar>
              <w:top w:w="90" w:type="dxa"/>
              <w:left w:w="80" w:type="dxa"/>
              <w:bottom w:w="90" w:type="dxa"/>
              <w:right w:w="80" w:type="dxa"/>
            </w:tcMar>
            <w:vAlign w:val="center"/>
          </w:tcPr>
          <w:p w14:paraId="0AA20C7D"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المؤشرات الرئيسة</w:t>
            </w:r>
          </w:p>
        </w:tc>
        <w:tc>
          <w:tcPr>
            <w:tcW w:w="948" w:type="dxa"/>
            <w:shd w:val="clear" w:color="auto" w:fill="17365D"/>
            <w:tcMar>
              <w:top w:w="90" w:type="dxa"/>
              <w:left w:w="80" w:type="dxa"/>
              <w:bottom w:w="90" w:type="dxa"/>
              <w:right w:w="80" w:type="dxa"/>
            </w:tcMar>
            <w:vAlign w:val="center"/>
          </w:tcPr>
          <w:p w14:paraId="05C5D993"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نوع القياس</w:t>
            </w:r>
          </w:p>
        </w:tc>
        <w:tc>
          <w:tcPr>
            <w:tcW w:w="2835" w:type="dxa"/>
            <w:shd w:val="clear" w:color="auto" w:fill="17365D"/>
            <w:tcMar>
              <w:top w:w="90" w:type="dxa"/>
              <w:left w:w="80" w:type="dxa"/>
              <w:bottom w:w="90" w:type="dxa"/>
              <w:right w:w="80" w:type="dxa"/>
            </w:tcMar>
            <w:vAlign w:val="center"/>
          </w:tcPr>
          <w:p w14:paraId="12389ECB"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مصدر البناء</w:t>
            </w:r>
          </w:p>
        </w:tc>
      </w:tr>
      <w:tr w:rsidR="00986803" w:rsidRPr="00AE1FD7" w14:paraId="21464408" w14:textId="77777777" w:rsidTr="00C3635B">
        <w:trPr>
          <w:jc w:val="center"/>
        </w:trPr>
        <w:tc>
          <w:tcPr>
            <w:tcW w:w="1426" w:type="dxa"/>
            <w:shd w:val="clear" w:color="auto" w:fill="FFFFFF"/>
            <w:tcMar>
              <w:top w:w="70" w:type="dxa"/>
              <w:left w:w="70" w:type="dxa"/>
              <w:bottom w:w="70" w:type="dxa"/>
              <w:right w:w="70" w:type="dxa"/>
            </w:tcMar>
            <w:vAlign w:val="center"/>
          </w:tcPr>
          <w:p w14:paraId="5D11F1C6"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الشفافية والإفصاح</w:t>
            </w:r>
          </w:p>
        </w:tc>
        <w:tc>
          <w:tcPr>
            <w:tcW w:w="3872" w:type="dxa"/>
            <w:shd w:val="clear" w:color="auto" w:fill="FFFFFF"/>
            <w:tcMar>
              <w:top w:w="70" w:type="dxa"/>
              <w:left w:w="70" w:type="dxa"/>
              <w:bottom w:w="70" w:type="dxa"/>
              <w:right w:w="70" w:type="dxa"/>
            </w:tcMar>
            <w:vAlign w:val="center"/>
          </w:tcPr>
          <w:p w14:paraId="14752B59"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السياسات، إتاحة البيانات، التقارير، مشاركة التكاليف، الإفصاح عن الفائض.</w:t>
            </w:r>
          </w:p>
        </w:tc>
        <w:tc>
          <w:tcPr>
            <w:tcW w:w="948" w:type="dxa"/>
            <w:shd w:val="clear" w:color="auto" w:fill="FFFFFF"/>
            <w:tcMar>
              <w:top w:w="70" w:type="dxa"/>
              <w:left w:w="70" w:type="dxa"/>
              <w:bottom w:w="70" w:type="dxa"/>
              <w:right w:w="70" w:type="dxa"/>
            </w:tcMar>
            <w:vAlign w:val="center"/>
          </w:tcPr>
          <w:p w14:paraId="6E0CB6D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FFFFF"/>
            <w:tcMar>
              <w:top w:w="70" w:type="dxa"/>
              <w:left w:w="70" w:type="dxa"/>
              <w:bottom w:w="70" w:type="dxa"/>
              <w:right w:w="70" w:type="dxa"/>
            </w:tcMar>
            <w:vAlign w:val="center"/>
          </w:tcPr>
          <w:p w14:paraId="78CE66AF"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 xml:space="preserve">الحوكمة العامة، </w:t>
            </w:r>
            <w:proofErr w:type="spellStart"/>
            <w:r w:rsidRPr="00C3635B">
              <w:rPr>
                <w:rFonts w:ascii="Sakkal Majalla" w:hAnsi="Sakkal Majalla" w:cs="Sakkal Majalla"/>
                <w:color w:val="000000"/>
                <w:sz w:val="34"/>
                <w:szCs w:val="34"/>
                <w:rtl/>
                <w:lang w:val="ar-SA"/>
              </w:rPr>
              <w:t>Gross</w:t>
            </w:r>
            <w:proofErr w:type="spellEnd"/>
            <w:r w:rsidRPr="00C3635B">
              <w:rPr>
                <w:rFonts w:ascii="Sakkal Majalla" w:hAnsi="Sakkal Majalla" w:cs="Sakkal Majalla"/>
                <w:color w:val="000000"/>
                <w:sz w:val="34"/>
                <w:szCs w:val="34"/>
                <w:rtl/>
                <w:lang w:val="ar-SA"/>
              </w:rPr>
              <w:t xml:space="preserve"> &amp; </w:t>
            </w:r>
            <w:proofErr w:type="spellStart"/>
            <w:r w:rsidRPr="00C3635B">
              <w:rPr>
                <w:rFonts w:ascii="Sakkal Majalla" w:hAnsi="Sakkal Majalla" w:cs="Sakkal Majalla"/>
                <w:color w:val="000000"/>
                <w:sz w:val="34"/>
                <w:szCs w:val="34"/>
                <w:rtl/>
                <w:lang w:val="ar-SA"/>
              </w:rPr>
              <w:t>Źróbek</w:t>
            </w:r>
            <w:proofErr w:type="spellEnd"/>
            <w:r w:rsidRPr="00C3635B">
              <w:rPr>
                <w:rFonts w:ascii="Sakkal Majalla" w:hAnsi="Sakkal Majalla" w:cs="Sakkal Majalla"/>
                <w:color w:val="000000"/>
                <w:sz w:val="34"/>
                <w:szCs w:val="34"/>
                <w:rtl/>
                <w:lang w:val="ar-SA"/>
              </w:rPr>
              <w:t>، الدليل الوطني.</w:t>
            </w:r>
          </w:p>
        </w:tc>
      </w:tr>
      <w:tr w:rsidR="00986803" w:rsidRPr="00AE1FD7" w14:paraId="7B0C5247" w14:textId="77777777" w:rsidTr="00C3635B">
        <w:trPr>
          <w:jc w:val="center"/>
        </w:trPr>
        <w:tc>
          <w:tcPr>
            <w:tcW w:w="1426" w:type="dxa"/>
            <w:shd w:val="clear" w:color="auto" w:fill="F2F4F6"/>
            <w:tcMar>
              <w:top w:w="70" w:type="dxa"/>
              <w:left w:w="70" w:type="dxa"/>
              <w:bottom w:w="70" w:type="dxa"/>
              <w:right w:w="70" w:type="dxa"/>
            </w:tcMar>
            <w:vAlign w:val="center"/>
          </w:tcPr>
          <w:p w14:paraId="1FACB582"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المساءلة والرقابة</w:t>
            </w:r>
          </w:p>
        </w:tc>
        <w:tc>
          <w:tcPr>
            <w:tcW w:w="3872" w:type="dxa"/>
            <w:shd w:val="clear" w:color="auto" w:fill="F2F4F6"/>
            <w:tcMar>
              <w:top w:w="70" w:type="dxa"/>
              <w:left w:w="70" w:type="dxa"/>
              <w:bottom w:w="70" w:type="dxa"/>
              <w:right w:w="70" w:type="dxa"/>
            </w:tcMar>
            <w:vAlign w:val="center"/>
          </w:tcPr>
          <w:p w14:paraId="3FBC0475"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الأدوار، الاعتماد، المراجعة، متابعة الالتزام، معالجة الانحراف.</w:t>
            </w:r>
          </w:p>
        </w:tc>
        <w:tc>
          <w:tcPr>
            <w:tcW w:w="948" w:type="dxa"/>
            <w:shd w:val="clear" w:color="auto" w:fill="F2F4F6"/>
            <w:tcMar>
              <w:top w:w="70" w:type="dxa"/>
              <w:left w:w="70" w:type="dxa"/>
              <w:bottom w:w="70" w:type="dxa"/>
              <w:right w:w="70" w:type="dxa"/>
            </w:tcMar>
            <w:vAlign w:val="center"/>
          </w:tcPr>
          <w:p w14:paraId="2B03DA3E"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2F4F6"/>
            <w:tcMar>
              <w:top w:w="70" w:type="dxa"/>
              <w:left w:w="70" w:type="dxa"/>
              <w:bottom w:w="70" w:type="dxa"/>
              <w:right w:w="70" w:type="dxa"/>
            </w:tcMar>
            <w:vAlign w:val="center"/>
          </w:tcPr>
          <w:p w14:paraId="4DD838E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نظرية الوكالة، OECD للنزاهة، الضوابط الوطنية.</w:t>
            </w:r>
          </w:p>
        </w:tc>
      </w:tr>
      <w:tr w:rsidR="00986803" w:rsidRPr="00AE1FD7" w14:paraId="13950AA1" w14:textId="77777777" w:rsidTr="00C3635B">
        <w:trPr>
          <w:jc w:val="center"/>
        </w:trPr>
        <w:tc>
          <w:tcPr>
            <w:tcW w:w="1426" w:type="dxa"/>
            <w:shd w:val="clear" w:color="auto" w:fill="FFFFFF"/>
            <w:tcMar>
              <w:top w:w="70" w:type="dxa"/>
              <w:left w:w="70" w:type="dxa"/>
              <w:bottom w:w="70" w:type="dxa"/>
              <w:right w:w="70" w:type="dxa"/>
            </w:tcMar>
            <w:vAlign w:val="center"/>
          </w:tcPr>
          <w:p w14:paraId="22BD75DD"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 xml:space="preserve">البيانات </w:t>
            </w:r>
            <w:proofErr w:type="spellStart"/>
            <w:r w:rsidRPr="00C3635B">
              <w:rPr>
                <w:rFonts w:ascii="Sakkal Majalla" w:hAnsi="Sakkal Majalla" w:cs="Sakkal Majalla"/>
                <w:color w:val="000000"/>
                <w:sz w:val="34"/>
                <w:szCs w:val="34"/>
                <w:rtl/>
                <w:lang w:val="ar-SA"/>
              </w:rPr>
              <w:t>والرقمنة</w:t>
            </w:r>
            <w:proofErr w:type="spellEnd"/>
          </w:p>
        </w:tc>
        <w:tc>
          <w:tcPr>
            <w:tcW w:w="3872" w:type="dxa"/>
            <w:shd w:val="clear" w:color="auto" w:fill="FFFFFF"/>
            <w:tcMar>
              <w:top w:w="70" w:type="dxa"/>
              <w:left w:w="70" w:type="dxa"/>
              <w:bottom w:w="70" w:type="dxa"/>
              <w:right w:w="70" w:type="dxa"/>
            </w:tcMar>
            <w:vAlign w:val="center"/>
          </w:tcPr>
          <w:p w14:paraId="595F73B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السجل الموحد، الربط المالي والفني، دعم القرار، التحديث، التقارير الرقمية.</w:t>
            </w:r>
          </w:p>
        </w:tc>
        <w:tc>
          <w:tcPr>
            <w:tcW w:w="948" w:type="dxa"/>
            <w:shd w:val="clear" w:color="auto" w:fill="FFFFFF"/>
            <w:tcMar>
              <w:top w:w="70" w:type="dxa"/>
              <w:left w:w="70" w:type="dxa"/>
              <w:bottom w:w="70" w:type="dxa"/>
              <w:right w:w="70" w:type="dxa"/>
            </w:tcMar>
            <w:vAlign w:val="center"/>
          </w:tcPr>
          <w:p w14:paraId="3DE79B9C"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FFFFF"/>
            <w:tcMar>
              <w:top w:w="70" w:type="dxa"/>
              <w:left w:w="70" w:type="dxa"/>
              <w:bottom w:w="70" w:type="dxa"/>
              <w:right w:w="70" w:type="dxa"/>
            </w:tcMar>
            <w:vAlign w:val="center"/>
          </w:tcPr>
          <w:p w14:paraId="79497EDE"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Garmendia</w:t>
            </w:r>
            <w:proofErr w:type="spellEnd"/>
            <w:r w:rsidRPr="00C3635B">
              <w:rPr>
                <w:rFonts w:ascii="Sakkal Majalla" w:hAnsi="Sakkal Majalla" w:cs="Sakkal Majalla"/>
                <w:color w:val="000000"/>
                <w:sz w:val="34"/>
                <w:szCs w:val="34"/>
                <w:rtl/>
                <w:lang w:val="ar-SA"/>
              </w:rPr>
              <w:t xml:space="preserve"> &amp; </w:t>
            </w:r>
            <w:proofErr w:type="spellStart"/>
            <w:r w:rsidRPr="00C3635B">
              <w:rPr>
                <w:rFonts w:ascii="Sakkal Majalla" w:hAnsi="Sakkal Majalla" w:cs="Sakkal Majalla"/>
                <w:color w:val="000000"/>
                <w:sz w:val="34"/>
                <w:szCs w:val="34"/>
                <w:rtl/>
                <w:lang w:val="ar-SA"/>
              </w:rPr>
              <w:t>Kapur</w:t>
            </w:r>
            <w:proofErr w:type="spellEnd"/>
            <w:r w:rsidRPr="00C3635B">
              <w:rPr>
                <w:rFonts w:ascii="Sakkal Majalla" w:hAnsi="Sakkal Majalla" w:cs="Sakkal Majalla"/>
                <w:color w:val="000000"/>
                <w:sz w:val="34"/>
                <w:szCs w:val="34"/>
                <w:rtl/>
                <w:lang w:val="ar-SA"/>
              </w:rPr>
              <w:t>، ISO 55013، تنظيم SPGA.</w:t>
            </w:r>
          </w:p>
        </w:tc>
      </w:tr>
      <w:tr w:rsidR="00986803" w:rsidRPr="00AE1FD7" w14:paraId="5348501B" w14:textId="77777777" w:rsidTr="00C3635B">
        <w:trPr>
          <w:jc w:val="center"/>
        </w:trPr>
        <w:tc>
          <w:tcPr>
            <w:tcW w:w="1426" w:type="dxa"/>
            <w:shd w:val="clear" w:color="auto" w:fill="F2F4F6"/>
            <w:tcMar>
              <w:top w:w="70" w:type="dxa"/>
              <w:left w:w="70" w:type="dxa"/>
              <w:bottom w:w="70" w:type="dxa"/>
              <w:right w:w="70" w:type="dxa"/>
            </w:tcMar>
            <w:vAlign w:val="center"/>
          </w:tcPr>
          <w:p w14:paraId="57C57F4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التخطيط ودورة الحياة</w:t>
            </w:r>
          </w:p>
        </w:tc>
        <w:tc>
          <w:tcPr>
            <w:tcW w:w="3872" w:type="dxa"/>
            <w:shd w:val="clear" w:color="auto" w:fill="F2F4F6"/>
            <w:tcMar>
              <w:top w:w="70" w:type="dxa"/>
              <w:left w:w="70" w:type="dxa"/>
              <w:bottom w:w="70" w:type="dxa"/>
              <w:right w:w="70" w:type="dxa"/>
            </w:tcMar>
            <w:vAlign w:val="center"/>
          </w:tcPr>
          <w:p w14:paraId="4EAFC65E"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المواءمة، الصيانة والتجديد، تحليل البدائل، التكلفة الكلية، تقييم الاستخدام.</w:t>
            </w:r>
          </w:p>
        </w:tc>
        <w:tc>
          <w:tcPr>
            <w:tcW w:w="948" w:type="dxa"/>
            <w:shd w:val="clear" w:color="auto" w:fill="F2F4F6"/>
            <w:tcMar>
              <w:top w:w="70" w:type="dxa"/>
              <w:left w:w="70" w:type="dxa"/>
              <w:bottom w:w="70" w:type="dxa"/>
              <w:right w:w="70" w:type="dxa"/>
            </w:tcMar>
            <w:vAlign w:val="center"/>
          </w:tcPr>
          <w:p w14:paraId="4859D140"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2F4F6"/>
            <w:tcMar>
              <w:top w:w="70" w:type="dxa"/>
              <w:left w:w="70" w:type="dxa"/>
              <w:bottom w:w="70" w:type="dxa"/>
              <w:right w:w="70" w:type="dxa"/>
            </w:tcMar>
            <w:vAlign w:val="center"/>
          </w:tcPr>
          <w:p w14:paraId="38BD5A9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ISO 55000/55010، OECD 2025، الدليل الوطني.</w:t>
            </w:r>
          </w:p>
        </w:tc>
      </w:tr>
      <w:tr w:rsidR="00986803" w:rsidRPr="00AE1FD7" w14:paraId="2FE7A13C" w14:textId="77777777" w:rsidTr="00C3635B">
        <w:trPr>
          <w:jc w:val="center"/>
        </w:trPr>
        <w:tc>
          <w:tcPr>
            <w:tcW w:w="1426" w:type="dxa"/>
            <w:shd w:val="clear" w:color="auto" w:fill="FFFFFF"/>
            <w:tcMar>
              <w:top w:w="70" w:type="dxa"/>
              <w:left w:w="70" w:type="dxa"/>
              <w:bottom w:w="70" w:type="dxa"/>
              <w:right w:w="70" w:type="dxa"/>
            </w:tcMar>
            <w:vAlign w:val="center"/>
          </w:tcPr>
          <w:p w14:paraId="1835F713"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المخاطر والامتثال</w:t>
            </w:r>
          </w:p>
        </w:tc>
        <w:tc>
          <w:tcPr>
            <w:tcW w:w="3872" w:type="dxa"/>
            <w:shd w:val="clear" w:color="auto" w:fill="FFFFFF"/>
            <w:tcMar>
              <w:top w:w="70" w:type="dxa"/>
              <w:left w:w="70" w:type="dxa"/>
              <w:bottom w:w="70" w:type="dxa"/>
              <w:right w:w="70" w:type="dxa"/>
            </w:tcMar>
            <w:vAlign w:val="center"/>
          </w:tcPr>
          <w:p w14:paraId="69545084"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التحديد، المعالجة، الاشتراطات، السلامة والاستدامة، العقود.</w:t>
            </w:r>
          </w:p>
        </w:tc>
        <w:tc>
          <w:tcPr>
            <w:tcW w:w="948" w:type="dxa"/>
            <w:shd w:val="clear" w:color="auto" w:fill="FFFFFF"/>
            <w:tcMar>
              <w:top w:w="70" w:type="dxa"/>
              <w:left w:w="70" w:type="dxa"/>
              <w:bottom w:w="70" w:type="dxa"/>
              <w:right w:w="70" w:type="dxa"/>
            </w:tcMar>
            <w:vAlign w:val="center"/>
          </w:tcPr>
          <w:p w14:paraId="62A1D62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FFFFF"/>
            <w:tcMar>
              <w:top w:w="70" w:type="dxa"/>
              <w:left w:w="70" w:type="dxa"/>
              <w:bottom w:w="70" w:type="dxa"/>
              <w:right w:w="70" w:type="dxa"/>
            </w:tcMar>
            <w:vAlign w:val="center"/>
          </w:tcPr>
          <w:p w14:paraId="75A0ABB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ISO 55001، الممارسات الرقابية الوطنية.</w:t>
            </w:r>
          </w:p>
        </w:tc>
      </w:tr>
      <w:tr w:rsidR="00986803" w:rsidRPr="00AE1FD7" w14:paraId="0185B281" w14:textId="77777777" w:rsidTr="00C3635B">
        <w:trPr>
          <w:jc w:val="center"/>
        </w:trPr>
        <w:tc>
          <w:tcPr>
            <w:tcW w:w="1426" w:type="dxa"/>
            <w:shd w:val="clear" w:color="auto" w:fill="F2F4F6"/>
            <w:tcMar>
              <w:top w:w="70" w:type="dxa"/>
              <w:left w:w="70" w:type="dxa"/>
              <w:bottom w:w="70" w:type="dxa"/>
              <w:right w:w="70" w:type="dxa"/>
            </w:tcMar>
            <w:vAlign w:val="center"/>
          </w:tcPr>
          <w:p w14:paraId="64213F0E"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كفاءة الإنفاق العقاري</w:t>
            </w:r>
          </w:p>
        </w:tc>
        <w:tc>
          <w:tcPr>
            <w:tcW w:w="3872" w:type="dxa"/>
            <w:shd w:val="clear" w:color="auto" w:fill="F2F4F6"/>
            <w:tcMar>
              <w:top w:w="70" w:type="dxa"/>
              <w:left w:w="70" w:type="dxa"/>
              <w:bottom w:w="70" w:type="dxa"/>
              <w:right w:w="70" w:type="dxa"/>
            </w:tcMar>
            <w:vAlign w:val="center"/>
          </w:tcPr>
          <w:p w14:paraId="6A7CE821"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الإيجار، التشغيل والصيانة، الاستفادة، جودة القرار، العمر، الأولوية، القيمة.</w:t>
            </w:r>
          </w:p>
        </w:tc>
        <w:tc>
          <w:tcPr>
            <w:tcW w:w="948" w:type="dxa"/>
            <w:shd w:val="clear" w:color="auto" w:fill="F2F4F6"/>
            <w:tcMar>
              <w:top w:w="70" w:type="dxa"/>
              <w:left w:w="70" w:type="dxa"/>
              <w:bottom w:w="70" w:type="dxa"/>
              <w:right w:w="70" w:type="dxa"/>
            </w:tcMar>
            <w:vAlign w:val="center"/>
          </w:tcPr>
          <w:p w14:paraId="54E23758" w14:textId="77777777" w:rsidR="00986803" w:rsidRPr="00C3635B" w:rsidRDefault="00DB29B7" w:rsidP="00C3635B">
            <w:pPr>
              <w:bidi/>
              <w:spacing w:after="0" w:line="240" w:lineRule="auto"/>
              <w:ind w:firstLine="0"/>
              <w:jc w:val="center"/>
              <w:rPr>
                <w:rFonts w:ascii="Sakkal Majalla" w:hAnsi="Sakkal Majalla" w:cs="Sakkal Majalla"/>
                <w:sz w:val="34"/>
                <w:szCs w:val="34"/>
              </w:rPr>
            </w:pPr>
            <w:proofErr w:type="spellStart"/>
            <w:r w:rsidRPr="00C3635B">
              <w:rPr>
                <w:rFonts w:ascii="Sakkal Majalla" w:hAnsi="Sakkal Majalla" w:cs="Sakkal Majalla"/>
                <w:color w:val="000000"/>
                <w:sz w:val="34"/>
                <w:szCs w:val="34"/>
                <w:rtl/>
                <w:lang w:val="ar-SA"/>
              </w:rPr>
              <w:t>ليكرت</w:t>
            </w:r>
            <w:proofErr w:type="spellEnd"/>
            <w:r w:rsidRPr="00C3635B">
              <w:rPr>
                <w:rFonts w:ascii="Sakkal Majalla" w:hAnsi="Sakkal Majalla" w:cs="Sakkal Majalla"/>
                <w:color w:val="000000"/>
                <w:sz w:val="34"/>
                <w:szCs w:val="34"/>
                <w:rtl/>
                <w:lang w:val="ar-SA"/>
              </w:rPr>
              <w:t xml:space="preserve"> خماسي</w:t>
            </w:r>
          </w:p>
        </w:tc>
        <w:tc>
          <w:tcPr>
            <w:tcW w:w="2835" w:type="dxa"/>
            <w:shd w:val="clear" w:color="auto" w:fill="F2F4F6"/>
            <w:tcMar>
              <w:top w:w="70" w:type="dxa"/>
              <w:left w:w="70" w:type="dxa"/>
              <w:bottom w:w="70" w:type="dxa"/>
              <w:right w:w="70" w:type="dxa"/>
            </w:tcMar>
            <w:vAlign w:val="center"/>
          </w:tcPr>
          <w:p w14:paraId="05720064"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مفهوم القيمة مقابل المال ودورة الحياة.</w:t>
            </w:r>
          </w:p>
        </w:tc>
      </w:tr>
    </w:tbl>
    <w:p w14:paraId="011DBEDB"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6D2F8FAE" w14:textId="77777777" w:rsidR="00C3635B" w:rsidRDefault="00C3635B">
      <w:pPr>
        <w:spacing w:after="200" w:line="276" w:lineRule="auto"/>
        <w:ind w:firstLine="0"/>
        <w:jc w:val="left"/>
        <w:rPr>
          <w:rFonts w:ascii="Sakkal Majalla" w:hAnsi="Sakkal Majalla" w:cs="Sakkal Majalla"/>
          <w:i/>
          <w:color w:val="3F4650"/>
          <w:sz w:val="36"/>
          <w:szCs w:val="36"/>
          <w:rtl/>
          <w:lang w:val="ar-SA"/>
        </w:rPr>
      </w:pPr>
      <w:r>
        <w:rPr>
          <w:rFonts w:ascii="Sakkal Majalla" w:hAnsi="Sakkal Majalla" w:cs="Sakkal Majalla"/>
          <w:i/>
          <w:color w:val="3F4650"/>
          <w:sz w:val="36"/>
          <w:szCs w:val="36"/>
          <w:rtl/>
          <w:lang w:val="ar-SA"/>
        </w:rPr>
        <w:br w:type="page"/>
      </w:r>
    </w:p>
    <w:p w14:paraId="54A7ED6C"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74" w:name="_Toc235205629"/>
      <w:r w:rsidRPr="00AE1FD7">
        <w:rPr>
          <w:rFonts w:ascii="Sakkal Majalla" w:eastAsia="Noto Kufi Arabic" w:hAnsi="Sakkal Majalla" w:cs="Sakkal Majalla"/>
          <w:sz w:val="36"/>
          <w:szCs w:val="36"/>
          <w:rtl/>
          <w:lang w:val="ar-SA"/>
        </w:rPr>
        <w:lastRenderedPageBreak/>
        <w:t>3.8 معيار تفسير المتوسطات</w:t>
      </w:r>
      <w:r w:rsidR="00C3635B">
        <w:rPr>
          <w:rFonts w:ascii="Sakkal Majalla" w:eastAsia="Noto Kufi Arabic" w:hAnsi="Sakkal Majalla" w:cs="Sakkal Majalla" w:hint="cs"/>
          <w:sz w:val="36"/>
          <w:szCs w:val="36"/>
          <w:rtl/>
          <w:lang w:val="ar-SA"/>
        </w:rPr>
        <w:t>:</w:t>
      </w:r>
      <w:bookmarkEnd w:id="74"/>
      <w:r w:rsidR="00C3635B">
        <w:rPr>
          <w:rFonts w:ascii="Sakkal Majalla" w:eastAsia="Noto Kufi Arabic" w:hAnsi="Sakkal Majalla" w:cs="Sakkal Majalla" w:hint="cs"/>
          <w:sz w:val="36"/>
          <w:szCs w:val="36"/>
          <w:rtl/>
          <w:lang w:val="ar-SA"/>
        </w:rPr>
        <w:t xml:space="preserve"> </w:t>
      </w:r>
    </w:p>
    <w:p w14:paraId="494C266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استخدمت الدراسة طول الفئة لتفسير المتوسطات، وذلك بقسمة المدى بين أعلى وأدنى قيمة في المقياس على عدد الفئات: (5-</w:t>
      </w:r>
      <w:proofErr w:type="gramStart"/>
      <w:r w:rsidRPr="00AE1FD7">
        <w:rPr>
          <w:rFonts w:ascii="Sakkal Majalla" w:hAnsi="Sakkal Majalla" w:cs="Sakkal Majalla"/>
          <w:color w:val="000000"/>
          <w:sz w:val="36"/>
          <w:szCs w:val="36"/>
          <w:rtl/>
          <w:lang w:val="ar-SA"/>
        </w:rPr>
        <w:t>1)/</w:t>
      </w:r>
      <w:proofErr w:type="gramEnd"/>
      <w:r w:rsidRPr="00AE1FD7">
        <w:rPr>
          <w:rFonts w:ascii="Sakkal Majalla" w:hAnsi="Sakkal Majalla" w:cs="Sakkal Majalla"/>
          <w:color w:val="000000"/>
          <w:sz w:val="36"/>
          <w:szCs w:val="36"/>
          <w:rtl/>
          <w:lang w:val="ar-SA"/>
        </w:rPr>
        <w:t>5 = 0.80. وبناءً عليه اعتُبر المتوسط من 1.00 إلى 1.80 منخفضاً جداً، ومن 1.81 إلى 2.60 منخفضاً، ومن 2.61 إلى 3.40 متوسطاً، ومن 3.41 إلى 4.20 مرتفعاً، ومن 4.21 إلى 5.00 مرتفعاً جداً.</w:t>
      </w:r>
    </w:p>
    <w:p w14:paraId="096ABD14"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75" w:name="table_likert_interpretation"/>
      <w:r w:rsidRPr="00C3635B">
        <w:rPr>
          <w:rFonts w:ascii="Sakkal Majalla" w:eastAsia="Noto Kufi Arabic" w:hAnsi="Sakkal Majalla" w:cs="Sakkal Majalla"/>
          <w:bCs/>
          <w:color w:val="17365D"/>
          <w:sz w:val="36"/>
          <w:szCs w:val="36"/>
          <w:rtl/>
          <w:lang w:val="ar-SA"/>
        </w:rPr>
        <w:t>جدول (10): معيار تفسير المتوسطات الحسابية</w:t>
      </w:r>
      <w:bookmarkEnd w:id="75"/>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1984"/>
        <w:gridCol w:w="4707"/>
      </w:tblGrid>
      <w:tr w:rsidR="00986803" w:rsidRPr="00AE1FD7" w14:paraId="04F29D3F" w14:textId="77777777" w:rsidTr="00C3635B">
        <w:trPr>
          <w:cantSplit/>
          <w:tblHeader/>
          <w:jc w:val="center"/>
        </w:trPr>
        <w:tc>
          <w:tcPr>
            <w:tcW w:w="1814" w:type="dxa"/>
            <w:shd w:val="clear" w:color="auto" w:fill="17365D"/>
            <w:tcMar>
              <w:top w:w="90" w:type="dxa"/>
              <w:left w:w="80" w:type="dxa"/>
              <w:bottom w:w="90" w:type="dxa"/>
              <w:right w:w="80" w:type="dxa"/>
            </w:tcMar>
            <w:vAlign w:val="center"/>
          </w:tcPr>
          <w:p w14:paraId="5EE45273"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المتوسط</w:t>
            </w:r>
          </w:p>
        </w:tc>
        <w:tc>
          <w:tcPr>
            <w:tcW w:w="1984" w:type="dxa"/>
            <w:shd w:val="clear" w:color="auto" w:fill="17365D"/>
            <w:tcMar>
              <w:top w:w="90" w:type="dxa"/>
              <w:left w:w="80" w:type="dxa"/>
              <w:bottom w:w="90" w:type="dxa"/>
              <w:right w:w="80" w:type="dxa"/>
            </w:tcMar>
            <w:vAlign w:val="center"/>
          </w:tcPr>
          <w:p w14:paraId="783BE9BB"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المستوى</w:t>
            </w:r>
          </w:p>
        </w:tc>
        <w:tc>
          <w:tcPr>
            <w:tcW w:w="4706" w:type="dxa"/>
            <w:shd w:val="clear" w:color="auto" w:fill="17365D"/>
            <w:tcMar>
              <w:top w:w="90" w:type="dxa"/>
              <w:left w:w="80" w:type="dxa"/>
              <w:bottom w:w="90" w:type="dxa"/>
              <w:right w:w="80" w:type="dxa"/>
            </w:tcMar>
            <w:vAlign w:val="center"/>
          </w:tcPr>
          <w:p w14:paraId="2D82909D"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الدلالة التطبيقية</w:t>
            </w:r>
          </w:p>
        </w:tc>
      </w:tr>
      <w:tr w:rsidR="00986803" w:rsidRPr="00AE1FD7" w14:paraId="13046AE6" w14:textId="77777777" w:rsidTr="00C3635B">
        <w:trPr>
          <w:jc w:val="center"/>
        </w:trPr>
        <w:tc>
          <w:tcPr>
            <w:tcW w:w="1814" w:type="dxa"/>
            <w:shd w:val="clear" w:color="auto" w:fill="FFFFFF"/>
            <w:tcMar>
              <w:top w:w="70" w:type="dxa"/>
              <w:left w:w="70" w:type="dxa"/>
              <w:bottom w:w="70" w:type="dxa"/>
              <w:right w:w="70" w:type="dxa"/>
            </w:tcMar>
            <w:vAlign w:val="center"/>
          </w:tcPr>
          <w:p w14:paraId="6A8734E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1.00-1.80</w:t>
            </w:r>
          </w:p>
        </w:tc>
        <w:tc>
          <w:tcPr>
            <w:tcW w:w="1984" w:type="dxa"/>
            <w:shd w:val="clear" w:color="auto" w:fill="FFFFFF"/>
            <w:tcMar>
              <w:top w:w="70" w:type="dxa"/>
              <w:left w:w="70" w:type="dxa"/>
              <w:bottom w:w="70" w:type="dxa"/>
              <w:right w:w="70" w:type="dxa"/>
            </w:tcMar>
            <w:vAlign w:val="center"/>
          </w:tcPr>
          <w:p w14:paraId="60066D65"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منخفض جداً</w:t>
            </w:r>
          </w:p>
        </w:tc>
        <w:tc>
          <w:tcPr>
            <w:tcW w:w="4706" w:type="dxa"/>
            <w:shd w:val="clear" w:color="auto" w:fill="FFFFFF"/>
            <w:tcMar>
              <w:top w:w="70" w:type="dxa"/>
              <w:left w:w="70" w:type="dxa"/>
              <w:bottom w:w="70" w:type="dxa"/>
              <w:right w:w="70" w:type="dxa"/>
            </w:tcMar>
            <w:vAlign w:val="center"/>
          </w:tcPr>
          <w:p w14:paraId="719F9AD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غياب أو ندرة الممارسة.</w:t>
            </w:r>
          </w:p>
        </w:tc>
      </w:tr>
      <w:tr w:rsidR="00986803" w:rsidRPr="00AE1FD7" w14:paraId="0202227A" w14:textId="77777777" w:rsidTr="00C3635B">
        <w:trPr>
          <w:jc w:val="center"/>
        </w:trPr>
        <w:tc>
          <w:tcPr>
            <w:tcW w:w="1814" w:type="dxa"/>
            <w:shd w:val="clear" w:color="auto" w:fill="F2F4F6"/>
            <w:tcMar>
              <w:top w:w="70" w:type="dxa"/>
              <w:left w:w="70" w:type="dxa"/>
              <w:bottom w:w="70" w:type="dxa"/>
              <w:right w:w="70" w:type="dxa"/>
            </w:tcMar>
            <w:vAlign w:val="center"/>
          </w:tcPr>
          <w:p w14:paraId="2B85BAF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1.81-2.60</w:t>
            </w:r>
          </w:p>
        </w:tc>
        <w:tc>
          <w:tcPr>
            <w:tcW w:w="1984" w:type="dxa"/>
            <w:shd w:val="clear" w:color="auto" w:fill="F2F4F6"/>
            <w:tcMar>
              <w:top w:w="70" w:type="dxa"/>
              <w:left w:w="70" w:type="dxa"/>
              <w:bottom w:w="70" w:type="dxa"/>
              <w:right w:w="70" w:type="dxa"/>
            </w:tcMar>
            <w:vAlign w:val="center"/>
          </w:tcPr>
          <w:p w14:paraId="4462858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منخفض</w:t>
            </w:r>
          </w:p>
        </w:tc>
        <w:tc>
          <w:tcPr>
            <w:tcW w:w="4706" w:type="dxa"/>
            <w:shd w:val="clear" w:color="auto" w:fill="F2F4F6"/>
            <w:tcMar>
              <w:top w:w="70" w:type="dxa"/>
              <w:left w:w="70" w:type="dxa"/>
              <w:bottom w:w="70" w:type="dxa"/>
              <w:right w:w="70" w:type="dxa"/>
            </w:tcMar>
            <w:vAlign w:val="center"/>
          </w:tcPr>
          <w:p w14:paraId="12A93FD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تطبيق محدود ومتقطع.</w:t>
            </w:r>
          </w:p>
        </w:tc>
      </w:tr>
      <w:tr w:rsidR="00986803" w:rsidRPr="00AE1FD7" w14:paraId="0522F30F" w14:textId="77777777" w:rsidTr="00C3635B">
        <w:trPr>
          <w:jc w:val="center"/>
        </w:trPr>
        <w:tc>
          <w:tcPr>
            <w:tcW w:w="1814" w:type="dxa"/>
            <w:shd w:val="clear" w:color="auto" w:fill="FFFFFF"/>
            <w:tcMar>
              <w:top w:w="70" w:type="dxa"/>
              <w:left w:w="70" w:type="dxa"/>
              <w:bottom w:w="70" w:type="dxa"/>
              <w:right w:w="70" w:type="dxa"/>
            </w:tcMar>
            <w:vAlign w:val="center"/>
          </w:tcPr>
          <w:p w14:paraId="26F144DD"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2.61-3.40</w:t>
            </w:r>
          </w:p>
        </w:tc>
        <w:tc>
          <w:tcPr>
            <w:tcW w:w="1984" w:type="dxa"/>
            <w:shd w:val="clear" w:color="auto" w:fill="FFFFFF"/>
            <w:tcMar>
              <w:top w:w="70" w:type="dxa"/>
              <w:left w:w="70" w:type="dxa"/>
              <w:bottom w:w="70" w:type="dxa"/>
              <w:right w:w="70" w:type="dxa"/>
            </w:tcMar>
            <w:vAlign w:val="center"/>
          </w:tcPr>
          <w:p w14:paraId="10EBA20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w:t>
            </w:r>
          </w:p>
        </w:tc>
        <w:tc>
          <w:tcPr>
            <w:tcW w:w="4706" w:type="dxa"/>
            <w:shd w:val="clear" w:color="auto" w:fill="FFFFFF"/>
            <w:tcMar>
              <w:top w:w="70" w:type="dxa"/>
              <w:left w:w="70" w:type="dxa"/>
              <w:bottom w:w="70" w:type="dxa"/>
              <w:right w:w="70" w:type="dxa"/>
            </w:tcMar>
            <w:vAlign w:val="center"/>
          </w:tcPr>
          <w:p w14:paraId="3AB321C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تطبيق جزئي يحتاج إلى تطوير.</w:t>
            </w:r>
          </w:p>
        </w:tc>
      </w:tr>
      <w:tr w:rsidR="00986803" w:rsidRPr="00AE1FD7" w14:paraId="2601BECC" w14:textId="77777777" w:rsidTr="00C3635B">
        <w:trPr>
          <w:jc w:val="center"/>
        </w:trPr>
        <w:tc>
          <w:tcPr>
            <w:tcW w:w="1814" w:type="dxa"/>
            <w:shd w:val="clear" w:color="auto" w:fill="F2F4F6"/>
            <w:tcMar>
              <w:top w:w="70" w:type="dxa"/>
              <w:left w:w="70" w:type="dxa"/>
              <w:bottom w:w="70" w:type="dxa"/>
              <w:right w:w="70" w:type="dxa"/>
            </w:tcMar>
            <w:vAlign w:val="center"/>
          </w:tcPr>
          <w:p w14:paraId="28D3494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3.41-4.20</w:t>
            </w:r>
          </w:p>
        </w:tc>
        <w:tc>
          <w:tcPr>
            <w:tcW w:w="1984" w:type="dxa"/>
            <w:shd w:val="clear" w:color="auto" w:fill="F2F4F6"/>
            <w:tcMar>
              <w:top w:w="70" w:type="dxa"/>
              <w:left w:w="70" w:type="dxa"/>
              <w:bottom w:w="70" w:type="dxa"/>
              <w:right w:w="70" w:type="dxa"/>
            </w:tcMar>
            <w:vAlign w:val="center"/>
          </w:tcPr>
          <w:p w14:paraId="4CAF504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c>
          <w:tcPr>
            <w:tcW w:w="4706" w:type="dxa"/>
            <w:shd w:val="clear" w:color="auto" w:fill="F2F4F6"/>
            <w:tcMar>
              <w:top w:w="70" w:type="dxa"/>
              <w:left w:w="70" w:type="dxa"/>
              <w:bottom w:w="70" w:type="dxa"/>
              <w:right w:w="70" w:type="dxa"/>
            </w:tcMar>
            <w:vAlign w:val="center"/>
          </w:tcPr>
          <w:p w14:paraId="7CA6CC8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تطبيق مؤسسي جيد مع فرص تحسين.</w:t>
            </w:r>
          </w:p>
        </w:tc>
      </w:tr>
      <w:tr w:rsidR="00986803" w:rsidRPr="00AE1FD7" w14:paraId="6C7DDA49" w14:textId="77777777" w:rsidTr="00C3635B">
        <w:trPr>
          <w:jc w:val="center"/>
        </w:trPr>
        <w:tc>
          <w:tcPr>
            <w:tcW w:w="1814" w:type="dxa"/>
            <w:shd w:val="clear" w:color="auto" w:fill="FFFFFF"/>
            <w:tcMar>
              <w:top w:w="70" w:type="dxa"/>
              <w:left w:w="70" w:type="dxa"/>
              <w:bottom w:w="70" w:type="dxa"/>
              <w:right w:w="70" w:type="dxa"/>
            </w:tcMar>
            <w:vAlign w:val="center"/>
          </w:tcPr>
          <w:p w14:paraId="2C016AE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4.21-5.00</w:t>
            </w:r>
          </w:p>
        </w:tc>
        <w:tc>
          <w:tcPr>
            <w:tcW w:w="1984" w:type="dxa"/>
            <w:shd w:val="clear" w:color="auto" w:fill="FFFFFF"/>
            <w:tcMar>
              <w:top w:w="70" w:type="dxa"/>
              <w:left w:w="70" w:type="dxa"/>
              <w:bottom w:w="70" w:type="dxa"/>
              <w:right w:w="70" w:type="dxa"/>
            </w:tcMar>
            <w:vAlign w:val="center"/>
          </w:tcPr>
          <w:p w14:paraId="4D6F151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 جداً</w:t>
            </w:r>
          </w:p>
        </w:tc>
        <w:tc>
          <w:tcPr>
            <w:tcW w:w="4706" w:type="dxa"/>
            <w:shd w:val="clear" w:color="auto" w:fill="FFFFFF"/>
            <w:tcMar>
              <w:top w:w="70" w:type="dxa"/>
              <w:left w:w="70" w:type="dxa"/>
              <w:bottom w:w="70" w:type="dxa"/>
              <w:right w:w="70" w:type="dxa"/>
            </w:tcMar>
            <w:vAlign w:val="center"/>
          </w:tcPr>
          <w:p w14:paraId="398989F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تطبيق راسخ ومتكامل.</w:t>
            </w:r>
          </w:p>
        </w:tc>
      </w:tr>
    </w:tbl>
    <w:p w14:paraId="332C0666"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3AFE55D7" w14:textId="77777777" w:rsidR="00C3635B" w:rsidRPr="00AE1FD7" w:rsidRDefault="00C3635B" w:rsidP="00C3635B">
      <w:pPr>
        <w:bidi/>
        <w:spacing w:after="0" w:line="240" w:lineRule="auto"/>
        <w:ind w:firstLine="0"/>
        <w:rPr>
          <w:rFonts w:ascii="Sakkal Majalla" w:hAnsi="Sakkal Majalla" w:cs="Sakkal Majalla"/>
          <w:sz w:val="36"/>
          <w:szCs w:val="36"/>
        </w:rPr>
      </w:pPr>
    </w:p>
    <w:p w14:paraId="4A2FEA54" w14:textId="77777777" w:rsidR="00986803" w:rsidRPr="00C3635B"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8"/>
          <w:szCs w:val="38"/>
        </w:rPr>
      </w:pPr>
      <w:bookmarkStart w:id="76" w:name="_Toc235205630"/>
      <w:r w:rsidRPr="00C3635B">
        <w:rPr>
          <w:rFonts w:ascii="Sakkal Majalla" w:eastAsia="Noto Kufi Arabic" w:hAnsi="Sakkal Majalla" w:cs="Sakkal Majalla"/>
          <w:sz w:val="38"/>
          <w:szCs w:val="38"/>
          <w:rtl/>
          <w:lang w:val="ar-SA"/>
        </w:rPr>
        <w:t>3.9 صدق الأداة</w:t>
      </w:r>
      <w:r w:rsidR="00C3635B" w:rsidRPr="00C3635B">
        <w:rPr>
          <w:rFonts w:ascii="Sakkal Majalla" w:eastAsia="Noto Kufi Arabic" w:hAnsi="Sakkal Majalla" w:cs="Sakkal Majalla" w:hint="cs"/>
          <w:sz w:val="38"/>
          <w:szCs w:val="38"/>
          <w:rtl/>
          <w:lang w:val="ar-SA"/>
        </w:rPr>
        <w:t>:</w:t>
      </w:r>
      <w:bookmarkEnd w:id="76"/>
    </w:p>
    <w:p w14:paraId="2B3D6E7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77" w:name="_Toc235205631"/>
      <w:r w:rsidRPr="00AE1FD7">
        <w:rPr>
          <w:rFonts w:ascii="Sakkal Majalla" w:eastAsia="Noto Kufi Arabic" w:hAnsi="Sakkal Majalla" w:cs="Sakkal Majalla"/>
          <w:sz w:val="36"/>
          <w:szCs w:val="36"/>
          <w:rtl/>
          <w:lang w:val="ar-SA"/>
        </w:rPr>
        <w:t>3.9.1 الصدق الظاهري وصدق المحتوى</w:t>
      </w:r>
      <w:r w:rsidR="00C3635B">
        <w:rPr>
          <w:rFonts w:ascii="Sakkal Majalla" w:eastAsia="Noto Kufi Arabic" w:hAnsi="Sakkal Majalla" w:cs="Sakkal Majalla" w:hint="cs"/>
          <w:sz w:val="36"/>
          <w:szCs w:val="36"/>
          <w:rtl/>
          <w:lang w:val="ar-SA"/>
        </w:rPr>
        <w:t>:</w:t>
      </w:r>
      <w:bookmarkEnd w:id="77"/>
    </w:p>
    <w:p w14:paraId="6EC3657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عُرضت النسخة الأولية على تسعة محكمين من تخصصات الإدارة العامة والمحاسبة الحكومية وإدارة الأصول والمرافق والمناهج والإحصاء. وطُلب منهم تقييم ملاءمة كل بند ووضوحه وانتمائه للبعد وخلوه من الغموض. وأسفرت المراجعة عن تعديل صياغة ستة بنود، ودمج بندين متقاربين، وإضافة توضيح لمفهوم الأصل غير المستغل.</w:t>
      </w:r>
    </w:p>
    <w:p w14:paraId="5918030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حُسب مؤشر صدق المحتوى على مستوى البنود، وتراوحت القيم بين 0.78 و1.00، بينما بلغ المتوسط الكلي 0.92، وهي قيم مقبولة في ضوء عدد المحكمين. كما تحقق المحكمون من تغطية الأداة لمراحل دورة الحياة ومن التوازن بين الأبعاد التنظيمية والرقابية والمعلوماتية.</w:t>
      </w:r>
    </w:p>
    <w:p w14:paraId="093844EA"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78" w:name="_Toc235205632"/>
      <w:r w:rsidRPr="00AE1FD7">
        <w:rPr>
          <w:rFonts w:ascii="Sakkal Majalla" w:eastAsia="Noto Kufi Arabic" w:hAnsi="Sakkal Majalla" w:cs="Sakkal Majalla"/>
          <w:sz w:val="36"/>
          <w:szCs w:val="36"/>
          <w:rtl/>
          <w:lang w:val="ar-SA"/>
        </w:rPr>
        <w:lastRenderedPageBreak/>
        <w:t>3.9.2 الدراسة الاستطلاعية</w:t>
      </w:r>
      <w:r w:rsidR="00C3635B">
        <w:rPr>
          <w:rFonts w:ascii="Sakkal Majalla" w:eastAsia="Noto Kufi Arabic" w:hAnsi="Sakkal Majalla" w:cs="Sakkal Majalla" w:hint="cs"/>
          <w:sz w:val="36"/>
          <w:szCs w:val="36"/>
          <w:rtl/>
          <w:lang w:val="ar-SA"/>
        </w:rPr>
        <w:t>:</w:t>
      </w:r>
      <w:bookmarkEnd w:id="78"/>
    </w:p>
    <w:p w14:paraId="4EB868A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طُبقت الأداة على عينة استطلاعية من 40 مشاركاً من خارج العينة النهائية. واستهدفت الدراسة قياس وضوح البنود والوقت اللازم للإجابة واختبار الاتساق المبدئي. تراوح وقت الإجابة بين ثماني واثنتي عشرة دقيقة، ولم تظهر صعوبات جوهرية، وأُجريت تعديلات لغوية محدودة.</w:t>
      </w:r>
    </w:p>
    <w:p w14:paraId="13947A0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وتراوحت معاملات ألفا </w:t>
      </w:r>
      <w:proofErr w:type="spellStart"/>
      <w:r w:rsidRPr="00AE1FD7">
        <w:rPr>
          <w:rFonts w:ascii="Sakkal Majalla" w:hAnsi="Sakkal Majalla" w:cs="Sakkal Majalla"/>
          <w:color w:val="000000"/>
          <w:sz w:val="36"/>
          <w:szCs w:val="36"/>
          <w:rtl/>
          <w:lang w:val="ar-SA"/>
        </w:rPr>
        <w:t>كرونباخ</w:t>
      </w:r>
      <w:proofErr w:type="spellEnd"/>
      <w:r w:rsidRPr="00AE1FD7">
        <w:rPr>
          <w:rFonts w:ascii="Sakkal Majalla" w:hAnsi="Sakkal Majalla" w:cs="Sakkal Majalla"/>
          <w:color w:val="000000"/>
          <w:sz w:val="36"/>
          <w:szCs w:val="36"/>
          <w:rtl/>
          <w:lang w:val="ar-SA"/>
        </w:rPr>
        <w:t xml:space="preserve"> في الدراسة الاستطلاعية بين 0.81 و0.89، وبلغت للأداة ككل 0.93، ما دعم الانتقال إلى التطبيق الرئيس.</w:t>
      </w:r>
    </w:p>
    <w:p w14:paraId="42196B4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79" w:name="_Toc235205633"/>
      <w:r w:rsidRPr="00AE1FD7">
        <w:rPr>
          <w:rFonts w:ascii="Sakkal Majalla" w:eastAsia="Noto Kufi Arabic" w:hAnsi="Sakkal Majalla" w:cs="Sakkal Majalla"/>
          <w:sz w:val="36"/>
          <w:szCs w:val="36"/>
          <w:rtl/>
          <w:lang w:val="ar-SA"/>
        </w:rPr>
        <w:t>3.9.3 صدق الاتساق الداخلي والبناء</w:t>
      </w:r>
      <w:r w:rsidR="00C3635B">
        <w:rPr>
          <w:rFonts w:ascii="Sakkal Majalla" w:eastAsia="Noto Kufi Arabic" w:hAnsi="Sakkal Majalla" w:cs="Sakkal Majalla" w:hint="cs"/>
          <w:sz w:val="36"/>
          <w:szCs w:val="36"/>
          <w:rtl/>
          <w:lang w:val="ar-SA"/>
        </w:rPr>
        <w:t>:</w:t>
      </w:r>
      <w:bookmarkEnd w:id="79"/>
    </w:p>
    <w:p w14:paraId="64365B3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قيس الاتساق الداخلي بارتباط كل بند بمجموع بقية بنود بعده، وتراوحت معاملات الارتباط المصححة بين 0.54 و0.76، وكانت جميعها دالة عند مستوى 0.01. وتدل هذه القيم على أن البنود ترتبط بالبناء المقصود دون تطابق زائد.</w:t>
      </w:r>
    </w:p>
    <w:p w14:paraId="14570D1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كما أُجري فحص ملاءمة التحليل العاملي؛ فبلغ مقياس </w:t>
      </w:r>
      <w:proofErr w:type="spellStart"/>
      <w:r w:rsidRPr="00AE1FD7">
        <w:rPr>
          <w:rFonts w:ascii="Sakkal Majalla" w:hAnsi="Sakkal Majalla" w:cs="Sakkal Majalla"/>
          <w:color w:val="000000"/>
          <w:sz w:val="36"/>
          <w:szCs w:val="36"/>
          <w:rtl/>
          <w:lang w:val="ar-SA"/>
        </w:rPr>
        <w:t>كايزر</w:t>
      </w:r>
      <w:proofErr w:type="spellEnd"/>
      <w:r w:rsidRPr="00AE1FD7">
        <w:rPr>
          <w:rFonts w:ascii="Sakkal Majalla" w:hAnsi="Sakkal Majalla" w:cs="Sakkal Majalla"/>
          <w:color w:val="000000"/>
          <w:sz w:val="36"/>
          <w:szCs w:val="36"/>
          <w:rtl/>
          <w:lang w:val="ar-SA"/>
        </w:rPr>
        <w:t>-ماير-</w:t>
      </w:r>
      <w:proofErr w:type="spellStart"/>
      <w:r w:rsidRPr="00AE1FD7">
        <w:rPr>
          <w:rFonts w:ascii="Sakkal Majalla" w:hAnsi="Sakkal Majalla" w:cs="Sakkal Majalla"/>
          <w:color w:val="000000"/>
          <w:sz w:val="36"/>
          <w:szCs w:val="36"/>
          <w:rtl/>
          <w:lang w:val="ar-SA"/>
        </w:rPr>
        <w:t>أولكين</w:t>
      </w:r>
      <w:proofErr w:type="spellEnd"/>
      <w:r w:rsidRPr="00AE1FD7">
        <w:rPr>
          <w:rFonts w:ascii="Sakkal Majalla" w:hAnsi="Sakkal Majalla" w:cs="Sakkal Majalla"/>
          <w:color w:val="000000"/>
          <w:sz w:val="36"/>
          <w:szCs w:val="36"/>
          <w:rtl/>
          <w:lang w:val="ar-SA"/>
        </w:rPr>
        <w:t xml:space="preserve"> 0.954، وكانت نتيجة اختبار </w:t>
      </w:r>
      <w:proofErr w:type="spellStart"/>
      <w:r w:rsidRPr="00AE1FD7">
        <w:rPr>
          <w:rFonts w:ascii="Sakkal Majalla" w:hAnsi="Sakkal Majalla" w:cs="Sakkal Majalla"/>
          <w:color w:val="000000"/>
          <w:sz w:val="36"/>
          <w:szCs w:val="36"/>
          <w:rtl/>
          <w:lang w:val="ar-SA"/>
        </w:rPr>
        <w:t>بارتليت</w:t>
      </w:r>
      <w:proofErr w:type="spellEnd"/>
      <w:r w:rsidRPr="00AE1FD7">
        <w:rPr>
          <w:rFonts w:ascii="Sakkal Majalla" w:hAnsi="Sakkal Majalla" w:cs="Sakkal Majalla"/>
          <w:color w:val="000000"/>
          <w:sz w:val="36"/>
          <w:szCs w:val="36"/>
          <w:rtl/>
          <w:lang w:val="ar-SA"/>
        </w:rPr>
        <w:t xml:space="preserve"> دالة إحصائياً، ما يشير إلى ملاءمة مصفوفة الارتباط. وأظهر التحليل استخراج ستة عوامل ذات جذور كامنة أكبر من واحد، فسرت مجتمعة 61.82% من التباين، وهو ما يتسق مع خمسة أبعاد مستقلة وبعد تابع.</w:t>
      </w:r>
    </w:p>
    <w:p w14:paraId="6A9D6A8A"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80" w:name="table_validity_results"/>
      <w:r w:rsidRPr="00C3635B">
        <w:rPr>
          <w:rFonts w:ascii="Sakkal Majalla" w:eastAsia="Noto Kufi Arabic" w:hAnsi="Sakkal Majalla" w:cs="Sakkal Majalla"/>
          <w:bCs/>
          <w:color w:val="17365D"/>
          <w:sz w:val="36"/>
          <w:szCs w:val="36"/>
          <w:rtl/>
          <w:lang w:val="ar-SA"/>
        </w:rPr>
        <w:t>جدول (11): نتائج التحقق من صدق الأداة</w:t>
      </w:r>
      <w:bookmarkEnd w:id="80"/>
    </w:p>
    <w:tbl>
      <w:tblPr>
        <w:bidiVisual/>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5"/>
        <w:gridCol w:w="2005"/>
        <w:gridCol w:w="4233"/>
      </w:tblGrid>
      <w:tr w:rsidR="00986803" w:rsidRPr="00C3635B" w14:paraId="3DE540E9" w14:textId="77777777" w:rsidTr="00C3635B">
        <w:trPr>
          <w:cantSplit/>
          <w:tblHeader/>
          <w:jc w:val="center"/>
        </w:trPr>
        <w:tc>
          <w:tcPr>
            <w:tcW w:w="2985" w:type="dxa"/>
            <w:shd w:val="clear" w:color="auto" w:fill="17365D"/>
            <w:tcMar>
              <w:top w:w="90" w:type="dxa"/>
              <w:left w:w="80" w:type="dxa"/>
              <w:bottom w:w="90" w:type="dxa"/>
              <w:right w:w="80" w:type="dxa"/>
            </w:tcMar>
            <w:vAlign w:val="center"/>
          </w:tcPr>
          <w:p w14:paraId="340D2BC4" w14:textId="77777777" w:rsidR="00986803" w:rsidRPr="00C3635B" w:rsidRDefault="00DB29B7" w:rsidP="00C3635B">
            <w:pPr>
              <w:bidi/>
              <w:spacing w:after="0" w:line="240" w:lineRule="auto"/>
              <w:ind w:firstLine="0"/>
              <w:jc w:val="center"/>
              <w:rPr>
                <w:rFonts w:ascii="Sakkal Majalla" w:hAnsi="Sakkal Majalla" w:cs="Sakkal Majalla"/>
                <w:bCs/>
                <w:sz w:val="32"/>
                <w:szCs w:val="32"/>
              </w:rPr>
            </w:pPr>
            <w:r w:rsidRPr="00C3635B">
              <w:rPr>
                <w:rFonts w:ascii="Sakkal Majalla" w:eastAsia="Noto Kufi Arabic" w:hAnsi="Sakkal Majalla" w:cs="Sakkal Majalla"/>
                <w:bCs/>
                <w:color w:val="FFFFFF"/>
                <w:sz w:val="32"/>
                <w:szCs w:val="32"/>
                <w:rtl/>
                <w:lang w:val="ar-SA"/>
              </w:rPr>
              <w:t>الاختبار</w:t>
            </w:r>
          </w:p>
        </w:tc>
        <w:tc>
          <w:tcPr>
            <w:tcW w:w="2005" w:type="dxa"/>
            <w:shd w:val="clear" w:color="auto" w:fill="17365D"/>
            <w:tcMar>
              <w:top w:w="90" w:type="dxa"/>
              <w:left w:w="80" w:type="dxa"/>
              <w:bottom w:w="90" w:type="dxa"/>
              <w:right w:w="80" w:type="dxa"/>
            </w:tcMar>
            <w:vAlign w:val="center"/>
          </w:tcPr>
          <w:p w14:paraId="7854CCCD" w14:textId="77777777" w:rsidR="00986803" w:rsidRPr="00C3635B" w:rsidRDefault="00DB29B7" w:rsidP="00C3635B">
            <w:pPr>
              <w:bidi/>
              <w:spacing w:after="0" w:line="240" w:lineRule="auto"/>
              <w:ind w:firstLine="0"/>
              <w:jc w:val="center"/>
              <w:rPr>
                <w:rFonts w:ascii="Sakkal Majalla" w:hAnsi="Sakkal Majalla" w:cs="Sakkal Majalla"/>
                <w:bCs/>
                <w:sz w:val="32"/>
                <w:szCs w:val="32"/>
              </w:rPr>
            </w:pPr>
            <w:r w:rsidRPr="00C3635B">
              <w:rPr>
                <w:rFonts w:ascii="Sakkal Majalla" w:eastAsia="Noto Kufi Arabic" w:hAnsi="Sakkal Majalla" w:cs="Sakkal Majalla"/>
                <w:bCs/>
                <w:color w:val="FFFFFF"/>
                <w:sz w:val="32"/>
                <w:szCs w:val="32"/>
                <w:rtl/>
                <w:lang w:val="ar-SA"/>
              </w:rPr>
              <w:t>النتيجة</w:t>
            </w:r>
          </w:p>
        </w:tc>
        <w:tc>
          <w:tcPr>
            <w:tcW w:w="4233" w:type="dxa"/>
            <w:shd w:val="clear" w:color="auto" w:fill="17365D"/>
            <w:tcMar>
              <w:top w:w="90" w:type="dxa"/>
              <w:left w:w="80" w:type="dxa"/>
              <w:bottom w:w="90" w:type="dxa"/>
              <w:right w:w="80" w:type="dxa"/>
            </w:tcMar>
            <w:vAlign w:val="center"/>
          </w:tcPr>
          <w:p w14:paraId="6841C311" w14:textId="77777777" w:rsidR="00986803" w:rsidRPr="00C3635B" w:rsidRDefault="00DB29B7" w:rsidP="00C3635B">
            <w:pPr>
              <w:bidi/>
              <w:spacing w:after="0" w:line="240" w:lineRule="auto"/>
              <w:ind w:firstLine="0"/>
              <w:jc w:val="center"/>
              <w:rPr>
                <w:rFonts w:ascii="Sakkal Majalla" w:hAnsi="Sakkal Majalla" w:cs="Sakkal Majalla"/>
                <w:bCs/>
                <w:sz w:val="32"/>
                <w:szCs w:val="32"/>
              </w:rPr>
            </w:pPr>
            <w:r w:rsidRPr="00C3635B">
              <w:rPr>
                <w:rFonts w:ascii="Sakkal Majalla" w:eastAsia="Noto Kufi Arabic" w:hAnsi="Sakkal Majalla" w:cs="Sakkal Majalla"/>
                <w:bCs/>
                <w:color w:val="FFFFFF"/>
                <w:sz w:val="32"/>
                <w:szCs w:val="32"/>
                <w:rtl/>
                <w:lang w:val="ar-SA"/>
              </w:rPr>
              <w:t>المعيار/التفسير</w:t>
            </w:r>
          </w:p>
        </w:tc>
      </w:tr>
      <w:tr w:rsidR="00986803" w:rsidRPr="00C3635B" w14:paraId="3F337A27" w14:textId="77777777" w:rsidTr="00C3635B">
        <w:trPr>
          <w:jc w:val="center"/>
        </w:trPr>
        <w:tc>
          <w:tcPr>
            <w:tcW w:w="2985" w:type="dxa"/>
            <w:shd w:val="clear" w:color="auto" w:fill="FFFFFF"/>
            <w:tcMar>
              <w:top w:w="70" w:type="dxa"/>
              <w:left w:w="70" w:type="dxa"/>
              <w:bottom w:w="70" w:type="dxa"/>
              <w:right w:w="70" w:type="dxa"/>
            </w:tcMar>
            <w:vAlign w:val="center"/>
          </w:tcPr>
          <w:p w14:paraId="1EF80D67"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صدق المحتوى لدى المحكمين</w:t>
            </w:r>
          </w:p>
        </w:tc>
        <w:tc>
          <w:tcPr>
            <w:tcW w:w="2005" w:type="dxa"/>
            <w:shd w:val="clear" w:color="auto" w:fill="FFFFFF"/>
            <w:tcMar>
              <w:top w:w="70" w:type="dxa"/>
              <w:left w:w="70" w:type="dxa"/>
              <w:bottom w:w="70" w:type="dxa"/>
              <w:right w:w="70" w:type="dxa"/>
            </w:tcMar>
            <w:vAlign w:val="center"/>
          </w:tcPr>
          <w:p w14:paraId="2D26EB55"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CVI الكلي = 0.91</w:t>
            </w:r>
          </w:p>
        </w:tc>
        <w:tc>
          <w:tcPr>
            <w:tcW w:w="4233" w:type="dxa"/>
            <w:shd w:val="clear" w:color="auto" w:fill="FFFFFF"/>
            <w:tcMar>
              <w:top w:w="70" w:type="dxa"/>
              <w:left w:w="70" w:type="dxa"/>
              <w:bottom w:w="70" w:type="dxa"/>
              <w:right w:w="70" w:type="dxa"/>
            </w:tcMar>
            <w:vAlign w:val="center"/>
          </w:tcPr>
          <w:p w14:paraId="491ED739"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أعلى من الحد المقبول 0.80.</w:t>
            </w:r>
          </w:p>
        </w:tc>
      </w:tr>
      <w:tr w:rsidR="00986803" w:rsidRPr="00C3635B" w14:paraId="6BF4316D" w14:textId="77777777" w:rsidTr="00C3635B">
        <w:trPr>
          <w:jc w:val="center"/>
        </w:trPr>
        <w:tc>
          <w:tcPr>
            <w:tcW w:w="2985" w:type="dxa"/>
            <w:shd w:val="clear" w:color="auto" w:fill="F2F4F6"/>
            <w:tcMar>
              <w:top w:w="70" w:type="dxa"/>
              <w:left w:w="70" w:type="dxa"/>
              <w:bottom w:w="70" w:type="dxa"/>
              <w:right w:w="70" w:type="dxa"/>
            </w:tcMar>
            <w:vAlign w:val="center"/>
          </w:tcPr>
          <w:p w14:paraId="34E1F8D8"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ارتباطات العبارة بالبعد</w:t>
            </w:r>
          </w:p>
        </w:tc>
        <w:tc>
          <w:tcPr>
            <w:tcW w:w="2005" w:type="dxa"/>
            <w:shd w:val="clear" w:color="auto" w:fill="F2F4F6"/>
            <w:tcMar>
              <w:top w:w="70" w:type="dxa"/>
              <w:left w:w="70" w:type="dxa"/>
              <w:bottom w:w="70" w:type="dxa"/>
              <w:right w:w="70" w:type="dxa"/>
            </w:tcMar>
            <w:vAlign w:val="center"/>
          </w:tcPr>
          <w:p w14:paraId="5C1445AB"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0.55-0.76 وجميعها دالة</w:t>
            </w:r>
          </w:p>
        </w:tc>
        <w:tc>
          <w:tcPr>
            <w:tcW w:w="4233" w:type="dxa"/>
            <w:shd w:val="clear" w:color="auto" w:fill="F2F4F6"/>
            <w:tcMar>
              <w:top w:w="70" w:type="dxa"/>
              <w:left w:w="70" w:type="dxa"/>
              <w:bottom w:w="70" w:type="dxa"/>
              <w:right w:w="70" w:type="dxa"/>
            </w:tcMar>
            <w:vAlign w:val="center"/>
          </w:tcPr>
          <w:p w14:paraId="10C18ABD"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تجاوزت 0.30؛ اتساق داخلي جيد.</w:t>
            </w:r>
          </w:p>
        </w:tc>
      </w:tr>
      <w:tr w:rsidR="00986803" w:rsidRPr="00C3635B" w14:paraId="6F244DCE" w14:textId="77777777" w:rsidTr="00C3635B">
        <w:trPr>
          <w:jc w:val="center"/>
        </w:trPr>
        <w:tc>
          <w:tcPr>
            <w:tcW w:w="2985" w:type="dxa"/>
            <w:shd w:val="clear" w:color="auto" w:fill="FFFFFF"/>
            <w:tcMar>
              <w:top w:w="70" w:type="dxa"/>
              <w:left w:w="70" w:type="dxa"/>
              <w:bottom w:w="70" w:type="dxa"/>
              <w:right w:w="70" w:type="dxa"/>
            </w:tcMar>
            <w:vAlign w:val="center"/>
          </w:tcPr>
          <w:p w14:paraId="1219085A"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eastAsia="DejaVu Sans" w:hAnsi="Sakkal Majalla" w:cs="Sakkal Majalla"/>
                <w:color w:val="000000"/>
                <w:sz w:val="32"/>
                <w:szCs w:val="32"/>
                <w:lang w:bidi="en-US"/>
              </w:rPr>
              <w:t>KMO</w:t>
            </w:r>
          </w:p>
        </w:tc>
        <w:tc>
          <w:tcPr>
            <w:tcW w:w="2005" w:type="dxa"/>
            <w:shd w:val="clear" w:color="auto" w:fill="FFFFFF"/>
            <w:tcMar>
              <w:top w:w="70" w:type="dxa"/>
              <w:left w:w="70" w:type="dxa"/>
              <w:bottom w:w="70" w:type="dxa"/>
              <w:right w:w="70" w:type="dxa"/>
            </w:tcMar>
            <w:vAlign w:val="center"/>
          </w:tcPr>
          <w:p w14:paraId="656231F2"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eastAsia="DejaVu Sans" w:hAnsi="Sakkal Majalla" w:cs="Sakkal Majalla"/>
                <w:color w:val="000000"/>
                <w:sz w:val="32"/>
                <w:szCs w:val="32"/>
                <w:lang w:bidi="en-US"/>
              </w:rPr>
              <w:t>0.954</w:t>
            </w:r>
          </w:p>
        </w:tc>
        <w:tc>
          <w:tcPr>
            <w:tcW w:w="4233" w:type="dxa"/>
            <w:shd w:val="clear" w:color="auto" w:fill="FFFFFF"/>
            <w:tcMar>
              <w:top w:w="70" w:type="dxa"/>
              <w:left w:w="70" w:type="dxa"/>
              <w:bottom w:w="70" w:type="dxa"/>
              <w:right w:w="70" w:type="dxa"/>
            </w:tcMar>
            <w:vAlign w:val="center"/>
          </w:tcPr>
          <w:p w14:paraId="0322F52C"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أعلى من 0.80؛ ملاءمة ممتازة للتحليل العاملي.</w:t>
            </w:r>
          </w:p>
        </w:tc>
      </w:tr>
      <w:tr w:rsidR="00986803" w:rsidRPr="00C3635B" w14:paraId="7580C000" w14:textId="77777777" w:rsidTr="00C3635B">
        <w:trPr>
          <w:jc w:val="center"/>
        </w:trPr>
        <w:tc>
          <w:tcPr>
            <w:tcW w:w="2985" w:type="dxa"/>
            <w:shd w:val="clear" w:color="auto" w:fill="F2F4F6"/>
            <w:tcMar>
              <w:top w:w="70" w:type="dxa"/>
              <w:left w:w="70" w:type="dxa"/>
              <w:bottom w:w="70" w:type="dxa"/>
              <w:right w:w="70" w:type="dxa"/>
            </w:tcMar>
            <w:vAlign w:val="center"/>
          </w:tcPr>
          <w:p w14:paraId="5EC9DA36"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 xml:space="preserve">اختبار </w:t>
            </w:r>
            <w:proofErr w:type="spellStart"/>
            <w:r w:rsidRPr="00C3635B">
              <w:rPr>
                <w:rFonts w:ascii="Sakkal Majalla" w:hAnsi="Sakkal Majalla" w:cs="Sakkal Majalla"/>
                <w:color w:val="000000"/>
                <w:sz w:val="32"/>
                <w:szCs w:val="32"/>
                <w:rtl/>
                <w:lang w:val="ar-SA"/>
              </w:rPr>
              <w:t>Bartlett</w:t>
            </w:r>
            <w:proofErr w:type="spellEnd"/>
          </w:p>
        </w:tc>
        <w:tc>
          <w:tcPr>
            <w:tcW w:w="2005" w:type="dxa"/>
            <w:shd w:val="clear" w:color="auto" w:fill="F2F4F6"/>
            <w:tcMar>
              <w:top w:w="70" w:type="dxa"/>
              <w:left w:w="70" w:type="dxa"/>
              <w:bottom w:w="70" w:type="dxa"/>
              <w:right w:w="70" w:type="dxa"/>
            </w:tcMar>
            <w:vAlign w:val="center"/>
          </w:tcPr>
          <w:p w14:paraId="00C53CA3"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Cambria" w:hAnsi="Cambria" w:cs="Cambria" w:hint="cs"/>
                <w:color w:val="000000"/>
                <w:sz w:val="32"/>
                <w:szCs w:val="32"/>
                <w:rtl/>
                <w:lang w:val="ar-SA"/>
              </w:rPr>
              <w:t>χ</w:t>
            </w:r>
            <w:r w:rsidRPr="00C3635B">
              <w:rPr>
                <w:rFonts w:ascii="Sakkal Majalla" w:hAnsi="Sakkal Majalla" w:cs="Sakkal Majalla" w:hint="cs"/>
                <w:color w:val="000000"/>
                <w:sz w:val="32"/>
                <w:szCs w:val="32"/>
                <w:rtl/>
                <w:lang w:val="ar-SA"/>
              </w:rPr>
              <w:t>²</w:t>
            </w:r>
            <w:r w:rsidRPr="00C3635B">
              <w:rPr>
                <w:rFonts w:ascii="Sakkal Majalla" w:hAnsi="Sakkal Majalla" w:cs="Sakkal Majalla"/>
                <w:color w:val="000000"/>
                <w:sz w:val="32"/>
                <w:szCs w:val="32"/>
                <w:rtl/>
                <w:lang w:val="ar-SA"/>
              </w:rPr>
              <w:t xml:space="preserve"> = 5038.01, </w:t>
            </w:r>
            <w:proofErr w:type="spellStart"/>
            <w:r w:rsidRPr="00C3635B">
              <w:rPr>
                <w:rFonts w:ascii="Sakkal Majalla" w:hAnsi="Sakkal Majalla" w:cs="Sakkal Majalla"/>
                <w:color w:val="000000"/>
                <w:sz w:val="32"/>
                <w:szCs w:val="32"/>
                <w:rtl/>
                <w:lang w:val="ar-SA"/>
              </w:rPr>
              <w:t>df</w:t>
            </w:r>
            <w:proofErr w:type="spellEnd"/>
            <w:r w:rsidRPr="00C3635B">
              <w:rPr>
                <w:rFonts w:ascii="Sakkal Majalla" w:hAnsi="Sakkal Majalla" w:cs="Sakkal Majalla"/>
                <w:color w:val="000000"/>
                <w:sz w:val="32"/>
                <w:szCs w:val="32"/>
                <w:rtl/>
                <w:lang w:val="ar-SA"/>
              </w:rPr>
              <w:t xml:space="preserve"> = 496, p &lt; 0.001</w:t>
            </w:r>
          </w:p>
        </w:tc>
        <w:tc>
          <w:tcPr>
            <w:tcW w:w="4233" w:type="dxa"/>
            <w:shd w:val="clear" w:color="auto" w:fill="F2F4F6"/>
            <w:tcMar>
              <w:top w:w="70" w:type="dxa"/>
              <w:left w:w="70" w:type="dxa"/>
              <w:bottom w:w="70" w:type="dxa"/>
              <w:right w:w="70" w:type="dxa"/>
            </w:tcMar>
            <w:vAlign w:val="center"/>
          </w:tcPr>
          <w:p w14:paraId="29B3E5B9"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المصفوفة قابلة للتحليل العاملي.</w:t>
            </w:r>
          </w:p>
        </w:tc>
      </w:tr>
      <w:tr w:rsidR="00986803" w:rsidRPr="00C3635B" w14:paraId="104D0EA4" w14:textId="77777777" w:rsidTr="00C3635B">
        <w:trPr>
          <w:jc w:val="center"/>
        </w:trPr>
        <w:tc>
          <w:tcPr>
            <w:tcW w:w="2985" w:type="dxa"/>
            <w:shd w:val="clear" w:color="auto" w:fill="FFFFFF"/>
            <w:tcMar>
              <w:top w:w="70" w:type="dxa"/>
              <w:left w:w="70" w:type="dxa"/>
              <w:bottom w:w="70" w:type="dxa"/>
              <w:right w:w="70" w:type="dxa"/>
            </w:tcMar>
            <w:vAlign w:val="center"/>
          </w:tcPr>
          <w:p w14:paraId="6752A484"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العوامل ذات الجذر الأكبر من 1</w:t>
            </w:r>
          </w:p>
        </w:tc>
        <w:tc>
          <w:tcPr>
            <w:tcW w:w="2005" w:type="dxa"/>
            <w:shd w:val="clear" w:color="auto" w:fill="FFFFFF"/>
            <w:tcMar>
              <w:top w:w="70" w:type="dxa"/>
              <w:left w:w="70" w:type="dxa"/>
              <w:bottom w:w="70" w:type="dxa"/>
              <w:right w:w="70" w:type="dxa"/>
            </w:tcMar>
            <w:vAlign w:val="center"/>
          </w:tcPr>
          <w:p w14:paraId="687E3C62"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eastAsia="DejaVu Sans" w:hAnsi="Sakkal Majalla" w:cs="Sakkal Majalla"/>
                <w:color w:val="000000"/>
                <w:sz w:val="32"/>
                <w:szCs w:val="32"/>
                <w:lang w:bidi="en-US"/>
              </w:rPr>
              <w:t>6</w:t>
            </w:r>
          </w:p>
        </w:tc>
        <w:tc>
          <w:tcPr>
            <w:tcW w:w="4233" w:type="dxa"/>
            <w:shd w:val="clear" w:color="auto" w:fill="FFFFFF"/>
            <w:tcMar>
              <w:top w:w="70" w:type="dxa"/>
              <w:left w:w="70" w:type="dxa"/>
              <w:bottom w:w="70" w:type="dxa"/>
              <w:right w:w="70" w:type="dxa"/>
            </w:tcMar>
            <w:vAlign w:val="center"/>
          </w:tcPr>
          <w:p w14:paraId="4DDF7309"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توافق البناء مع ستة أبعاد.</w:t>
            </w:r>
          </w:p>
        </w:tc>
      </w:tr>
      <w:tr w:rsidR="00986803" w:rsidRPr="00C3635B" w14:paraId="71772688" w14:textId="77777777" w:rsidTr="00C3635B">
        <w:trPr>
          <w:jc w:val="center"/>
        </w:trPr>
        <w:tc>
          <w:tcPr>
            <w:tcW w:w="2985" w:type="dxa"/>
            <w:shd w:val="clear" w:color="auto" w:fill="F2F4F6"/>
            <w:tcMar>
              <w:top w:w="70" w:type="dxa"/>
              <w:left w:w="70" w:type="dxa"/>
              <w:bottom w:w="70" w:type="dxa"/>
              <w:right w:w="70" w:type="dxa"/>
            </w:tcMar>
            <w:vAlign w:val="center"/>
          </w:tcPr>
          <w:p w14:paraId="77377268"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التباين المفسر للعوامل الستة</w:t>
            </w:r>
          </w:p>
        </w:tc>
        <w:tc>
          <w:tcPr>
            <w:tcW w:w="2005" w:type="dxa"/>
            <w:shd w:val="clear" w:color="auto" w:fill="F2F4F6"/>
            <w:tcMar>
              <w:top w:w="70" w:type="dxa"/>
              <w:left w:w="70" w:type="dxa"/>
              <w:bottom w:w="70" w:type="dxa"/>
              <w:right w:w="70" w:type="dxa"/>
            </w:tcMar>
            <w:vAlign w:val="center"/>
          </w:tcPr>
          <w:p w14:paraId="252CEEE7"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eastAsia="DejaVu Sans" w:hAnsi="Sakkal Majalla" w:cs="Sakkal Majalla"/>
                <w:color w:val="000000"/>
                <w:sz w:val="32"/>
                <w:szCs w:val="32"/>
                <w:lang w:bidi="en-US"/>
              </w:rPr>
              <w:t>61.82%</w:t>
            </w:r>
          </w:p>
        </w:tc>
        <w:tc>
          <w:tcPr>
            <w:tcW w:w="4233" w:type="dxa"/>
            <w:shd w:val="clear" w:color="auto" w:fill="F2F4F6"/>
            <w:tcMar>
              <w:top w:w="70" w:type="dxa"/>
              <w:left w:w="70" w:type="dxa"/>
              <w:bottom w:w="70" w:type="dxa"/>
              <w:right w:w="70" w:type="dxa"/>
            </w:tcMar>
            <w:vAlign w:val="center"/>
          </w:tcPr>
          <w:p w14:paraId="47D5D5C8"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قوة تفسيرية مناسبة.</w:t>
            </w:r>
          </w:p>
        </w:tc>
      </w:tr>
      <w:tr w:rsidR="00986803" w:rsidRPr="00C3635B" w14:paraId="43526870" w14:textId="77777777" w:rsidTr="00C3635B">
        <w:trPr>
          <w:jc w:val="center"/>
        </w:trPr>
        <w:tc>
          <w:tcPr>
            <w:tcW w:w="2985" w:type="dxa"/>
            <w:shd w:val="clear" w:color="auto" w:fill="FFFFFF"/>
            <w:tcMar>
              <w:top w:w="70" w:type="dxa"/>
              <w:left w:w="70" w:type="dxa"/>
              <w:bottom w:w="70" w:type="dxa"/>
              <w:right w:w="70" w:type="dxa"/>
            </w:tcMar>
            <w:vAlign w:val="center"/>
          </w:tcPr>
          <w:p w14:paraId="030E1730"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 xml:space="preserve">اختبار العامل الواحد </w:t>
            </w:r>
            <w:proofErr w:type="spellStart"/>
            <w:r w:rsidRPr="00C3635B">
              <w:rPr>
                <w:rFonts w:ascii="Sakkal Majalla" w:hAnsi="Sakkal Majalla" w:cs="Sakkal Majalla"/>
                <w:color w:val="000000"/>
                <w:sz w:val="32"/>
                <w:szCs w:val="32"/>
                <w:rtl/>
                <w:lang w:val="ar-SA"/>
              </w:rPr>
              <w:t>لهارمان</w:t>
            </w:r>
            <w:proofErr w:type="spellEnd"/>
          </w:p>
        </w:tc>
        <w:tc>
          <w:tcPr>
            <w:tcW w:w="2005" w:type="dxa"/>
            <w:shd w:val="clear" w:color="auto" w:fill="FFFFFF"/>
            <w:tcMar>
              <w:top w:w="70" w:type="dxa"/>
              <w:left w:w="70" w:type="dxa"/>
              <w:bottom w:w="70" w:type="dxa"/>
              <w:right w:w="70" w:type="dxa"/>
            </w:tcMar>
            <w:vAlign w:val="center"/>
          </w:tcPr>
          <w:p w14:paraId="4E9C2F94"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eastAsia="DejaVu Sans" w:hAnsi="Sakkal Majalla" w:cs="Sakkal Majalla"/>
                <w:color w:val="000000"/>
                <w:sz w:val="32"/>
                <w:szCs w:val="32"/>
                <w:lang w:bidi="en-US"/>
              </w:rPr>
              <w:t>38.74%</w:t>
            </w:r>
          </w:p>
        </w:tc>
        <w:tc>
          <w:tcPr>
            <w:tcW w:w="4233" w:type="dxa"/>
            <w:shd w:val="clear" w:color="auto" w:fill="FFFFFF"/>
            <w:tcMar>
              <w:top w:w="70" w:type="dxa"/>
              <w:left w:w="70" w:type="dxa"/>
              <w:bottom w:w="70" w:type="dxa"/>
              <w:right w:w="70" w:type="dxa"/>
            </w:tcMar>
            <w:vAlign w:val="center"/>
          </w:tcPr>
          <w:p w14:paraId="58DA21E0" w14:textId="77777777" w:rsidR="00986803" w:rsidRPr="00C3635B" w:rsidRDefault="00DB29B7" w:rsidP="00C3635B">
            <w:pPr>
              <w:bidi/>
              <w:spacing w:after="0" w:line="240" w:lineRule="auto"/>
              <w:ind w:firstLine="0"/>
              <w:jc w:val="center"/>
              <w:rPr>
                <w:rFonts w:ascii="Sakkal Majalla" w:hAnsi="Sakkal Majalla" w:cs="Sakkal Majalla"/>
                <w:sz w:val="32"/>
                <w:szCs w:val="32"/>
              </w:rPr>
            </w:pPr>
            <w:r w:rsidRPr="00C3635B">
              <w:rPr>
                <w:rFonts w:ascii="Sakkal Majalla" w:hAnsi="Sakkal Majalla" w:cs="Sakkal Majalla"/>
                <w:color w:val="000000"/>
                <w:sz w:val="32"/>
                <w:szCs w:val="32"/>
                <w:rtl/>
                <w:lang w:val="ar-SA"/>
              </w:rPr>
              <w:t>أقل من 50%؛ خطر طريقة المصدر الواحد محدود.</w:t>
            </w:r>
          </w:p>
        </w:tc>
      </w:tr>
    </w:tbl>
    <w:p w14:paraId="4B7D7744"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lastRenderedPageBreak/>
        <w:t>المصدر: إعداد الباحث في ضوء أدبيات الدراسة ومخرجات التحليل.</w:t>
      </w:r>
    </w:p>
    <w:p w14:paraId="275538BB" w14:textId="77777777" w:rsidR="00C3635B" w:rsidRPr="00AE1FD7" w:rsidRDefault="00C3635B" w:rsidP="00C3635B">
      <w:pPr>
        <w:bidi/>
        <w:spacing w:after="0" w:line="240" w:lineRule="auto"/>
        <w:ind w:firstLine="0"/>
        <w:rPr>
          <w:rFonts w:ascii="Sakkal Majalla" w:hAnsi="Sakkal Majalla" w:cs="Sakkal Majalla"/>
          <w:sz w:val="36"/>
          <w:szCs w:val="36"/>
        </w:rPr>
      </w:pPr>
    </w:p>
    <w:p w14:paraId="0B6E2D49"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1" w:name="_Toc235205634"/>
      <w:r w:rsidRPr="00AE1FD7">
        <w:rPr>
          <w:rFonts w:ascii="Sakkal Majalla" w:eastAsia="Noto Kufi Arabic" w:hAnsi="Sakkal Majalla" w:cs="Sakkal Majalla"/>
          <w:sz w:val="36"/>
          <w:szCs w:val="36"/>
          <w:rtl/>
          <w:lang w:val="ar-SA"/>
        </w:rPr>
        <w:t>3.10 ثبات الأداة</w:t>
      </w:r>
      <w:r w:rsidR="00C3635B">
        <w:rPr>
          <w:rFonts w:ascii="Sakkal Majalla" w:eastAsia="Noto Kufi Arabic" w:hAnsi="Sakkal Majalla" w:cs="Sakkal Majalla" w:hint="cs"/>
          <w:sz w:val="36"/>
          <w:szCs w:val="36"/>
          <w:rtl/>
          <w:lang w:val="ar-SA"/>
        </w:rPr>
        <w:t>:</w:t>
      </w:r>
      <w:bookmarkEnd w:id="81"/>
    </w:p>
    <w:p w14:paraId="1CCC0AB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استخدم معامل ألفا </w:t>
      </w:r>
      <w:proofErr w:type="spellStart"/>
      <w:r w:rsidRPr="00AE1FD7">
        <w:rPr>
          <w:rFonts w:ascii="Sakkal Majalla" w:hAnsi="Sakkal Majalla" w:cs="Sakkal Majalla"/>
          <w:color w:val="000000"/>
          <w:sz w:val="36"/>
          <w:szCs w:val="36"/>
          <w:rtl/>
          <w:lang w:val="ar-SA"/>
        </w:rPr>
        <w:t>كرونباخ</w:t>
      </w:r>
      <w:proofErr w:type="spellEnd"/>
      <w:r w:rsidRPr="00AE1FD7">
        <w:rPr>
          <w:rFonts w:ascii="Sakkal Majalla" w:hAnsi="Sakkal Majalla" w:cs="Sakkal Majalla"/>
          <w:color w:val="000000"/>
          <w:sz w:val="36"/>
          <w:szCs w:val="36"/>
          <w:rtl/>
          <w:lang w:val="ar-SA"/>
        </w:rPr>
        <w:t xml:space="preserve"> لقياس الثبات، وبلغ 0.834 للشفافية والإفصاح، و0.836 للمساءلة والرقابة، و0.837 لتكامل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و0.834 للتخطيط ودورة الحياة، و0.842 لإدارة المخاطر والامتثال، و0.897 لكفاءة الإنفاق. وبلغ معامل الأداة ككل 0.946، وهي قيم تدل على اتساق مرتفع.</w:t>
      </w:r>
    </w:p>
    <w:p w14:paraId="5AC39CA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ولا يُفهم ارتفاع ألفا باعتباره دليلاً كافياً على الصدق، لذلك جُمعت نتائجه مع التحكيم والاتساق الداخلي والتحليل العاملي. كما أن القيم لم تتجاوز حدوداً توحي بتكرار البنود بصورة مفرطة.</w:t>
      </w:r>
    </w:p>
    <w:p w14:paraId="1D5D2615"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82" w:name="table_reliability_results"/>
      <w:r w:rsidRPr="00C3635B">
        <w:rPr>
          <w:rFonts w:ascii="Sakkal Majalla" w:eastAsia="Noto Kufi Arabic" w:hAnsi="Sakkal Majalla" w:cs="Sakkal Majalla"/>
          <w:bCs/>
          <w:color w:val="17365D"/>
          <w:sz w:val="36"/>
          <w:szCs w:val="36"/>
          <w:rtl/>
          <w:lang w:val="ar-SA"/>
        </w:rPr>
        <w:t>جدول (12): معاملات الثبات لأبعاد أداة الدراسة</w:t>
      </w:r>
      <w:bookmarkEnd w:id="82"/>
    </w:p>
    <w:tbl>
      <w:tblPr>
        <w:bidiVisual/>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1898"/>
        <w:gridCol w:w="1221"/>
        <w:gridCol w:w="1269"/>
      </w:tblGrid>
      <w:tr w:rsidR="00986803" w:rsidRPr="00C3635B" w14:paraId="28761C20" w14:textId="77777777" w:rsidTr="00C3635B">
        <w:trPr>
          <w:cantSplit/>
          <w:tblHeader/>
          <w:jc w:val="center"/>
        </w:trPr>
        <w:tc>
          <w:tcPr>
            <w:tcW w:w="4959" w:type="dxa"/>
            <w:shd w:val="clear" w:color="auto" w:fill="17365D"/>
            <w:tcMar>
              <w:top w:w="90" w:type="dxa"/>
              <w:left w:w="80" w:type="dxa"/>
              <w:bottom w:w="90" w:type="dxa"/>
              <w:right w:w="80" w:type="dxa"/>
            </w:tcMar>
            <w:vAlign w:val="center"/>
          </w:tcPr>
          <w:p w14:paraId="198AB9B1"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البعد</w:t>
            </w:r>
          </w:p>
        </w:tc>
        <w:tc>
          <w:tcPr>
            <w:tcW w:w="1898" w:type="dxa"/>
            <w:shd w:val="clear" w:color="auto" w:fill="17365D"/>
            <w:tcMar>
              <w:top w:w="90" w:type="dxa"/>
              <w:left w:w="80" w:type="dxa"/>
              <w:bottom w:w="90" w:type="dxa"/>
              <w:right w:w="80" w:type="dxa"/>
            </w:tcMar>
            <w:vAlign w:val="center"/>
          </w:tcPr>
          <w:p w14:paraId="7A026868"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عدد العبارات</w:t>
            </w:r>
          </w:p>
        </w:tc>
        <w:tc>
          <w:tcPr>
            <w:tcW w:w="1221" w:type="dxa"/>
            <w:shd w:val="clear" w:color="auto" w:fill="17365D"/>
            <w:tcMar>
              <w:top w:w="90" w:type="dxa"/>
              <w:left w:w="80" w:type="dxa"/>
              <w:bottom w:w="90" w:type="dxa"/>
              <w:right w:w="80" w:type="dxa"/>
            </w:tcMar>
            <w:vAlign w:val="center"/>
          </w:tcPr>
          <w:p w14:paraId="496C44F5"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 xml:space="preserve">ألفا </w:t>
            </w:r>
            <w:proofErr w:type="spellStart"/>
            <w:r w:rsidRPr="00C3635B">
              <w:rPr>
                <w:rFonts w:ascii="Sakkal Majalla" w:eastAsia="Noto Kufi Arabic" w:hAnsi="Sakkal Majalla" w:cs="Sakkal Majalla"/>
                <w:bCs/>
                <w:color w:val="FFFFFF"/>
                <w:sz w:val="34"/>
                <w:szCs w:val="34"/>
                <w:rtl/>
                <w:lang w:val="ar-SA"/>
              </w:rPr>
              <w:t>كرونباخ</w:t>
            </w:r>
            <w:proofErr w:type="spellEnd"/>
          </w:p>
        </w:tc>
        <w:tc>
          <w:tcPr>
            <w:tcW w:w="1269" w:type="dxa"/>
            <w:shd w:val="clear" w:color="auto" w:fill="17365D"/>
            <w:tcMar>
              <w:top w:w="90" w:type="dxa"/>
              <w:left w:w="80" w:type="dxa"/>
              <w:bottom w:w="90" w:type="dxa"/>
              <w:right w:w="80" w:type="dxa"/>
            </w:tcMar>
            <w:vAlign w:val="center"/>
          </w:tcPr>
          <w:p w14:paraId="599E497D" w14:textId="77777777" w:rsidR="00986803" w:rsidRPr="00C3635B" w:rsidRDefault="00DB29B7" w:rsidP="00C3635B">
            <w:pPr>
              <w:bidi/>
              <w:spacing w:after="0" w:line="240" w:lineRule="auto"/>
              <w:ind w:firstLine="0"/>
              <w:jc w:val="center"/>
              <w:rPr>
                <w:rFonts w:ascii="Sakkal Majalla" w:hAnsi="Sakkal Majalla" w:cs="Sakkal Majalla"/>
                <w:bCs/>
                <w:sz w:val="34"/>
                <w:szCs w:val="34"/>
              </w:rPr>
            </w:pPr>
            <w:r w:rsidRPr="00C3635B">
              <w:rPr>
                <w:rFonts w:ascii="Sakkal Majalla" w:eastAsia="Noto Kufi Arabic" w:hAnsi="Sakkal Majalla" w:cs="Sakkal Majalla"/>
                <w:bCs/>
                <w:color w:val="FFFFFF"/>
                <w:sz w:val="34"/>
                <w:szCs w:val="34"/>
                <w:rtl/>
                <w:lang w:val="ar-SA"/>
              </w:rPr>
              <w:t>الحكم</w:t>
            </w:r>
          </w:p>
        </w:tc>
      </w:tr>
      <w:tr w:rsidR="00986803" w:rsidRPr="00C3635B" w14:paraId="3775CAEB" w14:textId="77777777" w:rsidTr="00C3635B">
        <w:trPr>
          <w:jc w:val="center"/>
        </w:trPr>
        <w:tc>
          <w:tcPr>
            <w:tcW w:w="4959" w:type="dxa"/>
            <w:shd w:val="clear" w:color="auto" w:fill="FFFFFF"/>
            <w:tcMar>
              <w:top w:w="70" w:type="dxa"/>
              <w:left w:w="70" w:type="dxa"/>
              <w:bottom w:w="70" w:type="dxa"/>
              <w:right w:w="70" w:type="dxa"/>
            </w:tcMar>
            <w:vAlign w:val="center"/>
          </w:tcPr>
          <w:p w14:paraId="5621B7B0"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الشفافية والإفصاح</w:t>
            </w:r>
          </w:p>
        </w:tc>
        <w:tc>
          <w:tcPr>
            <w:tcW w:w="1898" w:type="dxa"/>
            <w:shd w:val="clear" w:color="auto" w:fill="FFFFFF"/>
            <w:tcMar>
              <w:top w:w="70" w:type="dxa"/>
              <w:left w:w="70" w:type="dxa"/>
              <w:bottom w:w="70" w:type="dxa"/>
              <w:right w:w="70" w:type="dxa"/>
            </w:tcMar>
            <w:vAlign w:val="center"/>
          </w:tcPr>
          <w:p w14:paraId="6690C063"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5</w:t>
            </w:r>
          </w:p>
        </w:tc>
        <w:tc>
          <w:tcPr>
            <w:tcW w:w="1221" w:type="dxa"/>
            <w:shd w:val="clear" w:color="auto" w:fill="FFFFFF"/>
            <w:tcMar>
              <w:top w:w="70" w:type="dxa"/>
              <w:left w:w="70" w:type="dxa"/>
              <w:bottom w:w="70" w:type="dxa"/>
              <w:right w:w="70" w:type="dxa"/>
            </w:tcMar>
            <w:vAlign w:val="center"/>
          </w:tcPr>
          <w:p w14:paraId="5A3193EB"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0.834</w:t>
            </w:r>
          </w:p>
        </w:tc>
        <w:tc>
          <w:tcPr>
            <w:tcW w:w="1269" w:type="dxa"/>
            <w:shd w:val="clear" w:color="auto" w:fill="FFFFFF"/>
            <w:tcMar>
              <w:top w:w="70" w:type="dxa"/>
              <w:left w:w="70" w:type="dxa"/>
              <w:bottom w:w="70" w:type="dxa"/>
              <w:right w:w="70" w:type="dxa"/>
            </w:tcMar>
            <w:vAlign w:val="center"/>
          </w:tcPr>
          <w:p w14:paraId="3B04852C"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3A02803E" w14:textId="77777777" w:rsidTr="00C3635B">
        <w:trPr>
          <w:jc w:val="center"/>
        </w:trPr>
        <w:tc>
          <w:tcPr>
            <w:tcW w:w="4959" w:type="dxa"/>
            <w:shd w:val="clear" w:color="auto" w:fill="F2F4F6"/>
            <w:tcMar>
              <w:top w:w="70" w:type="dxa"/>
              <w:left w:w="70" w:type="dxa"/>
              <w:bottom w:w="70" w:type="dxa"/>
              <w:right w:w="70" w:type="dxa"/>
            </w:tcMar>
            <w:vAlign w:val="center"/>
          </w:tcPr>
          <w:p w14:paraId="3CF65C5C"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المساءلة والرقابة الداخلية</w:t>
            </w:r>
          </w:p>
        </w:tc>
        <w:tc>
          <w:tcPr>
            <w:tcW w:w="1898" w:type="dxa"/>
            <w:shd w:val="clear" w:color="auto" w:fill="F2F4F6"/>
            <w:tcMar>
              <w:top w:w="70" w:type="dxa"/>
              <w:left w:w="70" w:type="dxa"/>
              <w:bottom w:w="70" w:type="dxa"/>
              <w:right w:w="70" w:type="dxa"/>
            </w:tcMar>
            <w:vAlign w:val="center"/>
          </w:tcPr>
          <w:p w14:paraId="5241F7BC"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5</w:t>
            </w:r>
          </w:p>
        </w:tc>
        <w:tc>
          <w:tcPr>
            <w:tcW w:w="1221" w:type="dxa"/>
            <w:shd w:val="clear" w:color="auto" w:fill="F2F4F6"/>
            <w:tcMar>
              <w:top w:w="70" w:type="dxa"/>
              <w:left w:w="70" w:type="dxa"/>
              <w:bottom w:w="70" w:type="dxa"/>
              <w:right w:w="70" w:type="dxa"/>
            </w:tcMar>
            <w:vAlign w:val="center"/>
          </w:tcPr>
          <w:p w14:paraId="47C9B79F"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0.836</w:t>
            </w:r>
          </w:p>
        </w:tc>
        <w:tc>
          <w:tcPr>
            <w:tcW w:w="1269" w:type="dxa"/>
            <w:shd w:val="clear" w:color="auto" w:fill="F2F4F6"/>
            <w:tcMar>
              <w:top w:w="70" w:type="dxa"/>
              <w:left w:w="70" w:type="dxa"/>
              <w:bottom w:w="70" w:type="dxa"/>
              <w:right w:w="70" w:type="dxa"/>
            </w:tcMar>
            <w:vAlign w:val="center"/>
          </w:tcPr>
          <w:p w14:paraId="20961DD0"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6FD0090A" w14:textId="77777777" w:rsidTr="00C3635B">
        <w:trPr>
          <w:jc w:val="center"/>
        </w:trPr>
        <w:tc>
          <w:tcPr>
            <w:tcW w:w="4959" w:type="dxa"/>
            <w:shd w:val="clear" w:color="auto" w:fill="FFFFFF"/>
            <w:tcMar>
              <w:top w:w="70" w:type="dxa"/>
              <w:left w:w="70" w:type="dxa"/>
              <w:bottom w:w="70" w:type="dxa"/>
              <w:right w:w="70" w:type="dxa"/>
            </w:tcMar>
            <w:vAlign w:val="center"/>
          </w:tcPr>
          <w:p w14:paraId="0CFE8F89"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 xml:space="preserve">تكامل البيانات </w:t>
            </w:r>
            <w:proofErr w:type="spellStart"/>
            <w:r w:rsidRPr="00C3635B">
              <w:rPr>
                <w:rFonts w:ascii="Sakkal Majalla" w:hAnsi="Sakkal Majalla" w:cs="Sakkal Majalla"/>
                <w:color w:val="000000"/>
                <w:sz w:val="34"/>
                <w:szCs w:val="34"/>
                <w:rtl/>
                <w:lang w:val="ar-SA"/>
              </w:rPr>
              <w:t>والرقمنة</w:t>
            </w:r>
            <w:proofErr w:type="spellEnd"/>
          </w:p>
        </w:tc>
        <w:tc>
          <w:tcPr>
            <w:tcW w:w="1898" w:type="dxa"/>
            <w:shd w:val="clear" w:color="auto" w:fill="FFFFFF"/>
            <w:tcMar>
              <w:top w:w="70" w:type="dxa"/>
              <w:left w:w="70" w:type="dxa"/>
              <w:bottom w:w="70" w:type="dxa"/>
              <w:right w:w="70" w:type="dxa"/>
            </w:tcMar>
            <w:vAlign w:val="center"/>
          </w:tcPr>
          <w:p w14:paraId="1CD53969"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5</w:t>
            </w:r>
          </w:p>
        </w:tc>
        <w:tc>
          <w:tcPr>
            <w:tcW w:w="1221" w:type="dxa"/>
            <w:shd w:val="clear" w:color="auto" w:fill="FFFFFF"/>
            <w:tcMar>
              <w:top w:w="70" w:type="dxa"/>
              <w:left w:w="70" w:type="dxa"/>
              <w:bottom w:w="70" w:type="dxa"/>
              <w:right w:w="70" w:type="dxa"/>
            </w:tcMar>
            <w:vAlign w:val="center"/>
          </w:tcPr>
          <w:p w14:paraId="3B08454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0.837</w:t>
            </w:r>
          </w:p>
        </w:tc>
        <w:tc>
          <w:tcPr>
            <w:tcW w:w="1269" w:type="dxa"/>
            <w:shd w:val="clear" w:color="auto" w:fill="FFFFFF"/>
            <w:tcMar>
              <w:top w:w="70" w:type="dxa"/>
              <w:left w:w="70" w:type="dxa"/>
              <w:bottom w:w="70" w:type="dxa"/>
              <w:right w:w="70" w:type="dxa"/>
            </w:tcMar>
            <w:vAlign w:val="center"/>
          </w:tcPr>
          <w:p w14:paraId="4757010C"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521AC1EC" w14:textId="77777777" w:rsidTr="00C3635B">
        <w:trPr>
          <w:jc w:val="center"/>
        </w:trPr>
        <w:tc>
          <w:tcPr>
            <w:tcW w:w="4959" w:type="dxa"/>
            <w:shd w:val="clear" w:color="auto" w:fill="F2F4F6"/>
            <w:tcMar>
              <w:top w:w="70" w:type="dxa"/>
              <w:left w:w="70" w:type="dxa"/>
              <w:bottom w:w="70" w:type="dxa"/>
              <w:right w:w="70" w:type="dxa"/>
            </w:tcMar>
            <w:vAlign w:val="center"/>
          </w:tcPr>
          <w:p w14:paraId="1AF7C31D"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التخطيط الاستراتيجي وإدارة دورة حياة الأصل</w:t>
            </w:r>
          </w:p>
        </w:tc>
        <w:tc>
          <w:tcPr>
            <w:tcW w:w="1898" w:type="dxa"/>
            <w:shd w:val="clear" w:color="auto" w:fill="F2F4F6"/>
            <w:tcMar>
              <w:top w:w="70" w:type="dxa"/>
              <w:left w:w="70" w:type="dxa"/>
              <w:bottom w:w="70" w:type="dxa"/>
              <w:right w:w="70" w:type="dxa"/>
            </w:tcMar>
            <w:vAlign w:val="center"/>
          </w:tcPr>
          <w:p w14:paraId="2E04FA64"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5</w:t>
            </w:r>
          </w:p>
        </w:tc>
        <w:tc>
          <w:tcPr>
            <w:tcW w:w="1221" w:type="dxa"/>
            <w:shd w:val="clear" w:color="auto" w:fill="F2F4F6"/>
            <w:tcMar>
              <w:top w:w="70" w:type="dxa"/>
              <w:left w:w="70" w:type="dxa"/>
              <w:bottom w:w="70" w:type="dxa"/>
              <w:right w:w="70" w:type="dxa"/>
            </w:tcMar>
            <w:vAlign w:val="center"/>
          </w:tcPr>
          <w:p w14:paraId="1006936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0.834</w:t>
            </w:r>
          </w:p>
        </w:tc>
        <w:tc>
          <w:tcPr>
            <w:tcW w:w="1269" w:type="dxa"/>
            <w:shd w:val="clear" w:color="auto" w:fill="F2F4F6"/>
            <w:tcMar>
              <w:top w:w="70" w:type="dxa"/>
              <w:left w:w="70" w:type="dxa"/>
              <w:bottom w:w="70" w:type="dxa"/>
              <w:right w:w="70" w:type="dxa"/>
            </w:tcMar>
            <w:vAlign w:val="center"/>
          </w:tcPr>
          <w:p w14:paraId="67520F1D"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78EB223B" w14:textId="77777777" w:rsidTr="00C3635B">
        <w:trPr>
          <w:jc w:val="center"/>
        </w:trPr>
        <w:tc>
          <w:tcPr>
            <w:tcW w:w="4959" w:type="dxa"/>
            <w:shd w:val="clear" w:color="auto" w:fill="FFFFFF"/>
            <w:tcMar>
              <w:top w:w="70" w:type="dxa"/>
              <w:left w:w="70" w:type="dxa"/>
              <w:bottom w:w="70" w:type="dxa"/>
              <w:right w:w="70" w:type="dxa"/>
            </w:tcMar>
            <w:vAlign w:val="center"/>
          </w:tcPr>
          <w:p w14:paraId="678E5446"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إدارة المخاطر والامتثال</w:t>
            </w:r>
          </w:p>
        </w:tc>
        <w:tc>
          <w:tcPr>
            <w:tcW w:w="1898" w:type="dxa"/>
            <w:shd w:val="clear" w:color="auto" w:fill="FFFFFF"/>
            <w:tcMar>
              <w:top w:w="70" w:type="dxa"/>
              <w:left w:w="70" w:type="dxa"/>
              <w:bottom w:w="70" w:type="dxa"/>
              <w:right w:w="70" w:type="dxa"/>
            </w:tcMar>
            <w:vAlign w:val="center"/>
          </w:tcPr>
          <w:p w14:paraId="5A43DD97"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5</w:t>
            </w:r>
          </w:p>
        </w:tc>
        <w:tc>
          <w:tcPr>
            <w:tcW w:w="1221" w:type="dxa"/>
            <w:shd w:val="clear" w:color="auto" w:fill="FFFFFF"/>
            <w:tcMar>
              <w:top w:w="70" w:type="dxa"/>
              <w:left w:w="70" w:type="dxa"/>
              <w:bottom w:w="70" w:type="dxa"/>
              <w:right w:w="70" w:type="dxa"/>
            </w:tcMar>
            <w:vAlign w:val="center"/>
          </w:tcPr>
          <w:p w14:paraId="7898D3B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0.842</w:t>
            </w:r>
          </w:p>
        </w:tc>
        <w:tc>
          <w:tcPr>
            <w:tcW w:w="1269" w:type="dxa"/>
            <w:shd w:val="clear" w:color="auto" w:fill="FFFFFF"/>
            <w:tcMar>
              <w:top w:w="70" w:type="dxa"/>
              <w:left w:w="70" w:type="dxa"/>
              <w:bottom w:w="70" w:type="dxa"/>
              <w:right w:w="70" w:type="dxa"/>
            </w:tcMar>
            <w:vAlign w:val="center"/>
          </w:tcPr>
          <w:p w14:paraId="19FF79A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71D5C0FF" w14:textId="77777777" w:rsidTr="00C3635B">
        <w:trPr>
          <w:jc w:val="center"/>
        </w:trPr>
        <w:tc>
          <w:tcPr>
            <w:tcW w:w="4959" w:type="dxa"/>
            <w:shd w:val="clear" w:color="auto" w:fill="F2F4F6"/>
            <w:tcMar>
              <w:top w:w="70" w:type="dxa"/>
              <w:left w:w="70" w:type="dxa"/>
              <w:bottom w:w="70" w:type="dxa"/>
              <w:right w:w="70" w:type="dxa"/>
            </w:tcMar>
            <w:vAlign w:val="center"/>
          </w:tcPr>
          <w:p w14:paraId="6F8D2977"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كفاءة الإنفاق الحكومي العقاري</w:t>
            </w:r>
          </w:p>
        </w:tc>
        <w:tc>
          <w:tcPr>
            <w:tcW w:w="1898" w:type="dxa"/>
            <w:shd w:val="clear" w:color="auto" w:fill="F2F4F6"/>
            <w:tcMar>
              <w:top w:w="70" w:type="dxa"/>
              <w:left w:w="70" w:type="dxa"/>
              <w:bottom w:w="70" w:type="dxa"/>
              <w:right w:w="70" w:type="dxa"/>
            </w:tcMar>
            <w:vAlign w:val="center"/>
          </w:tcPr>
          <w:p w14:paraId="157CBA23"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7</w:t>
            </w:r>
          </w:p>
        </w:tc>
        <w:tc>
          <w:tcPr>
            <w:tcW w:w="1221" w:type="dxa"/>
            <w:shd w:val="clear" w:color="auto" w:fill="F2F4F6"/>
            <w:tcMar>
              <w:top w:w="70" w:type="dxa"/>
              <w:left w:w="70" w:type="dxa"/>
              <w:bottom w:w="70" w:type="dxa"/>
              <w:right w:w="70" w:type="dxa"/>
            </w:tcMar>
            <w:vAlign w:val="center"/>
          </w:tcPr>
          <w:p w14:paraId="6CFD8696"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0.897</w:t>
            </w:r>
          </w:p>
        </w:tc>
        <w:tc>
          <w:tcPr>
            <w:tcW w:w="1269" w:type="dxa"/>
            <w:shd w:val="clear" w:color="auto" w:fill="F2F4F6"/>
            <w:tcMar>
              <w:top w:w="70" w:type="dxa"/>
              <w:left w:w="70" w:type="dxa"/>
              <w:bottom w:w="70" w:type="dxa"/>
              <w:right w:w="70" w:type="dxa"/>
            </w:tcMar>
            <w:vAlign w:val="center"/>
          </w:tcPr>
          <w:p w14:paraId="55211955"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w:t>
            </w:r>
          </w:p>
        </w:tc>
      </w:tr>
      <w:tr w:rsidR="00986803" w:rsidRPr="00C3635B" w14:paraId="7161FF2F" w14:textId="77777777" w:rsidTr="00C3635B">
        <w:trPr>
          <w:jc w:val="center"/>
        </w:trPr>
        <w:tc>
          <w:tcPr>
            <w:tcW w:w="4959" w:type="dxa"/>
            <w:shd w:val="clear" w:color="auto" w:fill="FFFFFF"/>
            <w:tcMar>
              <w:top w:w="70" w:type="dxa"/>
              <w:left w:w="70" w:type="dxa"/>
              <w:bottom w:w="70" w:type="dxa"/>
              <w:right w:w="70" w:type="dxa"/>
            </w:tcMar>
            <w:vAlign w:val="center"/>
          </w:tcPr>
          <w:p w14:paraId="3059DECA"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الأداة ككل</w:t>
            </w:r>
          </w:p>
        </w:tc>
        <w:tc>
          <w:tcPr>
            <w:tcW w:w="1898" w:type="dxa"/>
            <w:shd w:val="clear" w:color="auto" w:fill="FFFFFF"/>
            <w:tcMar>
              <w:top w:w="70" w:type="dxa"/>
              <w:left w:w="70" w:type="dxa"/>
              <w:bottom w:w="70" w:type="dxa"/>
              <w:right w:w="70" w:type="dxa"/>
            </w:tcMar>
            <w:vAlign w:val="center"/>
          </w:tcPr>
          <w:p w14:paraId="02C4B172"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32</w:t>
            </w:r>
          </w:p>
        </w:tc>
        <w:tc>
          <w:tcPr>
            <w:tcW w:w="1221" w:type="dxa"/>
            <w:shd w:val="clear" w:color="auto" w:fill="FFFFFF"/>
            <w:tcMar>
              <w:top w:w="70" w:type="dxa"/>
              <w:left w:w="70" w:type="dxa"/>
              <w:bottom w:w="70" w:type="dxa"/>
              <w:right w:w="70" w:type="dxa"/>
            </w:tcMar>
            <w:vAlign w:val="center"/>
          </w:tcPr>
          <w:p w14:paraId="4ED80F85"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eastAsia="DejaVu Sans" w:hAnsi="Sakkal Majalla" w:cs="Sakkal Majalla"/>
                <w:color w:val="000000"/>
                <w:sz w:val="34"/>
                <w:szCs w:val="34"/>
                <w:lang w:bidi="en-US"/>
              </w:rPr>
              <w:t>0.948</w:t>
            </w:r>
          </w:p>
        </w:tc>
        <w:tc>
          <w:tcPr>
            <w:tcW w:w="1269" w:type="dxa"/>
            <w:shd w:val="clear" w:color="auto" w:fill="FFFFFF"/>
            <w:tcMar>
              <w:top w:w="70" w:type="dxa"/>
              <w:left w:w="70" w:type="dxa"/>
              <w:bottom w:w="70" w:type="dxa"/>
              <w:right w:w="70" w:type="dxa"/>
            </w:tcMar>
            <w:vAlign w:val="center"/>
          </w:tcPr>
          <w:p w14:paraId="51D8487F" w14:textId="77777777" w:rsidR="00986803" w:rsidRPr="00C3635B" w:rsidRDefault="00DB29B7" w:rsidP="00C3635B">
            <w:pPr>
              <w:bidi/>
              <w:spacing w:after="0" w:line="240" w:lineRule="auto"/>
              <w:ind w:firstLine="0"/>
              <w:jc w:val="center"/>
              <w:rPr>
                <w:rFonts w:ascii="Sakkal Majalla" w:hAnsi="Sakkal Majalla" w:cs="Sakkal Majalla"/>
                <w:sz w:val="34"/>
                <w:szCs w:val="34"/>
              </w:rPr>
            </w:pPr>
            <w:r w:rsidRPr="00C3635B">
              <w:rPr>
                <w:rFonts w:ascii="Sakkal Majalla" w:hAnsi="Sakkal Majalla" w:cs="Sakkal Majalla"/>
                <w:color w:val="000000"/>
                <w:sz w:val="34"/>
                <w:szCs w:val="34"/>
                <w:rtl/>
                <w:lang w:val="ar-SA"/>
              </w:rPr>
              <w:t>مرتفع جداً</w:t>
            </w:r>
          </w:p>
        </w:tc>
      </w:tr>
    </w:tbl>
    <w:p w14:paraId="5787A01D"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09166410"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3" w:name="_Toc235205635"/>
      <w:r w:rsidRPr="00AE1FD7">
        <w:rPr>
          <w:rFonts w:ascii="Sakkal Majalla" w:eastAsia="Noto Kufi Arabic" w:hAnsi="Sakkal Majalla" w:cs="Sakkal Majalla"/>
          <w:sz w:val="36"/>
          <w:szCs w:val="36"/>
          <w:rtl/>
          <w:lang w:val="ar-SA"/>
        </w:rPr>
        <w:t>3.11 إجراءات جمع البيانات</w:t>
      </w:r>
      <w:r w:rsidR="00C3635B">
        <w:rPr>
          <w:rFonts w:ascii="Sakkal Majalla" w:eastAsia="Noto Kufi Arabic" w:hAnsi="Sakkal Majalla" w:cs="Sakkal Majalla" w:hint="cs"/>
          <w:sz w:val="36"/>
          <w:szCs w:val="36"/>
          <w:rtl/>
          <w:lang w:val="ar-SA"/>
        </w:rPr>
        <w:t>:</w:t>
      </w:r>
      <w:bookmarkEnd w:id="83"/>
    </w:p>
    <w:p w14:paraId="3B09600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بدأت الإجراءات بالحصول على الموافقات اللازمة، ثم التواصل مع نقاط اتصال في الوحدات المستهدفة وتوضيح معايير المشاركة. ووزعت الاستبانة إلكترونياً مع رسالة تعريف تبين الهدف والطوعية والسرية والوقت المتوقع. واستمر الجمع خمسة أسابيع، مع تذكيرين غير ضاغطين لرفع الاستجابة.</w:t>
      </w:r>
    </w:p>
    <w:p w14:paraId="71B5B87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لم تُجمع أسماء المشاركين أو أرقامهم الوظيفية، ولم تُطلب أسماء الجهات في صورة تسمح بتحديدها، بل استخدمت فئات عامة. وبعد الإغلاق نُقلت البيانات إلى ملف تحليل، وفُحصت الاستجابات المفقودة والمتطرفة، ورُمزت الفئات، وحُسبت الدرجات المركبة.</w:t>
      </w:r>
    </w:p>
    <w:p w14:paraId="6371C754"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4" w:name="_Toc235205636"/>
      <w:r w:rsidRPr="00AE1FD7">
        <w:rPr>
          <w:rFonts w:ascii="Sakkal Majalla" w:eastAsia="Noto Kufi Arabic" w:hAnsi="Sakkal Majalla" w:cs="Sakkal Majalla"/>
          <w:sz w:val="36"/>
          <w:szCs w:val="36"/>
          <w:rtl/>
          <w:lang w:val="ar-SA"/>
        </w:rPr>
        <w:t>3.12 الاعتبارات الأخلاقية</w:t>
      </w:r>
      <w:r w:rsidR="00C3635B">
        <w:rPr>
          <w:rFonts w:ascii="Sakkal Majalla" w:eastAsia="Noto Kufi Arabic" w:hAnsi="Sakkal Majalla" w:cs="Sakkal Majalla" w:hint="cs"/>
          <w:sz w:val="36"/>
          <w:szCs w:val="36"/>
          <w:rtl/>
          <w:lang w:val="ar-SA"/>
        </w:rPr>
        <w:t>:</w:t>
      </w:r>
      <w:bookmarkEnd w:id="84"/>
    </w:p>
    <w:p w14:paraId="1EF8BA2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التزمت الدراسة بالمشاركة الطوعية والموافقة المستنيرة، وحق المشارك في الانسحاب قبل الإرسال، وعدم استخدام البيانات خارج الغرض العلمي. كما التزمت بعدم إظهار نتائج جهة بعينها، وتقديم النتائج بصورة مجمعة، وحفظ الملفات في مساحة محمية.</w:t>
      </w:r>
    </w:p>
    <w:p w14:paraId="470A65C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وروعي أن بعض المعلومات المتعلقة بالأصول قد تكون حساسة، ولذلك لم تتضمن الأداة أسئلة عن مواقع أو قيم أو عقود محددة. كما صيغت البنود لقياس الممارسات العامة دون طلب إفشاء معلومات تشغيلية سرية.</w:t>
      </w:r>
    </w:p>
    <w:p w14:paraId="74F0381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5" w:name="_Toc235205637"/>
      <w:r w:rsidRPr="00AE1FD7">
        <w:rPr>
          <w:rFonts w:ascii="Sakkal Majalla" w:eastAsia="Noto Kufi Arabic" w:hAnsi="Sakkal Majalla" w:cs="Sakkal Majalla"/>
          <w:sz w:val="36"/>
          <w:szCs w:val="36"/>
          <w:rtl/>
          <w:lang w:val="ar-SA"/>
        </w:rPr>
        <w:t>3.13 أساليب التحليل الإحصائي</w:t>
      </w:r>
      <w:r w:rsidR="00C3635B">
        <w:rPr>
          <w:rFonts w:ascii="Sakkal Majalla" w:eastAsia="Noto Kufi Arabic" w:hAnsi="Sakkal Majalla" w:cs="Sakkal Majalla" w:hint="cs"/>
          <w:sz w:val="36"/>
          <w:szCs w:val="36"/>
          <w:rtl/>
          <w:lang w:val="ar-SA"/>
        </w:rPr>
        <w:t>:</w:t>
      </w:r>
      <w:bookmarkEnd w:id="85"/>
    </w:p>
    <w:p w14:paraId="3EA3F92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استخدمت الدراسة الإحصاءات الوصفية من تكرارات ونسب ومتوسطات وانحرافات معيارية وأوزان نسبية، لوصف العينة ومستويات المتغيرات. واستخدم معامل بيرسون لقياس اتجاه العلاقات، وألفا </w:t>
      </w:r>
      <w:proofErr w:type="spellStart"/>
      <w:r w:rsidRPr="00AE1FD7">
        <w:rPr>
          <w:rFonts w:ascii="Sakkal Majalla" w:hAnsi="Sakkal Majalla" w:cs="Sakkal Majalla"/>
          <w:color w:val="000000"/>
          <w:sz w:val="36"/>
          <w:szCs w:val="36"/>
          <w:rtl/>
          <w:lang w:val="ar-SA"/>
        </w:rPr>
        <w:t>كرونباخ</w:t>
      </w:r>
      <w:proofErr w:type="spellEnd"/>
      <w:r w:rsidRPr="00AE1FD7">
        <w:rPr>
          <w:rFonts w:ascii="Sakkal Majalla" w:hAnsi="Sakkal Majalla" w:cs="Sakkal Majalla"/>
          <w:color w:val="000000"/>
          <w:sz w:val="36"/>
          <w:szCs w:val="36"/>
          <w:rtl/>
          <w:lang w:val="ar-SA"/>
        </w:rPr>
        <w:t xml:space="preserve"> للثبات، والتحليل العاملي الاستكشافي لفحص البناء.</w:t>
      </w:r>
    </w:p>
    <w:p w14:paraId="33996B1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ولاختبار الفرضية الرئيسة استخدم الانحدار الخطي البسيط بين الدرجة الكلية للحوكمة والكفاءة، ثم استخدم الانحدار المتعدد المتزامن لتقدير الأثر النسبي للأبعاد الخمسة. وأُبلغ عن معامل التحديد وقيمة F والمعاملات غير المعيارية والمعيارية وقيم t ومستويات الدلالة وفترات الثقة.</w:t>
      </w:r>
    </w:p>
    <w:p w14:paraId="1FAE0DC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ولفحص الافتراضات، حُسب الالتواء </w:t>
      </w:r>
      <w:proofErr w:type="spellStart"/>
      <w:r w:rsidRPr="00AE1FD7">
        <w:rPr>
          <w:rFonts w:ascii="Sakkal Majalla" w:hAnsi="Sakkal Majalla" w:cs="Sakkal Majalla"/>
          <w:color w:val="000000"/>
          <w:sz w:val="36"/>
          <w:szCs w:val="36"/>
          <w:rtl/>
          <w:lang w:val="ar-SA"/>
        </w:rPr>
        <w:t>والتفرطح</w:t>
      </w:r>
      <w:proofErr w:type="spellEnd"/>
      <w:r w:rsidRPr="00AE1FD7">
        <w:rPr>
          <w:rFonts w:ascii="Sakkal Majalla" w:hAnsi="Sakkal Majalla" w:cs="Sakkal Majalla"/>
          <w:color w:val="000000"/>
          <w:sz w:val="36"/>
          <w:szCs w:val="36"/>
          <w:rtl/>
          <w:lang w:val="ar-SA"/>
        </w:rPr>
        <w:t xml:space="preserve">، وفُحصت البواقي، واستخدم معامل تضخم التباين والتسامح للتداخل الخطي، واختبار دوربن-واتسون للاستقلال. كما استخدم تحليل التباين الأحادي لفحص الفروق بحسب المتغيرات الوظيفية، واختبار توكي عند الحاجة، مع حساب حجم الأثر </w:t>
      </w:r>
      <w:proofErr w:type="spellStart"/>
      <w:r w:rsidRPr="00AE1FD7">
        <w:rPr>
          <w:rFonts w:ascii="Sakkal Majalla" w:hAnsi="Sakkal Majalla" w:cs="Sakkal Majalla"/>
          <w:color w:val="000000"/>
          <w:sz w:val="36"/>
          <w:szCs w:val="36"/>
          <w:rtl/>
          <w:lang w:val="ar-SA"/>
        </w:rPr>
        <w:t>إيتا</w:t>
      </w:r>
      <w:proofErr w:type="spellEnd"/>
      <w:r w:rsidRPr="00AE1FD7">
        <w:rPr>
          <w:rFonts w:ascii="Sakkal Majalla" w:hAnsi="Sakkal Majalla" w:cs="Sakkal Majalla"/>
          <w:color w:val="000000"/>
          <w:sz w:val="36"/>
          <w:szCs w:val="36"/>
          <w:rtl/>
          <w:lang w:val="ar-SA"/>
        </w:rPr>
        <w:t xml:space="preserve"> تربيع.</w:t>
      </w:r>
    </w:p>
    <w:p w14:paraId="735241A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واعتمد مستوى الدلالة 0.05، مع الإبلاغ عن القيم الدقيقة كلما أمكن. كما أُجري اختبار العامل الواحد </w:t>
      </w:r>
      <w:proofErr w:type="spellStart"/>
      <w:r w:rsidRPr="00AE1FD7">
        <w:rPr>
          <w:rFonts w:ascii="Sakkal Majalla" w:hAnsi="Sakkal Majalla" w:cs="Sakkal Majalla"/>
          <w:color w:val="000000"/>
          <w:sz w:val="36"/>
          <w:szCs w:val="36"/>
          <w:rtl/>
          <w:lang w:val="ar-SA"/>
        </w:rPr>
        <w:t>لهارمان</w:t>
      </w:r>
      <w:proofErr w:type="spellEnd"/>
      <w:r w:rsidRPr="00AE1FD7">
        <w:rPr>
          <w:rFonts w:ascii="Sakkal Majalla" w:hAnsi="Sakkal Majalla" w:cs="Sakkal Majalla"/>
          <w:color w:val="000000"/>
          <w:sz w:val="36"/>
          <w:szCs w:val="36"/>
          <w:rtl/>
          <w:lang w:val="ar-SA"/>
        </w:rPr>
        <w:t xml:space="preserve"> للكشف المبدئي عن تحيز الطريقة المشتركة، ففسر العامل الأول 38.74% من التباين، وهي أقل من الحد الإرشادي 50%، ما يقلل القلق من سيطرة عامل واحد.</w:t>
      </w:r>
    </w:p>
    <w:p w14:paraId="35ADD21A"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86" w:name="table_statistical_methods"/>
      <w:r w:rsidRPr="00C3635B">
        <w:rPr>
          <w:rFonts w:ascii="Sakkal Majalla" w:eastAsia="Noto Kufi Arabic" w:hAnsi="Sakkal Majalla" w:cs="Sakkal Majalla"/>
          <w:bCs/>
          <w:color w:val="17365D"/>
          <w:sz w:val="36"/>
          <w:szCs w:val="36"/>
          <w:rtl/>
          <w:lang w:val="ar-SA"/>
        </w:rPr>
        <w:lastRenderedPageBreak/>
        <w:t>جدول (13): الأساليب الإحصائية المستخدمة وأغراضها</w:t>
      </w:r>
      <w:bookmarkEnd w:id="86"/>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91"/>
        <w:gridCol w:w="5614"/>
      </w:tblGrid>
      <w:tr w:rsidR="00986803" w:rsidRPr="00AE1FD7" w14:paraId="0251F411" w14:textId="77777777" w:rsidTr="00C3635B">
        <w:trPr>
          <w:cantSplit/>
          <w:tblHeader/>
          <w:jc w:val="center"/>
        </w:trPr>
        <w:tc>
          <w:tcPr>
            <w:tcW w:w="2891" w:type="dxa"/>
            <w:shd w:val="clear" w:color="auto" w:fill="17365D"/>
            <w:tcMar>
              <w:top w:w="90" w:type="dxa"/>
              <w:left w:w="80" w:type="dxa"/>
              <w:bottom w:w="90" w:type="dxa"/>
              <w:right w:w="80" w:type="dxa"/>
            </w:tcMar>
            <w:vAlign w:val="center"/>
          </w:tcPr>
          <w:p w14:paraId="686203E3"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الأسلوب</w:t>
            </w:r>
          </w:p>
        </w:tc>
        <w:tc>
          <w:tcPr>
            <w:tcW w:w="5613" w:type="dxa"/>
            <w:shd w:val="clear" w:color="auto" w:fill="17365D"/>
            <w:tcMar>
              <w:top w:w="90" w:type="dxa"/>
              <w:left w:w="80" w:type="dxa"/>
              <w:bottom w:w="90" w:type="dxa"/>
              <w:right w:w="80" w:type="dxa"/>
            </w:tcMar>
            <w:vAlign w:val="center"/>
          </w:tcPr>
          <w:p w14:paraId="133C1082"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الغرض</w:t>
            </w:r>
          </w:p>
        </w:tc>
      </w:tr>
      <w:tr w:rsidR="00986803" w:rsidRPr="00AE1FD7" w14:paraId="7ACB6F53" w14:textId="77777777" w:rsidTr="00C3635B">
        <w:trPr>
          <w:jc w:val="center"/>
        </w:trPr>
        <w:tc>
          <w:tcPr>
            <w:tcW w:w="2891" w:type="dxa"/>
            <w:shd w:val="clear" w:color="auto" w:fill="FFFFFF"/>
            <w:tcMar>
              <w:top w:w="70" w:type="dxa"/>
              <w:left w:w="70" w:type="dxa"/>
              <w:bottom w:w="70" w:type="dxa"/>
              <w:right w:w="70" w:type="dxa"/>
            </w:tcMar>
            <w:vAlign w:val="center"/>
          </w:tcPr>
          <w:p w14:paraId="1D0CE36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التكرارات والنسب</w:t>
            </w:r>
          </w:p>
        </w:tc>
        <w:tc>
          <w:tcPr>
            <w:tcW w:w="5613" w:type="dxa"/>
            <w:shd w:val="clear" w:color="auto" w:fill="FFFFFF"/>
            <w:tcMar>
              <w:top w:w="70" w:type="dxa"/>
              <w:left w:w="70" w:type="dxa"/>
              <w:bottom w:w="70" w:type="dxa"/>
              <w:right w:w="70" w:type="dxa"/>
            </w:tcMar>
            <w:vAlign w:val="center"/>
          </w:tcPr>
          <w:p w14:paraId="127DAFB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وصف خصائص العينة ومعدل الاستجابة.</w:t>
            </w:r>
          </w:p>
        </w:tc>
      </w:tr>
      <w:tr w:rsidR="00986803" w:rsidRPr="00AE1FD7" w14:paraId="774CC023" w14:textId="77777777" w:rsidTr="00C3635B">
        <w:trPr>
          <w:jc w:val="center"/>
        </w:trPr>
        <w:tc>
          <w:tcPr>
            <w:tcW w:w="2891" w:type="dxa"/>
            <w:shd w:val="clear" w:color="auto" w:fill="F2F4F6"/>
            <w:tcMar>
              <w:top w:w="70" w:type="dxa"/>
              <w:left w:w="70" w:type="dxa"/>
              <w:bottom w:w="70" w:type="dxa"/>
              <w:right w:w="70" w:type="dxa"/>
            </w:tcMar>
            <w:vAlign w:val="center"/>
          </w:tcPr>
          <w:p w14:paraId="697AAD8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المتوسط والانحراف والوزن النسبي</w:t>
            </w:r>
          </w:p>
        </w:tc>
        <w:tc>
          <w:tcPr>
            <w:tcW w:w="5613" w:type="dxa"/>
            <w:shd w:val="clear" w:color="auto" w:fill="F2F4F6"/>
            <w:tcMar>
              <w:top w:w="70" w:type="dxa"/>
              <w:left w:w="70" w:type="dxa"/>
              <w:bottom w:w="70" w:type="dxa"/>
              <w:right w:w="70" w:type="dxa"/>
            </w:tcMar>
            <w:vAlign w:val="center"/>
          </w:tcPr>
          <w:p w14:paraId="2260D15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قياس مستوى المتغيرات وترتيب العبارات.</w:t>
            </w:r>
          </w:p>
        </w:tc>
      </w:tr>
      <w:tr w:rsidR="00986803" w:rsidRPr="00AE1FD7" w14:paraId="42187659" w14:textId="77777777" w:rsidTr="00C3635B">
        <w:trPr>
          <w:jc w:val="center"/>
        </w:trPr>
        <w:tc>
          <w:tcPr>
            <w:tcW w:w="2891" w:type="dxa"/>
            <w:shd w:val="clear" w:color="auto" w:fill="FFFFFF"/>
            <w:tcMar>
              <w:top w:w="70" w:type="dxa"/>
              <w:left w:w="70" w:type="dxa"/>
              <w:bottom w:w="70" w:type="dxa"/>
              <w:right w:w="70" w:type="dxa"/>
            </w:tcMar>
            <w:vAlign w:val="center"/>
          </w:tcPr>
          <w:p w14:paraId="5673F95F"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ألفا </w:t>
            </w:r>
            <w:proofErr w:type="spellStart"/>
            <w:r w:rsidRPr="00AE1FD7">
              <w:rPr>
                <w:rFonts w:ascii="Sakkal Majalla" w:hAnsi="Sakkal Majalla" w:cs="Sakkal Majalla"/>
                <w:color w:val="000000"/>
                <w:sz w:val="36"/>
                <w:szCs w:val="36"/>
                <w:rtl/>
                <w:lang w:val="ar-SA"/>
              </w:rPr>
              <w:t>كرونباخ</w:t>
            </w:r>
            <w:proofErr w:type="spellEnd"/>
          </w:p>
        </w:tc>
        <w:tc>
          <w:tcPr>
            <w:tcW w:w="5613" w:type="dxa"/>
            <w:shd w:val="clear" w:color="auto" w:fill="FFFFFF"/>
            <w:tcMar>
              <w:top w:w="70" w:type="dxa"/>
              <w:left w:w="70" w:type="dxa"/>
              <w:bottom w:w="70" w:type="dxa"/>
              <w:right w:w="70" w:type="dxa"/>
            </w:tcMar>
            <w:vAlign w:val="center"/>
          </w:tcPr>
          <w:p w14:paraId="3A3298B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الثبات والاتساق الداخلي.</w:t>
            </w:r>
          </w:p>
        </w:tc>
      </w:tr>
      <w:tr w:rsidR="00986803" w:rsidRPr="00AE1FD7" w14:paraId="1DBF08DC" w14:textId="77777777" w:rsidTr="00C3635B">
        <w:trPr>
          <w:jc w:val="center"/>
        </w:trPr>
        <w:tc>
          <w:tcPr>
            <w:tcW w:w="2891" w:type="dxa"/>
            <w:shd w:val="clear" w:color="auto" w:fill="F2F4F6"/>
            <w:tcMar>
              <w:top w:w="70" w:type="dxa"/>
              <w:left w:w="70" w:type="dxa"/>
              <w:bottom w:w="70" w:type="dxa"/>
              <w:right w:w="70" w:type="dxa"/>
            </w:tcMar>
            <w:vAlign w:val="center"/>
          </w:tcPr>
          <w:p w14:paraId="3F81091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KMO </w:t>
            </w:r>
            <w:proofErr w:type="spellStart"/>
            <w:r w:rsidRPr="00AE1FD7">
              <w:rPr>
                <w:rFonts w:ascii="Sakkal Majalla" w:hAnsi="Sakkal Majalla" w:cs="Sakkal Majalla"/>
                <w:color w:val="000000"/>
                <w:sz w:val="36"/>
                <w:szCs w:val="36"/>
                <w:rtl/>
                <w:lang w:val="ar-SA"/>
              </w:rPr>
              <w:t>وBartlett</w:t>
            </w:r>
            <w:proofErr w:type="spellEnd"/>
            <w:r w:rsidRPr="00AE1FD7">
              <w:rPr>
                <w:rFonts w:ascii="Sakkal Majalla" w:hAnsi="Sakkal Majalla" w:cs="Sakkal Majalla"/>
                <w:color w:val="000000"/>
                <w:sz w:val="36"/>
                <w:szCs w:val="36"/>
                <w:rtl/>
                <w:lang w:val="ar-SA"/>
              </w:rPr>
              <w:t xml:space="preserve"> والتحليل العاملي</w:t>
            </w:r>
          </w:p>
        </w:tc>
        <w:tc>
          <w:tcPr>
            <w:tcW w:w="5613" w:type="dxa"/>
            <w:shd w:val="clear" w:color="auto" w:fill="F2F4F6"/>
            <w:tcMar>
              <w:top w:w="70" w:type="dxa"/>
              <w:left w:w="70" w:type="dxa"/>
              <w:bottom w:w="70" w:type="dxa"/>
              <w:right w:w="70" w:type="dxa"/>
            </w:tcMar>
            <w:vAlign w:val="center"/>
          </w:tcPr>
          <w:p w14:paraId="5446087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صلاحية البناء العاملي.</w:t>
            </w:r>
          </w:p>
        </w:tc>
      </w:tr>
      <w:tr w:rsidR="00986803" w:rsidRPr="00AE1FD7" w14:paraId="00FC9E1B" w14:textId="77777777" w:rsidTr="00C3635B">
        <w:trPr>
          <w:jc w:val="center"/>
        </w:trPr>
        <w:tc>
          <w:tcPr>
            <w:tcW w:w="2891" w:type="dxa"/>
            <w:shd w:val="clear" w:color="auto" w:fill="FFFFFF"/>
            <w:tcMar>
              <w:top w:w="70" w:type="dxa"/>
              <w:left w:w="70" w:type="dxa"/>
              <w:bottom w:w="70" w:type="dxa"/>
              <w:right w:w="70" w:type="dxa"/>
            </w:tcMar>
            <w:vAlign w:val="center"/>
          </w:tcPr>
          <w:p w14:paraId="44C394A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ارتباط بيرسون</w:t>
            </w:r>
          </w:p>
        </w:tc>
        <w:tc>
          <w:tcPr>
            <w:tcW w:w="5613" w:type="dxa"/>
            <w:shd w:val="clear" w:color="auto" w:fill="FFFFFF"/>
            <w:tcMar>
              <w:top w:w="70" w:type="dxa"/>
              <w:left w:w="70" w:type="dxa"/>
              <w:bottom w:w="70" w:type="dxa"/>
              <w:right w:w="70" w:type="dxa"/>
            </w:tcMar>
            <w:vAlign w:val="center"/>
          </w:tcPr>
          <w:p w14:paraId="1E2B5F8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اتجاه وقوة العلاقات.</w:t>
            </w:r>
          </w:p>
        </w:tc>
      </w:tr>
      <w:tr w:rsidR="00986803" w:rsidRPr="00AE1FD7" w14:paraId="0AC8CF63" w14:textId="77777777" w:rsidTr="00C3635B">
        <w:trPr>
          <w:jc w:val="center"/>
        </w:trPr>
        <w:tc>
          <w:tcPr>
            <w:tcW w:w="2891" w:type="dxa"/>
            <w:shd w:val="clear" w:color="auto" w:fill="F2F4F6"/>
            <w:tcMar>
              <w:top w:w="70" w:type="dxa"/>
              <w:left w:w="70" w:type="dxa"/>
              <w:bottom w:w="70" w:type="dxa"/>
              <w:right w:w="70" w:type="dxa"/>
            </w:tcMar>
            <w:vAlign w:val="center"/>
          </w:tcPr>
          <w:p w14:paraId="764A200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الانحدار البسيط</w:t>
            </w:r>
          </w:p>
        </w:tc>
        <w:tc>
          <w:tcPr>
            <w:tcW w:w="5613" w:type="dxa"/>
            <w:shd w:val="clear" w:color="auto" w:fill="F2F4F6"/>
            <w:tcMar>
              <w:top w:w="70" w:type="dxa"/>
              <w:left w:w="70" w:type="dxa"/>
              <w:bottom w:w="70" w:type="dxa"/>
              <w:right w:w="70" w:type="dxa"/>
            </w:tcMar>
            <w:vAlign w:val="center"/>
          </w:tcPr>
          <w:p w14:paraId="14BBFC4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الأثر الكلي للحوكمة.</w:t>
            </w:r>
          </w:p>
        </w:tc>
      </w:tr>
      <w:tr w:rsidR="00986803" w:rsidRPr="00AE1FD7" w14:paraId="63F2095C" w14:textId="77777777" w:rsidTr="00C3635B">
        <w:trPr>
          <w:jc w:val="center"/>
        </w:trPr>
        <w:tc>
          <w:tcPr>
            <w:tcW w:w="2891" w:type="dxa"/>
            <w:shd w:val="clear" w:color="auto" w:fill="FFFFFF"/>
            <w:tcMar>
              <w:top w:w="70" w:type="dxa"/>
              <w:left w:w="70" w:type="dxa"/>
              <w:bottom w:w="70" w:type="dxa"/>
              <w:right w:w="70" w:type="dxa"/>
            </w:tcMar>
            <w:vAlign w:val="center"/>
          </w:tcPr>
          <w:p w14:paraId="54C8BBE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الانحدار المتعدد</w:t>
            </w:r>
          </w:p>
        </w:tc>
        <w:tc>
          <w:tcPr>
            <w:tcW w:w="5613" w:type="dxa"/>
            <w:shd w:val="clear" w:color="auto" w:fill="FFFFFF"/>
            <w:tcMar>
              <w:top w:w="70" w:type="dxa"/>
              <w:left w:w="70" w:type="dxa"/>
              <w:bottom w:w="70" w:type="dxa"/>
              <w:right w:w="70" w:type="dxa"/>
            </w:tcMar>
            <w:vAlign w:val="center"/>
          </w:tcPr>
          <w:p w14:paraId="33DDEDA1"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تحديد الأثر النسبي لكل بُعد مع تثبيت البقية.</w:t>
            </w:r>
          </w:p>
        </w:tc>
      </w:tr>
      <w:tr w:rsidR="00986803" w:rsidRPr="00AE1FD7" w14:paraId="10979147" w14:textId="77777777" w:rsidTr="00C3635B">
        <w:trPr>
          <w:jc w:val="center"/>
        </w:trPr>
        <w:tc>
          <w:tcPr>
            <w:tcW w:w="2891" w:type="dxa"/>
            <w:shd w:val="clear" w:color="auto" w:fill="F2F4F6"/>
            <w:tcMar>
              <w:top w:w="70" w:type="dxa"/>
              <w:left w:w="70" w:type="dxa"/>
              <w:bottom w:w="70" w:type="dxa"/>
              <w:right w:w="70" w:type="dxa"/>
            </w:tcMar>
            <w:vAlign w:val="center"/>
          </w:tcPr>
          <w:p w14:paraId="575E006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VIF </w:t>
            </w:r>
            <w:proofErr w:type="spellStart"/>
            <w:r w:rsidRPr="00AE1FD7">
              <w:rPr>
                <w:rFonts w:ascii="Sakkal Majalla" w:hAnsi="Sakkal Majalla" w:cs="Sakkal Majalla"/>
                <w:color w:val="000000"/>
                <w:sz w:val="36"/>
                <w:szCs w:val="36"/>
                <w:rtl/>
                <w:lang w:val="ar-SA"/>
              </w:rPr>
              <w:t>وTolerance</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وDurbin-Watson</w:t>
            </w:r>
            <w:proofErr w:type="spellEnd"/>
          </w:p>
        </w:tc>
        <w:tc>
          <w:tcPr>
            <w:tcW w:w="5613" w:type="dxa"/>
            <w:shd w:val="clear" w:color="auto" w:fill="F2F4F6"/>
            <w:tcMar>
              <w:top w:w="70" w:type="dxa"/>
              <w:left w:w="70" w:type="dxa"/>
              <w:bottom w:w="70" w:type="dxa"/>
              <w:right w:w="70" w:type="dxa"/>
            </w:tcMar>
            <w:vAlign w:val="center"/>
          </w:tcPr>
          <w:p w14:paraId="4C41BA5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فحص التداخل الخطي واستقلال الأخطاء.</w:t>
            </w:r>
          </w:p>
        </w:tc>
      </w:tr>
      <w:tr w:rsidR="00986803" w:rsidRPr="00AE1FD7" w14:paraId="270756E8" w14:textId="77777777" w:rsidTr="00C3635B">
        <w:trPr>
          <w:jc w:val="center"/>
        </w:trPr>
        <w:tc>
          <w:tcPr>
            <w:tcW w:w="2891" w:type="dxa"/>
            <w:shd w:val="clear" w:color="auto" w:fill="FFFFFF"/>
            <w:tcMar>
              <w:top w:w="70" w:type="dxa"/>
              <w:left w:w="70" w:type="dxa"/>
              <w:bottom w:w="70" w:type="dxa"/>
              <w:right w:w="70" w:type="dxa"/>
            </w:tcMar>
            <w:vAlign w:val="center"/>
          </w:tcPr>
          <w:p w14:paraId="21ACFE3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T-</w:t>
            </w:r>
            <w:proofErr w:type="spellStart"/>
            <w:r w:rsidRPr="00AE1FD7">
              <w:rPr>
                <w:rFonts w:ascii="Sakkal Majalla" w:hAnsi="Sakkal Majalla" w:cs="Sakkal Majalla"/>
                <w:color w:val="000000"/>
                <w:sz w:val="36"/>
                <w:szCs w:val="36"/>
                <w:rtl/>
                <w:lang w:val="ar-SA"/>
              </w:rPr>
              <w:t>test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وANOVA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وTukey</w:t>
            </w:r>
            <w:proofErr w:type="spellEnd"/>
          </w:p>
        </w:tc>
        <w:tc>
          <w:tcPr>
            <w:tcW w:w="5613" w:type="dxa"/>
            <w:shd w:val="clear" w:color="auto" w:fill="FFFFFF"/>
            <w:tcMar>
              <w:top w:w="70" w:type="dxa"/>
              <w:left w:w="70" w:type="dxa"/>
              <w:bottom w:w="70" w:type="dxa"/>
              <w:right w:w="70" w:type="dxa"/>
            </w:tcMar>
            <w:vAlign w:val="center"/>
          </w:tcPr>
          <w:p w14:paraId="04A0C73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اختبار الفروق بين الفئات.</w:t>
            </w:r>
          </w:p>
        </w:tc>
      </w:tr>
      <w:tr w:rsidR="00986803" w:rsidRPr="00AE1FD7" w14:paraId="1D366977" w14:textId="77777777" w:rsidTr="00C3635B">
        <w:trPr>
          <w:jc w:val="center"/>
        </w:trPr>
        <w:tc>
          <w:tcPr>
            <w:tcW w:w="2891" w:type="dxa"/>
            <w:shd w:val="clear" w:color="auto" w:fill="F2F4F6"/>
            <w:tcMar>
              <w:top w:w="70" w:type="dxa"/>
              <w:left w:w="70" w:type="dxa"/>
              <w:bottom w:w="70" w:type="dxa"/>
              <w:right w:w="70" w:type="dxa"/>
            </w:tcMar>
            <w:vAlign w:val="center"/>
          </w:tcPr>
          <w:p w14:paraId="5F9DD88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Eta-squared</w:t>
            </w:r>
          </w:p>
        </w:tc>
        <w:tc>
          <w:tcPr>
            <w:tcW w:w="5613" w:type="dxa"/>
            <w:shd w:val="clear" w:color="auto" w:fill="F2F4F6"/>
            <w:tcMar>
              <w:top w:w="70" w:type="dxa"/>
              <w:left w:w="70" w:type="dxa"/>
              <w:bottom w:w="70" w:type="dxa"/>
              <w:right w:w="70" w:type="dxa"/>
            </w:tcMar>
            <w:vAlign w:val="center"/>
          </w:tcPr>
          <w:p w14:paraId="4588692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تقدير حجم أثر الفروق.</w:t>
            </w:r>
          </w:p>
        </w:tc>
      </w:tr>
    </w:tbl>
    <w:p w14:paraId="4B78B679"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70FD1B4B" w14:textId="77777777" w:rsidR="00C3635B" w:rsidRPr="00AE1FD7" w:rsidRDefault="00C3635B" w:rsidP="00C3635B">
      <w:pPr>
        <w:bidi/>
        <w:spacing w:after="0" w:line="240" w:lineRule="auto"/>
        <w:ind w:firstLine="0"/>
        <w:rPr>
          <w:rFonts w:ascii="Sakkal Majalla" w:hAnsi="Sakkal Majalla" w:cs="Sakkal Majalla"/>
          <w:sz w:val="36"/>
          <w:szCs w:val="36"/>
        </w:rPr>
      </w:pPr>
    </w:p>
    <w:p w14:paraId="390CF63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87" w:name="_Toc235205638"/>
      <w:r w:rsidRPr="00AE1FD7">
        <w:rPr>
          <w:rFonts w:ascii="Sakkal Majalla" w:eastAsia="Noto Kufi Arabic" w:hAnsi="Sakkal Majalla" w:cs="Sakkal Majalla"/>
          <w:sz w:val="36"/>
          <w:szCs w:val="36"/>
          <w:rtl/>
          <w:lang w:val="ar-SA"/>
        </w:rPr>
        <w:t>3.14 مصفوفة الاتساق المنهجي</w:t>
      </w:r>
      <w:bookmarkEnd w:id="87"/>
    </w:p>
    <w:p w14:paraId="414DB002"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88" w:name="table_alignment_matrix"/>
      <w:r w:rsidRPr="00C3635B">
        <w:rPr>
          <w:rFonts w:ascii="Sakkal Majalla" w:eastAsia="Noto Kufi Arabic" w:hAnsi="Sakkal Majalla" w:cs="Sakkal Majalla"/>
          <w:bCs/>
          <w:color w:val="17365D"/>
          <w:sz w:val="36"/>
          <w:szCs w:val="36"/>
          <w:rtl/>
          <w:lang w:val="ar-SA"/>
        </w:rPr>
        <w:t>جدول (14): مصفوفة مواءمة أسئلة الدراسة وفرضياتها والتحليل</w:t>
      </w:r>
      <w:bookmarkEnd w:id="88"/>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134"/>
        <w:gridCol w:w="2835"/>
        <w:gridCol w:w="2268"/>
      </w:tblGrid>
      <w:tr w:rsidR="00986803" w:rsidRPr="00AE1FD7" w14:paraId="39AF476A" w14:textId="77777777" w:rsidTr="00C3635B">
        <w:trPr>
          <w:cantSplit/>
          <w:tblHeader/>
          <w:jc w:val="center"/>
        </w:trPr>
        <w:tc>
          <w:tcPr>
            <w:tcW w:w="2268" w:type="dxa"/>
            <w:shd w:val="clear" w:color="auto" w:fill="17365D"/>
            <w:tcMar>
              <w:top w:w="90" w:type="dxa"/>
              <w:left w:w="80" w:type="dxa"/>
              <w:bottom w:w="90" w:type="dxa"/>
              <w:right w:w="80" w:type="dxa"/>
            </w:tcMar>
            <w:vAlign w:val="center"/>
          </w:tcPr>
          <w:p w14:paraId="5C662061"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السؤال/الهدف</w:t>
            </w:r>
          </w:p>
        </w:tc>
        <w:tc>
          <w:tcPr>
            <w:tcW w:w="1134" w:type="dxa"/>
            <w:shd w:val="clear" w:color="auto" w:fill="17365D"/>
            <w:tcMar>
              <w:top w:w="90" w:type="dxa"/>
              <w:left w:w="80" w:type="dxa"/>
              <w:bottom w:w="90" w:type="dxa"/>
              <w:right w:w="80" w:type="dxa"/>
            </w:tcMar>
            <w:vAlign w:val="center"/>
          </w:tcPr>
          <w:p w14:paraId="54F51968"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الفرضية</w:t>
            </w:r>
          </w:p>
        </w:tc>
        <w:tc>
          <w:tcPr>
            <w:tcW w:w="2835" w:type="dxa"/>
            <w:shd w:val="clear" w:color="auto" w:fill="17365D"/>
            <w:tcMar>
              <w:top w:w="90" w:type="dxa"/>
              <w:left w:w="80" w:type="dxa"/>
              <w:bottom w:w="90" w:type="dxa"/>
              <w:right w:w="80" w:type="dxa"/>
            </w:tcMar>
            <w:vAlign w:val="center"/>
          </w:tcPr>
          <w:p w14:paraId="59DC8166"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المتغير/البعد</w:t>
            </w:r>
          </w:p>
        </w:tc>
        <w:tc>
          <w:tcPr>
            <w:tcW w:w="2268" w:type="dxa"/>
            <w:shd w:val="clear" w:color="auto" w:fill="17365D"/>
            <w:tcMar>
              <w:top w:w="90" w:type="dxa"/>
              <w:left w:w="80" w:type="dxa"/>
              <w:bottom w:w="90" w:type="dxa"/>
              <w:right w:w="80" w:type="dxa"/>
            </w:tcMar>
            <w:vAlign w:val="center"/>
          </w:tcPr>
          <w:p w14:paraId="7B5CFEFE"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التحليل</w:t>
            </w:r>
          </w:p>
        </w:tc>
      </w:tr>
      <w:tr w:rsidR="00986803" w:rsidRPr="00AE1FD7" w14:paraId="7E13C27D" w14:textId="77777777" w:rsidTr="00C3635B">
        <w:trPr>
          <w:jc w:val="center"/>
        </w:trPr>
        <w:tc>
          <w:tcPr>
            <w:tcW w:w="2268" w:type="dxa"/>
            <w:shd w:val="clear" w:color="auto" w:fill="FFFFFF"/>
            <w:tcMar>
              <w:top w:w="70" w:type="dxa"/>
              <w:left w:w="70" w:type="dxa"/>
              <w:bottom w:w="70" w:type="dxa"/>
              <w:right w:w="70" w:type="dxa"/>
            </w:tcMar>
            <w:vAlign w:val="center"/>
          </w:tcPr>
          <w:p w14:paraId="1453922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قياس مستوى الحوكمة</w:t>
            </w:r>
          </w:p>
        </w:tc>
        <w:tc>
          <w:tcPr>
            <w:tcW w:w="1134" w:type="dxa"/>
            <w:shd w:val="clear" w:color="auto" w:fill="FFFFFF"/>
            <w:tcMar>
              <w:top w:w="70" w:type="dxa"/>
              <w:left w:w="70" w:type="dxa"/>
              <w:bottom w:w="70" w:type="dxa"/>
              <w:right w:w="70" w:type="dxa"/>
            </w:tcMar>
            <w:vAlign w:val="center"/>
          </w:tcPr>
          <w:p w14:paraId="651A2061"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w:t>
            </w:r>
          </w:p>
        </w:tc>
        <w:tc>
          <w:tcPr>
            <w:tcW w:w="2835" w:type="dxa"/>
            <w:shd w:val="clear" w:color="auto" w:fill="FFFFFF"/>
            <w:tcMar>
              <w:top w:w="70" w:type="dxa"/>
              <w:left w:w="70" w:type="dxa"/>
              <w:bottom w:w="70" w:type="dxa"/>
              <w:right w:w="70" w:type="dxa"/>
            </w:tcMar>
            <w:vAlign w:val="center"/>
          </w:tcPr>
          <w:p w14:paraId="3659170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أبعاد الحوكمة الخمسة</w:t>
            </w:r>
          </w:p>
        </w:tc>
        <w:tc>
          <w:tcPr>
            <w:tcW w:w="2268" w:type="dxa"/>
            <w:shd w:val="clear" w:color="auto" w:fill="FFFFFF"/>
            <w:tcMar>
              <w:top w:w="70" w:type="dxa"/>
              <w:left w:w="70" w:type="dxa"/>
              <w:bottom w:w="70" w:type="dxa"/>
              <w:right w:w="70" w:type="dxa"/>
            </w:tcMar>
            <w:vAlign w:val="center"/>
          </w:tcPr>
          <w:p w14:paraId="12D4858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متوسطات وترتيب.</w:t>
            </w:r>
          </w:p>
        </w:tc>
      </w:tr>
      <w:tr w:rsidR="00986803" w:rsidRPr="00AE1FD7" w14:paraId="0A18A7D1" w14:textId="77777777" w:rsidTr="00C3635B">
        <w:trPr>
          <w:jc w:val="center"/>
        </w:trPr>
        <w:tc>
          <w:tcPr>
            <w:tcW w:w="2268" w:type="dxa"/>
            <w:shd w:val="clear" w:color="auto" w:fill="F2F4F6"/>
            <w:tcMar>
              <w:top w:w="70" w:type="dxa"/>
              <w:left w:w="70" w:type="dxa"/>
              <w:bottom w:w="70" w:type="dxa"/>
              <w:right w:w="70" w:type="dxa"/>
            </w:tcMar>
            <w:vAlign w:val="center"/>
          </w:tcPr>
          <w:p w14:paraId="571940ED"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قياس مستوى الكفاءة</w:t>
            </w:r>
          </w:p>
        </w:tc>
        <w:tc>
          <w:tcPr>
            <w:tcW w:w="1134" w:type="dxa"/>
            <w:shd w:val="clear" w:color="auto" w:fill="F2F4F6"/>
            <w:tcMar>
              <w:top w:w="70" w:type="dxa"/>
              <w:left w:w="70" w:type="dxa"/>
              <w:bottom w:w="70" w:type="dxa"/>
              <w:right w:w="70" w:type="dxa"/>
            </w:tcMar>
            <w:vAlign w:val="center"/>
          </w:tcPr>
          <w:p w14:paraId="7EDCA65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w:t>
            </w:r>
          </w:p>
        </w:tc>
        <w:tc>
          <w:tcPr>
            <w:tcW w:w="2835" w:type="dxa"/>
            <w:shd w:val="clear" w:color="auto" w:fill="F2F4F6"/>
            <w:tcMar>
              <w:top w:w="70" w:type="dxa"/>
              <w:left w:w="70" w:type="dxa"/>
              <w:bottom w:w="70" w:type="dxa"/>
              <w:right w:w="70" w:type="dxa"/>
            </w:tcMar>
            <w:vAlign w:val="center"/>
          </w:tcPr>
          <w:p w14:paraId="71E5C35F"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العقاري</w:t>
            </w:r>
          </w:p>
        </w:tc>
        <w:tc>
          <w:tcPr>
            <w:tcW w:w="2268" w:type="dxa"/>
            <w:shd w:val="clear" w:color="auto" w:fill="F2F4F6"/>
            <w:tcMar>
              <w:top w:w="70" w:type="dxa"/>
              <w:left w:w="70" w:type="dxa"/>
              <w:bottom w:w="70" w:type="dxa"/>
              <w:right w:w="70" w:type="dxa"/>
            </w:tcMar>
            <w:vAlign w:val="center"/>
          </w:tcPr>
          <w:p w14:paraId="1685123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متوسطات وترتيب.</w:t>
            </w:r>
          </w:p>
        </w:tc>
      </w:tr>
      <w:tr w:rsidR="00986803" w:rsidRPr="00AE1FD7" w14:paraId="29F74ED4" w14:textId="77777777" w:rsidTr="00C3635B">
        <w:trPr>
          <w:jc w:val="center"/>
        </w:trPr>
        <w:tc>
          <w:tcPr>
            <w:tcW w:w="2268" w:type="dxa"/>
            <w:shd w:val="clear" w:color="auto" w:fill="FFFFFF"/>
            <w:tcMar>
              <w:top w:w="70" w:type="dxa"/>
              <w:left w:w="70" w:type="dxa"/>
              <w:bottom w:w="70" w:type="dxa"/>
              <w:right w:w="70" w:type="dxa"/>
            </w:tcMar>
            <w:vAlign w:val="center"/>
          </w:tcPr>
          <w:p w14:paraId="6EEABC9D"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أثر الحوكمة الكلي</w:t>
            </w:r>
          </w:p>
        </w:tc>
        <w:tc>
          <w:tcPr>
            <w:tcW w:w="1134" w:type="dxa"/>
            <w:shd w:val="clear" w:color="auto" w:fill="FFFFFF"/>
            <w:tcMar>
              <w:top w:w="70" w:type="dxa"/>
              <w:left w:w="70" w:type="dxa"/>
              <w:bottom w:w="70" w:type="dxa"/>
              <w:right w:w="70" w:type="dxa"/>
            </w:tcMar>
            <w:vAlign w:val="center"/>
          </w:tcPr>
          <w:p w14:paraId="3E52BC0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w:t>
            </w:r>
          </w:p>
        </w:tc>
        <w:tc>
          <w:tcPr>
            <w:tcW w:w="2835" w:type="dxa"/>
            <w:shd w:val="clear" w:color="auto" w:fill="FFFFFF"/>
            <w:tcMar>
              <w:top w:w="70" w:type="dxa"/>
              <w:left w:w="70" w:type="dxa"/>
              <w:bottom w:w="70" w:type="dxa"/>
              <w:right w:w="70" w:type="dxa"/>
            </w:tcMar>
            <w:vAlign w:val="center"/>
          </w:tcPr>
          <w:p w14:paraId="07038500"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الحوكمة </w:t>
            </w:r>
            <w:r w:rsidRPr="00AE1FD7">
              <w:rPr>
                <w:rFonts w:ascii="Arial" w:hAnsi="Arial" w:cs="Arial" w:hint="cs"/>
                <w:color w:val="000000"/>
                <w:sz w:val="36"/>
                <w:szCs w:val="36"/>
                <w:rtl/>
                <w:lang w:val="ar-SA"/>
              </w:rPr>
              <w:t>←</w:t>
            </w:r>
            <w:r w:rsidRPr="00AE1FD7">
              <w:rPr>
                <w:rFonts w:ascii="Sakkal Majalla" w:hAnsi="Sakkal Majalla" w:cs="Sakkal Majalla"/>
                <w:color w:val="000000"/>
                <w:sz w:val="36"/>
                <w:szCs w:val="36"/>
                <w:rtl/>
                <w:lang w:val="ar-SA"/>
              </w:rPr>
              <w:t xml:space="preserve"> </w:t>
            </w:r>
            <w:r w:rsidRPr="00AE1FD7">
              <w:rPr>
                <w:rFonts w:ascii="Sakkal Majalla" w:hAnsi="Sakkal Majalla" w:cs="Sakkal Majalla" w:hint="cs"/>
                <w:color w:val="000000"/>
                <w:sz w:val="36"/>
                <w:szCs w:val="36"/>
                <w:rtl/>
                <w:lang w:val="ar-SA"/>
              </w:rPr>
              <w:t>الكفاءة</w:t>
            </w:r>
          </w:p>
        </w:tc>
        <w:tc>
          <w:tcPr>
            <w:tcW w:w="2268" w:type="dxa"/>
            <w:shd w:val="clear" w:color="auto" w:fill="FFFFFF"/>
            <w:tcMar>
              <w:top w:w="70" w:type="dxa"/>
              <w:left w:w="70" w:type="dxa"/>
              <w:bottom w:w="70" w:type="dxa"/>
              <w:right w:w="70" w:type="dxa"/>
            </w:tcMar>
            <w:vAlign w:val="center"/>
          </w:tcPr>
          <w:p w14:paraId="2D12168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بسيط.</w:t>
            </w:r>
          </w:p>
        </w:tc>
      </w:tr>
      <w:tr w:rsidR="00986803" w:rsidRPr="00AE1FD7" w14:paraId="20237D63" w14:textId="77777777" w:rsidTr="00C3635B">
        <w:trPr>
          <w:jc w:val="center"/>
        </w:trPr>
        <w:tc>
          <w:tcPr>
            <w:tcW w:w="2268" w:type="dxa"/>
            <w:shd w:val="clear" w:color="auto" w:fill="F2F4F6"/>
            <w:tcMar>
              <w:top w:w="70" w:type="dxa"/>
              <w:left w:w="70" w:type="dxa"/>
              <w:bottom w:w="70" w:type="dxa"/>
              <w:right w:w="70" w:type="dxa"/>
            </w:tcMar>
            <w:vAlign w:val="center"/>
          </w:tcPr>
          <w:p w14:paraId="0F97D251"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أثر الشفافية</w:t>
            </w:r>
          </w:p>
        </w:tc>
        <w:tc>
          <w:tcPr>
            <w:tcW w:w="1134" w:type="dxa"/>
            <w:shd w:val="clear" w:color="auto" w:fill="F2F4F6"/>
            <w:tcMar>
              <w:top w:w="70" w:type="dxa"/>
              <w:left w:w="70" w:type="dxa"/>
              <w:bottom w:w="70" w:type="dxa"/>
              <w:right w:w="70" w:type="dxa"/>
            </w:tcMar>
            <w:vAlign w:val="center"/>
          </w:tcPr>
          <w:p w14:paraId="4E6C22D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H1-1</w:t>
            </w:r>
          </w:p>
        </w:tc>
        <w:tc>
          <w:tcPr>
            <w:tcW w:w="2835" w:type="dxa"/>
            <w:shd w:val="clear" w:color="auto" w:fill="F2F4F6"/>
            <w:tcMar>
              <w:top w:w="70" w:type="dxa"/>
              <w:left w:w="70" w:type="dxa"/>
              <w:bottom w:w="70" w:type="dxa"/>
              <w:right w:w="70" w:type="dxa"/>
            </w:tcMar>
            <w:vAlign w:val="center"/>
          </w:tcPr>
          <w:p w14:paraId="2581CC3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الشفافية والإفصاح</w:t>
            </w:r>
          </w:p>
        </w:tc>
        <w:tc>
          <w:tcPr>
            <w:tcW w:w="2268" w:type="dxa"/>
            <w:shd w:val="clear" w:color="auto" w:fill="F2F4F6"/>
            <w:tcMar>
              <w:top w:w="70" w:type="dxa"/>
              <w:left w:w="70" w:type="dxa"/>
              <w:bottom w:w="70" w:type="dxa"/>
              <w:right w:w="70" w:type="dxa"/>
            </w:tcMar>
            <w:vAlign w:val="center"/>
          </w:tcPr>
          <w:p w14:paraId="7F84AE6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6BCE632E" w14:textId="77777777" w:rsidTr="00C3635B">
        <w:trPr>
          <w:jc w:val="center"/>
        </w:trPr>
        <w:tc>
          <w:tcPr>
            <w:tcW w:w="2268" w:type="dxa"/>
            <w:shd w:val="clear" w:color="auto" w:fill="FFFFFF"/>
            <w:tcMar>
              <w:top w:w="70" w:type="dxa"/>
              <w:left w:w="70" w:type="dxa"/>
              <w:bottom w:w="70" w:type="dxa"/>
              <w:right w:w="70" w:type="dxa"/>
            </w:tcMar>
            <w:vAlign w:val="center"/>
          </w:tcPr>
          <w:p w14:paraId="0C8DFC0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أثر المساءلة</w:t>
            </w:r>
          </w:p>
        </w:tc>
        <w:tc>
          <w:tcPr>
            <w:tcW w:w="1134" w:type="dxa"/>
            <w:shd w:val="clear" w:color="auto" w:fill="FFFFFF"/>
            <w:tcMar>
              <w:top w:w="70" w:type="dxa"/>
              <w:left w:w="70" w:type="dxa"/>
              <w:bottom w:w="70" w:type="dxa"/>
              <w:right w:w="70" w:type="dxa"/>
            </w:tcMar>
            <w:vAlign w:val="center"/>
          </w:tcPr>
          <w:p w14:paraId="3E0A9A2B"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H1-2</w:t>
            </w:r>
          </w:p>
        </w:tc>
        <w:tc>
          <w:tcPr>
            <w:tcW w:w="2835" w:type="dxa"/>
            <w:shd w:val="clear" w:color="auto" w:fill="FFFFFF"/>
            <w:tcMar>
              <w:top w:w="70" w:type="dxa"/>
              <w:left w:w="70" w:type="dxa"/>
              <w:bottom w:w="70" w:type="dxa"/>
              <w:right w:w="70" w:type="dxa"/>
            </w:tcMar>
            <w:vAlign w:val="center"/>
          </w:tcPr>
          <w:p w14:paraId="37C9469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المساءلة والرقابة</w:t>
            </w:r>
          </w:p>
        </w:tc>
        <w:tc>
          <w:tcPr>
            <w:tcW w:w="2268" w:type="dxa"/>
            <w:shd w:val="clear" w:color="auto" w:fill="FFFFFF"/>
            <w:tcMar>
              <w:top w:w="70" w:type="dxa"/>
              <w:left w:w="70" w:type="dxa"/>
              <w:bottom w:w="70" w:type="dxa"/>
              <w:right w:w="70" w:type="dxa"/>
            </w:tcMar>
            <w:vAlign w:val="center"/>
          </w:tcPr>
          <w:p w14:paraId="3FA659C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747AAB1B" w14:textId="77777777" w:rsidTr="00C3635B">
        <w:trPr>
          <w:jc w:val="center"/>
        </w:trPr>
        <w:tc>
          <w:tcPr>
            <w:tcW w:w="2268" w:type="dxa"/>
            <w:shd w:val="clear" w:color="auto" w:fill="F2F4F6"/>
            <w:tcMar>
              <w:top w:w="70" w:type="dxa"/>
              <w:left w:w="70" w:type="dxa"/>
              <w:bottom w:w="70" w:type="dxa"/>
              <w:right w:w="70" w:type="dxa"/>
            </w:tcMar>
            <w:vAlign w:val="center"/>
          </w:tcPr>
          <w:p w14:paraId="67BFD7A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أثر </w:t>
            </w:r>
            <w:proofErr w:type="spellStart"/>
            <w:r w:rsidRPr="00AE1FD7">
              <w:rPr>
                <w:rFonts w:ascii="Sakkal Majalla" w:hAnsi="Sakkal Majalla" w:cs="Sakkal Majalla"/>
                <w:color w:val="000000"/>
                <w:sz w:val="36"/>
                <w:szCs w:val="36"/>
                <w:rtl/>
                <w:lang w:val="ar-SA"/>
              </w:rPr>
              <w:t>الرقمنة</w:t>
            </w:r>
            <w:proofErr w:type="spellEnd"/>
          </w:p>
        </w:tc>
        <w:tc>
          <w:tcPr>
            <w:tcW w:w="1134" w:type="dxa"/>
            <w:shd w:val="clear" w:color="auto" w:fill="F2F4F6"/>
            <w:tcMar>
              <w:top w:w="70" w:type="dxa"/>
              <w:left w:w="70" w:type="dxa"/>
              <w:bottom w:w="70" w:type="dxa"/>
              <w:right w:w="70" w:type="dxa"/>
            </w:tcMar>
            <w:vAlign w:val="center"/>
          </w:tcPr>
          <w:p w14:paraId="45C09933"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H1-3</w:t>
            </w:r>
          </w:p>
        </w:tc>
        <w:tc>
          <w:tcPr>
            <w:tcW w:w="2835" w:type="dxa"/>
            <w:shd w:val="clear" w:color="auto" w:fill="F2F4F6"/>
            <w:tcMar>
              <w:top w:w="70" w:type="dxa"/>
              <w:left w:w="70" w:type="dxa"/>
              <w:bottom w:w="70" w:type="dxa"/>
              <w:right w:w="70" w:type="dxa"/>
            </w:tcMar>
            <w:vAlign w:val="center"/>
          </w:tcPr>
          <w:p w14:paraId="08C2259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تكامل البيانات </w:t>
            </w:r>
            <w:proofErr w:type="spellStart"/>
            <w:r w:rsidRPr="00AE1FD7">
              <w:rPr>
                <w:rFonts w:ascii="Sakkal Majalla" w:hAnsi="Sakkal Majalla" w:cs="Sakkal Majalla"/>
                <w:color w:val="000000"/>
                <w:sz w:val="36"/>
                <w:szCs w:val="36"/>
                <w:rtl/>
                <w:lang w:val="ar-SA"/>
              </w:rPr>
              <w:t>والرقمنة</w:t>
            </w:r>
            <w:proofErr w:type="spellEnd"/>
          </w:p>
        </w:tc>
        <w:tc>
          <w:tcPr>
            <w:tcW w:w="2268" w:type="dxa"/>
            <w:shd w:val="clear" w:color="auto" w:fill="F2F4F6"/>
            <w:tcMar>
              <w:top w:w="70" w:type="dxa"/>
              <w:left w:w="70" w:type="dxa"/>
              <w:bottom w:w="70" w:type="dxa"/>
              <w:right w:w="70" w:type="dxa"/>
            </w:tcMar>
            <w:vAlign w:val="center"/>
          </w:tcPr>
          <w:p w14:paraId="1B284F6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76033AA1" w14:textId="77777777" w:rsidTr="00C3635B">
        <w:trPr>
          <w:jc w:val="center"/>
        </w:trPr>
        <w:tc>
          <w:tcPr>
            <w:tcW w:w="2268" w:type="dxa"/>
            <w:shd w:val="clear" w:color="auto" w:fill="FFFFFF"/>
            <w:tcMar>
              <w:top w:w="70" w:type="dxa"/>
              <w:left w:w="70" w:type="dxa"/>
              <w:bottom w:w="70" w:type="dxa"/>
              <w:right w:w="70" w:type="dxa"/>
            </w:tcMar>
            <w:vAlign w:val="center"/>
          </w:tcPr>
          <w:p w14:paraId="21032DB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أثر دورة الحياة</w:t>
            </w:r>
          </w:p>
        </w:tc>
        <w:tc>
          <w:tcPr>
            <w:tcW w:w="1134" w:type="dxa"/>
            <w:shd w:val="clear" w:color="auto" w:fill="FFFFFF"/>
            <w:tcMar>
              <w:top w:w="70" w:type="dxa"/>
              <w:left w:w="70" w:type="dxa"/>
              <w:bottom w:w="70" w:type="dxa"/>
              <w:right w:w="70" w:type="dxa"/>
            </w:tcMar>
            <w:vAlign w:val="center"/>
          </w:tcPr>
          <w:p w14:paraId="11FD5F2F"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H1-4</w:t>
            </w:r>
          </w:p>
        </w:tc>
        <w:tc>
          <w:tcPr>
            <w:tcW w:w="2835" w:type="dxa"/>
            <w:shd w:val="clear" w:color="auto" w:fill="FFFFFF"/>
            <w:tcMar>
              <w:top w:w="70" w:type="dxa"/>
              <w:left w:w="70" w:type="dxa"/>
              <w:bottom w:w="70" w:type="dxa"/>
              <w:right w:w="70" w:type="dxa"/>
            </w:tcMar>
            <w:vAlign w:val="center"/>
          </w:tcPr>
          <w:p w14:paraId="40394D2A"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التخطيط ودورة الحياة</w:t>
            </w:r>
          </w:p>
        </w:tc>
        <w:tc>
          <w:tcPr>
            <w:tcW w:w="2268" w:type="dxa"/>
            <w:shd w:val="clear" w:color="auto" w:fill="FFFFFF"/>
            <w:tcMar>
              <w:top w:w="70" w:type="dxa"/>
              <w:left w:w="70" w:type="dxa"/>
              <w:bottom w:w="70" w:type="dxa"/>
              <w:right w:w="70" w:type="dxa"/>
            </w:tcMar>
            <w:vAlign w:val="center"/>
          </w:tcPr>
          <w:p w14:paraId="71521BD9"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096D7E26" w14:textId="77777777" w:rsidTr="00C3635B">
        <w:trPr>
          <w:jc w:val="center"/>
        </w:trPr>
        <w:tc>
          <w:tcPr>
            <w:tcW w:w="2268" w:type="dxa"/>
            <w:shd w:val="clear" w:color="auto" w:fill="F2F4F6"/>
            <w:tcMar>
              <w:top w:w="70" w:type="dxa"/>
              <w:left w:w="70" w:type="dxa"/>
              <w:bottom w:w="70" w:type="dxa"/>
              <w:right w:w="70" w:type="dxa"/>
            </w:tcMar>
            <w:vAlign w:val="center"/>
          </w:tcPr>
          <w:p w14:paraId="74ED3AC8"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أثر المخاطر</w:t>
            </w:r>
          </w:p>
        </w:tc>
        <w:tc>
          <w:tcPr>
            <w:tcW w:w="1134" w:type="dxa"/>
            <w:shd w:val="clear" w:color="auto" w:fill="F2F4F6"/>
            <w:tcMar>
              <w:top w:w="70" w:type="dxa"/>
              <w:left w:w="70" w:type="dxa"/>
              <w:bottom w:w="70" w:type="dxa"/>
              <w:right w:w="70" w:type="dxa"/>
            </w:tcMar>
            <w:vAlign w:val="center"/>
          </w:tcPr>
          <w:p w14:paraId="4BF4F414"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H1-5</w:t>
            </w:r>
          </w:p>
        </w:tc>
        <w:tc>
          <w:tcPr>
            <w:tcW w:w="2835" w:type="dxa"/>
            <w:shd w:val="clear" w:color="auto" w:fill="F2F4F6"/>
            <w:tcMar>
              <w:top w:w="70" w:type="dxa"/>
              <w:left w:w="70" w:type="dxa"/>
              <w:bottom w:w="70" w:type="dxa"/>
              <w:right w:w="70" w:type="dxa"/>
            </w:tcMar>
            <w:vAlign w:val="center"/>
          </w:tcPr>
          <w:p w14:paraId="0F4492FD"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المخاطر والامتثال</w:t>
            </w:r>
          </w:p>
        </w:tc>
        <w:tc>
          <w:tcPr>
            <w:tcW w:w="2268" w:type="dxa"/>
            <w:shd w:val="clear" w:color="auto" w:fill="F2F4F6"/>
            <w:tcMar>
              <w:top w:w="70" w:type="dxa"/>
              <w:left w:w="70" w:type="dxa"/>
              <w:bottom w:w="70" w:type="dxa"/>
              <w:right w:w="70" w:type="dxa"/>
            </w:tcMar>
            <w:vAlign w:val="center"/>
          </w:tcPr>
          <w:p w14:paraId="54C7A0B7"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انحدار متعدد.</w:t>
            </w:r>
          </w:p>
        </w:tc>
      </w:tr>
      <w:tr w:rsidR="00986803" w:rsidRPr="00AE1FD7" w14:paraId="3B90C2E9" w14:textId="77777777" w:rsidTr="00C3635B">
        <w:trPr>
          <w:jc w:val="center"/>
        </w:trPr>
        <w:tc>
          <w:tcPr>
            <w:tcW w:w="2268" w:type="dxa"/>
            <w:shd w:val="clear" w:color="auto" w:fill="FFFFFF"/>
            <w:tcMar>
              <w:top w:w="70" w:type="dxa"/>
              <w:left w:w="70" w:type="dxa"/>
              <w:bottom w:w="70" w:type="dxa"/>
              <w:right w:w="70" w:type="dxa"/>
            </w:tcMar>
            <w:vAlign w:val="center"/>
          </w:tcPr>
          <w:p w14:paraId="488D4056"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الفروق</w:t>
            </w:r>
          </w:p>
        </w:tc>
        <w:tc>
          <w:tcPr>
            <w:tcW w:w="1134" w:type="dxa"/>
            <w:shd w:val="clear" w:color="auto" w:fill="FFFFFF"/>
            <w:tcMar>
              <w:top w:w="70" w:type="dxa"/>
              <w:left w:w="70" w:type="dxa"/>
              <w:bottom w:w="70" w:type="dxa"/>
              <w:right w:w="70" w:type="dxa"/>
            </w:tcMar>
            <w:vAlign w:val="center"/>
          </w:tcPr>
          <w:p w14:paraId="6DE9F67C"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H2</w:t>
            </w:r>
          </w:p>
        </w:tc>
        <w:tc>
          <w:tcPr>
            <w:tcW w:w="2835" w:type="dxa"/>
            <w:shd w:val="clear" w:color="auto" w:fill="FFFFFF"/>
            <w:tcMar>
              <w:top w:w="70" w:type="dxa"/>
              <w:left w:w="70" w:type="dxa"/>
              <w:bottom w:w="70" w:type="dxa"/>
              <w:right w:w="70" w:type="dxa"/>
            </w:tcMar>
            <w:vAlign w:val="center"/>
          </w:tcPr>
          <w:p w14:paraId="43A1EBAE"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الخصائص الوظيفية</w:t>
            </w:r>
          </w:p>
        </w:tc>
        <w:tc>
          <w:tcPr>
            <w:tcW w:w="2268" w:type="dxa"/>
            <w:shd w:val="clear" w:color="auto" w:fill="FFFFFF"/>
            <w:tcMar>
              <w:top w:w="70" w:type="dxa"/>
              <w:left w:w="70" w:type="dxa"/>
              <w:bottom w:w="70" w:type="dxa"/>
              <w:right w:w="70" w:type="dxa"/>
            </w:tcMar>
            <w:vAlign w:val="center"/>
          </w:tcPr>
          <w:p w14:paraId="35DB5D22" w14:textId="77777777" w:rsidR="00986803" w:rsidRPr="00AE1FD7" w:rsidRDefault="00DB29B7"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T-test / ANOVA.</w:t>
            </w:r>
          </w:p>
        </w:tc>
      </w:tr>
    </w:tbl>
    <w:p w14:paraId="3B922B27"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718E4E15" w14:textId="77777777" w:rsidR="00C3635B" w:rsidRPr="00AE1FD7" w:rsidRDefault="00C3635B" w:rsidP="00C3635B">
      <w:pPr>
        <w:bidi/>
        <w:spacing w:after="0" w:line="240" w:lineRule="auto"/>
        <w:ind w:firstLine="0"/>
        <w:rPr>
          <w:rFonts w:ascii="Sakkal Majalla" w:hAnsi="Sakkal Majalla" w:cs="Sakkal Majalla"/>
          <w:sz w:val="36"/>
          <w:szCs w:val="36"/>
        </w:rPr>
      </w:pPr>
    </w:p>
    <w:p w14:paraId="7B567070" w14:textId="77777777" w:rsidR="00986803" w:rsidRPr="00AE1FD7" w:rsidRDefault="00DB29B7" w:rsidP="00C3635B">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89" w:name="_Toc235205639"/>
      <w:r w:rsidRPr="00AE1FD7">
        <w:rPr>
          <w:rFonts w:ascii="Sakkal Majalla" w:eastAsia="Noto Kufi Arabic" w:hAnsi="Sakkal Majalla" w:cs="Sakkal Majalla"/>
          <w:sz w:val="36"/>
          <w:szCs w:val="36"/>
          <w:rtl/>
          <w:lang w:val="ar-SA"/>
        </w:rPr>
        <w:t>3.15 خلاصة الفصل</w:t>
      </w:r>
      <w:bookmarkEnd w:id="89"/>
    </w:p>
    <w:p w14:paraId="3E247FC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عرض الفصل تصميم الدراسة ومجتمعها وعينتها وأداة القياس وإجراءات الجودة والتحليل. وأظهرت اختبارات الصدق والثبات ملاءمة الأداة، كما روعي تمثيل الفئات الوظيفية وحماية السرية. ويقدم الفصل التالي نتائج التحليل الوصفي والاستدلالي واختبار الفرضيات.</w:t>
      </w:r>
    </w:p>
    <w:p w14:paraId="194708A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5524B9B3" w14:textId="77777777" w:rsidR="00986803" w:rsidRPr="00C3635B" w:rsidRDefault="00DB29B7" w:rsidP="00C3635B">
      <w:pPr>
        <w:pStyle w:val="1"/>
        <w:pBdr>
          <w:bottom w:val="single" w:sz="18" w:space="8" w:color="C69C3A"/>
        </w:pBdr>
        <w:bidi/>
        <w:spacing w:after="0" w:line="240" w:lineRule="auto"/>
        <w:ind w:firstLine="0"/>
        <w:rPr>
          <w:rFonts w:ascii="Sakkal Majalla" w:hAnsi="Sakkal Majalla" w:cs="Sakkal Majalla"/>
          <w:szCs w:val="40"/>
        </w:rPr>
      </w:pPr>
      <w:bookmarkStart w:id="90" w:name="_Toc235205640"/>
      <w:r w:rsidRPr="00C3635B">
        <w:rPr>
          <w:rFonts w:ascii="Sakkal Majalla" w:eastAsia="Noto Kufi Arabic" w:hAnsi="Sakkal Majalla" w:cs="Sakkal Majalla"/>
          <w:szCs w:val="40"/>
          <w:rtl/>
          <w:lang w:val="ar-SA"/>
        </w:rPr>
        <w:lastRenderedPageBreak/>
        <w:t>الفصل الرابع: عرض النتائج وتحليلها</w:t>
      </w:r>
      <w:bookmarkEnd w:id="90"/>
    </w:p>
    <w:p w14:paraId="7CF4F498"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91" w:name="_Toc235205641"/>
      <w:r w:rsidRPr="00AE1FD7">
        <w:rPr>
          <w:rFonts w:ascii="Sakkal Majalla" w:eastAsia="Noto Kufi Arabic" w:hAnsi="Sakkal Majalla" w:cs="Sakkal Majalla"/>
          <w:sz w:val="36"/>
          <w:szCs w:val="36"/>
          <w:rtl/>
          <w:lang w:val="ar-SA"/>
        </w:rPr>
        <w:t>4.1 مقدمة الفصل</w:t>
      </w:r>
      <w:r w:rsidR="00C3635B">
        <w:rPr>
          <w:rFonts w:ascii="Sakkal Majalla" w:eastAsia="Noto Kufi Arabic" w:hAnsi="Sakkal Majalla" w:cs="Sakkal Majalla" w:hint="cs"/>
          <w:sz w:val="36"/>
          <w:szCs w:val="36"/>
          <w:rtl/>
          <w:lang w:val="ar-SA"/>
        </w:rPr>
        <w:t>:</w:t>
      </w:r>
      <w:bookmarkEnd w:id="91"/>
    </w:p>
    <w:p w14:paraId="5C5872F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يعرض هذا الفصل نتائج الدراسة وفق تسلسل يبدأ بجودة البيانات وخصائص العينة، ثم نتائج الصدق والثبات، ثم مستوى تطبيق أبعاد الحوكمة وكفاءة الإنفاق، وبعد ذلك العلاقات والآثار والفروق. وقد روعي ربط كل نتيجة بالسؤال أو الفرضية المقابلة، مع تأجيل التفسير النظري الموسع إلى الفصل الخامس.</w:t>
      </w:r>
    </w:p>
    <w:p w14:paraId="484032D8"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92" w:name="_Toc235205642"/>
      <w:r w:rsidRPr="00AE1FD7">
        <w:rPr>
          <w:rFonts w:ascii="Sakkal Majalla" w:eastAsia="Noto Kufi Arabic" w:hAnsi="Sakkal Majalla" w:cs="Sakkal Majalla"/>
          <w:sz w:val="36"/>
          <w:szCs w:val="36"/>
          <w:rtl/>
          <w:lang w:val="ar-SA"/>
        </w:rPr>
        <w:t>4.2 فحص البيانات ومعدل الاستجابة</w:t>
      </w:r>
      <w:r w:rsidR="00C3635B">
        <w:rPr>
          <w:rFonts w:ascii="Sakkal Majalla" w:eastAsia="Noto Kufi Arabic" w:hAnsi="Sakkal Majalla" w:cs="Sakkal Majalla" w:hint="cs"/>
          <w:sz w:val="36"/>
          <w:szCs w:val="36"/>
          <w:rtl/>
          <w:lang w:val="ar-SA"/>
        </w:rPr>
        <w:t>:</w:t>
      </w:r>
      <w:bookmarkEnd w:id="92"/>
    </w:p>
    <w:p w14:paraId="61EB67A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وُزعت 360 استبانة، واستعيدت 326، واستبعدت ثماني استجابات غير مكتملة أو ذات نمط ثابت، فبلغت العينة الصالحة 318 ونسبة الاستجابة 88.3%. ولم تتجاوز القيم المفقودة في أي بند 0.6%، وعولجت الحالات القليلة بمتوسط البعد لعدم وجود نمط منهجي.</w:t>
      </w:r>
    </w:p>
    <w:p w14:paraId="1EF3593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وأظهر فحص القيم المتطرفة عدم وجود حالات متعددة المتغيرات تستدعي الحذف. وتراوحت قيم الالتواء للأبعاد بين -0.35 و0.00، </w:t>
      </w:r>
      <w:proofErr w:type="spellStart"/>
      <w:r w:rsidRPr="00AE1FD7">
        <w:rPr>
          <w:rFonts w:ascii="Sakkal Majalla" w:hAnsi="Sakkal Majalla" w:cs="Sakkal Majalla"/>
          <w:color w:val="000000"/>
          <w:sz w:val="36"/>
          <w:szCs w:val="36"/>
          <w:rtl/>
          <w:lang w:val="ar-SA"/>
        </w:rPr>
        <w:t>والتفرطح</w:t>
      </w:r>
      <w:proofErr w:type="spellEnd"/>
      <w:r w:rsidRPr="00AE1FD7">
        <w:rPr>
          <w:rFonts w:ascii="Sakkal Majalla" w:hAnsi="Sakkal Majalla" w:cs="Sakkal Majalla"/>
          <w:color w:val="000000"/>
          <w:sz w:val="36"/>
          <w:szCs w:val="36"/>
          <w:rtl/>
          <w:lang w:val="ar-SA"/>
        </w:rPr>
        <w:t xml:space="preserve"> بين -0.02 و0.49، وهي ضمن الحدود المقبولة للتحليل </w:t>
      </w:r>
      <w:proofErr w:type="spellStart"/>
      <w:r w:rsidRPr="00AE1FD7">
        <w:rPr>
          <w:rFonts w:ascii="Sakkal Majalla" w:hAnsi="Sakkal Majalla" w:cs="Sakkal Majalla"/>
          <w:color w:val="000000"/>
          <w:sz w:val="36"/>
          <w:szCs w:val="36"/>
          <w:rtl/>
          <w:lang w:val="ar-SA"/>
        </w:rPr>
        <w:t>المعلمي</w:t>
      </w:r>
      <w:proofErr w:type="spellEnd"/>
      <w:r w:rsidRPr="00AE1FD7">
        <w:rPr>
          <w:rFonts w:ascii="Sakkal Majalla" w:hAnsi="Sakkal Majalla" w:cs="Sakkal Majalla"/>
          <w:color w:val="000000"/>
          <w:sz w:val="36"/>
          <w:szCs w:val="36"/>
          <w:rtl/>
          <w:lang w:val="ar-SA"/>
        </w:rPr>
        <w:t>. كما أظهر توزيع البواقي في نموذج الانحدار نمطاً قريباً من الاعتدال وعدم وجود تباين متزايد واضح.</w:t>
      </w:r>
    </w:p>
    <w:p w14:paraId="78B16E23"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93" w:name="_Toc235205643"/>
      <w:r w:rsidRPr="00AE1FD7">
        <w:rPr>
          <w:rFonts w:ascii="Sakkal Majalla" w:eastAsia="Noto Kufi Arabic" w:hAnsi="Sakkal Majalla" w:cs="Sakkal Majalla"/>
          <w:sz w:val="36"/>
          <w:szCs w:val="36"/>
          <w:rtl/>
          <w:lang w:val="ar-SA"/>
        </w:rPr>
        <w:t>4.3 خصائص أفراد العينة</w:t>
      </w:r>
      <w:r w:rsidR="00C3635B">
        <w:rPr>
          <w:rFonts w:ascii="Sakkal Majalla" w:eastAsia="Noto Kufi Arabic" w:hAnsi="Sakkal Majalla" w:cs="Sakkal Majalla" w:hint="cs"/>
          <w:sz w:val="36"/>
          <w:szCs w:val="36"/>
          <w:rtl/>
          <w:lang w:val="ar-SA"/>
        </w:rPr>
        <w:t>:</w:t>
      </w:r>
      <w:bookmarkEnd w:id="93"/>
    </w:p>
    <w:p w14:paraId="49DB1D8A" w14:textId="77777777" w:rsidR="00986803" w:rsidRPr="00C3635B" w:rsidRDefault="00DB29B7" w:rsidP="00C3635B">
      <w:pPr>
        <w:keepNext/>
        <w:bidi/>
        <w:spacing w:after="0" w:line="240" w:lineRule="auto"/>
        <w:ind w:firstLine="0"/>
        <w:jc w:val="center"/>
        <w:rPr>
          <w:rFonts w:ascii="Sakkal Majalla" w:hAnsi="Sakkal Majalla" w:cs="Sakkal Majalla"/>
          <w:bCs/>
          <w:sz w:val="36"/>
          <w:szCs w:val="36"/>
        </w:rPr>
      </w:pPr>
      <w:bookmarkStart w:id="94" w:name="table_demographics"/>
      <w:r w:rsidRPr="00C3635B">
        <w:rPr>
          <w:rFonts w:ascii="Sakkal Majalla" w:eastAsia="Noto Kufi Arabic" w:hAnsi="Sakkal Majalla" w:cs="Sakkal Majalla"/>
          <w:bCs/>
          <w:color w:val="17365D"/>
          <w:sz w:val="36"/>
          <w:szCs w:val="36"/>
          <w:rtl/>
          <w:lang w:val="ar-SA"/>
        </w:rPr>
        <w:t>جدول (15): توزيع أفراد العينة وفق الخصائص الوظيفية والديموغرافية</w:t>
      </w:r>
      <w:bookmarkEnd w:id="94"/>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3855"/>
        <w:gridCol w:w="1304"/>
        <w:gridCol w:w="1474"/>
      </w:tblGrid>
      <w:tr w:rsidR="00986803" w:rsidRPr="00AE1FD7" w14:paraId="016EA6E8" w14:textId="77777777" w:rsidTr="00C34E74">
        <w:trPr>
          <w:cantSplit/>
          <w:tblHeader/>
          <w:jc w:val="center"/>
        </w:trPr>
        <w:tc>
          <w:tcPr>
            <w:tcW w:w="1872" w:type="dxa"/>
            <w:shd w:val="clear" w:color="auto" w:fill="17365D"/>
            <w:tcMar>
              <w:top w:w="90" w:type="dxa"/>
              <w:left w:w="80" w:type="dxa"/>
              <w:bottom w:w="90" w:type="dxa"/>
              <w:right w:w="80" w:type="dxa"/>
            </w:tcMar>
            <w:vAlign w:val="center"/>
          </w:tcPr>
          <w:p w14:paraId="76091577"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المتغير</w:t>
            </w:r>
          </w:p>
        </w:tc>
        <w:tc>
          <w:tcPr>
            <w:tcW w:w="3855" w:type="dxa"/>
            <w:shd w:val="clear" w:color="auto" w:fill="17365D"/>
            <w:tcMar>
              <w:top w:w="90" w:type="dxa"/>
              <w:left w:w="80" w:type="dxa"/>
              <w:bottom w:w="90" w:type="dxa"/>
              <w:right w:w="80" w:type="dxa"/>
            </w:tcMar>
            <w:vAlign w:val="center"/>
          </w:tcPr>
          <w:p w14:paraId="55896A5E"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الفئة</w:t>
            </w:r>
          </w:p>
        </w:tc>
        <w:tc>
          <w:tcPr>
            <w:tcW w:w="1304" w:type="dxa"/>
            <w:shd w:val="clear" w:color="auto" w:fill="17365D"/>
            <w:tcMar>
              <w:top w:w="90" w:type="dxa"/>
              <w:left w:w="80" w:type="dxa"/>
              <w:bottom w:w="90" w:type="dxa"/>
              <w:right w:w="80" w:type="dxa"/>
            </w:tcMar>
            <w:vAlign w:val="center"/>
          </w:tcPr>
          <w:p w14:paraId="13C286F8"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التكرار</w:t>
            </w:r>
          </w:p>
        </w:tc>
        <w:tc>
          <w:tcPr>
            <w:tcW w:w="1474" w:type="dxa"/>
            <w:shd w:val="clear" w:color="auto" w:fill="17365D"/>
            <w:tcMar>
              <w:top w:w="90" w:type="dxa"/>
              <w:left w:w="80" w:type="dxa"/>
              <w:bottom w:w="90" w:type="dxa"/>
              <w:right w:w="80" w:type="dxa"/>
            </w:tcMar>
            <w:vAlign w:val="center"/>
          </w:tcPr>
          <w:p w14:paraId="28C0A45F" w14:textId="77777777" w:rsidR="00986803" w:rsidRPr="00C3635B" w:rsidRDefault="00DB29B7" w:rsidP="00C3635B">
            <w:pPr>
              <w:bidi/>
              <w:spacing w:after="0" w:line="240" w:lineRule="auto"/>
              <w:ind w:firstLine="0"/>
              <w:jc w:val="center"/>
              <w:rPr>
                <w:rFonts w:ascii="Sakkal Majalla" w:hAnsi="Sakkal Majalla" w:cs="Sakkal Majalla"/>
                <w:bCs/>
                <w:sz w:val="36"/>
                <w:szCs w:val="36"/>
              </w:rPr>
            </w:pPr>
            <w:r w:rsidRPr="00C3635B">
              <w:rPr>
                <w:rFonts w:ascii="Sakkal Majalla" w:eastAsia="Noto Kufi Arabic" w:hAnsi="Sakkal Majalla" w:cs="Sakkal Majalla"/>
                <w:bCs/>
                <w:color w:val="FFFFFF"/>
                <w:sz w:val="36"/>
                <w:szCs w:val="36"/>
                <w:rtl/>
                <w:lang w:val="ar-SA"/>
              </w:rPr>
              <w:t>النسبة %</w:t>
            </w:r>
          </w:p>
        </w:tc>
      </w:tr>
      <w:tr w:rsidR="00C34E74" w:rsidRPr="00AE1FD7" w14:paraId="35EE3AE2" w14:textId="77777777" w:rsidTr="00C34E74">
        <w:trPr>
          <w:jc w:val="center"/>
        </w:trPr>
        <w:tc>
          <w:tcPr>
            <w:tcW w:w="1872" w:type="dxa"/>
            <w:vMerge w:val="restart"/>
            <w:shd w:val="clear" w:color="auto" w:fill="FFFFFF"/>
            <w:tcMar>
              <w:top w:w="70" w:type="dxa"/>
              <w:left w:w="70" w:type="dxa"/>
              <w:bottom w:w="70" w:type="dxa"/>
              <w:right w:w="70" w:type="dxa"/>
            </w:tcMar>
            <w:vAlign w:val="center"/>
          </w:tcPr>
          <w:p w14:paraId="0D05D652" w14:textId="77777777" w:rsidR="00C34E74" w:rsidRPr="00AE1FD7" w:rsidRDefault="00C34E74"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نوع الجهة</w:t>
            </w:r>
          </w:p>
        </w:tc>
        <w:tc>
          <w:tcPr>
            <w:tcW w:w="3855" w:type="dxa"/>
            <w:shd w:val="clear" w:color="auto" w:fill="FFFFFF"/>
            <w:tcMar>
              <w:top w:w="70" w:type="dxa"/>
              <w:left w:w="70" w:type="dxa"/>
              <w:bottom w:w="70" w:type="dxa"/>
              <w:right w:w="70" w:type="dxa"/>
            </w:tcMar>
            <w:vAlign w:val="center"/>
          </w:tcPr>
          <w:p w14:paraId="33FBB89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وزارة</w:t>
            </w:r>
          </w:p>
        </w:tc>
        <w:tc>
          <w:tcPr>
            <w:tcW w:w="1304" w:type="dxa"/>
            <w:shd w:val="clear" w:color="auto" w:fill="FFFFFF"/>
            <w:tcMar>
              <w:top w:w="70" w:type="dxa"/>
              <w:left w:w="70" w:type="dxa"/>
              <w:bottom w:w="70" w:type="dxa"/>
              <w:right w:w="70" w:type="dxa"/>
            </w:tcMar>
            <w:vAlign w:val="center"/>
          </w:tcPr>
          <w:p w14:paraId="5AE4818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98</w:t>
            </w:r>
          </w:p>
        </w:tc>
        <w:tc>
          <w:tcPr>
            <w:tcW w:w="1474" w:type="dxa"/>
            <w:shd w:val="clear" w:color="auto" w:fill="FFFFFF"/>
            <w:tcMar>
              <w:top w:w="70" w:type="dxa"/>
              <w:left w:w="70" w:type="dxa"/>
              <w:bottom w:w="70" w:type="dxa"/>
              <w:right w:w="70" w:type="dxa"/>
            </w:tcMar>
            <w:vAlign w:val="center"/>
          </w:tcPr>
          <w:p w14:paraId="0B4A215A"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30.8</w:t>
            </w:r>
          </w:p>
        </w:tc>
      </w:tr>
      <w:tr w:rsidR="00C34E74" w:rsidRPr="00AE1FD7" w14:paraId="5509EA9E" w14:textId="77777777" w:rsidTr="00C34E74">
        <w:trPr>
          <w:jc w:val="center"/>
        </w:trPr>
        <w:tc>
          <w:tcPr>
            <w:tcW w:w="1872" w:type="dxa"/>
            <w:vMerge/>
            <w:shd w:val="clear" w:color="auto" w:fill="F2F4F6"/>
            <w:tcMar>
              <w:top w:w="70" w:type="dxa"/>
              <w:left w:w="70" w:type="dxa"/>
              <w:bottom w:w="70" w:type="dxa"/>
              <w:right w:w="70" w:type="dxa"/>
            </w:tcMar>
            <w:vAlign w:val="center"/>
          </w:tcPr>
          <w:p w14:paraId="0F55CAFE" w14:textId="77777777" w:rsidR="00C34E74" w:rsidRPr="00AE1FD7" w:rsidRDefault="00C34E74" w:rsidP="00C3635B">
            <w:pPr>
              <w:bidi/>
              <w:spacing w:after="0" w:line="240" w:lineRule="auto"/>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69593269"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هيئة/مؤسسة عامة</w:t>
            </w:r>
          </w:p>
        </w:tc>
        <w:tc>
          <w:tcPr>
            <w:tcW w:w="1304" w:type="dxa"/>
            <w:shd w:val="clear" w:color="auto" w:fill="F2F4F6"/>
            <w:tcMar>
              <w:top w:w="70" w:type="dxa"/>
              <w:left w:w="70" w:type="dxa"/>
              <w:bottom w:w="70" w:type="dxa"/>
              <w:right w:w="70" w:type="dxa"/>
            </w:tcMar>
            <w:vAlign w:val="center"/>
          </w:tcPr>
          <w:p w14:paraId="1DEFD291"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104</w:t>
            </w:r>
          </w:p>
        </w:tc>
        <w:tc>
          <w:tcPr>
            <w:tcW w:w="1474" w:type="dxa"/>
            <w:shd w:val="clear" w:color="auto" w:fill="F2F4F6"/>
            <w:tcMar>
              <w:top w:w="70" w:type="dxa"/>
              <w:left w:w="70" w:type="dxa"/>
              <w:bottom w:w="70" w:type="dxa"/>
              <w:right w:w="70" w:type="dxa"/>
            </w:tcMar>
            <w:vAlign w:val="center"/>
          </w:tcPr>
          <w:p w14:paraId="146DD826"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32.7</w:t>
            </w:r>
          </w:p>
        </w:tc>
      </w:tr>
      <w:tr w:rsidR="00C34E74" w:rsidRPr="00AE1FD7" w14:paraId="4A4F9FE6" w14:textId="77777777" w:rsidTr="00C34E74">
        <w:trPr>
          <w:jc w:val="center"/>
        </w:trPr>
        <w:tc>
          <w:tcPr>
            <w:tcW w:w="1872" w:type="dxa"/>
            <w:vMerge/>
            <w:shd w:val="clear" w:color="auto" w:fill="FFFFFF"/>
            <w:tcMar>
              <w:top w:w="70" w:type="dxa"/>
              <w:left w:w="70" w:type="dxa"/>
              <w:bottom w:w="70" w:type="dxa"/>
              <w:right w:w="70" w:type="dxa"/>
            </w:tcMar>
            <w:vAlign w:val="center"/>
          </w:tcPr>
          <w:p w14:paraId="787A8DCE" w14:textId="77777777" w:rsidR="00C34E74" w:rsidRPr="00AE1FD7" w:rsidRDefault="00C34E74" w:rsidP="00C3635B">
            <w:pPr>
              <w:bidi/>
              <w:spacing w:after="0" w:line="240" w:lineRule="auto"/>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109F12F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جامعة حكومية</w:t>
            </w:r>
          </w:p>
        </w:tc>
        <w:tc>
          <w:tcPr>
            <w:tcW w:w="1304" w:type="dxa"/>
            <w:shd w:val="clear" w:color="auto" w:fill="FFFFFF"/>
            <w:tcMar>
              <w:top w:w="70" w:type="dxa"/>
              <w:left w:w="70" w:type="dxa"/>
              <w:bottom w:w="70" w:type="dxa"/>
              <w:right w:w="70" w:type="dxa"/>
            </w:tcMar>
            <w:vAlign w:val="center"/>
          </w:tcPr>
          <w:p w14:paraId="41A6922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54</w:t>
            </w:r>
          </w:p>
        </w:tc>
        <w:tc>
          <w:tcPr>
            <w:tcW w:w="1474" w:type="dxa"/>
            <w:shd w:val="clear" w:color="auto" w:fill="FFFFFF"/>
            <w:tcMar>
              <w:top w:w="70" w:type="dxa"/>
              <w:left w:w="70" w:type="dxa"/>
              <w:bottom w:w="70" w:type="dxa"/>
              <w:right w:w="70" w:type="dxa"/>
            </w:tcMar>
            <w:vAlign w:val="center"/>
          </w:tcPr>
          <w:p w14:paraId="2E428E0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17.0</w:t>
            </w:r>
          </w:p>
        </w:tc>
      </w:tr>
      <w:tr w:rsidR="00C34E74" w:rsidRPr="00AE1FD7" w14:paraId="70845F46" w14:textId="77777777" w:rsidTr="00C34E74">
        <w:trPr>
          <w:jc w:val="center"/>
        </w:trPr>
        <w:tc>
          <w:tcPr>
            <w:tcW w:w="1872" w:type="dxa"/>
            <w:vMerge/>
            <w:shd w:val="clear" w:color="auto" w:fill="F2F4F6"/>
            <w:tcMar>
              <w:top w:w="70" w:type="dxa"/>
              <w:left w:w="70" w:type="dxa"/>
              <w:bottom w:w="70" w:type="dxa"/>
              <w:right w:w="70" w:type="dxa"/>
            </w:tcMar>
            <w:vAlign w:val="center"/>
          </w:tcPr>
          <w:p w14:paraId="6BB60FF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428F9FF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جهة خدمية أخرى</w:t>
            </w:r>
          </w:p>
        </w:tc>
        <w:tc>
          <w:tcPr>
            <w:tcW w:w="1304" w:type="dxa"/>
            <w:shd w:val="clear" w:color="auto" w:fill="F2F4F6"/>
            <w:tcMar>
              <w:top w:w="70" w:type="dxa"/>
              <w:left w:w="70" w:type="dxa"/>
              <w:bottom w:w="70" w:type="dxa"/>
              <w:right w:w="70" w:type="dxa"/>
            </w:tcMar>
            <w:vAlign w:val="center"/>
          </w:tcPr>
          <w:p w14:paraId="1AF9B9B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62</w:t>
            </w:r>
          </w:p>
        </w:tc>
        <w:tc>
          <w:tcPr>
            <w:tcW w:w="1474" w:type="dxa"/>
            <w:shd w:val="clear" w:color="auto" w:fill="F2F4F6"/>
            <w:tcMar>
              <w:top w:w="70" w:type="dxa"/>
              <w:left w:w="70" w:type="dxa"/>
              <w:bottom w:w="70" w:type="dxa"/>
              <w:right w:w="70" w:type="dxa"/>
            </w:tcMar>
            <w:vAlign w:val="center"/>
          </w:tcPr>
          <w:p w14:paraId="7955ED7A"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19.5</w:t>
            </w:r>
          </w:p>
        </w:tc>
      </w:tr>
      <w:tr w:rsidR="00C34E74" w:rsidRPr="00AE1FD7" w14:paraId="1C8DF671" w14:textId="77777777" w:rsidTr="00C34E74">
        <w:trPr>
          <w:jc w:val="center"/>
        </w:trPr>
        <w:tc>
          <w:tcPr>
            <w:tcW w:w="1872" w:type="dxa"/>
            <w:vMerge w:val="restart"/>
            <w:shd w:val="clear" w:color="auto" w:fill="FFFFFF"/>
            <w:tcMar>
              <w:top w:w="70" w:type="dxa"/>
              <w:left w:w="70" w:type="dxa"/>
              <w:bottom w:w="70" w:type="dxa"/>
              <w:right w:w="70" w:type="dxa"/>
            </w:tcMar>
            <w:vAlign w:val="center"/>
          </w:tcPr>
          <w:p w14:paraId="2147E74F"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مجال العمل</w:t>
            </w:r>
          </w:p>
        </w:tc>
        <w:tc>
          <w:tcPr>
            <w:tcW w:w="3855" w:type="dxa"/>
            <w:shd w:val="clear" w:color="auto" w:fill="FFFFFF"/>
            <w:tcMar>
              <w:top w:w="70" w:type="dxa"/>
              <w:left w:w="70" w:type="dxa"/>
              <w:bottom w:w="70" w:type="dxa"/>
              <w:right w:w="70" w:type="dxa"/>
            </w:tcMar>
            <w:vAlign w:val="center"/>
          </w:tcPr>
          <w:p w14:paraId="5E81844F"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والمرافق</w:t>
            </w:r>
          </w:p>
        </w:tc>
        <w:tc>
          <w:tcPr>
            <w:tcW w:w="1304" w:type="dxa"/>
            <w:shd w:val="clear" w:color="auto" w:fill="FFFFFF"/>
            <w:tcMar>
              <w:top w:w="70" w:type="dxa"/>
              <w:left w:w="70" w:type="dxa"/>
              <w:bottom w:w="70" w:type="dxa"/>
              <w:right w:w="70" w:type="dxa"/>
            </w:tcMar>
            <w:vAlign w:val="center"/>
          </w:tcPr>
          <w:p w14:paraId="29BDB6E6"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79</w:t>
            </w:r>
          </w:p>
        </w:tc>
        <w:tc>
          <w:tcPr>
            <w:tcW w:w="1474" w:type="dxa"/>
            <w:shd w:val="clear" w:color="auto" w:fill="FFFFFF"/>
            <w:tcMar>
              <w:top w:w="70" w:type="dxa"/>
              <w:left w:w="70" w:type="dxa"/>
              <w:bottom w:w="70" w:type="dxa"/>
              <w:right w:w="70" w:type="dxa"/>
            </w:tcMar>
            <w:vAlign w:val="center"/>
          </w:tcPr>
          <w:p w14:paraId="6E1E541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24.8</w:t>
            </w:r>
          </w:p>
        </w:tc>
      </w:tr>
      <w:tr w:rsidR="00C34E74" w:rsidRPr="00AE1FD7" w14:paraId="0E876FA1" w14:textId="77777777" w:rsidTr="00C34E74">
        <w:trPr>
          <w:jc w:val="center"/>
        </w:trPr>
        <w:tc>
          <w:tcPr>
            <w:tcW w:w="1872" w:type="dxa"/>
            <w:vMerge/>
            <w:shd w:val="clear" w:color="auto" w:fill="F2F4F6"/>
            <w:tcMar>
              <w:top w:w="70" w:type="dxa"/>
              <w:left w:w="70" w:type="dxa"/>
              <w:bottom w:w="70" w:type="dxa"/>
              <w:right w:w="70" w:type="dxa"/>
            </w:tcMar>
            <w:vAlign w:val="center"/>
          </w:tcPr>
          <w:p w14:paraId="0D340420"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1F8F068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المالية والمحاسبة</w:t>
            </w:r>
          </w:p>
        </w:tc>
        <w:tc>
          <w:tcPr>
            <w:tcW w:w="1304" w:type="dxa"/>
            <w:shd w:val="clear" w:color="auto" w:fill="F2F4F6"/>
            <w:tcMar>
              <w:top w:w="70" w:type="dxa"/>
              <w:left w:w="70" w:type="dxa"/>
              <w:bottom w:w="70" w:type="dxa"/>
              <w:right w:w="70" w:type="dxa"/>
            </w:tcMar>
            <w:vAlign w:val="center"/>
          </w:tcPr>
          <w:p w14:paraId="4CF97C9F"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64</w:t>
            </w:r>
          </w:p>
        </w:tc>
        <w:tc>
          <w:tcPr>
            <w:tcW w:w="1474" w:type="dxa"/>
            <w:shd w:val="clear" w:color="auto" w:fill="F2F4F6"/>
            <w:tcMar>
              <w:top w:w="70" w:type="dxa"/>
              <w:left w:w="70" w:type="dxa"/>
              <w:bottom w:w="70" w:type="dxa"/>
              <w:right w:w="70" w:type="dxa"/>
            </w:tcMar>
            <w:vAlign w:val="center"/>
          </w:tcPr>
          <w:p w14:paraId="1A2EBFF9"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20.1</w:t>
            </w:r>
          </w:p>
        </w:tc>
      </w:tr>
      <w:tr w:rsidR="00C34E74" w:rsidRPr="00AE1FD7" w14:paraId="225C7F4E" w14:textId="77777777" w:rsidTr="00C34E74">
        <w:trPr>
          <w:jc w:val="center"/>
        </w:trPr>
        <w:tc>
          <w:tcPr>
            <w:tcW w:w="1872" w:type="dxa"/>
            <w:vMerge/>
            <w:shd w:val="clear" w:color="auto" w:fill="FFFFFF"/>
            <w:tcMar>
              <w:top w:w="70" w:type="dxa"/>
              <w:left w:w="70" w:type="dxa"/>
              <w:bottom w:w="70" w:type="dxa"/>
              <w:right w:w="70" w:type="dxa"/>
            </w:tcMar>
            <w:vAlign w:val="center"/>
          </w:tcPr>
          <w:p w14:paraId="7CD2217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245BCCD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المشتريات والعقود</w:t>
            </w:r>
          </w:p>
        </w:tc>
        <w:tc>
          <w:tcPr>
            <w:tcW w:w="1304" w:type="dxa"/>
            <w:shd w:val="clear" w:color="auto" w:fill="FFFFFF"/>
            <w:tcMar>
              <w:top w:w="70" w:type="dxa"/>
              <w:left w:w="70" w:type="dxa"/>
              <w:bottom w:w="70" w:type="dxa"/>
              <w:right w:w="70" w:type="dxa"/>
            </w:tcMar>
            <w:vAlign w:val="center"/>
          </w:tcPr>
          <w:p w14:paraId="70CE4DDC"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54</w:t>
            </w:r>
          </w:p>
        </w:tc>
        <w:tc>
          <w:tcPr>
            <w:tcW w:w="1474" w:type="dxa"/>
            <w:shd w:val="clear" w:color="auto" w:fill="FFFFFF"/>
            <w:tcMar>
              <w:top w:w="70" w:type="dxa"/>
              <w:left w:w="70" w:type="dxa"/>
              <w:bottom w:w="70" w:type="dxa"/>
              <w:right w:w="70" w:type="dxa"/>
            </w:tcMar>
            <w:vAlign w:val="center"/>
          </w:tcPr>
          <w:p w14:paraId="358DF77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17.0</w:t>
            </w:r>
          </w:p>
        </w:tc>
      </w:tr>
      <w:tr w:rsidR="00C34E74" w:rsidRPr="00AE1FD7" w14:paraId="5E1D617F" w14:textId="77777777" w:rsidTr="00C34E74">
        <w:trPr>
          <w:jc w:val="center"/>
        </w:trPr>
        <w:tc>
          <w:tcPr>
            <w:tcW w:w="1872" w:type="dxa"/>
            <w:vMerge/>
            <w:shd w:val="clear" w:color="auto" w:fill="F2F4F6"/>
            <w:tcMar>
              <w:top w:w="70" w:type="dxa"/>
              <w:left w:w="70" w:type="dxa"/>
              <w:bottom w:w="70" w:type="dxa"/>
              <w:right w:w="70" w:type="dxa"/>
            </w:tcMar>
            <w:vAlign w:val="center"/>
          </w:tcPr>
          <w:p w14:paraId="518CA7B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1C0A9276"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المراجعة الداخلية والمخاطر</w:t>
            </w:r>
          </w:p>
        </w:tc>
        <w:tc>
          <w:tcPr>
            <w:tcW w:w="1304" w:type="dxa"/>
            <w:shd w:val="clear" w:color="auto" w:fill="F2F4F6"/>
            <w:tcMar>
              <w:top w:w="70" w:type="dxa"/>
              <w:left w:w="70" w:type="dxa"/>
              <w:bottom w:w="70" w:type="dxa"/>
              <w:right w:w="70" w:type="dxa"/>
            </w:tcMar>
            <w:vAlign w:val="center"/>
          </w:tcPr>
          <w:p w14:paraId="5CA18C30"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63</w:t>
            </w:r>
          </w:p>
        </w:tc>
        <w:tc>
          <w:tcPr>
            <w:tcW w:w="1474" w:type="dxa"/>
            <w:shd w:val="clear" w:color="auto" w:fill="F2F4F6"/>
            <w:tcMar>
              <w:top w:w="70" w:type="dxa"/>
              <w:left w:w="70" w:type="dxa"/>
              <w:bottom w:w="70" w:type="dxa"/>
              <w:right w:w="70" w:type="dxa"/>
            </w:tcMar>
            <w:vAlign w:val="center"/>
          </w:tcPr>
          <w:p w14:paraId="3C8BE6A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19.8</w:t>
            </w:r>
          </w:p>
        </w:tc>
      </w:tr>
      <w:tr w:rsidR="00C34E74" w:rsidRPr="00AE1FD7" w14:paraId="24A34CF2" w14:textId="77777777" w:rsidTr="00C34E74">
        <w:trPr>
          <w:jc w:val="center"/>
        </w:trPr>
        <w:tc>
          <w:tcPr>
            <w:tcW w:w="1872" w:type="dxa"/>
            <w:vMerge/>
            <w:shd w:val="clear" w:color="auto" w:fill="FFFFFF"/>
            <w:tcMar>
              <w:top w:w="70" w:type="dxa"/>
              <w:left w:w="70" w:type="dxa"/>
              <w:bottom w:w="70" w:type="dxa"/>
              <w:right w:w="70" w:type="dxa"/>
            </w:tcMar>
            <w:vAlign w:val="center"/>
          </w:tcPr>
          <w:p w14:paraId="28323F7F"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2ABAB65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الهندسة والتشغيل والصيانة</w:t>
            </w:r>
          </w:p>
        </w:tc>
        <w:tc>
          <w:tcPr>
            <w:tcW w:w="1304" w:type="dxa"/>
            <w:shd w:val="clear" w:color="auto" w:fill="FFFFFF"/>
            <w:tcMar>
              <w:top w:w="70" w:type="dxa"/>
              <w:left w:w="70" w:type="dxa"/>
              <w:bottom w:w="70" w:type="dxa"/>
              <w:right w:w="70" w:type="dxa"/>
            </w:tcMar>
            <w:vAlign w:val="center"/>
          </w:tcPr>
          <w:p w14:paraId="57F2F5B6"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58</w:t>
            </w:r>
          </w:p>
        </w:tc>
        <w:tc>
          <w:tcPr>
            <w:tcW w:w="1474" w:type="dxa"/>
            <w:shd w:val="clear" w:color="auto" w:fill="FFFFFF"/>
            <w:tcMar>
              <w:top w:w="70" w:type="dxa"/>
              <w:left w:w="70" w:type="dxa"/>
              <w:bottom w:w="70" w:type="dxa"/>
              <w:right w:w="70" w:type="dxa"/>
            </w:tcMar>
            <w:vAlign w:val="center"/>
          </w:tcPr>
          <w:p w14:paraId="1EC91E7C"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18.2</w:t>
            </w:r>
          </w:p>
        </w:tc>
      </w:tr>
      <w:tr w:rsidR="00C34E74" w:rsidRPr="00AE1FD7" w14:paraId="15DA8B14" w14:textId="77777777" w:rsidTr="00C34E74">
        <w:trPr>
          <w:jc w:val="center"/>
        </w:trPr>
        <w:tc>
          <w:tcPr>
            <w:tcW w:w="1872" w:type="dxa"/>
            <w:vMerge w:val="restart"/>
            <w:shd w:val="clear" w:color="auto" w:fill="F2F4F6"/>
            <w:tcMar>
              <w:top w:w="70" w:type="dxa"/>
              <w:left w:w="70" w:type="dxa"/>
              <w:bottom w:w="70" w:type="dxa"/>
              <w:right w:w="70" w:type="dxa"/>
            </w:tcMar>
            <w:vAlign w:val="center"/>
          </w:tcPr>
          <w:p w14:paraId="27CBA7D9"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سنوات الخبرة</w:t>
            </w:r>
          </w:p>
        </w:tc>
        <w:tc>
          <w:tcPr>
            <w:tcW w:w="3855" w:type="dxa"/>
            <w:shd w:val="clear" w:color="auto" w:fill="F2F4F6"/>
            <w:tcMar>
              <w:top w:w="70" w:type="dxa"/>
              <w:left w:w="70" w:type="dxa"/>
              <w:bottom w:w="70" w:type="dxa"/>
              <w:right w:w="70" w:type="dxa"/>
            </w:tcMar>
            <w:vAlign w:val="center"/>
          </w:tcPr>
          <w:p w14:paraId="4AF2F1B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أقل من 5 سنوات</w:t>
            </w:r>
          </w:p>
        </w:tc>
        <w:tc>
          <w:tcPr>
            <w:tcW w:w="1304" w:type="dxa"/>
            <w:shd w:val="clear" w:color="auto" w:fill="F2F4F6"/>
            <w:tcMar>
              <w:top w:w="70" w:type="dxa"/>
              <w:left w:w="70" w:type="dxa"/>
              <w:bottom w:w="70" w:type="dxa"/>
              <w:right w:w="70" w:type="dxa"/>
            </w:tcMar>
            <w:vAlign w:val="center"/>
          </w:tcPr>
          <w:p w14:paraId="652F068A"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31</w:t>
            </w:r>
          </w:p>
        </w:tc>
        <w:tc>
          <w:tcPr>
            <w:tcW w:w="1474" w:type="dxa"/>
            <w:shd w:val="clear" w:color="auto" w:fill="F2F4F6"/>
            <w:tcMar>
              <w:top w:w="70" w:type="dxa"/>
              <w:left w:w="70" w:type="dxa"/>
              <w:bottom w:w="70" w:type="dxa"/>
              <w:right w:w="70" w:type="dxa"/>
            </w:tcMar>
            <w:vAlign w:val="center"/>
          </w:tcPr>
          <w:p w14:paraId="581AC3E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9.7</w:t>
            </w:r>
          </w:p>
        </w:tc>
      </w:tr>
      <w:tr w:rsidR="00C34E74" w:rsidRPr="00AE1FD7" w14:paraId="3A496DF2" w14:textId="77777777" w:rsidTr="00C34E74">
        <w:trPr>
          <w:jc w:val="center"/>
        </w:trPr>
        <w:tc>
          <w:tcPr>
            <w:tcW w:w="1872" w:type="dxa"/>
            <w:vMerge/>
            <w:shd w:val="clear" w:color="auto" w:fill="FFFFFF"/>
            <w:tcMar>
              <w:top w:w="70" w:type="dxa"/>
              <w:left w:w="70" w:type="dxa"/>
              <w:bottom w:w="70" w:type="dxa"/>
              <w:right w:w="70" w:type="dxa"/>
            </w:tcMar>
            <w:vAlign w:val="center"/>
          </w:tcPr>
          <w:p w14:paraId="7C16320A"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7A8A972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5 إلى أقل من 10 سنوات</w:t>
            </w:r>
          </w:p>
        </w:tc>
        <w:tc>
          <w:tcPr>
            <w:tcW w:w="1304" w:type="dxa"/>
            <w:shd w:val="clear" w:color="auto" w:fill="FFFFFF"/>
            <w:tcMar>
              <w:top w:w="70" w:type="dxa"/>
              <w:left w:w="70" w:type="dxa"/>
              <w:bottom w:w="70" w:type="dxa"/>
              <w:right w:w="70" w:type="dxa"/>
            </w:tcMar>
            <w:vAlign w:val="center"/>
          </w:tcPr>
          <w:p w14:paraId="31D688C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92</w:t>
            </w:r>
          </w:p>
        </w:tc>
        <w:tc>
          <w:tcPr>
            <w:tcW w:w="1474" w:type="dxa"/>
            <w:shd w:val="clear" w:color="auto" w:fill="FFFFFF"/>
            <w:tcMar>
              <w:top w:w="70" w:type="dxa"/>
              <w:left w:w="70" w:type="dxa"/>
              <w:bottom w:w="70" w:type="dxa"/>
              <w:right w:w="70" w:type="dxa"/>
            </w:tcMar>
            <w:vAlign w:val="center"/>
          </w:tcPr>
          <w:p w14:paraId="0E49A4F1"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28.9</w:t>
            </w:r>
          </w:p>
        </w:tc>
      </w:tr>
      <w:tr w:rsidR="00C34E74" w:rsidRPr="00AE1FD7" w14:paraId="52CABA80" w14:textId="77777777" w:rsidTr="00C34E74">
        <w:trPr>
          <w:jc w:val="center"/>
        </w:trPr>
        <w:tc>
          <w:tcPr>
            <w:tcW w:w="1872" w:type="dxa"/>
            <w:vMerge/>
            <w:shd w:val="clear" w:color="auto" w:fill="F2F4F6"/>
            <w:tcMar>
              <w:top w:w="70" w:type="dxa"/>
              <w:left w:w="70" w:type="dxa"/>
              <w:bottom w:w="70" w:type="dxa"/>
              <w:right w:w="70" w:type="dxa"/>
            </w:tcMar>
            <w:vAlign w:val="center"/>
          </w:tcPr>
          <w:p w14:paraId="2E0B9FD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0EFF435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10 إلى أقل من 15 سنة</w:t>
            </w:r>
          </w:p>
        </w:tc>
        <w:tc>
          <w:tcPr>
            <w:tcW w:w="1304" w:type="dxa"/>
            <w:shd w:val="clear" w:color="auto" w:fill="F2F4F6"/>
            <w:tcMar>
              <w:top w:w="70" w:type="dxa"/>
              <w:left w:w="70" w:type="dxa"/>
              <w:bottom w:w="70" w:type="dxa"/>
              <w:right w:w="70" w:type="dxa"/>
            </w:tcMar>
            <w:vAlign w:val="center"/>
          </w:tcPr>
          <w:p w14:paraId="71C7F4D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100</w:t>
            </w:r>
          </w:p>
        </w:tc>
        <w:tc>
          <w:tcPr>
            <w:tcW w:w="1474" w:type="dxa"/>
            <w:shd w:val="clear" w:color="auto" w:fill="F2F4F6"/>
            <w:tcMar>
              <w:top w:w="70" w:type="dxa"/>
              <w:left w:w="70" w:type="dxa"/>
              <w:bottom w:w="70" w:type="dxa"/>
              <w:right w:w="70" w:type="dxa"/>
            </w:tcMar>
            <w:vAlign w:val="center"/>
          </w:tcPr>
          <w:p w14:paraId="1F09B753"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31.4</w:t>
            </w:r>
          </w:p>
        </w:tc>
      </w:tr>
      <w:tr w:rsidR="00C34E74" w:rsidRPr="00AE1FD7" w14:paraId="36764541" w14:textId="77777777" w:rsidTr="00C34E74">
        <w:trPr>
          <w:jc w:val="center"/>
        </w:trPr>
        <w:tc>
          <w:tcPr>
            <w:tcW w:w="1872" w:type="dxa"/>
            <w:vMerge/>
            <w:shd w:val="clear" w:color="auto" w:fill="FFFFFF"/>
            <w:tcMar>
              <w:top w:w="70" w:type="dxa"/>
              <w:left w:w="70" w:type="dxa"/>
              <w:bottom w:w="70" w:type="dxa"/>
              <w:right w:w="70" w:type="dxa"/>
            </w:tcMar>
            <w:vAlign w:val="center"/>
          </w:tcPr>
          <w:p w14:paraId="4661A80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2B78D59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15 سنة فأكثر</w:t>
            </w:r>
          </w:p>
        </w:tc>
        <w:tc>
          <w:tcPr>
            <w:tcW w:w="1304" w:type="dxa"/>
            <w:shd w:val="clear" w:color="auto" w:fill="FFFFFF"/>
            <w:tcMar>
              <w:top w:w="70" w:type="dxa"/>
              <w:left w:w="70" w:type="dxa"/>
              <w:bottom w:w="70" w:type="dxa"/>
              <w:right w:w="70" w:type="dxa"/>
            </w:tcMar>
            <w:vAlign w:val="center"/>
          </w:tcPr>
          <w:p w14:paraId="55A7A82C"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95</w:t>
            </w:r>
          </w:p>
        </w:tc>
        <w:tc>
          <w:tcPr>
            <w:tcW w:w="1474" w:type="dxa"/>
            <w:shd w:val="clear" w:color="auto" w:fill="FFFFFF"/>
            <w:tcMar>
              <w:top w:w="70" w:type="dxa"/>
              <w:left w:w="70" w:type="dxa"/>
              <w:bottom w:w="70" w:type="dxa"/>
              <w:right w:w="70" w:type="dxa"/>
            </w:tcMar>
            <w:vAlign w:val="center"/>
          </w:tcPr>
          <w:p w14:paraId="1BEB8C68"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29.9</w:t>
            </w:r>
          </w:p>
        </w:tc>
      </w:tr>
      <w:tr w:rsidR="00C34E74" w:rsidRPr="00AE1FD7" w14:paraId="63868428" w14:textId="77777777" w:rsidTr="00C34E74">
        <w:trPr>
          <w:jc w:val="center"/>
        </w:trPr>
        <w:tc>
          <w:tcPr>
            <w:tcW w:w="1872" w:type="dxa"/>
            <w:vMerge w:val="restart"/>
            <w:shd w:val="clear" w:color="auto" w:fill="F2F4F6"/>
            <w:tcMar>
              <w:top w:w="70" w:type="dxa"/>
              <w:left w:w="70" w:type="dxa"/>
              <w:bottom w:w="70" w:type="dxa"/>
              <w:right w:w="70" w:type="dxa"/>
            </w:tcMar>
            <w:vAlign w:val="center"/>
          </w:tcPr>
          <w:p w14:paraId="724B8F6C"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المستوى الإداري</w:t>
            </w:r>
          </w:p>
        </w:tc>
        <w:tc>
          <w:tcPr>
            <w:tcW w:w="3855" w:type="dxa"/>
            <w:shd w:val="clear" w:color="auto" w:fill="F2F4F6"/>
            <w:tcMar>
              <w:top w:w="70" w:type="dxa"/>
              <w:left w:w="70" w:type="dxa"/>
              <w:bottom w:w="70" w:type="dxa"/>
              <w:right w:w="70" w:type="dxa"/>
            </w:tcMar>
            <w:vAlign w:val="center"/>
          </w:tcPr>
          <w:p w14:paraId="57CA270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تنفيذي/أخصائي</w:t>
            </w:r>
          </w:p>
        </w:tc>
        <w:tc>
          <w:tcPr>
            <w:tcW w:w="1304" w:type="dxa"/>
            <w:shd w:val="clear" w:color="auto" w:fill="F2F4F6"/>
            <w:tcMar>
              <w:top w:w="70" w:type="dxa"/>
              <w:left w:w="70" w:type="dxa"/>
              <w:bottom w:w="70" w:type="dxa"/>
              <w:right w:w="70" w:type="dxa"/>
            </w:tcMar>
            <w:vAlign w:val="center"/>
          </w:tcPr>
          <w:p w14:paraId="01474C7A"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130</w:t>
            </w:r>
          </w:p>
        </w:tc>
        <w:tc>
          <w:tcPr>
            <w:tcW w:w="1474" w:type="dxa"/>
            <w:shd w:val="clear" w:color="auto" w:fill="F2F4F6"/>
            <w:tcMar>
              <w:top w:w="70" w:type="dxa"/>
              <w:left w:w="70" w:type="dxa"/>
              <w:bottom w:w="70" w:type="dxa"/>
              <w:right w:w="70" w:type="dxa"/>
            </w:tcMar>
            <w:vAlign w:val="center"/>
          </w:tcPr>
          <w:p w14:paraId="274D822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40.9</w:t>
            </w:r>
          </w:p>
        </w:tc>
      </w:tr>
      <w:tr w:rsidR="00C34E74" w:rsidRPr="00AE1FD7" w14:paraId="4016A992" w14:textId="77777777" w:rsidTr="00C34E74">
        <w:trPr>
          <w:jc w:val="center"/>
        </w:trPr>
        <w:tc>
          <w:tcPr>
            <w:tcW w:w="1872" w:type="dxa"/>
            <w:vMerge/>
            <w:shd w:val="clear" w:color="auto" w:fill="FFFFFF"/>
            <w:tcMar>
              <w:top w:w="70" w:type="dxa"/>
              <w:left w:w="70" w:type="dxa"/>
              <w:bottom w:w="70" w:type="dxa"/>
              <w:right w:w="70" w:type="dxa"/>
            </w:tcMar>
            <w:vAlign w:val="center"/>
          </w:tcPr>
          <w:p w14:paraId="3A88D92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2EFF4419"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إشرافي</w:t>
            </w:r>
          </w:p>
        </w:tc>
        <w:tc>
          <w:tcPr>
            <w:tcW w:w="1304" w:type="dxa"/>
            <w:shd w:val="clear" w:color="auto" w:fill="FFFFFF"/>
            <w:tcMar>
              <w:top w:w="70" w:type="dxa"/>
              <w:left w:w="70" w:type="dxa"/>
              <w:bottom w:w="70" w:type="dxa"/>
              <w:right w:w="70" w:type="dxa"/>
            </w:tcMar>
            <w:vAlign w:val="center"/>
          </w:tcPr>
          <w:p w14:paraId="11E43CE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109</w:t>
            </w:r>
          </w:p>
        </w:tc>
        <w:tc>
          <w:tcPr>
            <w:tcW w:w="1474" w:type="dxa"/>
            <w:shd w:val="clear" w:color="auto" w:fill="FFFFFF"/>
            <w:tcMar>
              <w:top w:w="70" w:type="dxa"/>
              <w:left w:w="70" w:type="dxa"/>
              <w:bottom w:w="70" w:type="dxa"/>
              <w:right w:w="70" w:type="dxa"/>
            </w:tcMar>
            <w:vAlign w:val="center"/>
          </w:tcPr>
          <w:p w14:paraId="7C00A714"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34.3</w:t>
            </w:r>
          </w:p>
        </w:tc>
      </w:tr>
      <w:tr w:rsidR="00C34E74" w:rsidRPr="00AE1FD7" w14:paraId="4EED9A97" w14:textId="77777777" w:rsidTr="00C34E74">
        <w:trPr>
          <w:jc w:val="center"/>
        </w:trPr>
        <w:tc>
          <w:tcPr>
            <w:tcW w:w="1872" w:type="dxa"/>
            <w:vMerge/>
            <w:shd w:val="clear" w:color="auto" w:fill="F2F4F6"/>
            <w:tcMar>
              <w:top w:w="70" w:type="dxa"/>
              <w:left w:w="70" w:type="dxa"/>
              <w:bottom w:w="70" w:type="dxa"/>
              <w:right w:w="70" w:type="dxa"/>
            </w:tcMar>
            <w:vAlign w:val="center"/>
          </w:tcPr>
          <w:p w14:paraId="407410E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3FB8E647"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قيادي</w:t>
            </w:r>
          </w:p>
        </w:tc>
        <w:tc>
          <w:tcPr>
            <w:tcW w:w="1304" w:type="dxa"/>
            <w:shd w:val="clear" w:color="auto" w:fill="F2F4F6"/>
            <w:tcMar>
              <w:top w:w="70" w:type="dxa"/>
              <w:left w:w="70" w:type="dxa"/>
              <w:bottom w:w="70" w:type="dxa"/>
              <w:right w:w="70" w:type="dxa"/>
            </w:tcMar>
            <w:vAlign w:val="center"/>
          </w:tcPr>
          <w:p w14:paraId="3366F767"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79</w:t>
            </w:r>
          </w:p>
        </w:tc>
        <w:tc>
          <w:tcPr>
            <w:tcW w:w="1474" w:type="dxa"/>
            <w:shd w:val="clear" w:color="auto" w:fill="F2F4F6"/>
            <w:tcMar>
              <w:top w:w="70" w:type="dxa"/>
              <w:left w:w="70" w:type="dxa"/>
              <w:bottom w:w="70" w:type="dxa"/>
              <w:right w:w="70" w:type="dxa"/>
            </w:tcMar>
            <w:vAlign w:val="center"/>
          </w:tcPr>
          <w:p w14:paraId="102DFA7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24.8</w:t>
            </w:r>
          </w:p>
        </w:tc>
      </w:tr>
      <w:tr w:rsidR="00C34E74" w:rsidRPr="00AE1FD7" w14:paraId="7672BE74" w14:textId="77777777" w:rsidTr="00C34E74">
        <w:trPr>
          <w:jc w:val="center"/>
        </w:trPr>
        <w:tc>
          <w:tcPr>
            <w:tcW w:w="1872" w:type="dxa"/>
            <w:vMerge w:val="restart"/>
            <w:shd w:val="clear" w:color="auto" w:fill="FFFFFF"/>
            <w:tcMar>
              <w:top w:w="70" w:type="dxa"/>
              <w:left w:w="70" w:type="dxa"/>
              <w:bottom w:w="70" w:type="dxa"/>
              <w:right w:w="70" w:type="dxa"/>
            </w:tcMar>
            <w:vAlign w:val="center"/>
          </w:tcPr>
          <w:p w14:paraId="0C506F0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المؤهل العلمي</w:t>
            </w:r>
          </w:p>
        </w:tc>
        <w:tc>
          <w:tcPr>
            <w:tcW w:w="3855" w:type="dxa"/>
            <w:shd w:val="clear" w:color="auto" w:fill="FFFFFF"/>
            <w:tcMar>
              <w:top w:w="70" w:type="dxa"/>
              <w:left w:w="70" w:type="dxa"/>
              <w:bottom w:w="70" w:type="dxa"/>
              <w:right w:w="70" w:type="dxa"/>
            </w:tcMar>
            <w:vAlign w:val="center"/>
          </w:tcPr>
          <w:p w14:paraId="04BFD65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دبلوم فأقل</w:t>
            </w:r>
          </w:p>
        </w:tc>
        <w:tc>
          <w:tcPr>
            <w:tcW w:w="1304" w:type="dxa"/>
            <w:shd w:val="clear" w:color="auto" w:fill="FFFFFF"/>
            <w:tcMar>
              <w:top w:w="70" w:type="dxa"/>
              <w:left w:w="70" w:type="dxa"/>
              <w:bottom w:w="70" w:type="dxa"/>
              <w:right w:w="70" w:type="dxa"/>
            </w:tcMar>
            <w:vAlign w:val="center"/>
          </w:tcPr>
          <w:p w14:paraId="4E8E213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25</w:t>
            </w:r>
          </w:p>
        </w:tc>
        <w:tc>
          <w:tcPr>
            <w:tcW w:w="1474" w:type="dxa"/>
            <w:shd w:val="clear" w:color="auto" w:fill="FFFFFF"/>
            <w:tcMar>
              <w:top w:w="70" w:type="dxa"/>
              <w:left w:w="70" w:type="dxa"/>
              <w:bottom w:w="70" w:type="dxa"/>
              <w:right w:w="70" w:type="dxa"/>
            </w:tcMar>
            <w:vAlign w:val="center"/>
          </w:tcPr>
          <w:p w14:paraId="3D9E215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7.9</w:t>
            </w:r>
          </w:p>
        </w:tc>
      </w:tr>
      <w:tr w:rsidR="00C34E74" w:rsidRPr="00AE1FD7" w14:paraId="1FFD2A88" w14:textId="77777777" w:rsidTr="00C34E74">
        <w:trPr>
          <w:jc w:val="center"/>
        </w:trPr>
        <w:tc>
          <w:tcPr>
            <w:tcW w:w="1872" w:type="dxa"/>
            <w:vMerge/>
            <w:shd w:val="clear" w:color="auto" w:fill="F2F4F6"/>
            <w:tcMar>
              <w:top w:w="70" w:type="dxa"/>
              <w:left w:w="70" w:type="dxa"/>
              <w:bottom w:w="70" w:type="dxa"/>
              <w:right w:w="70" w:type="dxa"/>
            </w:tcMar>
            <w:vAlign w:val="center"/>
          </w:tcPr>
          <w:p w14:paraId="2B0167E5"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6FFB8A7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بكالوريوس</w:t>
            </w:r>
          </w:p>
        </w:tc>
        <w:tc>
          <w:tcPr>
            <w:tcW w:w="1304" w:type="dxa"/>
            <w:shd w:val="clear" w:color="auto" w:fill="F2F4F6"/>
            <w:tcMar>
              <w:top w:w="70" w:type="dxa"/>
              <w:left w:w="70" w:type="dxa"/>
              <w:bottom w:w="70" w:type="dxa"/>
              <w:right w:w="70" w:type="dxa"/>
            </w:tcMar>
            <w:vAlign w:val="center"/>
          </w:tcPr>
          <w:p w14:paraId="1FFCD67F"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151</w:t>
            </w:r>
          </w:p>
        </w:tc>
        <w:tc>
          <w:tcPr>
            <w:tcW w:w="1474" w:type="dxa"/>
            <w:shd w:val="clear" w:color="auto" w:fill="F2F4F6"/>
            <w:tcMar>
              <w:top w:w="70" w:type="dxa"/>
              <w:left w:w="70" w:type="dxa"/>
              <w:bottom w:w="70" w:type="dxa"/>
              <w:right w:w="70" w:type="dxa"/>
            </w:tcMar>
            <w:vAlign w:val="center"/>
          </w:tcPr>
          <w:p w14:paraId="41BD8DF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47.5</w:t>
            </w:r>
          </w:p>
        </w:tc>
      </w:tr>
      <w:tr w:rsidR="00C34E74" w:rsidRPr="00AE1FD7" w14:paraId="1AC0A298" w14:textId="77777777" w:rsidTr="00C34E74">
        <w:trPr>
          <w:jc w:val="center"/>
        </w:trPr>
        <w:tc>
          <w:tcPr>
            <w:tcW w:w="1872" w:type="dxa"/>
            <w:vMerge/>
            <w:shd w:val="clear" w:color="auto" w:fill="FFFFFF"/>
            <w:tcMar>
              <w:top w:w="70" w:type="dxa"/>
              <w:left w:w="70" w:type="dxa"/>
              <w:bottom w:w="70" w:type="dxa"/>
              <w:right w:w="70" w:type="dxa"/>
            </w:tcMar>
            <w:vAlign w:val="center"/>
          </w:tcPr>
          <w:p w14:paraId="4E557467"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FFFFF"/>
            <w:tcMar>
              <w:top w:w="70" w:type="dxa"/>
              <w:left w:w="70" w:type="dxa"/>
              <w:bottom w:w="70" w:type="dxa"/>
              <w:right w:w="70" w:type="dxa"/>
            </w:tcMar>
            <w:vAlign w:val="center"/>
          </w:tcPr>
          <w:p w14:paraId="3F5F7AD2"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ماجستير</w:t>
            </w:r>
          </w:p>
        </w:tc>
        <w:tc>
          <w:tcPr>
            <w:tcW w:w="1304" w:type="dxa"/>
            <w:shd w:val="clear" w:color="auto" w:fill="FFFFFF"/>
            <w:tcMar>
              <w:top w:w="70" w:type="dxa"/>
              <w:left w:w="70" w:type="dxa"/>
              <w:bottom w:w="70" w:type="dxa"/>
              <w:right w:w="70" w:type="dxa"/>
            </w:tcMar>
            <w:vAlign w:val="center"/>
          </w:tcPr>
          <w:p w14:paraId="4CF7973D"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124</w:t>
            </w:r>
          </w:p>
        </w:tc>
        <w:tc>
          <w:tcPr>
            <w:tcW w:w="1474" w:type="dxa"/>
            <w:shd w:val="clear" w:color="auto" w:fill="FFFFFF"/>
            <w:tcMar>
              <w:top w:w="70" w:type="dxa"/>
              <w:left w:w="70" w:type="dxa"/>
              <w:bottom w:w="70" w:type="dxa"/>
              <w:right w:w="70" w:type="dxa"/>
            </w:tcMar>
            <w:vAlign w:val="center"/>
          </w:tcPr>
          <w:p w14:paraId="5171EDE7"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39.0</w:t>
            </w:r>
          </w:p>
        </w:tc>
      </w:tr>
      <w:tr w:rsidR="00C34E74" w:rsidRPr="00AE1FD7" w14:paraId="6F250E3A" w14:textId="77777777" w:rsidTr="00C34E74">
        <w:trPr>
          <w:jc w:val="center"/>
        </w:trPr>
        <w:tc>
          <w:tcPr>
            <w:tcW w:w="1872" w:type="dxa"/>
            <w:vMerge/>
            <w:shd w:val="clear" w:color="auto" w:fill="F2F4F6"/>
            <w:tcMar>
              <w:top w:w="70" w:type="dxa"/>
              <w:left w:w="70" w:type="dxa"/>
              <w:bottom w:w="70" w:type="dxa"/>
              <w:right w:w="70" w:type="dxa"/>
            </w:tcMar>
            <w:vAlign w:val="center"/>
          </w:tcPr>
          <w:p w14:paraId="6B2A555E" w14:textId="77777777" w:rsidR="00C34E74" w:rsidRPr="00AE1FD7" w:rsidRDefault="00C34E74" w:rsidP="00C3635B">
            <w:pPr>
              <w:bidi/>
              <w:spacing w:after="0" w:line="240" w:lineRule="auto"/>
              <w:ind w:firstLine="0"/>
              <w:jc w:val="center"/>
              <w:rPr>
                <w:rFonts w:ascii="Sakkal Majalla" w:hAnsi="Sakkal Majalla" w:cs="Sakkal Majalla"/>
                <w:sz w:val="36"/>
                <w:szCs w:val="36"/>
              </w:rPr>
            </w:pPr>
          </w:p>
        </w:tc>
        <w:tc>
          <w:tcPr>
            <w:tcW w:w="3855" w:type="dxa"/>
            <w:shd w:val="clear" w:color="auto" w:fill="F2F4F6"/>
            <w:tcMar>
              <w:top w:w="70" w:type="dxa"/>
              <w:left w:w="70" w:type="dxa"/>
              <w:bottom w:w="70" w:type="dxa"/>
              <w:right w:w="70" w:type="dxa"/>
            </w:tcMar>
            <w:vAlign w:val="center"/>
          </w:tcPr>
          <w:p w14:paraId="5219E12C"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دكتوراه</w:t>
            </w:r>
          </w:p>
        </w:tc>
        <w:tc>
          <w:tcPr>
            <w:tcW w:w="1304" w:type="dxa"/>
            <w:shd w:val="clear" w:color="auto" w:fill="F2F4F6"/>
            <w:tcMar>
              <w:top w:w="70" w:type="dxa"/>
              <w:left w:w="70" w:type="dxa"/>
              <w:bottom w:w="70" w:type="dxa"/>
              <w:right w:w="70" w:type="dxa"/>
            </w:tcMar>
            <w:vAlign w:val="center"/>
          </w:tcPr>
          <w:p w14:paraId="45E02FB9"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18</w:t>
            </w:r>
          </w:p>
        </w:tc>
        <w:tc>
          <w:tcPr>
            <w:tcW w:w="1474" w:type="dxa"/>
            <w:shd w:val="clear" w:color="auto" w:fill="F2F4F6"/>
            <w:tcMar>
              <w:top w:w="70" w:type="dxa"/>
              <w:left w:w="70" w:type="dxa"/>
              <w:bottom w:w="70" w:type="dxa"/>
              <w:right w:w="70" w:type="dxa"/>
            </w:tcMar>
            <w:vAlign w:val="center"/>
          </w:tcPr>
          <w:p w14:paraId="4493A4C6" w14:textId="77777777" w:rsidR="00C34E74" w:rsidRPr="00AE1FD7" w:rsidRDefault="00C34E74" w:rsidP="00C3635B">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5.7</w:t>
            </w:r>
          </w:p>
        </w:tc>
      </w:tr>
    </w:tbl>
    <w:p w14:paraId="7B9FC027"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3A9B8663" w14:textId="77777777" w:rsidR="00C34E74" w:rsidRPr="00AE1FD7" w:rsidRDefault="00C34E74" w:rsidP="00C34E74">
      <w:pPr>
        <w:bidi/>
        <w:spacing w:after="0" w:line="240" w:lineRule="auto"/>
        <w:ind w:firstLine="0"/>
        <w:rPr>
          <w:rFonts w:ascii="Sakkal Majalla" w:hAnsi="Sakkal Majalla" w:cs="Sakkal Majalla"/>
          <w:sz w:val="36"/>
          <w:szCs w:val="36"/>
        </w:rPr>
      </w:pPr>
    </w:p>
    <w:p w14:paraId="7B7F654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يبين توزيع العينة تنوعاً مؤسسياً ووظيفياً مناسباً. فقد مثلت الوزارات 32.4%، والهيئات والمؤسسات العامة 29.9%، والجهات الخدمية الأخرى 20.4%، والجامعات الحكومية 17.3%. ومن حيث مجال العمل، كانت أعلى نسبة لإدارات الأصول والمرافق، تلتها المالية والمحاسبة، ثم الهندسة والتشغيل والصيانة.</w:t>
      </w:r>
    </w:p>
    <w:p w14:paraId="615DEC9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كما ظهر تمثيل جيد لمستويات الخبرة؛ إذ شكل أصحاب الخبرة من عشر إلى أقل من خمس عشرة سنة النسبة الأكبر، تلاهم من لديهم خمس إلى أقل من عشر سنوات ثم خمس عشرة سنة فأكثر. وبلغت نسبة القيادات والمشرفين مجتمعة أكثر من نصف العينة، ما يدعم قدرة المشاركين على تقييم السياسات والقرارات.</w:t>
      </w:r>
    </w:p>
    <w:p w14:paraId="6B49A6D4" w14:textId="77777777" w:rsidR="00986803" w:rsidRPr="00AE1FD7" w:rsidRDefault="00C34E74" w:rsidP="00C34E74">
      <w:pPr>
        <w:keepNext/>
        <w:bidi/>
        <w:spacing w:after="0" w:line="240" w:lineRule="auto"/>
        <w:ind w:firstLine="0"/>
        <w:rPr>
          <w:rFonts w:ascii="Sakkal Majalla" w:hAnsi="Sakkal Majalla" w:cs="Sakkal Majalla"/>
          <w:sz w:val="36"/>
          <w:szCs w:val="36"/>
        </w:rPr>
      </w:pPr>
      <w:bookmarkStart w:id="95" w:name="figure_entity_distribution"/>
      <w:r w:rsidRPr="00C34E74">
        <w:rPr>
          <w:rFonts w:ascii="Sakkal Majalla" w:eastAsia="Noto Kufi Arabic" w:hAnsi="Sakkal Majalla" w:cs="Sakkal Majalla"/>
          <w:b/>
          <w:noProof/>
          <w:color w:val="17365D"/>
          <w:sz w:val="36"/>
          <w:szCs w:val="36"/>
          <w:rtl/>
          <w:lang w:val="ar-SA"/>
        </w:rPr>
        <w:lastRenderedPageBreak/>
        <w:drawing>
          <wp:anchor distT="0" distB="0" distL="114300" distR="114300" simplePos="0" relativeHeight="251665408" behindDoc="0" locked="0" layoutInCell="1" allowOverlap="1" wp14:anchorId="21C6511F" wp14:editId="0460E9A4">
            <wp:simplePos x="0" y="0"/>
            <wp:positionH relativeFrom="margin">
              <wp:align>left</wp:align>
            </wp:positionH>
            <wp:positionV relativeFrom="paragraph">
              <wp:posOffset>1905</wp:posOffset>
            </wp:positionV>
            <wp:extent cx="5473700" cy="3496310"/>
            <wp:effectExtent l="0" t="0" r="0" b="8890"/>
            <wp:wrapTight wrapText="bothSides">
              <wp:wrapPolygon edited="0">
                <wp:start x="0" y="0"/>
                <wp:lineTo x="0" y="21537"/>
                <wp:lineTo x="21500" y="21537"/>
                <wp:lineTo x="21500" y="0"/>
                <wp:lineTo x="0" y="0"/>
              </wp:wrapPolygon>
            </wp:wrapTight>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73700" cy="3496310"/>
                    </a:xfrm>
                    <a:prstGeom prst="rect">
                      <a:avLst/>
                    </a:prstGeom>
                  </pic:spPr>
                </pic:pic>
              </a:graphicData>
            </a:graphic>
            <wp14:sizeRelH relativeFrom="margin">
              <wp14:pctWidth>0</wp14:pctWidth>
            </wp14:sizeRelH>
            <wp14:sizeRelV relativeFrom="margin">
              <wp14:pctHeight>0</wp14:pctHeight>
            </wp14:sizeRelV>
          </wp:anchor>
        </w:drawing>
      </w:r>
      <w:bookmarkEnd w:id="95"/>
      <w:r w:rsidR="00DB29B7" w:rsidRPr="00AE1FD7">
        <w:rPr>
          <w:rFonts w:ascii="Sakkal Majalla" w:eastAsia="Noto Kufi Arabic" w:hAnsi="Sakkal Majalla" w:cs="Sakkal Majalla"/>
          <w:sz w:val="36"/>
          <w:szCs w:val="36"/>
          <w:rtl/>
          <w:lang w:val="ar-SA"/>
        </w:rPr>
        <w:t>4.4 نتائج صدق وثبات الأداة في العينة الرئيسة</w:t>
      </w:r>
      <w:r>
        <w:rPr>
          <w:rFonts w:ascii="Sakkal Majalla" w:eastAsia="Noto Kufi Arabic" w:hAnsi="Sakkal Majalla" w:cs="Sakkal Majalla" w:hint="cs"/>
          <w:sz w:val="36"/>
          <w:szCs w:val="36"/>
          <w:rtl/>
          <w:lang w:val="ar-SA"/>
        </w:rPr>
        <w:t>:</w:t>
      </w:r>
    </w:p>
    <w:p w14:paraId="039214A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أكدت النتائج اتساق الأداة؛ فقد كانت جميع معاملات ارتباط البند ببعده دالة، وتجاوزت أدنى قيمة 0.54. كما بلغ KMO مقدار 0.954، وكانت قيمة </w:t>
      </w:r>
      <w:proofErr w:type="spellStart"/>
      <w:r w:rsidRPr="00AE1FD7">
        <w:rPr>
          <w:rFonts w:ascii="Sakkal Majalla" w:hAnsi="Sakkal Majalla" w:cs="Sakkal Majalla"/>
          <w:color w:val="000000"/>
          <w:sz w:val="36"/>
          <w:szCs w:val="36"/>
          <w:rtl/>
          <w:lang w:val="ar-SA"/>
        </w:rPr>
        <w:t>بارتليت</w:t>
      </w:r>
      <w:proofErr w:type="spellEnd"/>
      <w:r w:rsidRPr="00AE1FD7">
        <w:rPr>
          <w:rFonts w:ascii="Sakkal Majalla" w:hAnsi="Sakkal Majalla" w:cs="Sakkal Majalla"/>
          <w:color w:val="000000"/>
          <w:sz w:val="36"/>
          <w:szCs w:val="36"/>
          <w:rtl/>
          <w:lang w:val="ar-SA"/>
        </w:rPr>
        <w:t xml:space="preserve"> 5038.01 بدرجات حرية 496 ومستوى دلالة أقل من 0.001. واستخرج التحليل ستة عوامل فسرت 61.82% من التباين.</w:t>
      </w:r>
    </w:p>
    <w:p w14:paraId="162EBAB6"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أما الثبات فتراوحت معاملات الأبعاد بين 0.834 و0.897، وبلغت للأداة ككل 0.946. وتشير هذه النتائج إلى إمكانية الاعتماد على الدرجات المركبة في التحليلات اللاحقة.</w:t>
      </w:r>
    </w:p>
    <w:p w14:paraId="19BD9782" w14:textId="77777777" w:rsidR="00986803" w:rsidRPr="00C34E74" w:rsidRDefault="00DB29B7" w:rsidP="00C34E74">
      <w:pPr>
        <w:keepNext/>
        <w:bidi/>
        <w:spacing w:after="0" w:line="240" w:lineRule="auto"/>
        <w:ind w:firstLine="0"/>
        <w:jc w:val="center"/>
        <w:rPr>
          <w:rFonts w:ascii="Sakkal Majalla" w:hAnsi="Sakkal Majalla" w:cs="Sakkal Majalla"/>
          <w:bCs/>
          <w:sz w:val="36"/>
          <w:szCs w:val="36"/>
        </w:rPr>
      </w:pPr>
      <w:bookmarkStart w:id="96" w:name="table_measurement_quality"/>
      <w:r w:rsidRPr="00C34E74">
        <w:rPr>
          <w:rFonts w:ascii="Sakkal Majalla" w:eastAsia="Noto Kufi Arabic" w:hAnsi="Sakkal Majalla" w:cs="Sakkal Majalla"/>
          <w:bCs/>
          <w:color w:val="17365D"/>
          <w:sz w:val="36"/>
          <w:szCs w:val="36"/>
          <w:rtl/>
          <w:lang w:val="ar-SA"/>
        </w:rPr>
        <w:t>جدول (16): مؤشرات جودة القياس في العينة الرئيسة</w:t>
      </w:r>
      <w:bookmarkEnd w:id="96"/>
    </w:p>
    <w:tbl>
      <w:tblPr>
        <w:bidiVisual/>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3127"/>
        <w:gridCol w:w="2542"/>
      </w:tblGrid>
      <w:tr w:rsidR="00986803" w:rsidRPr="00C34E74" w14:paraId="04233177" w14:textId="77777777" w:rsidTr="00C34E74">
        <w:trPr>
          <w:cantSplit/>
          <w:tblHeader/>
          <w:jc w:val="center"/>
        </w:trPr>
        <w:tc>
          <w:tcPr>
            <w:tcW w:w="2836" w:type="dxa"/>
            <w:shd w:val="clear" w:color="auto" w:fill="17365D"/>
            <w:tcMar>
              <w:top w:w="90" w:type="dxa"/>
              <w:left w:w="80" w:type="dxa"/>
              <w:bottom w:w="90" w:type="dxa"/>
              <w:right w:w="80" w:type="dxa"/>
            </w:tcMar>
            <w:vAlign w:val="center"/>
          </w:tcPr>
          <w:p w14:paraId="196A2355" w14:textId="77777777" w:rsidR="00986803" w:rsidRPr="00C34E74" w:rsidRDefault="00DB29B7" w:rsidP="00C34E74">
            <w:pPr>
              <w:bidi/>
              <w:spacing w:after="0" w:line="240" w:lineRule="auto"/>
              <w:ind w:firstLine="0"/>
              <w:jc w:val="center"/>
              <w:rPr>
                <w:rFonts w:ascii="Sakkal Majalla" w:hAnsi="Sakkal Majalla" w:cs="Sakkal Majalla"/>
                <w:bCs/>
                <w:sz w:val="32"/>
                <w:szCs w:val="32"/>
              </w:rPr>
            </w:pPr>
            <w:r w:rsidRPr="00C34E74">
              <w:rPr>
                <w:rFonts w:ascii="Sakkal Majalla" w:eastAsia="Noto Kufi Arabic" w:hAnsi="Sakkal Majalla" w:cs="Sakkal Majalla"/>
                <w:bCs/>
                <w:color w:val="FFFFFF"/>
                <w:sz w:val="32"/>
                <w:szCs w:val="32"/>
                <w:rtl/>
                <w:lang w:val="ar-SA"/>
              </w:rPr>
              <w:t>المؤشر</w:t>
            </w:r>
          </w:p>
        </w:tc>
        <w:tc>
          <w:tcPr>
            <w:tcW w:w="3127" w:type="dxa"/>
            <w:shd w:val="clear" w:color="auto" w:fill="17365D"/>
            <w:tcMar>
              <w:top w:w="90" w:type="dxa"/>
              <w:left w:w="80" w:type="dxa"/>
              <w:bottom w:w="90" w:type="dxa"/>
              <w:right w:w="80" w:type="dxa"/>
            </w:tcMar>
            <w:vAlign w:val="center"/>
          </w:tcPr>
          <w:p w14:paraId="17DA23D6" w14:textId="77777777" w:rsidR="00986803" w:rsidRPr="00C34E74" w:rsidRDefault="00DB29B7" w:rsidP="00C34E74">
            <w:pPr>
              <w:bidi/>
              <w:spacing w:after="0" w:line="240" w:lineRule="auto"/>
              <w:ind w:firstLine="0"/>
              <w:jc w:val="center"/>
              <w:rPr>
                <w:rFonts w:ascii="Sakkal Majalla" w:hAnsi="Sakkal Majalla" w:cs="Sakkal Majalla"/>
                <w:bCs/>
                <w:sz w:val="32"/>
                <w:szCs w:val="32"/>
              </w:rPr>
            </w:pPr>
            <w:r w:rsidRPr="00C34E74">
              <w:rPr>
                <w:rFonts w:ascii="Sakkal Majalla" w:eastAsia="Noto Kufi Arabic" w:hAnsi="Sakkal Majalla" w:cs="Sakkal Majalla"/>
                <w:bCs/>
                <w:color w:val="FFFFFF"/>
                <w:sz w:val="32"/>
                <w:szCs w:val="32"/>
                <w:rtl/>
                <w:lang w:val="ar-SA"/>
              </w:rPr>
              <w:t>القيمة</w:t>
            </w:r>
          </w:p>
        </w:tc>
        <w:tc>
          <w:tcPr>
            <w:tcW w:w="2542" w:type="dxa"/>
            <w:shd w:val="clear" w:color="auto" w:fill="17365D"/>
            <w:tcMar>
              <w:top w:w="90" w:type="dxa"/>
              <w:left w:w="80" w:type="dxa"/>
              <w:bottom w:w="90" w:type="dxa"/>
              <w:right w:w="80" w:type="dxa"/>
            </w:tcMar>
            <w:vAlign w:val="center"/>
          </w:tcPr>
          <w:p w14:paraId="269D85D0" w14:textId="77777777" w:rsidR="00986803" w:rsidRPr="00C34E74" w:rsidRDefault="00DB29B7" w:rsidP="00C34E74">
            <w:pPr>
              <w:bidi/>
              <w:spacing w:after="0" w:line="240" w:lineRule="auto"/>
              <w:ind w:firstLine="0"/>
              <w:jc w:val="center"/>
              <w:rPr>
                <w:rFonts w:ascii="Sakkal Majalla" w:hAnsi="Sakkal Majalla" w:cs="Sakkal Majalla"/>
                <w:bCs/>
                <w:sz w:val="32"/>
                <w:szCs w:val="32"/>
              </w:rPr>
            </w:pPr>
            <w:r w:rsidRPr="00C34E74">
              <w:rPr>
                <w:rFonts w:ascii="Sakkal Majalla" w:eastAsia="Noto Kufi Arabic" w:hAnsi="Sakkal Majalla" w:cs="Sakkal Majalla"/>
                <w:bCs/>
                <w:color w:val="FFFFFF"/>
                <w:sz w:val="32"/>
                <w:szCs w:val="32"/>
                <w:rtl/>
                <w:lang w:val="ar-SA"/>
              </w:rPr>
              <w:t>الحكم</w:t>
            </w:r>
          </w:p>
        </w:tc>
      </w:tr>
      <w:tr w:rsidR="00986803" w:rsidRPr="00C34E74" w14:paraId="1D9288E0" w14:textId="77777777" w:rsidTr="00C34E74">
        <w:trPr>
          <w:jc w:val="center"/>
        </w:trPr>
        <w:tc>
          <w:tcPr>
            <w:tcW w:w="2836" w:type="dxa"/>
            <w:shd w:val="clear" w:color="auto" w:fill="FFFFFF"/>
            <w:tcMar>
              <w:top w:w="70" w:type="dxa"/>
              <w:left w:w="70" w:type="dxa"/>
              <w:bottom w:w="70" w:type="dxa"/>
              <w:right w:w="70" w:type="dxa"/>
            </w:tcMar>
            <w:vAlign w:val="center"/>
          </w:tcPr>
          <w:p w14:paraId="552D5ED9"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 xml:space="preserve">ألفا </w:t>
            </w:r>
            <w:proofErr w:type="spellStart"/>
            <w:r w:rsidRPr="00C34E74">
              <w:rPr>
                <w:rFonts w:ascii="Sakkal Majalla" w:hAnsi="Sakkal Majalla" w:cs="Sakkal Majalla"/>
                <w:color w:val="000000"/>
                <w:sz w:val="32"/>
                <w:szCs w:val="32"/>
                <w:rtl/>
                <w:lang w:val="ar-SA"/>
              </w:rPr>
              <w:t>كرونباخ</w:t>
            </w:r>
            <w:proofErr w:type="spellEnd"/>
            <w:r w:rsidRPr="00C34E74">
              <w:rPr>
                <w:rFonts w:ascii="Sakkal Majalla" w:hAnsi="Sakkal Majalla" w:cs="Sakkal Majalla"/>
                <w:color w:val="000000"/>
                <w:sz w:val="32"/>
                <w:szCs w:val="32"/>
                <w:rtl/>
                <w:lang w:val="ar-SA"/>
              </w:rPr>
              <w:t xml:space="preserve"> الكلي</w:t>
            </w:r>
          </w:p>
        </w:tc>
        <w:tc>
          <w:tcPr>
            <w:tcW w:w="3127" w:type="dxa"/>
            <w:shd w:val="clear" w:color="auto" w:fill="FFFFFF"/>
            <w:tcMar>
              <w:top w:w="70" w:type="dxa"/>
              <w:left w:w="70" w:type="dxa"/>
              <w:bottom w:w="70" w:type="dxa"/>
              <w:right w:w="70" w:type="dxa"/>
            </w:tcMar>
            <w:vAlign w:val="center"/>
          </w:tcPr>
          <w:p w14:paraId="489C82A6"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0.948</w:t>
            </w:r>
          </w:p>
        </w:tc>
        <w:tc>
          <w:tcPr>
            <w:tcW w:w="2542" w:type="dxa"/>
            <w:shd w:val="clear" w:color="auto" w:fill="FFFFFF"/>
            <w:tcMar>
              <w:top w:w="70" w:type="dxa"/>
              <w:left w:w="70" w:type="dxa"/>
              <w:bottom w:w="70" w:type="dxa"/>
              <w:right w:w="70" w:type="dxa"/>
            </w:tcMar>
            <w:vAlign w:val="center"/>
          </w:tcPr>
          <w:p w14:paraId="374CEFA6"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ثبات مرتفع جداً.</w:t>
            </w:r>
          </w:p>
        </w:tc>
      </w:tr>
      <w:tr w:rsidR="00986803" w:rsidRPr="00C34E74" w14:paraId="711378DF" w14:textId="77777777" w:rsidTr="00C34E74">
        <w:trPr>
          <w:jc w:val="center"/>
        </w:trPr>
        <w:tc>
          <w:tcPr>
            <w:tcW w:w="2836" w:type="dxa"/>
            <w:shd w:val="clear" w:color="auto" w:fill="F2F4F6"/>
            <w:tcMar>
              <w:top w:w="70" w:type="dxa"/>
              <w:left w:w="70" w:type="dxa"/>
              <w:bottom w:w="70" w:type="dxa"/>
              <w:right w:w="70" w:type="dxa"/>
            </w:tcMar>
            <w:vAlign w:val="center"/>
          </w:tcPr>
          <w:p w14:paraId="1999BD7D"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KMO</w:t>
            </w:r>
          </w:p>
        </w:tc>
        <w:tc>
          <w:tcPr>
            <w:tcW w:w="3127" w:type="dxa"/>
            <w:shd w:val="clear" w:color="auto" w:fill="F2F4F6"/>
            <w:tcMar>
              <w:top w:w="70" w:type="dxa"/>
              <w:left w:w="70" w:type="dxa"/>
              <w:bottom w:w="70" w:type="dxa"/>
              <w:right w:w="70" w:type="dxa"/>
            </w:tcMar>
            <w:vAlign w:val="center"/>
          </w:tcPr>
          <w:p w14:paraId="3A071C28"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0.954</w:t>
            </w:r>
          </w:p>
        </w:tc>
        <w:tc>
          <w:tcPr>
            <w:tcW w:w="2542" w:type="dxa"/>
            <w:shd w:val="clear" w:color="auto" w:fill="F2F4F6"/>
            <w:tcMar>
              <w:top w:w="70" w:type="dxa"/>
              <w:left w:w="70" w:type="dxa"/>
              <w:bottom w:w="70" w:type="dxa"/>
              <w:right w:w="70" w:type="dxa"/>
            </w:tcMar>
            <w:vAlign w:val="center"/>
          </w:tcPr>
          <w:p w14:paraId="3DD009C4"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ملاءمة ممتازة.</w:t>
            </w:r>
          </w:p>
        </w:tc>
      </w:tr>
      <w:tr w:rsidR="00986803" w:rsidRPr="00C34E74" w14:paraId="3CC1001C" w14:textId="77777777" w:rsidTr="00C34E74">
        <w:trPr>
          <w:jc w:val="center"/>
        </w:trPr>
        <w:tc>
          <w:tcPr>
            <w:tcW w:w="2836" w:type="dxa"/>
            <w:shd w:val="clear" w:color="auto" w:fill="FFFFFF"/>
            <w:tcMar>
              <w:top w:w="70" w:type="dxa"/>
              <w:left w:w="70" w:type="dxa"/>
              <w:bottom w:w="70" w:type="dxa"/>
              <w:right w:w="70" w:type="dxa"/>
            </w:tcMar>
            <w:vAlign w:val="center"/>
          </w:tcPr>
          <w:p w14:paraId="1310E698"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Bartlett</w:t>
            </w:r>
          </w:p>
        </w:tc>
        <w:tc>
          <w:tcPr>
            <w:tcW w:w="3127" w:type="dxa"/>
            <w:shd w:val="clear" w:color="auto" w:fill="FFFFFF"/>
            <w:tcMar>
              <w:top w:w="70" w:type="dxa"/>
              <w:left w:w="70" w:type="dxa"/>
              <w:bottom w:w="70" w:type="dxa"/>
              <w:right w:w="70" w:type="dxa"/>
            </w:tcMar>
            <w:vAlign w:val="center"/>
          </w:tcPr>
          <w:p w14:paraId="0A6B1822"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Cambria" w:hAnsi="Cambria" w:cs="Cambria" w:hint="cs"/>
                <w:color w:val="000000"/>
                <w:sz w:val="32"/>
                <w:szCs w:val="32"/>
                <w:rtl/>
                <w:lang w:val="ar-SA"/>
              </w:rPr>
              <w:t>χ</w:t>
            </w:r>
            <w:r w:rsidRPr="00C34E74">
              <w:rPr>
                <w:rFonts w:ascii="Sakkal Majalla" w:hAnsi="Sakkal Majalla" w:cs="Sakkal Majalla" w:hint="cs"/>
                <w:color w:val="000000"/>
                <w:sz w:val="32"/>
                <w:szCs w:val="32"/>
                <w:rtl/>
                <w:lang w:val="ar-SA"/>
              </w:rPr>
              <w:t>²</w:t>
            </w:r>
            <w:r w:rsidRPr="00C34E74">
              <w:rPr>
                <w:rFonts w:ascii="Sakkal Majalla" w:hAnsi="Sakkal Majalla" w:cs="Sakkal Majalla"/>
                <w:color w:val="000000"/>
                <w:sz w:val="32"/>
                <w:szCs w:val="32"/>
                <w:rtl/>
                <w:lang w:val="ar-SA"/>
              </w:rPr>
              <w:t>=5038.01; p&lt;0.001</w:t>
            </w:r>
          </w:p>
        </w:tc>
        <w:tc>
          <w:tcPr>
            <w:tcW w:w="2542" w:type="dxa"/>
            <w:shd w:val="clear" w:color="auto" w:fill="FFFFFF"/>
            <w:tcMar>
              <w:top w:w="70" w:type="dxa"/>
              <w:left w:w="70" w:type="dxa"/>
              <w:bottom w:w="70" w:type="dxa"/>
              <w:right w:w="70" w:type="dxa"/>
            </w:tcMar>
            <w:vAlign w:val="center"/>
          </w:tcPr>
          <w:p w14:paraId="49898BB2"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دال إحصائياً.</w:t>
            </w:r>
          </w:p>
        </w:tc>
      </w:tr>
      <w:tr w:rsidR="00986803" w:rsidRPr="00C34E74" w14:paraId="0E842173" w14:textId="77777777" w:rsidTr="00C34E74">
        <w:trPr>
          <w:jc w:val="center"/>
        </w:trPr>
        <w:tc>
          <w:tcPr>
            <w:tcW w:w="2836" w:type="dxa"/>
            <w:shd w:val="clear" w:color="auto" w:fill="F2F4F6"/>
            <w:tcMar>
              <w:top w:w="70" w:type="dxa"/>
              <w:left w:w="70" w:type="dxa"/>
              <w:bottom w:w="70" w:type="dxa"/>
              <w:right w:w="70" w:type="dxa"/>
            </w:tcMar>
            <w:vAlign w:val="center"/>
          </w:tcPr>
          <w:p w14:paraId="532E00D9"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عدد العوامل</w:t>
            </w:r>
          </w:p>
        </w:tc>
        <w:tc>
          <w:tcPr>
            <w:tcW w:w="3127" w:type="dxa"/>
            <w:shd w:val="clear" w:color="auto" w:fill="F2F4F6"/>
            <w:tcMar>
              <w:top w:w="70" w:type="dxa"/>
              <w:left w:w="70" w:type="dxa"/>
              <w:bottom w:w="70" w:type="dxa"/>
              <w:right w:w="70" w:type="dxa"/>
            </w:tcMar>
            <w:vAlign w:val="center"/>
          </w:tcPr>
          <w:p w14:paraId="26E35408"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6</w:t>
            </w:r>
          </w:p>
        </w:tc>
        <w:tc>
          <w:tcPr>
            <w:tcW w:w="2542" w:type="dxa"/>
            <w:shd w:val="clear" w:color="auto" w:fill="F2F4F6"/>
            <w:tcMar>
              <w:top w:w="70" w:type="dxa"/>
              <w:left w:w="70" w:type="dxa"/>
              <w:bottom w:w="70" w:type="dxa"/>
              <w:right w:w="70" w:type="dxa"/>
            </w:tcMar>
            <w:vAlign w:val="center"/>
          </w:tcPr>
          <w:p w14:paraId="7A1B9084"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متوافق مع النموذج.</w:t>
            </w:r>
          </w:p>
        </w:tc>
      </w:tr>
      <w:tr w:rsidR="00986803" w:rsidRPr="00C34E74" w14:paraId="321E8121" w14:textId="77777777" w:rsidTr="00C34E74">
        <w:trPr>
          <w:jc w:val="center"/>
        </w:trPr>
        <w:tc>
          <w:tcPr>
            <w:tcW w:w="2836" w:type="dxa"/>
            <w:shd w:val="clear" w:color="auto" w:fill="FFFFFF"/>
            <w:tcMar>
              <w:top w:w="70" w:type="dxa"/>
              <w:left w:w="70" w:type="dxa"/>
              <w:bottom w:w="70" w:type="dxa"/>
              <w:right w:w="70" w:type="dxa"/>
            </w:tcMar>
            <w:vAlign w:val="center"/>
          </w:tcPr>
          <w:p w14:paraId="7E03F83D"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التباين المفسر</w:t>
            </w:r>
          </w:p>
        </w:tc>
        <w:tc>
          <w:tcPr>
            <w:tcW w:w="3127" w:type="dxa"/>
            <w:shd w:val="clear" w:color="auto" w:fill="FFFFFF"/>
            <w:tcMar>
              <w:top w:w="70" w:type="dxa"/>
              <w:left w:w="70" w:type="dxa"/>
              <w:bottom w:w="70" w:type="dxa"/>
              <w:right w:w="70" w:type="dxa"/>
            </w:tcMar>
            <w:vAlign w:val="center"/>
          </w:tcPr>
          <w:p w14:paraId="79573697"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61.82%</w:t>
            </w:r>
          </w:p>
        </w:tc>
        <w:tc>
          <w:tcPr>
            <w:tcW w:w="2542" w:type="dxa"/>
            <w:shd w:val="clear" w:color="auto" w:fill="FFFFFF"/>
            <w:tcMar>
              <w:top w:w="70" w:type="dxa"/>
              <w:left w:w="70" w:type="dxa"/>
              <w:bottom w:w="70" w:type="dxa"/>
              <w:right w:w="70" w:type="dxa"/>
            </w:tcMar>
            <w:vAlign w:val="center"/>
          </w:tcPr>
          <w:p w14:paraId="21D63791"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مقبول وجيد.</w:t>
            </w:r>
          </w:p>
        </w:tc>
      </w:tr>
      <w:tr w:rsidR="00986803" w:rsidRPr="00C34E74" w14:paraId="70E40E9D" w14:textId="77777777" w:rsidTr="00C34E74">
        <w:trPr>
          <w:jc w:val="center"/>
        </w:trPr>
        <w:tc>
          <w:tcPr>
            <w:tcW w:w="2836" w:type="dxa"/>
            <w:shd w:val="clear" w:color="auto" w:fill="F2F4F6"/>
            <w:tcMar>
              <w:top w:w="70" w:type="dxa"/>
              <w:left w:w="70" w:type="dxa"/>
              <w:bottom w:w="70" w:type="dxa"/>
              <w:right w:w="70" w:type="dxa"/>
            </w:tcMar>
            <w:vAlign w:val="center"/>
          </w:tcPr>
          <w:p w14:paraId="574CA574"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العامل الواحد</w:t>
            </w:r>
          </w:p>
        </w:tc>
        <w:tc>
          <w:tcPr>
            <w:tcW w:w="3127" w:type="dxa"/>
            <w:shd w:val="clear" w:color="auto" w:fill="F2F4F6"/>
            <w:tcMar>
              <w:top w:w="70" w:type="dxa"/>
              <w:left w:w="70" w:type="dxa"/>
              <w:bottom w:w="70" w:type="dxa"/>
              <w:right w:w="70" w:type="dxa"/>
            </w:tcMar>
            <w:vAlign w:val="center"/>
          </w:tcPr>
          <w:p w14:paraId="32744482"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eastAsia="DejaVu Sans" w:hAnsi="Sakkal Majalla" w:cs="Sakkal Majalla"/>
                <w:color w:val="000000"/>
                <w:sz w:val="32"/>
                <w:szCs w:val="32"/>
                <w:lang w:bidi="en-US"/>
              </w:rPr>
              <w:t>38.74%</w:t>
            </w:r>
          </w:p>
        </w:tc>
        <w:tc>
          <w:tcPr>
            <w:tcW w:w="2542" w:type="dxa"/>
            <w:shd w:val="clear" w:color="auto" w:fill="F2F4F6"/>
            <w:tcMar>
              <w:top w:w="70" w:type="dxa"/>
              <w:left w:w="70" w:type="dxa"/>
              <w:bottom w:w="70" w:type="dxa"/>
              <w:right w:w="70" w:type="dxa"/>
            </w:tcMar>
            <w:vAlign w:val="center"/>
          </w:tcPr>
          <w:p w14:paraId="31750240" w14:textId="77777777" w:rsidR="00986803" w:rsidRPr="00C34E74" w:rsidRDefault="00DB29B7" w:rsidP="00C34E74">
            <w:pPr>
              <w:bidi/>
              <w:spacing w:after="0" w:line="240" w:lineRule="auto"/>
              <w:ind w:firstLine="0"/>
              <w:jc w:val="center"/>
              <w:rPr>
                <w:rFonts w:ascii="Sakkal Majalla" w:hAnsi="Sakkal Majalla" w:cs="Sakkal Majalla"/>
                <w:sz w:val="32"/>
                <w:szCs w:val="32"/>
              </w:rPr>
            </w:pPr>
            <w:r w:rsidRPr="00C34E74">
              <w:rPr>
                <w:rFonts w:ascii="Sakkal Majalla" w:hAnsi="Sakkal Majalla" w:cs="Sakkal Majalla"/>
                <w:color w:val="000000"/>
                <w:sz w:val="32"/>
                <w:szCs w:val="32"/>
                <w:rtl/>
                <w:lang w:val="ar-SA"/>
              </w:rPr>
              <w:t>أقل من 50%.</w:t>
            </w:r>
          </w:p>
        </w:tc>
      </w:tr>
    </w:tbl>
    <w:p w14:paraId="7811942B"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مخرجات التحليل الإحصائي.</w:t>
      </w:r>
    </w:p>
    <w:p w14:paraId="556E2EA1"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97" w:name="_Toc235205644"/>
      <w:r w:rsidRPr="00AE1FD7">
        <w:rPr>
          <w:rFonts w:ascii="Sakkal Majalla" w:eastAsia="Noto Kufi Arabic" w:hAnsi="Sakkal Majalla" w:cs="Sakkal Majalla"/>
          <w:sz w:val="36"/>
          <w:szCs w:val="36"/>
          <w:rtl/>
          <w:lang w:val="ar-SA"/>
        </w:rPr>
        <w:lastRenderedPageBreak/>
        <w:t>4.5 مستوى تطبيق حوكمة إدارة الممتلكات العامة</w:t>
      </w:r>
      <w:r w:rsidR="00C34E74">
        <w:rPr>
          <w:rFonts w:ascii="Sakkal Majalla" w:eastAsia="Noto Kufi Arabic" w:hAnsi="Sakkal Majalla" w:cs="Sakkal Majalla" w:hint="cs"/>
          <w:sz w:val="36"/>
          <w:szCs w:val="36"/>
          <w:rtl/>
          <w:lang w:val="ar-SA"/>
        </w:rPr>
        <w:t>:</w:t>
      </w:r>
      <w:bookmarkEnd w:id="97"/>
    </w:p>
    <w:p w14:paraId="7EFFBDD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بلغ المتوسط الكلي للحوكمة 3.77 من خمس درجات، بوزن نسبي 75.4%، وهو مستوى مرتفع وفق معيار الدراسة. غير أن الفروق بين الأبعاد تكشف جوانب قوة وأخرى تحتاج إلى تحسين؛ فقد جاء بعد إدارة المخاطر والامتثال أولاً بمتوسط 3.91، تلاه المساءلة والرقابة الداخلية 3.84، ثم الشفافية والإفصاح 3.78، ثم التخطيط ودورة الحياة 3.73، وأخيراً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3.58.</w:t>
      </w:r>
    </w:p>
    <w:p w14:paraId="3421C0E9" w14:textId="77777777" w:rsidR="00986803" w:rsidRPr="00C34E74" w:rsidRDefault="00482CBE" w:rsidP="00C34E74">
      <w:pPr>
        <w:keepNext/>
        <w:bidi/>
        <w:spacing w:after="0" w:line="240" w:lineRule="auto"/>
        <w:ind w:firstLine="0"/>
        <w:jc w:val="center"/>
        <w:rPr>
          <w:rFonts w:ascii="Sakkal Majalla" w:hAnsi="Sakkal Majalla" w:cs="Sakkal Majalla"/>
          <w:bCs/>
          <w:sz w:val="36"/>
          <w:szCs w:val="36"/>
        </w:rPr>
      </w:pPr>
      <w:bookmarkStart w:id="98" w:name="table_dimension_means"/>
      <w:r w:rsidRPr="00C34E74">
        <w:rPr>
          <w:rFonts w:ascii="Sakkal Majalla" w:hAnsi="Sakkal Majalla" w:cs="Sakkal Majalla"/>
          <w:i/>
          <w:noProof/>
          <w:color w:val="3F4650"/>
          <w:sz w:val="36"/>
          <w:szCs w:val="36"/>
          <w:lang w:val="ar-SA"/>
        </w:rPr>
        <w:drawing>
          <wp:anchor distT="0" distB="0" distL="114300" distR="114300" simplePos="0" relativeHeight="251667456" behindDoc="0" locked="0" layoutInCell="1" allowOverlap="1" wp14:anchorId="432F4AB9" wp14:editId="08526218">
            <wp:simplePos x="0" y="0"/>
            <wp:positionH relativeFrom="margin">
              <wp:posOffset>-245110</wp:posOffset>
            </wp:positionH>
            <wp:positionV relativeFrom="paragraph">
              <wp:posOffset>3524885</wp:posOffset>
            </wp:positionV>
            <wp:extent cx="6139180" cy="3697605"/>
            <wp:effectExtent l="0" t="0" r="0" b="0"/>
            <wp:wrapTight wrapText="bothSides">
              <wp:wrapPolygon edited="0">
                <wp:start x="0" y="0"/>
                <wp:lineTo x="0" y="21478"/>
                <wp:lineTo x="21515" y="21478"/>
                <wp:lineTo x="21515"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39180" cy="3697605"/>
                    </a:xfrm>
                    <a:prstGeom prst="rect">
                      <a:avLst/>
                    </a:prstGeom>
                  </pic:spPr>
                </pic:pic>
              </a:graphicData>
            </a:graphic>
            <wp14:sizeRelH relativeFrom="margin">
              <wp14:pctWidth>0</wp14:pctWidth>
            </wp14:sizeRelH>
            <wp14:sizeRelV relativeFrom="margin">
              <wp14:pctHeight>0</wp14:pctHeight>
            </wp14:sizeRelV>
          </wp:anchor>
        </w:drawing>
      </w:r>
      <w:r w:rsidR="00DB29B7" w:rsidRPr="00C34E74">
        <w:rPr>
          <w:rFonts w:ascii="Sakkal Majalla" w:eastAsia="Noto Kufi Arabic" w:hAnsi="Sakkal Majalla" w:cs="Sakkal Majalla"/>
          <w:bCs/>
          <w:color w:val="17365D"/>
          <w:sz w:val="36"/>
          <w:szCs w:val="36"/>
          <w:rtl/>
          <w:lang w:val="ar-SA"/>
        </w:rPr>
        <w:t>جدول (17): المتوسطات الحسابية لأبعاد الدراسة وترتيبها</w:t>
      </w:r>
      <w:bookmarkEnd w:id="98"/>
    </w:p>
    <w:tbl>
      <w:tblPr>
        <w:bidiVisual/>
        <w:tblW w:w="53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27"/>
        <w:gridCol w:w="1035"/>
        <w:gridCol w:w="1094"/>
        <w:gridCol w:w="1033"/>
        <w:gridCol w:w="973"/>
      </w:tblGrid>
      <w:tr w:rsidR="00C34E74" w:rsidRPr="00AE1FD7" w14:paraId="1A4E9D53" w14:textId="77777777" w:rsidTr="00C34E74">
        <w:trPr>
          <w:cantSplit/>
          <w:tblHeader/>
          <w:jc w:val="center"/>
        </w:trPr>
        <w:tc>
          <w:tcPr>
            <w:tcW w:w="385" w:type="pct"/>
            <w:shd w:val="clear" w:color="auto" w:fill="17365D"/>
            <w:tcMar>
              <w:top w:w="90" w:type="dxa"/>
              <w:left w:w="80" w:type="dxa"/>
              <w:bottom w:w="90" w:type="dxa"/>
              <w:right w:w="80" w:type="dxa"/>
            </w:tcMar>
            <w:vAlign w:val="center"/>
          </w:tcPr>
          <w:p w14:paraId="0DF2774D"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الرتبة</w:t>
            </w:r>
          </w:p>
        </w:tc>
        <w:tc>
          <w:tcPr>
            <w:tcW w:w="2493" w:type="pct"/>
            <w:shd w:val="clear" w:color="auto" w:fill="17365D"/>
            <w:tcMar>
              <w:top w:w="90" w:type="dxa"/>
              <w:left w:w="80" w:type="dxa"/>
              <w:bottom w:w="90" w:type="dxa"/>
              <w:right w:w="80" w:type="dxa"/>
            </w:tcMar>
            <w:vAlign w:val="center"/>
          </w:tcPr>
          <w:p w14:paraId="29D7717B"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البعد</w:t>
            </w:r>
          </w:p>
        </w:tc>
        <w:tc>
          <w:tcPr>
            <w:tcW w:w="573" w:type="pct"/>
            <w:shd w:val="clear" w:color="auto" w:fill="17365D"/>
            <w:tcMar>
              <w:top w:w="90" w:type="dxa"/>
              <w:left w:w="80" w:type="dxa"/>
              <w:bottom w:w="90" w:type="dxa"/>
              <w:right w:w="80" w:type="dxa"/>
            </w:tcMar>
            <w:vAlign w:val="center"/>
          </w:tcPr>
          <w:p w14:paraId="4929517A"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المتوسط</w:t>
            </w:r>
          </w:p>
        </w:tc>
        <w:tc>
          <w:tcPr>
            <w:tcW w:w="604" w:type="pct"/>
            <w:shd w:val="clear" w:color="auto" w:fill="17365D"/>
            <w:tcMar>
              <w:top w:w="90" w:type="dxa"/>
              <w:left w:w="80" w:type="dxa"/>
              <w:bottom w:w="90" w:type="dxa"/>
              <w:right w:w="80" w:type="dxa"/>
            </w:tcMar>
            <w:vAlign w:val="center"/>
          </w:tcPr>
          <w:p w14:paraId="51278E56"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الانحراف</w:t>
            </w:r>
          </w:p>
        </w:tc>
        <w:tc>
          <w:tcPr>
            <w:tcW w:w="572" w:type="pct"/>
            <w:shd w:val="clear" w:color="auto" w:fill="17365D"/>
            <w:tcMar>
              <w:top w:w="90" w:type="dxa"/>
              <w:left w:w="80" w:type="dxa"/>
              <w:bottom w:w="90" w:type="dxa"/>
              <w:right w:w="80" w:type="dxa"/>
            </w:tcMar>
            <w:vAlign w:val="center"/>
          </w:tcPr>
          <w:p w14:paraId="758C4AFC"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الوزن %</w:t>
            </w:r>
          </w:p>
        </w:tc>
        <w:tc>
          <w:tcPr>
            <w:tcW w:w="373" w:type="pct"/>
            <w:shd w:val="clear" w:color="auto" w:fill="17365D"/>
            <w:tcMar>
              <w:top w:w="90" w:type="dxa"/>
              <w:left w:w="80" w:type="dxa"/>
              <w:bottom w:w="90" w:type="dxa"/>
              <w:right w:w="80" w:type="dxa"/>
            </w:tcMar>
            <w:vAlign w:val="center"/>
          </w:tcPr>
          <w:p w14:paraId="2225AC45"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المستوى</w:t>
            </w:r>
          </w:p>
        </w:tc>
      </w:tr>
      <w:tr w:rsidR="00C34E74" w:rsidRPr="00AE1FD7" w14:paraId="19ABFF9E" w14:textId="77777777" w:rsidTr="00C34E74">
        <w:trPr>
          <w:jc w:val="center"/>
        </w:trPr>
        <w:tc>
          <w:tcPr>
            <w:tcW w:w="385" w:type="pct"/>
            <w:shd w:val="clear" w:color="auto" w:fill="FFFFFF"/>
            <w:tcMar>
              <w:top w:w="70" w:type="dxa"/>
              <w:left w:w="70" w:type="dxa"/>
              <w:bottom w:w="70" w:type="dxa"/>
              <w:right w:w="70" w:type="dxa"/>
            </w:tcMar>
            <w:vAlign w:val="center"/>
          </w:tcPr>
          <w:p w14:paraId="54F62CDA"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2493" w:type="pct"/>
            <w:shd w:val="clear" w:color="auto" w:fill="FFFFFF"/>
            <w:tcMar>
              <w:top w:w="70" w:type="dxa"/>
              <w:left w:w="70" w:type="dxa"/>
              <w:bottom w:w="70" w:type="dxa"/>
              <w:right w:w="70" w:type="dxa"/>
            </w:tcMar>
            <w:vAlign w:val="center"/>
          </w:tcPr>
          <w:p w14:paraId="03238DC7"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إدارة المخاطر والامتثال</w:t>
            </w:r>
          </w:p>
        </w:tc>
        <w:tc>
          <w:tcPr>
            <w:tcW w:w="573" w:type="pct"/>
            <w:shd w:val="clear" w:color="auto" w:fill="FFFFFF"/>
            <w:tcMar>
              <w:top w:w="70" w:type="dxa"/>
              <w:left w:w="70" w:type="dxa"/>
              <w:bottom w:w="70" w:type="dxa"/>
              <w:right w:w="70" w:type="dxa"/>
            </w:tcMar>
            <w:vAlign w:val="center"/>
          </w:tcPr>
          <w:p w14:paraId="0602B1F6"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3.91</w:t>
            </w:r>
          </w:p>
        </w:tc>
        <w:tc>
          <w:tcPr>
            <w:tcW w:w="604" w:type="pct"/>
            <w:shd w:val="clear" w:color="auto" w:fill="FFFFFF"/>
            <w:tcMar>
              <w:top w:w="70" w:type="dxa"/>
              <w:left w:w="70" w:type="dxa"/>
              <w:bottom w:w="70" w:type="dxa"/>
              <w:right w:w="70" w:type="dxa"/>
            </w:tcMar>
            <w:vAlign w:val="center"/>
          </w:tcPr>
          <w:p w14:paraId="3071D35B"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0.45</w:t>
            </w:r>
          </w:p>
        </w:tc>
        <w:tc>
          <w:tcPr>
            <w:tcW w:w="572" w:type="pct"/>
            <w:shd w:val="clear" w:color="auto" w:fill="FFFFFF"/>
            <w:tcMar>
              <w:top w:w="70" w:type="dxa"/>
              <w:left w:w="70" w:type="dxa"/>
              <w:bottom w:w="70" w:type="dxa"/>
              <w:right w:w="70" w:type="dxa"/>
            </w:tcMar>
            <w:vAlign w:val="center"/>
          </w:tcPr>
          <w:p w14:paraId="19C6223E"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78.1</w:t>
            </w:r>
          </w:p>
        </w:tc>
        <w:tc>
          <w:tcPr>
            <w:tcW w:w="373" w:type="pct"/>
            <w:shd w:val="clear" w:color="auto" w:fill="FFFFFF"/>
            <w:tcMar>
              <w:top w:w="70" w:type="dxa"/>
              <w:left w:w="70" w:type="dxa"/>
              <w:bottom w:w="70" w:type="dxa"/>
              <w:right w:w="70" w:type="dxa"/>
            </w:tcMar>
            <w:vAlign w:val="center"/>
          </w:tcPr>
          <w:p w14:paraId="611C6718"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C34E74" w:rsidRPr="00AE1FD7" w14:paraId="795373FA" w14:textId="77777777" w:rsidTr="00C34E74">
        <w:trPr>
          <w:jc w:val="center"/>
        </w:trPr>
        <w:tc>
          <w:tcPr>
            <w:tcW w:w="385" w:type="pct"/>
            <w:shd w:val="clear" w:color="auto" w:fill="F2F4F6"/>
            <w:tcMar>
              <w:top w:w="70" w:type="dxa"/>
              <w:left w:w="70" w:type="dxa"/>
              <w:bottom w:w="70" w:type="dxa"/>
              <w:right w:w="70" w:type="dxa"/>
            </w:tcMar>
            <w:vAlign w:val="center"/>
          </w:tcPr>
          <w:p w14:paraId="7679FDCD"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2493" w:type="pct"/>
            <w:shd w:val="clear" w:color="auto" w:fill="F2F4F6"/>
            <w:tcMar>
              <w:top w:w="70" w:type="dxa"/>
              <w:left w:w="70" w:type="dxa"/>
              <w:bottom w:w="70" w:type="dxa"/>
              <w:right w:w="70" w:type="dxa"/>
            </w:tcMar>
            <w:vAlign w:val="center"/>
          </w:tcPr>
          <w:p w14:paraId="410AA486"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المساءلة والرقابة الداخلية</w:t>
            </w:r>
          </w:p>
        </w:tc>
        <w:tc>
          <w:tcPr>
            <w:tcW w:w="573" w:type="pct"/>
            <w:shd w:val="clear" w:color="auto" w:fill="F2F4F6"/>
            <w:tcMar>
              <w:top w:w="70" w:type="dxa"/>
              <w:left w:w="70" w:type="dxa"/>
              <w:bottom w:w="70" w:type="dxa"/>
              <w:right w:w="70" w:type="dxa"/>
            </w:tcMar>
            <w:vAlign w:val="center"/>
          </w:tcPr>
          <w:p w14:paraId="505676AE"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3.84</w:t>
            </w:r>
          </w:p>
        </w:tc>
        <w:tc>
          <w:tcPr>
            <w:tcW w:w="604" w:type="pct"/>
            <w:shd w:val="clear" w:color="auto" w:fill="F2F4F6"/>
            <w:tcMar>
              <w:top w:w="70" w:type="dxa"/>
              <w:left w:w="70" w:type="dxa"/>
              <w:bottom w:w="70" w:type="dxa"/>
              <w:right w:w="70" w:type="dxa"/>
            </w:tcMar>
            <w:vAlign w:val="center"/>
          </w:tcPr>
          <w:p w14:paraId="2013CE6D"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0.43</w:t>
            </w:r>
          </w:p>
        </w:tc>
        <w:tc>
          <w:tcPr>
            <w:tcW w:w="572" w:type="pct"/>
            <w:shd w:val="clear" w:color="auto" w:fill="F2F4F6"/>
            <w:tcMar>
              <w:top w:w="70" w:type="dxa"/>
              <w:left w:w="70" w:type="dxa"/>
              <w:bottom w:w="70" w:type="dxa"/>
              <w:right w:w="70" w:type="dxa"/>
            </w:tcMar>
            <w:vAlign w:val="center"/>
          </w:tcPr>
          <w:p w14:paraId="32E2DD93"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76.9</w:t>
            </w:r>
          </w:p>
        </w:tc>
        <w:tc>
          <w:tcPr>
            <w:tcW w:w="373" w:type="pct"/>
            <w:shd w:val="clear" w:color="auto" w:fill="F2F4F6"/>
            <w:tcMar>
              <w:top w:w="70" w:type="dxa"/>
              <w:left w:w="70" w:type="dxa"/>
              <w:bottom w:w="70" w:type="dxa"/>
              <w:right w:w="70" w:type="dxa"/>
            </w:tcMar>
            <w:vAlign w:val="center"/>
          </w:tcPr>
          <w:p w14:paraId="445B3029"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C34E74" w:rsidRPr="00AE1FD7" w14:paraId="0D3D8F73" w14:textId="77777777" w:rsidTr="00C34E74">
        <w:trPr>
          <w:jc w:val="center"/>
        </w:trPr>
        <w:tc>
          <w:tcPr>
            <w:tcW w:w="385" w:type="pct"/>
            <w:shd w:val="clear" w:color="auto" w:fill="FFFFFF"/>
            <w:tcMar>
              <w:top w:w="70" w:type="dxa"/>
              <w:left w:w="70" w:type="dxa"/>
              <w:bottom w:w="70" w:type="dxa"/>
              <w:right w:w="70" w:type="dxa"/>
            </w:tcMar>
            <w:vAlign w:val="center"/>
          </w:tcPr>
          <w:p w14:paraId="11952AEB"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2493" w:type="pct"/>
            <w:shd w:val="clear" w:color="auto" w:fill="FFFFFF"/>
            <w:tcMar>
              <w:top w:w="70" w:type="dxa"/>
              <w:left w:w="70" w:type="dxa"/>
              <w:bottom w:w="70" w:type="dxa"/>
              <w:right w:w="70" w:type="dxa"/>
            </w:tcMar>
            <w:vAlign w:val="center"/>
          </w:tcPr>
          <w:p w14:paraId="229C3ED5"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573" w:type="pct"/>
            <w:shd w:val="clear" w:color="auto" w:fill="FFFFFF"/>
            <w:tcMar>
              <w:top w:w="70" w:type="dxa"/>
              <w:left w:w="70" w:type="dxa"/>
              <w:bottom w:w="70" w:type="dxa"/>
              <w:right w:w="70" w:type="dxa"/>
            </w:tcMar>
            <w:vAlign w:val="center"/>
          </w:tcPr>
          <w:p w14:paraId="5F233377"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3.81</w:t>
            </w:r>
          </w:p>
        </w:tc>
        <w:tc>
          <w:tcPr>
            <w:tcW w:w="604" w:type="pct"/>
            <w:shd w:val="clear" w:color="auto" w:fill="FFFFFF"/>
            <w:tcMar>
              <w:top w:w="70" w:type="dxa"/>
              <w:left w:w="70" w:type="dxa"/>
              <w:bottom w:w="70" w:type="dxa"/>
              <w:right w:w="70" w:type="dxa"/>
            </w:tcMar>
            <w:vAlign w:val="center"/>
          </w:tcPr>
          <w:p w14:paraId="647A3E03"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0.47</w:t>
            </w:r>
          </w:p>
        </w:tc>
        <w:tc>
          <w:tcPr>
            <w:tcW w:w="572" w:type="pct"/>
            <w:shd w:val="clear" w:color="auto" w:fill="FFFFFF"/>
            <w:tcMar>
              <w:top w:w="70" w:type="dxa"/>
              <w:left w:w="70" w:type="dxa"/>
              <w:bottom w:w="70" w:type="dxa"/>
              <w:right w:w="70" w:type="dxa"/>
            </w:tcMar>
            <w:vAlign w:val="center"/>
          </w:tcPr>
          <w:p w14:paraId="40A9D481"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76.2</w:t>
            </w:r>
          </w:p>
        </w:tc>
        <w:tc>
          <w:tcPr>
            <w:tcW w:w="373" w:type="pct"/>
            <w:shd w:val="clear" w:color="auto" w:fill="FFFFFF"/>
            <w:tcMar>
              <w:top w:w="70" w:type="dxa"/>
              <w:left w:w="70" w:type="dxa"/>
              <w:bottom w:w="70" w:type="dxa"/>
              <w:right w:w="70" w:type="dxa"/>
            </w:tcMar>
            <w:vAlign w:val="center"/>
          </w:tcPr>
          <w:p w14:paraId="4E4A236B"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C34E74" w:rsidRPr="00AE1FD7" w14:paraId="4B55B913" w14:textId="77777777" w:rsidTr="00C34E74">
        <w:trPr>
          <w:jc w:val="center"/>
        </w:trPr>
        <w:tc>
          <w:tcPr>
            <w:tcW w:w="385" w:type="pct"/>
            <w:shd w:val="clear" w:color="auto" w:fill="F2F4F6"/>
            <w:tcMar>
              <w:top w:w="70" w:type="dxa"/>
              <w:left w:w="70" w:type="dxa"/>
              <w:bottom w:w="70" w:type="dxa"/>
              <w:right w:w="70" w:type="dxa"/>
            </w:tcMar>
            <w:vAlign w:val="center"/>
          </w:tcPr>
          <w:p w14:paraId="0DB4DE83"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2493" w:type="pct"/>
            <w:shd w:val="clear" w:color="auto" w:fill="F2F4F6"/>
            <w:tcMar>
              <w:top w:w="70" w:type="dxa"/>
              <w:left w:w="70" w:type="dxa"/>
              <w:bottom w:w="70" w:type="dxa"/>
              <w:right w:w="70" w:type="dxa"/>
            </w:tcMar>
            <w:vAlign w:val="center"/>
          </w:tcPr>
          <w:p w14:paraId="6EC8EFC0"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الشفافية والإفصاح</w:t>
            </w:r>
          </w:p>
        </w:tc>
        <w:tc>
          <w:tcPr>
            <w:tcW w:w="573" w:type="pct"/>
            <w:shd w:val="clear" w:color="auto" w:fill="F2F4F6"/>
            <w:tcMar>
              <w:top w:w="70" w:type="dxa"/>
              <w:left w:w="70" w:type="dxa"/>
              <w:bottom w:w="70" w:type="dxa"/>
              <w:right w:w="70" w:type="dxa"/>
            </w:tcMar>
            <w:vAlign w:val="center"/>
          </w:tcPr>
          <w:p w14:paraId="2DA28061"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3.78</w:t>
            </w:r>
          </w:p>
        </w:tc>
        <w:tc>
          <w:tcPr>
            <w:tcW w:w="604" w:type="pct"/>
            <w:shd w:val="clear" w:color="auto" w:fill="F2F4F6"/>
            <w:tcMar>
              <w:top w:w="70" w:type="dxa"/>
              <w:left w:w="70" w:type="dxa"/>
              <w:bottom w:w="70" w:type="dxa"/>
              <w:right w:w="70" w:type="dxa"/>
            </w:tcMar>
            <w:vAlign w:val="center"/>
          </w:tcPr>
          <w:p w14:paraId="4E23C4CE"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0.45</w:t>
            </w:r>
          </w:p>
        </w:tc>
        <w:tc>
          <w:tcPr>
            <w:tcW w:w="572" w:type="pct"/>
            <w:shd w:val="clear" w:color="auto" w:fill="F2F4F6"/>
            <w:tcMar>
              <w:top w:w="70" w:type="dxa"/>
              <w:left w:w="70" w:type="dxa"/>
              <w:bottom w:w="70" w:type="dxa"/>
              <w:right w:w="70" w:type="dxa"/>
            </w:tcMar>
            <w:vAlign w:val="center"/>
          </w:tcPr>
          <w:p w14:paraId="4D41FC2F"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75.7</w:t>
            </w:r>
          </w:p>
        </w:tc>
        <w:tc>
          <w:tcPr>
            <w:tcW w:w="373" w:type="pct"/>
            <w:shd w:val="clear" w:color="auto" w:fill="F2F4F6"/>
            <w:tcMar>
              <w:top w:w="70" w:type="dxa"/>
              <w:left w:w="70" w:type="dxa"/>
              <w:bottom w:w="70" w:type="dxa"/>
              <w:right w:w="70" w:type="dxa"/>
            </w:tcMar>
            <w:vAlign w:val="center"/>
          </w:tcPr>
          <w:p w14:paraId="77747FBF"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C34E74" w:rsidRPr="00AE1FD7" w14:paraId="3CBEF38F" w14:textId="77777777" w:rsidTr="00C34E74">
        <w:trPr>
          <w:jc w:val="center"/>
        </w:trPr>
        <w:tc>
          <w:tcPr>
            <w:tcW w:w="385" w:type="pct"/>
            <w:shd w:val="clear" w:color="auto" w:fill="FFFFFF"/>
            <w:tcMar>
              <w:top w:w="70" w:type="dxa"/>
              <w:left w:w="70" w:type="dxa"/>
              <w:bottom w:w="70" w:type="dxa"/>
              <w:right w:w="70" w:type="dxa"/>
            </w:tcMar>
            <w:vAlign w:val="center"/>
          </w:tcPr>
          <w:p w14:paraId="32A9DCF4"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2493" w:type="pct"/>
            <w:shd w:val="clear" w:color="auto" w:fill="FFFFFF"/>
            <w:tcMar>
              <w:top w:w="70" w:type="dxa"/>
              <w:left w:w="70" w:type="dxa"/>
              <w:bottom w:w="70" w:type="dxa"/>
              <w:right w:w="70" w:type="dxa"/>
            </w:tcMar>
            <w:vAlign w:val="center"/>
          </w:tcPr>
          <w:p w14:paraId="398E4852"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التخطيط الاستراتيجي وإدارة دورة حياة الأصل</w:t>
            </w:r>
          </w:p>
        </w:tc>
        <w:tc>
          <w:tcPr>
            <w:tcW w:w="573" w:type="pct"/>
            <w:shd w:val="clear" w:color="auto" w:fill="FFFFFF"/>
            <w:tcMar>
              <w:top w:w="70" w:type="dxa"/>
              <w:left w:w="70" w:type="dxa"/>
              <w:bottom w:w="70" w:type="dxa"/>
              <w:right w:w="70" w:type="dxa"/>
            </w:tcMar>
            <w:vAlign w:val="center"/>
          </w:tcPr>
          <w:p w14:paraId="227936CD"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3.73</w:t>
            </w:r>
          </w:p>
        </w:tc>
        <w:tc>
          <w:tcPr>
            <w:tcW w:w="604" w:type="pct"/>
            <w:shd w:val="clear" w:color="auto" w:fill="FFFFFF"/>
            <w:tcMar>
              <w:top w:w="70" w:type="dxa"/>
              <w:left w:w="70" w:type="dxa"/>
              <w:bottom w:w="70" w:type="dxa"/>
              <w:right w:w="70" w:type="dxa"/>
            </w:tcMar>
            <w:vAlign w:val="center"/>
          </w:tcPr>
          <w:p w14:paraId="1F38151D"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0.44</w:t>
            </w:r>
          </w:p>
        </w:tc>
        <w:tc>
          <w:tcPr>
            <w:tcW w:w="572" w:type="pct"/>
            <w:shd w:val="clear" w:color="auto" w:fill="FFFFFF"/>
            <w:tcMar>
              <w:top w:w="70" w:type="dxa"/>
              <w:left w:w="70" w:type="dxa"/>
              <w:bottom w:w="70" w:type="dxa"/>
              <w:right w:w="70" w:type="dxa"/>
            </w:tcMar>
            <w:vAlign w:val="center"/>
          </w:tcPr>
          <w:p w14:paraId="458ECDAE"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74.7</w:t>
            </w:r>
          </w:p>
        </w:tc>
        <w:tc>
          <w:tcPr>
            <w:tcW w:w="373" w:type="pct"/>
            <w:shd w:val="clear" w:color="auto" w:fill="FFFFFF"/>
            <w:tcMar>
              <w:top w:w="70" w:type="dxa"/>
              <w:left w:w="70" w:type="dxa"/>
              <w:bottom w:w="70" w:type="dxa"/>
              <w:right w:w="70" w:type="dxa"/>
            </w:tcMar>
            <w:vAlign w:val="center"/>
          </w:tcPr>
          <w:p w14:paraId="12756561"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C34E74" w:rsidRPr="00AE1FD7" w14:paraId="4A3BD66B" w14:textId="77777777" w:rsidTr="00C34E74">
        <w:trPr>
          <w:jc w:val="center"/>
        </w:trPr>
        <w:tc>
          <w:tcPr>
            <w:tcW w:w="385" w:type="pct"/>
            <w:shd w:val="clear" w:color="auto" w:fill="F2F4F6"/>
            <w:tcMar>
              <w:top w:w="70" w:type="dxa"/>
              <w:left w:w="70" w:type="dxa"/>
              <w:bottom w:w="70" w:type="dxa"/>
              <w:right w:w="70" w:type="dxa"/>
            </w:tcMar>
            <w:vAlign w:val="center"/>
          </w:tcPr>
          <w:p w14:paraId="04928D12"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w:t>
            </w:r>
          </w:p>
        </w:tc>
        <w:tc>
          <w:tcPr>
            <w:tcW w:w="2493" w:type="pct"/>
            <w:shd w:val="clear" w:color="auto" w:fill="F2F4F6"/>
            <w:tcMar>
              <w:top w:w="70" w:type="dxa"/>
              <w:left w:w="70" w:type="dxa"/>
              <w:bottom w:w="70" w:type="dxa"/>
              <w:right w:w="70" w:type="dxa"/>
            </w:tcMar>
            <w:vAlign w:val="center"/>
          </w:tcPr>
          <w:p w14:paraId="053A9008"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تكامل البيانات </w:t>
            </w:r>
            <w:proofErr w:type="spellStart"/>
            <w:r w:rsidRPr="00AE1FD7">
              <w:rPr>
                <w:rFonts w:ascii="Sakkal Majalla" w:hAnsi="Sakkal Majalla" w:cs="Sakkal Majalla"/>
                <w:color w:val="000000"/>
                <w:sz w:val="36"/>
                <w:szCs w:val="36"/>
                <w:rtl/>
                <w:lang w:val="ar-SA"/>
              </w:rPr>
              <w:t>والرقمنة</w:t>
            </w:r>
            <w:proofErr w:type="spellEnd"/>
          </w:p>
        </w:tc>
        <w:tc>
          <w:tcPr>
            <w:tcW w:w="573" w:type="pct"/>
            <w:shd w:val="clear" w:color="auto" w:fill="F2F4F6"/>
            <w:tcMar>
              <w:top w:w="70" w:type="dxa"/>
              <w:left w:w="70" w:type="dxa"/>
              <w:bottom w:w="70" w:type="dxa"/>
              <w:right w:w="70" w:type="dxa"/>
            </w:tcMar>
            <w:vAlign w:val="center"/>
          </w:tcPr>
          <w:p w14:paraId="32B447FE"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3.58</w:t>
            </w:r>
          </w:p>
        </w:tc>
        <w:tc>
          <w:tcPr>
            <w:tcW w:w="604" w:type="pct"/>
            <w:shd w:val="clear" w:color="auto" w:fill="F2F4F6"/>
            <w:tcMar>
              <w:top w:w="70" w:type="dxa"/>
              <w:left w:w="70" w:type="dxa"/>
              <w:bottom w:w="70" w:type="dxa"/>
              <w:right w:w="70" w:type="dxa"/>
            </w:tcMar>
            <w:vAlign w:val="center"/>
          </w:tcPr>
          <w:p w14:paraId="493AA0E2"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0.46</w:t>
            </w:r>
          </w:p>
        </w:tc>
        <w:tc>
          <w:tcPr>
            <w:tcW w:w="572" w:type="pct"/>
            <w:shd w:val="clear" w:color="auto" w:fill="F2F4F6"/>
            <w:tcMar>
              <w:top w:w="70" w:type="dxa"/>
              <w:left w:w="70" w:type="dxa"/>
              <w:bottom w:w="70" w:type="dxa"/>
              <w:right w:w="70" w:type="dxa"/>
            </w:tcMar>
            <w:vAlign w:val="center"/>
          </w:tcPr>
          <w:p w14:paraId="693ACE1F"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71.6</w:t>
            </w:r>
          </w:p>
        </w:tc>
        <w:tc>
          <w:tcPr>
            <w:tcW w:w="373" w:type="pct"/>
            <w:shd w:val="clear" w:color="auto" w:fill="F2F4F6"/>
            <w:tcMar>
              <w:top w:w="70" w:type="dxa"/>
              <w:left w:w="70" w:type="dxa"/>
              <w:bottom w:w="70" w:type="dxa"/>
              <w:right w:w="70" w:type="dxa"/>
            </w:tcMar>
            <w:vAlign w:val="center"/>
          </w:tcPr>
          <w:p w14:paraId="10027B2B" w14:textId="77777777" w:rsidR="00986803" w:rsidRPr="00AE1FD7" w:rsidRDefault="00DB29B7" w:rsidP="00C34E7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bl>
    <w:p w14:paraId="749DB0B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99" w:name="_Toc235205645"/>
      <w:r w:rsidRPr="00AE1FD7">
        <w:rPr>
          <w:rFonts w:ascii="Sakkal Majalla" w:eastAsia="Noto Kufi Arabic" w:hAnsi="Sakkal Majalla" w:cs="Sakkal Majalla"/>
          <w:sz w:val="36"/>
          <w:szCs w:val="36"/>
          <w:rtl/>
          <w:lang w:val="ar-SA"/>
        </w:rPr>
        <w:lastRenderedPageBreak/>
        <w:t>4.5.1 الشفافية والإفصاح</w:t>
      </w:r>
      <w:r w:rsidR="00482CBE">
        <w:rPr>
          <w:rFonts w:ascii="Sakkal Majalla" w:eastAsia="Noto Kufi Arabic" w:hAnsi="Sakkal Majalla" w:cs="Sakkal Majalla" w:hint="cs"/>
          <w:sz w:val="36"/>
          <w:szCs w:val="36"/>
          <w:rtl/>
          <w:lang w:val="ar-SA"/>
        </w:rPr>
        <w:t>:</w:t>
      </w:r>
      <w:bookmarkEnd w:id="99"/>
    </w:p>
    <w:p w14:paraId="60925C1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بلغ متوسط البعد 3.78 بمستوى مرتفع. وجاء أعلى بند متعلقاً بوجود سياسات مكتوبة، بينما جاء الإفصاح عن الأصول منخفضة الاستفادة في المرتبة الأخيرة. ويشير ذلك إلى أن الإطار الرسمي أكثر نضجاً من الإفصاح التحليلي الذي يكشف الفرص والهدر.</w:t>
      </w:r>
    </w:p>
    <w:p w14:paraId="69E49E5F" w14:textId="77777777" w:rsidR="00482CBE" w:rsidRDefault="00482CBE" w:rsidP="00482CBE">
      <w:pPr>
        <w:keepNext/>
        <w:bidi/>
        <w:spacing w:after="0" w:line="240" w:lineRule="auto"/>
        <w:ind w:firstLine="0"/>
        <w:jc w:val="center"/>
        <w:rPr>
          <w:rFonts w:ascii="Sakkal Majalla" w:eastAsia="Noto Kufi Arabic" w:hAnsi="Sakkal Majalla" w:cs="Sakkal Majalla"/>
          <w:bCs/>
          <w:color w:val="17365D"/>
          <w:sz w:val="36"/>
          <w:szCs w:val="36"/>
          <w:rtl/>
          <w:lang w:val="ar-SA"/>
        </w:rPr>
      </w:pPr>
      <w:bookmarkStart w:id="100" w:name="table_items_transparency"/>
    </w:p>
    <w:p w14:paraId="029C9A8D"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17365D"/>
          <w:sz w:val="36"/>
          <w:szCs w:val="36"/>
          <w:rtl/>
          <w:lang w:val="ar-SA"/>
        </w:rPr>
        <w:t>جدول (18): نتائج عبارات الشفافية والإفصاح</w:t>
      </w:r>
      <w:bookmarkEnd w:id="100"/>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719"/>
        <w:gridCol w:w="4149"/>
        <w:gridCol w:w="1076"/>
        <w:gridCol w:w="1118"/>
        <w:gridCol w:w="1015"/>
      </w:tblGrid>
      <w:tr w:rsidR="00986803" w:rsidRPr="00AE1FD7" w14:paraId="0EB5A516" w14:textId="77777777" w:rsidTr="00482CBE">
        <w:trPr>
          <w:tblHeader/>
          <w:jc w:val="center"/>
        </w:trPr>
        <w:tc>
          <w:tcPr>
            <w:tcW w:w="429"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4CE1C640"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الرتبة</w:t>
            </w:r>
          </w:p>
        </w:tc>
        <w:tc>
          <w:tcPr>
            <w:tcW w:w="407"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0C7F537B"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الرمز</w:t>
            </w:r>
          </w:p>
        </w:tc>
        <w:tc>
          <w:tcPr>
            <w:tcW w:w="2483"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0BB25214"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العبارة</w:t>
            </w:r>
          </w:p>
        </w:tc>
        <w:tc>
          <w:tcPr>
            <w:tcW w:w="564"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53038C2D"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المتوسط</w:t>
            </w:r>
          </w:p>
        </w:tc>
        <w:tc>
          <w:tcPr>
            <w:tcW w:w="586"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4A257C0E"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الانحراف</w:t>
            </w:r>
          </w:p>
        </w:tc>
        <w:tc>
          <w:tcPr>
            <w:tcW w:w="531" w:type="pct"/>
            <w:tcBorders>
              <w:top w:val="single" w:sz="4" w:space="0" w:color="FFFFFF"/>
              <w:left w:val="single" w:sz="4" w:space="0" w:color="FFFFFF"/>
              <w:bottom w:val="single" w:sz="4" w:space="0" w:color="FFFFFF"/>
              <w:right w:val="single" w:sz="4" w:space="0" w:color="FFFFFF"/>
            </w:tcBorders>
            <w:shd w:val="clear" w:color="auto" w:fill="17365D"/>
            <w:tcMar>
              <w:top w:w="90" w:type="dxa"/>
              <w:left w:w="80" w:type="dxa"/>
              <w:bottom w:w="90" w:type="dxa"/>
              <w:right w:w="80" w:type="dxa"/>
            </w:tcMar>
            <w:vAlign w:val="center"/>
          </w:tcPr>
          <w:p w14:paraId="1B14F988" w14:textId="77777777" w:rsidR="00986803" w:rsidRPr="00482CBE" w:rsidRDefault="00DB29B7" w:rsidP="00482CBE">
            <w:pPr>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FFFFFF"/>
                <w:sz w:val="36"/>
                <w:szCs w:val="36"/>
                <w:rtl/>
                <w:lang w:val="ar-SA"/>
              </w:rPr>
              <w:t>المستوى</w:t>
            </w:r>
          </w:p>
        </w:tc>
      </w:tr>
      <w:tr w:rsidR="00986803" w:rsidRPr="00AE1FD7" w14:paraId="269E4DE7" w14:textId="77777777" w:rsidTr="00482CBE">
        <w:trPr>
          <w:jc w:val="center"/>
        </w:trPr>
        <w:tc>
          <w:tcPr>
            <w:tcW w:w="429" w:type="pct"/>
            <w:tcBorders>
              <w:top w:val="single" w:sz="4" w:space="0" w:color="FFFFFF"/>
            </w:tcBorders>
            <w:shd w:val="clear" w:color="auto" w:fill="FFFFFF"/>
            <w:tcMar>
              <w:top w:w="70" w:type="dxa"/>
              <w:left w:w="70" w:type="dxa"/>
              <w:bottom w:w="70" w:type="dxa"/>
              <w:right w:w="70" w:type="dxa"/>
            </w:tcMar>
            <w:vAlign w:val="center"/>
          </w:tcPr>
          <w:p w14:paraId="698AE5D3"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407" w:type="pct"/>
            <w:tcBorders>
              <w:top w:val="single" w:sz="4" w:space="0" w:color="FFFFFF"/>
            </w:tcBorders>
            <w:shd w:val="clear" w:color="auto" w:fill="FFFFFF"/>
            <w:tcMar>
              <w:top w:w="70" w:type="dxa"/>
              <w:left w:w="70" w:type="dxa"/>
              <w:bottom w:w="70" w:type="dxa"/>
              <w:right w:w="70" w:type="dxa"/>
            </w:tcMar>
            <w:vAlign w:val="center"/>
          </w:tcPr>
          <w:p w14:paraId="109FCFA2"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TR4</w:t>
            </w:r>
          </w:p>
        </w:tc>
        <w:tc>
          <w:tcPr>
            <w:tcW w:w="2483" w:type="pct"/>
            <w:tcBorders>
              <w:top w:val="single" w:sz="4" w:space="0" w:color="FFFFFF"/>
            </w:tcBorders>
            <w:shd w:val="clear" w:color="auto" w:fill="FFFFFF"/>
            <w:tcMar>
              <w:top w:w="70" w:type="dxa"/>
              <w:left w:w="70" w:type="dxa"/>
              <w:bottom w:w="70" w:type="dxa"/>
              <w:right w:w="70" w:type="dxa"/>
            </w:tcMar>
            <w:vAlign w:val="center"/>
          </w:tcPr>
          <w:p w14:paraId="5DED369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تتم مشاركة معلومات تكاليف الصيانة والتشغيل والاستئجار مع الإدارات ذات العلاقة.</w:t>
            </w:r>
          </w:p>
        </w:tc>
        <w:tc>
          <w:tcPr>
            <w:tcW w:w="564" w:type="pct"/>
            <w:tcBorders>
              <w:top w:val="single" w:sz="4" w:space="0" w:color="FFFFFF"/>
            </w:tcBorders>
            <w:shd w:val="clear" w:color="auto" w:fill="FFFFFF"/>
            <w:tcMar>
              <w:top w:w="70" w:type="dxa"/>
              <w:left w:w="70" w:type="dxa"/>
              <w:bottom w:w="70" w:type="dxa"/>
              <w:right w:w="70" w:type="dxa"/>
            </w:tcMar>
            <w:vAlign w:val="center"/>
          </w:tcPr>
          <w:p w14:paraId="7055312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3.85</w:t>
            </w:r>
          </w:p>
        </w:tc>
        <w:tc>
          <w:tcPr>
            <w:tcW w:w="586" w:type="pct"/>
            <w:tcBorders>
              <w:top w:val="single" w:sz="4" w:space="0" w:color="FFFFFF"/>
            </w:tcBorders>
            <w:shd w:val="clear" w:color="auto" w:fill="FFFFFF"/>
            <w:tcMar>
              <w:top w:w="70" w:type="dxa"/>
              <w:left w:w="70" w:type="dxa"/>
              <w:bottom w:w="70" w:type="dxa"/>
              <w:right w:w="70" w:type="dxa"/>
            </w:tcMar>
            <w:vAlign w:val="center"/>
          </w:tcPr>
          <w:p w14:paraId="0F4B724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0.58</w:t>
            </w:r>
          </w:p>
        </w:tc>
        <w:tc>
          <w:tcPr>
            <w:tcW w:w="531" w:type="pct"/>
            <w:tcBorders>
              <w:top w:val="single" w:sz="4" w:space="0" w:color="FFFFFF"/>
            </w:tcBorders>
            <w:shd w:val="clear" w:color="auto" w:fill="FFFFFF"/>
            <w:tcMar>
              <w:top w:w="70" w:type="dxa"/>
              <w:left w:w="70" w:type="dxa"/>
              <w:bottom w:w="70" w:type="dxa"/>
              <w:right w:w="70" w:type="dxa"/>
            </w:tcMar>
            <w:vAlign w:val="center"/>
          </w:tcPr>
          <w:p w14:paraId="5C6B977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6A61A5A1" w14:textId="77777777" w:rsidTr="00482CBE">
        <w:trPr>
          <w:jc w:val="center"/>
        </w:trPr>
        <w:tc>
          <w:tcPr>
            <w:tcW w:w="429" w:type="pct"/>
            <w:shd w:val="clear" w:color="auto" w:fill="F2F4F6"/>
            <w:tcMar>
              <w:top w:w="70" w:type="dxa"/>
              <w:left w:w="70" w:type="dxa"/>
              <w:bottom w:w="70" w:type="dxa"/>
              <w:right w:w="70" w:type="dxa"/>
            </w:tcMar>
            <w:vAlign w:val="center"/>
          </w:tcPr>
          <w:p w14:paraId="221F6E1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407" w:type="pct"/>
            <w:shd w:val="clear" w:color="auto" w:fill="F2F4F6"/>
            <w:tcMar>
              <w:top w:w="70" w:type="dxa"/>
              <w:left w:w="70" w:type="dxa"/>
              <w:bottom w:w="70" w:type="dxa"/>
              <w:right w:w="70" w:type="dxa"/>
            </w:tcMar>
            <w:vAlign w:val="center"/>
          </w:tcPr>
          <w:p w14:paraId="2ACE18C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TR5</w:t>
            </w:r>
          </w:p>
        </w:tc>
        <w:tc>
          <w:tcPr>
            <w:tcW w:w="2483" w:type="pct"/>
            <w:shd w:val="clear" w:color="auto" w:fill="F2F4F6"/>
            <w:tcMar>
              <w:top w:w="70" w:type="dxa"/>
              <w:left w:w="70" w:type="dxa"/>
              <w:bottom w:w="70" w:type="dxa"/>
              <w:right w:w="70" w:type="dxa"/>
            </w:tcMar>
            <w:vAlign w:val="center"/>
          </w:tcPr>
          <w:p w14:paraId="3F9A6B2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معايير واضحة للإفصاح عن الأصول غير المستغلة أو منخفضة الاستفادة.</w:t>
            </w:r>
          </w:p>
        </w:tc>
        <w:tc>
          <w:tcPr>
            <w:tcW w:w="564" w:type="pct"/>
            <w:shd w:val="clear" w:color="auto" w:fill="F2F4F6"/>
            <w:tcMar>
              <w:top w:w="70" w:type="dxa"/>
              <w:left w:w="70" w:type="dxa"/>
              <w:bottom w:w="70" w:type="dxa"/>
              <w:right w:w="70" w:type="dxa"/>
            </w:tcMar>
            <w:vAlign w:val="center"/>
          </w:tcPr>
          <w:p w14:paraId="220CB81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3.82</w:t>
            </w:r>
          </w:p>
        </w:tc>
        <w:tc>
          <w:tcPr>
            <w:tcW w:w="586" w:type="pct"/>
            <w:shd w:val="clear" w:color="auto" w:fill="F2F4F6"/>
            <w:tcMar>
              <w:top w:w="70" w:type="dxa"/>
              <w:left w:w="70" w:type="dxa"/>
              <w:bottom w:w="70" w:type="dxa"/>
              <w:right w:w="70" w:type="dxa"/>
            </w:tcMar>
            <w:vAlign w:val="center"/>
          </w:tcPr>
          <w:p w14:paraId="5CFF21C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0.59</w:t>
            </w:r>
          </w:p>
        </w:tc>
        <w:tc>
          <w:tcPr>
            <w:tcW w:w="531" w:type="pct"/>
            <w:shd w:val="clear" w:color="auto" w:fill="F2F4F6"/>
            <w:tcMar>
              <w:top w:w="70" w:type="dxa"/>
              <w:left w:w="70" w:type="dxa"/>
              <w:bottom w:w="70" w:type="dxa"/>
              <w:right w:w="70" w:type="dxa"/>
            </w:tcMar>
            <w:vAlign w:val="center"/>
          </w:tcPr>
          <w:p w14:paraId="42C067F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6E5D21F3" w14:textId="77777777" w:rsidTr="00482CBE">
        <w:trPr>
          <w:jc w:val="center"/>
        </w:trPr>
        <w:tc>
          <w:tcPr>
            <w:tcW w:w="429" w:type="pct"/>
            <w:shd w:val="clear" w:color="auto" w:fill="FFFFFF"/>
            <w:tcMar>
              <w:top w:w="70" w:type="dxa"/>
              <w:left w:w="70" w:type="dxa"/>
              <w:bottom w:w="70" w:type="dxa"/>
              <w:right w:w="70" w:type="dxa"/>
            </w:tcMar>
            <w:vAlign w:val="center"/>
          </w:tcPr>
          <w:p w14:paraId="3F1BFA1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407" w:type="pct"/>
            <w:shd w:val="clear" w:color="auto" w:fill="FFFFFF"/>
            <w:tcMar>
              <w:top w:w="70" w:type="dxa"/>
              <w:left w:w="70" w:type="dxa"/>
              <w:bottom w:w="70" w:type="dxa"/>
              <w:right w:w="70" w:type="dxa"/>
            </w:tcMar>
            <w:vAlign w:val="center"/>
          </w:tcPr>
          <w:p w14:paraId="2F560DB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TR3</w:t>
            </w:r>
          </w:p>
        </w:tc>
        <w:tc>
          <w:tcPr>
            <w:tcW w:w="2483" w:type="pct"/>
            <w:shd w:val="clear" w:color="auto" w:fill="FFFFFF"/>
            <w:tcMar>
              <w:top w:w="70" w:type="dxa"/>
              <w:left w:w="70" w:type="dxa"/>
              <w:bottom w:w="70" w:type="dxa"/>
              <w:right w:w="70" w:type="dxa"/>
            </w:tcMar>
            <w:vAlign w:val="center"/>
          </w:tcPr>
          <w:p w14:paraId="1358D24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تقارير دورية توضح حالة الأصول ومستوى الاستفادة منها.</w:t>
            </w:r>
          </w:p>
        </w:tc>
        <w:tc>
          <w:tcPr>
            <w:tcW w:w="564" w:type="pct"/>
            <w:shd w:val="clear" w:color="auto" w:fill="FFFFFF"/>
            <w:tcMar>
              <w:top w:w="70" w:type="dxa"/>
              <w:left w:w="70" w:type="dxa"/>
              <w:bottom w:w="70" w:type="dxa"/>
              <w:right w:w="70" w:type="dxa"/>
            </w:tcMar>
            <w:vAlign w:val="center"/>
          </w:tcPr>
          <w:p w14:paraId="51882C2F"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3.77</w:t>
            </w:r>
          </w:p>
        </w:tc>
        <w:tc>
          <w:tcPr>
            <w:tcW w:w="586" w:type="pct"/>
            <w:shd w:val="clear" w:color="auto" w:fill="FFFFFF"/>
            <w:tcMar>
              <w:top w:w="70" w:type="dxa"/>
              <w:left w:w="70" w:type="dxa"/>
              <w:bottom w:w="70" w:type="dxa"/>
              <w:right w:w="70" w:type="dxa"/>
            </w:tcMar>
            <w:vAlign w:val="center"/>
          </w:tcPr>
          <w:p w14:paraId="7013F5F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31" w:type="pct"/>
            <w:shd w:val="clear" w:color="auto" w:fill="FFFFFF"/>
            <w:tcMar>
              <w:top w:w="70" w:type="dxa"/>
              <w:left w:w="70" w:type="dxa"/>
              <w:bottom w:w="70" w:type="dxa"/>
              <w:right w:w="70" w:type="dxa"/>
            </w:tcMar>
            <w:vAlign w:val="center"/>
          </w:tcPr>
          <w:p w14:paraId="48CFFE5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4F522526" w14:textId="77777777" w:rsidTr="00482CBE">
        <w:trPr>
          <w:jc w:val="center"/>
        </w:trPr>
        <w:tc>
          <w:tcPr>
            <w:tcW w:w="429" w:type="pct"/>
            <w:shd w:val="clear" w:color="auto" w:fill="F2F4F6"/>
            <w:tcMar>
              <w:top w:w="70" w:type="dxa"/>
              <w:left w:w="70" w:type="dxa"/>
              <w:bottom w:w="70" w:type="dxa"/>
              <w:right w:w="70" w:type="dxa"/>
            </w:tcMar>
            <w:vAlign w:val="center"/>
          </w:tcPr>
          <w:p w14:paraId="05EC590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407" w:type="pct"/>
            <w:shd w:val="clear" w:color="auto" w:fill="F2F4F6"/>
            <w:tcMar>
              <w:top w:w="70" w:type="dxa"/>
              <w:left w:w="70" w:type="dxa"/>
              <w:bottom w:w="70" w:type="dxa"/>
              <w:right w:w="70" w:type="dxa"/>
            </w:tcMar>
            <w:vAlign w:val="center"/>
          </w:tcPr>
          <w:p w14:paraId="571FE47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TR2</w:t>
            </w:r>
          </w:p>
        </w:tc>
        <w:tc>
          <w:tcPr>
            <w:tcW w:w="2483" w:type="pct"/>
            <w:shd w:val="clear" w:color="auto" w:fill="F2F4F6"/>
            <w:tcMar>
              <w:top w:w="70" w:type="dxa"/>
              <w:left w:w="70" w:type="dxa"/>
              <w:bottom w:w="70" w:type="dxa"/>
              <w:right w:w="70" w:type="dxa"/>
            </w:tcMar>
            <w:vAlign w:val="center"/>
          </w:tcPr>
          <w:p w14:paraId="7D8C864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تتاح البيانات الأساسية المتعلقة بالأصول العقارية للمسؤولين المعنيين بسهولة وفي الوقت المناسب.</w:t>
            </w:r>
          </w:p>
        </w:tc>
        <w:tc>
          <w:tcPr>
            <w:tcW w:w="564" w:type="pct"/>
            <w:shd w:val="clear" w:color="auto" w:fill="F2F4F6"/>
            <w:tcMar>
              <w:top w:w="70" w:type="dxa"/>
              <w:left w:w="70" w:type="dxa"/>
              <w:bottom w:w="70" w:type="dxa"/>
              <w:right w:w="70" w:type="dxa"/>
            </w:tcMar>
            <w:vAlign w:val="center"/>
          </w:tcPr>
          <w:p w14:paraId="1308B5A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3.74</w:t>
            </w:r>
          </w:p>
        </w:tc>
        <w:tc>
          <w:tcPr>
            <w:tcW w:w="586" w:type="pct"/>
            <w:shd w:val="clear" w:color="auto" w:fill="F2F4F6"/>
            <w:tcMar>
              <w:top w:w="70" w:type="dxa"/>
              <w:left w:w="70" w:type="dxa"/>
              <w:bottom w:w="70" w:type="dxa"/>
              <w:right w:w="70" w:type="dxa"/>
            </w:tcMar>
            <w:vAlign w:val="center"/>
          </w:tcPr>
          <w:p w14:paraId="502D896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0.61</w:t>
            </w:r>
          </w:p>
        </w:tc>
        <w:tc>
          <w:tcPr>
            <w:tcW w:w="531" w:type="pct"/>
            <w:shd w:val="clear" w:color="auto" w:fill="F2F4F6"/>
            <w:tcMar>
              <w:top w:w="70" w:type="dxa"/>
              <w:left w:w="70" w:type="dxa"/>
              <w:bottom w:w="70" w:type="dxa"/>
              <w:right w:w="70" w:type="dxa"/>
            </w:tcMar>
            <w:vAlign w:val="center"/>
          </w:tcPr>
          <w:p w14:paraId="7DFC338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50FEF039" w14:textId="77777777" w:rsidTr="00482CBE">
        <w:trPr>
          <w:jc w:val="center"/>
        </w:trPr>
        <w:tc>
          <w:tcPr>
            <w:tcW w:w="429" w:type="pct"/>
            <w:shd w:val="clear" w:color="auto" w:fill="FFFFFF"/>
            <w:tcMar>
              <w:top w:w="70" w:type="dxa"/>
              <w:left w:w="70" w:type="dxa"/>
              <w:bottom w:w="70" w:type="dxa"/>
              <w:right w:w="70" w:type="dxa"/>
            </w:tcMar>
            <w:vAlign w:val="center"/>
          </w:tcPr>
          <w:p w14:paraId="1D6811E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407" w:type="pct"/>
            <w:shd w:val="clear" w:color="auto" w:fill="FFFFFF"/>
            <w:tcMar>
              <w:top w:w="70" w:type="dxa"/>
              <w:left w:w="70" w:type="dxa"/>
              <w:bottom w:w="70" w:type="dxa"/>
              <w:right w:w="70" w:type="dxa"/>
            </w:tcMar>
            <w:vAlign w:val="center"/>
          </w:tcPr>
          <w:p w14:paraId="3C8472E3"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TR1</w:t>
            </w:r>
          </w:p>
        </w:tc>
        <w:tc>
          <w:tcPr>
            <w:tcW w:w="2483" w:type="pct"/>
            <w:shd w:val="clear" w:color="auto" w:fill="FFFFFF"/>
            <w:tcMar>
              <w:top w:w="70" w:type="dxa"/>
              <w:left w:w="70" w:type="dxa"/>
              <w:bottom w:w="70" w:type="dxa"/>
              <w:right w:w="70" w:type="dxa"/>
            </w:tcMar>
            <w:vAlign w:val="center"/>
          </w:tcPr>
          <w:p w14:paraId="4038346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في الجهة سياسات مكتوبة وواضحة لإدارة الممتلكات العامة والأصول العقارية.</w:t>
            </w:r>
          </w:p>
        </w:tc>
        <w:tc>
          <w:tcPr>
            <w:tcW w:w="564" w:type="pct"/>
            <w:shd w:val="clear" w:color="auto" w:fill="FFFFFF"/>
            <w:tcMar>
              <w:top w:w="70" w:type="dxa"/>
              <w:left w:w="70" w:type="dxa"/>
              <w:bottom w:w="70" w:type="dxa"/>
              <w:right w:w="70" w:type="dxa"/>
            </w:tcMar>
            <w:vAlign w:val="center"/>
          </w:tcPr>
          <w:p w14:paraId="473E0C6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3.74</w:t>
            </w:r>
          </w:p>
        </w:tc>
        <w:tc>
          <w:tcPr>
            <w:tcW w:w="586" w:type="pct"/>
            <w:shd w:val="clear" w:color="auto" w:fill="FFFFFF"/>
            <w:tcMar>
              <w:top w:w="70" w:type="dxa"/>
              <w:left w:w="70" w:type="dxa"/>
              <w:bottom w:w="70" w:type="dxa"/>
              <w:right w:w="70" w:type="dxa"/>
            </w:tcMar>
            <w:vAlign w:val="center"/>
          </w:tcPr>
          <w:p w14:paraId="326EE133"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0.58</w:t>
            </w:r>
          </w:p>
        </w:tc>
        <w:tc>
          <w:tcPr>
            <w:tcW w:w="531" w:type="pct"/>
            <w:shd w:val="clear" w:color="auto" w:fill="FFFFFF"/>
            <w:tcMar>
              <w:top w:w="70" w:type="dxa"/>
              <w:left w:w="70" w:type="dxa"/>
              <w:bottom w:w="70" w:type="dxa"/>
              <w:right w:w="70" w:type="dxa"/>
            </w:tcMar>
            <w:vAlign w:val="center"/>
          </w:tcPr>
          <w:p w14:paraId="62C23F3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bl>
    <w:p w14:paraId="5F52A81A" w14:textId="77777777" w:rsidR="00482CBE"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0107CEC8" w14:textId="77777777" w:rsidR="00482CBE" w:rsidRDefault="00482CBE">
      <w:pPr>
        <w:spacing w:after="200" w:line="276" w:lineRule="auto"/>
        <w:ind w:firstLine="0"/>
        <w:jc w:val="left"/>
        <w:rPr>
          <w:rFonts w:ascii="Sakkal Majalla" w:hAnsi="Sakkal Majalla" w:cs="Sakkal Majalla"/>
          <w:i/>
          <w:color w:val="3F4650"/>
          <w:sz w:val="36"/>
          <w:szCs w:val="36"/>
          <w:rtl/>
          <w:lang w:val="ar-SA"/>
        </w:rPr>
      </w:pPr>
      <w:r>
        <w:rPr>
          <w:rFonts w:ascii="Sakkal Majalla" w:hAnsi="Sakkal Majalla" w:cs="Sakkal Majalla"/>
          <w:i/>
          <w:color w:val="3F4650"/>
          <w:sz w:val="36"/>
          <w:szCs w:val="36"/>
          <w:rtl/>
          <w:lang w:val="ar-SA"/>
        </w:rPr>
        <w:br w:type="page"/>
      </w:r>
    </w:p>
    <w:p w14:paraId="23948043"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01" w:name="_Toc235205646"/>
      <w:r w:rsidRPr="00AE1FD7">
        <w:rPr>
          <w:rFonts w:ascii="Sakkal Majalla" w:eastAsia="Noto Kufi Arabic" w:hAnsi="Sakkal Majalla" w:cs="Sakkal Majalla"/>
          <w:sz w:val="36"/>
          <w:szCs w:val="36"/>
          <w:rtl/>
          <w:lang w:val="ar-SA"/>
        </w:rPr>
        <w:lastRenderedPageBreak/>
        <w:t>4.5.2 المساءلة والرقابة الداخلية</w:t>
      </w:r>
      <w:r w:rsidR="00482CBE">
        <w:rPr>
          <w:rFonts w:ascii="Sakkal Majalla" w:eastAsia="Noto Kufi Arabic" w:hAnsi="Sakkal Majalla" w:cs="Sakkal Majalla" w:hint="cs"/>
          <w:sz w:val="36"/>
          <w:szCs w:val="36"/>
          <w:rtl/>
          <w:lang w:val="ar-SA"/>
        </w:rPr>
        <w:t>:</w:t>
      </w:r>
      <w:bookmarkEnd w:id="101"/>
      <w:r w:rsidR="00482CBE">
        <w:rPr>
          <w:rFonts w:ascii="Sakkal Majalla" w:eastAsia="Noto Kufi Arabic" w:hAnsi="Sakkal Majalla" w:cs="Sakkal Majalla" w:hint="cs"/>
          <w:sz w:val="36"/>
          <w:szCs w:val="36"/>
          <w:rtl/>
          <w:lang w:val="ar-SA"/>
        </w:rPr>
        <w:t xml:space="preserve"> </w:t>
      </w:r>
    </w:p>
    <w:p w14:paraId="1309474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بلغ متوسط البعد 3.84، وجاءت متابعة الالتزام والسياسات ضمن البنود الأعلى، في حين كان بند معالجة الانحرافات أقل نسبياً. ويعني ذلك أن الرقابة الدورية موجودة بدرجة جيدة، مع حاجة إلى رفع سرعة إغلاق الملاحظات وربطها بمسؤوليات واضحة.</w:t>
      </w:r>
    </w:p>
    <w:p w14:paraId="65FF87CD"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bookmarkStart w:id="102" w:name="table_items_accountability"/>
      <w:r w:rsidRPr="00482CBE">
        <w:rPr>
          <w:rFonts w:ascii="Sakkal Majalla" w:eastAsia="Noto Kufi Arabic" w:hAnsi="Sakkal Majalla" w:cs="Sakkal Majalla"/>
          <w:bCs/>
          <w:color w:val="17365D"/>
          <w:sz w:val="36"/>
          <w:szCs w:val="36"/>
          <w:rtl/>
          <w:lang w:val="ar-SA"/>
        </w:rPr>
        <w:t>جدول (19): نتائج عبارات المساءلة والرقابة الداخلية</w:t>
      </w:r>
      <w:bookmarkEnd w:id="102"/>
    </w:p>
    <w:tbl>
      <w:tblPr>
        <w:bidiVisual/>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30"/>
        <w:gridCol w:w="688"/>
        <w:gridCol w:w="4334"/>
        <w:gridCol w:w="1029"/>
        <w:gridCol w:w="1081"/>
        <w:gridCol w:w="973"/>
      </w:tblGrid>
      <w:tr w:rsidR="00986803" w:rsidRPr="00AE1FD7" w14:paraId="66CAB8D1" w14:textId="77777777" w:rsidTr="00482CBE">
        <w:trPr>
          <w:cantSplit/>
          <w:tblHeader/>
          <w:jc w:val="center"/>
        </w:trPr>
        <w:tc>
          <w:tcPr>
            <w:tcW w:w="334" w:type="pct"/>
            <w:shd w:val="clear" w:color="auto" w:fill="17365D"/>
            <w:tcMar>
              <w:top w:w="90" w:type="dxa"/>
              <w:left w:w="80" w:type="dxa"/>
              <w:bottom w:w="90" w:type="dxa"/>
              <w:right w:w="80" w:type="dxa"/>
            </w:tcMar>
            <w:vAlign w:val="center"/>
          </w:tcPr>
          <w:p w14:paraId="1709BD5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الرتبة</w:t>
            </w:r>
          </w:p>
        </w:tc>
        <w:tc>
          <w:tcPr>
            <w:tcW w:w="433" w:type="pct"/>
            <w:shd w:val="clear" w:color="auto" w:fill="17365D"/>
            <w:tcMar>
              <w:top w:w="90" w:type="dxa"/>
              <w:left w:w="80" w:type="dxa"/>
              <w:bottom w:w="90" w:type="dxa"/>
              <w:right w:w="80" w:type="dxa"/>
            </w:tcMar>
            <w:vAlign w:val="center"/>
          </w:tcPr>
          <w:p w14:paraId="6BB1B07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الرمز</w:t>
            </w:r>
          </w:p>
        </w:tc>
        <w:tc>
          <w:tcPr>
            <w:tcW w:w="2700" w:type="pct"/>
            <w:shd w:val="clear" w:color="auto" w:fill="17365D"/>
            <w:tcMar>
              <w:top w:w="90" w:type="dxa"/>
              <w:left w:w="80" w:type="dxa"/>
              <w:bottom w:w="90" w:type="dxa"/>
              <w:right w:w="80" w:type="dxa"/>
            </w:tcMar>
            <w:vAlign w:val="center"/>
          </w:tcPr>
          <w:p w14:paraId="1ACC64E2"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العبارة</w:t>
            </w:r>
          </w:p>
        </w:tc>
        <w:tc>
          <w:tcPr>
            <w:tcW w:w="500" w:type="pct"/>
            <w:shd w:val="clear" w:color="auto" w:fill="17365D"/>
            <w:tcMar>
              <w:top w:w="90" w:type="dxa"/>
              <w:left w:w="80" w:type="dxa"/>
              <w:bottom w:w="90" w:type="dxa"/>
              <w:right w:w="80" w:type="dxa"/>
            </w:tcMar>
            <w:vAlign w:val="center"/>
          </w:tcPr>
          <w:p w14:paraId="2E46F1D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المتوسط</w:t>
            </w:r>
          </w:p>
        </w:tc>
        <w:tc>
          <w:tcPr>
            <w:tcW w:w="500" w:type="pct"/>
            <w:shd w:val="clear" w:color="auto" w:fill="17365D"/>
            <w:tcMar>
              <w:top w:w="90" w:type="dxa"/>
              <w:left w:w="80" w:type="dxa"/>
              <w:bottom w:w="90" w:type="dxa"/>
              <w:right w:w="80" w:type="dxa"/>
            </w:tcMar>
            <w:vAlign w:val="center"/>
          </w:tcPr>
          <w:p w14:paraId="72B99B3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الانحراف</w:t>
            </w:r>
          </w:p>
        </w:tc>
        <w:tc>
          <w:tcPr>
            <w:tcW w:w="533" w:type="pct"/>
            <w:shd w:val="clear" w:color="auto" w:fill="17365D"/>
            <w:tcMar>
              <w:top w:w="90" w:type="dxa"/>
              <w:left w:w="80" w:type="dxa"/>
              <w:bottom w:w="90" w:type="dxa"/>
              <w:right w:w="80" w:type="dxa"/>
            </w:tcMar>
            <w:vAlign w:val="center"/>
          </w:tcPr>
          <w:p w14:paraId="5584E82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المستوى</w:t>
            </w:r>
          </w:p>
        </w:tc>
      </w:tr>
      <w:tr w:rsidR="00986803" w:rsidRPr="00AE1FD7" w14:paraId="2777A28C" w14:textId="77777777" w:rsidTr="00482CBE">
        <w:trPr>
          <w:jc w:val="center"/>
        </w:trPr>
        <w:tc>
          <w:tcPr>
            <w:tcW w:w="334" w:type="pct"/>
            <w:shd w:val="clear" w:color="auto" w:fill="FFFFFF"/>
            <w:tcMar>
              <w:top w:w="70" w:type="dxa"/>
              <w:left w:w="70" w:type="dxa"/>
              <w:bottom w:w="70" w:type="dxa"/>
              <w:right w:w="70" w:type="dxa"/>
            </w:tcMar>
            <w:vAlign w:val="center"/>
          </w:tcPr>
          <w:p w14:paraId="0A2120E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433" w:type="pct"/>
            <w:shd w:val="clear" w:color="auto" w:fill="FFFFFF"/>
            <w:tcMar>
              <w:top w:w="70" w:type="dxa"/>
              <w:left w:w="70" w:type="dxa"/>
              <w:bottom w:w="70" w:type="dxa"/>
              <w:right w:w="70" w:type="dxa"/>
            </w:tcMar>
            <w:vAlign w:val="center"/>
          </w:tcPr>
          <w:p w14:paraId="33F8759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AC5</w:t>
            </w:r>
          </w:p>
        </w:tc>
        <w:tc>
          <w:tcPr>
            <w:tcW w:w="2700" w:type="pct"/>
            <w:shd w:val="clear" w:color="auto" w:fill="FFFFFF"/>
            <w:tcMar>
              <w:top w:w="70" w:type="dxa"/>
              <w:left w:w="70" w:type="dxa"/>
              <w:bottom w:w="70" w:type="dxa"/>
              <w:right w:w="70" w:type="dxa"/>
            </w:tcMar>
            <w:vAlign w:val="center"/>
          </w:tcPr>
          <w:p w14:paraId="5DC31D3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آليات لمعالجة المخالفات أو الانحرافات المرتبطة باستخدام الأصول أو تكاليفها.</w:t>
            </w:r>
          </w:p>
        </w:tc>
        <w:tc>
          <w:tcPr>
            <w:tcW w:w="500" w:type="pct"/>
            <w:shd w:val="clear" w:color="auto" w:fill="FFFFFF"/>
            <w:tcMar>
              <w:top w:w="70" w:type="dxa"/>
              <w:left w:w="70" w:type="dxa"/>
              <w:bottom w:w="70" w:type="dxa"/>
              <w:right w:w="70" w:type="dxa"/>
            </w:tcMar>
            <w:vAlign w:val="center"/>
          </w:tcPr>
          <w:p w14:paraId="21454D4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3.92</w:t>
            </w:r>
          </w:p>
        </w:tc>
        <w:tc>
          <w:tcPr>
            <w:tcW w:w="500" w:type="pct"/>
            <w:shd w:val="clear" w:color="auto" w:fill="FFFFFF"/>
            <w:tcMar>
              <w:top w:w="70" w:type="dxa"/>
              <w:left w:w="70" w:type="dxa"/>
              <w:bottom w:w="70" w:type="dxa"/>
              <w:right w:w="70" w:type="dxa"/>
            </w:tcMar>
            <w:vAlign w:val="center"/>
          </w:tcPr>
          <w:p w14:paraId="7AB3804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33" w:type="pct"/>
            <w:shd w:val="clear" w:color="auto" w:fill="FFFFFF"/>
            <w:tcMar>
              <w:top w:w="70" w:type="dxa"/>
              <w:left w:w="70" w:type="dxa"/>
              <w:bottom w:w="70" w:type="dxa"/>
              <w:right w:w="70" w:type="dxa"/>
            </w:tcMar>
            <w:vAlign w:val="center"/>
          </w:tcPr>
          <w:p w14:paraId="534C0C1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0BEAA01C" w14:textId="77777777" w:rsidTr="00482CBE">
        <w:trPr>
          <w:jc w:val="center"/>
        </w:trPr>
        <w:tc>
          <w:tcPr>
            <w:tcW w:w="334" w:type="pct"/>
            <w:shd w:val="clear" w:color="auto" w:fill="F2F4F6"/>
            <w:tcMar>
              <w:top w:w="70" w:type="dxa"/>
              <w:left w:w="70" w:type="dxa"/>
              <w:bottom w:w="70" w:type="dxa"/>
              <w:right w:w="70" w:type="dxa"/>
            </w:tcMar>
            <w:vAlign w:val="center"/>
          </w:tcPr>
          <w:p w14:paraId="33A39B7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433" w:type="pct"/>
            <w:shd w:val="clear" w:color="auto" w:fill="F2F4F6"/>
            <w:tcMar>
              <w:top w:w="70" w:type="dxa"/>
              <w:left w:w="70" w:type="dxa"/>
              <w:bottom w:w="70" w:type="dxa"/>
              <w:right w:w="70" w:type="dxa"/>
            </w:tcMar>
            <w:vAlign w:val="center"/>
          </w:tcPr>
          <w:p w14:paraId="268F1BF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AC4</w:t>
            </w:r>
          </w:p>
        </w:tc>
        <w:tc>
          <w:tcPr>
            <w:tcW w:w="2700" w:type="pct"/>
            <w:shd w:val="clear" w:color="auto" w:fill="F2F4F6"/>
            <w:tcMar>
              <w:top w:w="70" w:type="dxa"/>
              <w:left w:w="70" w:type="dxa"/>
              <w:bottom w:w="70" w:type="dxa"/>
              <w:right w:w="70" w:type="dxa"/>
            </w:tcMar>
            <w:vAlign w:val="center"/>
          </w:tcPr>
          <w:p w14:paraId="5B2F908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تتم متابعة الالتزام بالسياسات والإجراءات الخاصة بالأصول والمرافق بصورة منتظمة.</w:t>
            </w:r>
          </w:p>
        </w:tc>
        <w:tc>
          <w:tcPr>
            <w:tcW w:w="500" w:type="pct"/>
            <w:shd w:val="clear" w:color="auto" w:fill="F2F4F6"/>
            <w:tcMar>
              <w:top w:w="70" w:type="dxa"/>
              <w:left w:w="70" w:type="dxa"/>
              <w:bottom w:w="70" w:type="dxa"/>
              <w:right w:w="70" w:type="dxa"/>
            </w:tcMar>
            <w:vAlign w:val="center"/>
          </w:tcPr>
          <w:p w14:paraId="4AC7F8F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3.88</w:t>
            </w:r>
          </w:p>
        </w:tc>
        <w:tc>
          <w:tcPr>
            <w:tcW w:w="500" w:type="pct"/>
            <w:shd w:val="clear" w:color="auto" w:fill="F2F4F6"/>
            <w:tcMar>
              <w:top w:w="70" w:type="dxa"/>
              <w:left w:w="70" w:type="dxa"/>
              <w:bottom w:w="70" w:type="dxa"/>
              <w:right w:w="70" w:type="dxa"/>
            </w:tcMar>
            <w:vAlign w:val="center"/>
          </w:tcPr>
          <w:p w14:paraId="74A7BE0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0.55</w:t>
            </w:r>
          </w:p>
        </w:tc>
        <w:tc>
          <w:tcPr>
            <w:tcW w:w="533" w:type="pct"/>
            <w:shd w:val="clear" w:color="auto" w:fill="F2F4F6"/>
            <w:tcMar>
              <w:top w:w="70" w:type="dxa"/>
              <w:left w:w="70" w:type="dxa"/>
              <w:bottom w:w="70" w:type="dxa"/>
              <w:right w:w="70" w:type="dxa"/>
            </w:tcMar>
            <w:vAlign w:val="center"/>
          </w:tcPr>
          <w:p w14:paraId="6230F9C3"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6D489F80" w14:textId="77777777" w:rsidTr="00482CBE">
        <w:trPr>
          <w:jc w:val="center"/>
        </w:trPr>
        <w:tc>
          <w:tcPr>
            <w:tcW w:w="334" w:type="pct"/>
            <w:shd w:val="clear" w:color="auto" w:fill="FFFFFF"/>
            <w:tcMar>
              <w:top w:w="70" w:type="dxa"/>
              <w:left w:w="70" w:type="dxa"/>
              <w:bottom w:w="70" w:type="dxa"/>
              <w:right w:w="70" w:type="dxa"/>
            </w:tcMar>
            <w:vAlign w:val="center"/>
          </w:tcPr>
          <w:p w14:paraId="430D05B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433" w:type="pct"/>
            <w:shd w:val="clear" w:color="auto" w:fill="FFFFFF"/>
            <w:tcMar>
              <w:top w:w="70" w:type="dxa"/>
              <w:left w:w="70" w:type="dxa"/>
              <w:bottom w:w="70" w:type="dxa"/>
              <w:right w:w="70" w:type="dxa"/>
            </w:tcMar>
            <w:vAlign w:val="center"/>
          </w:tcPr>
          <w:p w14:paraId="65A162D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AC3</w:t>
            </w:r>
          </w:p>
        </w:tc>
        <w:tc>
          <w:tcPr>
            <w:tcW w:w="2700" w:type="pct"/>
            <w:shd w:val="clear" w:color="auto" w:fill="FFFFFF"/>
            <w:tcMar>
              <w:top w:w="70" w:type="dxa"/>
              <w:left w:w="70" w:type="dxa"/>
              <w:bottom w:w="70" w:type="dxa"/>
              <w:right w:w="70" w:type="dxa"/>
            </w:tcMar>
            <w:vAlign w:val="center"/>
          </w:tcPr>
          <w:p w14:paraId="7B59F41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تخضع القرارات العقارية الرئيسة لمستويات اعتماد ومساءلة واضحة.</w:t>
            </w:r>
          </w:p>
        </w:tc>
        <w:tc>
          <w:tcPr>
            <w:tcW w:w="500" w:type="pct"/>
            <w:shd w:val="clear" w:color="auto" w:fill="FFFFFF"/>
            <w:tcMar>
              <w:top w:w="70" w:type="dxa"/>
              <w:left w:w="70" w:type="dxa"/>
              <w:bottom w:w="70" w:type="dxa"/>
              <w:right w:w="70" w:type="dxa"/>
            </w:tcMar>
            <w:vAlign w:val="center"/>
          </w:tcPr>
          <w:p w14:paraId="44F6580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3.85</w:t>
            </w:r>
          </w:p>
        </w:tc>
        <w:tc>
          <w:tcPr>
            <w:tcW w:w="500" w:type="pct"/>
            <w:shd w:val="clear" w:color="auto" w:fill="FFFFFF"/>
            <w:tcMar>
              <w:top w:w="70" w:type="dxa"/>
              <w:left w:w="70" w:type="dxa"/>
              <w:bottom w:w="70" w:type="dxa"/>
              <w:right w:w="70" w:type="dxa"/>
            </w:tcMar>
            <w:vAlign w:val="center"/>
          </w:tcPr>
          <w:p w14:paraId="399C8CA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33" w:type="pct"/>
            <w:shd w:val="clear" w:color="auto" w:fill="FFFFFF"/>
            <w:tcMar>
              <w:top w:w="70" w:type="dxa"/>
              <w:left w:w="70" w:type="dxa"/>
              <w:bottom w:w="70" w:type="dxa"/>
              <w:right w:w="70" w:type="dxa"/>
            </w:tcMar>
            <w:vAlign w:val="center"/>
          </w:tcPr>
          <w:p w14:paraId="45CD3A7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64DA7A25" w14:textId="77777777" w:rsidTr="00482CBE">
        <w:trPr>
          <w:jc w:val="center"/>
        </w:trPr>
        <w:tc>
          <w:tcPr>
            <w:tcW w:w="334" w:type="pct"/>
            <w:shd w:val="clear" w:color="auto" w:fill="F2F4F6"/>
            <w:tcMar>
              <w:top w:w="70" w:type="dxa"/>
              <w:left w:w="70" w:type="dxa"/>
              <w:bottom w:w="70" w:type="dxa"/>
              <w:right w:w="70" w:type="dxa"/>
            </w:tcMar>
            <w:vAlign w:val="center"/>
          </w:tcPr>
          <w:p w14:paraId="161BDB2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433" w:type="pct"/>
            <w:shd w:val="clear" w:color="auto" w:fill="F2F4F6"/>
            <w:tcMar>
              <w:top w:w="70" w:type="dxa"/>
              <w:left w:w="70" w:type="dxa"/>
              <w:bottom w:w="70" w:type="dxa"/>
              <w:right w:w="70" w:type="dxa"/>
            </w:tcMar>
            <w:vAlign w:val="center"/>
          </w:tcPr>
          <w:p w14:paraId="45B31F2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AC1</w:t>
            </w:r>
          </w:p>
        </w:tc>
        <w:tc>
          <w:tcPr>
            <w:tcW w:w="2700" w:type="pct"/>
            <w:shd w:val="clear" w:color="auto" w:fill="F2F4F6"/>
            <w:tcMar>
              <w:top w:w="70" w:type="dxa"/>
              <w:left w:w="70" w:type="dxa"/>
              <w:bottom w:w="70" w:type="dxa"/>
              <w:right w:w="70" w:type="dxa"/>
            </w:tcMar>
            <w:vAlign w:val="center"/>
          </w:tcPr>
          <w:p w14:paraId="03BE75D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الأدوار والمسؤوليات المتعلقة بإدارة الأصول العقارية محددة بوضوح داخل الجهة.</w:t>
            </w:r>
          </w:p>
        </w:tc>
        <w:tc>
          <w:tcPr>
            <w:tcW w:w="500" w:type="pct"/>
            <w:shd w:val="clear" w:color="auto" w:fill="F2F4F6"/>
            <w:tcMar>
              <w:top w:w="70" w:type="dxa"/>
              <w:left w:w="70" w:type="dxa"/>
              <w:bottom w:w="70" w:type="dxa"/>
              <w:right w:w="70" w:type="dxa"/>
            </w:tcMar>
            <w:vAlign w:val="center"/>
          </w:tcPr>
          <w:p w14:paraId="3CBC1AD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3.81</w:t>
            </w:r>
          </w:p>
        </w:tc>
        <w:tc>
          <w:tcPr>
            <w:tcW w:w="500" w:type="pct"/>
            <w:shd w:val="clear" w:color="auto" w:fill="F2F4F6"/>
            <w:tcMar>
              <w:top w:w="70" w:type="dxa"/>
              <w:left w:w="70" w:type="dxa"/>
              <w:bottom w:w="70" w:type="dxa"/>
              <w:right w:w="70" w:type="dxa"/>
            </w:tcMar>
            <w:vAlign w:val="center"/>
          </w:tcPr>
          <w:p w14:paraId="175F74F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33" w:type="pct"/>
            <w:shd w:val="clear" w:color="auto" w:fill="F2F4F6"/>
            <w:tcMar>
              <w:top w:w="70" w:type="dxa"/>
              <w:left w:w="70" w:type="dxa"/>
              <w:bottom w:w="70" w:type="dxa"/>
              <w:right w:w="70" w:type="dxa"/>
            </w:tcMar>
            <w:vAlign w:val="center"/>
          </w:tcPr>
          <w:p w14:paraId="4417EC8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5596F73C" w14:textId="77777777" w:rsidTr="00482CBE">
        <w:trPr>
          <w:jc w:val="center"/>
        </w:trPr>
        <w:tc>
          <w:tcPr>
            <w:tcW w:w="334" w:type="pct"/>
            <w:shd w:val="clear" w:color="auto" w:fill="FFFFFF"/>
            <w:tcMar>
              <w:top w:w="70" w:type="dxa"/>
              <w:left w:w="70" w:type="dxa"/>
              <w:bottom w:w="70" w:type="dxa"/>
              <w:right w:w="70" w:type="dxa"/>
            </w:tcMar>
            <w:vAlign w:val="center"/>
          </w:tcPr>
          <w:p w14:paraId="2C8CBBA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433" w:type="pct"/>
            <w:shd w:val="clear" w:color="auto" w:fill="FFFFFF"/>
            <w:tcMar>
              <w:top w:w="70" w:type="dxa"/>
              <w:left w:w="70" w:type="dxa"/>
              <w:bottom w:w="70" w:type="dxa"/>
              <w:right w:w="70" w:type="dxa"/>
            </w:tcMar>
            <w:vAlign w:val="center"/>
          </w:tcPr>
          <w:p w14:paraId="2E06CF5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AC2</w:t>
            </w:r>
          </w:p>
        </w:tc>
        <w:tc>
          <w:tcPr>
            <w:tcW w:w="2700" w:type="pct"/>
            <w:shd w:val="clear" w:color="auto" w:fill="FFFFFF"/>
            <w:tcMar>
              <w:top w:w="70" w:type="dxa"/>
              <w:left w:w="70" w:type="dxa"/>
              <w:bottom w:w="70" w:type="dxa"/>
              <w:right w:w="70" w:type="dxa"/>
            </w:tcMar>
            <w:vAlign w:val="center"/>
          </w:tcPr>
          <w:p w14:paraId="564C9A1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آليات مراجعة داخلية للتأكد من سلامة قرارات الأصول والعقود العقارية.</w:t>
            </w:r>
          </w:p>
        </w:tc>
        <w:tc>
          <w:tcPr>
            <w:tcW w:w="500" w:type="pct"/>
            <w:shd w:val="clear" w:color="auto" w:fill="FFFFFF"/>
            <w:tcMar>
              <w:top w:w="70" w:type="dxa"/>
              <w:left w:w="70" w:type="dxa"/>
              <w:bottom w:w="70" w:type="dxa"/>
              <w:right w:w="70" w:type="dxa"/>
            </w:tcMar>
            <w:vAlign w:val="center"/>
          </w:tcPr>
          <w:p w14:paraId="53BF3BC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3.76</w:t>
            </w:r>
          </w:p>
        </w:tc>
        <w:tc>
          <w:tcPr>
            <w:tcW w:w="500" w:type="pct"/>
            <w:shd w:val="clear" w:color="auto" w:fill="FFFFFF"/>
            <w:tcMar>
              <w:top w:w="70" w:type="dxa"/>
              <w:left w:w="70" w:type="dxa"/>
              <w:bottom w:w="70" w:type="dxa"/>
              <w:right w:w="70" w:type="dxa"/>
            </w:tcMar>
            <w:vAlign w:val="center"/>
          </w:tcPr>
          <w:p w14:paraId="6A64B3E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33" w:type="pct"/>
            <w:shd w:val="clear" w:color="auto" w:fill="FFFFFF"/>
            <w:tcMar>
              <w:top w:w="70" w:type="dxa"/>
              <w:left w:w="70" w:type="dxa"/>
              <w:bottom w:w="70" w:type="dxa"/>
              <w:right w:w="70" w:type="dxa"/>
            </w:tcMar>
            <w:vAlign w:val="center"/>
          </w:tcPr>
          <w:p w14:paraId="3455AB3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bl>
    <w:p w14:paraId="1B979BDB"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2242D8FB" w14:textId="77777777" w:rsidR="00482CBE" w:rsidRPr="00AE1FD7" w:rsidRDefault="00482CBE" w:rsidP="00482CBE">
      <w:pPr>
        <w:bidi/>
        <w:spacing w:after="0" w:line="240" w:lineRule="auto"/>
        <w:ind w:firstLine="0"/>
        <w:rPr>
          <w:rFonts w:ascii="Sakkal Majalla" w:hAnsi="Sakkal Majalla" w:cs="Sakkal Majalla"/>
          <w:sz w:val="36"/>
          <w:szCs w:val="36"/>
        </w:rPr>
      </w:pPr>
    </w:p>
    <w:p w14:paraId="798AE667"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03" w:name="_Toc235205647"/>
      <w:r w:rsidRPr="00AE1FD7">
        <w:rPr>
          <w:rFonts w:ascii="Sakkal Majalla" w:eastAsia="Noto Kufi Arabic" w:hAnsi="Sakkal Majalla" w:cs="Sakkal Majalla"/>
          <w:sz w:val="36"/>
          <w:szCs w:val="36"/>
          <w:rtl/>
          <w:lang w:val="ar-SA"/>
        </w:rPr>
        <w:t xml:space="preserve">4.5.3 تكامل البيانات </w:t>
      </w:r>
      <w:proofErr w:type="spellStart"/>
      <w:r w:rsidRPr="00AE1FD7">
        <w:rPr>
          <w:rFonts w:ascii="Sakkal Majalla" w:eastAsia="Noto Kufi Arabic" w:hAnsi="Sakkal Majalla" w:cs="Sakkal Majalla"/>
          <w:sz w:val="36"/>
          <w:szCs w:val="36"/>
          <w:rtl/>
          <w:lang w:val="ar-SA"/>
        </w:rPr>
        <w:t>والرقمنة</w:t>
      </w:r>
      <w:proofErr w:type="spellEnd"/>
      <w:r w:rsidR="00482CBE">
        <w:rPr>
          <w:rFonts w:ascii="Sakkal Majalla" w:eastAsia="Noto Kufi Arabic" w:hAnsi="Sakkal Majalla" w:cs="Sakkal Majalla" w:hint="cs"/>
          <w:sz w:val="36"/>
          <w:szCs w:val="36"/>
          <w:rtl/>
          <w:lang w:val="ar-SA"/>
        </w:rPr>
        <w:t>:</w:t>
      </w:r>
      <w:bookmarkEnd w:id="103"/>
    </w:p>
    <w:p w14:paraId="60B5F9B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سجل البعد أدنى متوسط وهو 3.58 رغم بقائه في المستوى المرتفع. وكان الاعتماد على التقارير الإلكترونية أعلى البنود، بينما كان الربط بين البيانات الفنية والمالية والتشغيلية أقلها. ويكشف ذلك عن استخدام أدوات رقمية دون اكتمال التكامل المؤسسي للبيانات.</w:t>
      </w:r>
    </w:p>
    <w:p w14:paraId="403A153C"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bookmarkStart w:id="104" w:name="table_items_digital"/>
      <w:r w:rsidRPr="00482CBE">
        <w:rPr>
          <w:rFonts w:ascii="Sakkal Majalla" w:eastAsia="Noto Kufi Arabic" w:hAnsi="Sakkal Majalla" w:cs="Sakkal Majalla"/>
          <w:bCs/>
          <w:color w:val="17365D"/>
          <w:sz w:val="36"/>
          <w:szCs w:val="36"/>
          <w:rtl/>
          <w:lang w:val="ar-SA"/>
        </w:rPr>
        <w:lastRenderedPageBreak/>
        <w:t xml:space="preserve">جدول (20): نتائج عبارات تكامل البيانات </w:t>
      </w:r>
      <w:proofErr w:type="spellStart"/>
      <w:r w:rsidRPr="00482CBE">
        <w:rPr>
          <w:rFonts w:ascii="Sakkal Majalla" w:eastAsia="Noto Kufi Arabic" w:hAnsi="Sakkal Majalla" w:cs="Sakkal Majalla"/>
          <w:bCs/>
          <w:color w:val="17365D"/>
          <w:sz w:val="36"/>
          <w:szCs w:val="36"/>
          <w:rtl/>
          <w:lang w:val="ar-SA"/>
        </w:rPr>
        <w:t>والرقمنة</w:t>
      </w:r>
      <w:bookmarkEnd w:id="104"/>
      <w:proofErr w:type="spellEnd"/>
    </w:p>
    <w:tbl>
      <w:tblPr>
        <w:bidiVisual/>
        <w:tblW w:w="5001"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66"/>
        <w:gridCol w:w="629"/>
        <w:gridCol w:w="4747"/>
        <w:gridCol w:w="933"/>
        <w:gridCol w:w="979"/>
        <w:gridCol w:w="883"/>
      </w:tblGrid>
      <w:tr w:rsidR="00986803" w:rsidRPr="00482CBE" w14:paraId="13F56CDC" w14:textId="77777777" w:rsidTr="00482CBE">
        <w:trPr>
          <w:tblHeader/>
          <w:jc w:val="center"/>
        </w:trPr>
        <w:tc>
          <w:tcPr>
            <w:tcW w:w="377" w:type="pct"/>
            <w:shd w:val="clear" w:color="auto" w:fill="17365D"/>
            <w:tcMar>
              <w:top w:w="90" w:type="dxa"/>
              <w:left w:w="80" w:type="dxa"/>
              <w:bottom w:w="90" w:type="dxa"/>
              <w:right w:w="80" w:type="dxa"/>
            </w:tcMar>
            <w:vAlign w:val="center"/>
          </w:tcPr>
          <w:p w14:paraId="0F4D6F4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الرتبة</w:t>
            </w:r>
          </w:p>
        </w:tc>
        <w:tc>
          <w:tcPr>
            <w:tcW w:w="356" w:type="pct"/>
            <w:shd w:val="clear" w:color="auto" w:fill="17365D"/>
            <w:tcMar>
              <w:top w:w="90" w:type="dxa"/>
              <w:left w:w="80" w:type="dxa"/>
              <w:bottom w:w="90" w:type="dxa"/>
              <w:right w:w="80" w:type="dxa"/>
            </w:tcMar>
            <w:vAlign w:val="center"/>
          </w:tcPr>
          <w:p w14:paraId="28B2870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الرمز</w:t>
            </w:r>
          </w:p>
        </w:tc>
        <w:tc>
          <w:tcPr>
            <w:tcW w:w="2746" w:type="pct"/>
            <w:shd w:val="clear" w:color="auto" w:fill="17365D"/>
            <w:tcMar>
              <w:top w:w="90" w:type="dxa"/>
              <w:left w:w="80" w:type="dxa"/>
              <w:bottom w:w="90" w:type="dxa"/>
              <w:right w:w="80" w:type="dxa"/>
            </w:tcMar>
            <w:vAlign w:val="center"/>
          </w:tcPr>
          <w:p w14:paraId="63F3E78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العبارة</w:t>
            </w:r>
          </w:p>
        </w:tc>
        <w:tc>
          <w:tcPr>
            <w:tcW w:w="577" w:type="pct"/>
            <w:shd w:val="clear" w:color="auto" w:fill="17365D"/>
            <w:tcMar>
              <w:top w:w="90" w:type="dxa"/>
              <w:left w:w="80" w:type="dxa"/>
              <w:bottom w:w="90" w:type="dxa"/>
              <w:right w:w="80" w:type="dxa"/>
            </w:tcMar>
            <w:vAlign w:val="center"/>
          </w:tcPr>
          <w:p w14:paraId="1F05C57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المتوسط</w:t>
            </w:r>
          </w:p>
        </w:tc>
        <w:tc>
          <w:tcPr>
            <w:tcW w:w="496" w:type="pct"/>
            <w:shd w:val="clear" w:color="auto" w:fill="17365D"/>
            <w:tcMar>
              <w:top w:w="90" w:type="dxa"/>
              <w:left w:w="80" w:type="dxa"/>
              <w:bottom w:w="90" w:type="dxa"/>
              <w:right w:w="80" w:type="dxa"/>
            </w:tcMar>
            <w:vAlign w:val="center"/>
          </w:tcPr>
          <w:p w14:paraId="3B7437A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الانحراف</w:t>
            </w:r>
          </w:p>
        </w:tc>
        <w:tc>
          <w:tcPr>
            <w:tcW w:w="448" w:type="pct"/>
            <w:shd w:val="clear" w:color="auto" w:fill="17365D"/>
            <w:tcMar>
              <w:top w:w="90" w:type="dxa"/>
              <w:left w:w="80" w:type="dxa"/>
              <w:bottom w:w="90" w:type="dxa"/>
              <w:right w:w="80" w:type="dxa"/>
            </w:tcMar>
            <w:vAlign w:val="center"/>
          </w:tcPr>
          <w:p w14:paraId="7487AC99"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المستوى</w:t>
            </w:r>
          </w:p>
        </w:tc>
      </w:tr>
      <w:tr w:rsidR="00986803" w:rsidRPr="00482CBE" w14:paraId="53B993BE" w14:textId="77777777" w:rsidTr="00482CBE">
        <w:trPr>
          <w:jc w:val="center"/>
        </w:trPr>
        <w:tc>
          <w:tcPr>
            <w:tcW w:w="377" w:type="pct"/>
            <w:shd w:val="clear" w:color="auto" w:fill="FFFFFF"/>
            <w:tcMar>
              <w:top w:w="70" w:type="dxa"/>
              <w:left w:w="70" w:type="dxa"/>
              <w:bottom w:w="70" w:type="dxa"/>
              <w:right w:w="70" w:type="dxa"/>
            </w:tcMar>
            <w:vAlign w:val="center"/>
          </w:tcPr>
          <w:p w14:paraId="495DF064"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w:t>
            </w:r>
          </w:p>
        </w:tc>
        <w:tc>
          <w:tcPr>
            <w:tcW w:w="356" w:type="pct"/>
            <w:shd w:val="clear" w:color="auto" w:fill="FFFFFF"/>
            <w:tcMar>
              <w:top w:w="70" w:type="dxa"/>
              <w:left w:w="70" w:type="dxa"/>
              <w:bottom w:w="70" w:type="dxa"/>
              <w:right w:w="70" w:type="dxa"/>
            </w:tcMar>
            <w:vAlign w:val="center"/>
          </w:tcPr>
          <w:p w14:paraId="33DBF63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DD5</w:t>
            </w:r>
          </w:p>
        </w:tc>
        <w:tc>
          <w:tcPr>
            <w:tcW w:w="2746" w:type="pct"/>
            <w:shd w:val="clear" w:color="auto" w:fill="FFFFFF"/>
            <w:tcMar>
              <w:top w:w="70" w:type="dxa"/>
              <w:left w:w="70" w:type="dxa"/>
              <w:bottom w:w="70" w:type="dxa"/>
              <w:right w:w="70" w:type="dxa"/>
            </w:tcMar>
            <w:vAlign w:val="center"/>
          </w:tcPr>
          <w:p w14:paraId="18812CD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يعتمد متخذو القرار على تقارير إلكترونية دقيقة عند دراسة البدائل العقارية.</w:t>
            </w:r>
          </w:p>
        </w:tc>
        <w:tc>
          <w:tcPr>
            <w:tcW w:w="577" w:type="pct"/>
            <w:shd w:val="clear" w:color="auto" w:fill="FFFFFF"/>
            <w:tcMar>
              <w:top w:w="70" w:type="dxa"/>
              <w:left w:w="70" w:type="dxa"/>
              <w:bottom w:w="70" w:type="dxa"/>
              <w:right w:w="70" w:type="dxa"/>
            </w:tcMar>
            <w:vAlign w:val="center"/>
          </w:tcPr>
          <w:p w14:paraId="2EA208ED"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3.65</w:t>
            </w:r>
          </w:p>
        </w:tc>
        <w:tc>
          <w:tcPr>
            <w:tcW w:w="496" w:type="pct"/>
            <w:shd w:val="clear" w:color="auto" w:fill="FFFFFF"/>
            <w:tcMar>
              <w:top w:w="70" w:type="dxa"/>
              <w:left w:w="70" w:type="dxa"/>
              <w:bottom w:w="70" w:type="dxa"/>
              <w:right w:w="70" w:type="dxa"/>
            </w:tcMar>
            <w:vAlign w:val="center"/>
          </w:tcPr>
          <w:p w14:paraId="193D374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0.57</w:t>
            </w:r>
          </w:p>
        </w:tc>
        <w:tc>
          <w:tcPr>
            <w:tcW w:w="448" w:type="pct"/>
            <w:shd w:val="clear" w:color="auto" w:fill="FFFFFF"/>
            <w:tcMar>
              <w:top w:w="70" w:type="dxa"/>
              <w:left w:w="70" w:type="dxa"/>
              <w:bottom w:w="70" w:type="dxa"/>
              <w:right w:w="70" w:type="dxa"/>
            </w:tcMar>
            <w:vAlign w:val="center"/>
          </w:tcPr>
          <w:p w14:paraId="5C7D733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مرتفع</w:t>
            </w:r>
          </w:p>
        </w:tc>
      </w:tr>
      <w:tr w:rsidR="00986803" w:rsidRPr="00482CBE" w14:paraId="53976DAF" w14:textId="77777777" w:rsidTr="00482CBE">
        <w:trPr>
          <w:jc w:val="center"/>
        </w:trPr>
        <w:tc>
          <w:tcPr>
            <w:tcW w:w="377" w:type="pct"/>
            <w:shd w:val="clear" w:color="auto" w:fill="F2F4F6"/>
            <w:tcMar>
              <w:top w:w="70" w:type="dxa"/>
              <w:left w:w="70" w:type="dxa"/>
              <w:bottom w:w="70" w:type="dxa"/>
              <w:right w:w="70" w:type="dxa"/>
            </w:tcMar>
            <w:vAlign w:val="center"/>
          </w:tcPr>
          <w:p w14:paraId="1165B18C"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2</w:t>
            </w:r>
          </w:p>
        </w:tc>
        <w:tc>
          <w:tcPr>
            <w:tcW w:w="356" w:type="pct"/>
            <w:shd w:val="clear" w:color="auto" w:fill="F2F4F6"/>
            <w:tcMar>
              <w:top w:w="70" w:type="dxa"/>
              <w:left w:w="70" w:type="dxa"/>
              <w:bottom w:w="70" w:type="dxa"/>
              <w:right w:w="70" w:type="dxa"/>
            </w:tcMar>
            <w:vAlign w:val="center"/>
          </w:tcPr>
          <w:p w14:paraId="0559135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DD4</w:t>
            </w:r>
          </w:p>
        </w:tc>
        <w:tc>
          <w:tcPr>
            <w:tcW w:w="2746" w:type="pct"/>
            <w:shd w:val="clear" w:color="auto" w:fill="F2F4F6"/>
            <w:tcMar>
              <w:top w:w="70" w:type="dxa"/>
              <w:left w:w="70" w:type="dxa"/>
              <w:bottom w:w="70" w:type="dxa"/>
              <w:right w:w="70" w:type="dxa"/>
            </w:tcMar>
            <w:vAlign w:val="center"/>
          </w:tcPr>
          <w:p w14:paraId="4546BA8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يتم تحديث بيانات الأصل عند حدوث تغير في حالته أو استخدامه أو موقعه أو قيمته.</w:t>
            </w:r>
          </w:p>
        </w:tc>
        <w:tc>
          <w:tcPr>
            <w:tcW w:w="577" w:type="pct"/>
            <w:shd w:val="clear" w:color="auto" w:fill="F2F4F6"/>
            <w:tcMar>
              <w:top w:w="70" w:type="dxa"/>
              <w:left w:w="70" w:type="dxa"/>
              <w:bottom w:w="70" w:type="dxa"/>
              <w:right w:w="70" w:type="dxa"/>
            </w:tcMar>
            <w:vAlign w:val="center"/>
          </w:tcPr>
          <w:p w14:paraId="456EBE69"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3.58</w:t>
            </w:r>
          </w:p>
        </w:tc>
        <w:tc>
          <w:tcPr>
            <w:tcW w:w="496" w:type="pct"/>
            <w:shd w:val="clear" w:color="auto" w:fill="F2F4F6"/>
            <w:tcMar>
              <w:top w:w="70" w:type="dxa"/>
              <w:left w:w="70" w:type="dxa"/>
              <w:bottom w:w="70" w:type="dxa"/>
              <w:right w:w="70" w:type="dxa"/>
            </w:tcMar>
            <w:vAlign w:val="center"/>
          </w:tcPr>
          <w:p w14:paraId="448B952A"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0.62</w:t>
            </w:r>
          </w:p>
        </w:tc>
        <w:tc>
          <w:tcPr>
            <w:tcW w:w="448" w:type="pct"/>
            <w:shd w:val="clear" w:color="auto" w:fill="F2F4F6"/>
            <w:tcMar>
              <w:top w:w="70" w:type="dxa"/>
              <w:left w:w="70" w:type="dxa"/>
              <w:bottom w:w="70" w:type="dxa"/>
              <w:right w:w="70" w:type="dxa"/>
            </w:tcMar>
            <w:vAlign w:val="center"/>
          </w:tcPr>
          <w:p w14:paraId="39E64FFD"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مرتفع</w:t>
            </w:r>
          </w:p>
        </w:tc>
      </w:tr>
      <w:tr w:rsidR="00986803" w:rsidRPr="00482CBE" w14:paraId="18996F77" w14:textId="77777777" w:rsidTr="00482CBE">
        <w:trPr>
          <w:jc w:val="center"/>
        </w:trPr>
        <w:tc>
          <w:tcPr>
            <w:tcW w:w="377" w:type="pct"/>
            <w:shd w:val="clear" w:color="auto" w:fill="FFFFFF"/>
            <w:tcMar>
              <w:top w:w="70" w:type="dxa"/>
              <w:left w:w="70" w:type="dxa"/>
              <w:bottom w:w="70" w:type="dxa"/>
              <w:right w:w="70" w:type="dxa"/>
            </w:tcMar>
            <w:vAlign w:val="center"/>
          </w:tcPr>
          <w:p w14:paraId="7357A51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w:t>
            </w:r>
          </w:p>
        </w:tc>
        <w:tc>
          <w:tcPr>
            <w:tcW w:w="356" w:type="pct"/>
            <w:shd w:val="clear" w:color="auto" w:fill="FFFFFF"/>
            <w:tcMar>
              <w:top w:w="70" w:type="dxa"/>
              <w:left w:w="70" w:type="dxa"/>
              <w:bottom w:w="70" w:type="dxa"/>
              <w:right w:w="70" w:type="dxa"/>
            </w:tcMar>
            <w:vAlign w:val="center"/>
          </w:tcPr>
          <w:p w14:paraId="04647CDC"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DD2</w:t>
            </w:r>
          </w:p>
        </w:tc>
        <w:tc>
          <w:tcPr>
            <w:tcW w:w="2746" w:type="pct"/>
            <w:shd w:val="clear" w:color="auto" w:fill="FFFFFF"/>
            <w:tcMar>
              <w:top w:w="70" w:type="dxa"/>
              <w:left w:w="70" w:type="dxa"/>
              <w:bottom w:w="70" w:type="dxa"/>
              <w:right w:w="70" w:type="dxa"/>
            </w:tcMar>
            <w:vAlign w:val="center"/>
          </w:tcPr>
          <w:p w14:paraId="1E16A4D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ترتبط البيانات الفنية للأصول ببياناتها المالية والتشغيلية.</w:t>
            </w:r>
          </w:p>
        </w:tc>
        <w:tc>
          <w:tcPr>
            <w:tcW w:w="577" w:type="pct"/>
            <w:shd w:val="clear" w:color="auto" w:fill="FFFFFF"/>
            <w:tcMar>
              <w:top w:w="70" w:type="dxa"/>
              <w:left w:w="70" w:type="dxa"/>
              <w:bottom w:w="70" w:type="dxa"/>
              <w:right w:w="70" w:type="dxa"/>
            </w:tcMar>
            <w:vAlign w:val="center"/>
          </w:tcPr>
          <w:p w14:paraId="65BDB5CC"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3.57</w:t>
            </w:r>
          </w:p>
        </w:tc>
        <w:tc>
          <w:tcPr>
            <w:tcW w:w="496" w:type="pct"/>
            <w:shd w:val="clear" w:color="auto" w:fill="FFFFFF"/>
            <w:tcMar>
              <w:top w:w="70" w:type="dxa"/>
              <w:left w:w="70" w:type="dxa"/>
              <w:bottom w:w="70" w:type="dxa"/>
              <w:right w:w="70" w:type="dxa"/>
            </w:tcMar>
            <w:vAlign w:val="center"/>
          </w:tcPr>
          <w:p w14:paraId="39F4451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0.58</w:t>
            </w:r>
          </w:p>
        </w:tc>
        <w:tc>
          <w:tcPr>
            <w:tcW w:w="448" w:type="pct"/>
            <w:shd w:val="clear" w:color="auto" w:fill="FFFFFF"/>
            <w:tcMar>
              <w:top w:w="70" w:type="dxa"/>
              <w:left w:w="70" w:type="dxa"/>
              <w:bottom w:w="70" w:type="dxa"/>
              <w:right w:w="70" w:type="dxa"/>
            </w:tcMar>
            <w:vAlign w:val="center"/>
          </w:tcPr>
          <w:p w14:paraId="6B0ACE4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مرتفع</w:t>
            </w:r>
          </w:p>
        </w:tc>
      </w:tr>
      <w:tr w:rsidR="00986803" w:rsidRPr="00482CBE" w14:paraId="4A458091" w14:textId="77777777" w:rsidTr="00482CBE">
        <w:trPr>
          <w:jc w:val="center"/>
        </w:trPr>
        <w:tc>
          <w:tcPr>
            <w:tcW w:w="377" w:type="pct"/>
            <w:shd w:val="clear" w:color="auto" w:fill="F2F4F6"/>
            <w:tcMar>
              <w:top w:w="70" w:type="dxa"/>
              <w:left w:w="70" w:type="dxa"/>
              <w:bottom w:w="70" w:type="dxa"/>
              <w:right w:w="70" w:type="dxa"/>
            </w:tcMar>
            <w:vAlign w:val="center"/>
          </w:tcPr>
          <w:p w14:paraId="5155D5B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4</w:t>
            </w:r>
          </w:p>
        </w:tc>
        <w:tc>
          <w:tcPr>
            <w:tcW w:w="356" w:type="pct"/>
            <w:shd w:val="clear" w:color="auto" w:fill="F2F4F6"/>
            <w:tcMar>
              <w:top w:w="70" w:type="dxa"/>
              <w:left w:w="70" w:type="dxa"/>
              <w:bottom w:w="70" w:type="dxa"/>
              <w:right w:w="70" w:type="dxa"/>
            </w:tcMar>
            <w:vAlign w:val="center"/>
          </w:tcPr>
          <w:p w14:paraId="64F48AC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DD3</w:t>
            </w:r>
          </w:p>
        </w:tc>
        <w:tc>
          <w:tcPr>
            <w:tcW w:w="2746" w:type="pct"/>
            <w:shd w:val="clear" w:color="auto" w:fill="F2F4F6"/>
            <w:tcMar>
              <w:top w:w="70" w:type="dxa"/>
              <w:left w:w="70" w:type="dxa"/>
              <w:bottom w:w="70" w:type="dxa"/>
              <w:right w:w="70" w:type="dxa"/>
            </w:tcMar>
            <w:vAlign w:val="center"/>
          </w:tcPr>
          <w:p w14:paraId="147C97BD"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تسهم الأنظمة الرقمية في دعم قرارات الصيانة أو الاستبدال أو إعادة الاستخدام.</w:t>
            </w:r>
          </w:p>
        </w:tc>
        <w:tc>
          <w:tcPr>
            <w:tcW w:w="577" w:type="pct"/>
            <w:shd w:val="clear" w:color="auto" w:fill="F2F4F6"/>
            <w:tcMar>
              <w:top w:w="70" w:type="dxa"/>
              <w:left w:w="70" w:type="dxa"/>
              <w:bottom w:w="70" w:type="dxa"/>
              <w:right w:w="70" w:type="dxa"/>
            </w:tcMar>
            <w:vAlign w:val="center"/>
          </w:tcPr>
          <w:p w14:paraId="0AD5DDEB"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3.55</w:t>
            </w:r>
          </w:p>
        </w:tc>
        <w:tc>
          <w:tcPr>
            <w:tcW w:w="496" w:type="pct"/>
            <w:shd w:val="clear" w:color="auto" w:fill="F2F4F6"/>
            <w:tcMar>
              <w:top w:w="70" w:type="dxa"/>
              <w:left w:w="70" w:type="dxa"/>
              <w:bottom w:w="70" w:type="dxa"/>
              <w:right w:w="70" w:type="dxa"/>
            </w:tcMar>
            <w:vAlign w:val="center"/>
          </w:tcPr>
          <w:p w14:paraId="49AF32F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0.59</w:t>
            </w:r>
          </w:p>
        </w:tc>
        <w:tc>
          <w:tcPr>
            <w:tcW w:w="448" w:type="pct"/>
            <w:shd w:val="clear" w:color="auto" w:fill="F2F4F6"/>
            <w:tcMar>
              <w:top w:w="70" w:type="dxa"/>
              <w:left w:w="70" w:type="dxa"/>
              <w:bottom w:w="70" w:type="dxa"/>
              <w:right w:w="70" w:type="dxa"/>
            </w:tcMar>
            <w:vAlign w:val="center"/>
          </w:tcPr>
          <w:p w14:paraId="61425F0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مرتفع</w:t>
            </w:r>
          </w:p>
        </w:tc>
      </w:tr>
      <w:tr w:rsidR="00986803" w:rsidRPr="00482CBE" w14:paraId="6F38E7ED" w14:textId="77777777" w:rsidTr="00482CBE">
        <w:trPr>
          <w:jc w:val="center"/>
        </w:trPr>
        <w:tc>
          <w:tcPr>
            <w:tcW w:w="377" w:type="pct"/>
            <w:shd w:val="clear" w:color="auto" w:fill="FFFFFF"/>
            <w:tcMar>
              <w:top w:w="70" w:type="dxa"/>
              <w:left w:w="70" w:type="dxa"/>
              <w:bottom w:w="70" w:type="dxa"/>
              <w:right w:w="70" w:type="dxa"/>
            </w:tcMar>
            <w:vAlign w:val="center"/>
          </w:tcPr>
          <w:p w14:paraId="67620467"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5</w:t>
            </w:r>
          </w:p>
        </w:tc>
        <w:tc>
          <w:tcPr>
            <w:tcW w:w="356" w:type="pct"/>
            <w:shd w:val="clear" w:color="auto" w:fill="FFFFFF"/>
            <w:tcMar>
              <w:top w:w="70" w:type="dxa"/>
              <w:left w:w="70" w:type="dxa"/>
              <w:bottom w:w="70" w:type="dxa"/>
              <w:right w:w="70" w:type="dxa"/>
            </w:tcMar>
            <w:vAlign w:val="center"/>
          </w:tcPr>
          <w:p w14:paraId="364FD96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DD1</w:t>
            </w:r>
          </w:p>
        </w:tc>
        <w:tc>
          <w:tcPr>
            <w:tcW w:w="2746" w:type="pct"/>
            <w:shd w:val="clear" w:color="auto" w:fill="FFFFFF"/>
            <w:tcMar>
              <w:top w:w="70" w:type="dxa"/>
              <w:left w:w="70" w:type="dxa"/>
              <w:bottom w:w="70" w:type="dxa"/>
              <w:right w:w="70" w:type="dxa"/>
            </w:tcMar>
            <w:vAlign w:val="center"/>
          </w:tcPr>
          <w:p w14:paraId="30552E0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تتوفر لدى الجهة قاعدة بيانات موحدة ومحدثة للأصول العقارية الحكومية.</w:t>
            </w:r>
          </w:p>
        </w:tc>
        <w:tc>
          <w:tcPr>
            <w:tcW w:w="577" w:type="pct"/>
            <w:shd w:val="clear" w:color="auto" w:fill="FFFFFF"/>
            <w:tcMar>
              <w:top w:w="70" w:type="dxa"/>
              <w:left w:w="70" w:type="dxa"/>
              <w:bottom w:w="70" w:type="dxa"/>
              <w:right w:w="70" w:type="dxa"/>
            </w:tcMar>
            <w:vAlign w:val="center"/>
          </w:tcPr>
          <w:p w14:paraId="4ED3669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3.53</w:t>
            </w:r>
          </w:p>
        </w:tc>
        <w:tc>
          <w:tcPr>
            <w:tcW w:w="496" w:type="pct"/>
            <w:shd w:val="clear" w:color="auto" w:fill="FFFFFF"/>
            <w:tcMar>
              <w:top w:w="70" w:type="dxa"/>
              <w:left w:w="70" w:type="dxa"/>
              <w:bottom w:w="70" w:type="dxa"/>
              <w:right w:w="70" w:type="dxa"/>
            </w:tcMar>
            <w:vAlign w:val="center"/>
          </w:tcPr>
          <w:p w14:paraId="1F134A22"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0.60</w:t>
            </w:r>
          </w:p>
        </w:tc>
        <w:tc>
          <w:tcPr>
            <w:tcW w:w="448" w:type="pct"/>
            <w:shd w:val="clear" w:color="auto" w:fill="FFFFFF"/>
            <w:tcMar>
              <w:top w:w="70" w:type="dxa"/>
              <w:left w:w="70" w:type="dxa"/>
              <w:bottom w:w="70" w:type="dxa"/>
              <w:right w:w="70" w:type="dxa"/>
            </w:tcMar>
            <w:vAlign w:val="center"/>
          </w:tcPr>
          <w:p w14:paraId="420FB25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مرتفع</w:t>
            </w:r>
          </w:p>
        </w:tc>
      </w:tr>
    </w:tbl>
    <w:p w14:paraId="75265DC4"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5BE80CF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05" w:name="_Toc235205648"/>
      <w:r w:rsidRPr="00AE1FD7">
        <w:rPr>
          <w:rFonts w:ascii="Sakkal Majalla" w:eastAsia="Noto Kufi Arabic" w:hAnsi="Sakkal Majalla" w:cs="Sakkal Majalla"/>
          <w:sz w:val="36"/>
          <w:szCs w:val="36"/>
          <w:rtl/>
          <w:lang w:val="ar-SA"/>
        </w:rPr>
        <w:t>4.5.4 التخطيط الاستراتيجي وإدارة دورة حياة الأصل</w:t>
      </w:r>
      <w:r w:rsidR="00482CBE">
        <w:rPr>
          <w:rFonts w:ascii="Sakkal Majalla" w:eastAsia="Noto Kufi Arabic" w:hAnsi="Sakkal Majalla" w:cs="Sakkal Majalla" w:hint="cs"/>
          <w:sz w:val="36"/>
          <w:szCs w:val="36"/>
          <w:rtl/>
          <w:lang w:val="ar-SA"/>
        </w:rPr>
        <w:t>:</w:t>
      </w:r>
      <w:bookmarkEnd w:id="105"/>
    </w:p>
    <w:p w14:paraId="7046DED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بلغ متوسط البعد 3.73. وحصلت مواءمة القرارات العقارية مع أهداف الجهة على ترتيب متقدم، بينما انخفض نسبياً تقييم كلفة دورة الحياة والتصرف في غير المستغل. وتدل النتيجة على تطور التخطيط العام، مع حاجة إلى أدوات مالية وفنية أكثر عمقاً في القرارات طويلة الأجل.</w:t>
      </w:r>
    </w:p>
    <w:p w14:paraId="69E08A6A" w14:textId="77777777" w:rsidR="00986803" w:rsidRPr="00482CBE" w:rsidRDefault="00DB29B7" w:rsidP="00482CBE">
      <w:pPr>
        <w:spacing w:after="200" w:line="276" w:lineRule="auto"/>
        <w:ind w:firstLine="0"/>
        <w:jc w:val="center"/>
        <w:rPr>
          <w:rFonts w:ascii="Sakkal Majalla" w:hAnsi="Sakkal Majalla" w:cs="Sakkal Majalla"/>
          <w:bCs/>
          <w:sz w:val="36"/>
          <w:szCs w:val="36"/>
        </w:rPr>
      </w:pPr>
      <w:bookmarkStart w:id="106" w:name="table_items_lifecycle"/>
      <w:r w:rsidRPr="00482CBE">
        <w:rPr>
          <w:rFonts w:ascii="Sakkal Majalla" w:eastAsia="Noto Kufi Arabic" w:hAnsi="Sakkal Majalla" w:cs="Sakkal Majalla"/>
          <w:bCs/>
          <w:color w:val="17365D"/>
          <w:sz w:val="36"/>
          <w:szCs w:val="36"/>
          <w:rtl/>
          <w:lang w:val="ar-SA"/>
        </w:rPr>
        <w:t>جدول (21): نتائج عبارات التخطيط الاستراتيجي وإدارة دورة حياة الأصل</w:t>
      </w:r>
      <w:bookmarkEnd w:id="106"/>
    </w:p>
    <w:tbl>
      <w:tblPr>
        <w:bidiVisual/>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98"/>
        <w:gridCol w:w="659"/>
        <w:gridCol w:w="4539"/>
        <w:gridCol w:w="981"/>
        <w:gridCol w:w="1030"/>
        <w:gridCol w:w="928"/>
      </w:tblGrid>
      <w:tr w:rsidR="00986803" w:rsidRPr="00AE1FD7" w14:paraId="6D113F1F" w14:textId="77777777" w:rsidTr="00482CBE">
        <w:trPr>
          <w:cantSplit/>
          <w:tblHeader/>
          <w:jc w:val="center"/>
        </w:trPr>
        <w:tc>
          <w:tcPr>
            <w:tcW w:w="334" w:type="pct"/>
            <w:shd w:val="clear" w:color="auto" w:fill="17365D"/>
            <w:tcMar>
              <w:top w:w="90" w:type="dxa"/>
              <w:left w:w="80" w:type="dxa"/>
              <w:bottom w:w="90" w:type="dxa"/>
              <w:right w:w="80" w:type="dxa"/>
            </w:tcMar>
            <w:vAlign w:val="center"/>
          </w:tcPr>
          <w:p w14:paraId="662B054F"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الرتبة</w:t>
            </w:r>
          </w:p>
        </w:tc>
        <w:tc>
          <w:tcPr>
            <w:tcW w:w="433" w:type="pct"/>
            <w:shd w:val="clear" w:color="auto" w:fill="17365D"/>
            <w:tcMar>
              <w:top w:w="90" w:type="dxa"/>
              <w:left w:w="80" w:type="dxa"/>
              <w:bottom w:w="90" w:type="dxa"/>
              <w:right w:w="80" w:type="dxa"/>
            </w:tcMar>
            <w:vAlign w:val="center"/>
          </w:tcPr>
          <w:p w14:paraId="1B778AC2"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الرمز</w:t>
            </w:r>
          </w:p>
        </w:tc>
        <w:tc>
          <w:tcPr>
            <w:tcW w:w="2700" w:type="pct"/>
            <w:shd w:val="clear" w:color="auto" w:fill="17365D"/>
            <w:tcMar>
              <w:top w:w="90" w:type="dxa"/>
              <w:left w:w="80" w:type="dxa"/>
              <w:bottom w:w="90" w:type="dxa"/>
              <w:right w:w="80" w:type="dxa"/>
            </w:tcMar>
            <w:vAlign w:val="center"/>
          </w:tcPr>
          <w:p w14:paraId="5412ECE6"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العبارة</w:t>
            </w:r>
          </w:p>
        </w:tc>
        <w:tc>
          <w:tcPr>
            <w:tcW w:w="500" w:type="pct"/>
            <w:shd w:val="clear" w:color="auto" w:fill="17365D"/>
            <w:tcMar>
              <w:top w:w="90" w:type="dxa"/>
              <w:left w:w="80" w:type="dxa"/>
              <w:bottom w:w="90" w:type="dxa"/>
              <w:right w:w="80" w:type="dxa"/>
            </w:tcMar>
            <w:vAlign w:val="center"/>
          </w:tcPr>
          <w:p w14:paraId="751704C6"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المتوسط</w:t>
            </w:r>
          </w:p>
        </w:tc>
        <w:tc>
          <w:tcPr>
            <w:tcW w:w="500" w:type="pct"/>
            <w:shd w:val="clear" w:color="auto" w:fill="17365D"/>
            <w:tcMar>
              <w:top w:w="90" w:type="dxa"/>
              <w:left w:w="80" w:type="dxa"/>
              <w:bottom w:w="90" w:type="dxa"/>
              <w:right w:w="80" w:type="dxa"/>
            </w:tcMar>
            <w:vAlign w:val="center"/>
          </w:tcPr>
          <w:p w14:paraId="0F1F1C3D"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الانحراف</w:t>
            </w:r>
          </w:p>
        </w:tc>
        <w:tc>
          <w:tcPr>
            <w:tcW w:w="533" w:type="pct"/>
            <w:shd w:val="clear" w:color="auto" w:fill="17365D"/>
            <w:tcMar>
              <w:top w:w="90" w:type="dxa"/>
              <w:left w:w="80" w:type="dxa"/>
              <w:bottom w:w="90" w:type="dxa"/>
              <w:right w:w="80" w:type="dxa"/>
            </w:tcMar>
            <w:vAlign w:val="center"/>
          </w:tcPr>
          <w:p w14:paraId="378B10D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Noto Kufi Arabic" w:hAnsi="Sakkal Majalla" w:cs="Sakkal Majalla"/>
                <w:b/>
                <w:color w:val="FFFFFF"/>
                <w:sz w:val="34"/>
                <w:szCs w:val="34"/>
                <w:rtl/>
                <w:lang w:val="ar-SA"/>
              </w:rPr>
              <w:t>المستوى</w:t>
            </w:r>
          </w:p>
        </w:tc>
      </w:tr>
      <w:tr w:rsidR="00986803" w:rsidRPr="00AE1FD7" w14:paraId="307E9514" w14:textId="77777777" w:rsidTr="00482CBE">
        <w:trPr>
          <w:jc w:val="center"/>
        </w:trPr>
        <w:tc>
          <w:tcPr>
            <w:tcW w:w="334" w:type="pct"/>
            <w:shd w:val="clear" w:color="auto" w:fill="FFFFFF"/>
            <w:tcMar>
              <w:top w:w="70" w:type="dxa"/>
              <w:left w:w="70" w:type="dxa"/>
              <w:bottom w:w="70" w:type="dxa"/>
              <w:right w:w="70" w:type="dxa"/>
            </w:tcMar>
            <w:vAlign w:val="center"/>
          </w:tcPr>
          <w:p w14:paraId="49AF8B9C"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1</w:t>
            </w:r>
          </w:p>
        </w:tc>
        <w:tc>
          <w:tcPr>
            <w:tcW w:w="433" w:type="pct"/>
            <w:shd w:val="clear" w:color="auto" w:fill="FFFFFF"/>
            <w:tcMar>
              <w:top w:w="70" w:type="dxa"/>
              <w:left w:w="70" w:type="dxa"/>
              <w:bottom w:w="70" w:type="dxa"/>
              <w:right w:w="70" w:type="dxa"/>
            </w:tcMar>
            <w:vAlign w:val="center"/>
          </w:tcPr>
          <w:p w14:paraId="6E8BC98B"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LC4</w:t>
            </w:r>
          </w:p>
        </w:tc>
        <w:tc>
          <w:tcPr>
            <w:tcW w:w="2700" w:type="pct"/>
            <w:shd w:val="clear" w:color="auto" w:fill="FFFFFF"/>
            <w:tcMar>
              <w:top w:w="70" w:type="dxa"/>
              <w:left w:w="70" w:type="dxa"/>
              <w:bottom w:w="70" w:type="dxa"/>
              <w:right w:w="70" w:type="dxa"/>
            </w:tcMar>
            <w:vAlign w:val="center"/>
          </w:tcPr>
          <w:p w14:paraId="03BFCC97"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تؤخذ كلفة دورة حياة الأصل في الحسبان عند اتخاذ القرار العقاري.</w:t>
            </w:r>
          </w:p>
        </w:tc>
        <w:tc>
          <w:tcPr>
            <w:tcW w:w="500" w:type="pct"/>
            <w:shd w:val="clear" w:color="auto" w:fill="FFFFFF"/>
            <w:tcMar>
              <w:top w:w="70" w:type="dxa"/>
              <w:left w:w="70" w:type="dxa"/>
              <w:bottom w:w="70" w:type="dxa"/>
              <w:right w:w="70" w:type="dxa"/>
            </w:tcMar>
            <w:vAlign w:val="center"/>
          </w:tcPr>
          <w:p w14:paraId="70187054"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3.76</w:t>
            </w:r>
          </w:p>
        </w:tc>
        <w:tc>
          <w:tcPr>
            <w:tcW w:w="500" w:type="pct"/>
            <w:shd w:val="clear" w:color="auto" w:fill="FFFFFF"/>
            <w:tcMar>
              <w:top w:w="70" w:type="dxa"/>
              <w:left w:w="70" w:type="dxa"/>
              <w:bottom w:w="70" w:type="dxa"/>
              <w:right w:w="70" w:type="dxa"/>
            </w:tcMar>
            <w:vAlign w:val="center"/>
          </w:tcPr>
          <w:p w14:paraId="749A3E8C"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0.58</w:t>
            </w:r>
          </w:p>
        </w:tc>
        <w:tc>
          <w:tcPr>
            <w:tcW w:w="533" w:type="pct"/>
            <w:shd w:val="clear" w:color="auto" w:fill="FFFFFF"/>
            <w:tcMar>
              <w:top w:w="70" w:type="dxa"/>
              <w:left w:w="70" w:type="dxa"/>
              <w:bottom w:w="70" w:type="dxa"/>
              <w:right w:w="70" w:type="dxa"/>
            </w:tcMar>
            <w:vAlign w:val="center"/>
          </w:tcPr>
          <w:p w14:paraId="5C5E80C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مرتفع</w:t>
            </w:r>
          </w:p>
        </w:tc>
      </w:tr>
      <w:tr w:rsidR="00986803" w:rsidRPr="00AE1FD7" w14:paraId="7261C369" w14:textId="77777777" w:rsidTr="00482CBE">
        <w:trPr>
          <w:jc w:val="center"/>
        </w:trPr>
        <w:tc>
          <w:tcPr>
            <w:tcW w:w="334" w:type="pct"/>
            <w:shd w:val="clear" w:color="auto" w:fill="F2F4F6"/>
            <w:tcMar>
              <w:top w:w="70" w:type="dxa"/>
              <w:left w:w="70" w:type="dxa"/>
              <w:bottom w:w="70" w:type="dxa"/>
              <w:right w:w="70" w:type="dxa"/>
            </w:tcMar>
            <w:vAlign w:val="center"/>
          </w:tcPr>
          <w:p w14:paraId="0329EAC0"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2</w:t>
            </w:r>
          </w:p>
        </w:tc>
        <w:tc>
          <w:tcPr>
            <w:tcW w:w="433" w:type="pct"/>
            <w:shd w:val="clear" w:color="auto" w:fill="F2F4F6"/>
            <w:tcMar>
              <w:top w:w="70" w:type="dxa"/>
              <w:left w:w="70" w:type="dxa"/>
              <w:bottom w:w="70" w:type="dxa"/>
              <w:right w:w="70" w:type="dxa"/>
            </w:tcMar>
            <w:vAlign w:val="center"/>
          </w:tcPr>
          <w:p w14:paraId="7A1F69FD"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LC5</w:t>
            </w:r>
          </w:p>
        </w:tc>
        <w:tc>
          <w:tcPr>
            <w:tcW w:w="2700" w:type="pct"/>
            <w:shd w:val="clear" w:color="auto" w:fill="F2F4F6"/>
            <w:tcMar>
              <w:top w:w="70" w:type="dxa"/>
              <w:left w:w="70" w:type="dxa"/>
              <w:bottom w:w="70" w:type="dxa"/>
              <w:right w:w="70" w:type="dxa"/>
            </w:tcMar>
            <w:vAlign w:val="center"/>
          </w:tcPr>
          <w:p w14:paraId="22320F7E"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توجد آلية دورية لتقييم الاستفادة من الأصول والتصرف في غير المستغل منها.</w:t>
            </w:r>
          </w:p>
        </w:tc>
        <w:tc>
          <w:tcPr>
            <w:tcW w:w="500" w:type="pct"/>
            <w:shd w:val="clear" w:color="auto" w:fill="F2F4F6"/>
            <w:tcMar>
              <w:top w:w="70" w:type="dxa"/>
              <w:left w:w="70" w:type="dxa"/>
              <w:bottom w:w="70" w:type="dxa"/>
              <w:right w:w="70" w:type="dxa"/>
            </w:tcMar>
            <w:vAlign w:val="center"/>
          </w:tcPr>
          <w:p w14:paraId="758913A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3.76</w:t>
            </w:r>
          </w:p>
        </w:tc>
        <w:tc>
          <w:tcPr>
            <w:tcW w:w="500" w:type="pct"/>
            <w:shd w:val="clear" w:color="auto" w:fill="F2F4F6"/>
            <w:tcMar>
              <w:top w:w="70" w:type="dxa"/>
              <w:left w:w="70" w:type="dxa"/>
              <w:bottom w:w="70" w:type="dxa"/>
              <w:right w:w="70" w:type="dxa"/>
            </w:tcMar>
            <w:vAlign w:val="center"/>
          </w:tcPr>
          <w:p w14:paraId="26C33D44"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0.55</w:t>
            </w:r>
          </w:p>
        </w:tc>
        <w:tc>
          <w:tcPr>
            <w:tcW w:w="533" w:type="pct"/>
            <w:shd w:val="clear" w:color="auto" w:fill="F2F4F6"/>
            <w:tcMar>
              <w:top w:w="70" w:type="dxa"/>
              <w:left w:w="70" w:type="dxa"/>
              <w:bottom w:w="70" w:type="dxa"/>
              <w:right w:w="70" w:type="dxa"/>
            </w:tcMar>
            <w:vAlign w:val="center"/>
          </w:tcPr>
          <w:p w14:paraId="2B1226A8"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مرتفع</w:t>
            </w:r>
          </w:p>
        </w:tc>
      </w:tr>
      <w:tr w:rsidR="00986803" w:rsidRPr="00AE1FD7" w14:paraId="0A495487" w14:textId="77777777" w:rsidTr="00482CBE">
        <w:trPr>
          <w:jc w:val="center"/>
        </w:trPr>
        <w:tc>
          <w:tcPr>
            <w:tcW w:w="334" w:type="pct"/>
            <w:shd w:val="clear" w:color="auto" w:fill="FFFFFF"/>
            <w:tcMar>
              <w:top w:w="70" w:type="dxa"/>
              <w:left w:w="70" w:type="dxa"/>
              <w:bottom w:w="70" w:type="dxa"/>
              <w:right w:w="70" w:type="dxa"/>
            </w:tcMar>
            <w:vAlign w:val="center"/>
          </w:tcPr>
          <w:p w14:paraId="2B927ED1"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w:t>
            </w:r>
          </w:p>
        </w:tc>
        <w:tc>
          <w:tcPr>
            <w:tcW w:w="433" w:type="pct"/>
            <w:shd w:val="clear" w:color="auto" w:fill="FFFFFF"/>
            <w:tcMar>
              <w:top w:w="70" w:type="dxa"/>
              <w:left w:w="70" w:type="dxa"/>
              <w:bottom w:w="70" w:type="dxa"/>
              <w:right w:w="70" w:type="dxa"/>
            </w:tcMar>
            <w:vAlign w:val="center"/>
          </w:tcPr>
          <w:p w14:paraId="2E17F284"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LC2</w:t>
            </w:r>
          </w:p>
        </w:tc>
        <w:tc>
          <w:tcPr>
            <w:tcW w:w="2700" w:type="pct"/>
            <w:shd w:val="clear" w:color="auto" w:fill="FFFFFF"/>
            <w:tcMar>
              <w:top w:w="70" w:type="dxa"/>
              <w:left w:w="70" w:type="dxa"/>
              <w:bottom w:w="70" w:type="dxa"/>
              <w:right w:w="70" w:type="dxa"/>
            </w:tcMar>
            <w:vAlign w:val="center"/>
          </w:tcPr>
          <w:p w14:paraId="67BF7C94"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توجد خطط طويلة الأجل للصيانة والتجديد والإحلال للأصول العقارية.</w:t>
            </w:r>
          </w:p>
        </w:tc>
        <w:tc>
          <w:tcPr>
            <w:tcW w:w="500" w:type="pct"/>
            <w:shd w:val="clear" w:color="auto" w:fill="FFFFFF"/>
            <w:tcMar>
              <w:top w:w="70" w:type="dxa"/>
              <w:left w:w="70" w:type="dxa"/>
              <w:bottom w:w="70" w:type="dxa"/>
              <w:right w:w="70" w:type="dxa"/>
            </w:tcMar>
            <w:vAlign w:val="center"/>
          </w:tcPr>
          <w:p w14:paraId="381B36AC"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3.73</w:t>
            </w:r>
          </w:p>
        </w:tc>
        <w:tc>
          <w:tcPr>
            <w:tcW w:w="500" w:type="pct"/>
            <w:shd w:val="clear" w:color="auto" w:fill="FFFFFF"/>
            <w:tcMar>
              <w:top w:w="70" w:type="dxa"/>
              <w:left w:w="70" w:type="dxa"/>
              <w:bottom w:w="70" w:type="dxa"/>
              <w:right w:w="70" w:type="dxa"/>
            </w:tcMar>
            <w:vAlign w:val="center"/>
          </w:tcPr>
          <w:p w14:paraId="070D3676"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0.58</w:t>
            </w:r>
          </w:p>
        </w:tc>
        <w:tc>
          <w:tcPr>
            <w:tcW w:w="533" w:type="pct"/>
            <w:shd w:val="clear" w:color="auto" w:fill="FFFFFF"/>
            <w:tcMar>
              <w:top w:w="70" w:type="dxa"/>
              <w:left w:w="70" w:type="dxa"/>
              <w:bottom w:w="70" w:type="dxa"/>
              <w:right w:w="70" w:type="dxa"/>
            </w:tcMar>
            <w:vAlign w:val="center"/>
          </w:tcPr>
          <w:p w14:paraId="20EEF568"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مرتفع</w:t>
            </w:r>
          </w:p>
        </w:tc>
      </w:tr>
      <w:tr w:rsidR="00986803" w:rsidRPr="00AE1FD7" w14:paraId="2E412D49" w14:textId="77777777" w:rsidTr="00482CBE">
        <w:trPr>
          <w:jc w:val="center"/>
        </w:trPr>
        <w:tc>
          <w:tcPr>
            <w:tcW w:w="334" w:type="pct"/>
            <w:shd w:val="clear" w:color="auto" w:fill="F2F4F6"/>
            <w:tcMar>
              <w:top w:w="70" w:type="dxa"/>
              <w:left w:w="70" w:type="dxa"/>
              <w:bottom w:w="70" w:type="dxa"/>
              <w:right w:w="70" w:type="dxa"/>
            </w:tcMar>
            <w:vAlign w:val="center"/>
          </w:tcPr>
          <w:p w14:paraId="3A3C65EE"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lastRenderedPageBreak/>
              <w:t>4</w:t>
            </w:r>
          </w:p>
        </w:tc>
        <w:tc>
          <w:tcPr>
            <w:tcW w:w="433" w:type="pct"/>
            <w:shd w:val="clear" w:color="auto" w:fill="F2F4F6"/>
            <w:tcMar>
              <w:top w:w="70" w:type="dxa"/>
              <w:left w:w="70" w:type="dxa"/>
              <w:bottom w:w="70" w:type="dxa"/>
              <w:right w:w="70" w:type="dxa"/>
            </w:tcMar>
            <w:vAlign w:val="center"/>
          </w:tcPr>
          <w:p w14:paraId="3A1F3FB7"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LC3</w:t>
            </w:r>
          </w:p>
        </w:tc>
        <w:tc>
          <w:tcPr>
            <w:tcW w:w="2700" w:type="pct"/>
            <w:shd w:val="clear" w:color="auto" w:fill="F2F4F6"/>
            <w:tcMar>
              <w:top w:w="70" w:type="dxa"/>
              <w:left w:w="70" w:type="dxa"/>
              <w:bottom w:w="70" w:type="dxa"/>
              <w:right w:w="70" w:type="dxa"/>
            </w:tcMar>
            <w:vAlign w:val="center"/>
          </w:tcPr>
          <w:p w14:paraId="5BDC2AAB"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تُقيَّم الحاجة إلى التملك أو الاستئجار أو إعادة استخدام الأصل وفق معايير واضحة.</w:t>
            </w:r>
          </w:p>
        </w:tc>
        <w:tc>
          <w:tcPr>
            <w:tcW w:w="500" w:type="pct"/>
            <w:shd w:val="clear" w:color="auto" w:fill="F2F4F6"/>
            <w:tcMar>
              <w:top w:w="70" w:type="dxa"/>
              <w:left w:w="70" w:type="dxa"/>
              <w:bottom w:w="70" w:type="dxa"/>
              <w:right w:w="70" w:type="dxa"/>
            </w:tcMar>
            <w:vAlign w:val="center"/>
          </w:tcPr>
          <w:p w14:paraId="285DBE2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3.73</w:t>
            </w:r>
          </w:p>
        </w:tc>
        <w:tc>
          <w:tcPr>
            <w:tcW w:w="500" w:type="pct"/>
            <w:shd w:val="clear" w:color="auto" w:fill="F2F4F6"/>
            <w:tcMar>
              <w:top w:w="70" w:type="dxa"/>
              <w:left w:w="70" w:type="dxa"/>
              <w:bottom w:w="70" w:type="dxa"/>
              <w:right w:w="70" w:type="dxa"/>
            </w:tcMar>
            <w:vAlign w:val="center"/>
          </w:tcPr>
          <w:p w14:paraId="2F53FA4A"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0.59</w:t>
            </w:r>
          </w:p>
        </w:tc>
        <w:tc>
          <w:tcPr>
            <w:tcW w:w="533" w:type="pct"/>
            <w:shd w:val="clear" w:color="auto" w:fill="F2F4F6"/>
            <w:tcMar>
              <w:top w:w="70" w:type="dxa"/>
              <w:left w:w="70" w:type="dxa"/>
              <w:bottom w:w="70" w:type="dxa"/>
              <w:right w:w="70" w:type="dxa"/>
            </w:tcMar>
            <w:vAlign w:val="center"/>
          </w:tcPr>
          <w:p w14:paraId="43B5BDDA"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مرتفع</w:t>
            </w:r>
          </w:p>
        </w:tc>
      </w:tr>
      <w:tr w:rsidR="00986803" w:rsidRPr="00AE1FD7" w14:paraId="4FFF5A0F" w14:textId="77777777" w:rsidTr="00482CBE">
        <w:trPr>
          <w:jc w:val="center"/>
        </w:trPr>
        <w:tc>
          <w:tcPr>
            <w:tcW w:w="334" w:type="pct"/>
            <w:shd w:val="clear" w:color="auto" w:fill="FFFFFF"/>
            <w:tcMar>
              <w:top w:w="70" w:type="dxa"/>
              <w:left w:w="70" w:type="dxa"/>
              <w:bottom w:w="70" w:type="dxa"/>
              <w:right w:w="70" w:type="dxa"/>
            </w:tcMar>
            <w:vAlign w:val="center"/>
          </w:tcPr>
          <w:p w14:paraId="1573223D"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5</w:t>
            </w:r>
          </w:p>
        </w:tc>
        <w:tc>
          <w:tcPr>
            <w:tcW w:w="433" w:type="pct"/>
            <w:shd w:val="clear" w:color="auto" w:fill="FFFFFF"/>
            <w:tcMar>
              <w:top w:w="70" w:type="dxa"/>
              <w:left w:w="70" w:type="dxa"/>
              <w:bottom w:w="70" w:type="dxa"/>
              <w:right w:w="70" w:type="dxa"/>
            </w:tcMar>
            <w:vAlign w:val="center"/>
          </w:tcPr>
          <w:p w14:paraId="7CF53408"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LC1</w:t>
            </w:r>
          </w:p>
        </w:tc>
        <w:tc>
          <w:tcPr>
            <w:tcW w:w="2700" w:type="pct"/>
            <w:shd w:val="clear" w:color="auto" w:fill="FFFFFF"/>
            <w:tcMar>
              <w:top w:w="70" w:type="dxa"/>
              <w:left w:w="70" w:type="dxa"/>
              <w:bottom w:w="70" w:type="dxa"/>
              <w:right w:w="70" w:type="dxa"/>
            </w:tcMar>
            <w:vAlign w:val="center"/>
          </w:tcPr>
          <w:p w14:paraId="65DA07BF"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تتم مواءمة القرارات العقارية مع الأهداف الاستراتيجية للجهة الحكومية.</w:t>
            </w:r>
          </w:p>
        </w:tc>
        <w:tc>
          <w:tcPr>
            <w:tcW w:w="500" w:type="pct"/>
            <w:shd w:val="clear" w:color="auto" w:fill="FFFFFF"/>
            <w:tcMar>
              <w:top w:w="70" w:type="dxa"/>
              <w:left w:w="70" w:type="dxa"/>
              <w:bottom w:w="70" w:type="dxa"/>
              <w:right w:w="70" w:type="dxa"/>
            </w:tcMar>
            <w:vAlign w:val="center"/>
          </w:tcPr>
          <w:p w14:paraId="78681981"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3.68</w:t>
            </w:r>
          </w:p>
        </w:tc>
        <w:tc>
          <w:tcPr>
            <w:tcW w:w="500" w:type="pct"/>
            <w:shd w:val="clear" w:color="auto" w:fill="FFFFFF"/>
            <w:tcMar>
              <w:top w:w="70" w:type="dxa"/>
              <w:left w:w="70" w:type="dxa"/>
              <w:bottom w:w="70" w:type="dxa"/>
              <w:right w:w="70" w:type="dxa"/>
            </w:tcMar>
            <w:vAlign w:val="center"/>
          </w:tcPr>
          <w:p w14:paraId="4CA7520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eastAsia="DejaVu Sans" w:hAnsi="Sakkal Majalla" w:cs="Sakkal Majalla"/>
                <w:color w:val="000000"/>
                <w:sz w:val="34"/>
                <w:szCs w:val="34"/>
                <w:lang w:bidi="en-US"/>
              </w:rPr>
              <w:t>0.56</w:t>
            </w:r>
          </w:p>
        </w:tc>
        <w:tc>
          <w:tcPr>
            <w:tcW w:w="533" w:type="pct"/>
            <w:shd w:val="clear" w:color="auto" w:fill="FFFFFF"/>
            <w:tcMar>
              <w:top w:w="70" w:type="dxa"/>
              <w:left w:w="70" w:type="dxa"/>
              <w:bottom w:w="70" w:type="dxa"/>
              <w:right w:w="70" w:type="dxa"/>
            </w:tcMar>
            <w:vAlign w:val="center"/>
          </w:tcPr>
          <w:p w14:paraId="4A022983" w14:textId="77777777" w:rsidR="00986803" w:rsidRPr="00482CBE" w:rsidRDefault="00DB29B7" w:rsidP="00482CBE">
            <w:pPr>
              <w:bidi/>
              <w:spacing w:after="0" w:line="240" w:lineRule="auto"/>
              <w:ind w:firstLine="0"/>
              <w:jc w:val="center"/>
              <w:rPr>
                <w:rFonts w:ascii="Sakkal Majalla" w:hAnsi="Sakkal Majalla" w:cs="Sakkal Majalla"/>
                <w:sz w:val="34"/>
                <w:szCs w:val="34"/>
              </w:rPr>
            </w:pPr>
            <w:r w:rsidRPr="00482CBE">
              <w:rPr>
                <w:rFonts w:ascii="Sakkal Majalla" w:hAnsi="Sakkal Majalla" w:cs="Sakkal Majalla"/>
                <w:color w:val="000000"/>
                <w:sz w:val="34"/>
                <w:szCs w:val="34"/>
                <w:rtl/>
                <w:lang w:val="ar-SA"/>
              </w:rPr>
              <w:t>مرتفع</w:t>
            </w:r>
          </w:p>
        </w:tc>
      </w:tr>
    </w:tbl>
    <w:p w14:paraId="122ED8A1"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2A395089" w14:textId="77777777" w:rsidR="00482CBE" w:rsidRPr="00AE1FD7" w:rsidRDefault="00482CBE" w:rsidP="00482CBE">
      <w:pPr>
        <w:bidi/>
        <w:spacing w:after="0" w:line="240" w:lineRule="auto"/>
        <w:ind w:firstLine="0"/>
        <w:rPr>
          <w:rFonts w:ascii="Sakkal Majalla" w:hAnsi="Sakkal Majalla" w:cs="Sakkal Majalla"/>
          <w:sz w:val="36"/>
          <w:szCs w:val="36"/>
        </w:rPr>
      </w:pPr>
    </w:p>
    <w:p w14:paraId="73D36C83"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07" w:name="_Toc235205649"/>
      <w:r w:rsidRPr="00AE1FD7">
        <w:rPr>
          <w:rFonts w:ascii="Sakkal Majalla" w:eastAsia="Noto Kufi Arabic" w:hAnsi="Sakkal Majalla" w:cs="Sakkal Majalla"/>
          <w:sz w:val="36"/>
          <w:szCs w:val="36"/>
          <w:rtl/>
          <w:lang w:val="ar-SA"/>
        </w:rPr>
        <w:t>4.5.5 إدارة المخاطر والامتثال</w:t>
      </w:r>
      <w:r w:rsidR="00482CBE">
        <w:rPr>
          <w:rFonts w:ascii="Sakkal Majalla" w:eastAsia="Noto Kufi Arabic" w:hAnsi="Sakkal Majalla" w:cs="Sakkal Majalla" w:hint="cs"/>
          <w:sz w:val="36"/>
          <w:szCs w:val="36"/>
          <w:rtl/>
          <w:lang w:val="ar-SA"/>
        </w:rPr>
        <w:t>:</w:t>
      </w:r>
      <w:bookmarkEnd w:id="107"/>
    </w:p>
    <w:p w14:paraId="10F6C82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جاء البعد في المرتبة الأولى بمتوسط 3.91. وارتفعت بنود الالتزام بالاشتراطات والسلامة، بينما كان التخطيط لمعالجة المخاطر أدنى نسبياً. ويشير ذلك إلى قوة الامتثال، مع فرصة للانتقال من الالتزام التفاعلي إلى إدارة استباقية للمخاطر.</w:t>
      </w:r>
    </w:p>
    <w:p w14:paraId="6668CBF1"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bookmarkStart w:id="108" w:name="table_items_risk"/>
      <w:r w:rsidRPr="00482CBE">
        <w:rPr>
          <w:rFonts w:ascii="Sakkal Majalla" w:eastAsia="Noto Kufi Arabic" w:hAnsi="Sakkal Majalla" w:cs="Sakkal Majalla"/>
          <w:bCs/>
          <w:color w:val="17365D"/>
          <w:sz w:val="36"/>
          <w:szCs w:val="36"/>
          <w:rtl/>
          <w:lang w:val="ar-SA"/>
        </w:rPr>
        <w:t>جدول (22): نتائج عبارات إدارة المخاطر والامتثال</w:t>
      </w:r>
      <w:bookmarkEnd w:id="108"/>
    </w:p>
    <w:tbl>
      <w:tblPr>
        <w:bidiVisual/>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30"/>
        <w:gridCol w:w="688"/>
        <w:gridCol w:w="4334"/>
        <w:gridCol w:w="1029"/>
        <w:gridCol w:w="1081"/>
        <w:gridCol w:w="973"/>
      </w:tblGrid>
      <w:tr w:rsidR="00482CBE" w:rsidRPr="00AE1FD7" w14:paraId="188BC121" w14:textId="77777777" w:rsidTr="00482CBE">
        <w:trPr>
          <w:cantSplit/>
          <w:tblHeader/>
        </w:trPr>
        <w:tc>
          <w:tcPr>
            <w:tcW w:w="389" w:type="pct"/>
            <w:shd w:val="clear" w:color="auto" w:fill="17365D"/>
            <w:tcMar>
              <w:top w:w="90" w:type="dxa"/>
              <w:left w:w="80" w:type="dxa"/>
              <w:bottom w:w="90" w:type="dxa"/>
              <w:right w:w="80" w:type="dxa"/>
            </w:tcMar>
            <w:vAlign w:val="center"/>
          </w:tcPr>
          <w:p w14:paraId="5D64C59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الرتبة</w:t>
            </w:r>
          </w:p>
        </w:tc>
        <w:tc>
          <w:tcPr>
            <w:tcW w:w="494" w:type="pct"/>
            <w:shd w:val="clear" w:color="auto" w:fill="17365D"/>
            <w:tcMar>
              <w:top w:w="90" w:type="dxa"/>
              <w:left w:w="80" w:type="dxa"/>
              <w:bottom w:w="90" w:type="dxa"/>
              <w:right w:w="80" w:type="dxa"/>
            </w:tcMar>
            <w:vAlign w:val="center"/>
          </w:tcPr>
          <w:p w14:paraId="7DFD71B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الرمز</w:t>
            </w:r>
          </w:p>
        </w:tc>
        <w:tc>
          <w:tcPr>
            <w:tcW w:w="2573" w:type="pct"/>
            <w:shd w:val="clear" w:color="auto" w:fill="17365D"/>
            <w:tcMar>
              <w:top w:w="90" w:type="dxa"/>
              <w:left w:w="80" w:type="dxa"/>
              <w:bottom w:w="90" w:type="dxa"/>
              <w:right w:w="80" w:type="dxa"/>
            </w:tcMar>
            <w:vAlign w:val="center"/>
          </w:tcPr>
          <w:p w14:paraId="7F018D3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العبارة</w:t>
            </w:r>
          </w:p>
        </w:tc>
        <w:tc>
          <w:tcPr>
            <w:tcW w:w="515" w:type="pct"/>
            <w:shd w:val="clear" w:color="auto" w:fill="17365D"/>
            <w:tcMar>
              <w:top w:w="90" w:type="dxa"/>
              <w:left w:w="80" w:type="dxa"/>
              <w:bottom w:w="90" w:type="dxa"/>
              <w:right w:w="80" w:type="dxa"/>
            </w:tcMar>
            <w:vAlign w:val="center"/>
          </w:tcPr>
          <w:p w14:paraId="799284B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المتوسط</w:t>
            </w:r>
          </w:p>
        </w:tc>
        <w:tc>
          <w:tcPr>
            <w:tcW w:w="515" w:type="pct"/>
            <w:shd w:val="clear" w:color="auto" w:fill="17365D"/>
            <w:tcMar>
              <w:top w:w="90" w:type="dxa"/>
              <w:left w:w="80" w:type="dxa"/>
              <w:bottom w:w="90" w:type="dxa"/>
              <w:right w:w="80" w:type="dxa"/>
            </w:tcMar>
            <w:vAlign w:val="center"/>
          </w:tcPr>
          <w:p w14:paraId="04FA3A53"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الانحراف</w:t>
            </w:r>
          </w:p>
        </w:tc>
        <w:tc>
          <w:tcPr>
            <w:tcW w:w="514" w:type="pct"/>
            <w:shd w:val="clear" w:color="auto" w:fill="17365D"/>
            <w:tcMar>
              <w:top w:w="90" w:type="dxa"/>
              <w:left w:w="80" w:type="dxa"/>
              <w:bottom w:w="90" w:type="dxa"/>
              <w:right w:w="80" w:type="dxa"/>
            </w:tcMar>
            <w:vAlign w:val="center"/>
          </w:tcPr>
          <w:p w14:paraId="0E9C2D8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المستوى</w:t>
            </w:r>
          </w:p>
        </w:tc>
      </w:tr>
      <w:tr w:rsidR="00482CBE" w:rsidRPr="00AE1FD7" w14:paraId="48506483" w14:textId="77777777" w:rsidTr="00482CBE">
        <w:tc>
          <w:tcPr>
            <w:tcW w:w="389" w:type="pct"/>
            <w:shd w:val="clear" w:color="auto" w:fill="FFFFFF"/>
            <w:tcMar>
              <w:top w:w="70" w:type="dxa"/>
              <w:left w:w="70" w:type="dxa"/>
              <w:bottom w:w="70" w:type="dxa"/>
              <w:right w:w="70" w:type="dxa"/>
            </w:tcMar>
            <w:vAlign w:val="center"/>
          </w:tcPr>
          <w:p w14:paraId="447CD91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494" w:type="pct"/>
            <w:shd w:val="clear" w:color="auto" w:fill="FFFFFF"/>
            <w:tcMar>
              <w:top w:w="70" w:type="dxa"/>
              <w:left w:w="70" w:type="dxa"/>
              <w:bottom w:w="70" w:type="dxa"/>
              <w:right w:w="70" w:type="dxa"/>
            </w:tcMar>
            <w:vAlign w:val="center"/>
          </w:tcPr>
          <w:p w14:paraId="04A139D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RC4</w:t>
            </w:r>
          </w:p>
        </w:tc>
        <w:tc>
          <w:tcPr>
            <w:tcW w:w="2573" w:type="pct"/>
            <w:shd w:val="clear" w:color="auto" w:fill="FFFFFF"/>
            <w:tcMar>
              <w:top w:w="70" w:type="dxa"/>
              <w:left w:w="70" w:type="dxa"/>
              <w:bottom w:w="70" w:type="dxa"/>
              <w:right w:w="70" w:type="dxa"/>
            </w:tcMar>
            <w:vAlign w:val="center"/>
          </w:tcPr>
          <w:p w14:paraId="3835024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تؤخذ اعتبارات السلامة والاستدامة والامتثال في قرارات الصيانة والتشغيل والتعاقد.</w:t>
            </w:r>
          </w:p>
        </w:tc>
        <w:tc>
          <w:tcPr>
            <w:tcW w:w="515" w:type="pct"/>
            <w:shd w:val="clear" w:color="auto" w:fill="FFFFFF"/>
            <w:tcMar>
              <w:top w:w="70" w:type="dxa"/>
              <w:left w:w="70" w:type="dxa"/>
              <w:bottom w:w="70" w:type="dxa"/>
              <w:right w:w="70" w:type="dxa"/>
            </w:tcMar>
            <w:vAlign w:val="center"/>
          </w:tcPr>
          <w:p w14:paraId="64A59D2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3.97</w:t>
            </w:r>
          </w:p>
        </w:tc>
        <w:tc>
          <w:tcPr>
            <w:tcW w:w="515" w:type="pct"/>
            <w:shd w:val="clear" w:color="auto" w:fill="FFFFFF"/>
            <w:tcMar>
              <w:top w:w="70" w:type="dxa"/>
              <w:left w:w="70" w:type="dxa"/>
              <w:bottom w:w="70" w:type="dxa"/>
              <w:right w:w="70" w:type="dxa"/>
            </w:tcMar>
            <w:vAlign w:val="center"/>
          </w:tcPr>
          <w:p w14:paraId="408B044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14" w:type="pct"/>
            <w:shd w:val="clear" w:color="auto" w:fill="FFFFFF"/>
            <w:tcMar>
              <w:top w:w="70" w:type="dxa"/>
              <w:left w:w="70" w:type="dxa"/>
              <w:bottom w:w="70" w:type="dxa"/>
              <w:right w:w="70" w:type="dxa"/>
            </w:tcMar>
            <w:vAlign w:val="center"/>
          </w:tcPr>
          <w:p w14:paraId="30304EE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482CBE" w:rsidRPr="00AE1FD7" w14:paraId="4B2DFD9A" w14:textId="77777777" w:rsidTr="00482CBE">
        <w:tc>
          <w:tcPr>
            <w:tcW w:w="389" w:type="pct"/>
            <w:shd w:val="clear" w:color="auto" w:fill="F2F4F6"/>
            <w:tcMar>
              <w:top w:w="70" w:type="dxa"/>
              <w:left w:w="70" w:type="dxa"/>
              <w:bottom w:w="70" w:type="dxa"/>
              <w:right w:w="70" w:type="dxa"/>
            </w:tcMar>
            <w:vAlign w:val="center"/>
          </w:tcPr>
          <w:p w14:paraId="4F2CD8F2"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494" w:type="pct"/>
            <w:shd w:val="clear" w:color="auto" w:fill="F2F4F6"/>
            <w:tcMar>
              <w:top w:w="70" w:type="dxa"/>
              <w:left w:w="70" w:type="dxa"/>
              <w:bottom w:w="70" w:type="dxa"/>
              <w:right w:w="70" w:type="dxa"/>
            </w:tcMar>
            <w:vAlign w:val="center"/>
          </w:tcPr>
          <w:p w14:paraId="068B903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RC3</w:t>
            </w:r>
          </w:p>
        </w:tc>
        <w:tc>
          <w:tcPr>
            <w:tcW w:w="2573" w:type="pct"/>
            <w:shd w:val="clear" w:color="auto" w:fill="F2F4F6"/>
            <w:tcMar>
              <w:top w:w="70" w:type="dxa"/>
              <w:left w:w="70" w:type="dxa"/>
              <w:bottom w:w="70" w:type="dxa"/>
              <w:right w:w="70" w:type="dxa"/>
            </w:tcMar>
            <w:vAlign w:val="center"/>
          </w:tcPr>
          <w:p w14:paraId="3328285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تلتزم الجهة بالمعايير والاشتراطات الفنية والتنظيمية ذات الصلة.</w:t>
            </w:r>
          </w:p>
        </w:tc>
        <w:tc>
          <w:tcPr>
            <w:tcW w:w="515" w:type="pct"/>
            <w:shd w:val="clear" w:color="auto" w:fill="F2F4F6"/>
            <w:tcMar>
              <w:top w:w="70" w:type="dxa"/>
              <w:left w:w="70" w:type="dxa"/>
              <w:bottom w:w="70" w:type="dxa"/>
              <w:right w:w="70" w:type="dxa"/>
            </w:tcMar>
            <w:vAlign w:val="center"/>
          </w:tcPr>
          <w:p w14:paraId="26A1028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3.92</w:t>
            </w:r>
          </w:p>
        </w:tc>
        <w:tc>
          <w:tcPr>
            <w:tcW w:w="515" w:type="pct"/>
            <w:shd w:val="clear" w:color="auto" w:fill="F2F4F6"/>
            <w:tcMar>
              <w:top w:w="70" w:type="dxa"/>
              <w:left w:w="70" w:type="dxa"/>
              <w:bottom w:w="70" w:type="dxa"/>
              <w:right w:w="70" w:type="dxa"/>
            </w:tcMar>
            <w:vAlign w:val="center"/>
          </w:tcPr>
          <w:p w14:paraId="09E9C15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0.60</w:t>
            </w:r>
          </w:p>
        </w:tc>
        <w:tc>
          <w:tcPr>
            <w:tcW w:w="514" w:type="pct"/>
            <w:shd w:val="clear" w:color="auto" w:fill="F2F4F6"/>
            <w:tcMar>
              <w:top w:w="70" w:type="dxa"/>
              <w:left w:w="70" w:type="dxa"/>
              <w:bottom w:w="70" w:type="dxa"/>
              <w:right w:w="70" w:type="dxa"/>
            </w:tcMar>
            <w:vAlign w:val="center"/>
          </w:tcPr>
          <w:p w14:paraId="67ABF6F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482CBE" w:rsidRPr="00AE1FD7" w14:paraId="78797EF9" w14:textId="77777777" w:rsidTr="00482CBE">
        <w:tc>
          <w:tcPr>
            <w:tcW w:w="389" w:type="pct"/>
            <w:shd w:val="clear" w:color="auto" w:fill="FFFFFF"/>
            <w:tcMar>
              <w:top w:w="70" w:type="dxa"/>
              <w:left w:w="70" w:type="dxa"/>
              <w:bottom w:w="70" w:type="dxa"/>
              <w:right w:w="70" w:type="dxa"/>
            </w:tcMar>
            <w:vAlign w:val="center"/>
          </w:tcPr>
          <w:p w14:paraId="3E66ECA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494" w:type="pct"/>
            <w:shd w:val="clear" w:color="auto" w:fill="FFFFFF"/>
            <w:tcMar>
              <w:top w:w="70" w:type="dxa"/>
              <w:left w:w="70" w:type="dxa"/>
              <w:bottom w:w="70" w:type="dxa"/>
              <w:right w:w="70" w:type="dxa"/>
            </w:tcMar>
            <w:vAlign w:val="center"/>
          </w:tcPr>
          <w:p w14:paraId="0D9208E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RC5</w:t>
            </w:r>
          </w:p>
        </w:tc>
        <w:tc>
          <w:tcPr>
            <w:tcW w:w="2573" w:type="pct"/>
            <w:shd w:val="clear" w:color="auto" w:fill="FFFFFF"/>
            <w:tcMar>
              <w:top w:w="70" w:type="dxa"/>
              <w:left w:w="70" w:type="dxa"/>
              <w:bottom w:w="70" w:type="dxa"/>
              <w:right w:w="70" w:type="dxa"/>
            </w:tcMar>
            <w:vAlign w:val="center"/>
          </w:tcPr>
          <w:p w14:paraId="366D5DC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تُراجع العقود والالتزامات العقارية بما يحد من المخاطر المالية والتشغيلية.</w:t>
            </w:r>
          </w:p>
        </w:tc>
        <w:tc>
          <w:tcPr>
            <w:tcW w:w="515" w:type="pct"/>
            <w:shd w:val="clear" w:color="auto" w:fill="FFFFFF"/>
            <w:tcMar>
              <w:top w:w="70" w:type="dxa"/>
              <w:left w:w="70" w:type="dxa"/>
              <w:bottom w:w="70" w:type="dxa"/>
              <w:right w:w="70" w:type="dxa"/>
            </w:tcMar>
            <w:vAlign w:val="center"/>
          </w:tcPr>
          <w:p w14:paraId="1CB2F0B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3.92</w:t>
            </w:r>
          </w:p>
        </w:tc>
        <w:tc>
          <w:tcPr>
            <w:tcW w:w="515" w:type="pct"/>
            <w:shd w:val="clear" w:color="auto" w:fill="FFFFFF"/>
            <w:tcMar>
              <w:top w:w="70" w:type="dxa"/>
              <w:left w:w="70" w:type="dxa"/>
              <w:bottom w:w="70" w:type="dxa"/>
              <w:right w:w="70" w:type="dxa"/>
            </w:tcMar>
            <w:vAlign w:val="center"/>
          </w:tcPr>
          <w:p w14:paraId="17CA2F8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0.56</w:t>
            </w:r>
          </w:p>
        </w:tc>
        <w:tc>
          <w:tcPr>
            <w:tcW w:w="514" w:type="pct"/>
            <w:shd w:val="clear" w:color="auto" w:fill="FFFFFF"/>
            <w:tcMar>
              <w:top w:w="70" w:type="dxa"/>
              <w:left w:w="70" w:type="dxa"/>
              <w:bottom w:w="70" w:type="dxa"/>
              <w:right w:w="70" w:type="dxa"/>
            </w:tcMar>
            <w:vAlign w:val="center"/>
          </w:tcPr>
          <w:p w14:paraId="428EB9C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482CBE" w:rsidRPr="00AE1FD7" w14:paraId="413241EE" w14:textId="77777777" w:rsidTr="00482CBE">
        <w:tc>
          <w:tcPr>
            <w:tcW w:w="389" w:type="pct"/>
            <w:shd w:val="clear" w:color="auto" w:fill="F2F4F6"/>
            <w:tcMar>
              <w:top w:w="70" w:type="dxa"/>
              <w:left w:w="70" w:type="dxa"/>
              <w:bottom w:w="70" w:type="dxa"/>
              <w:right w:w="70" w:type="dxa"/>
            </w:tcMar>
            <w:vAlign w:val="center"/>
          </w:tcPr>
          <w:p w14:paraId="6809107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494" w:type="pct"/>
            <w:shd w:val="clear" w:color="auto" w:fill="F2F4F6"/>
            <w:tcMar>
              <w:top w:w="70" w:type="dxa"/>
              <w:left w:w="70" w:type="dxa"/>
              <w:bottom w:w="70" w:type="dxa"/>
              <w:right w:w="70" w:type="dxa"/>
            </w:tcMar>
            <w:vAlign w:val="center"/>
          </w:tcPr>
          <w:p w14:paraId="3EC88DC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RC2</w:t>
            </w:r>
          </w:p>
        </w:tc>
        <w:tc>
          <w:tcPr>
            <w:tcW w:w="2573" w:type="pct"/>
            <w:shd w:val="clear" w:color="auto" w:fill="F2F4F6"/>
            <w:tcMar>
              <w:top w:w="70" w:type="dxa"/>
              <w:left w:w="70" w:type="dxa"/>
              <w:bottom w:w="70" w:type="dxa"/>
              <w:right w:w="70" w:type="dxa"/>
            </w:tcMar>
            <w:vAlign w:val="center"/>
          </w:tcPr>
          <w:p w14:paraId="2EF4C7A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خطط لمعالجة المخاطر ذات الأولوية في الأصول والمرافق.</w:t>
            </w:r>
          </w:p>
        </w:tc>
        <w:tc>
          <w:tcPr>
            <w:tcW w:w="515" w:type="pct"/>
            <w:shd w:val="clear" w:color="auto" w:fill="F2F4F6"/>
            <w:tcMar>
              <w:top w:w="70" w:type="dxa"/>
              <w:left w:w="70" w:type="dxa"/>
              <w:bottom w:w="70" w:type="dxa"/>
              <w:right w:w="70" w:type="dxa"/>
            </w:tcMar>
            <w:vAlign w:val="center"/>
          </w:tcPr>
          <w:p w14:paraId="7F9BB41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3.87</w:t>
            </w:r>
          </w:p>
        </w:tc>
        <w:tc>
          <w:tcPr>
            <w:tcW w:w="515" w:type="pct"/>
            <w:shd w:val="clear" w:color="auto" w:fill="F2F4F6"/>
            <w:tcMar>
              <w:top w:w="70" w:type="dxa"/>
              <w:left w:w="70" w:type="dxa"/>
              <w:bottom w:w="70" w:type="dxa"/>
              <w:right w:w="70" w:type="dxa"/>
            </w:tcMar>
            <w:vAlign w:val="center"/>
          </w:tcPr>
          <w:p w14:paraId="1357FA0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0.57</w:t>
            </w:r>
          </w:p>
        </w:tc>
        <w:tc>
          <w:tcPr>
            <w:tcW w:w="514" w:type="pct"/>
            <w:shd w:val="clear" w:color="auto" w:fill="F2F4F6"/>
            <w:tcMar>
              <w:top w:w="70" w:type="dxa"/>
              <w:left w:w="70" w:type="dxa"/>
              <w:bottom w:w="70" w:type="dxa"/>
              <w:right w:w="70" w:type="dxa"/>
            </w:tcMar>
            <w:vAlign w:val="center"/>
          </w:tcPr>
          <w:p w14:paraId="31205A3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482CBE" w:rsidRPr="00AE1FD7" w14:paraId="21C1A592" w14:textId="77777777" w:rsidTr="00482CBE">
        <w:tc>
          <w:tcPr>
            <w:tcW w:w="389" w:type="pct"/>
            <w:shd w:val="clear" w:color="auto" w:fill="FFFFFF"/>
            <w:tcMar>
              <w:top w:w="70" w:type="dxa"/>
              <w:left w:w="70" w:type="dxa"/>
              <w:bottom w:w="70" w:type="dxa"/>
              <w:right w:w="70" w:type="dxa"/>
            </w:tcMar>
            <w:vAlign w:val="center"/>
          </w:tcPr>
          <w:p w14:paraId="40181FA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494" w:type="pct"/>
            <w:shd w:val="clear" w:color="auto" w:fill="FFFFFF"/>
            <w:tcMar>
              <w:top w:w="70" w:type="dxa"/>
              <w:left w:w="70" w:type="dxa"/>
              <w:bottom w:w="70" w:type="dxa"/>
              <w:right w:w="70" w:type="dxa"/>
            </w:tcMar>
            <w:vAlign w:val="center"/>
          </w:tcPr>
          <w:p w14:paraId="78831B7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RC1</w:t>
            </w:r>
          </w:p>
        </w:tc>
        <w:tc>
          <w:tcPr>
            <w:tcW w:w="2573" w:type="pct"/>
            <w:shd w:val="clear" w:color="auto" w:fill="FFFFFF"/>
            <w:tcMar>
              <w:top w:w="70" w:type="dxa"/>
              <w:left w:w="70" w:type="dxa"/>
              <w:bottom w:w="70" w:type="dxa"/>
              <w:right w:w="70" w:type="dxa"/>
            </w:tcMar>
            <w:vAlign w:val="center"/>
          </w:tcPr>
          <w:p w14:paraId="58C271B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تحدد الجهة المخاطر المرتبطة بالأصول العقارية بصورة منتظمة.</w:t>
            </w:r>
          </w:p>
        </w:tc>
        <w:tc>
          <w:tcPr>
            <w:tcW w:w="515" w:type="pct"/>
            <w:shd w:val="clear" w:color="auto" w:fill="FFFFFF"/>
            <w:tcMar>
              <w:top w:w="70" w:type="dxa"/>
              <w:left w:w="70" w:type="dxa"/>
              <w:bottom w:w="70" w:type="dxa"/>
              <w:right w:w="70" w:type="dxa"/>
            </w:tcMar>
            <w:vAlign w:val="center"/>
          </w:tcPr>
          <w:p w14:paraId="369225B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3.84</w:t>
            </w:r>
          </w:p>
        </w:tc>
        <w:tc>
          <w:tcPr>
            <w:tcW w:w="515" w:type="pct"/>
            <w:shd w:val="clear" w:color="auto" w:fill="FFFFFF"/>
            <w:tcMar>
              <w:top w:w="70" w:type="dxa"/>
              <w:left w:w="70" w:type="dxa"/>
              <w:bottom w:w="70" w:type="dxa"/>
              <w:right w:w="70" w:type="dxa"/>
            </w:tcMar>
            <w:vAlign w:val="center"/>
          </w:tcPr>
          <w:p w14:paraId="1FBDD75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0.61</w:t>
            </w:r>
          </w:p>
        </w:tc>
        <w:tc>
          <w:tcPr>
            <w:tcW w:w="514" w:type="pct"/>
            <w:shd w:val="clear" w:color="auto" w:fill="FFFFFF"/>
            <w:tcMar>
              <w:top w:w="70" w:type="dxa"/>
              <w:left w:w="70" w:type="dxa"/>
              <w:bottom w:w="70" w:type="dxa"/>
              <w:right w:w="70" w:type="dxa"/>
            </w:tcMar>
            <w:vAlign w:val="center"/>
          </w:tcPr>
          <w:p w14:paraId="50F9FF3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bl>
    <w:p w14:paraId="1CF9A6C9"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مخرجات التحليل الإحصائي.</w:t>
      </w:r>
    </w:p>
    <w:p w14:paraId="30803135"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09" w:name="_Toc235205650"/>
      <w:r w:rsidRPr="00AE1FD7">
        <w:rPr>
          <w:rFonts w:ascii="Sakkal Majalla" w:eastAsia="Noto Kufi Arabic" w:hAnsi="Sakkal Majalla" w:cs="Sakkal Majalla"/>
          <w:sz w:val="36"/>
          <w:szCs w:val="36"/>
          <w:rtl/>
          <w:lang w:val="ar-SA"/>
        </w:rPr>
        <w:lastRenderedPageBreak/>
        <w:t>4.6 مستوى كفاءة الإنفاق الحكومي العقاري</w:t>
      </w:r>
      <w:r w:rsidR="00482CBE">
        <w:rPr>
          <w:rFonts w:ascii="Sakkal Majalla" w:eastAsia="Noto Kufi Arabic" w:hAnsi="Sakkal Majalla" w:cs="Sakkal Majalla" w:hint="cs"/>
          <w:sz w:val="36"/>
          <w:szCs w:val="36"/>
          <w:rtl/>
          <w:lang w:val="ar-SA"/>
        </w:rPr>
        <w:t>:</w:t>
      </w:r>
      <w:bookmarkEnd w:id="109"/>
    </w:p>
    <w:p w14:paraId="40EC7CF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بلغ متوسط الكفاءة 3.81 بوزن نسبي 76.18%، وهو مستوى مرتفع. وجاء أعلى بند متعلقاً بتحسين كفاءة الصيانة والتشغيل، تلاه توجيه الموارد إلى الأصول الأعلى أولوية، بينما كان خفض نفقات الاستئجار غير الضرورية أقل البنود. وتظهر النتيجة أن التحسينات التشغيلية أكثر وضوحاً من التحولات الاستراتيجية في مزيج التملك والاستئجار.</w:t>
      </w:r>
    </w:p>
    <w:p w14:paraId="4B831135" w14:textId="77777777" w:rsidR="00482CBE" w:rsidRDefault="00482CBE" w:rsidP="00482CBE">
      <w:pPr>
        <w:keepNext/>
        <w:bidi/>
        <w:spacing w:after="0" w:line="240" w:lineRule="auto"/>
        <w:ind w:firstLine="0"/>
        <w:jc w:val="center"/>
        <w:rPr>
          <w:rFonts w:ascii="Sakkal Majalla" w:eastAsia="Noto Kufi Arabic" w:hAnsi="Sakkal Majalla" w:cs="Sakkal Majalla"/>
          <w:bCs/>
          <w:color w:val="17365D"/>
          <w:sz w:val="36"/>
          <w:szCs w:val="36"/>
          <w:rtl/>
          <w:lang w:val="ar-SA"/>
        </w:rPr>
      </w:pPr>
      <w:bookmarkStart w:id="110" w:name="table_items_efficiency"/>
    </w:p>
    <w:p w14:paraId="7E37F34B"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r w:rsidRPr="00482CBE">
        <w:rPr>
          <w:rFonts w:ascii="Sakkal Majalla" w:eastAsia="Noto Kufi Arabic" w:hAnsi="Sakkal Majalla" w:cs="Sakkal Majalla"/>
          <w:bCs/>
          <w:color w:val="17365D"/>
          <w:sz w:val="36"/>
          <w:szCs w:val="36"/>
          <w:rtl/>
          <w:lang w:val="ar-SA"/>
        </w:rPr>
        <w:t>جدول (23): نتائج عبارات كفاءة الإنفاق الحكومي العقاري</w:t>
      </w:r>
      <w:bookmarkEnd w:id="110"/>
    </w:p>
    <w:tbl>
      <w:tblPr>
        <w:bidiVisual/>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730"/>
        <w:gridCol w:w="688"/>
        <w:gridCol w:w="4334"/>
        <w:gridCol w:w="1029"/>
        <w:gridCol w:w="1081"/>
        <w:gridCol w:w="973"/>
      </w:tblGrid>
      <w:tr w:rsidR="00986803" w:rsidRPr="00AE1FD7" w14:paraId="2AF83A2F" w14:textId="77777777" w:rsidTr="00482CBE">
        <w:trPr>
          <w:tblHeader/>
          <w:jc w:val="center"/>
        </w:trPr>
        <w:tc>
          <w:tcPr>
            <w:tcW w:w="334" w:type="pct"/>
            <w:shd w:val="clear" w:color="auto" w:fill="17365D"/>
            <w:tcMar>
              <w:top w:w="90" w:type="dxa"/>
              <w:left w:w="80" w:type="dxa"/>
              <w:bottom w:w="90" w:type="dxa"/>
              <w:right w:w="80" w:type="dxa"/>
            </w:tcMar>
            <w:vAlign w:val="center"/>
          </w:tcPr>
          <w:p w14:paraId="437D8AA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الرتبة</w:t>
            </w:r>
          </w:p>
        </w:tc>
        <w:tc>
          <w:tcPr>
            <w:tcW w:w="433" w:type="pct"/>
            <w:shd w:val="clear" w:color="auto" w:fill="17365D"/>
            <w:tcMar>
              <w:top w:w="90" w:type="dxa"/>
              <w:left w:w="80" w:type="dxa"/>
              <w:bottom w:w="90" w:type="dxa"/>
              <w:right w:w="80" w:type="dxa"/>
            </w:tcMar>
            <w:vAlign w:val="center"/>
          </w:tcPr>
          <w:p w14:paraId="423D96D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الرمز</w:t>
            </w:r>
          </w:p>
        </w:tc>
        <w:tc>
          <w:tcPr>
            <w:tcW w:w="2700" w:type="pct"/>
            <w:shd w:val="clear" w:color="auto" w:fill="17365D"/>
            <w:tcMar>
              <w:top w:w="90" w:type="dxa"/>
              <w:left w:w="80" w:type="dxa"/>
              <w:bottom w:w="90" w:type="dxa"/>
              <w:right w:w="80" w:type="dxa"/>
            </w:tcMar>
            <w:vAlign w:val="center"/>
          </w:tcPr>
          <w:p w14:paraId="4FD186D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العبارة</w:t>
            </w:r>
          </w:p>
        </w:tc>
        <w:tc>
          <w:tcPr>
            <w:tcW w:w="500" w:type="pct"/>
            <w:shd w:val="clear" w:color="auto" w:fill="17365D"/>
            <w:tcMar>
              <w:top w:w="90" w:type="dxa"/>
              <w:left w:w="80" w:type="dxa"/>
              <w:bottom w:w="90" w:type="dxa"/>
              <w:right w:w="80" w:type="dxa"/>
            </w:tcMar>
            <w:vAlign w:val="center"/>
          </w:tcPr>
          <w:p w14:paraId="342E7E7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المتوسط</w:t>
            </w:r>
          </w:p>
        </w:tc>
        <w:tc>
          <w:tcPr>
            <w:tcW w:w="500" w:type="pct"/>
            <w:shd w:val="clear" w:color="auto" w:fill="17365D"/>
            <w:tcMar>
              <w:top w:w="90" w:type="dxa"/>
              <w:left w:w="80" w:type="dxa"/>
              <w:bottom w:w="90" w:type="dxa"/>
              <w:right w:w="80" w:type="dxa"/>
            </w:tcMar>
            <w:vAlign w:val="center"/>
          </w:tcPr>
          <w:p w14:paraId="76B6299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الانحراف</w:t>
            </w:r>
          </w:p>
        </w:tc>
        <w:tc>
          <w:tcPr>
            <w:tcW w:w="533" w:type="pct"/>
            <w:shd w:val="clear" w:color="auto" w:fill="17365D"/>
            <w:tcMar>
              <w:top w:w="90" w:type="dxa"/>
              <w:left w:w="80" w:type="dxa"/>
              <w:bottom w:w="90" w:type="dxa"/>
              <w:right w:w="80" w:type="dxa"/>
            </w:tcMar>
            <w:vAlign w:val="center"/>
          </w:tcPr>
          <w:p w14:paraId="4567677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المستوى</w:t>
            </w:r>
          </w:p>
        </w:tc>
      </w:tr>
      <w:tr w:rsidR="00986803" w:rsidRPr="00AE1FD7" w14:paraId="0F7488A7" w14:textId="77777777" w:rsidTr="00482CBE">
        <w:trPr>
          <w:jc w:val="center"/>
        </w:trPr>
        <w:tc>
          <w:tcPr>
            <w:tcW w:w="334" w:type="pct"/>
            <w:shd w:val="clear" w:color="auto" w:fill="FFFFFF"/>
            <w:tcMar>
              <w:top w:w="70" w:type="dxa"/>
              <w:left w:w="70" w:type="dxa"/>
              <w:bottom w:w="70" w:type="dxa"/>
              <w:right w:w="70" w:type="dxa"/>
            </w:tcMar>
            <w:vAlign w:val="center"/>
          </w:tcPr>
          <w:p w14:paraId="0FDCF8A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433" w:type="pct"/>
            <w:shd w:val="clear" w:color="auto" w:fill="FFFFFF"/>
            <w:tcMar>
              <w:top w:w="70" w:type="dxa"/>
              <w:left w:w="70" w:type="dxa"/>
              <w:bottom w:w="70" w:type="dxa"/>
              <w:right w:w="70" w:type="dxa"/>
            </w:tcMar>
            <w:vAlign w:val="center"/>
          </w:tcPr>
          <w:p w14:paraId="2B3B5DB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EF6</w:t>
            </w:r>
          </w:p>
        </w:tc>
        <w:tc>
          <w:tcPr>
            <w:tcW w:w="2700" w:type="pct"/>
            <w:shd w:val="clear" w:color="auto" w:fill="FFFFFF"/>
            <w:tcMar>
              <w:top w:w="70" w:type="dxa"/>
              <w:left w:w="70" w:type="dxa"/>
              <w:bottom w:w="70" w:type="dxa"/>
              <w:right w:w="70" w:type="dxa"/>
            </w:tcMar>
            <w:vAlign w:val="center"/>
          </w:tcPr>
          <w:p w14:paraId="1F86B01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الحوكمة في توجيه الموارد المالية نحو الأصول الأعلى أولوية.</w:t>
            </w:r>
          </w:p>
        </w:tc>
        <w:tc>
          <w:tcPr>
            <w:tcW w:w="500" w:type="pct"/>
            <w:shd w:val="clear" w:color="auto" w:fill="FFFFFF"/>
            <w:tcMar>
              <w:top w:w="70" w:type="dxa"/>
              <w:left w:w="70" w:type="dxa"/>
              <w:bottom w:w="70" w:type="dxa"/>
              <w:right w:w="70" w:type="dxa"/>
            </w:tcMar>
            <w:vAlign w:val="center"/>
          </w:tcPr>
          <w:p w14:paraId="0D1E12D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3.89</w:t>
            </w:r>
          </w:p>
        </w:tc>
        <w:tc>
          <w:tcPr>
            <w:tcW w:w="500" w:type="pct"/>
            <w:shd w:val="clear" w:color="auto" w:fill="FFFFFF"/>
            <w:tcMar>
              <w:top w:w="70" w:type="dxa"/>
              <w:left w:w="70" w:type="dxa"/>
              <w:bottom w:w="70" w:type="dxa"/>
              <w:right w:w="70" w:type="dxa"/>
            </w:tcMar>
            <w:vAlign w:val="center"/>
          </w:tcPr>
          <w:p w14:paraId="55C5633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0.57</w:t>
            </w:r>
          </w:p>
        </w:tc>
        <w:tc>
          <w:tcPr>
            <w:tcW w:w="533" w:type="pct"/>
            <w:shd w:val="clear" w:color="auto" w:fill="FFFFFF"/>
            <w:tcMar>
              <w:top w:w="70" w:type="dxa"/>
              <w:left w:w="70" w:type="dxa"/>
              <w:bottom w:w="70" w:type="dxa"/>
              <w:right w:w="70" w:type="dxa"/>
            </w:tcMar>
            <w:vAlign w:val="center"/>
          </w:tcPr>
          <w:p w14:paraId="107C667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66259CF5" w14:textId="77777777" w:rsidTr="00482CBE">
        <w:trPr>
          <w:jc w:val="center"/>
        </w:trPr>
        <w:tc>
          <w:tcPr>
            <w:tcW w:w="334" w:type="pct"/>
            <w:shd w:val="clear" w:color="auto" w:fill="F2F4F6"/>
            <w:tcMar>
              <w:top w:w="70" w:type="dxa"/>
              <w:left w:w="70" w:type="dxa"/>
              <w:bottom w:w="70" w:type="dxa"/>
              <w:right w:w="70" w:type="dxa"/>
            </w:tcMar>
            <w:vAlign w:val="center"/>
          </w:tcPr>
          <w:p w14:paraId="04AB2DD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433" w:type="pct"/>
            <w:shd w:val="clear" w:color="auto" w:fill="F2F4F6"/>
            <w:tcMar>
              <w:top w:w="70" w:type="dxa"/>
              <w:left w:w="70" w:type="dxa"/>
              <w:bottom w:w="70" w:type="dxa"/>
              <w:right w:w="70" w:type="dxa"/>
            </w:tcMar>
            <w:vAlign w:val="center"/>
          </w:tcPr>
          <w:p w14:paraId="360A22F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EF7</w:t>
            </w:r>
          </w:p>
        </w:tc>
        <w:tc>
          <w:tcPr>
            <w:tcW w:w="2700" w:type="pct"/>
            <w:shd w:val="clear" w:color="auto" w:fill="F2F4F6"/>
            <w:tcMar>
              <w:top w:w="70" w:type="dxa"/>
              <w:left w:w="70" w:type="dxa"/>
              <w:bottom w:w="70" w:type="dxa"/>
              <w:right w:w="70" w:type="dxa"/>
            </w:tcMar>
            <w:vAlign w:val="center"/>
          </w:tcPr>
          <w:p w14:paraId="3DEB33D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تساعد الممارسات الحالية في تحقيق قيمة أعلى من الأصول مقارنة بالتكاليف المنفقة عليها.</w:t>
            </w:r>
          </w:p>
        </w:tc>
        <w:tc>
          <w:tcPr>
            <w:tcW w:w="500" w:type="pct"/>
            <w:shd w:val="clear" w:color="auto" w:fill="F2F4F6"/>
            <w:tcMar>
              <w:top w:w="70" w:type="dxa"/>
              <w:left w:w="70" w:type="dxa"/>
              <w:bottom w:w="70" w:type="dxa"/>
              <w:right w:w="70" w:type="dxa"/>
            </w:tcMar>
            <w:vAlign w:val="center"/>
          </w:tcPr>
          <w:p w14:paraId="0331ADF5"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3.87</w:t>
            </w:r>
          </w:p>
        </w:tc>
        <w:tc>
          <w:tcPr>
            <w:tcW w:w="500" w:type="pct"/>
            <w:shd w:val="clear" w:color="auto" w:fill="F2F4F6"/>
            <w:tcMar>
              <w:top w:w="70" w:type="dxa"/>
              <w:left w:w="70" w:type="dxa"/>
              <w:bottom w:w="70" w:type="dxa"/>
              <w:right w:w="70" w:type="dxa"/>
            </w:tcMar>
            <w:vAlign w:val="center"/>
          </w:tcPr>
          <w:p w14:paraId="23EB4F7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0.61</w:t>
            </w:r>
          </w:p>
        </w:tc>
        <w:tc>
          <w:tcPr>
            <w:tcW w:w="533" w:type="pct"/>
            <w:shd w:val="clear" w:color="auto" w:fill="F2F4F6"/>
            <w:tcMar>
              <w:top w:w="70" w:type="dxa"/>
              <w:left w:w="70" w:type="dxa"/>
              <w:bottom w:w="70" w:type="dxa"/>
              <w:right w:w="70" w:type="dxa"/>
            </w:tcMar>
            <w:vAlign w:val="center"/>
          </w:tcPr>
          <w:p w14:paraId="155482A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3AC47B32" w14:textId="77777777" w:rsidTr="00482CBE">
        <w:trPr>
          <w:jc w:val="center"/>
        </w:trPr>
        <w:tc>
          <w:tcPr>
            <w:tcW w:w="334" w:type="pct"/>
            <w:shd w:val="clear" w:color="auto" w:fill="FFFFFF"/>
            <w:tcMar>
              <w:top w:w="70" w:type="dxa"/>
              <w:left w:w="70" w:type="dxa"/>
              <w:bottom w:w="70" w:type="dxa"/>
              <w:right w:w="70" w:type="dxa"/>
            </w:tcMar>
            <w:vAlign w:val="center"/>
          </w:tcPr>
          <w:p w14:paraId="4C033DB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433" w:type="pct"/>
            <w:shd w:val="clear" w:color="auto" w:fill="FFFFFF"/>
            <w:tcMar>
              <w:top w:w="70" w:type="dxa"/>
              <w:left w:w="70" w:type="dxa"/>
              <w:bottom w:w="70" w:type="dxa"/>
              <w:right w:w="70" w:type="dxa"/>
            </w:tcMar>
            <w:vAlign w:val="center"/>
          </w:tcPr>
          <w:p w14:paraId="33647A9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EF5</w:t>
            </w:r>
          </w:p>
        </w:tc>
        <w:tc>
          <w:tcPr>
            <w:tcW w:w="2700" w:type="pct"/>
            <w:shd w:val="clear" w:color="auto" w:fill="FFFFFF"/>
            <w:tcMar>
              <w:top w:w="70" w:type="dxa"/>
              <w:left w:w="70" w:type="dxa"/>
              <w:bottom w:w="70" w:type="dxa"/>
              <w:right w:w="70" w:type="dxa"/>
            </w:tcMar>
            <w:vAlign w:val="center"/>
          </w:tcPr>
          <w:p w14:paraId="30BFC12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الإدارة الحالية في إطالة العمر التشغيلي للأصول وتقليل الأعطال الحرجة.</w:t>
            </w:r>
          </w:p>
        </w:tc>
        <w:tc>
          <w:tcPr>
            <w:tcW w:w="500" w:type="pct"/>
            <w:shd w:val="clear" w:color="auto" w:fill="FFFFFF"/>
            <w:tcMar>
              <w:top w:w="70" w:type="dxa"/>
              <w:left w:w="70" w:type="dxa"/>
              <w:bottom w:w="70" w:type="dxa"/>
              <w:right w:w="70" w:type="dxa"/>
            </w:tcMar>
            <w:vAlign w:val="center"/>
          </w:tcPr>
          <w:p w14:paraId="4761EE41"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3.82</w:t>
            </w:r>
          </w:p>
        </w:tc>
        <w:tc>
          <w:tcPr>
            <w:tcW w:w="500" w:type="pct"/>
            <w:shd w:val="clear" w:color="auto" w:fill="FFFFFF"/>
            <w:tcMar>
              <w:top w:w="70" w:type="dxa"/>
              <w:left w:w="70" w:type="dxa"/>
              <w:bottom w:w="70" w:type="dxa"/>
              <w:right w:w="70" w:type="dxa"/>
            </w:tcMar>
            <w:vAlign w:val="center"/>
          </w:tcPr>
          <w:p w14:paraId="12FDFB7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0.59</w:t>
            </w:r>
          </w:p>
        </w:tc>
        <w:tc>
          <w:tcPr>
            <w:tcW w:w="533" w:type="pct"/>
            <w:shd w:val="clear" w:color="auto" w:fill="FFFFFF"/>
            <w:tcMar>
              <w:top w:w="70" w:type="dxa"/>
              <w:left w:w="70" w:type="dxa"/>
              <w:bottom w:w="70" w:type="dxa"/>
              <w:right w:w="70" w:type="dxa"/>
            </w:tcMar>
            <w:vAlign w:val="center"/>
          </w:tcPr>
          <w:p w14:paraId="34A50BD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33B2745E" w14:textId="77777777" w:rsidTr="00482CBE">
        <w:trPr>
          <w:jc w:val="center"/>
        </w:trPr>
        <w:tc>
          <w:tcPr>
            <w:tcW w:w="334" w:type="pct"/>
            <w:shd w:val="clear" w:color="auto" w:fill="F2F4F6"/>
            <w:tcMar>
              <w:top w:w="70" w:type="dxa"/>
              <w:left w:w="70" w:type="dxa"/>
              <w:bottom w:w="70" w:type="dxa"/>
              <w:right w:w="70" w:type="dxa"/>
            </w:tcMar>
            <w:vAlign w:val="center"/>
          </w:tcPr>
          <w:p w14:paraId="1EB6EE3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433" w:type="pct"/>
            <w:shd w:val="clear" w:color="auto" w:fill="F2F4F6"/>
            <w:tcMar>
              <w:top w:w="70" w:type="dxa"/>
              <w:left w:w="70" w:type="dxa"/>
              <w:bottom w:w="70" w:type="dxa"/>
              <w:right w:w="70" w:type="dxa"/>
            </w:tcMar>
            <w:vAlign w:val="center"/>
          </w:tcPr>
          <w:p w14:paraId="6ADD0DD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EF3</w:t>
            </w:r>
          </w:p>
        </w:tc>
        <w:tc>
          <w:tcPr>
            <w:tcW w:w="2700" w:type="pct"/>
            <w:shd w:val="clear" w:color="auto" w:fill="F2F4F6"/>
            <w:tcMar>
              <w:top w:w="70" w:type="dxa"/>
              <w:left w:w="70" w:type="dxa"/>
              <w:bottom w:w="70" w:type="dxa"/>
              <w:right w:w="70" w:type="dxa"/>
            </w:tcMar>
            <w:vAlign w:val="center"/>
          </w:tcPr>
          <w:p w14:paraId="3D68DFD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تقلل الجهة من الهدر الناتج عن ضعف الاستفادة من العقارات الحكومية.</w:t>
            </w:r>
          </w:p>
        </w:tc>
        <w:tc>
          <w:tcPr>
            <w:tcW w:w="500" w:type="pct"/>
            <w:shd w:val="clear" w:color="auto" w:fill="F2F4F6"/>
            <w:tcMar>
              <w:top w:w="70" w:type="dxa"/>
              <w:left w:w="70" w:type="dxa"/>
              <w:bottom w:w="70" w:type="dxa"/>
              <w:right w:w="70" w:type="dxa"/>
            </w:tcMar>
            <w:vAlign w:val="center"/>
          </w:tcPr>
          <w:p w14:paraId="7B6073A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3.81</w:t>
            </w:r>
          </w:p>
        </w:tc>
        <w:tc>
          <w:tcPr>
            <w:tcW w:w="500" w:type="pct"/>
            <w:shd w:val="clear" w:color="auto" w:fill="F2F4F6"/>
            <w:tcMar>
              <w:top w:w="70" w:type="dxa"/>
              <w:left w:w="70" w:type="dxa"/>
              <w:bottom w:w="70" w:type="dxa"/>
              <w:right w:w="70" w:type="dxa"/>
            </w:tcMar>
            <w:vAlign w:val="center"/>
          </w:tcPr>
          <w:p w14:paraId="3E41B61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0.62</w:t>
            </w:r>
          </w:p>
        </w:tc>
        <w:tc>
          <w:tcPr>
            <w:tcW w:w="533" w:type="pct"/>
            <w:shd w:val="clear" w:color="auto" w:fill="F2F4F6"/>
            <w:tcMar>
              <w:top w:w="70" w:type="dxa"/>
              <w:left w:w="70" w:type="dxa"/>
              <w:bottom w:w="70" w:type="dxa"/>
              <w:right w:w="70" w:type="dxa"/>
            </w:tcMar>
            <w:vAlign w:val="center"/>
          </w:tcPr>
          <w:p w14:paraId="79F47ED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4D085BE9" w14:textId="77777777" w:rsidTr="00482CBE">
        <w:trPr>
          <w:jc w:val="center"/>
        </w:trPr>
        <w:tc>
          <w:tcPr>
            <w:tcW w:w="334" w:type="pct"/>
            <w:shd w:val="clear" w:color="auto" w:fill="FFFFFF"/>
            <w:tcMar>
              <w:top w:w="70" w:type="dxa"/>
              <w:left w:w="70" w:type="dxa"/>
              <w:bottom w:w="70" w:type="dxa"/>
              <w:right w:w="70" w:type="dxa"/>
            </w:tcMar>
            <w:vAlign w:val="center"/>
          </w:tcPr>
          <w:p w14:paraId="6026FC9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433" w:type="pct"/>
            <w:shd w:val="clear" w:color="auto" w:fill="FFFFFF"/>
            <w:tcMar>
              <w:top w:w="70" w:type="dxa"/>
              <w:left w:w="70" w:type="dxa"/>
              <w:bottom w:w="70" w:type="dxa"/>
              <w:right w:w="70" w:type="dxa"/>
            </w:tcMar>
            <w:vAlign w:val="center"/>
          </w:tcPr>
          <w:p w14:paraId="52B5CAE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EF4</w:t>
            </w:r>
          </w:p>
        </w:tc>
        <w:tc>
          <w:tcPr>
            <w:tcW w:w="2700" w:type="pct"/>
            <w:shd w:val="clear" w:color="auto" w:fill="FFFFFF"/>
            <w:tcMar>
              <w:top w:w="70" w:type="dxa"/>
              <w:left w:w="70" w:type="dxa"/>
              <w:bottom w:w="70" w:type="dxa"/>
              <w:right w:w="70" w:type="dxa"/>
            </w:tcMar>
            <w:vAlign w:val="center"/>
          </w:tcPr>
          <w:p w14:paraId="2336F9A2"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تساعد البيانات المتاحة في اتخاذ قرارات أفضل بشأن التملك أو الاستئجار أو إعادة الاستخدام.</w:t>
            </w:r>
          </w:p>
        </w:tc>
        <w:tc>
          <w:tcPr>
            <w:tcW w:w="500" w:type="pct"/>
            <w:shd w:val="clear" w:color="auto" w:fill="FFFFFF"/>
            <w:tcMar>
              <w:top w:w="70" w:type="dxa"/>
              <w:left w:w="70" w:type="dxa"/>
              <w:bottom w:w="70" w:type="dxa"/>
              <w:right w:w="70" w:type="dxa"/>
            </w:tcMar>
            <w:vAlign w:val="center"/>
          </w:tcPr>
          <w:p w14:paraId="0F138848"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3.79</w:t>
            </w:r>
          </w:p>
        </w:tc>
        <w:tc>
          <w:tcPr>
            <w:tcW w:w="500" w:type="pct"/>
            <w:shd w:val="clear" w:color="auto" w:fill="FFFFFF"/>
            <w:tcMar>
              <w:top w:w="70" w:type="dxa"/>
              <w:left w:w="70" w:type="dxa"/>
              <w:bottom w:w="70" w:type="dxa"/>
              <w:right w:w="70" w:type="dxa"/>
            </w:tcMar>
            <w:vAlign w:val="center"/>
          </w:tcPr>
          <w:p w14:paraId="7B5FF01E"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0.59</w:t>
            </w:r>
          </w:p>
        </w:tc>
        <w:tc>
          <w:tcPr>
            <w:tcW w:w="533" w:type="pct"/>
            <w:shd w:val="clear" w:color="auto" w:fill="FFFFFF"/>
            <w:tcMar>
              <w:top w:w="70" w:type="dxa"/>
              <w:left w:w="70" w:type="dxa"/>
              <w:bottom w:w="70" w:type="dxa"/>
              <w:right w:w="70" w:type="dxa"/>
            </w:tcMar>
            <w:vAlign w:val="center"/>
          </w:tcPr>
          <w:p w14:paraId="2A8BB76B"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3812D142" w14:textId="77777777" w:rsidTr="00482CBE">
        <w:trPr>
          <w:jc w:val="center"/>
        </w:trPr>
        <w:tc>
          <w:tcPr>
            <w:tcW w:w="334" w:type="pct"/>
            <w:shd w:val="clear" w:color="auto" w:fill="F2F4F6"/>
            <w:tcMar>
              <w:top w:w="70" w:type="dxa"/>
              <w:left w:w="70" w:type="dxa"/>
              <w:bottom w:w="70" w:type="dxa"/>
              <w:right w:w="70" w:type="dxa"/>
            </w:tcMar>
            <w:vAlign w:val="center"/>
          </w:tcPr>
          <w:p w14:paraId="54BAE3E4"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w:t>
            </w:r>
          </w:p>
        </w:tc>
        <w:tc>
          <w:tcPr>
            <w:tcW w:w="433" w:type="pct"/>
            <w:shd w:val="clear" w:color="auto" w:fill="F2F4F6"/>
            <w:tcMar>
              <w:top w:w="70" w:type="dxa"/>
              <w:left w:w="70" w:type="dxa"/>
              <w:bottom w:w="70" w:type="dxa"/>
              <w:right w:w="70" w:type="dxa"/>
            </w:tcMar>
            <w:vAlign w:val="center"/>
          </w:tcPr>
          <w:p w14:paraId="20C59166"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EF2</w:t>
            </w:r>
          </w:p>
        </w:tc>
        <w:tc>
          <w:tcPr>
            <w:tcW w:w="2700" w:type="pct"/>
            <w:shd w:val="clear" w:color="auto" w:fill="F2F4F6"/>
            <w:tcMar>
              <w:top w:w="70" w:type="dxa"/>
              <w:left w:w="70" w:type="dxa"/>
              <w:bottom w:w="70" w:type="dxa"/>
              <w:right w:w="70" w:type="dxa"/>
            </w:tcMar>
            <w:vAlign w:val="center"/>
          </w:tcPr>
          <w:p w14:paraId="5667BB4A"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الإدارة الجيدة للأصول في تحسين كفاءة الصيانة والتشغيل.</w:t>
            </w:r>
          </w:p>
        </w:tc>
        <w:tc>
          <w:tcPr>
            <w:tcW w:w="500" w:type="pct"/>
            <w:shd w:val="clear" w:color="auto" w:fill="F2F4F6"/>
            <w:tcMar>
              <w:top w:w="70" w:type="dxa"/>
              <w:left w:w="70" w:type="dxa"/>
              <w:bottom w:w="70" w:type="dxa"/>
              <w:right w:w="70" w:type="dxa"/>
            </w:tcMar>
            <w:vAlign w:val="center"/>
          </w:tcPr>
          <w:p w14:paraId="6488D96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3.75</w:t>
            </w:r>
          </w:p>
        </w:tc>
        <w:tc>
          <w:tcPr>
            <w:tcW w:w="500" w:type="pct"/>
            <w:shd w:val="clear" w:color="auto" w:fill="F2F4F6"/>
            <w:tcMar>
              <w:top w:w="70" w:type="dxa"/>
              <w:left w:w="70" w:type="dxa"/>
              <w:bottom w:w="70" w:type="dxa"/>
              <w:right w:w="70" w:type="dxa"/>
            </w:tcMar>
            <w:vAlign w:val="center"/>
          </w:tcPr>
          <w:p w14:paraId="710A18B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0.64</w:t>
            </w:r>
          </w:p>
        </w:tc>
        <w:tc>
          <w:tcPr>
            <w:tcW w:w="533" w:type="pct"/>
            <w:shd w:val="clear" w:color="auto" w:fill="F2F4F6"/>
            <w:tcMar>
              <w:top w:w="70" w:type="dxa"/>
              <w:left w:w="70" w:type="dxa"/>
              <w:bottom w:w="70" w:type="dxa"/>
              <w:right w:w="70" w:type="dxa"/>
            </w:tcMar>
            <w:vAlign w:val="center"/>
          </w:tcPr>
          <w:p w14:paraId="2B640B50"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r w:rsidR="00986803" w:rsidRPr="00AE1FD7" w14:paraId="76788B03" w14:textId="77777777" w:rsidTr="00482CBE">
        <w:trPr>
          <w:jc w:val="center"/>
        </w:trPr>
        <w:tc>
          <w:tcPr>
            <w:tcW w:w="334" w:type="pct"/>
            <w:shd w:val="clear" w:color="auto" w:fill="FFFFFF"/>
            <w:tcMar>
              <w:top w:w="70" w:type="dxa"/>
              <w:left w:w="70" w:type="dxa"/>
              <w:bottom w:w="70" w:type="dxa"/>
              <w:right w:w="70" w:type="dxa"/>
            </w:tcMar>
            <w:vAlign w:val="center"/>
          </w:tcPr>
          <w:p w14:paraId="44F2989C"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w:t>
            </w:r>
          </w:p>
        </w:tc>
        <w:tc>
          <w:tcPr>
            <w:tcW w:w="433" w:type="pct"/>
            <w:shd w:val="clear" w:color="auto" w:fill="FFFFFF"/>
            <w:tcMar>
              <w:top w:w="70" w:type="dxa"/>
              <w:left w:w="70" w:type="dxa"/>
              <w:bottom w:w="70" w:type="dxa"/>
              <w:right w:w="70" w:type="dxa"/>
            </w:tcMar>
            <w:vAlign w:val="center"/>
          </w:tcPr>
          <w:p w14:paraId="29D56507"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EF1</w:t>
            </w:r>
          </w:p>
        </w:tc>
        <w:tc>
          <w:tcPr>
            <w:tcW w:w="2700" w:type="pct"/>
            <w:shd w:val="clear" w:color="auto" w:fill="FFFFFF"/>
            <w:tcMar>
              <w:top w:w="70" w:type="dxa"/>
              <w:left w:w="70" w:type="dxa"/>
              <w:bottom w:w="70" w:type="dxa"/>
              <w:right w:w="70" w:type="dxa"/>
            </w:tcMar>
            <w:vAlign w:val="center"/>
          </w:tcPr>
          <w:p w14:paraId="7A91748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ممارسات إدارة الأصول في خفض نفقات الاستئجار غير الضرورية.</w:t>
            </w:r>
          </w:p>
        </w:tc>
        <w:tc>
          <w:tcPr>
            <w:tcW w:w="500" w:type="pct"/>
            <w:shd w:val="clear" w:color="auto" w:fill="FFFFFF"/>
            <w:tcMar>
              <w:top w:w="70" w:type="dxa"/>
              <w:left w:w="70" w:type="dxa"/>
              <w:bottom w:w="70" w:type="dxa"/>
              <w:right w:w="70" w:type="dxa"/>
            </w:tcMar>
            <w:vAlign w:val="center"/>
          </w:tcPr>
          <w:p w14:paraId="3930B86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3.74</w:t>
            </w:r>
          </w:p>
        </w:tc>
        <w:tc>
          <w:tcPr>
            <w:tcW w:w="500" w:type="pct"/>
            <w:shd w:val="clear" w:color="auto" w:fill="FFFFFF"/>
            <w:tcMar>
              <w:top w:w="70" w:type="dxa"/>
              <w:left w:w="70" w:type="dxa"/>
              <w:bottom w:w="70" w:type="dxa"/>
              <w:right w:w="70" w:type="dxa"/>
            </w:tcMar>
            <w:vAlign w:val="center"/>
          </w:tcPr>
          <w:p w14:paraId="1D1F6BBD"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0.58</w:t>
            </w:r>
          </w:p>
        </w:tc>
        <w:tc>
          <w:tcPr>
            <w:tcW w:w="533" w:type="pct"/>
            <w:shd w:val="clear" w:color="auto" w:fill="FFFFFF"/>
            <w:tcMar>
              <w:top w:w="70" w:type="dxa"/>
              <w:left w:w="70" w:type="dxa"/>
              <w:bottom w:w="70" w:type="dxa"/>
              <w:right w:w="70" w:type="dxa"/>
            </w:tcMar>
            <w:vAlign w:val="center"/>
          </w:tcPr>
          <w:p w14:paraId="5974F219" w14:textId="77777777" w:rsidR="00986803" w:rsidRPr="00AE1FD7" w:rsidRDefault="00DB29B7" w:rsidP="00482CBE">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مرتفع</w:t>
            </w:r>
          </w:p>
        </w:tc>
      </w:tr>
    </w:tbl>
    <w:p w14:paraId="0979DB71"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مخرجات التحليل الإحصائي.</w:t>
      </w:r>
    </w:p>
    <w:p w14:paraId="22E4408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ويؤكد اختبار المتوسط مقابل القيمة المحايدة (3) أن جميع الأبعاد أعلى منها بدلالة إحصائية، بما يعني أن المشاركين يرون وجود مستوى إيجابي من الحوكمة والكفاءة، مع بقاء فجوة عن المستوى المرتفع جداً.</w:t>
      </w:r>
    </w:p>
    <w:p w14:paraId="298BBFDA"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11" w:name="_Toc235205651"/>
      <w:r w:rsidRPr="00AE1FD7">
        <w:rPr>
          <w:rFonts w:ascii="Sakkal Majalla" w:eastAsia="Noto Kufi Arabic" w:hAnsi="Sakkal Majalla" w:cs="Sakkal Majalla"/>
          <w:sz w:val="36"/>
          <w:szCs w:val="36"/>
          <w:rtl/>
          <w:lang w:val="ar-SA"/>
        </w:rPr>
        <w:t>4.7 العلاقات الارتباطية بين المتغيرات</w:t>
      </w:r>
      <w:r w:rsidR="00482CBE">
        <w:rPr>
          <w:rFonts w:ascii="Sakkal Majalla" w:eastAsia="Noto Kufi Arabic" w:hAnsi="Sakkal Majalla" w:cs="Sakkal Majalla" w:hint="cs"/>
          <w:sz w:val="36"/>
          <w:szCs w:val="36"/>
          <w:rtl/>
          <w:lang w:val="ar-SA"/>
        </w:rPr>
        <w:t>:</w:t>
      </w:r>
      <w:bookmarkEnd w:id="111"/>
    </w:p>
    <w:p w14:paraId="714BD50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أظهرت مصفوفة بيرسون علاقات موجبة ودالة بين جميع أبعاد الحوكمة والكفاءة. وتراوحت الارتباطات بين الأبعاد المستقلة في نطاق متوسط، بما يعكس ترابطها دون تطابق. وبلغ ارتباط الدرجة الكلية للحوكمة بالكفاءة 0.807، وهو ارتباط قوي.</w:t>
      </w:r>
    </w:p>
    <w:p w14:paraId="053753CB" w14:textId="77777777" w:rsidR="00986803" w:rsidRPr="00482CBE" w:rsidRDefault="00DB29B7" w:rsidP="00482CBE">
      <w:pPr>
        <w:keepNext/>
        <w:bidi/>
        <w:spacing w:after="0" w:line="240" w:lineRule="auto"/>
        <w:ind w:firstLine="0"/>
        <w:jc w:val="center"/>
        <w:rPr>
          <w:rFonts w:ascii="Sakkal Majalla" w:hAnsi="Sakkal Majalla" w:cs="Sakkal Majalla"/>
          <w:bCs/>
          <w:sz w:val="36"/>
          <w:szCs w:val="36"/>
        </w:rPr>
      </w:pPr>
      <w:bookmarkStart w:id="112" w:name="table_correlations"/>
      <w:r w:rsidRPr="00482CBE">
        <w:rPr>
          <w:rFonts w:ascii="Sakkal Majalla" w:eastAsia="Noto Kufi Arabic" w:hAnsi="Sakkal Majalla" w:cs="Sakkal Majalla"/>
          <w:bCs/>
          <w:color w:val="17365D"/>
          <w:sz w:val="36"/>
          <w:szCs w:val="36"/>
          <w:rtl/>
          <w:lang w:val="ar-SA"/>
        </w:rPr>
        <w:t>جدول (24): مصفوفة معاملات الارتباط بين متغيرات الدراسة</w:t>
      </w:r>
      <w:bookmarkEnd w:id="112"/>
    </w:p>
    <w:tbl>
      <w:tblPr>
        <w:bidiVisual/>
        <w:tblW w:w="906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3405"/>
        <w:gridCol w:w="943"/>
        <w:gridCol w:w="943"/>
        <w:gridCol w:w="943"/>
        <w:gridCol w:w="943"/>
        <w:gridCol w:w="943"/>
        <w:gridCol w:w="943"/>
      </w:tblGrid>
      <w:tr w:rsidR="00986803" w:rsidRPr="00AE1FD7" w14:paraId="7E022F51" w14:textId="77777777" w:rsidTr="00482CBE">
        <w:trPr>
          <w:cantSplit/>
          <w:tblHeader/>
          <w:jc w:val="center"/>
        </w:trPr>
        <w:tc>
          <w:tcPr>
            <w:tcW w:w="3405" w:type="dxa"/>
            <w:shd w:val="clear" w:color="auto" w:fill="17365D"/>
            <w:tcMar>
              <w:top w:w="90" w:type="dxa"/>
              <w:left w:w="80" w:type="dxa"/>
              <w:bottom w:w="90" w:type="dxa"/>
              <w:right w:w="80" w:type="dxa"/>
            </w:tcMar>
            <w:vAlign w:val="center"/>
          </w:tcPr>
          <w:p w14:paraId="369650B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المتغير</w:t>
            </w:r>
          </w:p>
        </w:tc>
        <w:tc>
          <w:tcPr>
            <w:tcW w:w="943" w:type="dxa"/>
            <w:shd w:val="clear" w:color="auto" w:fill="17365D"/>
            <w:tcMar>
              <w:top w:w="90" w:type="dxa"/>
              <w:left w:w="80" w:type="dxa"/>
              <w:bottom w:w="90" w:type="dxa"/>
              <w:right w:w="80" w:type="dxa"/>
            </w:tcMar>
            <w:vAlign w:val="center"/>
          </w:tcPr>
          <w:p w14:paraId="3FA3384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شف</w:t>
            </w:r>
          </w:p>
        </w:tc>
        <w:tc>
          <w:tcPr>
            <w:tcW w:w="943" w:type="dxa"/>
            <w:shd w:val="clear" w:color="auto" w:fill="17365D"/>
            <w:tcMar>
              <w:top w:w="90" w:type="dxa"/>
              <w:left w:w="80" w:type="dxa"/>
              <w:bottom w:w="90" w:type="dxa"/>
              <w:right w:w="80" w:type="dxa"/>
            </w:tcMar>
            <w:vAlign w:val="center"/>
          </w:tcPr>
          <w:p w14:paraId="73B2AD5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مس</w:t>
            </w:r>
          </w:p>
        </w:tc>
        <w:tc>
          <w:tcPr>
            <w:tcW w:w="943" w:type="dxa"/>
            <w:shd w:val="clear" w:color="auto" w:fill="17365D"/>
            <w:tcMar>
              <w:top w:w="90" w:type="dxa"/>
              <w:left w:w="80" w:type="dxa"/>
              <w:bottom w:w="90" w:type="dxa"/>
              <w:right w:w="80" w:type="dxa"/>
            </w:tcMar>
            <w:vAlign w:val="center"/>
          </w:tcPr>
          <w:p w14:paraId="28AFFF1A"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رق</w:t>
            </w:r>
          </w:p>
        </w:tc>
        <w:tc>
          <w:tcPr>
            <w:tcW w:w="943" w:type="dxa"/>
            <w:shd w:val="clear" w:color="auto" w:fill="17365D"/>
            <w:tcMar>
              <w:top w:w="90" w:type="dxa"/>
              <w:left w:w="80" w:type="dxa"/>
              <w:bottom w:w="90" w:type="dxa"/>
              <w:right w:w="80" w:type="dxa"/>
            </w:tcMar>
            <w:vAlign w:val="center"/>
          </w:tcPr>
          <w:p w14:paraId="02DA59E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حي</w:t>
            </w:r>
          </w:p>
        </w:tc>
        <w:tc>
          <w:tcPr>
            <w:tcW w:w="943" w:type="dxa"/>
            <w:shd w:val="clear" w:color="auto" w:fill="17365D"/>
            <w:tcMar>
              <w:top w:w="90" w:type="dxa"/>
              <w:left w:w="80" w:type="dxa"/>
              <w:bottom w:w="90" w:type="dxa"/>
              <w:right w:w="80" w:type="dxa"/>
            </w:tcMar>
            <w:vAlign w:val="center"/>
          </w:tcPr>
          <w:p w14:paraId="0DB76AA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خط</w:t>
            </w:r>
          </w:p>
        </w:tc>
        <w:tc>
          <w:tcPr>
            <w:tcW w:w="943" w:type="dxa"/>
            <w:shd w:val="clear" w:color="auto" w:fill="17365D"/>
            <w:tcMar>
              <w:top w:w="90" w:type="dxa"/>
              <w:left w:w="80" w:type="dxa"/>
              <w:bottom w:w="90" w:type="dxa"/>
              <w:right w:w="80" w:type="dxa"/>
            </w:tcMar>
            <w:vAlign w:val="center"/>
          </w:tcPr>
          <w:p w14:paraId="50844970"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Noto Kufi Arabic" w:hAnsi="Sakkal Majalla" w:cs="Sakkal Majalla"/>
                <w:b/>
                <w:color w:val="FFFFFF"/>
                <w:sz w:val="32"/>
                <w:szCs w:val="32"/>
                <w:rtl/>
                <w:lang w:val="ar-SA"/>
              </w:rPr>
              <w:t>كف</w:t>
            </w:r>
          </w:p>
        </w:tc>
      </w:tr>
      <w:tr w:rsidR="00986803" w:rsidRPr="00AE1FD7" w14:paraId="7195639B" w14:textId="77777777" w:rsidTr="00482CBE">
        <w:trPr>
          <w:jc w:val="center"/>
        </w:trPr>
        <w:tc>
          <w:tcPr>
            <w:tcW w:w="3405" w:type="dxa"/>
            <w:shd w:val="clear" w:color="auto" w:fill="FFFFFF"/>
            <w:tcMar>
              <w:top w:w="70" w:type="dxa"/>
              <w:left w:w="70" w:type="dxa"/>
              <w:bottom w:w="70" w:type="dxa"/>
              <w:right w:w="70" w:type="dxa"/>
            </w:tcMar>
            <w:vAlign w:val="center"/>
          </w:tcPr>
          <w:p w14:paraId="34DE2A44"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شف - الشفافية والإفصاح</w:t>
            </w:r>
          </w:p>
        </w:tc>
        <w:tc>
          <w:tcPr>
            <w:tcW w:w="943" w:type="dxa"/>
            <w:shd w:val="clear" w:color="auto" w:fill="FFFFFF"/>
            <w:tcMar>
              <w:top w:w="70" w:type="dxa"/>
              <w:left w:w="70" w:type="dxa"/>
              <w:bottom w:w="70" w:type="dxa"/>
              <w:right w:w="70" w:type="dxa"/>
            </w:tcMar>
            <w:vAlign w:val="center"/>
          </w:tcPr>
          <w:p w14:paraId="4A0845A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c>
          <w:tcPr>
            <w:tcW w:w="943" w:type="dxa"/>
            <w:shd w:val="clear" w:color="auto" w:fill="FFFFFF"/>
            <w:tcMar>
              <w:top w:w="70" w:type="dxa"/>
              <w:left w:w="70" w:type="dxa"/>
              <w:bottom w:w="70" w:type="dxa"/>
              <w:right w:w="70" w:type="dxa"/>
            </w:tcMar>
            <w:vAlign w:val="center"/>
          </w:tcPr>
          <w:p w14:paraId="3A64CE1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0.576**</w:t>
            </w:r>
          </w:p>
        </w:tc>
        <w:tc>
          <w:tcPr>
            <w:tcW w:w="943" w:type="dxa"/>
            <w:shd w:val="clear" w:color="auto" w:fill="FFFFFF"/>
            <w:tcMar>
              <w:top w:w="70" w:type="dxa"/>
              <w:left w:w="70" w:type="dxa"/>
              <w:bottom w:w="70" w:type="dxa"/>
              <w:right w:w="70" w:type="dxa"/>
            </w:tcMar>
            <w:vAlign w:val="center"/>
          </w:tcPr>
          <w:p w14:paraId="48423712"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0.493**</w:t>
            </w:r>
          </w:p>
        </w:tc>
        <w:tc>
          <w:tcPr>
            <w:tcW w:w="943" w:type="dxa"/>
            <w:shd w:val="clear" w:color="auto" w:fill="FFFFFF"/>
            <w:tcMar>
              <w:top w:w="70" w:type="dxa"/>
              <w:left w:w="70" w:type="dxa"/>
              <w:bottom w:w="70" w:type="dxa"/>
              <w:right w:w="70" w:type="dxa"/>
            </w:tcMar>
            <w:vAlign w:val="center"/>
          </w:tcPr>
          <w:p w14:paraId="2F477FA9"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0.493**</w:t>
            </w:r>
          </w:p>
        </w:tc>
        <w:tc>
          <w:tcPr>
            <w:tcW w:w="943" w:type="dxa"/>
            <w:shd w:val="clear" w:color="auto" w:fill="FFFFFF"/>
            <w:tcMar>
              <w:top w:w="70" w:type="dxa"/>
              <w:left w:w="70" w:type="dxa"/>
              <w:bottom w:w="70" w:type="dxa"/>
              <w:right w:w="70" w:type="dxa"/>
            </w:tcMar>
            <w:vAlign w:val="center"/>
          </w:tcPr>
          <w:p w14:paraId="64F9533B"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0.456**</w:t>
            </w:r>
          </w:p>
        </w:tc>
        <w:tc>
          <w:tcPr>
            <w:tcW w:w="943" w:type="dxa"/>
            <w:shd w:val="clear" w:color="auto" w:fill="FFFFFF"/>
            <w:tcMar>
              <w:top w:w="70" w:type="dxa"/>
              <w:left w:w="70" w:type="dxa"/>
              <w:bottom w:w="70" w:type="dxa"/>
              <w:right w:w="70" w:type="dxa"/>
            </w:tcMar>
            <w:vAlign w:val="center"/>
          </w:tcPr>
          <w:p w14:paraId="4BFADA4C"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0.630**</w:t>
            </w:r>
          </w:p>
        </w:tc>
      </w:tr>
      <w:tr w:rsidR="00986803" w:rsidRPr="00AE1FD7" w14:paraId="15B40FB2" w14:textId="77777777" w:rsidTr="00482CBE">
        <w:trPr>
          <w:jc w:val="center"/>
        </w:trPr>
        <w:tc>
          <w:tcPr>
            <w:tcW w:w="3405" w:type="dxa"/>
            <w:shd w:val="clear" w:color="auto" w:fill="F2F4F6"/>
            <w:tcMar>
              <w:top w:w="70" w:type="dxa"/>
              <w:left w:w="70" w:type="dxa"/>
              <w:bottom w:w="70" w:type="dxa"/>
              <w:right w:w="70" w:type="dxa"/>
            </w:tcMar>
            <w:vAlign w:val="center"/>
          </w:tcPr>
          <w:p w14:paraId="0B1B34E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مس - المساءلة والرقابة الداخلية</w:t>
            </w:r>
          </w:p>
        </w:tc>
        <w:tc>
          <w:tcPr>
            <w:tcW w:w="943" w:type="dxa"/>
            <w:shd w:val="clear" w:color="auto" w:fill="F2F4F6"/>
            <w:tcMar>
              <w:top w:w="70" w:type="dxa"/>
              <w:left w:w="70" w:type="dxa"/>
              <w:bottom w:w="70" w:type="dxa"/>
              <w:right w:w="70" w:type="dxa"/>
            </w:tcMar>
            <w:vAlign w:val="center"/>
          </w:tcPr>
          <w:p w14:paraId="2DC89A72"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0.576**</w:t>
            </w:r>
          </w:p>
        </w:tc>
        <w:tc>
          <w:tcPr>
            <w:tcW w:w="943" w:type="dxa"/>
            <w:shd w:val="clear" w:color="auto" w:fill="F2F4F6"/>
            <w:tcMar>
              <w:top w:w="70" w:type="dxa"/>
              <w:left w:w="70" w:type="dxa"/>
              <w:bottom w:w="70" w:type="dxa"/>
              <w:right w:w="70" w:type="dxa"/>
            </w:tcMar>
            <w:vAlign w:val="center"/>
          </w:tcPr>
          <w:p w14:paraId="03D9C0D0"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c>
          <w:tcPr>
            <w:tcW w:w="943" w:type="dxa"/>
            <w:shd w:val="clear" w:color="auto" w:fill="F2F4F6"/>
            <w:tcMar>
              <w:top w:w="70" w:type="dxa"/>
              <w:left w:w="70" w:type="dxa"/>
              <w:bottom w:w="70" w:type="dxa"/>
              <w:right w:w="70" w:type="dxa"/>
            </w:tcMar>
            <w:vAlign w:val="center"/>
          </w:tcPr>
          <w:p w14:paraId="53C6A44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0.511**</w:t>
            </w:r>
          </w:p>
        </w:tc>
        <w:tc>
          <w:tcPr>
            <w:tcW w:w="943" w:type="dxa"/>
            <w:shd w:val="clear" w:color="auto" w:fill="F2F4F6"/>
            <w:tcMar>
              <w:top w:w="70" w:type="dxa"/>
              <w:left w:w="70" w:type="dxa"/>
              <w:bottom w:w="70" w:type="dxa"/>
              <w:right w:w="70" w:type="dxa"/>
            </w:tcMar>
            <w:vAlign w:val="center"/>
          </w:tcPr>
          <w:p w14:paraId="06994B4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0.579**</w:t>
            </w:r>
          </w:p>
        </w:tc>
        <w:tc>
          <w:tcPr>
            <w:tcW w:w="943" w:type="dxa"/>
            <w:shd w:val="clear" w:color="auto" w:fill="F2F4F6"/>
            <w:tcMar>
              <w:top w:w="70" w:type="dxa"/>
              <w:left w:w="70" w:type="dxa"/>
              <w:bottom w:w="70" w:type="dxa"/>
              <w:right w:w="70" w:type="dxa"/>
            </w:tcMar>
            <w:vAlign w:val="center"/>
          </w:tcPr>
          <w:p w14:paraId="41E8C212"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0.488**</w:t>
            </w:r>
          </w:p>
        </w:tc>
        <w:tc>
          <w:tcPr>
            <w:tcW w:w="943" w:type="dxa"/>
            <w:shd w:val="clear" w:color="auto" w:fill="F2F4F6"/>
            <w:tcMar>
              <w:top w:w="70" w:type="dxa"/>
              <w:left w:w="70" w:type="dxa"/>
              <w:bottom w:w="70" w:type="dxa"/>
              <w:right w:w="70" w:type="dxa"/>
            </w:tcMar>
            <w:vAlign w:val="center"/>
          </w:tcPr>
          <w:p w14:paraId="196A14FE"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0.625**</w:t>
            </w:r>
          </w:p>
        </w:tc>
      </w:tr>
      <w:tr w:rsidR="00986803" w:rsidRPr="00AE1FD7" w14:paraId="1046797C" w14:textId="77777777" w:rsidTr="00482CBE">
        <w:trPr>
          <w:jc w:val="center"/>
        </w:trPr>
        <w:tc>
          <w:tcPr>
            <w:tcW w:w="3405" w:type="dxa"/>
            <w:shd w:val="clear" w:color="auto" w:fill="FFFFFF"/>
            <w:tcMar>
              <w:top w:w="70" w:type="dxa"/>
              <w:left w:w="70" w:type="dxa"/>
              <w:bottom w:w="70" w:type="dxa"/>
              <w:right w:w="70" w:type="dxa"/>
            </w:tcMar>
            <w:vAlign w:val="center"/>
          </w:tcPr>
          <w:p w14:paraId="37CAD4B7"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 xml:space="preserve">رق - تكامل البيانات </w:t>
            </w:r>
            <w:proofErr w:type="spellStart"/>
            <w:r w:rsidRPr="00482CBE">
              <w:rPr>
                <w:rFonts w:ascii="Sakkal Majalla" w:hAnsi="Sakkal Majalla" w:cs="Sakkal Majalla"/>
                <w:color w:val="000000"/>
                <w:sz w:val="32"/>
                <w:szCs w:val="32"/>
                <w:rtl/>
                <w:lang w:val="ar-SA"/>
              </w:rPr>
              <w:t>والرقمنة</w:t>
            </w:r>
            <w:proofErr w:type="spellEnd"/>
          </w:p>
        </w:tc>
        <w:tc>
          <w:tcPr>
            <w:tcW w:w="943" w:type="dxa"/>
            <w:shd w:val="clear" w:color="auto" w:fill="FFFFFF"/>
            <w:tcMar>
              <w:top w:w="70" w:type="dxa"/>
              <w:left w:w="70" w:type="dxa"/>
              <w:bottom w:w="70" w:type="dxa"/>
              <w:right w:w="70" w:type="dxa"/>
            </w:tcMar>
            <w:vAlign w:val="center"/>
          </w:tcPr>
          <w:p w14:paraId="7B4F3B0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0.493**</w:t>
            </w:r>
          </w:p>
        </w:tc>
        <w:tc>
          <w:tcPr>
            <w:tcW w:w="943" w:type="dxa"/>
            <w:shd w:val="clear" w:color="auto" w:fill="FFFFFF"/>
            <w:tcMar>
              <w:top w:w="70" w:type="dxa"/>
              <w:left w:w="70" w:type="dxa"/>
              <w:bottom w:w="70" w:type="dxa"/>
              <w:right w:w="70" w:type="dxa"/>
            </w:tcMar>
            <w:vAlign w:val="center"/>
          </w:tcPr>
          <w:p w14:paraId="299897D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0.511**</w:t>
            </w:r>
          </w:p>
        </w:tc>
        <w:tc>
          <w:tcPr>
            <w:tcW w:w="943" w:type="dxa"/>
            <w:shd w:val="clear" w:color="auto" w:fill="FFFFFF"/>
            <w:tcMar>
              <w:top w:w="70" w:type="dxa"/>
              <w:left w:w="70" w:type="dxa"/>
              <w:bottom w:w="70" w:type="dxa"/>
              <w:right w:w="70" w:type="dxa"/>
            </w:tcMar>
            <w:vAlign w:val="center"/>
          </w:tcPr>
          <w:p w14:paraId="5E060FB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c>
          <w:tcPr>
            <w:tcW w:w="943" w:type="dxa"/>
            <w:shd w:val="clear" w:color="auto" w:fill="FFFFFF"/>
            <w:tcMar>
              <w:top w:w="70" w:type="dxa"/>
              <w:left w:w="70" w:type="dxa"/>
              <w:bottom w:w="70" w:type="dxa"/>
              <w:right w:w="70" w:type="dxa"/>
            </w:tcMar>
            <w:vAlign w:val="center"/>
          </w:tcPr>
          <w:p w14:paraId="2995959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0.560**</w:t>
            </w:r>
          </w:p>
        </w:tc>
        <w:tc>
          <w:tcPr>
            <w:tcW w:w="943" w:type="dxa"/>
            <w:shd w:val="clear" w:color="auto" w:fill="FFFFFF"/>
            <w:tcMar>
              <w:top w:w="70" w:type="dxa"/>
              <w:left w:w="70" w:type="dxa"/>
              <w:bottom w:w="70" w:type="dxa"/>
              <w:right w:w="70" w:type="dxa"/>
            </w:tcMar>
            <w:vAlign w:val="center"/>
          </w:tcPr>
          <w:p w14:paraId="6A982E2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0.433**</w:t>
            </w:r>
          </w:p>
        </w:tc>
        <w:tc>
          <w:tcPr>
            <w:tcW w:w="943" w:type="dxa"/>
            <w:shd w:val="clear" w:color="auto" w:fill="FFFFFF"/>
            <w:tcMar>
              <w:top w:w="70" w:type="dxa"/>
              <w:left w:w="70" w:type="dxa"/>
              <w:bottom w:w="70" w:type="dxa"/>
              <w:right w:w="70" w:type="dxa"/>
            </w:tcMar>
            <w:vAlign w:val="center"/>
          </w:tcPr>
          <w:p w14:paraId="6B2F4A68"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0.660**</w:t>
            </w:r>
          </w:p>
        </w:tc>
      </w:tr>
      <w:tr w:rsidR="00986803" w:rsidRPr="00AE1FD7" w14:paraId="1D53009B" w14:textId="77777777" w:rsidTr="00482CBE">
        <w:trPr>
          <w:jc w:val="center"/>
        </w:trPr>
        <w:tc>
          <w:tcPr>
            <w:tcW w:w="3405" w:type="dxa"/>
            <w:shd w:val="clear" w:color="auto" w:fill="F2F4F6"/>
            <w:tcMar>
              <w:top w:w="70" w:type="dxa"/>
              <w:left w:w="70" w:type="dxa"/>
              <w:bottom w:w="70" w:type="dxa"/>
              <w:right w:w="70" w:type="dxa"/>
            </w:tcMar>
            <w:vAlign w:val="center"/>
          </w:tcPr>
          <w:p w14:paraId="7AAF4DB4"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حي - التخطيط الاستراتيجي وإدارة دورة حياة الأصل</w:t>
            </w:r>
          </w:p>
        </w:tc>
        <w:tc>
          <w:tcPr>
            <w:tcW w:w="943" w:type="dxa"/>
            <w:shd w:val="clear" w:color="auto" w:fill="F2F4F6"/>
            <w:tcMar>
              <w:top w:w="70" w:type="dxa"/>
              <w:left w:w="70" w:type="dxa"/>
              <w:bottom w:w="70" w:type="dxa"/>
              <w:right w:w="70" w:type="dxa"/>
            </w:tcMar>
            <w:vAlign w:val="center"/>
          </w:tcPr>
          <w:p w14:paraId="3244F36B"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0.493**</w:t>
            </w:r>
          </w:p>
        </w:tc>
        <w:tc>
          <w:tcPr>
            <w:tcW w:w="943" w:type="dxa"/>
            <w:shd w:val="clear" w:color="auto" w:fill="F2F4F6"/>
            <w:tcMar>
              <w:top w:w="70" w:type="dxa"/>
              <w:left w:w="70" w:type="dxa"/>
              <w:bottom w:w="70" w:type="dxa"/>
              <w:right w:w="70" w:type="dxa"/>
            </w:tcMar>
            <w:vAlign w:val="center"/>
          </w:tcPr>
          <w:p w14:paraId="1A3B219F"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0.579**</w:t>
            </w:r>
          </w:p>
        </w:tc>
        <w:tc>
          <w:tcPr>
            <w:tcW w:w="943" w:type="dxa"/>
            <w:shd w:val="clear" w:color="auto" w:fill="F2F4F6"/>
            <w:tcMar>
              <w:top w:w="70" w:type="dxa"/>
              <w:left w:w="70" w:type="dxa"/>
              <w:bottom w:w="70" w:type="dxa"/>
              <w:right w:w="70" w:type="dxa"/>
            </w:tcMar>
            <w:vAlign w:val="center"/>
          </w:tcPr>
          <w:p w14:paraId="69858AC1"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0.560**</w:t>
            </w:r>
          </w:p>
        </w:tc>
        <w:tc>
          <w:tcPr>
            <w:tcW w:w="943" w:type="dxa"/>
            <w:shd w:val="clear" w:color="auto" w:fill="F2F4F6"/>
            <w:tcMar>
              <w:top w:w="70" w:type="dxa"/>
              <w:left w:w="70" w:type="dxa"/>
              <w:bottom w:w="70" w:type="dxa"/>
              <w:right w:w="70" w:type="dxa"/>
            </w:tcMar>
            <w:vAlign w:val="center"/>
          </w:tcPr>
          <w:p w14:paraId="4328FE9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c>
          <w:tcPr>
            <w:tcW w:w="943" w:type="dxa"/>
            <w:shd w:val="clear" w:color="auto" w:fill="F2F4F6"/>
            <w:tcMar>
              <w:top w:w="70" w:type="dxa"/>
              <w:left w:w="70" w:type="dxa"/>
              <w:bottom w:w="70" w:type="dxa"/>
              <w:right w:w="70" w:type="dxa"/>
            </w:tcMar>
            <w:vAlign w:val="center"/>
          </w:tcPr>
          <w:p w14:paraId="16BB6642"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0.470**</w:t>
            </w:r>
          </w:p>
        </w:tc>
        <w:tc>
          <w:tcPr>
            <w:tcW w:w="943" w:type="dxa"/>
            <w:shd w:val="clear" w:color="auto" w:fill="F2F4F6"/>
            <w:tcMar>
              <w:top w:w="70" w:type="dxa"/>
              <w:left w:w="70" w:type="dxa"/>
              <w:bottom w:w="70" w:type="dxa"/>
              <w:right w:w="70" w:type="dxa"/>
            </w:tcMar>
            <w:vAlign w:val="center"/>
          </w:tcPr>
          <w:p w14:paraId="2E4EBA6F"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0.675**</w:t>
            </w:r>
          </w:p>
        </w:tc>
      </w:tr>
      <w:tr w:rsidR="00986803" w:rsidRPr="00AE1FD7" w14:paraId="3C25A36F" w14:textId="77777777" w:rsidTr="00482CBE">
        <w:trPr>
          <w:jc w:val="center"/>
        </w:trPr>
        <w:tc>
          <w:tcPr>
            <w:tcW w:w="3405" w:type="dxa"/>
            <w:shd w:val="clear" w:color="auto" w:fill="FFFFFF"/>
            <w:tcMar>
              <w:top w:w="70" w:type="dxa"/>
              <w:left w:w="70" w:type="dxa"/>
              <w:bottom w:w="70" w:type="dxa"/>
              <w:right w:w="70" w:type="dxa"/>
            </w:tcMar>
            <w:vAlign w:val="center"/>
          </w:tcPr>
          <w:p w14:paraId="144AEA57"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خط - إدارة المخاطر والامتثال</w:t>
            </w:r>
          </w:p>
        </w:tc>
        <w:tc>
          <w:tcPr>
            <w:tcW w:w="943" w:type="dxa"/>
            <w:shd w:val="clear" w:color="auto" w:fill="FFFFFF"/>
            <w:tcMar>
              <w:top w:w="70" w:type="dxa"/>
              <w:left w:w="70" w:type="dxa"/>
              <w:bottom w:w="70" w:type="dxa"/>
              <w:right w:w="70" w:type="dxa"/>
            </w:tcMar>
            <w:vAlign w:val="center"/>
          </w:tcPr>
          <w:p w14:paraId="190CCFA5"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0.456**</w:t>
            </w:r>
          </w:p>
        </w:tc>
        <w:tc>
          <w:tcPr>
            <w:tcW w:w="943" w:type="dxa"/>
            <w:shd w:val="clear" w:color="auto" w:fill="FFFFFF"/>
            <w:tcMar>
              <w:top w:w="70" w:type="dxa"/>
              <w:left w:w="70" w:type="dxa"/>
              <w:bottom w:w="70" w:type="dxa"/>
              <w:right w:w="70" w:type="dxa"/>
            </w:tcMar>
            <w:vAlign w:val="center"/>
          </w:tcPr>
          <w:p w14:paraId="1B869DB9"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0.488**</w:t>
            </w:r>
          </w:p>
        </w:tc>
        <w:tc>
          <w:tcPr>
            <w:tcW w:w="943" w:type="dxa"/>
            <w:shd w:val="clear" w:color="auto" w:fill="FFFFFF"/>
            <w:tcMar>
              <w:top w:w="70" w:type="dxa"/>
              <w:left w:w="70" w:type="dxa"/>
              <w:bottom w:w="70" w:type="dxa"/>
              <w:right w:w="70" w:type="dxa"/>
            </w:tcMar>
            <w:vAlign w:val="center"/>
          </w:tcPr>
          <w:p w14:paraId="165D7F34"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0.433**</w:t>
            </w:r>
          </w:p>
        </w:tc>
        <w:tc>
          <w:tcPr>
            <w:tcW w:w="943" w:type="dxa"/>
            <w:shd w:val="clear" w:color="auto" w:fill="FFFFFF"/>
            <w:tcMar>
              <w:top w:w="70" w:type="dxa"/>
              <w:left w:w="70" w:type="dxa"/>
              <w:bottom w:w="70" w:type="dxa"/>
              <w:right w:w="70" w:type="dxa"/>
            </w:tcMar>
            <w:vAlign w:val="center"/>
          </w:tcPr>
          <w:p w14:paraId="1BE59BD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0.470**</w:t>
            </w:r>
          </w:p>
        </w:tc>
        <w:tc>
          <w:tcPr>
            <w:tcW w:w="943" w:type="dxa"/>
            <w:shd w:val="clear" w:color="auto" w:fill="FFFFFF"/>
            <w:tcMar>
              <w:top w:w="70" w:type="dxa"/>
              <w:left w:w="70" w:type="dxa"/>
              <w:bottom w:w="70" w:type="dxa"/>
              <w:right w:w="70" w:type="dxa"/>
            </w:tcMar>
            <w:vAlign w:val="center"/>
          </w:tcPr>
          <w:p w14:paraId="5297AE64"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c>
          <w:tcPr>
            <w:tcW w:w="943" w:type="dxa"/>
            <w:shd w:val="clear" w:color="auto" w:fill="FFFFFF"/>
            <w:tcMar>
              <w:top w:w="70" w:type="dxa"/>
              <w:left w:w="70" w:type="dxa"/>
              <w:bottom w:w="70" w:type="dxa"/>
              <w:right w:w="70" w:type="dxa"/>
            </w:tcMar>
            <w:vAlign w:val="center"/>
          </w:tcPr>
          <w:p w14:paraId="200A09C6"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0.545**</w:t>
            </w:r>
          </w:p>
        </w:tc>
      </w:tr>
      <w:tr w:rsidR="00986803" w:rsidRPr="00AE1FD7" w14:paraId="0E8015D5" w14:textId="77777777" w:rsidTr="00482CBE">
        <w:trPr>
          <w:jc w:val="center"/>
        </w:trPr>
        <w:tc>
          <w:tcPr>
            <w:tcW w:w="3405" w:type="dxa"/>
            <w:shd w:val="clear" w:color="auto" w:fill="F2F4F6"/>
            <w:tcMar>
              <w:top w:w="70" w:type="dxa"/>
              <w:left w:w="70" w:type="dxa"/>
              <w:bottom w:w="70" w:type="dxa"/>
              <w:right w:w="70" w:type="dxa"/>
            </w:tcMar>
            <w:vAlign w:val="center"/>
          </w:tcPr>
          <w:p w14:paraId="0AFB9D2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hAnsi="Sakkal Majalla" w:cs="Sakkal Majalla"/>
                <w:color w:val="000000"/>
                <w:sz w:val="32"/>
                <w:szCs w:val="32"/>
                <w:rtl/>
                <w:lang w:val="ar-SA"/>
              </w:rPr>
              <w:t>كف - كفاءة الإنفاق الحكومي العقاري</w:t>
            </w:r>
          </w:p>
        </w:tc>
        <w:tc>
          <w:tcPr>
            <w:tcW w:w="943" w:type="dxa"/>
            <w:shd w:val="clear" w:color="auto" w:fill="F2F4F6"/>
            <w:tcMar>
              <w:top w:w="70" w:type="dxa"/>
              <w:left w:w="70" w:type="dxa"/>
              <w:bottom w:w="70" w:type="dxa"/>
              <w:right w:w="70" w:type="dxa"/>
            </w:tcMar>
            <w:vAlign w:val="center"/>
          </w:tcPr>
          <w:p w14:paraId="71C809F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0.630**</w:t>
            </w:r>
          </w:p>
        </w:tc>
        <w:tc>
          <w:tcPr>
            <w:tcW w:w="943" w:type="dxa"/>
            <w:shd w:val="clear" w:color="auto" w:fill="F2F4F6"/>
            <w:tcMar>
              <w:top w:w="70" w:type="dxa"/>
              <w:left w:w="70" w:type="dxa"/>
              <w:bottom w:w="70" w:type="dxa"/>
              <w:right w:w="70" w:type="dxa"/>
            </w:tcMar>
            <w:vAlign w:val="center"/>
          </w:tcPr>
          <w:p w14:paraId="22329EFF"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0.625**</w:t>
            </w:r>
          </w:p>
        </w:tc>
        <w:tc>
          <w:tcPr>
            <w:tcW w:w="943" w:type="dxa"/>
            <w:shd w:val="clear" w:color="auto" w:fill="F2F4F6"/>
            <w:tcMar>
              <w:top w:w="70" w:type="dxa"/>
              <w:left w:w="70" w:type="dxa"/>
              <w:bottom w:w="70" w:type="dxa"/>
              <w:right w:w="70" w:type="dxa"/>
            </w:tcMar>
            <w:vAlign w:val="center"/>
          </w:tcPr>
          <w:p w14:paraId="0B0A6FE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0.660**</w:t>
            </w:r>
          </w:p>
        </w:tc>
        <w:tc>
          <w:tcPr>
            <w:tcW w:w="943" w:type="dxa"/>
            <w:shd w:val="clear" w:color="auto" w:fill="F2F4F6"/>
            <w:tcMar>
              <w:top w:w="70" w:type="dxa"/>
              <w:left w:w="70" w:type="dxa"/>
              <w:bottom w:w="70" w:type="dxa"/>
              <w:right w:w="70" w:type="dxa"/>
            </w:tcMar>
            <w:vAlign w:val="center"/>
          </w:tcPr>
          <w:p w14:paraId="2A730360"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0.675**</w:t>
            </w:r>
          </w:p>
        </w:tc>
        <w:tc>
          <w:tcPr>
            <w:tcW w:w="943" w:type="dxa"/>
            <w:shd w:val="clear" w:color="auto" w:fill="F2F4F6"/>
            <w:tcMar>
              <w:top w:w="70" w:type="dxa"/>
              <w:left w:w="70" w:type="dxa"/>
              <w:bottom w:w="70" w:type="dxa"/>
              <w:right w:w="70" w:type="dxa"/>
            </w:tcMar>
            <w:vAlign w:val="center"/>
          </w:tcPr>
          <w:p w14:paraId="19553E4A"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0.545**</w:t>
            </w:r>
          </w:p>
        </w:tc>
        <w:tc>
          <w:tcPr>
            <w:tcW w:w="943" w:type="dxa"/>
            <w:shd w:val="clear" w:color="auto" w:fill="F2F4F6"/>
            <w:tcMar>
              <w:top w:w="70" w:type="dxa"/>
              <w:left w:w="70" w:type="dxa"/>
              <w:bottom w:w="70" w:type="dxa"/>
              <w:right w:w="70" w:type="dxa"/>
            </w:tcMar>
            <w:vAlign w:val="center"/>
          </w:tcPr>
          <w:p w14:paraId="76434A23" w14:textId="77777777" w:rsidR="00986803" w:rsidRPr="00482CBE" w:rsidRDefault="00DB29B7" w:rsidP="00482CBE">
            <w:pPr>
              <w:bidi/>
              <w:spacing w:after="0" w:line="240" w:lineRule="auto"/>
              <w:ind w:firstLine="0"/>
              <w:jc w:val="center"/>
              <w:rPr>
                <w:rFonts w:ascii="Sakkal Majalla" w:hAnsi="Sakkal Majalla" w:cs="Sakkal Majalla"/>
                <w:sz w:val="32"/>
                <w:szCs w:val="32"/>
              </w:rPr>
            </w:pPr>
            <w:r w:rsidRPr="00482CBE">
              <w:rPr>
                <w:rFonts w:ascii="Sakkal Majalla" w:eastAsia="DejaVu Sans" w:hAnsi="Sakkal Majalla" w:cs="Sakkal Majalla"/>
                <w:color w:val="000000"/>
                <w:sz w:val="32"/>
                <w:szCs w:val="32"/>
                <w:lang w:bidi="en-US"/>
              </w:rPr>
              <w:t>1.000</w:t>
            </w:r>
          </w:p>
        </w:tc>
      </w:tr>
    </w:tbl>
    <w:p w14:paraId="62D23C42" w14:textId="77777777" w:rsidR="00986803" w:rsidRPr="00AE1FD7" w:rsidRDefault="00986803" w:rsidP="00697C88">
      <w:pPr>
        <w:bidi/>
        <w:spacing w:after="0" w:line="240" w:lineRule="auto"/>
        <w:rPr>
          <w:rFonts w:ascii="Sakkal Majalla" w:hAnsi="Sakkal Majalla" w:cs="Sakkal Majalla"/>
          <w:sz w:val="36"/>
          <w:szCs w:val="36"/>
        </w:rPr>
      </w:pPr>
    </w:p>
    <w:p w14:paraId="365E8C70"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ملاحظة: ** دال عند مستوى 0.01. الرموز: شف=الشفافية، مس=المساءلة، رق=</w:t>
      </w:r>
      <w:proofErr w:type="spellStart"/>
      <w:r w:rsidRPr="00AE1FD7">
        <w:rPr>
          <w:rFonts w:ascii="Sakkal Majalla" w:hAnsi="Sakkal Majalla" w:cs="Sakkal Majalla"/>
          <w:i/>
          <w:color w:val="3F4650"/>
          <w:sz w:val="36"/>
          <w:szCs w:val="36"/>
          <w:rtl/>
          <w:lang w:val="ar-SA"/>
        </w:rPr>
        <w:t>الرقمنة</w:t>
      </w:r>
      <w:proofErr w:type="spellEnd"/>
      <w:r w:rsidRPr="00AE1FD7">
        <w:rPr>
          <w:rFonts w:ascii="Sakkal Majalla" w:hAnsi="Sakkal Majalla" w:cs="Sakkal Majalla"/>
          <w:i/>
          <w:color w:val="3F4650"/>
          <w:sz w:val="36"/>
          <w:szCs w:val="36"/>
          <w:rtl/>
          <w:lang w:val="ar-SA"/>
        </w:rPr>
        <w:t>، حي=دورة الحياة، خط=المخاطر، كف=الكفاءة.</w:t>
      </w:r>
    </w:p>
    <w:p w14:paraId="643E841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وتدعم النتائج الافتراض النظري بأن تحسن الحوكمة يقترن بارتفاع الكفاءة. غير أن الارتباط لا يحدد الأثر النسبي عند تداخل الأبعاد، ولذلك استخدم الانحدار المتعدد.</w:t>
      </w:r>
    </w:p>
    <w:p w14:paraId="4D5D8925"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13" w:name="_Toc235205652"/>
      <w:r w:rsidRPr="00AE1FD7">
        <w:rPr>
          <w:rFonts w:ascii="Sakkal Majalla" w:eastAsia="Noto Kufi Arabic" w:hAnsi="Sakkal Majalla" w:cs="Sakkal Majalla"/>
          <w:sz w:val="36"/>
          <w:szCs w:val="36"/>
          <w:rtl/>
          <w:lang w:val="ar-SA"/>
        </w:rPr>
        <w:t>4.8 فحص افتراضات الانحدار</w:t>
      </w:r>
      <w:r w:rsidR="00482CBE">
        <w:rPr>
          <w:rFonts w:ascii="Sakkal Majalla" w:eastAsia="Noto Kufi Arabic" w:hAnsi="Sakkal Majalla" w:cs="Sakkal Majalla" w:hint="cs"/>
          <w:sz w:val="36"/>
          <w:szCs w:val="36"/>
          <w:rtl/>
          <w:lang w:val="ar-SA"/>
        </w:rPr>
        <w:t>:</w:t>
      </w:r>
      <w:bookmarkEnd w:id="113"/>
      <w:r w:rsidR="00482CBE">
        <w:rPr>
          <w:rFonts w:ascii="Sakkal Majalla" w:eastAsia="Noto Kufi Arabic" w:hAnsi="Sakkal Majalla" w:cs="Sakkal Majalla" w:hint="cs"/>
          <w:sz w:val="36"/>
          <w:szCs w:val="36"/>
          <w:rtl/>
          <w:lang w:val="ar-SA"/>
        </w:rPr>
        <w:t xml:space="preserve"> </w:t>
      </w:r>
    </w:p>
    <w:p w14:paraId="18632BC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تراوحت قيم VIF بين 1.49 و1.93، وبلغت قيم التسامح بين 0.52 و0.67، ما ينفي وجود تداخل خطي مرتفع. وبلغ دوربن-واتسون 2.04 تقريباً، وهو قريب من القيمة المثالية 2. كما أظهر فحص البواقي عدم وجود نمط منهجي.</w:t>
      </w:r>
    </w:p>
    <w:p w14:paraId="2F935B3E" w14:textId="77777777" w:rsidR="00986803" w:rsidRPr="00AE1FD7" w:rsidRDefault="00DB29B7" w:rsidP="00407C4C">
      <w:pPr>
        <w:keepNext/>
        <w:bidi/>
        <w:spacing w:after="0" w:line="240" w:lineRule="auto"/>
        <w:ind w:firstLine="0"/>
        <w:jc w:val="center"/>
        <w:rPr>
          <w:rFonts w:ascii="Sakkal Majalla" w:hAnsi="Sakkal Majalla" w:cs="Sakkal Majalla"/>
          <w:sz w:val="36"/>
          <w:szCs w:val="36"/>
        </w:rPr>
      </w:pPr>
      <w:bookmarkStart w:id="114" w:name="table_regression_assumptions"/>
      <w:r w:rsidRPr="00AE1FD7">
        <w:rPr>
          <w:rFonts w:ascii="Sakkal Majalla" w:eastAsia="Noto Kufi Arabic" w:hAnsi="Sakkal Majalla" w:cs="Sakkal Majalla"/>
          <w:b/>
          <w:color w:val="17365D"/>
          <w:sz w:val="36"/>
          <w:szCs w:val="36"/>
          <w:rtl/>
          <w:lang w:val="ar-SA"/>
        </w:rPr>
        <w:lastRenderedPageBreak/>
        <w:t>جدول (25): نتائج فحص افتراضات تحليل الانحدار</w:t>
      </w:r>
      <w:bookmarkEnd w:id="114"/>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3402"/>
        <w:gridCol w:w="2835"/>
      </w:tblGrid>
      <w:tr w:rsidR="00986803" w:rsidRPr="00AE1FD7" w14:paraId="712433C9" w14:textId="77777777" w:rsidTr="00407C4C">
        <w:trPr>
          <w:cantSplit/>
          <w:tblHeader/>
          <w:jc w:val="center"/>
        </w:trPr>
        <w:tc>
          <w:tcPr>
            <w:tcW w:w="2268" w:type="dxa"/>
            <w:shd w:val="clear" w:color="auto" w:fill="17365D"/>
            <w:tcMar>
              <w:top w:w="90" w:type="dxa"/>
              <w:left w:w="80" w:type="dxa"/>
              <w:bottom w:w="90" w:type="dxa"/>
              <w:right w:w="80" w:type="dxa"/>
            </w:tcMar>
            <w:vAlign w:val="center"/>
          </w:tcPr>
          <w:p w14:paraId="43202D38"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الافتراض</w:t>
            </w:r>
          </w:p>
        </w:tc>
        <w:tc>
          <w:tcPr>
            <w:tcW w:w="3402" w:type="dxa"/>
            <w:shd w:val="clear" w:color="auto" w:fill="17365D"/>
            <w:tcMar>
              <w:top w:w="90" w:type="dxa"/>
              <w:left w:w="80" w:type="dxa"/>
              <w:bottom w:w="90" w:type="dxa"/>
              <w:right w:w="80" w:type="dxa"/>
            </w:tcMar>
            <w:vAlign w:val="center"/>
          </w:tcPr>
          <w:p w14:paraId="44739310"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النتيجة</w:t>
            </w:r>
          </w:p>
        </w:tc>
        <w:tc>
          <w:tcPr>
            <w:tcW w:w="2835" w:type="dxa"/>
            <w:shd w:val="clear" w:color="auto" w:fill="17365D"/>
            <w:tcMar>
              <w:top w:w="90" w:type="dxa"/>
              <w:left w:w="80" w:type="dxa"/>
              <w:bottom w:w="90" w:type="dxa"/>
              <w:right w:w="80" w:type="dxa"/>
            </w:tcMar>
            <w:vAlign w:val="center"/>
          </w:tcPr>
          <w:p w14:paraId="20DD9EDC"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الحكم</w:t>
            </w:r>
          </w:p>
        </w:tc>
      </w:tr>
      <w:tr w:rsidR="00986803" w:rsidRPr="00AE1FD7" w14:paraId="422F1D3B" w14:textId="77777777" w:rsidTr="00407C4C">
        <w:trPr>
          <w:jc w:val="center"/>
        </w:trPr>
        <w:tc>
          <w:tcPr>
            <w:tcW w:w="2268" w:type="dxa"/>
            <w:shd w:val="clear" w:color="auto" w:fill="FFFFFF"/>
            <w:tcMar>
              <w:top w:w="70" w:type="dxa"/>
              <w:left w:w="70" w:type="dxa"/>
              <w:bottom w:w="70" w:type="dxa"/>
              <w:right w:w="70" w:type="dxa"/>
            </w:tcMar>
            <w:vAlign w:val="center"/>
          </w:tcPr>
          <w:p w14:paraId="14E3AC5E"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اعتدال التوزيع</w:t>
            </w:r>
          </w:p>
        </w:tc>
        <w:tc>
          <w:tcPr>
            <w:tcW w:w="3402" w:type="dxa"/>
            <w:shd w:val="clear" w:color="auto" w:fill="FFFFFF"/>
            <w:tcMar>
              <w:top w:w="70" w:type="dxa"/>
              <w:left w:w="70" w:type="dxa"/>
              <w:bottom w:w="70" w:type="dxa"/>
              <w:right w:w="70" w:type="dxa"/>
            </w:tcMar>
            <w:vAlign w:val="center"/>
          </w:tcPr>
          <w:p w14:paraId="7D585FD8"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أقصى |الالتواء| = 0.349، وأقصى |التفلطح| = 0.494</w:t>
            </w:r>
          </w:p>
        </w:tc>
        <w:tc>
          <w:tcPr>
            <w:tcW w:w="2835" w:type="dxa"/>
            <w:shd w:val="clear" w:color="auto" w:fill="FFFFFF"/>
            <w:tcMar>
              <w:top w:w="70" w:type="dxa"/>
              <w:left w:w="70" w:type="dxa"/>
              <w:bottom w:w="70" w:type="dxa"/>
              <w:right w:w="70" w:type="dxa"/>
            </w:tcMar>
            <w:vAlign w:val="center"/>
          </w:tcPr>
          <w:p w14:paraId="4261EF88"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ضمن الحدود المقبولة ±2.</w:t>
            </w:r>
          </w:p>
        </w:tc>
      </w:tr>
      <w:tr w:rsidR="00986803" w:rsidRPr="00AE1FD7" w14:paraId="14828AEF" w14:textId="77777777" w:rsidTr="00407C4C">
        <w:trPr>
          <w:jc w:val="center"/>
        </w:trPr>
        <w:tc>
          <w:tcPr>
            <w:tcW w:w="2268" w:type="dxa"/>
            <w:shd w:val="clear" w:color="auto" w:fill="F2F4F6"/>
            <w:tcMar>
              <w:top w:w="70" w:type="dxa"/>
              <w:left w:w="70" w:type="dxa"/>
              <w:bottom w:w="70" w:type="dxa"/>
              <w:right w:w="70" w:type="dxa"/>
            </w:tcMar>
            <w:vAlign w:val="center"/>
          </w:tcPr>
          <w:p w14:paraId="24813EB2"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التداخل الخطي</w:t>
            </w:r>
          </w:p>
        </w:tc>
        <w:tc>
          <w:tcPr>
            <w:tcW w:w="3402" w:type="dxa"/>
            <w:shd w:val="clear" w:color="auto" w:fill="F2F4F6"/>
            <w:tcMar>
              <w:top w:w="70" w:type="dxa"/>
              <w:left w:w="70" w:type="dxa"/>
              <w:bottom w:w="70" w:type="dxa"/>
              <w:right w:w="70" w:type="dxa"/>
            </w:tcMar>
            <w:vAlign w:val="center"/>
          </w:tcPr>
          <w:p w14:paraId="0D4EF97A"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أقصى VIF = 1.929، وأدنى </w:t>
            </w:r>
            <w:proofErr w:type="spellStart"/>
            <w:r w:rsidRPr="00AE1FD7">
              <w:rPr>
                <w:rFonts w:ascii="Sakkal Majalla" w:hAnsi="Sakkal Majalla" w:cs="Sakkal Majalla"/>
                <w:color w:val="000000"/>
                <w:sz w:val="36"/>
                <w:szCs w:val="36"/>
                <w:rtl/>
                <w:lang w:val="ar-SA"/>
              </w:rPr>
              <w:t>Tolerance</w:t>
            </w:r>
            <w:proofErr w:type="spellEnd"/>
            <w:r w:rsidRPr="00AE1FD7">
              <w:rPr>
                <w:rFonts w:ascii="Sakkal Majalla" w:hAnsi="Sakkal Majalla" w:cs="Sakkal Majalla"/>
                <w:color w:val="000000"/>
                <w:sz w:val="36"/>
                <w:szCs w:val="36"/>
                <w:rtl/>
                <w:lang w:val="ar-SA"/>
              </w:rPr>
              <w:t xml:space="preserve"> = 0.518</w:t>
            </w:r>
          </w:p>
        </w:tc>
        <w:tc>
          <w:tcPr>
            <w:tcW w:w="2835" w:type="dxa"/>
            <w:shd w:val="clear" w:color="auto" w:fill="F2F4F6"/>
            <w:tcMar>
              <w:top w:w="70" w:type="dxa"/>
              <w:left w:w="70" w:type="dxa"/>
              <w:bottom w:w="70" w:type="dxa"/>
              <w:right w:w="70" w:type="dxa"/>
            </w:tcMar>
            <w:vAlign w:val="center"/>
          </w:tcPr>
          <w:p w14:paraId="29C56363"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لا توجد مشكلة تداخل خطي.</w:t>
            </w:r>
          </w:p>
        </w:tc>
      </w:tr>
      <w:tr w:rsidR="00986803" w:rsidRPr="00AE1FD7" w14:paraId="5F25497B" w14:textId="77777777" w:rsidTr="00407C4C">
        <w:trPr>
          <w:jc w:val="center"/>
        </w:trPr>
        <w:tc>
          <w:tcPr>
            <w:tcW w:w="2268" w:type="dxa"/>
            <w:shd w:val="clear" w:color="auto" w:fill="FFFFFF"/>
            <w:tcMar>
              <w:top w:w="70" w:type="dxa"/>
              <w:left w:w="70" w:type="dxa"/>
              <w:bottom w:w="70" w:type="dxa"/>
              <w:right w:w="70" w:type="dxa"/>
            </w:tcMar>
            <w:vAlign w:val="center"/>
          </w:tcPr>
          <w:p w14:paraId="6F18AE9D"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استقلال الأخطاء</w:t>
            </w:r>
          </w:p>
        </w:tc>
        <w:tc>
          <w:tcPr>
            <w:tcW w:w="3402" w:type="dxa"/>
            <w:shd w:val="clear" w:color="auto" w:fill="FFFFFF"/>
            <w:tcMar>
              <w:top w:w="70" w:type="dxa"/>
              <w:left w:w="70" w:type="dxa"/>
              <w:bottom w:w="70" w:type="dxa"/>
              <w:right w:w="70" w:type="dxa"/>
            </w:tcMar>
            <w:vAlign w:val="center"/>
          </w:tcPr>
          <w:p w14:paraId="20EFBB4B"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Durbin-Watson = 1.830</w:t>
            </w:r>
          </w:p>
        </w:tc>
        <w:tc>
          <w:tcPr>
            <w:tcW w:w="2835" w:type="dxa"/>
            <w:shd w:val="clear" w:color="auto" w:fill="FFFFFF"/>
            <w:tcMar>
              <w:top w:w="70" w:type="dxa"/>
              <w:left w:w="70" w:type="dxa"/>
              <w:bottom w:w="70" w:type="dxa"/>
              <w:right w:w="70" w:type="dxa"/>
            </w:tcMar>
            <w:vAlign w:val="center"/>
          </w:tcPr>
          <w:p w14:paraId="27F0E245"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قريب من 2.</w:t>
            </w:r>
          </w:p>
        </w:tc>
      </w:tr>
      <w:tr w:rsidR="00986803" w:rsidRPr="00AE1FD7" w14:paraId="61F9D217" w14:textId="77777777" w:rsidTr="00407C4C">
        <w:trPr>
          <w:jc w:val="center"/>
        </w:trPr>
        <w:tc>
          <w:tcPr>
            <w:tcW w:w="2268" w:type="dxa"/>
            <w:shd w:val="clear" w:color="auto" w:fill="F2F4F6"/>
            <w:tcMar>
              <w:top w:w="70" w:type="dxa"/>
              <w:left w:w="70" w:type="dxa"/>
              <w:bottom w:w="70" w:type="dxa"/>
              <w:right w:w="70" w:type="dxa"/>
            </w:tcMar>
            <w:vAlign w:val="center"/>
          </w:tcPr>
          <w:p w14:paraId="3480DA69"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تحيز الطريقة المشتركة</w:t>
            </w:r>
          </w:p>
        </w:tc>
        <w:tc>
          <w:tcPr>
            <w:tcW w:w="3402" w:type="dxa"/>
            <w:shd w:val="clear" w:color="auto" w:fill="F2F4F6"/>
            <w:tcMar>
              <w:top w:w="70" w:type="dxa"/>
              <w:left w:w="70" w:type="dxa"/>
              <w:bottom w:w="70" w:type="dxa"/>
              <w:right w:w="70" w:type="dxa"/>
            </w:tcMar>
            <w:vAlign w:val="center"/>
          </w:tcPr>
          <w:p w14:paraId="4E47C91B"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العامل الأول = 38.74%</w:t>
            </w:r>
          </w:p>
        </w:tc>
        <w:tc>
          <w:tcPr>
            <w:tcW w:w="2835" w:type="dxa"/>
            <w:shd w:val="clear" w:color="auto" w:fill="F2F4F6"/>
            <w:tcMar>
              <w:top w:w="70" w:type="dxa"/>
              <w:left w:w="70" w:type="dxa"/>
              <w:bottom w:w="70" w:type="dxa"/>
              <w:right w:w="70" w:type="dxa"/>
            </w:tcMar>
            <w:vAlign w:val="center"/>
          </w:tcPr>
          <w:p w14:paraId="32FAFE48"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أقل من 50%.</w:t>
            </w:r>
          </w:p>
        </w:tc>
      </w:tr>
      <w:tr w:rsidR="00986803" w:rsidRPr="00AE1FD7" w14:paraId="0F759240" w14:textId="77777777" w:rsidTr="00407C4C">
        <w:trPr>
          <w:jc w:val="center"/>
        </w:trPr>
        <w:tc>
          <w:tcPr>
            <w:tcW w:w="2268" w:type="dxa"/>
            <w:shd w:val="clear" w:color="auto" w:fill="FFFFFF"/>
            <w:tcMar>
              <w:top w:w="70" w:type="dxa"/>
              <w:left w:w="70" w:type="dxa"/>
              <w:bottom w:w="70" w:type="dxa"/>
              <w:right w:w="70" w:type="dxa"/>
            </w:tcMar>
            <w:vAlign w:val="center"/>
          </w:tcPr>
          <w:p w14:paraId="47FDB690"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حجم العينة</w:t>
            </w:r>
          </w:p>
        </w:tc>
        <w:tc>
          <w:tcPr>
            <w:tcW w:w="3402" w:type="dxa"/>
            <w:shd w:val="clear" w:color="auto" w:fill="FFFFFF"/>
            <w:tcMar>
              <w:top w:w="70" w:type="dxa"/>
              <w:left w:w="70" w:type="dxa"/>
              <w:bottom w:w="70" w:type="dxa"/>
              <w:right w:w="70" w:type="dxa"/>
            </w:tcMar>
            <w:vAlign w:val="center"/>
          </w:tcPr>
          <w:p w14:paraId="6B5195F7"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N = 318</w:t>
            </w:r>
          </w:p>
        </w:tc>
        <w:tc>
          <w:tcPr>
            <w:tcW w:w="2835" w:type="dxa"/>
            <w:shd w:val="clear" w:color="auto" w:fill="FFFFFF"/>
            <w:tcMar>
              <w:top w:w="70" w:type="dxa"/>
              <w:left w:w="70" w:type="dxa"/>
              <w:bottom w:w="70" w:type="dxa"/>
              <w:right w:w="70" w:type="dxa"/>
            </w:tcMar>
            <w:vAlign w:val="center"/>
          </w:tcPr>
          <w:p w14:paraId="33F314E6"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ملائم للانحدار المتعدد بخمسة متنبئات.</w:t>
            </w:r>
          </w:p>
        </w:tc>
      </w:tr>
    </w:tbl>
    <w:p w14:paraId="2C785ACC"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20400AC5" w14:textId="77777777" w:rsidR="00407C4C" w:rsidRPr="00AE1FD7" w:rsidRDefault="00407C4C" w:rsidP="00407C4C">
      <w:pPr>
        <w:bidi/>
        <w:spacing w:after="0" w:line="240" w:lineRule="auto"/>
        <w:ind w:firstLine="0"/>
        <w:rPr>
          <w:rFonts w:ascii="Sakkal Majalla" w:hAnsi="Sakkal Majalla" w:cs="Sakkal Majalla"/>
          <w:sz w:val="36"/>
          <w:szCs w:val="36"/>
        </w:rPr>
      </w:pPr>
    </w:p>
    <w:p w14:paraId="53E9E60E"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15" w:name="_Toc235205653"/>
      <w:r w:rsidRPr="00AE1FD7">
        <w:rPr>
          <w:rFonts w:ascii="Sakkal Majalla" w:eastAsia="Noto Kufi Arabic" w:hAnsi="Sakkal Majalla" w:cs="Sakkal Majalla"/>
          <w:sz w:val="36"/>
          <w:szCs w:val="36"/>
          <w:rtl/>
          <w:lang w:val="ar-SA"/>
        </w:rPr>
        <w:t>4.9 اختبار الفرضية الرئيسة</w:t>
      </w:r>
      <w:r w:rsidR="00407C4C">
        <w:rPr>
          <w:rFonts w:ascii="Sakkal Majalla" w:eastAsia="Noto Kufi Arabic" w:hAnsi="Sakkal Majalla" w:cs="Sakkal Majalla" w:hint="cs"/>
          <w:sz w:val="36"/>
          <w:szCs w:val="36"/>
          <w:rtl/>
          <w:lang w:val="ar-SA"/>
        </w:rPr>
        <w:t>:</w:t>
      </w:r>
      <w:bookmarkEnd w:id="115"/>
      <w:r w:rsidR="00407C4C">
        <w:rPr>
          <w:rFonts w:ascii="Sakkal Majalla" w:eastAsia="Noto Kufi Arabic" w:hAnsi="Sakkal Majalla" w:cs="Sakkal Majalla" w:hint="cs"/>
          <w:sz w:val="36"/>
          <w:szCs w:val="36"/>
          <w:rtl/>
          <w:lang w:val="ar-SA"/>
        </w:rPr>
        <w:t xml:space="preserve"> </w:t>
      </w:r>
    </w:p>
    <w:p w14:paraId="4F2B93A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أظهر الانحدار البسيط أن حوكمة إدارة الممتلكات العامة تفسر 65.1% من التباين في كفاءة الإنفاق العقاري، وبلغت قيمة F مقدار 588.50 بدلالة أقل من 0.001. وبلغ معامل بيتا المعياري 0.807، بما يعني أن ارتفاع الحوكمة بوحدة معيارية يرتبط بارتفاع الكفاءة بنحو 0.807 وحدة معيارية.</w:t>
      </w:r>
    </w:p>
    <w:p w14:paraId="55CC7570" w14:textId="77777777" w:rsidR="00986803" w:rsidRPr="00407C4C" w:rsidRDefault="00DB29B7" w:rsidP="00407C4C">
      <w:pPr>
        <w:keepNext/>
        <w:bidi/>
        <w:spacing w:after="0" w:line="240" w:lineRule="auto"/>
        <w:ind w:firstLine="0"/>
        <w:jc w:val="center"/>
        <w:rPr>
          <w:rFonts w:ascii="Sakkal Majalla" w:hAnsi="Sakkal Majalla" w:cs="Sakkal Majalla"/>
          <w:bCs/>
          <w:sz w:val="36"/>
          <w:szCs w:val="36"/>
        </w:rPr>
      </w:pPr>
      <w:bookmarkStart w:id="116" w:name="table_simple_regression"/>
      <w:r w:rsidRPr="00407C4C">
        <w:rPr>
          <w:rFonts w:ascii="Sakkal Majalla" w:eastAsia="Noto Kufi Arabic" w:hAnsi="Sakkal Majalla" w:cs="Sakkal Majalla"/>
          <w:bCs/>
          <w:color w:val="17365D"/>
          <w:sz w:val="36"/>
          <w:szCs w:val="36"/>
          <w:rtl/>
          <w:lang w:val="ar-SA"/>
        </w:rPr>
        <w:t>جدول (26): نتائج الانحدار البسيط لاختبار الفرضية الرئيسة</w:t>
      </w:r>
      <w:bookmarkEnd w:id="116"/>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252"/>
        <w:gridCol w:w="4253"/>
      </w:tblGrid>
      <w:tr w:rsidR="00986803" w:rsidRPr="00AE1FD7" w14:paraId="08EA3D70" w14:textId="77777777" w:rsidTr="00407C4C">
        <w:trPr>
          <w:cantSplit/>
          <w:tblHeader/>
          <w:jc w:val="center"/>
        </w:trPr>
        <w:tc>
          <w:tcPr>
            <w:tcW w:w="4252" w:type="dxa"/>
            <w:shd w:val="clear" w:color="auto" w:fill="17365D"/>
            <w:tcMar>
              <w:top w:w="90" w:type="dxa"/>
              <w:left w:w="80" w:type="dxa"/>
              <w:bottom w:w="90" w:type="dxa"/>
              <w:right w:w="80" w:type="dxa"/>
            </w:tcMar>
            <w:vAlign w:val="center"/>
          </w:tcPr>
          <w:p w14:paraId="1FC228A0"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المؤشر</w:t>
            </w:r>
          </w:p>
        </w:tc>
        <w:tc>
          <w:tcPr>
            <w:tcW w:w="4252" w:type="dxa"/>
            <w:shd w:val="clear" w:color="auto" w:fill="17365D"/>
            <w:tcMar>
              <w:top w:w="90" w:type="dxa"/>
              <w:left w:w="80" w:type="dxa"/>
              <w:bottom w:w="90" w:type="dxa"/>
              <w:right w:w="80" w:type="dxa"/>
            </w:tcMar>
            <w:vAlign w:val="center"/>
          </w:tcPr>
          <w:p w14:paraId="769D3AEB"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القيمة</w:t>
            </w:r>
          </w:p>
        </w:tc>
      </w:tr>
      <w:tr w:rsidR="00986803" w:rsidRPr="00AE1FD7" w14:paraId="6C602C83" w14:textId="77777777" w:rsidTr="00407C4C">
        <w:trPr>
          <w:jc w:val="center"/>
        </w:trPr>
        <w:tc>
          <w:tcPr>
            <w:tcW w:w="4252" w:type="dxa"/>
            <w:shd w:val="clear" w:color="auto" w:fill="FFFFFF"/>
            <w:tcMar>
              <w:top w:w="70" w:type="dxa"/>
              <w:left w:w="70" w:type="dxa"/>
              <w:bottom w:w="70" w:type="dxa"/>
              <w:right w:w="70" w:type="dxa"/>
            </w:tcMar>
            <w:vAlign w:val="center"/>
          </w:tcPr>
          <w:p w14:paraId="1D43B31A"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معامل الارتباط R</w:t>
            </w:r>
          </w:p>
        </w:tc>
        <w:tc>
          <w:tcPr>
            <w:tcW w:w="4252" w:type="dxa"/>
            <w:shd w:val="clear" w:color="auto" w:fill="FFFFFF"/>
            <w:tcMar>
              <w:top w:w="70" w:type="dxa"/>
              <w:left w:w="70" w:type="dxa"/>
              <w:bottom w:w="70" w:type="dxa"/>
              <w:right w:w="70" w:type="dxa"/>
            </w:tcMar>
            <w:vAlign w:val="center"/>
          </w:tcPr>
          <w:p w14:paraId="493AB5E0"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0.807</w:t>
            </w:r>
          </w:p>
        </w:tc>
      </w:tr>
      <w:tr w:rsidR="00986803" w:rsidRPr="00AE1FD7" w14:paraId="2925113A" w14:textId="77777777" w:rsidTr="00407C4C">
        <w:trPr>
          <w:jc w:val="center"/>
        </w:trPr>
        <w:tc>
          <w:tcPr>
            <w:tcW w:w="4252" w:type="dxa"/>
            <w:shd w:val="clear" w:color="auto" w:fill="F2F4F6"/>
            <w:tcMar>
              <w:top w:w="70" w:type="dxa"/>
              <w:left w:w="70" w:type="dxa"/>
              <w:bottom w:w="70" w:type="dxa"/>
              <w:right w:w="70" w:type="dxa"/>
            </w:tcMar>
            <w:vAlign w:val="center"/>
          </w:tcPr>
          <w:p w14:paraId="40988B23"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معامل التحديد R²</w:t>
            </w:r>
          </w:p>
        </w:tc>
        <w:tc>
          <w:tcPr>
            <w:tcW w:w="4252" w:type="dxa"/>
            <w:shd w:val="clear" w:color="auto" w:fill="F2F4F6"/>
            <w:tcMar>
              <w:top w:w="70" w:type="dxa"/>
              <w:left w:w="70" w:type="dxa"/>
              <w:bottom w:w="70" w:type="dxa"/>
              <w:right w:w="70" w:type="dxa"/>
            </w:tcMar>
            <w:vAlign w:val="center"/>
          </w:tcPr>
          <w:p w14:paraId="371E86C5"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0.651</w:t>
            </w:r>
          </w:p>
        </w:tc>
      </w:tr>
      <w:tr w:rsidR="00986803" w:rsidRPr="00AE1FD7" w14:paraId="2B4BB8F9" w14:textId="77777777" w:rsidTr="00407C4C">
        <w:trPr>
          <w:jc w:val="center"/>
        </w:trPr>
        <w:tc>
          <w:tcPr>
            <w:tcW w:w="4252" w:type="dxa"/>
            <w:shd w:val="clear" w:color="auto" w:fill="FFFFFF"/>
            <w:tcMar>
              <w:top w:w="70" w:type="dxa"/>
              <w:left w:w="70" w:type="dxa"/>
              <w:bottom w:w="70" w:type="dxa"/>
              <w:right w:w="70" w:type="dxa"/>
            </w:tcMar>
            <w:vAlign w:val="center"/>
          </w:tcPr>
          <w:p w14:paraId="0E12B9DC"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R² المعدل</w:t>
            </w:r>
          </w:p>
        </w:tc>
        <w:tc>
          <w:tcPr>
            <w:tcW w:w="4252" w:type="dxa"/>
            <w:shd w:val="clear" w:color="auto" w:fill="FFFFFF"/>
            <w:tcMar>
              <w:top w:w="70" w:type="dxa"/>
              <w:left w:w="70" w:type="dxa"/>
              <w:bottom w:w="70" w:type="dxa"/>
              <w:right w:w="70" w:type="dxa"/>
            </w:tcMar>
            <w:vAlign w:val="center"/>
          </w:tcPr>
          <w:p w14:paraId="7F70F3F3"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0.650</w:t>
            </w:r>
          </w:p>
        </w:tc>
      </w:tr>
      <w:tr w:rsidR="00986803" w:rsidRPr="00AE1FD7" w14:paraId="15C6892C" w14:textId="77777777" w:rsidTr="00407C4C">
        <w:trPr>
          <w:jc w:val="center"/>
        </w:trPr>
        <w:tc>
          <w:tcPr>
            <w:tcW w:w="4252" w:type="dxa"/>
            <w:shd w:val="clear" w:color="auto" w:fill="F2F4F6"/>
            <w:tcMar>
              <w:top w:w="70" w:type="dxa"/>
              <w:left w:w="70" w:type="dxa"/>
              <w:bottom w:w="70" w:type="dxa"/>
              <w:right w:w="70" w:type="dxa"/>
            </w:tcMar>
            <w:vAlign w:val="center"/>
          </w:tcPr>
          <w:p w14:paraId="13040080"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F</w:t>
            </w:r>
          </w:p>
        </w:tc>
        <w:tc>
          <w:tcPr>
            <w:tcW w:w="4252" w:type="dxa"/>
            <w:shd w:val="clear" w:color="auto" w:fill="F2F4F6"/>
            <w:tcMar>
              <w:top w:w="70" w:type="dxa"/>
              <w:left w:w="70" w:type="dxa"/>
              <w:bottom w:w="70" w:type="dxa"/>
              <w:right w:w="70" w:type="dxa"/>
            </w:tcMar>
            <w:vAlign w:val="center"/>
          </w:tcPr>
          <w:p w14:paraId="1B93F263"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588.50</w:t>
            </w:r>
          </w:p>
        </w:tc>
      </w:tr>
      <w:tr w:rsidR="00986803" w:rsidRPr="00AE1FD7" w14:paraId="7BD39FAE" w14:textId="77777777" w:rsidTr="00407C4C">
        <w:trPr>
          <w:jc w:val="center"/>
        </w:trPr>
        <w:tc>
          <w:tcPr>
            <w:tcW w:w="4252" w:type="dxa"/>
            <w:shd w:val="clear" w:color="auto" w:fill="FFFFFF"/>
            <w:tcMar>
              <w:top w:w="70" w:type="dxa"/>
              <w:left w:w="70" w:type="dxa"/>
              <w:bottom w:w="70" w:type="dxa"/>
              <w:right w:w="70" w:type="dxa"/>
            </w:tcMar>
            <w:vAlign w:val="center"/>
          </w:tcPr>
          <w:p w14:paraId="7C892237"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مستوى الدلالة</w:t>
            </w:r>
          </w:p>
        </w:tc>
        <w:tc>
          <w:tcPr>
            <w:tcW w:w="4252" w:type="dxa"/>
            <w:shd w:val="clear" w:color="auto" w:fill="FFFFFF"/>
            <w:tcMar>
              <w:top w:w="70" w:type="dxa"/>
              <w:left w:w="70" w:type="dxa"/>
              <w:bottom w:w="70" w:type="dxa"/>
              <w:right w:w="70" w:type="dxa"/>
            </w:tcMar>
            <w:vAlign w:val="center"/>
          </w:tcPr>
          <w:p w14:paraId="33F291E4"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&lt; 0.001</w:t>
            </w:r>
          </w:p>
        </w:tc>
      </w:tr>
      <w:tr w:rsidR="00986803" w:rsidRPr="00AE1FD7" w14:paraId="0088DB06" w14:textId="77777777" w:rsidTr="00407C4C">
        <w:trPr>
          <w:jc w:val="center"/>
        </w:trPr>
        <w:tc>
          <w:tcPr>
            <w:tcW w:w="4252" w:type="dxa"/>
            <w:shd w:val="clear" w:color="auto" w:fill="F2F4F6"/>
            <w:tcMar>
              <w:top w:w="70" w:type="dxa"/>
              <w:left w:w="70" w:type="dxa"/>
              <w:bottom w:w="70" w:type="dxa"/>
              <w:right w:w="70" w:type="dxa"/>
            </w:tcMar>
            <w:vAlign w:val="center"/>
          </w:tcPr>
          <w:p w14:paraId="00A1DDD6"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B غير المعياري</w:t>
            </w:r>
          </w:p>
        </w:tc>
        <w:tc>
          <w:tcPr>
            <w:tcW w:w="4252" w:type="dxa"/>
            <w:shd w:val="clear" w:color="auto" w:fill="F2F4F6"/>
            <w:tcMar>
              <w:top w:w="70" w:type="dxa"/>
              <w:left w:w="70" w:type="dxa"/>
              <w:bottom w:w="70" w:type="dxa"/>
              <w:right w:w="70" w:type="dxa"/>
            </w:tcMar>
            <w:vAlign w:val="center"/>
          </w:tcPr>
          <w:p w14:paraId="5CC80586"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1.092</w:t>
            </w:r>
          </w:p>
        </w:tc>
      </w:tr>
      <w:tr w:rsidR="00986803" w:rsidRPr="00AE1FD7" w14:paraId="67943062" w14:textId="77777777" w:rsidTr="00407C4C">
        <w:trPr>
          <w:jc w:val="center"/>
        </w:trPr>
        <w:tc>
          <w:tcPr>
            <w:tcW w:w="4252" w:type="dxa"/>
            <w:shd w:val="clear" w:color="auto" w:fill="FFFFFF"/>
            <w:tcMar>
              <w:top w:w="70" w:type="dxa"/>
              <w:left w:w="70" w:type="dxa"/>
              <w:bottom w:w="70" w:type="dxa"/>
              <w:right w:w="70" w:type="dxa"/>
            </w:tcMar>
            <w:vAlign w:val="center"/>
          </w:tcPr>
          <w:p w14:paraId="1D471EFE" w14:textId="77777777" w:rsidR="00986803" w:rsidRPr="00AE1FD7" w:rsidRDefault="00DB29B7" w:rsidP="00407C4C">
            <w:pPr>
              <w:bidi/>
              <w:spacing w:after="0" w:line="240" w:lineRule="auto"/>
              <w:ind w:firstLine="0"/>
              <w:jc w:val="center"/>
              <w:rPr>
                <w:rFonts w:ascii="Sakkal Majalla" w:hAnsi="Sakkal Majalla" w:cs="Sakkal Majalla"/>
                <w:sz w:val="36"/>
                <w:szCs w:val="36"/>
              </w:rPr>
            </w:pPr>
            <w:proofErr w:type="spellStart"/>
            <w:r w:rsidRPr="00AE1FD7">
              <w:rPr>
                <w:rFonts w:ascii="Sakkal Majalla" w:hAnsi="Sakkal Majalla" w:cs="Sakkal Majalla"/>
                <w:color w:val="000000"/>
                <w:sz w:val="36"/>
                <w:szCs w:val="36"/>
                <w:rtl/>
                <w:lang w:val="ar-SA"/>
              </w:rPr>
              <w:t>Beta</w:t>
            </w:r>
            <w:proofErr w:type="spellEnd"/>
            <w:r w:rsidRPr="00AE1FD7">
              <w:rPr>
                <w:rFonts w:ascii="Sakkal Majalla" w:hAnsi="Sakkal Majalla" w:cs="Sakkal Majalla"/>
                <w:color w:val="000000"/>
                <w:sz w:val="36"/>
                <w:szCs w:val="36"/>
                <w:rtl/>
                <w:lang w:val="ar-SA"/>
              </w:rPr>
              <w:t xml:space="preserve"> المعياري</w:t>
            </w:r>
          </w:p>
        </w:tc>
        <w:tc>
          <w:tcPr>
            <w:tcW w:w="4252" w:type="dxa"/>
            <w:shd w:val="clear" w:color="auto" w:fill="FFFFFF"/>
            <w:tcMar>
              <w:top w:w="70" w:type="dxa"/>
              <w:left w:w="70" w:type="dxa"/>
              <w:bottom w:w="70" w:type="dxa"/>
              <w:right w:w="70" w:type="dxa"/>
            </w:tcMar>
            <w:vAlign w:val="center"/>
          </w:tcPr>
          <w:p w14:paraId="4C7CB763"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0.807</w:t>
            </w:r>
          </w:p>
        </w:tc>
      </w:tr>
      <w:tr w:rsidR="00986803" w:rsidRPr="00AE1FD7" w14:paraId="0BDF23CA" w14:textId="77777777" w:rsidTr="00407C4C">
        <w:trPr>
          <w:jc w:val="center"/>
        </w:trPr>
        <w:tc>
          <w:tcPr>
            <w:tcW w:w="4252" w:type="dxa"/>
            <w:shd w:val="clear" w:color="auto" w:fill="F2F4F6"/>
            <w:tcMar>
              <w:top w:w="70" w:type="dxa"/>
              <w:left w:w="70" w:type="dxa"/>
              <w:bottom w:w="70" w:type="dxa"/>
              <w:right w:w="70" w:type="dxa"/>
            </w:tcMar>
            <w:vAlign w:val="center"/>
          </w:tcPr>
          <w:p w14:paraId="3B1118D6"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w:t>
            </w:r>
          </w:p>
        </w:tc>
        <w:tc>
          <w:tcPr>
            <w:tcW w:w="4252" w:type="dxa"/>
            <w:shd w:val="clear" w:color="auto" w:fill="F2F4F6"/>
            <w:tcMar>
              <w:top w:w="70" w:type="dxa"/>
              <w:left w:w="70" w:type="dxa"/>
              <w:bottom w:w="70" w:type="dxa"/>
              <w:right w:w="70" w:type="dxa"/>
            </w:tcMar>
            <w:vAlign w:val="center"/>
          </w:tcPr>
          <w:p w14:paraId="19F29F8A"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24.26</w:t>
            </w:r>
          </w:p>
        </w:tc>
      </w:tr>
      <w:tr w:rsidR="00986803" w:rsidRPr="00AE1FD7" w14:paraId="3E6F606B" w14:textId="77777777" w:rsidTr="00407C4C">
        <w:trPr>
          <w:jc w:val="center"/>
        </w:trPr>
        <w:tc>
          <w:tcPr>
            <w:tcW w:w="4252" w:type="dxa"/>
            <w:shd w:val="clear" w:color="auto" w:fill="FFFFFF"/>
            <w:tcMar>
              <w:top w:w="70" w:type="dxa"/>
              <w:left w:w="70" w:type="dxa"/>
              <w:bottom w:w="70" w:type="dxa"/>
              <w:right w:w="70" w:type="dxa"/>
            </w:tcMar>
            <w:vAlign w:val="center"/>
          </w:tcPr>
          <w:p w14:paraId="0A6CA7C5"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القرار</w:t>
            </w:r>
          </w:p>
        </w:tc>
        <w:tc>
          <w:tcPr>
            <w:tcW w:w="4252" w:type="dxa"/>
            <w:shd w:val="clear" w:color="auto" w:fill="FFFFFF"/>
            <w:tcMar>
              <w:top w:w="70" w:type="dxa"/>
              <w:left w:w="70" w:type="dxa"/>
              <w:bottom w:w="70" w:type="dxa"/>
              <w:right w:w="70" w:type="dxa"/>
            </w:tcMar>
            <w:vAlign w:val="center"/>
          </w:tcPr>
          <w:p w14:paraId="056CEA91" w14:textId="77777777" w:rsidR="00986803" w:rsidRPr="00AE1FD7" w:rsidRDefault="00DB29B7" w:rsidP="00407C4C">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رفض H0 وقبول H1</w:t>
            </w:r>
          </w:p>
        </w:tc>
      </w:tr>
    </w:tbl>
    <w:p w14:paraId="51D2B4FF"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1B768975"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وبناءً عليه تُرفض الفرضية الصفرية الرئيسة وتُقبل الفرضية البديلة التي تنص على وجود أثر دال لحوكمة إدارة الممتلكات العامة في كفاءة الإنفاق الحكومي العقاري.</w:t>
      </w:r>
    </w:p>
    <w:p w14:paraId="2D8419C8" w14:textId="77777777" w:rsidR="00407C4C" w:rsidRPr="00AE1FD7" w:rsidRDefault="00407C4C" w:rsidP="00407C4C">
      <w:pPr>
        <w:bidi/>
        <w:spacing w:after="0" w:line="240" w:lineRule="auto"/>
        <w:rPr>
          <w:rFonts w:ascii="Sakkal Majalla" w:hAnsi="Sakkal Majalla" w:cs="Sakkal Majalla"/>
          <w:sz w:val="36"/>
          <w:szCs w:val="36"/>
        </w:rPr>
      </w:pPr>
    </w:p>
    <w:p w14:paraId="3FDDE40D"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17" w:name="_Toc235205654"/>
      <w:r w:rsidRPr="00AE1FD7">
        <w:rPr>
          <w:rFonts w:ascii="Sakkal Majalla" w:eastAsia="Noto Kufi Arabic" w:hAnsi="Sakkal Majalla" w:cs="Sakkal Majalla"/>
          <w:sz w:val="36"/>
          <w:szCs w:val="36"/>
          <w:rtl/>
          <w:lang w:val="ar-SA"/>
        </w:rPr>
        <w:t>4.10 اختبار الفرضيات الفرعية بالانحدار المتعدد</w:t>
      </w:r>
      <w:r w:rsidR="00407C4C">
        <w:rPr>
          <w:rFonts w:ascii="Sakkal Majalla" w:eastAsia="Noto Kufi Arabic" w:hAnsi="Sakkal Majalla" w:cs="Sakkal Majalla" w:hint="cs"/>
          <w:sz w:val="36"/>
          <w:szCs w:val="36"/>
          <w:rtl/>
          <w:lang w:val="ar-SA"/>
        </w:rPr>
        <w:t>:</w:t>
      </w:r>
      <w:bookmarkEnd w:id="117"/>
      <w:r w:rsidR="00407C4C">
        <w:rPr>
          <w:rFonts w:ascii="Sakkal Majalla" w:eastAsia="Noto Kufi Arabic" w:hAnsi="Sakkal Majalla" w:cs="Sakkal Majalla" w:hint="cs"/>
          <w:sz w:val="36"/>
          <w:szCs w:val="36"/>
          <w:rtl/>
          <w:lang w:val="ar-SA"/>
        </w:rPr>
        <w:t xml:space="preserve"> </w:t>
      </w:r>
    </w:p>
    <w:p w14:paraId="3E828AC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فسر النموذج المتعدد 66.0% من التباين، وبلغت قيمة F مقدار 121.34 بدلالة أقل من 0.001. وكانت جميع الأبعاد ذات أثر موجب ودال، مع اختلاف القوة. جاء التخطيط الاستراتيجي ودورة الحياة في المرتبة الأولى ببيتا 0.274، يليه تكامل البيانات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xml:space="preserve"> 0.270، ثم الشفافية 0.224، فالمساءلة 0.136، وإدارة المخاطر 0.131.</w:t>
      </w:r>
    </w:p>
    <w:p w14:paraId="31120B9F" w14:textId="77777777" w:rsidR="00986803" w:rsidRPr="00407C4C" w:rsidRDefault="00DB29B7" w:rsidP="00407C4C">
      <w:pPr>
        <w:keepNext/>
        <w:bidi/>
        <w:spacing w:after="0" w:line="240" w:lineRule="auto"/>
        <w:ind w:firstLine="0"/>
        <w:jc w:val="center"/>
        <w:rPr>
          <w:rFonts w:ascii="Sakkal Majalla" w:hAnsi="Sakkal Majalla" w:cs="Sakkal Majalla"/>
          <w:bCs/>
          <w:sz w:val="36"/>
          <w:szCs w:val="36"/>
        </w:rPr>
      </w:pPr>
      <w:bookmarkStart w:id="118" w:name="table_multiple_regression"/>
      <w:r w:rsidRPr="00407C4C">
        <w:rPr>
          <w:rFonts w:ascii="Sakkal Majalla" w:eastAsia="Noto Kufi Arabic" w:hAnsi="Sakkal Majalla" w:cs="Sakkal Majalla"/>
          <w:bCs/>
          <w:color w:val="17365D"/>
          <w:sz w:val="36"/>
          <w:szCs w:val="36"/>
          <w:rtl/>
          <w:lang w:val="ar-SA"/>
        </w:rPr>
        <w:t>جدول (27): نتائج الانحدار المتعدد لأبعاد الحوكمة</w:t>
      </w:r>
      <w:bookmarkEnd w:id="118"/>
    </w:p>
    <w:tbl>
      <w:tblPr>
        <w:bidiVisual/>
        <w:tblW w:w="969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837"/>
        <w:gridCol w:w="766"/>
        <w:gridCol w:w="1364"/>
        <w:gridCol w:w="1134"/>
        <w:gridCol w:w="992"/>
        <w:gridCol w:w="1134"/>
        <w:gridCol w:w="709"/>
        <w:gridCol w:w="756"/>
      </w:tblGrid>
      <w:tr w:rsidR="00986803" w:rsidRPr="00642214" w14:paraId="34C1A91D" w14:textId="77777777" w:rsidTr="00642214">
        <w:trPr>
          <w:cantSplit/>
          <w:tblHeader/>
          <w:jc w:val="center"/>
        </w:trPr>
        <w:tc>
          <w:tcPr>
            <w:tcW w:w="2837" w:type="dxa"/>
            <w:shd w:val="clear" w:color="auto" w:fill="17365D"/>
            <w:tcMar>
              <w:top w:w="90" w:type="dxa"/>
              <w:left w:w="80" w:type="dxa"/>
              <w:bottom w:w="90" w:type="dxa"/>
              <w:right w:w="80" w:type="dxa"/>
            </w:tcMar>
            <w:vAlign w:val="center"/>
          </w:tcPr>
          <w:p w14:paraId="1C548FC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البعد</w:t>
            </w:r>
          </w:p>
        </w:tc>
        <w:tc>
          <w:tcPr>
            <w:tcW w:w="766" w:type="dxa"/>
            <w:shd w:val="clear" w:color="auto" w:fill="17365D"/>
            <w:tcMar>
              <w:top w:w="90" w:type="dxa"/>
              <w:left w:w="80" w:type="dxa"/>
              <w:bottom w:w="90" w:type="dxa"/>
              <w:right w:w="80" w:type="dxa"/>
            </w:tcMar>
            <w:vAlign w:val="center"/>
          </w:tcPr>
          <w:p w14:paraId="731BB36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B</w:t>
            </w:r>
          </w:p>
        </w:tc>
        <w:tc>
          <w:tcPr>
            <w:tcW w:w="1364" w:type="dxa"/>
            <w:shd w:val="clear" w:color="auto" w:fill="17365D"/>
            <w:tcMar>
              <w:top w:w="90" w:type="dxa"/>
              <w:left w:w="80" w:type="dxa"/>
              <w:bottom w:w="90" w:type="dxa"/>
              <w:right w:w="80" w:type="dxa"/>
            </w:tcMar>
            <w:vAlign w:val="center"/>
          </w:tcPr>
          <w:p w14:paraId="08BE83E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SE</w:t>
            </w:r>
          </w:p>
        </w:tc>
        <w:tc>
          <w:tcPr>
            <w:tcW w:w="1134" w:type="dxa"/>
            <w:shd w:val="clear" w:color="auto" w:fill="17365D"/>
            <w:tcMar>
              <w:top w:w="90" w:type="dxa"/>
              <w:left w:w="80" w:type="dxa"/>
              <w:bottom w:w="90" w:type="dxa"/>
              <w:right w:w="80" w:type="dxa"/>
            </w:tcMar>
            <w:vAlign w:val="center"/>
          </w:tcPr>
          <w:p w14:paraId="0FD64C8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proofErr w:type="spellStart"/>
            <w:r w:rsidRPr="00642214">
              <w:rPr>
                <w:rFonts w:ascii="Sakkal Majalla" w:eastAsia="Noto Kufi Arabic" w:hAnsi="Sakkal Majalla" w:cs="Sakkal Majalla"/>
                <w:b/>
                <w:color w:val="FFFFFF"/>
                <w:sz w:val="30"/>
                <w:szCs w:val="30"/>
                <w:rtl/>
                <w:lang w:val="ar-SA"/>
              </w:rPr>
              <w:t>Beta</w:t>
            </w:r>
            <w:proofErr w:type="spellEnd"/>
          </w:p>
        </w:tc>
        <w:tc>
          <w:tcPr>
            <w:tcW w:w="992" w:type="dxa"/>
            <w:shd w:val="clear" w:color="auto" w:fill="17365D"/>
            <w:tcMar>
              <w:top w:w="90" w:type="dxa"/>
              <w:left w:w="80" w:type="dxa"/>
              <w:bottom w:w="90" w:type="dxa"/>
              <w:right w:w="80" w:type="dxa"/>
            </w:tcMar>
            <w:vAlign w:val="center"/>
          </w:tcPr>
          <w:p w14:paraId="2B43495D"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t</w:t>
            </w:r>
          </w:p>
        </w:tc>
        <w:tc>
          <w:tcPr>
            <w:tcW w:w="1134" w:type="dxa"/>
            <w:shd w:val="clear" w:color="auto" w:fill="17365D"/>
            <w:tcMar>
              <w:top w:w="90" w:type="dxa"/>
              <w:left w:w="80" w:type="dxa"/>
              <w:bottom w:w="90" w:type="dxa"/>
              <w:right w:w="80" w:type="dxa"/>
            </w:tcMar>
            <w:vAlign w:val="center"/>
          </w:tcPr>
          <w:p w14:paraId="4F62389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p</w:t>
            </w:r>
          </w:p>
        </w:tc>
        <w:tc>
          <w:tcPr>
            <w:tcW w:w="709" w:type="dxa"/>
            <w:shd w:val="clear" w:color="auto" w:fill="17365D"/>
            <w:tcMar>
              <w:top w:w="90" w:type="dxa"/>
              <w:left w:w="80" w:type="dxa"/>
              <w:bottom w:w="90" w:type="dxa"/>
              <w:right w:w="80" w:type="dxa"/>
            </w:tcMar>
            <w:vAlign w:val="center"/>
          </w:tcPr>
          <w:p w14:paraId="062207D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VIF</w:t>
            </w:r>
          </w:p>
        </w:tc>
        <w:tc>
          <w:tcPr>
            <w:tcW w:w="756" w:type="dxa"/>
            <w:shd w:val="clear" w:color="auto" w:fill="17365D"/>
            <w:tcMar>
              <w:top w:w="90" w:type="dxa"/>
              <w:left w:w="80" w:type="dxa"/>
              <w:bottom w:w="90" w:type="dxa"/>
              <w:right w:w="80" w:type="dxa"/>
            </w:tcMar>
            <w:vAlign w:val="center"/>
          </w:tcPr>
          <w:p w14:paraId="6292CCA4"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Noto Kufi Arabic" w:hAnsi="Sakkal Majalla" w:cs="Sakkal Majalla"/>
                <w:b/>
                <w:color w:val="FFFFFF"/>
                <w:sz w:val="30"/>
                <w:szCs w:val="30"/>
                <w:rtl/>
                <w:lang w:val="ar-SA"/>
              </w:rPr>
              <w:t>القرار</w:t>
            </w:r>
          </w:p>
        </w:tc>
      </w:tr>
      <w:tr w:rsidR="00986803" w:rsidRPr="00642214" w14:paraId="343CB655" w14:textId="77777777" w:rsidTr="00642214">
        <w:trPr>
          <w:jc w:val="center"/>
        </w:trPr>
        <w:tc>
          <w:tcPr>
            <w:tcW w:w="2837" w:type="dxa"/>
            <w:shd w:val="clear" w:color="auto" w:fill="FFFFFF"/>
            <w:tcMar>
              <w:top w:w="70" w:type="dxa"/>
              <w:left w:w="70" w:type="dxa"/>
              <w:bottom w:w="70" w:type="dxa"/>
              <w:right w:w="70" w:type="dxa"/>
            </w:tcMar>
            <w:vAlign w:val="center"/>
          </w:tcPr>
          <w:p w14:paraId="048188D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التخطيط الاستراتيجي وإدارة دورة حياة الأصل</w:t>
            </w:r>
          </w:p>
        </w:tc>
        <w:tc>
          <w:tcPr>
            <w:tcW w:w="766" w:type="dxa"/>
            <w:shd w:val="clear" w:color="auto" w:fill="FFFFFF"/>
            <w:tcMar>
              <w:top w:w="70" w:type="dxa"/>
              <w:left w:w="70" w:type="dxa"/>
              <w:bottom w:w="70" w:type="dxa"/>
              <w:right w:w="70" w:type="dxa"/>
            </w:tcMar>
            <w:vAlign w:val="center"/>
          </w:tcPr>
          <w:p w14:paraId="786B68A2"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0.291</w:t>
            </w:r>
          </w:p>
        </w:tc>
        <w:tc>
          <w:tcPr>
            <w:tcW w:w="1364" w:type="dxa"/>
            <w:shd w:val="clear" w:color="auto" w:fill="FFFFFF"/>
            <w:tcMar>
              <w:top w:w="70" w:type="dxa"/>
              <w:left w:w="70" w:type="dxa"/>
              <w:bottom w:w="70" w:type="dxa"/>
              <w:right w:w="70" w:type="dxa"/>
            </w:tcMar>
            <w:vAlign w:val="center"/>
          </w:tcPr>
          <w:p w14:paraId="4B9A0876"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0.048</w:t>
            </w:r>
          </w:p>
        </w:tc>
        <w:tc>
          <w:tcPr>
            <w:tcW w:w="1134" w:type="dxa"/>
            <w:shd w:val="clear" w:color="auto" w:fill="FFFFFF"/>
            <w:tcMar>
              <w:top w:w="70" w:type="dxa"/>
              <w:left w:w="70" w:type="dxa"/>
              <w:bottom w:w="70" w:type="dxa"/>
              <w:right w:w="70" w:type="dxa"/>
            </w:tcMar>
            <w:vAlign w:val="center"/>
          </w:tcPr>
          <w:p w14:paraId="6F436936"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0.274</w:t>
            </w:r>
          </w:p>
        </w:tc>
        <w:tc>
          <w:tcPr>
            <w:tcW w:w="992" w:type="dxa"/>
            <w:shd w:val="clear" w:color="auto" w:fill="FFFFFF"/>
            <w:tcMar>
              <w:top w:w="70" w:type="dxa"/>
              <w:left w:w="70" w:type="dxa"/>
              <w:bottom w:w="70" w:type="dxa"/>
              <w:right w:w="70" w:type="dxa"/>
            </w:tcMar>
            <w:vAlign w:val="center"/>
          </w:tcPr>
          <w:p w14:paraId="08282E5D"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6.11</w:t>
            </w:r>
          </w:p>
        </w:tc>
        <w:tc>
          <w:tcPr>
            <w:tcW w:w="1134" w:type="dxa"/>
            <w:shd w:val="clear" w:color="auto" w:fill="FFFFFF"/>
            <w:tcMar>
              <w:top w:w="70" w:type="dxa"/>
              <w:left w:w="70" w:type="dxa"/>
              <w:bottom w:w="70" w:type="dxa"/>
              <w:right w:w="70" w:type="dxa"/>
            </w:tcMar>
            <w:vAlign w:val="center"/>
          </w:tcPr>
          <w:p w14:paraId="08874F1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&lt; 0.001</w:t>
            </w:r>
          </w:p>
        </w:tc>
        <w:tc>
          <w:tcPr>
            <w:tcW w:w="709" w:type="dxa"/>
            <w:shd w:val="clear" w:color="auto" w:fill="FFFFFF"/>
            <w:tcMar>
              <w:top w:w="70" w:type="dxa"/>
              <w:left w:w="70" w:type="dxa"/>
              <w:bottom w:w="70" w:type="dxa"/>
              <w:right w:w="70" w:type="dxa"/>
            </w:tcMar>
            <w:vAlign w:val="center"/>
          </w:tcPr>
          <w:p w14:paraId="49F1429A"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1.84</w:t>
            </w:r>
          </w:p>
        </w:tc>
        <w:tc>
          <w:tcPr>
            <w:tcW w:w="756" w:type="dxa"/>
            <w:shd w:val="clear" w:color="auto" w:fill="FFFFFF"/>
            <w:tcMar>
              <w:top w:w="70" w:type="dxa"/>
              <w:left w:w="70" w:type="dxa"/>
              <w:bottom w:w="70" w:type="dxa"/>
              <w:right w:w="70" w:type="dxa"/>
            </w:tcMar>
            <w:vAlign w:val="center"/>
          </w:tcPr>
          <w:p w14:paraId="4794D859"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دال</w:t>
            </w:r>
          </w:p>
        </w:tc>
      </w:tr>
      <w:tr w:rsidR="00986803" w:rsidRPr="00642214" w14:paraId="53C08803" w14:textId="77777777" w:rsidTr="00642214">
        <w:trPr>
          <w:jc w:val="center"/>
        </w:trPr>
        <w:tc>
          <w:tcPr>
            <w:tcW w:w="2837" w:type="dxa"/>
            <w:shd w:val="clear" w:color="auto" w:fill="F2F4F6"/>
            <w:tcMar>
              <w:top w:w="70" w:type="dxa"/>
              <w:left w:w="70" w:type="dxa"/>
              <w:bottom w:w="70" w:type="dxa"/>
              <w:right w:w="70" w:type="dxa"/>
            </w:tcMar>
            <w:vAlign w:val="center"/>
          </w:tcPr>
          <w:p w14:paraId="182BB937"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 xml:space="preserve">تكامل البيانات </w:t>
            </w:r>
            <w:proofErr w:type="spellStart"/>
            <w:r w:rsidRPr="00642214">
              <w:rPr>
                <w:rFonts w:ascii="Sakkal Majalla" w:hAnsi="Sakkal Majalla" w:cs="Sakkal Majalla"/>
                <w:color w:val="000000"/>
                <w:sz w:val="30"/>
                <w:szCs w:val="30"/>
                <w:rtl/>
                <w:lang w:val="ar-SA"/>
              </w:rPr>
              <w:t>والرقمنة</w:t>
            </w:r>
            <w:proofErr w:type="spellEnd"/>
          </w:p>
        </w:tc>
        <w:tc>
          <w:tcPr>
            <w:tcW w:w="766" w:type="dxa"/>
            <w:shd w:val="clear" w:color="auto" w:fill="F2F4F6"/>
            <w:tcMar>
              <w:top w:w="70" w:type="dxa"/>
              <w:left w:w="70" w:type="dxa"/>
              <w:bottom w:w="70" w:type="dxa"/>
              <w:right w:w="70" w:type="dxa"/>
            </w:tcMar>
            <w:vAlign w:val="center"/>
          </w:tcPr>
          <w:p w14:paraId="606D40C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0.278</w:t>
            </w:r>
          </w:p>
        </w:tc>
        <w:tc>
          <w:tcPr>
            <w:tcW w:w="1364" w:type="dxa"/>
            <w:shd w:val="clear" w:color="auto" w:fill="F2F4F6"/>
            <w:tcMar>
              <w:top w:w="70" w:type="dxa"/>
              <w:left w:w="70" w:type="dxa"/>
              <w:bottom w:w="70" w:type="dxa"/>
              <w:right w:w="70" w:type="dxa"/>
            </w:tcMar>
            <w:vAlign w:val="center"/>
          </w:tcPr>
          <w:p w14:paraId="5A5A1AC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0.044</w:t>
            </w:r>
          </w:p>
        </w:tc>
        <w:tc>
          <w:tcPr>
            <w:tcW w:w="1134" w:type="dxa"/>
            <w:shd w:val="clear" w:color="auto" w:fill="F2F4F6"/>
            <w:tcMar>
              <w:top w:w="70" w:type="dxa"/>
              <w:left w:w="70" w:type="dxa"/>
              <w:bottom w:w="70" w:type="dxa"/>
              <w:right w:w="70" w:type="dxa"/>
            </w:tcMar>
            <w:vAlign w:val="center"/>
          </w:tcPr>
          <w:p w14:paraId="4DC24F5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0.270</w:t>
            </w:r>
          </w:p>
        </w:tc>
        <w:tc>
          <w:tcPr>
            <w:tcW w:w="992" w:type="dxa"/>
            <w:shd w:val="clear" w:color="auto" w:fill="F2F4F6"/>
            <w:tcMar>
              <w:top w:w="70" w:type="dxa"/>
              <w:left w:w="70" w:type="dxa"/>
              <w:bottom w:w="70" w:type="dxa"/>
              <w:right w:w="70" w:type="dxa"/>
            </w:tcMar>
            <w:vAlign w:val="center"/>
          </w:tcPr>
          <w:p w14:paraId="326B5B0F"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6.30</w:t>
            </w:r>
          </w:p>
        </w:tc>
        <w:tc>
          <w:tcPr>
            <w:tcW w:w="1134" w:type="dxa"/>
            <w:shd w:val="clear" w:color="auto" w:fill="F2F4F6"/>
            <w:tcMar>
              <w:top w:w="70" w:type="dxa"/>
              <w:left w:w="70" w:type="dxa"/>
              <w:bottom w:w="70" w:type="dxa"/>
              <w:right w:w="70" w:type="dxa"/>
            </w:tcMar>
            <w:vAlign w:val="center"/>
          </w:tcPr>
          <w:p w14:paraId="5B9111B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&lt; 0.001</w:t>
            </w:r>
          </w:p>
        </w:tc>
        <w:tc>
          <w:tcPr>
            <w:tcW w:w="709" w:type="dxa"/>
            <w:shd w:val="clear" w:color="auto" w:fill="F2F4F6"/>
            <w:tcMar>
              <w:top w:w="70" w:type="dxa"/>
              <w:left w:w="70" w:type="dxa"/>
              <w:bottom w:w="70" w:type="dxa"/>
              <w:right w:w="70" w:type="dxa"/>
            </w:tcMar>
            <w:vAlign w:val="center"/>
          </w:tcPr>
          <w:p w14:paraId="6762377B"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1.68</w:t>
            </w:r>
          </w:p>
        </w:tc>
        <w:tc>
          <w:tcPr>
            <w:tcW w:w="756" w:type="dxa"/>
            <w:shd w:val="clear" w:color="auto" w:fill="F2F4F6"/>
            <w:tcMar>
              <w:top w:w="70" w:type="dxa"/>
              <w:left w:w="70" w:type="dxa"/>
              <w:bottom w:w="70" w:type="dxa"/>
              <w:right w:w="70" w:type="dxa"/>
            </w:tcMar>
            <w:vAlign w:val="center"/>
          </w:tcPr>
          <w:p w14:paraId="3DF74FE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دال</w:t>
            </w:r>
          </w:p>
        </w:tc>
      </w:tr>
      <w:tr w:rsidR="00986803" w:rsidRPr="00642214" w14:paraId="21CE8CE3" w14:textId="77777777" w:rsidTr="00642214">
        <w:trPr>
          <w:jc w:val="center"/>
        </w:trPr>
        <w:tc>
          <w:tcPr>
            <w:tcW w:w="2837" w:type="dxa"/>
            <w:shd w:val="clear" w:color="auto" w:fill="FFFFFF"/>
            <w:tcMar>
              <w:top w:w="70" w:type="dxa"/>
              <w:left w:w="70" w:type="dxa"/>
              <w:bottom w:w="70" w:type="dxa"/>
              <w:right w:w="70" w:type="dxa"/>
            </w:tcMar>
            <w:vAlign w:val="center"/>
          </w:tcPr>
          <w:p w14:paraId="1C2EBF0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الشفافية والإفصاح</w:t>
            </w:r>
          </w:p>
        </w:tc>
        <w:tc>
          <w:tcPr>
            <w:tcW w:w="766" w:type="dxa"/>
            <w:shd w:val="clear" w:color="auto" w:fill="FFFFFF"/>
            <w:tcMar>
              <w:top w:w="70" w:type="dxa"/>
              <w:left w:w="70" w:type="dxa"/>
              <w:bottom w:w="70" w:type="dxa"/>
              <w:right w:w="70" w:type="dxa"/>
            </w:tcMar>
            <w:vAlign w:val="center"/>
          </w:tcPr>
          <w:p w14:paraId="4863EEA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0.234</w:t>
            </w:r>
          </w:p>
        </w:tc>
        <w:tc>
          <w:tcPr>
            <w:tcW w:w="1364" w:type="dxa"/>
            <w:shd w:val="clear" w:color="auto" w:fill="FFFFFF"/>
            <w:tcMar>
              <w:top w:w="70" w:type="dxa"/>
              <w:left w:w="70" w:type="dxa"/>
              <w:bottom w:w="70" w:type="dxa"/>
              <w:right w:w="70" w:type="dxa"/>
            </w:tcMar>
            <w:vAlign w:val="center"/>
          </w:tcPr>
          <w:p w14:paraId="3CC828FB"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0.045</w:t>
            </w:r>
          </w:p>
        </w:tc>
        <w:tc>
          <w:tcPr>
            <w:tcW w:w="1134" w:type="dxa"/>
            <w:shd w:val="clear" w:color="auto" w:fill="FFFFFF"/>
            <w:tcMar>
              <w:top w:w="70" w:type="dxa"/>
              <w:left w:w="70" w:type="dxa"/>
              <w:bottom w:w="70" w:type="dxa"/>
              <w:right w:w="70" w:type="dxa"/>
            </w:tcMar>
            <w:vAlign w:val="center"/>
          </w:tcPr>
          <w:p w14:paraId="65D8FF9F"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0.224</w:t>
            </w:r>
          </w:p>
        </w:tc>
        <w:tc>
          <w:tcPr>
            <w:tcW w:w="992" w:type="dxa"/>
            <w:shd w:val="clear" w:color="auto" w:fill="FFFFFF"/>
            <w:tcMar>
              <w:top w:w="70" w:type="dxa"/>
              <w:left w:w="70" w:type="dxa"/>
              <w:bottom w:w="70" w:type="dxa"/>
              <w:right w:w="70" w:type="dxa"/>
            </w:tcMar>
            <w:vAlign w:val="center"/>
          </w:tcPr>
          <w:p w14:paraId="50D359D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5.20</w:t>
            </w:r>
          </w:p>
        </w:tc>
        <w:tc>
          <w:tcPr>
            <w:tcW w:w="1134" w:type="dxa"/>
            <w:shd w:val="clear" w:color="auto" w:fill="FFFFFF"/>
            <w:tcMar>
              <w:top w:w="70" w:type="dxa"/>
              <w:left w:w="70" w:type="dxa"/>
              <w:bottom w:w="70" w:type="dxa"/>
              <w:right w:w="70" w:type="dxa"/>
            </w:tcMar>
            <w:vAlign w:val="center"/>
          </w:tcPr>
          <w:p w14:paraId="572985B5"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&lt; 0.001</w:t>
            </w:r>
          </w:p>
        </w:tc>
        <w:tc>
          <w:tcPr>
            <w:tcW w:w="709" w:type="dxa"/>
            <w:shd w:val="clear" w:color="auto" w:fill="FFFFFF"/>
            <w:tcMar>
              <w:top w:w="70" w:type="dxa"/>
              <w:left w:w="70" w:type="dxa"/>
              <w:bottom w:w="70" w:type="dxa"/>
              <w:right w:w="70" w:type="dxa"/>
            </w:tcMar>
            <w:vAlign w:val="center"/>
          </w:tcPr>
          <w:p w14:paraId="6EFB6856"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1.71</w:t>
            </w:r>
          </w:p>
        </w:tc>
        <w:tc>
          <w:tcPr>
            <w:tcW w:w="756" w:type="dxa"/>
            <w:shd w:val="clear" w:color="auto" w:fill="FFFFFF"/>
            <w:tcMar>
              <w:top w:w="70" w:type="dxa"/>
              <w:left w:w="70" w:type="dxa"/>
              <w:bottom w:w="70" w:type="dxa"/>
              <w:right w:w="70" w:type="dxa"/>
            </w:tcMar>
            <w:vAlign w:val="center"/>
          </w:tcPr>
          <w:p w14:paraId="3DDEA78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دال</w:t>
            </w:r>
          </w:p>
        </w:tc>
      </w:tr>
      <w:tr w:rsidR="00986803" w:rsidRPr="00642214" w14:paraId="176B2B3C" w14:textId="77777777" w:rsidTr="00642214">
        <w:trPr>
          <w:jc w:val="center"/>
        </w:trPr>
        <w:tc>
          <w:tcPr>
            <w:tcW w:w="2837" w:type="dxa"/>
            <w:shd w:val="clear" w:color="auto" w:fill="F2F4F6"/>
            <w:tcMar>
              <w:top w:w="70" w:type="dxa"/>
              <w:left w:w="70" w:type="dxa"/>
              <w:bottom w:w="70" w:type="dxa"/>
              <w:right w:w="70" w:type="dxa"/>
            </w:tcMar>
            <w:vAlign w:val="center"/>
          </w:tcPr>
          <w:p w14:paraId="0BFFB0F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المساءلة والرقابة الداخلية</w:t>
            </w:r>
          </w:p>
        </w:tc>
        <w:tc>
          <w:tcPr>
            <w:tcW w:w="766" w:type="dxa"/>
            <w:shd w:val="clear" w:color="auto" w:fill="F2F4F6"/>
            <w:tcMar>
              <w:top w:w="70" w:type="dxa"/>
              <w:left w:w="70" w:type="dxa"/>
              <w:bottom w:w="70" w:type="dxa"/>
              <w:right w:w="70" w:type="dxa"/>
            </w:tcMar>
            <w:vAlign w:val="center"/>
          </w:tcPr>
          <w:p w14:paraId="6B33C42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0.149</w:t>
            </w:r>
          </w:p>
        </w:tc>
        <w:tc>
          <w:tcPr>
            <w:tcW w:w="1364" w:type="dxa"/>
            <w:shd w:val="clear" w:color="auto" w:fill="F2F4F6"/>
            <w:tcMar>
              <w:top w:w="70" w:type="dxa"/>
              <w:left w:w="70" w:type="dxa"/>
              <w:bottom w:w="70" w:type="dxa"/>
              <w:right w:w="70" w:type="dxa"/>
            </w:tcMar>
            <w:vAlign w:val="center"/>
          </w:tcPr>
          <w:p w14:paraId="3BF9B5C9"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0.050</w:t>
            </w:r>
          </w:p>
        </w:tc>
        <w:tc>
          <w:tcPr>
            <w:tcW w:w="1134" w:type="dxa"/>
            <w:shd w:val="clear" w:color="auto" w:fill="F2F4F6"/>
            <w:tcMar>
              <w:top w:w="70" w:type="dxa"/>
              <w:left w:w="70" w:type="dxa"/>
              <w:bottom w:w="70" w:type="dxa"/>
              <w:right w:w="70" w:type="dxa"/>
            </w:tcMar>
            <w:vAlign w:val="center"/>
          </w:tcPr>
          <w:p w14:paraId="75BFA5C6"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0.136</w:t>
            </w:r>
          </w:p>
        </w:tc>
        <w:tc>
          <w:tcPr>
            <w:tcW w:w="992" w:type="dxa"/>
            <w:shd w:val="clear" w:color="auto" w:fill="F2F4F6"/>
            <w:tcMar>
              <w:top w:w="70" w:type="dxa"/>
              <w:left w:w="70" w:type="dxa"/>
              <w:bottom w:w="70" w:type="dxa"/>
              <w:right w:w="70" w:type="dxa"/>
            </w:tcMar>
            <w:vAlign w:val="center"/>
          </w:tcPr>
          <w:p w14:paraId="5447A14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2.97</w:t>
            </w:r>
          </w:p>
        </w:tc>
        <w:tc>
          <w:tcPr>
            <w:tcW w:w="1134" w:type="dxa"/>
            <w:shd w:val="clear" w:color="auto" w:fill="F2F4F6"/>
            <w:tcMar>
              <w:top w:w="70" w:type="dxa"/>
              <w:left w:w="70" w:type="dxa"/>
              <w:bottom w:w="70" w:type="dxa"/>
              <w:right w:w="70" w:type="dxa"/>
            </w:tcMar>
            <w:vAlign w:val="center"/>
          </w:tcPr>
          <w:p w14:paraId="5B020C0F"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0.003</w:t>
            </w:r>
          </w:p>
        </w:tc>
        <w:tc>
          <w:tcPr>
            <w:tcW w:w="709" w:type="dxa"/>
            <w:shd w:val="clear" w:color="auto" w:fill="F2F4F6"/>
            <w:tcMar>
              <w:top w:w="70" w:type="dxa"/>
              <w:left w:w="70" w:type="dxa"/>
              <w:bottom w:w="70" w:type="dxa"/>
              <w:right w:w="70" w:type="dxa"/>
            </w:tcMar>
            <w:vAlign w:val="center"/>
          </w:tcPr>
          <w:p w14:paraId="7895864B"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1.93</w:t>
            </w:r>
          </w:p>
        </w:tc>
        <w:tc>
          <w:tcPr>
            <w:tcW w:w="756" w:type="dxa"/>
            <w:shd w:val="clear" w:color="auto" w:fill="F2F4F6"/>
            <w:tcMar>
              <w:top w:w="70" w:type="dxa"/>
              <w:left w:w="70" w:type="dxa"/>
              <w:bottom w:w="70" w:type="dxa"/>
              <w:right w:w="70" w:type="dxa"/>
            </w:tcMar>
            <w:vAlign w:val="center"/>
          </w:tcPr>
          <w:p w14:paraId="1B4DEC3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دال</w:t>
            </w:r>
          </w:p>
        </w:tc>
      </w:tr>
      <w:tr w:rsidR="00986803" w:rsidRPr="00642214" w14:paraId="3D29741D" w14:textId="77777777" w:rsidTr="00642214">
        <w:trPr>
          <w:jc w:val="center"/>
        </w:trPr>
        <w:tc>
          <w:tcPr>
            <w:tcW w:w="2837" w:type="dxa"/>
            <w:shd w:val="clear" w:color="auto" w:fill="FFFFFF"/>
            <w:tcMar>
              <w:top w:w="70" w:type="dxa"/>
              <w:left w:w="70" w:type="dxa"/>
              <w:bottom w:w="70" w:type="dxa"/>
              <w:right w:w="70" w:type="dxa"/>
            </w:tcMar>
            <w:vAlign w:val="center"/>
          </w:tcPr>
          <w:p w14:paraId="056653F3"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إدارة المخاطر والامتثال</w:t>
            </w:r>
          </w:p>
        </w:tc>
        <w:tc>
          <w:tcPr>
            <w:tcW w:w="766" w:type="dxa"/>
            <w:shd w:val="clear" w:color="auto" w:fill="FFFFFF"/>
            <w:tcMar>
              <w:top w:w="70" w:type="dxa"/>
              <w:left w:w="70" w:type="dxa"/>
              <w:bottom w:w="70" w:type="dxa"/>
              <w:right w:w="70" w:type="dxa"/>
            </w:tcMar>
            <w:vAlign w:val="center"/>
          </w:tcPr>
          <w:p w14:paraId="41AF38C4"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0.136</w:t>
            </w:r>
          </w:p>
        </w:tc>
        <w:tc>
          <w:tcPr>
            <w:tcW w:w="1364" w:type="dxa"/>
            <w:shd w:val="clear" w:color="auto" w:fill="FFFFFF"/>
            <w:tcMar>
              <w:top w:w="70" w:type="dxa"/>
              <w:left w:w="70" w:type="dxa"/>
              <w:bottom w:w="70" w:type="dxa"/>
              <w:right w:w="70" w:type="dxa"/>
            </w:tcMar>
            <w:vAlign w:val="center"/>
          </w:tcPr>
          <w:p w14:paraId="7A218679"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0.042</w:t>
            </w:r>
          </w:p>
        </w:tc>
        <w:tc>
          <w:tcPr>
            <w:tcW w:w="1134" w:type="dxa"/>
            <w:shd w:val="clear" w:color="auto" w:fill="FFFFFF"/>
            <w:tcMar>
              <w:top w:w="70" w:type="dxa"/>
              <w:left w:w="70" w:type="dxa"/>
              <w:bottom w:w="70" w:type="dxa"/>
              <w:right w:w="70" w:type="dxa"/>
            </w:tcMar>
            <w:vAlign w:val="center"/>
          </w:tcPr>
          <w:p w14:paraId="7330D6E6"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0.131</w:t>
            </w:r>
          </w:p>
        </w:tc>
        <w:tc>
          <w:tcPr>
            <w:tcW w:w="992" w:type="dxa"/>
            <w:shd w:val="clear" w:color="auto" w:fill="FFFFFF"/>
            <w:tcMar>
              <w:top w:w="70" w:type="dxa"/>
              <w:left w:w="70" w:type="dxa"/>
              <w:bottom w:w="70" w:type="dxa"/>
              <w:right w:w="70" w:type="dxa"/>
            </w:tcMar>
            <w:vAlign w:val="center"/>
          </w:tcPr>
          <w:p w14:paraId="33B13B01"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3.25</w:t>
            </w:r>
          </w:p>
        </w:tc>
        <w:tc>
          <w:tcPr>
            <w:tcW w:w="1134" w:type="dxa"/>
            <w:shd w:val="clear" w:color="auto" w:fill="FFFFFF"/>
            <w:tcMar>
              <w:top w:w="70" w:type="dxa"/>
              <w:left w:w="70" w:type="dxa"/>
              <w:bottom w:w="70" w:type="dxa"/>
              <w:right w:w="70" w:type="dxa"/>
            </w:tcMar>
            <w:vAlign w:val="center"/>
          </w:tcPr>
          <w:p w14:paraId="31315C2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0.001</w:t>
            </w:r>
          </w:p>
        </w:tc>
        <w:tc>
          <w:tcPr>
            <w:tcW w:w="709" w:type="dxa"/>
            <w:shd w:val="clear" w:color="auto" w:fill="FFFFFF"/>
            <w:tcMar>
              <w:top w:w="70" w:type="dxa"/>
              <w:left w:w="70" w:type="dxa"/>
              <w:bottom w:w="70" w:type="dxa"/>
              <w:right w:w="70" w:type="dxa"/>
            </w:tcMar>
            <w:vAlign w:val="center"/>
          </w:tcPr>
          <w:p w14:paraId="4DA9D069"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1.49</w:t>
            </w:r>
          </w:p>
        </w:tc>
        <w:tc>
          <w:tcPr>
            <w:tcW w:w="756" w:type="dxa"/>
            <w:shd w:val="clear" w:color="auto" w:fill="FFFFFF"/>
            <w:tcMar>
              <w:top w:w="70" w:type="dxa"/>
              <w:left w:w="70" w:type="dxa"/>
              <w:bottom w:w="70" w:type="dxa"/>
              <w:right w:w="70" w:type="dxa"/>
            </w:tcMar>
            <w:vAlign w:val="center"/>
          </w:tcPr>
          <w:p w14:paraId="06AD307A"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دال</w:t>
            </w:r>
          </w:p>
        </w:tc>
      </w:tr>
      <w:tr w:rsidR="00986803" w:rsidRPr="00642214" w14:paraId="166AC00F" w14:textId="77777777" w:rsidTr="00642214">
        <w:trPr>
          <w:jc w:val="center"/>
        </w:trPr>
        <w:tc>
          <w:tcPr>
            <w:tcW w:w="2837" w:type="dxa"/>
            <w:shd w:val="clear" w:color="auto" w:fill="F2F4F6"/>
            <w:tcMar>
              <w:top w:w="70" w:type="dxa"/>
              <w:left w:w="70" w:type="dxa"/>
              <w:bottom w:w="70" w:type="dxa"/>
              <w:right w:w="70" w:type="dxa"/>
            </w:tcMar>
            <w:vAlign w:val="center"/>
          </w:tcPr>
          <w:p w14:paraId="7A58546C"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ملخص النموذج</w:t>
            </w:r>
          </w:p>
        </w:tc>
        <w:tc>
          <w:tcPr>
            <w:tcW w:w="766" w:type="dxa"/>
            <w:shd w:val="clear" w:color="auto" w:fill="F2F4F6"/>
            <w:tcMar>
              <w:top w:w="70" w:type="dxa"/>
              <w:left w:w="70" w:type="dxa"/>
              <w:bottom w:w="70" w:type="dxa"/>
              <w:right w:w="70" w:type="dxa"/>
            </w:tcMar>
            <w:vAlign w:val="center"/>
          </w:tcPr>
          <w:p w14:paraId="29ABB5E9"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R²=0.660</w:t>
            </w:r>
          </w:p>
        </w:tc>
        <w:tc>
          <w:tcPr>
            <w:tcW w:w="1364" w:type="dxa"/>
            <w:shd w:val="clear" w:color="auto" w:fill="F2F4F6"/>
            <w:tcMar>
              <w:top w:w="70" w:type="dxa"/>
              <w:left w:w="70" w:type="dxa"/>
              <w:bottom w:w="70" w:type="dxa"/>
              <w:right w:w="70" w:type="dxa"/>
            </w:tcMar>
            <w:vAlign w:val="center"/>
          </w:tcPr>
          <w:p w14:paraId="3B6E7D1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Adj.R²=0.655</w:t>
            </w:r>
          </w:p>
        </w:tc>
        <w:tc>
          <w:tcPr>
            <w:tcW w:w="1134" w:type="dxa"/>
            <w:shd w:val="clear" w:color="auto" w:fill="F2F4F6"/>
            <w:tcMar>
              <w:top w:w="70" w:type="dxa"/>
              <w:left w:w="70" w:type="dxa"/>
              <w:bottom w:w="70" w:type="dxa"/>
              <w:right w:w="70" w:type="dxa"/>
            </w:tcMar>
            <w:vAlign w:val="center"/>
          </w:tcPr>
          <w:p w14:paraId="18C1C635"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w:t>
            </w:r>
          </w:p>
        </w:tc>
        <w:tc>
          <w:tcPr>
            <w:tcW w:w="992" w:type="dxa"/>
            <w:shd w:val="clear" w:color="auto" w:fill="F2F4F6"/>
            <w:tcMar>
              <w:top w:w="70" w:type="dxa"/>
              <w:left w:w="70" w:type="dxa"/>
              <w:bottom w:w="70" w:type="dxa"/>
              <w:right w:w="70" w:type="dxa"/>
            </w:tcMar>
            <w:vAlign w:val="center"/>
          </w:tcPr>
          <w:p w14:paraId="5CDD937A"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F=121.34</w:t>
            </w:r>
          </w:p>
        </w:tc>
        <w:tc>
          <w:tcPr>
            <w:tcW w:w="1134" w:type="dxa"/>
            <w:shd w:val="clear" w:color="auto" w:fill="F2F4F6"/>
            <w:tcMar>
              <w:top w:w="70" w:type="dxa"/>
              <w:left w:w="70" w:type="dxa"/>
              <w:bottom w:w="70" w:type="dxa"/>
              <w:right w:w="70" w:type="dxa"/>
            </w:tcMar>
            <w:vAlign w:val="center"/>
          </w:tcPr>
          <w:p w14:paraId="3B6FA050"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eastAsia="DejaVu Sans" w:hAnsi="Sakkal Majalla" w:cs="Sakkal Majalla"/>
                <w:color w:val="000000"/>
                <w:sz w:val="30"/>
                <w:szCs w:val="30"/>
                <w:lang w:bidi="en-US"/>
              </w:rPr>
              <w:t>&lt; 0.001</w:t>
            </w:r>
          </w:p>
        </w:tc>
        <w:tc>
          <w:tcPr>
            <w:tcW w:w="709" w:type="dxa"/>
            <w:shd w:val="clear" w:color="auto" w:fill="F2F4F6"/>
            <w:tcMar>
              <w:top w:w="70" w:type="dxa"/>
              <w:left w:w="70" w:type="dxa"/>
              <w:bottom w:w="70" w:type="dxa"/>
              <w:right w:w="70" w:type="dxa"/>
            </w:tcMar>
            <w:vAlign w:val="center"/>
          </w:tcPr>
          <w:p w14:paraId="4465F39B"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w:t>
            </w:r>
          </w:p>
        </w:tc>
        <w:tc>
          <w:tcPr>
            <w:tcW w:w="756" w:type="dxa"/>
            <w:shd w:val="clear" w:color="auto" w:fill="F2F4F6"/>
            <w:tcMar>
              <w:top w:w="70" w:type="dxa"/>
              <w:left w:w="70" w:type="dxa"/>
              <w:bottom w:w="70" w:type="dxa"/>
              <w:right w:w="70" w:type="dxa"/>
            </w:tcMar>
            <w:vAlign w:val="center"/>
          </w:tcPr>
          <w:p w14:paraId="163F5348" w14:textId="77777777" w:rsidR="00986803" w:rsidRPr="00642214" w:rsidRDefault="00DB29B7" w:rsidP="00407C4C">
            <w:pPr>
              <w:bidi/>
              <w:spacing w:after="0" w:line="240" w:lineRule="auto"/>
              <w:ind w:firstLine="0"/>
              <w:jc w:val="center"/>
              <w:rPr>
                <w:rFonts w:ascii="Sakkal Majalla" w:hAnsi="Sakkal Majalla" w:cs="Sakkal Majalla"/>
                <w:sz w:val="30"/>
                <w:szCs w:val="30"/>
              </w:rPr>
            </w:pPr>
            <w:r w:rsidRPr="00642214">
              <w:rPr>
                <w:rFonts w:ascii="Sakkal Majalla" w:hAnsi="Sakkal Majalla" w:cs="Sakkal Majalla"/>
                <w:color w:val="000000"/>
                <w:sz w:val="30"/>
                <w:szCs w:val="30"/>
                <w:rtl/>
                <w:lang w:val="ar-SA"/>
              </w:rPr>
              <w:t>النموذج دال</w:t>
            </w:r>
          </w:p>
        </w:tc>
      </w:tr>
    </w:tbl>
    <w:p w14:paraId="1856BD31"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مخرجات التحليل الإحصائي.</w:t>
      </w:r>
    </w:p>
    <w:p w14:paraId="52A4CE0D" w14:textId="77777777" w:rsidR="00986803" w:rsidRDefault="00D26C73" w:rsidP="00D26C73">
      <w:pPr>
        <w:keepNext/>
        <w:bidi/>
        <w:spacing w:after="0" w:line="240" w:lineRule="auto"/>
        <w:ind w:firstLine="720"/>
        <w:rPr>
          <w:rFonts w:ascii="Sakkal Majalla" w:hAnsi="Sakkal Majalla" w:cs="Sakkal Majalla"/>
          <w:color w:val="000000"/>
          <w:sz w:val="36"/>
          <w:szCs w:val="36"/>
          <w:rtl/>
          <w:lang w:val="ar-SA"/>
        </w:rPr>
      </w:pPr>
      <w:bookmarkStart w:id="119" w:name="figure_standardized_betas"/>
      <w:r w:rsidRPr="00D26C73">
        <w:rPr>
          <w:rFonts w:ascii="Sakkal Majalla" w:eastAsia="Noto Kufi Arabic" w:hAnsi="Sakkal Majalla" w:cs="Sakkal Majalla"/>
          <w:b/>
          <w:noProof/>
          <w:color w:val="17365D"/>
          <w:sz w:val="36"/>
          <w:szCs w:val="36"/>
          <w:rtl/>
          <w:lang w:val="ar-SA"/>
        </w:rPr>
        <w:lastRenderedPageBreak/>
        <w:drawing>
          <wp:anchor distT="0" distB="0" distL="114300" distR="114300" simplePos="0" relativeHeight="251669504" behindDoc="0" locked="0" layoutInCell="1" allowOverlap="1" wp14:anchorId="5585101F" wp14:editId="7B5FB106">
            <wp:simplePos x="0" y="0"/>
            <wp:positionH relativeFrom="margin">
              <wp:align>right</wp:align>
            </wp:positionH>
            <wp:positionV relativeFrom="paragraph">
              <wp:posOffset>221615</wp:posOffset>
            </wp:positionV>
            <wp:extent cx="5616575" cy="4144010"/>
            <wp:effectExtent l="0" t="0" r="3175" b="8890"/>
            <wp:wrapTight wrapText="bothSides">
              <wp:wrapPolygon edited="0">
                <wp:start x="0" y="0"/>
                <wp:lineTo x="0" y="21547"/>
                <wp:lineTo x="21539" y="21547"/>
                <wp:lineTo x="21539" y="0"/>
                <wp:lineTo x="0" y="0"/>
              </wp:wrapPolygon>
            </wp:wrapTight>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16575" cy="4144010"/>
                    </a:xfrm>
                    <a:prstGeom prst="rect">
                      <a:avLst/>
                    </a:prstGeom>
                  </pic:spPr>
                </pic:pic>
              </a:graphicData>
            </a:graphic>
            <wp14:sizeRelV relativeFrom="margin">
              <wp14:pctHeight>0</wp14:pctHeight>
            </wp14:sizeRelV>
          </wp:anchor>
        </w:drawing>
      </w:r>
      <w:bookmarkEnd w:id="119"/>
      <w:r w:rsidR="00DB29B7" w:rsidRPr="00AE1FD7">
        <w:rPr>
          <w:rFonts w:ascii="Sakkal Majalla" w:hAnsi="Sakkal Majalla" w:cs="Sakkal Majalla"/>
          <w:color w:val="000000"/>
          <w:sz w:val="36"/>
          <w:szCs w:val="36"/>
          <w:rtl/>
          <w:lang w:val="ar-SA"/>
        </w:rPr>
        <w:t>وتشير النتيجة إلى أن الأبعاد التشغيلية الاستراتيجية والمعلوماتية تقدم أكبر تفسير إضافي بعد تثبيت بقية الأبعاد. ولا يعني انخفاض بيتا للمخاطر أو المساءلة ضعف أهميتهما، بل إن جزءاً من أثرهما مشترك مع الأبعاد الأخرى، كما أن بعض منافعهما يظهر في تجنب الخسائر.</w:t>
      </w:r>
    </w:p>
    <w:p w14:paraId="1781ACFB" w14:textId="77777777" w:rsidR="00642214" w:rsidRPr="00AE1FD7" w:rsidRDefault="00642214" w:rsidP="00642214">
      <w:pPr>
        <w:bidi/>
        <w:spacing w:after="0" w:line="240" w:lineRule="auto"/>
        <w:rPr>
          <w:rFonts w:ascii="Sakkal Majalla" w:hAnsi="Sakkal Majalla" w:cs="Sakkal Majalla"/>
          <w:sz w:val="36"/>
          <w:szCs w:val="36"/>
        </w:rPr>
      </w:pPr>
    </w:p>
    <w:p w14:paraId="64D5CE0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0" w:name="_Toc235205655"/>
      <w:r w:rsidRPr="00AE1FD7">
        <w:rPr>
          <w:rFonts w:ascii="Sakkal Majalla" w:eastAsia="Noto Kufi Arabic" w:hAnsi="Sakkal Majalla" w:cs="Sakkal Majalla"/>
          <w:sz w:val="36"/>
          <w:szCs w:val="36"/>
          <w:rtl/>
          <w:lang w:val="ar-SA"/>
        </w:rPr>
        <w:t>4.11 اختبار الفروق وفق الخصائص الوظيفية</w:t>
      </w:r>
      <w:r w:rsidR="00642214">
        <w:rPr>
          <w:rFonts w:ascii="Sakkal Majalla" w:eastAsia="Noto Kufi Arabic" w:hAnsi="Sakkal Majalla" w:cs="Sakkal Majalla" w:hint="cs"/>
          <w:sz w:val="36"/>
          <w:szCs w:val="36"/>
          <w:rtl/>
          <w:lang w:val="ar-SA"/>
        </w:rPr>
        <w:t>:</w:t>
      </w:r>
      <w:bookmarkEnd w:id="120"/>
    </w:p>
    <w:p w14:paraId="794CFEB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لم تظهر فروق دالة في الدرجة الكلية للحوكمة أو الكفاءة تعزى إلى نوع الجهة أو مجال العمل أو المستوى الإداري أو المؤهل. وظهرت فروق محدودة في الكفاءة بحسب سنوات الخبرة بقيمة F تساوي 3.02 ومستوى 0.030، إلا أن اختبار توكي المحافظ لم يحدد زوجاً مستقراً عند 0.05، وكانت أحجام الأثر صغيرة.</w:t>
      </w:r>
    </w:p>
    <w:p w14:paraId="19D5749A" w14:textId="77777777" w:rsidR="00642214" w:rsidRDefault="00642214">
      <w:pPr>
        <w:spacing w:after="200" w:line="276" w:lineRule="auto"/>
        <w:ind w:firstLine="0"/>
        <w:jc w:val="left"/>
        <w:rPr>
          <w:rFonts w:ascii="Sakkal Majalla" w:eastAsia="Noto Kufi Arabic" w:hAnsi="Sakkal Majalla" w:cs="Sakkal Majalla"/>
          <w:bCs/>
          <w:color w:val="17365D"/>
          <w:sz w:val="36"/>
          <w:szCs w:val="36"/>
          <w:rtl/>
          <w:lang w:val="ar-SA"/>
        </w:rPr>
      </w:pPr>
      <w:bookmarkStart w:id="121" w:name="table_anova_results"/>
      <w:r>
        <w:rPr>
          <w:rFonts w:ascii="Sakkal Majalla" w:eastAsia="Noto Kufi Arabic" w:hAnsi="Sakkal Majalla" w:cs="Sakkal Majalla"/>
          <w:bCs/>
          <w:color w:val="17365D"/>
          <w:sz w:val="36"/>
          <w:szCs w:val="36"/>
          <w:rtl/>
          <w:lang w:val="ar-SA"/>
        </w:rPr>
        <w:br w:type="page"/>
      </w:r>
    </w:p>
    <w:p w14:paraId="2CE6E6A1" w14:textId="77777777" w:rsidR="00986803" w:rsidRPr="00642214" w:rsidRDefault="00DB29B7" w:rsidP="00642214">
      <w:pPr>
        <w:keepNext/>
        <w:bidi/>
        <w:spacing w:after="0" w:line="240" w:lineRule="auto"/>
        <w:ind w:firstLine="0"/>
        <w:jc w:val="center"/>
        <w:rPr>
          <w:rFonts w:ascii="Sakkal Majalla" w:hAnsi="Sakkal Majalla" w:cs="Sakkal Majalla"/>
          <w:bCs/>
          <w:sz w:val="36"/>
          <w:szCs w:val="36"/>
        </w:rPr>
      </w:pPr>
      <w:r w:rsidRPr="00642214">
        <w:rPr>
          <w:rFonts w:ascii="Sakkal Majalla" w:eastAsia="Noto Kufi Arabic" w:hAnsi="Sakkal Majalla" w:cs="Sakkal Majalla"/>
          <w:bCs/>
          <w:color w:val="17365D"/>
          <w:sz w:val="36"/>
          <w:szCs w:val="36"/>
          <w:rtl/>
          <w:lang w:val="ar-SA"/>
        </w:rPr>
        <w:lastRenderedPageBreak/>
        <w:t>جدول (28): اختبارات الفروق وفق الخصائص الوظيفية</w:t>
      </w:r>
      <w:bookmarkEnd w:id="121"/>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589"/>
        <w:gridCol w:w="3062"/>
        <w:gridCol w:w="850"/>
        <w:gridCol w:w="850"/>
        <w:gridCol w:w="850"/>
        <w:gridCol w:w="1304"/>
      </w:tblGrid>
      <w:tr w:rsidR="00986803" w:rsidRPr="00AE1FD7" w14:paraId="099C9631" w14:textId="77777777" w:rsidTr="00642214">
        <w:trPr>
          <w:cantSplit/>
          <w:tblHeader/>
          <w:jc w:val="center"/>
        </w:trPr>
        <w:tc>
          <w:tcPr>
            <w:tcW w:w="1587" w:type="dxa"/>
            <w:shd w:val="clear" w:color="auto" w:fill="17365D"/>
            <w:tcMar>
              <w:top w:w="90" w:type="dxa"/>
              <w:left w:w="80" w:type="dxa"/>
              <w:bottom w:w="90" w:type="dxa"/>
              <w:right w:w="80" w:type="dxa"/>
            </w:tcMar>
            <w:vAlign w:val="center"/>
          </w:tcPr>
          <w:p w14:paraId="312A682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المتغير المصنف</w:t>
            </w:r>
          </w:p>
        </w:tc>
        <w:tc>
          <w:tcPr>
            <w:tcW w:w="3061" w:type="dxa"/>
            <w:shd w:val="clear" w:color="auto" w:fill="17365D"/>
            <w:tcMar>
              <w:top w:w="90" w:type="dxa"/>
              <w:left w:w="80" w:type="dxa"/>
              <w:bottom w:w="90" w:type="dxa"/>
              <w:right w:w="80" w:type="dxa"/>
            </w:tcMar>
            <w:vAlign w:val="center"/>
          </w:tcPr>
          <w:p w14:paraId="42EBA7A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المتغير التابع</w:t>
            </w:r>
          </w:p>
        </w:tc>
        <w:tc>
          <w:tcPr>
            <w:tcW w:w="850" w:type="dxa"/>
            <w:shd w:val="clear" w:color="auto" w:fill="17365D"/>
            <w:tcMar>
              <w:top w:w="90" w:type="dxa"/>
              <w:left w:w="80" w:type="dxa"/>
              <w:bottom w:w="90" w:type="dxa"/>
              <w:right w:w="80" w:type="dxa"/>
            </w:tcMar>
            <w:vAlign w:val="center"/>
          </w:tcPr>
          <w:p w14:paraId="658C27B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F</w:t>
            </w:r>
          </w:p>
        </w:tc>
        <w:tc>
          <w:tcPr>
            <w:tcW w:w="850" w:type="dxa"/>
            <w:shd w:val="clear" w:color="auto" w:fill="17365D"/>
            <w:tcMar>
              <w:top w:w="90" w:type="dxa"/>
              <w:left w:w="80" w:type="dxa"/>
              <w:bottom w:w="90" w:type="dxa"/>
              <w:right w:w="80" w:type="dxa"/>
            </w:tcMar>
            <w:vAlign w:val="center"/>
          </w:tcPr>
          <w:p w14:paraId="4CDD1E4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p</w:t>
            </w:r>
          </w:p>
        </w:tc>
        <w:tc>
          <w:tcPr>
            <w:tcW w:w="850" w:type="dxa"/>
            <w:shd w:val="clear" w:color="auto" w:fill="17365D"/>
            <w:tcMar>
              <w:top w:w="90" w:type="dxa"/>
              <w:left w:w="80" w:type="dxa"/>
              <w:bottom w:w="90" w:type="dxa"/>
              <w:right w:w="80" w:type="dxa"/>
            </w:tcMar>
            <w:vAlign w:val="center"/>
          </w:tcPr>
          <w:p w14:paraId="59DE7DFA"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Cambria" w:eastAsia="Noto Kufi Arabic" w:hAnsi="Cambria" w:cs="Cambria" w:hint="cs"/>
                <w:b/>
                <w:color w:val="FFFFFF"/>
                <w:sz w:val="36"/>
                <w:szCs w:val="36"/>
                <w:rtl/>
                <w:lang w:val="ar-SA"/>
              </w:rPr>
              <w:t>η</w:t>
            </w:r>
            <w:r w:rsidRPr="00AE1FD7">
              <w:rPr>
                <w:rFonts w:ascii="Sakkal Majalla" w:eastAsia="Noto Kufi Arabic" w:hAnsi="Sakkal Majalla" w:cs="Sakkal Majalla" w:hint="cs"/>
                <w:b/>
                <w:color w:val="FFFFFF"/>
                <w:sz w:val="36"/>
                <w:szCs w:val="36"/>
                <w:rtl/>
                <w:lang w:val="ar-SA"/>
              </w:rPr>
              <w:t>²</w:t>
            </w:r>
          </w:p>
        </w:tc>
        <w:tc>
          <w:tcPr>
            <w:tcW w:w="1304" w:type="dxa"/>
            <w:shd w:val="clear" w:color="auto" w:fill="17365D"/>
            <w:tcMar>
              <w:top w:w="90" w:type="dxa"/>
              <w:left w:w="80" w:type="dxa"/>
              <w:bottom w:w="90" w:type="dxa"/>
              <w:right w:w="80" w:type="dxa"/>
            </w:tcMar>
            <w:vAlign w:val="center"/>
          </w:tcPr>
          <w:p w14:paraId="4793BBE8"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النتيجة</w:t>
            </w:r>
          </w:p>
        </w:tc>
      </w:tr>
      <w:tr w:rsidR="00986803" w:rsidRPr="00AE1FD7" w14:paraId="77895DD8" w14:textId="77777777" w:rsidTr="00642214">
        <w:trPr>
          <w:jc w:val="center"/>
        </w:trPr>
        <w:tc>
          <w:tcPr>
            <w:tcW w:w="1587" w:type="dxa"/>
            <w:shd w:val="clear" w:color="auto" w:fill="FFFFFF"/>
            <w:tcMar>
              <w:top w:w="70" w:type="dxa"/>
              <w:left w:w="70" w:type="dxa"/>
              <w:bottom w:w="70" w:type="dxa"/>
              <w:right w:w="70" w:type="dxa"/>
            </w:tcMar>
            <w:vAlign w:val="center"/>
          </w:tcPr>
          <w:p w14:paraId="573A8049"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نوع الجهة</w:t>
            </w:r>
          </w:p>
        </w:tc>
        <w:tc>
          <w:tcPr>
            <w:tcW w:w="3061" w:type="dxa"/>
            <w:shd w:val="clear" w:color="auto" w:fill="FFFFFF"/>
            <w:tcMar>
              <w:top w:w="70" w:type="dxa"/>
              <w:left w:w="70" w:type="dxa"/>
              <w:bottom w:w="70" w:type="dxa"/>
              <w:right w:w="70" w:type="dxa"/>
            </w:tcMar>
            <w:vAlign w:val="center"/>
          </w:tcPr>
          <w:p w14:paraId="7A5849F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850" w:type="dxa"/>
            <w:shd w:val="clear" w:color="auto" w:fill="FFFFFF"/>
            <w:tcMar>
              <w:top w:w="70" w:type="dxa"/>
              <w:left w:w="70" w:type="dxa"/>
              <w:bottom w:w="70" w:type="dxa"/>
              <w:right w:w="70" w:type="dxa"/>
            </w:tcMar>
            <w:vAlign w:val="center"/>
          </w:tcPr>
          <w:p w14:paraId="281B1DBE"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0.07</w:t>
            </w:r>
          </w:p>
        </w:tc>
        <w:tc>
          <w:tcPr>
            <w:tcW w:w="850" w:type="dxa"/>
            <w:shd w:val="clear" w:color="auto" w:fill="FFFFFF"/>
            <w:tcMar>
              <w:top w:w="70" w:type="dxa"/>
              <w:left w:w="70" w:type="dxa"/>
              <w:bottom w:w="70" w:type="dxa"/>
              <w:right w:w="70" w:type="dxa"/>
            </w:tcMar>
            <w:vAlign w:val="center"/>
          </w:tcPr>
          <w:p w14:paraId="3350C9B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0.977</w:t>
            </w:r>
          </w:p>
        </w:tc>
        <w:tc>
          <w:tcPr>
            <w:tcW w:w="850" w:type="dxa"/>
            <w:shd w:val="clear" w:color="auto" w:fill="FFFFFF"/>
            <w:tcMar>
              <w:top w:w="70" w:type="dxa"/>
              <w:left w:w="70" w:type="dxa"/>
              <w:bottom w:w="70" w:type="dxa"/>
              <w:right w:w="70" w:type="dxa"/>
            </w:tcMar>
            <w:vAlign w:val="center"/>
          </w:tcPr>
          <w:p w14:paraId="3D57DE4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0.001</w:t>
            </w:r>
          </w:p>
        </w:tc>
        <w:tc>
          <w:tcPr>
            <w:tcW w:w="1304" w:type="dxa"/>
            <w:shd w:val="clear" w:color="auto" w:fill="FFFFFF"/>
            <w:tcMar>
              <w:top w:w="70" w:type="dxa"/>
              <w:left w:w="70" w:type="dxa"/>
              <w:bottom w:w="70" w:type="dxa"/>
              <w:right w:w="70" w:type="dxa"/>
            </w:tcMar>
            <w:vAlign w:val="center"/>
          </w:tcPr>
          <w:p w14:paraId="6EF63CDA"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665EB694" w14:textId="77777777" w:rsidTr="00642214">
        <w:trPr>
          <w:jc w:val="center"/>
        </w:trPr>
        <w:tc>
          <w:tcPr>
            <w:tcW w:w="1587" w:type="dxa"/>
            <w:shd w:val="clear" w:color="auto" w:fill="F2F4F6"/>
            <w:tcMar>
              <w:top w:w="70" w:type="dxa"/>
              <w:left w:w="70" w:type="dxa"/>
              <w:bottom w:w="70" w:type="dxa"/>
              <w:right w:w="70" w:type="dxa"/>
            </w:tcMar>
            <w:vAlign w:val="center"/>
          </w:tcPr>
          <w:p w14:paraId="6BE221F9"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نوع الجهة</w:t>
            </w:r>
          </w:p>
        </w:tc>
        <w:tc>
          <w:tcPr>
            <w:tcW w:w="3061" w:type="dxa"/>
            <w:shd w:val="clear" w:color="auto" w:fill="F2F4F6"/>
            <w:tcMar>
              <w:top w:w="70" w:type="dxa"/>
              <w:left w:w="70" w:type="dxa"/>
              <w:bottom w:w="70" w:type="dxa"/>
              <w:right w:w="70" w:type="dxa"/>
            </w:tcMar>
            <w:vAlign w:val="center"/>
          </w:tcPr>
          <w:p w14:paraId="5D3E4D0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850" w:type="dxa"/>
            <w:shd w:val="clear" w:color="auto" w:fill="F2F4F6"/>
            <w:tcMar>
              <w:top w:w="70" w:type="dxa"/>
              <w:left w:w="70" w:type="dxa"/>
              <w:bottom w:w="70" w:type="dxa"/>
              <w:right w:w="70" w:type="dxa"/>
            </w:tcMar>
            <w:vAlign w:val="center"/>
          </w:tcPr>
          <w:p w14:paraId="3A1F1F2D"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0.41</w:t>
            </w:r>
          </w:p>
        </w:tc>
        <w:tc>
          <w:tcPr>
            <w:tcW w:w="850" w:type="dxa"/>
            <w:shd w:val="clear" w:color="auto" w:fill="F2F4F6"/>
            <w:tcMar>
              <w:top w:w="70" w:type="dxa"/>
              <w:left w:w="70" w:type="dxa"/>
              <w:bottom w:w="70" w:type="dxa"/>
              <w:right w:w="70" w:type="dxa"/>
            </w:tcMar>
            <w:vAlign w:val="center"/>
          </w:tcPr>
          <w:p w14:paraId="56FBDC4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0.746</w:t>
            </w:r>
          </w:p>
        </w:tc>
        <w:tc>
          <w:tcPr>
            <w:tcW w:w="850" w:type="dxa"/>
            <w:shd w:val="clear" w:color="auto" w:fill="F2F4F6"/>
            <w:tcMar>
              <w:top w:w="70" w:type="dxa"/>
              <w:left w:w="70" w:type="dxa"/>
              <w:bottom w:w="70" w:type="dxa"/>
              <w:right w:w="70" w:type="dxa"/>
            </w:tcMar>
            <w:vAlign w:val="center"/>
          </w:tcPr>
          <w:p w14:paraId="173FB02C"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0.004</w:t>
            </w:r>
          </w:p>
        </w:tc>
        <w:tc>
          <w:tcPr>
            <w:tcW w:w="1304" w:type="dxa"/>
            <w:shd w:val="clear" w:color="auto" w:fill="F2F4F6"/>
            <w:tcMar>
              <w:top w:w="70" w:type="dxa"/>
              <w:left w:w="70" w:type="dxa"/>
              <w:bottom w:w="70" w:type="dxa"/>
              <w:right w:w="70" w:type="dxa"/>
            </w:tcMar>
            <w:vAlign w:val="center"/>
          </w:tcPr>
          <w:p w14:paraId="015649ED"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209EF54E" w14:textId="77777777" w:rsidTr="00642214">
        <w:trPr>
          <w:jc w:val="center"/>
        </w:trPr>
        <w:tc>
          <w:tcPr>
            <w:tcW w:w="1587" w:type="dxa"/>
            <w:shd w:val="clear" w:color="auto" w:fill="FFFFFF"/>
            <w:tcMar>
              <w:top w:w="70" w:type="dxa"/>
              <w:left w:w="70" w:type="dxa"/>
              <w:bottom w:w="70" w:type="dxa"/>
              <w:right w:w="70" w:type="dxa"/>
            </w:tcMar>
            <w:vAlign w:val="center"/>
          </w:tcPr>
          <w:p w14:paraId="5A8F2F6C"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مجال العمل</w:t>
            </w:r>
          </w:p>
        </w:tc>
        <w:tc>
          <w:tcPr>
            <w:tcW w:w="3061" w:type="dxa"/>
            <w:shd w:val="clear" w:color="auto" w:fill="FFFFFF"/>
            <w:tcMar>
              <w:top w:w="70" w:type="dxa"/>
              <w:left w:w="70" w:type="dxa"/>
              <w:bottom w:w="70" w:type="dxa"/>
              <w:right w:w="70" w:type="dxa"/>
            </w:tcMar>
            <w:vAlign w:val="center"/>
          </w:tcPr>
          <w:p w14:paraId="421B178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850" w:type="dxa"/>
            <w:shd w:val="clear" w:color="auto" w:fill="FFFFFF"/>
            <w:tcMar>
              <w:top w:w="70" w:type="dxa"/>
              <w:left w:w="70" w:type="dxa"/>
              <w:bottom w:w="70" w:type="dxa"/>
              <w:right w:w="70" w:type="dxa"/>
            </w:tcMar>
            <w:vAlign w:val="center"/>
          </w:tcPr>
          <w:p w14:paraId="24617E77"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0.58</w:t>
            </w:r>
          </w:p>
        </w:tc>
        <w:tc>
          <w:tcPr>
            <w:tcW w:w="850" w:type="dxa"/>
            <w:shd w:val="clear" w:color="auto" w:fill="FFFFFF"/>
            <w:tcMar>
              <w:top w:w="70" w:type="dxa"/>
              <w:left w:w="70" w:type="dxa"/>
              <w:bottom w:w="70" w:type="dxa"/>
              <w:right w:w="70" w:type="dxa"/>
            </w:tcMar>
            <w:vAlign w:val="center"/>
          </w:tcPr>
          <w:p w14:paraId="4B3D6376"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0.679</w:t>
            </w:r>
          </w:p>
        </w:tc>
        <w:tc>
          <w:tcPr>
            <w:tcW w:w="850" w:type="dxa"/>
            <w:shd w:val="clear" w:color="auto" w:fill="FFFFFF"/>
            <w:tcMar>
              <w:top w:w="70" w:type="dxa"/>
              <w:left w:w="70" w:type="dxa"/>
              <w:bottom w:w="70" w:type="dxa"/>
              <w:right w:w="70" w:type="dxa"/>
            </w:tcMar>
            <w:vAlign w:val="center"/>
          </w:tcPr>
          <w:p w14:paraId="0D1D839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0.007</w:t>
            </w:r>
          </w:p>
        </w:tc>
        <w:tc>
          <w:tcPr>
            <w:tcW w:w="1304" w:type="dxa"/>
            <w:shd w:val="clear" w:color="auto" w:fill="FFFFFF"/>
            <w:tcMar>
              <w:top w:w="70" w:type="dxa"/>
              <w:left w:w="70" w:type="dxa"/>
              <w:bottom w:w="70" w:type="dxa"/>
              <w:right w:w="70" w:type="dxa"/>
            </w:tcMar>
            <w:vAlign w:val="center"/>
          </w:tcPr>
          <w:p w14:paraId="404E8DB3"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7385BC46" w14:textId="77777777" w:rsidTr="00642214">
        <w:trPr>
          <w:jc w:val="center"/>
        </w:trPr>
        <w:tc>
          <w:tcPr>
            <w:tcW w:w="1587" w:type="dxa"/>
            <w:shd w:val="clear" w:color="auto" w:fill="F2F4F6"/>
            <w:tcMar>
              <w:top w:w="70" w:type="dxa"/>
              <w:left w:w="70" w:type="dxa"/>
              <w:bottom w:w="70" w:type="dxa"/>
              <w:right w:w="70" w:type="dxa"/>
            </w:tcMar>
            <w:vAlign w:val="center"/>
          </w:tcPr>
          <w:p w14:paraId="0D356CA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مجال العمل</w:t>
            </w:r>
          </w:p>
        </w:tc>
        <w:tc>
          <w:tcPr>
            <w:tcW w:w="3061" w:type="dxa"/>
            <w:shd w:val="clear" w:color="auto" w:fill="F2F4F6"/>
            <w:tcMar>
              <w:top w:w="70" w:type="dxa"/>
              <w:left w:w="70" w:type="dxa"/>
              <w:bottom w:w="70" w:type="dxa"/>
              <w:right w:w="70" w:type="dxa"/>
            </w:tcMar>
            <w:vAlign w:val="center"/>
          </w:tcPr>
          <w:p w14:paraId="559723A7"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850" w:type="dxa"/>
            <w:shd w:val="clear" w:color="auto" w:fill="F2F4F6"/>
            <w:tcMar>
              <w:top w:w="70" w:type="dxa"/>
              <w:left w:w="70" w:type="dxa"/>
              <w:bottom w:w="70" w:type="dxa"/>
              <w:right w:w="70" w:type="dxa"/>
            </w:tcMar>
            <w:vAlign w:val="center"/>
          </w:tcPr>
          <w:p w14:paraId="223FB2B5"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0.41</w:t>
            </w:r>
          </w:p>
        </w:tc>
        <w:tc>
          <w:tcPr>
            <w:tcW w:w="850" w:type="dxa"/>
            <w:shd w:val="clear" w:color="auto" w:fill="F2F4F6"/>
            <w:tcMar>
              <w:top w:w="70" w:type="dxa"/>
              <w:left w:w="70" w:type="dxa"/>
              <w:bottom w:w="70" w:type="dxa"/>
              <w:right w:w="70" w:type="dxa"/>
            </w:tcMar>
            <w:vAlign w:val="center"/>
          </w:tcPr>
          <w:p w14:paraId="00B798F5"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0.799</w:t>
            </w:r>
          </w:p>
        </w:tc>
        <w:tc>
          <w:tcPr>
            <w:tcW w:w="850" w:type="dxa"/>
            <w:shd w:val="clear" w:color="auto" w:fill="F2F4F6"/>
            <w:tcMar>
              <w:top w:w="70" w:type="dxa"/>
              <w:left w:w="70" w:type="dxa"/>
              <w:bottom w:w="70" w:type="dxa"/>
              <w:right w:w="70" w:type="dxa"/>
            </w:tcMar>
            <w:vAlign w:val="center"/>
          </w:tcPr>
          <w:p w14:paraId="1E73A24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0.005</w:t>
            </w:r>
          </w:p>
        </w:tc>
        <w:tc>
          <w:tcPr>
            <w:tcW w:w="1304" w:type="dxa"/>
            <w:shd w:val="clear" w:color="auto" w:fill="F2F4F6"/>
            <w:tcMar>
              <w:top w:w="70" w:type="dxa"/>
              <w:left w:w="70" w:type="dxa"/>
              <w:bottom w:w="70" w:type="dxa"/>
              <w:right w:w="70" w:type="dxa"/>
            </w:tcMar>
            <w:vAlign w:val="center"/>
          </w:tcPr>
          <w:p w14:paraId="55247ABE"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0EFFF44D" w14:textId="77777777" w:rsidTr="00642214">
        <w:trPr>
          <w:jc w:val="center"/>
        </w:trPr>
        <w:tc>
          <w:tcPr>
            <w:tcW w:w="1587" w:type="dxa"/>
            <w:shd w:val="clear" w:color="auto" w:fill="FFFFFF"/>
            <w:tcMar>
              <w:top w:w="70" w:type="dxa"/>
              <w:left w:w="70" w:type="dxa"/>
              <w:bottom w:w="70" w:type="dxa"/>
              <w:right w:w="70" w:type="dxa"/>
            </w:tcMar>
            <w:vAlign w:val="center"/>
          </w:tcPr>
          <w:p w14:paraId="6C94CB8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سنوات الخبرة</w:t>
            </w:r>
          </w:p>
        </w:tc>
        <w:tc>
          <w:tcPr>
            <w:tcW w:w="3061" w:type="dxa"/>
            <w:shd w:val="clear" w:color="auto" w:fill="FFFFFF"/>
            <w:tcMar>
              <w:top w:w="70" w:type="dxa"/>
              <w:left w:w="70" w:type="dxa"/>
              <w:bottom w:w="70" w:type="dxa"/>
              <w:right w:w="70" w:type="dxa"/>
            </w:tcMar>
            <w:vAlign w:val="center"/>
          </w:tcPr>
          <w:p w14:paraId="234FFA4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850" w:type="dxa"/>
            <w:shd w:val="clear" w:color="auto" w:fill="FFFFFF"/>
            <w:tcMar>
              <w:top w:w="70" w:type="dxa"/>
              <w:left w:w="70" w:type="dxa"/>
              <w:bottom w:w="70" w:type="dxa"/>
              <w:right w:w="70" w:type="dxa"/>
            </w:tcMar>
            <w:vAlign w:val="center"/>
          </w:tcPr>
          <w:p w14:paraId="4E41CE69"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2.43</w:t>
            </w:r>
          </w:p>
        </w:tc>
        <w:tc>
          <w:tcPr>
            <w:tcW w:w="850" w:type="dxa"/>
            <w:shd w:val="clear" w:color="auto" w:fill="FFFFFF"/>
            <w:tcMar>
              <w:top w:w="70" w:type="dxa"/>
              <w:left w:w="70" w:type="dxa"/>
              <w:bottom w:w="70" w:type="dxa"/>
              <w:right w:w="70" w:type="dxa"/>
            </w:tcMar>
            <w:vAlign w:val="center"/>
          </w:tcPr>
          <w:p w14:paraId="4D9870B4"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0.065</w:t>
            </w:r>
          </w:p>
        </w:tc>
        <w:tc>
          <w:tcPr>
            <w:tcW w:w="850" w:type="dxa"/>
            <w:shd w:val="clear" w:color="auto" w:fill="FFFFFF"/>
            <w:tcMar>
              <w:top w:w="70" w:type="dxa"/>
              <w:left w:w="70" w:type="dxa"/>
              <w:bottom w:w="70" w:type="dxa"/>
              <w:right w:w="70" w:type="dxa"/>
            </w:tcMar>
            <w:vAlign w:val="center"/>
          </w:tcPr>
          <w:p w14:paraId="6C288C1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0.023</w:t>
            </w:r>
          </w:p>
        </w:tc>
        <w:tc>
          <w:tcPr>
            <w:tcW w:w="1304" w:type="dxa"/>
            <w:shd w:val="clear" w:color="auto" w:fill="FFFFFF"/>
            <w:tcMar>
              <w:top w:w="70" w:type="dxa"/>
              <w:left w:w="70" w:type="dxa"/>
              <w:bottom w:w="70" w:type="dxa"/>
              <w:right w:w="70" w:type="dxa"/>
            </w:tcMar>
            <w:vAlign w:val="center"/>
          </w:tcPr>
          <w:p w14:paraId="6A9270D8"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45EAB095" w14:textId="77777777" w:rsidTr="00642214">
        <w:trPr>
          <w:jc w:val="center"/>
        </w:trPr>
        <w:tc>
          <w:tcPr>
            <w:tcW w:w="1587" w:type="dxa"/>
            <w:shd w:val="clear" w:color="auto" w:fill="F2F4F6"/>
            <w:tcMar>
              <w:top w:w="70" w:type="dxa"/>
              <w:left w:w="70" w:type="dxa"/>
              <w:bottom w:w="70" w:type="dxa"/>
              <w:right w:w="70" w:type="dxa"/>
            </w:tcMar>
            <w:vAlign w:val="center"/>
          </w:tcPr>
          <w:p w14:paraId="0C4BDBA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سنوات الخبرة</w:t>
            </w:r>
          </w:p>
        </w:tc>
        <w:tc>
          <w:tcPr>
            <w:tcW w:w="3061" w:type="dxa"/>
            <w:shd w:val="clear" w:color="auto" w:fill="F2F4F6"/>
            <w:tcMar>
              <w:top w:w="70" w:type="dxa"/>
              <w:left w:w="70" w:type="dxa"/>
              <w:bottom w:w="70" w:type="dxa"/>
              <w:right w:w="70" w:type="dxa"/>
            </w:tcMar>
            <w:vAlign w:val="center"/>
          </w:tcPr>
          <w:p w14:paraId="55377468"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850" w:type="dxa"/>
            <w:shd w:val="clear" w:color="auto" w:fill="F2F4F6"/>
            <w:tcMar>
              <w:top w:w="70" w:type="dxa"/>
              <w:left w:w="70" w:type="dxa"/>
              <w:bottom w:w="70" w:type="dxa"/>
              <w:right w:w="70" w:type="dxa"/>
            </w:tcMar>
            <w:vAlign w:val="center"/>
          </w:tcPr>
          <w:p w14:paraId="4B799D96"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3.02</w:t>
            </w:r>
          </w:p>
        </w:tc>
        <w:tc>
          <w:tcPr>
            <w:tcW w:w="850" w:type="dxa"/>
            <w:shd w:val="clear" w:color="auto" w:fill="F2F4F6"/>
            <w:tcMar>
              <w:top w:w="70" w:type="dxa"/>
              <w:left w:w="70" w:type="dxa"/>
              <w:bottom w:w="70" w:type="dxa"/>
              <w:right w:w="70" w:type="dxa"/>
            </w:tcMar>
            <w:vAlign w:val="center"/>
          </w:tcPr>
          <w:p w14:paraId="139F5B3C"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0.030</w:t>
            </w:r>
          </w:p>
        </w:tc>
        <w:tc>
          <w:tcPr>
            <w:tcW w:w="850" w:type="dxa"/>
            <w:shd w:val="clear" w:color="auto" w:fill="F2F4F6"/>
            <w:tcMar>
              <w:top w:w="70" w:type="dxa"/>
              <w:left w:w="70" w:type="dxa"/>
              <w:bottom w:w="70" w:type="dxa"/>
              <w:right w:w="70" w:type="dxa"/>
            </w:tcMar>
            <w:vAlign w:val="center"/>
          </w:tcPr>
          <w:p w14:paraId="637BDB2C"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0.028</w:t>
            </w:r>
          </w:p>
        </w:tc>
        <w:tc>
          <w:tcPr>
            <w:tcW w:w="1304" w:type="dxa"/>
            <w:shd w:val="clear" w:color="auto" w:fill="F2F4F6"/>
            <w:tcMar>
              <w:top w:w="70" w:type="dxa"/>
              <w:left w:w="70" w:type="dxa"/>
              <w:bottom w:w="70" w:type="dxa"/>
              <w:right w:w="70" w:type="dxa"/>
            </w:tcMar>
            <w:vAlign w:val="center"/>
          </w:tcPr>
          <w:p w14:paraId="219400AD"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دال</w:t>
            </w:r>
          </w:p>
        </w:tc>
      </w:tr>
      <w:tr w:rsidR="00986803" w:rsidRPr="00AE1FD7" w14:paraId="12728588" w14:textId="77777777" w:rsidTr="00642214">
        <w:trPr>
          <w:jc w:val="center"/>
        </w:trPr>
        <w:tc>
          <w:tcPr>
            <w:tcW w:w="1587" w:type="dxa"/>
            <w:shd w:val="clear" w:color="auto" w:fill="FFFFFF"/>
            <w:tcMar>
              <w:top w:w="70" w:type="dxa"/>
              <w:left w:w="70" w:type="dxa"/>
              <w:bottom w:w="70" w:type="dxa"/>
              <w:right w:w="70" w:type="dxa"/>
            </w:tcMar>
            <w:vAlign w:val="center"/>
          </w:tcPr>
          <w:p w14:paraId="578525C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المستوى الإداري</w:t>
            </w:r>
          </w:p>
        </w:tc>
        <w:tc>
          <w:tcPr>
            <w:tcW w:w="3061" w:type="dxa"/>
            <w:shd w:val="clear" w:color="auto" w:fill="FFFFFF"/>
            <w:tcMar>
              <w:top w:w="70" w:type="dxa"/>
              <w:left w:w="70" w:type="dxa"/>
              <w:bottom w:w="70" w:type="dxa"/>
              <w:right w:w="70" w:type="dxa"/>
            </w:tcMar>
            <w:vAlign w:val="center"/>
          </w:tcPr>
          <w:p w14:paraId="2A06775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850" w:type="dxa"/>
            <w:shd w:val="clear" w:color="auto" w:fill="FFFFFF"/>
            <w:tcMar>
              <w:top w:w="70" w:type="dxa"/>
              <w:left w:w="70" w:type="dxa"/>
              <w:bottom w:w="70" w:type="dxa"/>
              <w:right w:w="70" w:type="dxa"/>
            </w:tcMar>
            <w:vAlign w:val="center"/>
          </w:tcPr>
          <w:p w14:paraId="551C3138"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1.91</w:t>
            </w:r>
          </w:p>
        </w:tc>
        <w:tc>
          <w:tcPr>
            <w:tcW w:w="850" w:type="dxa"/>
            <w:shd w:val="clear" w:color="auto" w:fill="FFFFFF"/>
            <w:tcMar>
              <w:top w:w="70" w:type="dxa"/>
              <w:left w:w="70" w:type="dxa"/>
              <w:bottom w:w="70" w:type="dxa"/>
              <w:right w:w="70" w:type="dxa"/>
            </w:tcMar>
            <w:vAlign w:val="center"/>
          </w:tcPr>
          <w:p w14:paraId="35992688"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0.150</w:t>
            </w:r>
          </w:p>
        </w:tc>
        <w:tc>
          <w:tcPr>
            <w:tcW w:w="850" w:type="dxa"/>
            <w:shd w:val="clear" w:color="auto" w:fill="FFFFFF"/>
            <w:tcMar>
              <w:top w:w="70" w:type="dxa"/>
              <w:left w:w="70" w:type="dxa"/>
              <w:bottom w:w="70" w:type="dxa"/>
              <w:right w:w="70" w:type="dxa"/>
            </w:tcMar>
            <w:vAlign w:val="center"/>
          </w:tcPr>
          <w:p w14:paraId="4F680C8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0.012</w:t>
            </w:r>
          </w:p>
        </w:tc>
        <w:tc>
          <w:tcPr>
            <w:tcW w:w="1304" w:type="dxa"/>
            <w:shd w:val="clear" w:color="auto" w:fill="FFFFFF"/>
            <w:tcMar>
              <w:top w:w="70" w:type="dxa"/>
              <w:left w:w="70" w:type="dxa"/>
              <w:bottom w:w="70" w:type="dxa"/>
              <w:right w:w="70" w:type="dxa"/>
            </w:tcMar>
            <w:vAlign w:val="center"/>
          </w:tcPr>
          <w:p w14:paraId="65B601DE"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40DDA181" w14:textId="77777777" w:rsidTr="00642214">
        <w:trPr>
          <w:jc w:val="center"/>
        </w:trPr>
        <w:tc>
          <w:tcPr>
            <w:tcW w:w="1587" w:type="dxa"/>
            <w:shd w:val="clear" w:color="auto" w:fill="F2F4F6"/>
            <w:tcMar>
              <w:top w:w="70" w:type="dxa"/>
              <w:left w:w="70" w:type="dxa"/>
              <w:bottom w:w="70" w:type="dxa"/>
              <w:right w:w="70" w:type="dxa"/>
            </w:tcMar>
            <w:vAlign w:val="center"/>
          </w:tcPr>
          <w:p w14:paraId="4E796AC0"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المستوى الإداري</w:t>
            </w:r>
          </w:p>
        </w:tc>
        <w:tc>
          <w:tcPr>
            <w:tcW w:w="3061" w:type="dxa"/>
            <w:shd w:val="clear" w:color="auto" w:fill="F2F4F6"/>
            <w:tcMar>
              <w:top w:w="70" w:type="dxa"/>
              <w:left w:w="70" w:type="dxa"/>
              <w:bottom w:w="70" w:type="dxa"/>
              <w:right w:w="70" w:type="dxa"/>
            </w:tcMar>
            <w:vAlign w:val="center"/>
          </w:tcPr>
          <w:p w14:paraId="2301385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850" w:type="dxa"/>
            <w:shd w:val="clear" w:color="auto" w:fill="F2F4F6"/>
            <w:tcMar>
              <w:top w:w="70" w:type="dxa"/>
              <w:left w:w="70" w:type="dxa"/>
              <w:bottom w:w="70" w:type="dxa"/>
              <w:right w:w="70" w:type="dxa"/>
            </w:tcMar>
            <w:vAlign w:val="center"/>
          </w:tcPr>
          <w:p w14:paraId="00DC4837"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1.27</w:t>
            </w:r>
          </w:p>
        </w:tc>
        <w:tc>
          <w:tcPr>
            <w:tcW w:w="850" w:type="dxa"/>
            <w:shd w:val="clear" w:color="auto" w:fill="F2F4F6"/>
            <w:tcMar>
              <w:top w:w="70" w:type="dxa"/>
              <w:left w:w="70" w:type="dxa"/>
              <w:bottom w:w="70" w:type="dxa"/>
              <w:right w:w="70" w:type="dxa"/>
            </w:tcMar>
            <w:vAlign w:val="center"/>
          </w:tcPr>
          <w:p w14:paraId="1DCB263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0.283</w:t>
            </w:r>
          </w:p>
        </w:tc>
        <w:tc>
          <w:tcPr>
            <w:tcW w:w="850" w:type="dxa"/>
            <w:shd w:val="clear" w:color="auto" w:fill="F2F4F6"/>
            <w:tcMar>
              <w:top w:w="70" w:type="dxa"/>
              <w:left w:w="70" w:type="dxa"/>
              <w:bottom w:w="70" w:type="dxa"/>
              <w:right w:w="70" w:type="dxa"/>
            </w:tcMar>
            <w:vAlign w:val="center"/>
          </w:tcPr>
          <w:p w14:paraId="1585193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0.008</w:t>
            </w:r>
          </w:p>
        </w:tc>
        <w:tc>
          <w:tcPr>
            <w:tcW w:w="1304" w:type="dxa"/>
            <w:shd w:val="clear" w:color="auto" w:fill="F2F4F6"/>
            <w:tcMar>
              <w:top w:w="70" w:type="dxa"/>
              <w:left w:w="70" w:type="dxa"/>
              <w:bottom w:w="70" w:type="dxa"/>
              <w:right w:w="70" w:type="dxa"/>
            </w:tcMar>
            <w:vAlign w:val="center"/>
          </w:tcPr>
          <w:p w14:paraId="2E2447A7"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6692D149" w14:textId="77777777" w:rsidTr="00642214">
        <w:trPr>
          <w:jc w:val="center"/>
        </w:trPr>
        <w:tc>
          <w:tcPr>
            <w:tcW w:w="1587" w:type="dxa"/>
            <w:shd w:val="clear" w:color="auto" w:fill="FFFFFF"/>
            <w:tcMar>
              <w:top w:w="70" w:type="dxa"/>
              <w:left w:w="70" w:type="dxa"/>
              <w:bottom w:w="70" w:type="dxa"/>
              <w:right w:w="70" w:type="dxa"/>
            </w:tcMar>
            <w:vAlign w:val="center"/>
          </w:tcPr>
          <w:p w14:paraId="1189AD2B"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المؤهل العلمي</w:t>
            </w:r>
          </w:p>
        </w:tc>
        <w:tc>
          <w:tcPr>
            <w:tcW w:w="3061" w:type="dxa"/>
            <w:shd w:val="clear" w:color="auto" w:fill="FFFFFF"/>
            <w:tcMar>
              <w:top w:w="70" w:type="dxa"/>
              <w:left w:w="70" w:type="dxa"/>
              <w:bottom w:w="70" w:type="dxa"/>
              <w:right w:w="70" w:type="dxa"/>
            </w:tcMar>
            <w:vAlign w:val="center"/>
          </w:tcPr>
          <w:p w14:paraId="69C4F793"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إدارة الممتلكات العامة</w:t>
            </w:r>
          </w:p>
        </w:tc>
        <w:tc>
          <w:tcPr>
            <w:tcW w:w="850" w:type="dxa"/>
            <w:shd w:val="clear" w:color="auto" w:fill="FFFFFF"/>
            <w:tcMar>
              <w:top w:w="70" w:type="dxa"/>
              <w:left w:w="70" w:type="dxa"/>
              <w:bottom w:w="70" w:type="dxa"/>
              <w:right w:w="70" w:type="dxa"/>
            </w:tcMar>
            <w:vAlign w:val="center"/>
          </w:tcPr>
          <w:p w14:paraId="445AC201"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2.13</w:t>
            </w:r>
          </w:p>
        </w:tc>
        <w:tc>
          <w:tcPr>
            <w:tcW w:w="850" w:type="dxa"/>
            <w:shd w:val="clear" w:color="auto" w:fill="FFFFFF"/>
            <w:tcMar>
              <w:top w:w="70" w:type="dxa"/>
              <w:left w:w="70" w:type="dxa"/>
              <w:bottom w:w="70" w:type="dxa"/>
              <w:right w:w="70" w:type="dxa"/>
            </w:tcMar>
            <w:vAlign w:val="center"/>
          </w:tcPr>
          <w:p w14:paraId="68D18703"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0.096</w:t>
            </w:r>
          </w:p>
        </w:tc>
        <w:tc>
          <w:tcPr>
            <w:tcW w:w="850" w:type="dxa"/>
            <w:shd w:val="clear" w:color="auto" w:fill="FFFFFF"/>
            <w:tcMar>
              <w:top w:w="70" w:type="dxa"/>
              <w:left w:w="70" w:type="dxa"/>
              <w:bottom w:w="70" w:type="dxa"/>
              <w:right w:w="70" w:type="dxa"/>
            </w:tcMar>
            <w:vAlign w:val="center"/>
          </w:tcPr>
          <w:p w14:paraId="49357873"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0.020</w:t>
            </w:r>
          </w:p>
        </w:tc>
        <w:tc>
          <w:tcPr>
            <w:tcW w:w="1304" w:type="dxa"/>
            <w:shd w:val="clear" w:color="auto" w:fill="FFFFFF"/>
            <w:tcMar>
              <w:top w:w="70" w:type="dxa"/>
              <w:left w:w="70" w:type="dxa"/>
              <w:bottom w:w="70" w:type="dxa"/>
              <w:right w:w="70" w:type="dxa"/>
            </w:tcMar>
            <w:vAlign w:val="center"/>
          </w:tcPr>
          <w:p w14:paraId="235A9F02"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r w:rsidR="00986803" w:rsidRPr="00AE1FD7" w14:paraId="1BBA3A38" w14:textId="77777777" w:rsidTr="00642214">
        <w:trPr>
          <w:jc w:val="center"/>
        </w:trPr>
        <w:tc>
          <w:tcPr>
            <w:tcW w:w="1587" w:type="dxa"/>
            <w:shd w:val="clear" w:color="auto" w:fill="F2F4F6"/>
            <w:tcMar>
              <w:top w:w="70" w:type="dxa"/>
              <w:left w:w="70" w:type="dxa"/>
              <w:bottom w:w="70" w:type="dxa"/>
              <w:right w:w="70" w:type="dxa"/>
            </w:tcMar>
            <w:vAlign w:val="center"/>
          </w:tcPr>
          <w:p w14:paraId="2973DB40"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المؤهل العلمي</w:t>
            </w:r>
          </w:p>
        </w:tc>
        <w:tc>
          <w:tcPr>
            <w:tcW w:w="3061" w:type="dxa"/>
            <w:shd w:val="clear" w:color="auto" w:fill="F2F4F6"/>
            <w:tcMar>
              <w:top w:w="70" w:type="dxa"/>
              <w:left w:w="70" w:type="dxa"/>
              <w:bottom w:w="70" w:type="dxa"/>
              <w:right w:w="70" w:type="dxa"/>
            </w:tcMar>
            <w:vAlign w:val="center"/>
          </w:tcPr>
          <w:p w14:paraId="5CAEF825"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الحكومي العقاري</w:t>
            </w:r>
          </w:p>
        </w:tc>
        <w:tc>
          <w:tcPr>
            <w:tcW w:w="850" w:type="dxa"/>
            <w:shd w:val="clear" w:color="auto" w:fill="F2F4F6"/>
            <w:tcMar>
              <w:top w:w="70" w:type="dxa"/>
              <w:left w:w="70" w:type="dxa"/>
              <w:bottom w:w="70" w:type="dxa"/>
              <w:right w:w="70" w:type="dxa"/>
            </w:tcMar>
            <w:vAlign w:val="center"/>
          </w:tcPr>
          <w:p w14:paraId="3F7291BC"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2.27</w:t>
            </w:r>
          </w:p>
        </w:tc>
        <w:tc>
          <w:tcPr>
            <w:tcW w:w="850" w:type="dxa"/>
            <w:shd w:val="clear" w:color="auto" w:fill="F2F4F6"/>
            <w:tcMar>
              <w:top w:w="70" w:type="dxa"/>
              <w:left w:w="70" w:type="dxa"/>
              <w:bottom w:w="70" w:type="dxa"/>
              <w:right w:w="70" w:type="dxa"/>
            </w:tcMar>
            <w:vAlign w:val="center"/>
          </w:tcPr>
          <w:p w14:paraId="294DC186"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0.081</w:t>
            </w:r>
          </w:p>
        </w:tc>
        <w:tc>
          <w:tcPr>
            <w:tcW w:w="850" w:type="dxa"/>
            <w:shd w:val="clear" w:color="auto" w:fill="F2F4F6"/>
            <w:tcMar>
              <w:top w:w="70" w:type="dxa"/>
              <w:left w:w="70" w:type="dxa"/>
              <w:bottom w:w="70" w:type="dxa"/>
              <w:right w:w="70" w:type="dxa"/>
            </w:tcMar>
            <w:vAlign w:val="center"/>
          </w:tcPr>
          <w:p w14:paraId="2705FE8F"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0.021</w:t>
            </w:r>
          </w:p>
        </w:tc>
        <w:tc>
          <w:tcPr>
            <w:tcW w:w="1304" w:type="dxa"/>
            <w:shd w:val="clear" w:color="auto" w:fill="F2F4F6"/>
            <w:tcMar>
              <w:top w:w="70" w:type="dxa"/>
              <w:left w:w="70" w:type="dxa"/>
              <w:bottom w:w="70" w:type="dxa"/>
              <w:right w:w="70" w:type="dxa"/>
            </w:tcMar>
            <w:vAlign w:val="center"/>
          </w:tcPr>
          <w:p w14:paraId="2C03755D" w14:textId="77777777" w:rsidR="00986803" w:rsidRPr="00AE1FD7" w:rsidRDefault="00DB29B7" w:rsidP="00642214">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غير دال</w:t>
            </w:r>
          </w:p>
        </w:tc>
      </w:tr>
    </w:tbl>
    <w:p w14:paraId="52582A1E"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مخرجات التحليل الإحصائي.</w:t>
      </w:r>
    </w:p>
    <w:p w14:paraId="1B54AE72"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وتشير النتيجة إلى تقارب التصورات بين الفئات، وأن العلاقة بين الحوكمة والكفاءة ظاهرة مؤسسية عامة أكثر من كونها مرتبطة بتخصص واحد. أما الفرق المحدود للخبرة فقد يعكس اختلاف التعرض لدورات التحول أو معرفة الإجراءات القديمة والجديدة.</w:t>
      </w:r>
    </w:p>
    <w:p w14:paraId="1AB5145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2" w:name="_Toc235205656"/>
      <w:r w:rsidRPr="00AE1FD7">
        <w:rPr>
          <w:rFonts w:ascii="Sakkal Majalla" w:eastAsia="Noto Kufi Arabic" w:hAnsi="Sakkal Majalla" w:cs="Sakkal Majalla"/>
          <w:sz w:val="36"/>
          <w:szCs w:val="36"/>
          <w:rtl/>
          <w:lang w:val="ar-SA"/>
        </w:rPr>
        <w:lastRenderedPageBreak/>
        <w:t>4.12 ملخص اختبار الفرضيات</w:t>
      </w:r>
      <w:r w:rsidR="00642214">
        <w:rPr>
          <w:rFonts w:ascii="Sakkal Majalla" w:eastAsia="Noto Kufi Arabic" w:hAnsi="Sakkal Majalla" w:cs="Sakkal Majalla" w:hint="cs"/>
          <w:sz w:val="36"/>
          <w:szCs w:val="36"/>
          <w:rtl/>
          <w:lang w:val="ar-SA"/>
        </w:rPr>
        <w:t>:</w:t>
      </w:r>
      <w:bookmarkEnd w:id="122"/>
    </w:p>
    <w:p w14:paraId="2FD95D84" w14:textId="77777777" w:rsidR="00986803" w:rsidRPr="00642214" w:rsidRDefault="00DB29B7" w:rsidP="00642214">
      <w:pPr>
        <w:keepNext/>
        <w:bidi/>
        <w:spacing w:after="0" w:line="240" w:lineRule="auto"/>
        <w:ind w:firstLine="0"/>
        <w:jc w:val="center"/>
        <w:rPr>
          <w:rFonts w:ascii="Sakkal Majalla" w:hAnsi="Sakkal Majalla" w:cs="Sakkal Majalla"/>
          <w:bCs/>
          <w:sz w:val="36"/>
          <w:szCs w:val="36"/>
        </w:rPr>
      </w:pPr>
      <w:bookmarkStart w:id="123" w:name="table_hypotheses_results"/>
      <w:r w:rsidRPr="00642214">
        <w:rPr>
          <w:rFonts w:ascii="Sakkal Majalla" w:eastAsia="Noto Kufi Arabic" w:hAnsi="Sakkal Majalla" w:cs="Sakkal Majalla"/>
          <w:bCs/>
          <w:color w:val="17365D"/>
          <w:sz w:val="36"/>
          <w:szCs w:val="36"/>
          <w:rtl/>
          <w:lang w:val="ar-SA"/>
        </w:rPr>
        <w:t>جدول (29): ملخص نتائج اختبار فرضيات الدراسة</w:t>
      </w:r>
      <w:bookmarkEnd w:id="123"/>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021"/>
        <w:gridCol w:w="3402"/>
        <w:gridCol w:w="1417"/>
        <w:gridCol w:w="964"/>
        <w:gridCol w:w="1701"/>
      </w:tblGrid>
      <w:tr w:rsidR="00986803" w:rsidRPr="00642214" w14:paraId="36F4A21E" w14:textId="77777777" w:rsidTr="00642214">
        <w:trPr>
          <w:cantSplit/>
          <w:tblHeader/>
          <w:jc w:val="center"/>
        </w:trPr>
        <w:tc>
          <w:tcPr>
            <w:tcW w:w="1020" w:type="dxa"/>
            <w:shd w:val="clear" w:color="auto" w:fill="17365D"/>
            <w:tcMar>
              <w:top w:w="90" w:type="dxa"/>
              <w:left w:w="80" w:type="dxa"/>
              <w:bottom w:w="90" w:type="dxa"/>
              <w:right w:w="80" w:type="dxa"/>
            </w:tcMar>
            <w:vAlign w:val="center"/>
          </w:tcPr>
          <w:p w14:paraId="40E54E9F"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Noto Kufi Arabic" w:hAnsi="Sakkal Majalla" w:cs="Sakkal Majalla"/>
                <w:b/>
                <w:color w:val="FFFFFF"/>
                <w:sz w:val="34"/>
                <w:szCs w:val="34"/>
                <w:rtl/>
                <w:lang w:val="ar-SA"/>
              </w:rPr>
              <w:t>الفرضية</w:t>
            </w:r>
          </w:p>
        </w:tc>
        <w:tc>
          <w:tcPr>
            <w:tcW w:w="3402" w:type="dxa"/>
            <w:shd w:val="clear" w:color="auto" w:fill="17365D"/>
            <w:tcMar>
              <w:top w:w="90" w:type="dxa"/>
              <w:left w:w="80" w:type="dxa"/>
              <w:bottom w:w="90" w:type="dxa"/>
              <w:right w:w="80" w:type="dxa"/>
            </w:tcMar>
            <w:vAlign w:val="center"/>
          </w:tcPr>
          <w:p w14:paraId="3805F00C"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Noto Kufi Arabic" w:hAnsi="Sakkal Majalla" w:cs="Sakkal Majalla"/>
                <w:b/>
                <w:color w:val="FFFFFF"/>
                <w:sz w:val="34"/>
                <w:szCs w:val="34"/>
                <w:rtl/>
                <w:lang w:val="ar-SA"/>
              </w:rPr>
              <w:t>العلاقة</w:t>
            </w:r>
          </w:p>
        </w:tc>
        <w:tc>
          <w:tcPr>
            <w:tcW w:w="1417" w:type="dxa"/>
            <w:shd w:val="clear" w:color="auto" w:fill="17365D"/>
            <w:tcMar>
              <w:top w:w="90" w:type="dxa"/>
              <w:left w:w="80" w:type="dxa"/>
              <w:bottom w:w="90" w:type="dxa"/>
              <w:right w:w="80" w:type="dxa"/>
            </w:tcMar>
            <w:vAlign w:val="center"/>
          </w:tcPr>
          <w:p w14:paraId="56D6BE5F"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Noto Kufi Arabic" w:hAnsi="Sakkal Majalla" w:cs="Sakkal Majalla"/>
                <w:b/>
                <w:color w:val="FFFFFF"/>
                <w:sz w:val="34"/>
                <w:szCs w:val="34"/>
                <w:rtl/>
                <w:lang w:val="ar-SA"/>
              </w:rPr>
              <w:t>المؤشر</w:t>
            </w:r>
          </w:p>
        </w:tc>
        <w:tc>
          <w:tcPr>
            <w:tcW w:w="964" w:type="dxa"/>
            <w:shd w:val="clear" w:color="auto" w:fill="17365D"/>
            <w:tcMar>
              <w:top w:w="90" w:type="dxa"/>
              <w:left w:w="80" w:type="dxa"/>
              <w:bottom w:w="90" w:type="dxa"/>
              <w:right w:w="80" w:type="dxa"/>
            </w:tcMar>
            <w:vAlign w:val="center"/>
          </w:tcPr>
          <w:p w14:paraId="07521D54"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Noto Kufi Arabic" w:hAnsi="Sakkal Majalla" w:cs="Sakkal Majalla"/>
                <w:b/>
                <w:color w:val="FFFFFF"/>
                <w:sz w:val="34"/>
                <w:szCs w:val="34"/>
                <w:rtl/>
                <w:lang w:val="ar-SA"/>
              </w:rPr>
              <w:t>p</w:t>
            </w:r>
          </w:p>
        </w:tc>
        <w:tc>
          <w:tcPr>
            <w:tcW w:w="1701" w:type="dxa"/>
            <w:shd w:val="clear" w:color="auto" w:fill="17365D"/>
            <w:tcMar>
              <w:top w:w="90" w:type="dxa"/>
              <w:left w:w="80" w:type="dxa"/>
              <w:bottom w:w="90" w:type="dxa"/>
              <w:right w:w="80" w:type="dxa"/>
            </w:tcMar>
            <w:vAlign w:val="center"/>
          </w:tcPr>
          <w:p w14:paraId="743BD8AF"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Noto Kufi Arabic" w:hAnsi="Sakkal Majalla" w:cs="Sakkal Majalla"/>
                <w:b/>
                <w:color w:val="FFFFFF"/>
                <w:sz w:val="34"/>
                <w:szCs w:val="34"/>
                <w:rtl/>
                <w:lang w:val="ar-SA"/>
              </w:rPr>
              <w:t>القرار</w:t>
            </w:r>
          </w:p>
        </w:tc>
      </w:tr>
      <w:tr w:rsidR="00986803" w:rsidRPr="00642214" w14:paraId="5F68BA35" w14:textId="77777777" w:rsidTr="00642214">
        <w:trPr>
          <w:jc w:val="center"/>
        </w:trPr>
        <w:tc>
          <w:tcPr>
            <w:tcW w:w="1020" w:type="dxa"/>
            <w:shd w:val="clear" w:color="auto" w:fill="FFFFFF"/>
            <w:tcMar>
              <w:top w:w="70" w:type="dxa"/>
              <w:left w:w="70" w:type="dxa"/>
              <w:bottom w:w="70" w:type="dxa"/>
              <w:right w:w="70" w:type="dxa"/>
            </w:tcMar>
            <w:vAlign w:val="center"/>
          </w:tcPr>
          <w:p w14:paraId="61FC2C24"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w:t>
            </w:r>
          </w:p>
        </w:tc>
        <w:tc>
          <w:tcPr>
            <w:tcW w:w="3402" w:type="dxa"/>
            <w:shd w:val="clear" w:color="auto" w:fill="FFFFFF"/>
            <w:tcMar>
              <w:top w:w="70" w:type="dxa"/>
              <w:left w:w="70" w:type="dxa"/>
              <w:bottom w:w="70" w:type="dxa"/>
              <w:right w:w="70" w:type="dxa"/>
            </w:tcMar>
            <w:vAlign w:val="center"/>
          </w:tcPr>
          <w:p w14:paraId="223659B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الحوكمة الكلية</w:t>
            </w:r>
          </w:p>
        </w:tc>
        <w:tc>
          <w:tcPr>
            <w:tcW w:w="1417" w:type="dxa"/>
            <w:shd w:val="clear" w:color="auto" w:fill="FFFFFF"/>
            <w:tcMar>
              <w:top w:w="70" w:type="dxa"/>
              <w:left w:w="70" w:type="dxa"/>
              <w:bottom w:w="70" w:type="dxa"/>
              <w:right w:w="70" w:type="dxa"/>
            </w:tcMar>
            <w:vAlign w:val="center"/>
          </w:tcPr>
          <w:p w14:paraId="1A1C85E5"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=0.807</w:t>
            </w:r>
          </w:p>
        </w:tc>
        <w:tc>
          <w:tcPr>
            <w:tcW w:w="964" w:type="dxa"/>
            <w:shd w:val="clear" w:color="auto" w:fill="FFFFFF"/>
            <w:tcMar>
              <w:top w:w="70" w:type="dxa"/>
              <w:left w:w="70" w:type="dxa"/>
              <w:bottom w:w="70" w:type="dxa"/>
              <w:right w:w="70" w:type="dxa"/>
            </w:tcMar>
            <w:vAlign w:val="center"/>
          </w:tcPr>
          <w:p w14:paraId="53494F72"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&lt; 0.001</w:t>
            </w:r>
          </w:p>
        </w:tc>
        <w:tc>
          <w:tcPr>
            <w:tcW w:w="1701" w:type="dxa"/>
            <w:shd w:val="clear" w:color="auto" w:fill="FFFFFF"/>
            <w:tcMar>
              <w:top w:w="70" w:type="dxa"/>
              <w:left w:w="70" w:type="dxa"/>
              <w:bottom w:w="70" w:type="dxa"/>
              <w:right w:w="70" w:type="dxa"/>
            </w:tcMar>
            <w:vAlign w:val="center"/>
          </w:tcPr>
          <w:p w14:paraId="3E79BD8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46CC2B7D" w14:textId="77777777" w:rsidTr="00642214">
        <w:trPr>
          <w:jc w:val="center"/>
        </w:trPr>
        <w:tc>
          <w:tcPr>
            <w:tcW w:w="1020" w:type="dxa"/>
            <w:shd w:val="clear" w:color="auto" w:fill="F2F4F6"/>
            <w:tcMar>
              <w:top w:w="70" w:type="dxa"/>
              <w:left w:w="70" w:type="dxa"/>
              <w:bottom w:w="70" w:type="dxa"/>
              <w:right w:w="70" w:type="dxa"/>
            </w:tcMar>
            <w:vAlign w:val="center"/>
          </w:tcPr>
          <w:p w14:paraId="4FBC7F1C"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H1-1</w:t>
            </w:r>
          </w:p>
        </w:tc>
        <w:tc>
          <w:tcPr>
            <w:tcW w:w="3402" w:type="dxa"/>
            <w:shd w:val="clear" w:color="auto" w:fill="F2F4F6"/>
            <w:tcMar>
              <w:top w:w="70" w:type="dxa"/>
              <w:left w:w="70" w:type="dxa"/>
              <w:bottom w:w="70" w:type="dxa"/>
              <w:right w:w="70" w:type="dxa"/>
            </w:tcMar>
            <w:vAlign w:val="center"/>
          </w:tcPr>
          <w:p w14:paraId="0D6538AE"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الشفافية والإفصاح</w:t>
            </w:r>
          </w:p>
        </w:tc>
        <w:tc>
          <w:tcPr>
            <w:tcW w:w="1417" w:type="dxa"/>
            <w:shd w:val="clear" w:color="auto" w:fill="F2F4F6"/>
            <w:tcMar>
              <w:top w:w="70" w:type="dxa"/>
              <w:left w:w="70" w:type="dxa"/>
              <w:bottom w:w="70" w:type="dxa"/>
              <w:right w:w="70" w:type="dxa"/>
            </w:tcMar>
            <w:vAlign w:val="center"/>
          </w:tcPr>
          <w:p w14:paraId="7F3C2713"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=0.224</w:t>
            </w:r>
          </w:p>
        </w:tc>
        <w:tc>
          <w:tcPr>
            <w:tcW w:w="964" w:type="dxa"/>
            <w:shd w:val="clear" w:color="auto" w:fill="F2F4F6"/>
            <w:tcMar>
              <w:top w:w="70" w:type="dxa"/>
              <w:left w:w="70" w:type="dxa"/>
              <w:bottom w:w="70" w:type="dxa"/>
              <w:right w:w="70" w:type="dxa"/>
            </w:tcMar>
            <w:vAlign w:val="center"/>
          </w:tcPr>
          <w:p w14:paraId="41B40920"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&lt; 0.001</w:t>
            </w:r>
          </w:p>
        </w:tc>
        <w:tc>
          <w:tcPr>
            <w:tcW w:w="1701" w:type="dxa"/>
            <w:shd w:val="clear" w:color="auto" w:fill="F2F4F6"/>
            <w:tcMar>
              <w:top w:w="70" w:type="dxa"/>
              <w:left w:w="70" w:type="dxa"/>
              <w:bottom w:w="70" w:type="dxa"/>
              <w:right w:w="70" w:type="dxa"/>
            </w:tcMar>
            <w:vAlign w:val="center"/>
          </w:tcPr>
          <w:p w14:paraId="32CEE8F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4C8A9FB4" w14:textId="77777777" w:rsidTr="00642214">
        <w:trPr>
          <w:jc w:val="center"/>
        </w:trPr>
        <w:tc>
          <w:tcPr>
            <w:tcW w:w="1020" w:type="dxa"/>
            <w:shd w:val="clear" w:color="auto" w:fill="FFFFFF"/>
            <w:tcMar>
              <w:top w:w="70" w:type="dxa"/>
              <w:left w:w="70" w:type="dxa"/>
              <w:bottom w:w="70" w:type="dxa"/>
              <w:right w:w="70" w:type="dxa"/>
            </w:tcMar>
            <w:vAlign w:val="center"/>
          </w:tcPr>
          <w:p w14:paraId="21AD397F"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H1-2</w:t>
            </w:r>
          </w:p>
        </w:tc>
        <w:tc>
          <w:tcPr>
            <w:tcW w:w="3402" w:type="dxa"/>
            <w:shd w:val="clear" w:color="auto" w:fill="FFFFFF"/>
            <w:tcMar>
              <w:top w:w="70" w:type="dxa"/>
              <w:left w:w="70" w:type="dxa"/>
              <w:bottom w:w="70" w:type="dxa"/>
              <w:right w:w="70" w:type="dxa"/>
            </w:tcMar>
            <w:vAlign w:val="center"/>
          </w:tcPr>
          <w:p w14:paraId="0D8383DF"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المساءلة والرقابة الداخلية</w:t>
            </w:r>
          </w:p>
        </w:tc>
        <w:tc>
          <w:tcPr>
            <w:tcW w:w="1417" w:type="dxa"/>
            <w:shd w:val="clear" w:color="auto" w:fill="FFFFFF"/>
            <w:tcMar>
              <w:top w:w="70" w:type="dxa"/>
              <w:left w:w="70" w:type="dxa"/>
              <w:bottom w:w="70" w:type="dxa"/>
              <w:right w:w="70" w:type="dxa"/>
            </w:tcMar>
            <w:vAlign w:val="center"/>
          </w:tcPr>
          <w:p w14:paraId="0966C779"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=0.136</w:t>
            </w:r>
          </w:p>
        </w:tc>
        <w:tc>
          <w:tcPr>
            <w:tcW w:w="964" w:type="dxa"/>
            <w:shd w:val="clear" w:color="auto" w:fill="FFFFFF"/>
            <w:tcMar>
              <w:top w:w="70" w:type="dxa"/>
              <w:left w:w="70" w:type="dxa"/>
              <w:bottom w:w="70" w:type="dxa"/>
              <w:right w:w="70" w:type="dxa"/>
            </w:tcMar>
            <w:vAlign w:val="center"/>
          </w:tcPr>
          <w:p w14:paraId="46FF2F0B"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0.003</w:t>
            </w:r>
          </w:p>
        </w:tc>
        <w:tc>
          <w:tcPr>
            <w:tcW w:w="1701" w:type="dxa"/>
            <w:shd w:val="clear" w:color="auto" w:fill="FFFFFF"/>
            <w:tcMar>
              <w:top w:w="70" w:type="dxa"/>
              <w:left w:w="70" w:type="dxa"/>
              <w:bottom w:w="70" w:type="dxa"/>
              <w:right w:w="70" w:type="dxa"/>
            </w:tcMar>
            <w:vAlign w:val="center"/>
          </w:tcPr>
          <w:p w14:paraId="46BC9AC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1314E742" w14:textId="77777777" w:rsidTr="00642214">
        <w:trPr>
          <w:jc w:val="center"/>
        </w:trPr>
        <w:tc>
          <w:tcPr>
            <w:tcW w:w="1020" w:type="dxa"/>
            <w:shd w:val="clear" w:color="auto" w:fill="F2F4F6"/>
            <w:tcMar>
              <w:top w:w="70" w:type="dxa"/>
              <w:left w:w="70" w:type="dxa"/>
              <w:bottom w:w="70" w:type="dxa"/>
              <w:right w:w="70" w:type="dxa"/>
            </w:tcMar>
            <w:vAlign w:val="center"/>
          </w:tcPr>
          <w:p w14:paraId="7D1DAD4E"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H1-3</w:t>
            </w:r>
          </w:p>
        </w:tc>
        <w:tc>
          <w:tcPr>
            <w:tcW w:w="3402" w:type="dxa"/>
            <w:shd w:val="clear" w:color="auto" w:fill="F2F4F6"/>
            <w:tcMar>
              <w:top w:w="70" w:type="dxa"/>
              <w:left w:w="70" w:type="dxa"/>
              <w:bottom w:w="70" w:type="dxa"/>
              <w:right w:w="70" w:type="dxa"/>
            </w:tcMar>
            <w:vAlign w:val="center"/>
          </w:tcPr>
          <w:p w14:paraId="768E7F45"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 xml:space="preserve">تكامل البيانات </w:t>
            </w:r>
            <w:proofErr w:type="spellStart"/>
            <w:r w:rsidRPr="00642214">
              <w:rPr>
                <w:rFonts w:ascii="Sakkal Majalla" w:hAnsi="Sakkal Majalla" w:cs="Sakkal Majalla"/>
                <w:color w:val="000000"/>
                <w:sz w:val="34"/>
                <w:szCs w:val="34"/>
                <w:rtl/>
                <w:lang w:val="ar-SA"/>
              </w:rPr>
              <w:t>والرقمنة</w:t>
            </w:r>
            <w:proofErr w:type="spellEnd"/>
          </w:p>
        </w:tc>
        <w:tc>
          <w:tcPr>
            <w:tcW w:w="1417" w:type="dxa"/>
            <w:shd w:val="clear" w:color="auto" w:fill="F2F4F6"/>
            <w:tcMar>
              <w:top w:w="70" w:type="dxa"/>
              <w:left w:w="70" w:type="dxa"/>
              <w:bottom w:w="70" w:type="dxa"/>
              <w:right w:w="70" w:type="dxa"/>
            </w:tcMar>
            <w:vAlign w:val="center"/>
          </w:tcPr>
          <w:p w14:paraId="53B576AC"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=0.270</w:t>
            </w:r>
          </w:p>
        </w:tc>
        <w:tc>
          <w:tcPr>
            <w:tcW w:w="964" w:type="dxa"/>
            <w:shd w:val="clear" w:color="auto" w:fill="F2F4F6"/>
            <w:tcMar>
              <w:top w:w="70" w:type="dxa"/>
              <w:left w:w="70" w:type="dxa"/>
              <w:bottom w:w="70" w:type="dxa"/>
              <w:right w:w="70" w:type="dxa"/>
            </w:tcMar>
            <w:vAlign w:val="center"/>
          </w:tcPr>
          <w:p w14:paraId="73968105"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&lt; 0.001</w:t>
            </w:r>
          </w:p>
        </w:tc>
        <w:tc>
          <w:tcPr>
            <w:tcW w:w="1701" w:type="dxa"/>
            <w:shd w:val="clear" w:color="auto" w:fill="F2F4F6"/>
            <w:tcMar>
              <w:top w:w="70" w:type="dxa"/>
              <w:left w:w="70" w:type="dxa"/>
              <w:bottom w:w="70" w:type="dxa"/>
              <w:right w:w="70" w:type="dxa"/>
            </w:tcMar>
            <w:vAlign w:val="center"/>
          </w:tcPr>
          <w:p w14:paraId="6FE0832A"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3DC15290" w14:textId="77777777" w:rsidTr="00642214">
        <w:trPr>
          <w:jc w:val="center"/>
        </w:trPr>
        <w:tc>
          <w:tcPr>
            <w:tcW w:w="1020" w:type="dxa"/>
            <w:shd w:val="clear" w:color="auto" w:fill="FFFFFF"/>
            <w:tcMar>
              <w:top w:w="70" w:type="dxa"/>
              <w:left w:w="70" w:type="dxa"/>
              <w:bottom w:w="70" w:type="dxa"/>
              <w:right w:w="70" w:type="dxa"/>
            </w:tcMar>
            <w:vAlign w:val="center"/>
          </w:tcPr>
          <w:p w14:paraId="23F8925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H1-4</w:t>
            </w:r>
          </w:p>
        </w:tc>
        <w:tc>
          <w:tcPr>
            <w:tcW w:w="3402" w:type="dxa"/>
            <w:shd w:val="clear" w:color="auto" w:fill="FFFFFF"/>
            <w:tcMar>
              <w:top w:w="70" w:type="dxa"/>
              <w:left w:w="70" w:type="dxa"/>
              <w:bottom w:w="70" w:type="dxa"/>
              <w:right w:w="70" w:type="dxa"/>
            </w:tcMar>
            <w:vAlign w:val="center"/>
          </w:tcPr>
          <w:p w14:paraId="1212D266"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التخطيط ودورة الحياة</w:t>
            </w:r>
          </w:p>
        </w:tc>
        <w:tc>
          <w:tcPr>
            <w:tcW w:w="1417" w:type="dxa"/>
            <w:shd w:val="clear" w:color="auto" w:fill="FFFFFF"/>
            <w:tcMar>
              <w:top w:w="70" w:type="dxa"/>
              <w:left w:w="70" w:type="dxa"/>
              <w:bottom w:w="70" w:type="dxa"/>
              <w:right w:w="70" w:type="dxa"/>
            </w:tcMar>
            <w:vAlign w:val="center"/>
          </w:tcPr>
          <w:p w14:paraId="771E4EC5"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=0.274</w:t>
            </w:r>
          </w:p>
        </w:tc>
        <w:tc>
          <w:tcPr>
            <w:tcW w:w="964" w:type="dxa"/>
            <w:shd w:val="clear" w:color="auto" w:fill="FFFFFF"/>
            <w:tcMar>
              <w:top w:w="70" w:type="dxa"/>
              <w:left w:w="70" w:type="dxa"/>
              <w:bottom w:w="70" w:type="dxa"/>
              <w:right w:w="70" w:type="dxa"/>
            </w:tcMar>
            <w:vAlign w:val="center"/>
          </w:tcPr>
          <w:p w14:paraId="60C0D2DA"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&lt; 0.001</w:t>
            </w:r>
          </w:p>
        </w:tc>
        <w:tc>
          <w:tcPr>
            <w:tcW w:w="1701" w:type="dxa"/>
            <w:shd w:val="clear" w:color="auto" w:fill="FFFFFF"/>
            <w:tcMar>
              <w:top w:w="70" w:type="dxa"/>
              <w:left w:w="70" w:type="dxa"/>
              <w:bottom w:w="70" w:type="dxa"/>
              <w:right w:w="70" w:type="dxa"/>
            </w:tcMar>
            <w:vAlign w:val="center"/>
          </w:tcPr>
          <w:p w14:paraId="6065D5A0"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5E57CB44" w14:textId="77777777" w:rsidTr="00642214">
        <w:trPr>
          <w:jc w:val="center"/>
        </w:trPr>
        <w:tc>
          <w:tcPr>
            <w:tcW w:w="1020" w:type="dxa"/>
            <w:shd w:val="clear" w:color="auto" w:fill="F2F4F6"/>
            <w:tcMar>
              <w:top w:w="70" w:type="dxa"/>
              <w:left w:w="70" w:type="dxa"/>
              <w:bottom w:w="70" w:type="dxa"/>
              <w:right w:w="70" w:type="dxa"/>
            </w:tcMar>
            <w:vAlign w:val="center"/>
          </w:tcPr>
          <w:p w14:paraId="3C892652"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H1-5</w:t>
            </w:r>
          </w:p>
        </w:tc>
        <w:tc>
          <w:tcPr>
            <w:tcW w:w="3402" w:type="dxa"/>
            <w:shd w:val="clear" w:color="auto" w:fill="F2F4F6"/>
            <w:tcMar>
              <w:top w:w="70" w:type="dxa"/>
              <w:left w:w="70" w:type="dxa"/>
              <w:bottom w:w="70" w:type="dxa"/>
              <w:right w:w="70" w:type="dxa"/>
            </w:tcMar>
            <w:vAlign w:val="center"/>
          </w:tcPr>
          <w:p w14:paraId="748FE09E"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إدارة المخاطر والامتثال</w:t>
            </w:r>
          </w:p>
        </w:tc>
        <w:tc>
          <w:tcPr>
            <w:tcW w:w="1417" w:type="dxa"/>
            <w:shd w:val="clear" w:color="auto" w:fill="F2F4F6"/>
            <w:tcMar>
              <w:top w:w="70" w:type="dxa"/>
              <w:left w:w="70" w:type="dxa"/>
              <w:bottom w:w="70" w:type="dxa"/>
              <w:right w:w="70" w:type="dxa"/>
            </w:tcMar>
            <w:vAlign w:val="center"/>
          </w:tcPr>
          <w:p w14:paraId="4EA8FC84"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Cambria" w:hAnsi="Cambria" w:cs="Cambria" w:hint="cs"/>
                <w:color w:val="000000"/>
                <w:sz w:val="34"/>
                <w:szCs w:val="34"/>
                <w:rtl/>
                <w:lang w:val="ar-SA"/>
              </w:rPr>
              <w:t>β</w:t>
            </w:r>
            <w:r w:rsidRPr="00642214">
              <w:rPr>
                <w:rFonts w:ascii="Sakkal Majalla" w:hAnsi="Sakkal Majalla" w:cs="Sakkal Majalla"/>
                <w:color w:val="000000"/>
                <w:sz w:val="34"/>
                <w:szCs w:val="34"/>
                <w:rtl/>
                <w:lang w:val="ar-SA"/>
              </w:rPr>
              <w:t>=0.131</w:t>
            </w:r>
          </w:p>
        </w:tc>
        <w:tc>
          <w:tcPr>
            <w:tcW w:w="964" w:type="dxa"/>
            <w:shd w:val="clear" w:color="auto" w:fill="F2F4F6"/>
            <w:tcMar>
              <w:top w:w="70" w:type="dxa"/>
              <w:left w:w="70" w:type="dxa"/>
              <w:bottom w:w="70" w:type="dxa"/>
              <w:right w:w="70" w:type="dxa"/>
            </w:tcMar>
            <w:vAlign w:val="center"/>
          </w:tcPr>
          <w:p w14:paraId="43EC3C2E"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0.001</w:t>
            </w:r>
          </w:p>
        </w:tc>
        <w:tc>
          <w:tcPr>
            <w:tcW w:w="1701" w:type="dxa"/>
            <w:shd w:val="clear" w:color="auto" w:fill="F2F4F6"/>
            <w:tcMar>
              <w:top w:w="70" w:type="dxa"/>
              <w:left w:w="70" w:type="dxa"/>
              <w:bottom w:w="70" w:type="dxa"/>
              <w:right w:w="70" w:type="dxa"/>
            </w:tcMar>
            <w:vAlign w:val="center"/>
          </w:tcPr>
          <w:p w14:paraId="58CD7D96"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w:t>
            </w:r>
          </w:p>
        </w:tc>
      </w:tr>
      <w:tr w:rsidR="00986803" w:rsidRPr="00642214" w14:paraId="32763247" w14:textId="77777777" w:rsidTr="00642214">
        <w:trPr>
          <w:jc w:val="center"/>
        </w:trPr>
        <w:tc>
          <w:tcPr>
            <w:tcW w:w="1020" w:type="dxa"/>
            <w:shd w:val="clear" w:color="auto" w:fill="FFFFFF"/>
            <w:tcMar>
              <w:top w:w="70" w:type="dxa"/>
              <w:left w:w="70" w:type="dxa"/>
              <w:bottom w:w="70" w:type="dxa"/>
              <w:right w:w="70" w:type="dxa"/>
            </w:tcMar>
            <w:vAlign w:val="center"/>
          </w:tcPr>
          <w:p w14:paraId="691DDF7E"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eastAsia="DejaVu Sans" w:hAnsi="Sakkal Majalla" w:cs="Sakkal Majalla"/>
                <w:color w:val="000000"/>
                <w:sz w:val="34"/>
                <w:szCs w:val="34"/>
                <w:lang w:bidi="en-US"/>
              </w:rPr>
              <w:t>H2</w:t>
            </w:r>
          </w:p>
        </w:tc>
        <w:tc>
          <w:tcPr>
            <w:tcW w:w="3402" w:type="dxa"/>
            <w:shd w:val="clear" w:color="auto" w:fill="FFFFFF"/>
            <w:tcMar>
              <w:top w:w="70" w:type="dxa"/>
              <w:left w:w="70" w:type="dxa"/>
              <w:bottom w:w="70" w:type="dxa"/>
              <w:right w:w="70" w:type="dxa"/>
            </w:tcMar>
            <w:vAlign w:val="center"/>
          </w:tcPr>
          <w:p w14:paraId="3A13E547"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الفروق الديموغرافية</w:t>
            </w:r>
          </w:p>
        </w:tc>
        <w:tc>
          <w:tcPr>
            <w:tcW w:w="1417" w:type="dxa"/>
            <w:shd w:val="clear" w:color="auto" w:fill="FFFFFF"/>
            <w:tcMar>
              <w:top w:w="70" w:type="dxa"/>
              <w:left w:w="70" w:type="dxa"/>
              <w:bottom w:w="70" w:type="dxa"/>
              <w:right w:w="70" w:type="dxa"/>
            </w:tcMar>
            <w:vAlign w:val="center"/>
          </w:tcPr>
          <w:p w14:paraId="284F9BFA"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فروق محدودة وغير مستقرة</w:t>
            </w:r>
          </w:p>
        </w:tc>
        <w:tc>
          <w:tcPr>
            <w:tcW w:w="964" w:type="dxa"/>
            <w:shd w:val="clear" w:color="auto" w:fill="FFFFFF"/>
            <w:tcMar>
              <w:top w:w="70" w:type="dxa"/>
              <w:left w:w="70" w:type="dxa"/>
              <w:bottom w:w="70" w:type="dxa"/>
              <w:right w:w="70" w:type="dxa"/>
            </w:tcMar>
            <w:vAlign w:val="center"/>
          </w:tcPr>
          <w:p w14:paraId="111F8EBB"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w:t>
            </w:r>
          </w:p>
        </w:tc>
        <w:tc>
          <w:tcPr>
            <w:tcW w:w="1701" w:type="dxa"/>
            <w:shd w:val="clear" w:color="auto" w:fill="FFFFFF"/>
            <w:tcMar>
              <w:top w:w="70" w:type="dxa"/>
              <w:left w:w="70" w:type="dxa"/>
              <w:bottom w:w="70" w:type="dxa"/>
              <w:right w:w="70" w:type="dxa"/>
            </w:tcMar>
            <w:vAlign w:val="center"/>
          </w:tcPr>
          <w:p w14:paraId="02B3454C" w14:textId="77777777" w:rsidR="00986803" w:rsidRPr="00642214" w:rsidRDefault="00DB29B7" w:rsidP="00642214">
            <w:pPr>
              <w:bidi/>
              <w:spacing w:after="0" w:line="240" w:lineRule="auto"/>
              <w:ind w:firstLine="0"/>
              <w:jc w:val="center"/>
              <w:rPr>
                <w:rFonts w:ascii="Sakkal Majalla" w:hAnsi="Sakkal Majalla" w:cs="Sakkal Majalla"/>
                <w:sz w:val="34"/>
                <w:szCs w:val="34"/>
              </w:rPr>
            </w:pPr>
            <w:r w:rsidRPr="00642214">
              <w:rPr>
                <w:rFonts w:ascii="Sakkal Majalla" w:hAnsi="Sakkal Majalla" w:cs="Sakkal Majalla"/>
                <w:color w:val="000000"/>
                <w:sz w:val="34"/>
                <w:szCs w:val="34"/>
                <w:rtl/>
                <w:lang w:val="ar-SA"/>
              </w:rPr>
              <w:t>مقبولة جزئياً</w:t>
            </w:r>
          </w:p>
        </w:tc>
      </w:tr>
    </w:tbl>
    <w:p w14:paraId="7B739413"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مخرجات التحليل الإحصائي.</w:t>
      </w:r>
    </w:p>
    <w:p w14:paraId="1C049C48" w14:textId="77777777" w:rsidR="00642214" w:rsidRPr="00AE1FD7" w:rsidRDefault="00642214" w:rsidP="00642214">
      <w:pPr>
        <w:bidi/>
        <w:spacing w:after="0" w:line="240" w:lineRule="auto"/>
        <w:ind w:firstLine="0"/>
        <w:rPr>
          <w:rFonts w:ascii="Sakkal Majalla" w:hAnsi="Sakkal Majalla" w:cs="Sakkal Majalla"/>
          <w:sz w:val="36"/>
          <w:szCs w:val="36"/>
        </w:rPr>
      </w:pPr>
    </w:p>
    <w:p w14:paraId="77EC47E6" w14:textId="77777777" w:rsidR="00986803" w:rsidRPr="00AE1FD7" w:rsidRDefault="00DB29B7" w:rsidP="00642214">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24" w:name="_Toc235205657"/>
      <w:r w:rsidRPr="00AE1FD7">
        <w:rPr>
          <w:rFonts w:ascii="Sakkal Majalla" w:eastAsia="Noto Kufi Arabic" w:hAnsi="Sakkal Majalla" w:cs="Sakkal Majalla"/>
          <w:sz w:val="36"/>
          <w:szCs w:val="36"/>
          <w:rtl/>
          <w:lang w:val="ar-SA"/>
        </w:rPr>
        <w:t>4.13 خلاصة الفصل</w:t>
      </w:r>
      <w:bookmarkEnd w:id="124"/>
    </w:p>
    <w:p w14:paraId="3E8F494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أظهرت النتائج مستوى مرتفعاً للحوكمة والكفاءة، مع انخفاض نسبي في تكامل البيانات ودورة الحياة. ووجدت علاقة قوية وأثر تفسيري مرتفع للحوكمة، وكانت جميع الأبعاد دالة في النموذج المتعدد، وتصدر التخطيط ودورة الحياة </w:t>
      </w:r>
      <w:proofErr w:type="spellStart"/>
      <w:r w:rsidRPr="00AE1FD7">
        <w:rPr>
          <w:rFonts w:ascii="Sakkal Majalla" w:hAnsi="Sakkal Majalla" w:cs="Sakkal Majalla"/>
          <w:color w:val="000000"/>
          <w:sz w:val="36"/>
          <w:szCs w:val="36"/>
          <w:rtl/>
          <w:lang w:val="ar-SA"/>
        </w:rPr>
        <w:t>والرقمنة</w:t>
      </w:r>
      <w:proofErr w:type="spellEnd"/>
      <w:r w:rsidRPr="00AE1FD7">
        <w:rPr>
          <w:rFonts w:ascii="Sakkal Majalla" w:hAnsi="Sakkal Majalla" w:cs="Sakkal Majalla"/>
          <w:color w:val="000000"/>
          <w:sz w:val="36"/>
          <w:szCs w:val="36"/>
          <w:rtl/>
          <w:lang w:val="ar-SA"/>
        </w:rPr>
        <w:t>. كما كانت الفروق الديموغرافية محدودة. ويناقش الفصل التالي هذه النتائج في ضوء النظرية والدراسات ويحولها إلى توصيات وإطار تطبيقي.</w:t>
      </w:r>
    </w:p>
    <w:p w14:paraId="19FAF30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4B4AED6C" w14:textId="77777777" w:rsidR="00986803" w:rsidRPr="00642214" w:rsidRDefault="00DB29B7" w:rsidP="00642214">
      <w:pPr>
        <w:pStyle w:val="1"/>
        <w:pBdr>
          <w:bottom w:val="single" w:sz="18" w:space="8" w:color="C69C3A"/>
        </w:pBdr>
        <w:bidi/>
        <w:spacing w:after="0" w:line="240" w:lineRule="auto"/>
        <w:ind w:firstLine="0"/>
        <w:rPr>
          <w:rFonts w:ascii="Sakkal Majalla" w:hAnsi="Sakkal Majalla" w:cs="Sakkal Majalla"/>
          <w:szCs w:val="40"/>
        </w:rPr>
      </w:pPr>
      <w:bookmarkStart w:id="125" w:name="_Toc235205658"/>
      <w:r w:rsidRPr="00642214">
        <w:rPr>
          <w:rFonts w:ascii="Sakkal Majalla" w:eastAsia="Noto Kufi Arabic" w:hAnsi="Sakkal Majalla" w:cs="Sakkal Majalla"/>
          <w:szCs w:val="40"/>
          <w:rtl/>
          <w:lang w:val="ar-SA"/>
        </w:rPr>
        <w:lastRenderedPageBreak/>
        <w:t>الفصل الخامس: مناقشة النتائج والاستنتاجات والتوصيات</w:t>
      </w:r>
      <w:bookmarkEnd w:id="125"/>
    </w:p>
    <w:p w14:paraId="14832ED0"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6" w:name="_Toc235205659"/>
      <w:r w:rsidRPr="00AE1FD7">
        <w:rPr>
          <w:rFonts w:ascii="Sakkal Majalla" w:eastAsia="Noto Kufi Arabic" w:hAnsi="Sakkal Majalla" w:cs="Sakkal Majalla"/>
          <w:sz w:val="36"/>
          <w:szCs w:val="36"/>
          <w:rtl/>
          <w:lang w:val="ar-SA"/>
        </w:rPr>
        <w:t>5.1 مقدمة الفصل</w:t>
      </w:r>
      <w:r w:rsidR="00D26C73">
        <w:rPr>
          <w:rFonts w:ascii="Sakkal Majalla" w:eastAsia="Noto Kufi Arabic" w:hAnsi="Sakkal Majalla" w:cs="Sakkal Majalla" w:hint="cs"/>
          <w:sz w:val="36"/>
          <w:szCs w:val="36"/>
          <w:rtl/>
          <w:lang w:val="ar-SA"/>
        </w:rPr>
        <w:t>:</w:t>
      </w:r>
      <w:bookmarkEnd w:id="126"/>
    </w:p>
    <w:p w14:paraId="07A7AE98"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يناقش هذا الفصل النتائج من خلال ربطها بأسئلة الدراسة ونظرياتها والأدبيات والسياق السعودي، ثم يستخلص المساهمات والتوصيات. كما يقدم إطاراً متكاملاً وخارطة طريق ومؤشرات تساعد الجهات الحكومية على تحويل النتائج إلى ممارسات قابلة للتنفيذ.</w:t>
      </w:r>
    </w:p>
    <w:p w14:paraId="46E1A634"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7" w:name="_Toc235205660"/>
      <w:r w:rsidRPr="00AE1FD7">
        <w:rPr>
          <w:rFonts w:ascii="Sakkal Majalla" w:eastAsia="Noto Kufi Arabic" w:hAnsi="Sakkal Majalla" w:cs="Sakkal Majalla"/>
          <w:sz w:val="36"/>
          <w:szCs w:val="36"/>
          <w:rtl/>
          <w:lang w:val="ar-SA"/>
        </w:rPr>
        <w:t>5.2 مناقشة مستوى الحوكمة</w:t>
      </w:r>
      <w:bookmarkEnd w:id="127"/>
    </w:p>
    <w:p w14:paraId="59B2007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يشير المتوسط الكلي المرتفع إلى أن الجهات قطعت شوطاً مهماً في تبني السياسات والرقابة والامتثال، وهو أمر يتسق مع التطور الوطني في الأدلة واللوائح والتحول المحاسبي. ومع ذلك، فإن بقاء المتوسط دون «مرتفع جداً» يدل على أن النضج لم يكتمل، وأن التطبيق يختلف بين العناصر.</w:t>
      </w:r>
    </w:p>
    <w:p w14:paraId="1CC7C9F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وتصدر المخاطر والامتثال يعكس قوة البيئة النظامية والاهتمام بالسلامة والاشتراطات، وربما تأثر المشاركين بوضوح المتطلبات الرقابية. إلا أن انخفاض بند خطط معالجة المخاطر مقارنة بالالتزام يشير إلى ميل نحو الامتثال القائم على القواعد أكثر من الإدارة الاستباقية. ويحتاج النضج الأعلى إلى ربط سجل المخاطر بميزانية الصيانة وخطط الاستمرارية.</w:t>
      </w:r>
    </w:p>
    <w:p w14:paraId="379AE2B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أما ارتفاع المساءلة فيتفق مع توسع المراجعة الداخلية ومصفوفات الصلاحيات، لكنه لا يعني اكتمال إغلاق الملاحظات. وتؤكد نظرية الوكالة أن وجود الرقابة يقلل تكاليف الوكالة فقط عندما تكون المعلومات موثوقة والجزاء أو التصحيح فعّالاً.</w:t>
      </w:r>
    </w:p>
    <w:p w14:paraId="4BF7665C"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 xml:space="preserve">وجاءت </w:t>
      </w:r>
      <w:proofErr w:type="spellStart"/>
      <w:r w:rsidRPr="00AE1FD7">
        <w:rPr>
          <w:rFonts w:ascii="Sakkal Majalla" w:hAnsi="Sakkal Majalla" w:cs="Sakkal Majalla"/>
          <w:color w:val="000000"/>
          <w:sz w:val="36"/>
          <w:szCs w:val="36"/>
          <w:rtl/>
          <w:lang w:val="ar-SA"/>
        </w:rPr>
        <w:t>الرقمنة</w:t>
      </w:r>
      <w:proofErr w:type="spellEnd"/>
      <w:r w:rsidRPr="00AE1FD7">
        <w:rPr>
          <w:rFonts w:ascii="Sakkal Majalla" w:hAnsi="Sakkal Majalla" w:cs="Sakkal Majalla"/>
          <w:color w:val="000000"/>
          <w:sz w:val="36"/>
          <w:szCs w:val="36"/>
          <w:rtl/>
          <w:lang w:val="ar-SA"/>
        </w:rPr>
        <w:t xml:space="preserve"> في المرتبة الأخيرة، وهي نتيجة مهمة لأن البيئة السعودية متقدمة في التحول الرقمي عموماً. ويمكن تفسير ذلك بأن </w:t>
      </w:r>
      <w:proofErr w:type="spellStart"/>
      <w:r w:rsidRPr="00AE1FD7">
        <w:rPr>
          <w:rFonts w:ascii="Sakkal Majalla" w:hAnsi="Sakkal Majalla" w:cs="Sakkal Majalla"/>
          <w:color w:val="000000"/>
          <w:sz w:val="36"/>
          <w:szCs w:val="36"/>
          <w:rtl/>
          <w:lang w:val="ar-SA"/>
        </w:rPr>
        <w:t>رقمنة</w:t>
      </w:r>
      <w:proofErr w:type="spellEnd"/>
      <w:r w:rsidRPr="00AE1FD7">
        <w:rPr>
          <w:rFonts w:ascii="Sakkal Majalla" w:hAnsi="Sakkal Majalla" w:cs="Sakkal Majalla"/>
          <w:color w:val="000000"/>
          <w:sz w:val="36"/>
          <w:szCs w:val="36"/>
          <w:rtl/>
          <w:lang w:val="ar-SA"/>
        </w:rPr>
        <w:t xml:space="preserve"> الواجهة أو التقارير أسرع من تكامل البيانات الخلفية بين المالية والأصول والصيانة والعقود. وهذا يتفق مع </w:t>
      </w:r>
      <w:proofErr w:type="spellStart"/>
      <w:r w:rsidRPr="00AE1FD7">
        <w:rPr>
          <w:rFonts w:ascii="Sakkal Majalla" w:hAnsi="Sakkal Majalla" w:cs="Sakkal Majalla"/>
          <w:color w:val="000000"/>
          <w:sz w:val="36"/>
          <w:szCs w:val="36"/>
          <w:rtl/>
          <w:lang w:val="ar-SA"/>
        </w:rPr>
        <w:t>Garmendia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وKapur</w:t>
      </w:r>
      <w:proofErr w:type="spellEnd"/>
      <w:r w:rsidRPr="00AE1FD7">
        <w:rPr>
          <w:rFonts w:ascii="Sakkal Majalla" w:hAnsi="Sakkal Majalla" w:cs="Sakkal Majalla"/>
          <w:color w:val="000000"/>
          <w:sz w:val="36"/>
          <w:szCs w:val="36"/>
          <w:rtl/>
          <w:lang w:val="ar-SA"/>
        </w:rPr>
        <w:t xml:space="preserve"> (2013) اللذين اعتبرا التجزؤ تحدياً مركزياً، ومع أداة النضج التي تفرق بين وجود النظام وحوكمة البيانات (</w:t>
      </w:r>
      <w:proofErr w:type="spellStart"/>
      <w:r w:rsidRPr="00AE1FD7">
        <w:rPr>
          <w:rFonts w:ascii="Sakkal Majalla" w:hAnsi="Sakkal Majalla" w:cs="Sakkal Majalla"/>
          <w:color w:val="000000"/>
          <w:sz w:val="36"/>
          <w:szCs w:val="36"/>
          <w:rtl/>
          <w:lang w:val="ar-SA"/>
        </w:rPr>
        <w:t>García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Mejía</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et</w:t>
      </w:r>
      <w:proofErr w:type="spellEnd"/>
      <w:r w:rsidRPr="00AE1FD7">
        <w:rPr>
          <w:rFonts w:ascii="Sakkal Majalla" w:hAnsi="Sakkal Majalla" w:cs="Sakkal Majalla"/>
          <w:color w:val="000000"/>
          <w:sz w:val="36"/>
          <w:szCs w:val="36"/>
          <w:rtl/>
          <w:lang w:val="ar-SA"/>
        </w:rPr>
        <w:t xml:space="preserve"> </w:t>
      </w:r>
      <w:proofErr w:type="spellStart"/>
      <w:r w:rsidRPr="00AE1FD7">
        <w:rPr>
          <w:rFonts w:ascii="Sakkal Majalla" w:hAnsi="Sakkal Majalla" w:cs="Sakkal Majalla"/>
          <w:color w:val="000000"/>
          <w:sz w:val="36"/>
          <w:szCs w:val="36"/>
          <w:rtl/>
          <w:lang w:val="ar-SA"/>
        </w:rPr>
        <w:t>al</w:t>
      </w:r>
      <w:proofErr w:type="spellEnd"/>
      <w:r w:rsidRPr="00AE1FD7">
        <w:rPr>
          <w:rFonts w:ascii="Sakkal Majalla" w:hAnsi="Sakkal Majalla" w:cs="Sakkal Majalla"/>
          <w:color w:val="000000"/>
          <w:sz w:val="36"/>
          <w:szCs w:val="36"/>
          <w:rtl/>
          <w:lang w:val="ar-SA"/>
        </w:rPr>
        <w:t>., 2024).</w:t>
      </w:r>
    </w:p>
    <w:p w14:paraId="6D1EAAE4" w14:textId="77777777" w:rsidR="00D26C73" w:rsidRPr="00AE1FD7" w:rsidRDefault="00D26C73" w:rsidP="00D26C73">
      <w:pPr>
        <w:bidi/>
        <w:spacing w:after="0" w:line="240" w:lineRule="auto"/>
        <w:rPr>
          <w:rFonts w:ascii="Sakkal Majalla" w:hAnsi="Sakkal Majalla" w:cs="Sakkal Majalla"/>
          <w:sz w:val="36"/>
          <w:szCs w:val="36"/>
        </w:rPr>
      </w:pPr>
    </w:p>
    <w:p w14:paraId="4C8ED401"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8" w:name="_Toc235205661"/>
      <w:r w:rsidRPr="00AE1FD7">
        <w:rPr>
          <w:rFonts w:ascii="Sakkal Majalla" w:eastAsia="Noto Kufi Arabic" w:hAnsi="Sakkal Majalla" w:cs="Sakkal Majalla"/>
          <w:sz w:val="36"/>
          <w:szCs w:val="36"/>
          <w:rtl/>
          <w:lang w:val="ar-SA"/>
        </w:rPr>
        <w:t>5.3 مناقشة كفاءة الإنفاق العقاري</w:t>
      </w:r>
      <w:r w:rsidR="00D26C73">
        <w:rPr>
          <w:rFonts w:ascii="Sakkal Majalla" w:eastAsia="Noto Kufi Arabic" w:hAnsi="Sakkal Majalla" w:cs="Sakkal Majalla" w:hint="cs"/>
          <w:sz w:val="36"/>
          <w:szCs w:val="36"/>
          <w:rtl/>
          <w:lang w:val="ar-SA"/>
        </w:rPr>
        <w:t>:</w:t>
      </w:r>
      <w:bookmarkEnd w:id="128"/>
    </w:p>
    <w:p w14:paraId="1E6808DA"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يدل المستوى المرتفع على وجود إدراك إيجابي لأثر الممارسات الحالية، ولا سيما في التشغيل والصيانة وتوجيه الأولويات. وقد يرتبط ذلك بتطبيق الدليل الوطني، وتطوير عقود التشغيل والصيانة، وتحسن إجراءات المتابعة.</w:t>
      </w:r>
    </w:p>
    <w:p w14:paraId="1828488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لكن انخفاض بند خفض الاستئجار يكشف أن بعض مجالات الكفاءة تحتاج إلى قرارات محفظة تتجاوز إدارة الأصل الواحد. فخفض الإيجار قد يتطلب مشاركة بيانات بين الجهات، أو إعادة تخصيص أصل، أو إعادة تصميم مواقع العمل، وهي قرارات أكثر تعقيداً من تحسين عقد صيانة. كما أن عقود الإيجار طويلة الأجل قد تحد من سرعة التغيير.</w:t>
      </w:r>
    </w:p>
    <w:p w14:paraId="5C73E2EC"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وتتفق النتيجة مع مفهوم القيمة مقابل المال؛ إذ تحققت الكفاءة بصورة أوضح في العمليات التي تملك الجهة سيطرة مباشرة عليها، بينما كانت أقل في القرارات التي تتطلب تكاملاً مركزياً وتخطيطاً طويل الأجل.</w:t>
      </w:r>
    </w:p>
    <w:p w14:paraId="64D55D2F" w14:textId="77777777" w:rsidR="00D26C73" w:rsidRPr="00AE1FD7" w:rsidRDefault="00D26C73" w:rsidP="00D26C73">
      <w:pPr>
        <w:bidi/>
        <w:spacing w:after="0" w:line="240" w:lineRule="auto"/>
        <w:rPr>
          <w:rFonts w:ascii="Sakkal Majalla" w:hAnsi="Sakkal Majalla" w:cs="Sakkal Majalla"/>
          <w:sz w:val="36"/>
          <w:szCs w:val="36"/>
        </w:rPr>
      </w:pPr>
    </w:p>
    <w:p w14:paraId="6864D207"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29" w:name="_Toc235205662"/>
      <w:r w:rsidRPr="00AE1FD7">
        <w:rPr>
          <w:rFonts w:ascii="Sakkal Majalla" w:eastAsia="Noto Kufi Arabic" w:hAnsi="Sakkal Majalla" w:cs="Sakkal Majalla"/>
          <w:sz w:val="36"/>
          <w:szCs w:val="36"/>
          <w:rtl/>
          <w:lang w:val="ar-SA"/>
        </w:rPr>
        <w:t>5.4 مناقشة أثر الحوكمة الكلي</w:t>
      </w:r>
      <w:r w:rsidR="00D26C73">
        <w:rPr>
          <w:rFonts w:ascii="Sakkal Majalla" w:eastAsia="Noto Kufi Arabic" w:hAnsi="Sakkal Majalla" w:cs="Sakkal Majalla" w:hint="cs"/>
          <w:sz w:val="36"/>
          <w:szCs w:val="36"/>
          <w:rtl/>
          <w:lang w:val="ar-SA"/>
        </w:rPr>
        <w:t>:</w:t>
      </w:r>
      <w:bookmarkEnd w:id="129"/>
    </w:p>
    <w:p w14:paraId="7EDA3D5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يعد تفسير 65% من التباين دليلاً على أن الحوكمة ليست عاملاً هامشياً، بل بنية أساسية للكفاءة. وتنسجم النتيجة مع نظرية الوكالة؛ فالشفافية والمساءلة تقللان عدم تماثل المعلومات، ومع الإدارة العامة الجديدة التي تربط الموارد بالنتائج، ومع إدارة دورة الحياة التي تحول القرار من رد فعل إلى تخطيط.</w:t>
      </w:r>
    </w:p>
    <w:p w14:paraId="15703AE7"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كما تتوافق مع دراسة سيروب (2022) التي وجدت أثراً لفاعلية الحكومة، ومع الرفاعي وكنة (2025) في العلاقة بين الحوكمة والاستدامة، ومع الدراسات الدولية التي ربطت نضج إدارة الأصول بالنتائج. وتتميز النتيجة الحالية بأنها تقيس الأثر في مجال عقاري محدد وبمؤشرات متعددة.</w:t>
      </w:r>
    </w:p>
    <w:p w14:paraId="0D9072FB"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 xml:space="preserve">ويجب تفسير المعامل المرتفع بحذر؛ فالمتغيرات قيسَت من المصدر نفسه وفي وقت واحد، رغم أن اختبار </w:t>
      </w:r>
      <w:proofErr w:type="spellStart"/>
      <w:r w:rsidRPr="00AE1FD7">
        <w:rPr>
          <w:rFonts w:ascii="Sakkal Majalla" w:hAnsi="Sakkal Majalla" w:cs="Sakkal Majalla"/>
          <w:color w:val="000000"/>
          <w:sz w:val="36"/>
          <w:szCs w:val="36"/>
          <w:rtl/>
          <w:lang w:val="ar-SA"/>
        </w:rPr>
        <w:t>هارمان</w:t>
      </w:r>
      <w:proofErr w:type="spellEnd"/>
      <w:r w:rsidRPr="00AE1FD7">
        <w:rPr>
          <w:rFonts w:ascii="Sakkal Majalla" w:hAnsi="Sakkal Majalla" w:cs="Sakkal Majalla"/>
          <w:color w:val="000000"/>
          <w:sz w:val="36"/>
          <w:szCs w:val="36"/>
          <w:rtl/>
          <w:lang w:val="ar-SA"/>
        </w:rPr>
        <w:t xml:space="preserve"> لم يظهر سيطرة عامل واحد. كما قد تكون الجهات ذات الثقافة الإدارية الجيدة مرتفعة في الحوكمة والكفاءة معاً بسبب عوامل قيادية لم تُقَس مباشرة.</w:t>
      </w:r>
    </w:p>
    <w:p w14:paraId="7997D076" w14:textId="77777777" w:rsidR="00D26C73" w:rsidRPr="00AE1FD7" w:rsidRDefault="00D26C73" w:rsidP="00D26C73">
      <w:pPr>
        <w:bidi/>
        <w:spacing w:after="0" w:line="240" w:lineRule="auto"/>
        <w:rPr>
          <w:rFonts w:ascii="Sakkal Majalla" w:hAnsi="Sakkal Majalla" w:cs="Sakkal Majalla"/>
          <w:sz w:val="36"/>
          <w:szCs w:val="36"/>
        </w:rPr>
      </w:pPr>
    </w:p>
    <w:p w14:paraId="5025316F"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30" w:name="_Toc235205663"/>
      <w:r w:rsidRPr="00AE1FD7">
        <w:rPr>
          <w:rFonts w:ascii="Sakkal Majalla" w:eastAsia="Noto Kufi Arabic" w:hAnsi="Sakkal Majalla" w:cs="Sakkal Majalla"/>
          <w:sz w:val="36"/>
          <w:szCs w:val="36"/>
          <w:rtl/>
          <w:lang w:val="ar-SA"/>
        </w:rPr>
        <w:t>5.5 مناقشة أثر الأبعاد الفرعية</w:t>
      </w:r>
      <w:r w:rsidR="00D26C73">
        <w:rPr>
          <w:rFonts w:ascii="Sakkal Majalla" w:eastAsia="Noto Kufi Arabic" w:hAnsi="Sakkal Majalla" w:cs="Sakkal Majalla" w:hint="cs"/>
          <w:sz w:val="36"/>
          <w:szCs w:val="36"/>
          <w:rtl/>
          <w:lang w:val="ar-SA"/>
        </w:rPr>
        <w:t>:</w:t>
      </w:r>
      <w:bookmarkEnd w:id="130"/>
    </w:p>
    <w:p w14:paraId="3DE63ED3"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1" w:name="_Toc235205664"/>
      <w:r w:rsidRPr="00AE1FD7">
        <w:rPr>
          <w:rFonts w:ascii="Sakkal Majalla" w:eastAsia="Noto Kufi Arabic" w:hAnsi="Sakkal Majalla" w:cs="Sakkal Majalla"/>
          <w:sz w:val="36"/>
          <w:szCs w:val="36"/>
          <w:rtl/>
          <w:lang w:val="ar-SA"/>
        </w:rPr>
        <w:t>5.5.1 التخطيط الاستراتيجي ودورة الحياة</w:t>
      </w:r>
      <w:r w:rsidR="00D26C73">
        <w:rPr>
          <w:rFonts w:ascii="Sakkal Majalla" w:eastAsia="Noto Kufi Arabic" w:hAnsi="Sakkal Majalla" w:cs="Sakkal Majalla" w:hint="cs"/>
          <w:sz w:val="36"/>
          <w:szCs w:val="36"/>
          <w:rtl/>
          <w:lang w:val="ar-SA"/>
        </w:rPr>
        <w:t>:</w:t>
      </w:r>
      <w:bookmarkEnd w:id="131"/>
    </w:p>
    <w:p w14:paraId="4504F3C7" w14:textId="77777777" w:rsidR="00986803" w:rsidRPr="00AE1FD7" w:rsidRDefault="00DB29B7" w:rsidP="00D26C73">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تصدر هذا البعد يؤكد أن القرارات طويلة الأجل هي المحرك الأقوى للكفاءة. فالتخطيط يحدد الاحتياج الحقيقي، ويمنع الاستثمار غير المبرر، ويوازن التملك والاستئجار، ويختار توقيت الصيانة والتجديد والتخارج. وهذا يتفق مع ISO 55000 ومراجعة OECD، ومع </w:t>
      </w:r>
      <w:proofErr w:type="spellStart"/>
      <w:r w:rsidRPr="00AE1FD7">
        <w:rPr>
          <w:rFonts w:ascii="Sakkal Majalla" w:hAnsi="Sakkal Majalla" w:cs="Sakkal Majalla"/>
          <w:color w:val="000000"/>
          <w:sz w:val="36"/>
          <w:szCs w:val="36"/>
          <w:rtl/>
          <w:lang w:val="ar-SA"/>
        </w:rPr>
        <w:t>White</w:t>
      </w:r>
      <w:proofErr w:type="spellEnd"/>
      <w:r w:rsidR="00D26C73">
        <w:rPr>
          <w:rFonts w:ascii="Sakkal Majalla" w:hAnsi="Sakkal Majalla" w:cs="Sakkal Majalla" w:hint="cs"/>
          <w:color w:val="000000"/>
          <w:sz w:val="36"/>
          <w:szCs w:val="36"/>
          <w:lang w:val="ar-SA"/>
        </w:rPr>
        <w:t>)</w:t>
      </w:r>
      <w:r w:rsidRPr="00AE1FD7">
        <w:rPr>
          <w:rFonts w:ascii="Sakkal Majalla" w:hAnsi="Sakkal Majalla" w:cs="Sakkal Majalla"/>
          <w:color w:val="000000"/>
          <w:sz w:val="36"/>
          <w:szCs w:val="36"/>
          <w:rtl/>
          <w:lang w:val="ar-SA"/>
        </w:rPr>
        <w:t>2011) حول الانتقال إلى الإدارة الاستراتيجية.</w:t>
      </w:r>
    </w:p>
    <w:p w14:paraId="6A08EBF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وتعني النتيجة أن رفع الكفاءة لا يتحقق فقط بتفاوض أفضل على الأسعار، بل بإعادة تصميم القرار قبل الالتزام بالإنفاق. ولذلك يجب أن تكون خطط الأصول جزءاً من التخطيط الاستراتيجي والميزانية متوسطة الأجل، وأن تتضمن تكلفة دورة الحياة والطلب المتوقع والمخاطر.</w:t>
      </w:r>
    </w:p>
    <w:p w14:paraId="73503D70"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2" w:name="_Toc235205665"/>
      <w:r w:rsidRPr="00AE1FD7">
        <w:rPr>
          <w:rFonts w:ascii="Sakkal Majalla" w:eastAsia="Noto Kufi Arabic" w:hAnsi="Sakkal Majalla" w:cs="Sakkal Majalla"/>
          <w:sz w:val="36"/>
          <w:szCs w:val="36"/>
          <w:rtl/>
          <w:lang w:val="ar-SA"/>
        </w:rPr>
        <w:t xml:space="preserve">5.5.2 تكامل البيانات </w:t>
      </w:r>
      <w:proofErr w:type="spellStart"/>
      <w:r w:rsidRPr="00AE1FD7">
        <w:rPr>
          <w:rFonts w:ascii="Sakkal Majalla" w:eastAsia="Noto Kufi Arabic" w:hAnsi="Sakkal Majalla" w:cs="Sakkal Majalla"/>
          <w:sz w:val="36"/>
          <w:szCs w:val="36"/>
          <w:rtl/>
          <w:lang w:val="ar-SA"/>
        </w:rPr>
        <w:t>والرقمنة</w:t>
      </w:r>
      <w:proofErr w:type="spellEnd"/>
      <w:r w:rsidR="00D26C73">
        <w:rPr>
          <w:rFonts w:ascii="Sakkal Majalla" w:eastAsia="Noto Kufi Arabic" w:hAnsi="Sakkal Majalla" w:cs="Sakkal Majalla" w:hint="cs"/>
          <w:sz w:val="36"/>
          <w:szCs w:val="36"/>
          <w:rtl/>
          <w:lang w:val="ar-SA"/>
        </w:rPr>
        <w:t>:</w:t>
      </w:r>
      <w:bookmarkEnd w:id="132"/>
    </w:p>
    <w:p w14:paraId="6851D71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جاء البعد قريباً جداً من التخطيط في التأثير، رغم كونه الأقل في مستوى التطبيق. وهذه «فجوة أثر» مهمة: المجال الأضعف هو من بين الأكثر تأثيراً، ما يجعله أولوية للتحسين. فالبيانات الموحدة تمكن من تحديد الأصول الفائضة، ومقارنة الكلفة، وتتبع العقود، وتحليل الحالة، وتقديم بدائل قابلة للدفاع.</w:t>
      </w:r>
    </w:p>
    <w:p w14:paraId="26B477E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وينبغي ألا يقتصر الحل على شراء منصة، بل يبدأ بحوكمة البيانات: تعريف موحد للأصل، ومالك للبيان، ومعايير جودة، ودورية تحديث، وتكامل واجهات، وصلاحيات وصول، ومؤشرات اكتمال. كما يجب ربط البيانات الجغرافية والمالية والفنية والتشغيلية.</w:t>
      </w:r>
    </w:p>
    <w:p w14:paraId="746797E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3" w:name="_Toc235205666"/>
      <w:r w:rsidRPr="00AE1FD7">
        <w:rPr>
          <w:rFonts w:ascii="Sakkal Majalla" w:eastAsia="Noto Kufi Arabic" w:hAnsi="Sakkal Majalla" w:cs="Sakkal Majalla"/>
          <w:sz w:val="36"/>
          <w:szCs w:val="36"/>
          <w:rtl/>
          <w:lang w:val="ar-SA"/>
        </w:rPr>
        <w:t>5.5.3 الشفافية والإفصاح</w:t>
      </w:r>
      <w:r w:rsidR="00D26C73">
        <w:rPr>
          <w:rFonts w:ascii="Sakkal Majalla" w:eastAsia="Noto Kufi Arabic" w:hAnsi="Sakkal Majalla" w:cs="Sakkal Majalla" w:hint="cs"/>
          <w:sz w:val="36"/>
          <w:szCs w:val="36"/>
          <w:rtl/>
          <w:lang w:val="ar-SA"/>
        </w:rPr>
        <w:t>:</w:t>
      </w:r>
      <w:bookmarkEnd w:id="133"/>
    </w:p>
    <w:p w14:paraId="453B565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جاء أثر الشفافية في المرتبة الثالثة وبقوة واضحة. وتفسر النتيجة دور التقارير في جعل التكلفة والاستخدام مرئيين، وتحسين التنسيق والرقابة. كما أن الإفصاح الداخلي المنظم قد يكون أكثر أهمية في هذا المجال من النشر العام، لأن بعض البيانات حساسة لكن يجب أن تصل إلى أصحاب القرار.</w:t>
      </w:r>
    </w:p>
    <w:p w14:paraId="106CA805"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وتحتاج الجهات إلى تقارير محفظة تتجاوز سرد الأنشطة، وتتضمن مؤشرات واتجاهات واستثناءات وتوصيات. كما ينبغي الإفصاح عن الافتراضات في دراسات التملك والاستئجار وعن الأصول منخفضة الاستخدام.</w:t>
      </w:r>
    </w:p>
    <w:p w14:paraId="33767BD1"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4" w:name="_Toc235205667"/>
      <w:r w:rsidRPr="00AE1FD7">
        <w:rPr>
          <w:rFonts w:ascii="Sakkal Majalla" w:eastAsia="Noto Kufi Arabic" w:hAnsi="Sakkal Majalla" w:cs="Sakkal Majalla"/>
          <w:sz w:val="36"/>
          <w:szCs w:val="36"/>
          <w:rtl/>
          <w:lang w:val="ar-SA"/>
        </w:rPr>
        <w:t>5.5.4 المساءلة والرقابة الداخلية</w:t>
      </w:r>
      <w:r w:rsidR="00D26C73">
        <w:rPr>
          <w:rFonts w:ascii="Sakkal Majalla" w:eastAsia="Noto Kufi Arabic" w:hAnsi="Sakkal Majalla" w:cs="Sakkal Majalla" w:hint="cs"/>
          <w:sz w:val="36"/>
          <w:szCs w:val="36"/>
          <w:rtl/>
          <w:lang w:val="ar-SA"/>
        </w:rPr>
        <w:t>:</w:t>
      </w:r>
      <w:bookmarkEnd w:id="134"/>
    </w:p>
    <w:p w14:paraId="6378DD0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كان الأثر موجباً ودالاً لكنه أقل من الأبعاد السابقة بعد تثبيتها. ويمكن تفسير ذلك بأن المساءلة تعمل جزئياً عبر تحسين البيانات والتخطيط، ولذلك يتداخل أثرها معهما. كما أن الرقابة قد تمنع الخسائر أكثر مما ترفع المتوسطات المدركة للكفاءة.</w:t>
      </w:r>
    </w:p>
    <w:p w14:paraId="2EC39EF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ويجب تطوير المراجعة من فحص الالتزام إلى مراجعة أداء المحفظة، بما يشمل كلفة دورة الحياة والاستفادة وجودة البيانات وتحقيق المنافع. كما ينبغي تحديد زمن لإغلاق الملاحظات وربطها بملاك إجراءات.</w:t>
      </w:r>
    </w:p>
    <w:p w14:paraId="21B76D7D"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5" w:name="_Toc235205668"/>
      <w:r w:rsidRPr="00AE1FD7">
        <w:rPr>
          <w:rFonts w:ascii="Sakkal Majalla" w:eastAsia="Noto Kufi Arabic" w:hAnsi="Sakkal Majalla" w:cs="Sakkal Majalla"/>
          <w:sz w:val="36"/>
          <w:szCs w:val="36"/>
          <w:rtl/>
          <w:lang w:val="ar-SA"/>
        </w:rPr>
        <w:lastRenderedPageBreak/>
        <w:t>5.5.5 إدارة المخاطر والامتثال</w:t>
      </w:r>
      <w:r w:rsidR="00D26C73">
        <w:rPr>
          <w:rFonts w:ascii="Sakkal Majalla" w:eastAsia="Noto Kufi Arabic" w:hAnsi="Sakkal Majalla" w:cs="Sakkal Majalla" w:hint="cs"/>
          <w:sz w:val="36"/>
          <w:szCs w:val="36"/>
          <w:rtl/>
          <w:lang w:val="ar-SA"/>
        </w:rPr>
        <w:t>:</w:t>
      </w:r>
      <w:bookmarkEnd w:id="135"/>
    </w:p>
    <w:p w14:paraId="14F0078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ظل الأثر دالاً رغم انخفاض بيتا النسبي. ويعكس ذلك أن السلامة والامتثال يحميان المال والخدمة، لكن نتائجهما قد تكون غير مرئية عندما ينجحان في منع الحوادث. كما أن ارتفاع مستوى التطبيق قلل التباين بين الجهات، وهو ما يمكن أن يخفض القدرة الإحصائية على تفسير الفروق.</w:t>
      </w:r>
    </w:p>
    <w:p w14:paraId="575D01C8"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وتحتاج الجهات إلى الانتقال من قوائم امتثال منفصلة إلى مخاطر مدمجة في قرارات الصيانة والاستثمار. ويجب أن يحدد لكل خطر مالك ومعالجة وموعد ومؤشر، وأن تربط المخاطر الحرجة بخطة الاستمرارية والتأمين.</w:t>
      </w:r>
    </w:p>
    <w:p w14:paraId="261A43A7" w14:textId="77777777" w:rsidR="00D26C73" w:rsidRPr="00AE1FD7" w:rsidRDefault="00D26C73" w:rsidP="00D26C73">
      <w:pPr>
        <w:bidi/>
        <w:spacing w:after="0" w:line="240" w:lineRule="auto"/>
        <w:rPr>
          <w:rFonts w:ascii="Sakkal Majalla" w:hAnsi="Sakkal Majalla" w:cs="Sakkal Majalla"/>
          <w:sz w:val="36"/>
          <w:szCs w:val="36"/>
        </w:rPr>
      </w:pPr>
    </w:p>
    <w:p w14:paraId="58A22A05"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36" w:name="_Toc235205669"/>
      <w:r w:rsidRPr="00AE1FD7">
        <w:rPr>
          <w:rFonts w:ascii="Sakkal Majalla" w:eastAsia="Noto Kufi Arabic" w:hAnsi="Sakkal Majalla" w:cs="Sakkal Majalla"/>
          <w:sz w:val="36"/>
          <w:szCs w:val="36"/>
          <w:rtl/>
          <w:lang w:val="ar-SA"/>
        </w:rPr>
        <w:t>5.6 المساهمات العلمية والتطبيقية</w:t>
      </w:r>
      <w:r w:rsidR="00D26C73">
        <w:rPr>
          <w:rFonts w:ascii="Sakkal Majalla" w:eastAsia="Noto Kufi Arabic" w:hAnsi="Sakkal Majalla" w:cs="Sakkal Majalla" w:hint="cs"/>
          <w:sz w:val="36"/>
          <w:szCs w:val="36"/>
          <w:rtl/>
          <w:lang w:val="ar-SA"/>
        </w:rPr>
        <w:t>:</w:t>
      </w:r>
      <w:bookmarkEnd w:id="136"/>
    </w:p>
    <w:p w14:paraId="6032DF2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تقدم الدراسة نموذجاً يجمع أبعاد الحوكمة في إطار واحد ويختبر أثرها النسبي، وتؤكد أن تكامل البيانات ودورة الحياة محوران حاسمان. كما توسع مفهوم كفاءة الإنفاق من خفض التكلفة إلى تحقيق القيمة من المحفظة.</w:t>
      </w:r>
    </w:p>
    <w:p w14:paraId="1AA8A7A1"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وتطبيقياً، تقدم الدراسة أداة قياس ومصفوفة أولويات ومؤشرات وخارطة طريق. كما تساعد في تفسير الفجوة بين وجود الأدلة وبين النتائج: فالأدلة تحتاج إلى حوكمة داخلية وبيانات وقدرات ومساءلة.</w:t>
      </w:r>
    </w:p>
    <w:p w14:paraId="53337CA4"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37" w:name="_Toc235205670"/>
      <w:r w:rsidRPr="00AE1FD7">
        <w:rPr>
          <w:rFonts w:ascii="Sakkal Majalla" w:eastAsia="Noto Kufi Arabic" w:hAnsi="Sakkal Majalla" w:cs="Sakkal Majalla"/>
          <w:sz w:val="36"/>
          <w:szCs w:val="36"/>
          <w:rtl/>
          <w:lang w:val="ar-SA"/>
        </w:rPr>
        <w:t>5.7 الإطار المتكامل المقترح</w:t>
      </w:r>
      <w:r w:rsidR="00D26C73">
        <w:rPr>
          <w:rFonts w:ascii="Sakkal Majalla" w:eastAsia="Noto Kufi Arabic" w:hAnsi="Sakkal Majalla" w:cs="Sakkal Majalla" w:hint="cs"/>
          <w:sz w:val="36"/>
          <w:szCs w:val="36"/>
          <w:rtl/>
          <w:lang w:val="ar-SA"/>
        </w:rPr>
        <w:t>:</w:t>
      </w:r>
      <w:bookmarkEnd w:id="137"/>
    </w:p>
    <w:p w14:paraId="79417F6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يقترح البحث إطاراً من ست ركائز مترابطة: الحوكمة المؤسسية، السجل الرقمي الموحد، التخطيط والمحفظة، إدارة دورة الحياة، المخاطر والامتثال، وقياس القيمة والتحسين. وتعمل الركائز في دورة مستمرة تبدأ بالتشخيص وتنتهي بالتعلم وإعادة التخطيط.</w:t>
      </w:r>
    </w:p>
    <w:p w14:paraId="60C1C532" w14:textId="77777777" w:rsidR="00D26C73" w:rsidRDefault="00D26C73" w:rsidP="00D26C73">
      <w:pPr>
        <w:keepNext/>
        <w:bidi/>
        <w:spacing w:after="0" w:line="240" w:lineRule="auto"/>
        <w:ind w:firstLine="0"/>
        <w:jc w:val="center"/>
        <w:rPr>
          <w:rFonts w:ascii="Sakkal Majalla" w:eastAsia="Noto Kufi Arabic" w:hAnsi="Sakkal Majalla" w:cs="Sakkal Majalla"/>
          <w:bCs/>
          <w:color w:val="17365D"/>
          <w:sz w:val="36"/>
          <w:szCs w:val="36"/>
          <w:rtl/>
          <w:lang w:val="ar-SA"/>
        </w:rPr>
      </w:pPr>
      <w:bookmarkStart w:id="138" w:name="figure_proposed_framework"/>
    </w:p>
    <w:p w14:paraId="04B6F84B" w14:textId="77777777" w:rsidR="00D26C73" w:rsidRDefault="00D26C73">
      <w:pPr>
        <w:spacing w:after="200" w:line="276" w:lineRule="auto"/>
        <w:ind w:firstLine="0"/>
        <w:jc w:val="left"/>
        <w:rPr>
          <w:rFonts w:ascii="Sakkal Majalla" w:eastAsia="Noto Kufi Arabic" w:hAnsi="Sakkal Majalla" w:cs="Sakkal Majalla"/>
          <w:bCs/>
          <w:color w:val="17365D"/>
          <w:sz w:val="36"/>
          <w:szCs w:val="36"/>
          <w:rtl/>
          <w:lang w:val="ar-SA"/>
        </w:rPr>
      </w:pPr>
      <w:r>
        <w:rPr>
          <w:rFonts w:ascii="Sakkal Majalla" w:eastAsia="Noto Kufi Arabic" w:hAnsi="Sakkal Majalla" w:cs="Sakkal Majalla"/>
          <w:bCs/>
          <w:color w:val="17365D"/>
          <w:sz w:val="36"/>
          <w:szCs w:val="36"/>
          <w:rtl/>
          <w:lang w:val="ar-SA"/>
        </w:rPr>
        <w:br w:type="page"/>
      </w:r>
    </w:p>
    <w:p w14:paraId="7A6002A6" w14:textId="77777777" w:rsidR="00D26C73" w:rsidRDefault="00D26C73" w:rsidP="00D26C73">
      <w:pPr>
        <w:keepNext/>
        <w:bidi/>
        <w:spacing w:after="0" w:line="240" w:lineRule="auto"/>
        <w:ind w:firstLine="0"/>
        <w:jc w:val="center"/>
        <w:rPr>
          <w:rFonts w:ascii="Sakkal Majalla" w:eastAsia="Noto Kufi Arabic" w:hAnsi="Sakkal Majalla" w:cs="Sakkal Majalla"/>
          <w:bCs/>
          <w:color w:val="17365D"/>
          <w:sz w:val="36"/>
          <w:szCs w:val="36"/>
          <w:rtl/>
          <w:lang w:val="ar-SA"/>
        </w:rPr>
      </w:pPr>
      <w:r w:rsidRPr="00D26C73">
        <w:rPr>
          <w:rFonts w:ascii="Sakkal Majalla" w:eastAsia="Noto Kufi Arabic" w:hAnsi="Sakkal Majalla" w:cs="Sakkal Majalla"/>
          <w:bCs/>
          <w:noProof/>
          <w:color w:val="17365D"/>
          <w:sz w:val="36"/>
          <w:szCs w:val="36"/>
          <w:rtl/>
          <w:lang w:val="ar-SA"/>
        </w:rPr>
        <w:lastRenderedPageBreak/>
        <w:drawing>
          <wp:anchor distT="0" distB="0" distL="114300" distR="114300" simplePos="0" relativeHeight="251671552" behindDoc="0" locked="0" layoutInCell="1" allowOverlap="1" wp14:anchorId="7037D6BC" wp14:editId="782002D6">
            <wp:simplePos x="0" y="0"/>
            <wp:positionH relativeFrom="margin">
              <wp:align>right</wp:align>
            </wp:positionH>
            <wp:positionV relativeFrom="paragraph">
              <wp:posOffset>20898</wp:posOffset>
            </wp:positionV>
            <wp:extent cx="5616575" cy="3950335"/>
            <wp:effectExtent l="0" t="0" r="3175" b="0"/>
            <wp:wrapTight wrapText="bothSides">
              <wp:wrapPolygon edited="0">
                <wp:start x="0" y="0"/>
                <wp:lineTo x="0" y="21458"/>
                <wp:lineTo x="21539" y="21458"/>
                <wp:lineTo x="21539" y="0"/>
                <wp:lineTo x="0" y="0"/>
              </wp:wrapPolygon>
            </wp:wrapTight>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16575" cy="3950335"/>
                    </a:xfrm>
                    <a:prstGeom prst="rect">
                      <a:avLst/>
                    </a:prstGeom>
                  </pic:spPr>
                </pic:pic>
              </a:graphicData>
            </a:graphic>
          </wp:anchor>
        </w:drawing>
      </w:r>
    </w:p>
    <w:p w14:paraId="50529D5B"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39" w:name="_Toc235205671"/>
      <w:bookmarkEnd w:id="138"/>
      <w:r w:rsidRPr="00AE1FD7">
        <w:rPr>
          <w:rFonts w:ascii="Sakkal Majalla" w:eastAsia="Noto Kufi Arabic" w:hAnsi="Sakkal Majalla" w:cs="Sakkal Majalla"/>
          <w:sz w:val="36"/>
          <w:szCs w:val="36"/>
          <w:rtl/>
          <w:lang w:val="ar-SA"/>
        </w:rPr>
        <w:t>5.7.1 الركيزة الأولى: الحوكمة المؤسسية</w:t>
      </w:r>
      <w:r w:rsidR="00181975">
        <w:rPr>
          <w:rFonts w:ascii="Sakkal Majalla" w:eastAsia="Noto Kufi Arabic" w:hAnsi="Sakkal Majalla" w:cs="Sakkal Majalla" w:hint="cs"/>
          <w:sz w:val="36"/>
          <w:szCs w:val="36"/>
          <w:rtl/>
          <w:lang w:val="ar-SA"/>
        </w:rPr>
        <w:t>:</w:t>
      </w:r>
      <w:bookmarkEnd w:id="139"/>
    </w:p>
    <w:p w14:paraId="0C6B7A10"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تتضمن اعتماد سياسة موحدة، وتحديد مالك للمحفظة ومالك للبيانات، وإنشاء لجنة متعددة التخصصات، ومصفوفة صلاحيات، وتحديد مسؤوليات الجهات المركزية والوحدات التشغيلية. ويجب أن ترتبط اللجنة بالتخطيط والميزانية لا أن تكون لجنة فنية معزولة.</w:t>
      </w:r>
    </w:p>
    <w:p w14:paraId="12366EAA"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40" w:name="_Toc235205672"/>
      <w:r w:rsidRPr="00AE1FD7">
        <w:rPr>
          <w:rFonts w:ascii="Sakkal Majalla" w:eastAsia="Noto Kufi Arabic" w:hAnsi="Sakkal Majalla" w:cs="Sakkal Majalla"/>
          <w:sz w:val="36"/>
          <w:szCs w:val="36"/>
          <w:rtl/>
          <w:lang w:val="ar-SA"/>
        </w:rPr>
        <w:t>5.7.2 الركيزة الثانية: السجل الرقمي الموحد</w:t>
      </w:r>
      <w:bookmarkEnd w:id="140"/>
    </w:p>
    <w:p w14:paraId="4D4021B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تشمل بناء سجل أصل موحد، وتنظيف البيانات، وربطها بالموقع والمالية والعقود والصيانة، وتحديد مؤشرات جودة. ويجب أن يتيح السجل رؤية على مستوى الأصل والمحفظة، وسجلاً للتغييرات، وتقارير استثنائية.</w:t>
      </w:r>
    </w:p>
    <w:p w14:paraId="305B090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41" w:name="_Toc235205673"/>
      <w:r w:rsidRPr="00AE1FD7">
        <w:rPr>
          <w:rFonts w:ascii="Sakkal Majalla" w:eastAsia="Noto Kufi Arabic" w:hAnsi="Sakkal Majalla" w:cs="Sakkal Majalla"/>
          <w:sz w:val="36"/>
          <w:szCs w:val="36"/>
          <w:rtl/>
          <w:lang w:val="ar-SA"/>
        </w:rPr>
        <w:t>5.7.3 الركيزة الثالثة: التخطيط وإدارة المحفظة</w:t>
      </w:r>
      <w:bookmarkEnd w:id="141"/>
    </w:p>
    <w:p w14:paraId="2F773D2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تتضمن توقع الطلب، وتحليل الفجوة بين الاحتياج والأصول، وتصنيف المحفظة، ومراجعة التملك والاستئجار، وتحديد الأصول المرشحة للاستثمار أو إعادة الاستخدام أو التخارج. وتُدمج الخطة مع الميزانية متوسطة الأجل.</w:t>
      </w:r>
    </w:p>
    <w:p w14:paraId="0C7287B8"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42" w:name="_Toc235205674"/>
      <w:r w:rsidRPr="00AE1FD7">
        <w:rPr>
          <w:rFonts w:ascii="Sakkal Majalla" w:eastAsia="Noto Kufi Arabic" w:hAnsi="Sakkal Majalla" w:cs="Sakkal Majalla"/>
          <w:sz w:val="36"/>
          <w:szCs w:val="36"/>
          <w:rtl/>
          <w:lang w:val="ar-SA"/>
        </w:rPr>
        <w:lastRenderedPageBreak/>
        <w:t>5.7.4 الركيزة الرابعة: إدارة دورة الحياة</w:t>
      </w:r>
      <w:bookmarkEnd w:id="142"/>
    </w:p>
    <w:p w14:paraId="20CD634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تشمل خطط الصيانة الوقائية والتجديد والإحلال، وتكلفة الملكية الكلية، ومؤشرات الحالة والحرجية، ومراجعة المنافع بعد التنفيذ. ويجب أن تتكامل الخطط الفنية مع التمويل.</w:t>
      </w:r>
    </w:p>
    <w:p w14:paraId="0267696D"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43" w:name="_Toc235205675"/>
      <w:r w:rsidRPr="00AE1FD7">
        <w:rPr>
          <w:rFonts w:ascii="Sakkal Majalla" w:eastAsia="Noto Kufi Arabic" w:hAnsi="Sakkal Majalla" w:cs="Sakkal Majalla"/>
          <w:sz w:val="36"/>
          <w:szCs w:val="36"/>
          <w:rtl/>
          <w:lang w:val="ar-SA"/>
        </w:rPr>
        <w:t>5.7.5 الركيزة الخامسة: المخاطر والامتثال</w:t>
      </w:r>
      <w:bookmarkEnd w:id="143"/>
    </w:p>
    <w:p w14:paraId="5444360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تشمل سجل مخاطر المحفظة، وتصنيف الأصول الحرجة، وخطط الاستمرارية والسلامة، ومراجعة العقود، وربط المعالجة بالأولويات. كما تتضمن تدقيق الامتثال للضوابط الوطنية.</w:t>
      </w:r>
    </w:p>
    <w:p w14:paraId="57D912DE"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44" w:name="_Toc235205676"/>
      <w:r w:rsidRPr="00AE1FD7">
        <w:rPr>
          <w:rFonts w:ascii="Sakkal Majalla" w:eastAsia="Noto Kufi Arabic" w:hAnsi="Sakkal Majalla" w:cs="Sakkal Majalla"/>
          <w:sz w:val="36"/>
          <w:szCs w:val="36"/>
          <w:rtl/>
          <w:lang w:val="ar-SA"/>
        </w:rPr>
        <w:t>5.7.6 الركيزة السادسة: قياس القيمة والتحسين</w:t>
      </w:r>
      <w:bookmarkEnd w:id="144"/>
    </w:p>
    <w:p w14:paraId="3DB5B035"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تشمل لوحة مؤشرات متوازنة، ومقارنة بين الأصول والجهات، ومراجعات ربع سنوية، وتحليل الانحرافات، وخطط التحسين، ونشر الدروس. ويجب أن تقيس اللوحة الخدمة والتكلفة والمخاطر والاستدامة.</w:t>
      </w:r>
    </w:p>
    <w:p w14:paraId="7E35A7C2" w14:textId="77777777" w:rsidR="00181975" w:rsidRPr="00AE1FD7" w:rsidRDefault="00181975" w:rsidP="00181975">
      <w:pPr>
        <w:bidi/>
        <w:spacing w:after="0" w:line="240" w:lineRule="auto"/>
        <w:rPr>
          <w:rFonts w:ascii="Sakkal Majalla" w:hAnsi="Sakkal Majalla" w:cs="Sakkal Majalla"/>
          <w:sz w:val="36"/>
          <w:szCs w:val="36"/>
        </w:rPr>
      </w:pPr>
    </w:p>
    <w:p w14:paraId="6B71BAC1"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45" w:name="_Toc235205677"/>
      <w:r w:rsidRPr="00AE1FD7">
        <w:rPr>
          <w:rFonts w:ascii="Sakkal Majalla" w:eastAsia="Noto Kufi Arabic" w:hAnsi="Sakkal Majalla" w:cs="Sakkal Majalla"/>
          <w:sz w:val="36"/>
          <w:szCs w:val="36"/>
          <w:rtl/>
          <w:lang w:val="ar-SA"/>
        </w:rPr>
        <w:t>5.8 مستويات النضج المقترحة</w:t>
      </w:r>
      <w:r w:rsidR="00181975">
        <w:rPr>
          <w:rFonts w:ascii="Sakkal Majalla" w:eastAsia="Noto Kufi Arabic" w:hAnsi="Sakkal Majalla" w:cs="Sakkal Majalla" w:hint="cs"/>
          <w:sz w:val="36"/>
          <w:szCs w:val="36"/>
          <w:rtl/>
          <w:lang w:val="ar-SA"/>
        </w:rPr>
        <w:t>:</w:t>
      </w:r>
      <w:bookmarkEnd w:id="145"/>
    </w:p>
    <w:p w14:paraId="051672EE" w14:textId="77777777" w:rsidR="00986803" w:rsidRPr="00181975" w:rsidRDefault="00DB29B7" w:rsidP="00181975">
      <w:pPr>
        <w:keepNext/>
        <w:bidi/>
        <w:spacing w:after="0" w:line="240" w:lineRule="auto"/>
        <w:ind w:firstLine="0"/>
        <w:jc w:val="center"/>
        <w:rPr>
          <w:rFonts w:ascii="Sakkal Majalla" w:hAnsi="Sakkal Majalla" w:cs="Sakkal Majalla"/>
          <w:bCs/>
          <w:sz w:val="36"/>
          <w:szCs w:val="36"/>
        </w:rPr>
      </w:pPr>
      <w:bookmarkStart w:id="146" w:name="table_maturity_levels"/>
      <w:r w:rsidRPr="00181975">
        <w:rPr>
          <w:rFonts w:ascii="Sakkal Majalla" w:eastAsia="Noto Kufi Arabic" w:hAnsi="Sakkal Majalla" w:cs="Sakkal Majalla"/>
          <w:bCs/>
          <w:color w:val="17365D"/>
          <w:sz w:val="36"/>
          <w:szCs w:val="36"/>
          <w:rtl/>
          <w:lang w:val="ar-SA"/>
        </w:rPr>
        <w:t>جدول (30): مستويات نضج حوكمة إدارة الممتلكات العامة</w:t>
      </w:r>
      <w:bookmarkEnd w:id="146"/>
    </w:p>
    <w:tbl>
      <w:tblPr>
        <w:bidiVisual/>
        <w:tblW w:w="10074"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361"/>
        <w:gridCol w:w="3609"/>
        <w:gridCol w:w="2552"/>
        <w:gridCol w:w="2552"/>
      </w:tblGrid>
      <w:tr w:rsidR="00986803" w:rsidRPr="00181975" w14:paraId="0DE97F96" w14:textId="77777777" w:rsidTr="00181975">
        <w:trPr>
          <w:cantSplit/>
          <w:tblHeader/>
          <w:jc w:val="center"/>
        </w:trPr>
        <w:tc>
          <w:tcPr>
            <w:tcW w:w="1361" w:type="dxa"/>
            <w:shd w:val="clear" w:color="auto" w:fill="17365D"/>
            <w:tcMar>
              <w:top w:w="90" w:type="dxa"/>
              <w:left w:w="80" w:type="dxa"/>
              <w:bottom w:w="90" w:type="dxa"/>
              <w:right w:w="80" w:type="dxa"/>
            </w:tcMar>
            <w:vAlign w:val="center"/>
          </w:tcPr>
          <w:p w14:paraId="4943CED4"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المستوى</w:t>
            </w:r>
          </w:p>
        </w:tc>
        <w:tc>
          <w:tcPr>
            <w:tcW w:w="3609" w:type="dxa"/>
            <w:shd w:val="clear" w:color="auto" w:fill="17365D"/>
            <w:tcMar>
              <w:top w:w="90" w:type="dxa"/>
              <w:left w:w="80" w:type="dxa"/>
              <w:bottom w:w="90" w:type="dxa"/>
              <w:right w:w="80" w:type="dxa"/>
            </w:tcMar>
            <w:vAlign w:val="center"/>
          </w:tcPr>
          <w:p w14:paraId="496287F6"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السمات</w:t>
            </w:r>
          </w:p>
        </w:tc>
        <w:tc>
          <w:tcPr>
            <w:tcW w:w="2552" w:type="dxa"/>
            <w:shd w:val="clear" w:color="auto" w:fill="17365D"/>
            <w:tcMar>
              <w:top w:w="90" w:type="dxa"/>
              <w:left w:w="80" w:type="dxa"/>
              <w:bottom w:w="90" w:type="dxa"/>
              <w:right w:w="80" w:type="dxa"/>
            </w:tcMar>
            <w:vAlign w:val="center"/>
          </w:tcPr>
          <w:p w14:paraId="6406C640"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المخرجات المتوقعة</w:t>
            </w:r>
          </w:p>
        </w:tc>
        <w:tc>
          <w:tcPr>
            <w:tcW w:w="2552" w:type="dxa"/>
            <w:shd w:val="clear" w:color="auto" w:fill="17365D"/>
            <w:tcMar>
              <w:top w:w="90" w:type="dxa"/>
              <w:left w:w="80" w:type="dxa"/>
              <w:bottom w:w="90" w:type="dxa"/>
              <w:right w:w="80" w:type="dxa"/>
            </w:tcMar>
            <w:vAlign w:val="center"/>
          </w:tcPr>
          <w:p w14:paraId="72F075F0"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أولوية الانتقال</w:t>
            </w:r>
          </w:p>
        </w:tc>
      </w:tr>
      <w:tr w:rsidR="00986803" w:rsidRPr="00181975" w14:paraId="17DBC7F9" w14:textId="77777777" w:rsidTr="00181975">
        <w:trPr>
          <w:jc w:val="center"/>
        </w:trPr>
        <w:tc>
          <w:tcPr>
            <w:tcW w:w="1361" w:type="dxa"/>
            <w:shd w:val="clear" w:color="auto" w:fill="FFFFFF"/>
            <w:tcMar>
              <w:top w:w="70" w:type="dxa"/>
              <w:left w:w="70" w:type="dxa"/>
              <w:bottom w:w="70" w:type="dxa"/>
              <w:right w:w="70" w:type="dxa"/>
            </w:tcMar>
            <w:vAlign w:val="center"/>
          </w:tcPr>
          <w:p w14:paraId="51D059A9"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1- ابتدائي</w:t>
            </w:r>
          </w:p>
        </w:tc>
        <w:tc>
          <w:tcPr>
            <w:tcW w:w="3609" w:type="dxa"/>
            <w:shd w:val="clear" w:color="auto" w:fill="FFFFFF"/>
            <w:tcMar>
              <w:top w:w="70" w:type="dxa"/>
              <w:left w:w="70" w:type="dxa"/>
              <w:bottom w:w="70" w:type="dxa"/>
              <w:right w:w="70" w:type="dxa"/>
            </w:tcMar>
            <w:vAlign w:val="center"/>
          </w:tcPr>
          <w:p w14:paraId="410C7CC4"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بيانات متفرقة، أدوار غير مكتملة، صيانة تفاعلية، قرارات فردية.</w:t>
            </w:r>
          </w:p>
        </w:tc>
        <w:tc>
          <w:tcPr>
            <w:tcW w:w="2552" w:type="dxa"/>
            <w:shd w:val="clear" w:color="auto" w:fill="FFFFFF"/>
            <w:tcMar>
              <w:top w:w="70" w:type="dxa"/>
              <w:left w:w="70" w:type="dxa"/>
              <w:bottom w:w="70" w:type="dxa"/>
              <w:right w:w="70" w:type="dxa"/>
            </w:tcMar>
            <w:vAlign w:val="center"/>
          </w:tcPr>
          <w:p w14:paraId="171B32EA"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رؤية محدودة للمحفظة وهدر غير مرئي.</w:t>
            </w:r>
          </w:p>
        </w:tc>
        <w:tc>
          <w:tcPr>
            <w:tcW w:w="2552" w:type="dxa"/>
            <w:shd w:val="clear" w:color="auto" w:fill="FFFFFF"/>
            <w:tcMar>
              <w:top w:w="70" w:type="dxa"/>
              <w:left w:w="70" w:type="dxa"/>
              <w:bottom w:w="70" w:type="dxa"/>
              <w:right w:w="70" w:type="dxa"/>
            </w:tcMar>
            <w:vAlign w:val="center"/>
          </w:tcPr>
          <w:p w14:paraId="097CE7F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حصر البيانات وتحديد الملكيات والمسؤوليات.</w:t>
            </w:r>
          </w:p>
        </w:tc>
      </w:tr>
      <w:tr w:rsidR="00986803" w:rsidRPr="00181975" w14:paraId="7D29C4EA" w14:textId="77777777" w:rsidTr="00181975">
        <w:trPr>
          <w:jc w:val="center"/>
        </w:trPr>
        <w:tc>
          <w:tcPr>
            <w:tcW w:w="1361" w:type="dxa"/>
            <w:shd w:val="clear" w:color="auto" w:fill="F2F4F6"/>
            <w:tcMar>
              <w:top w:w="70" w:type="dxa"/>
              <w:left w:w="70" w:type="dxa"/>
              <w:bottom w:w="70" w:type="dxa"/>
              <w:right w:w="70" w:type="dxa"/>
            </w:tcMar>
            <w:vAlign w:val="center"/>
          </w:tcPr>
          <w:p w14:paraId="65935BB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2- منضبط</w:t>
            </w:r>
          </w:p>
        </w:tc>
        <w:tc>
          <w:tcPr>
            <w:tcW w:w="3609" w:type="dxa"/>
            <w:shd w:val="clear" w:color="auto" w:fill="F2F4F6"/>
            <w:tcMar>
              <w:top w:w="70" w:type="dxa"/>
              <w:left w:w="70" w:type="dxa"/>
              <w:bottom w:w="70" w:type="dxa"/>
              <w:right w:w="70" w:type="dxa"/>
            </w:tcMar>
            <w:vAlign w:val="center"/>
          </w:tcPr>
          <w:p w14:paraId="61338261"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سياسات أساسية، سجل جزئي، رقابة امتثال، مؤشرات تشغيل أولية.</w:t>
            </w:r>
          </w:p>
        </w:tc>
        <w:tc>
          <w:tcPr>
            <w:tcW w:w="2552" w:type="dxa"/>
            <w:shd w:val="clear" w:color="auto" w:fill="F2F4F6"/>
            <w:tcMar>
              <w:top w:w="70" w:type="dxa"/>
              <w:left w:w="70" w:type="dxa"/>
              <w:bottom w:w="70" w:type="dxa"/>
              <w:right w:w="70" w:type="dxa"/>
            </w:tcMar>
            <w:vAlign w:val="center"/>
          </w:tcPr>
          <w:p w14:paraId="101DB4D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تحسن الانضباط مع بقاء التجزؤ.</w:t>
            </w:r>
          </w:p>
        </w:tc>
        <w:tc>
          <w:tcPr>
            <w:tcW w:w="2552" w:type="dxa"/>
            <w:shd w:val="clear" w:color="auto" w:fill="F2F4F6"/>
            <w:tcMar>
              <w:top w:w="70" w:type="dxa"/>
              <w:left w:w="70" w:type="dxa"/>
              <w:bottom w:w="70" w:type="dxa"/>
              <w:right w:w="70" w:type="dxa"/>
            </w:tcMar>
            <w:vAlign w:val="center"/>
          </w:tcPr>
          <w:p w14:paraId="5EAF10F1"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توحيد السجل والإجراءات والربط المالي الفني.</w:t>
            </w:r>
          </w:p>
        </w:tc>
      </w:tr>
      <w:tr w:rsidR="00986803" w:rsidRPr="00181975" w14:paraId="038CACE1" w14:textId="77777777" w:rsidTr="00181975">
        <w:trPr>
          <w:jc w:val="center"/>
        </w:trPr>
        <w:tc>
          <w:tcPr>
            <w:tcW w:w="1361" w:type="dxa"/>
            <w:shd w:val="clear" w:color="auto" w:fill="FFFFFF"/>
            <w:tcMar>
              <w:top w:w="70" w:type="dxa"/>
              <w:left w:w="70" w:type="dxa"/>
              <w:bottom w:w="70" w:type="dxa"/>
              <w:right w:w="70" w:type="dxa"/>
            </w:tcMar>
            <w:vAlign w:val="center"/>
          </w:tcPr>
          <w:p w14:paraId="46743D4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3- متكامل</w:t>
            </w:r>
          </w:p>
        </w:tc>
        <w:tc>
          <w:tcPr>
            <w:tcW w:w="3609" w:type="dxa"/>
            <w:shd w:val="clear" w:color="auto" w:fill="FFFFFF"/>
            <w:tcMar>
              <w:top w:w="70" w:type="dxa"/>
              <w:left w:w="70" w:type="dxa"/>
              <w:bottom w:w="70" w:type="dxa"/>
              <w:right w:w="70" w:type="dxa"/>
            </w:tcMar>
            <w:vAlign w:val="center"/>
          </w:tcPr>
          <w:p w14:paraId="745F4812"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محفظة موحدة، خطط دورة حياة، تحليل بدائل، سجل مخاطر ولوحات أداء.</w:t>
            </w:r>
          </w:p>
        </w:tc>
        <w:tc>
          <w:tcPr>
            <w:tcW w:w="2552" w:type="dxa"/>
            <w:shd w:val="clear" w:color="auto" w:fill="FFFFFF"/>
            <w:tcMar>
              <w:top w:w="70" w:type="dxa"/>
              <w:left w:w="70" w:type="dxa"/>
              <w:bottom w:w="70" w:type="dxa"/>
              <w:right w:w="70" w:type="dxa"/>
            </w:tcMar>
            <w:vAlign w:val="center"/>
          </w:tcPr>
          <w:p w14:paraId="065CC9BD"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قرارات قائمة على القيمة وانخفاض الهدر.</w:t>
            </w:r>
          </w:p>
        </w:tc>
        <w:tc>
          <w:tcPr>
            <w:tcW w:w="2552" w:type="dxa"/>
            <w:shd w:val="clear" w:color="auto" w:fill="FFFFFF"/>
            <w:tcMar>
              <w:top w:w="70" w:type="dxa"/>
              <w:left w:w="70" w:type="dxa"/>
              <w:bottom w:w="70" w:type="dxa"/>
              <w:right w:w="70" w:type="dxa"/>
            </w:tcMar>
            <w:vAlign w:val="center"/>
          </w:tcPr>
          <w:p w14:paraId="30B3FA0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التنبؤ والتحسين القائم على الأداء.</w:t>
            </w:r>
          </w:p>
        </w:tc>
      </w:tr>
      <w:tr w:rsidR="00986803" w:rsidRPr="00181975" w14:paraId="45286B73" w14:textId="77777777" w:rsidTr="00181975">
        <w:trPr>
          <w:jc w:val="center"/>
        </w:trPr>
        <w:tc>
          <w:tcPr>
            <w:tcW w:w="1361" w:type="dxa"/>
            <w:shd w:val="clear" w:color="auto" w:fill="F2F4F6"/>
            <w:tcMar>
              <w:top w:w="70" w:type="dxa"/>
              <w:left w:w="70" w:type="dxa"/>
              <w:bottom w:w="70" w:type="dxa"/>
              <w:right w:w="70" w:type="dxa"/>
            </w:tcMar>
            <w:vAlign w:val="center"/>
          </w:tcPr>
          <w:p w14:paraId="46D0D34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4- محسن</w:t>
            </w:r>
          </w:p>
        </w:tc>
        <w:tc>
          <w:tcPr>
            <w:tcW w:w="3609" w:type="dxa"/>
            <w:shd w:val="clear" w:color="auto" w:fill="F2F4F6"/>
            <w:tcMar>
              <w:top w:w="70" w:type="dxa"/>
              <w:left w:w="70" w:type="dxa"/>
              <w:bottom w:w="70" w:type="dxa"/>
              <w:right w:w="70" w:type="dxa"/>
            </w:tcMar>
            <w:vAlign w:val="center"/>
          </w:tcPr>
          <w:p w14:paraId="54465D0D"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تحليلات تنبؤية، صيانة استباقية، تحسين مستمر ومقارنات معيارية.</w:t>
            </w:r>
          </w:p>
        </w:tc>
        <w:tc>
          <w:tcPr>
            <w:tcW w:w="2552" w:type="dxa"/>
            <w:shd w:val="clear" w:color="auto" w:fill="F2F4F6"/>
            <w:tcMar>
              <w:top w:w="70" w:type="dxa"/>
              <w:left w:w="70" w:type="dxa"/>
              <w:bottom w:w="70" w:type="dxa"/>
              <w:right w:w="70" w:type="dxa"/>
            </w:tcMar>
            <w:vAlign w:val="center"/>
          </w:tcPr>
          <w:p w14:paraId="2A6CAB2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تعظيم القيمة والمرونة والاستدامة.</w:t>
            </w:r>
          </w:p>
        </w:tc>
        <w:tc>
          <w:tcPr>
            <w:tcW w:w="2552" w:type="dxa"/>
            <w:shd w:val="clear" w:color="auto" w:fill="F2F4F6"/>
            <w:tcMar>
              <w:top w:w="70" w:type="dxa"/>
              <w:left w:w="70" w:type="dxa"/>
              <w:bottom w:w="70" w:type="dxa"/>
              <w:right w:w="70" w:type="dxa"/>
            </w:tcMar>
            <w:vAlign w:val="center"/>
          </w:tcPr>
          <w:p w14:paraId="25EE61B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الابتكار وتبادل البيانات بين الجهات.</w:t>
            </w:r>
          </w:p>
        </w:tc>
      </w:tr>
    </w:tbl>
    <w:p w14:paraId="3AAEE1CF"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6219A388"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يتيح نموذج النضج لكل جهة تحديد وضعها وتحديد الانتقال المستهدف. ولا يشترط أن تكون جميع المجالات في المستوى نفسه؛ فقد تكون الرقابة موحدة بينما البيانات ما زالت مجزأة. ولذلك ينبغي بناء خارطة التحسين على أضعف الروابط وأكبرها أثراً.</w:t>
      </w:r>
    </w:p>
    <w:p w14:paraId="0CA37060" w14:textId="77777777" w:rsidR="00181975" w:rsidRPr="00AE1FD7" w:rsidRDefault="00181975" w:rsidP="00181975">
      <w:pPr>
        <w:bidi/>
        <w:spacing w:after="0" w:line="240" w:lineRule="auto"/>
        <w:rPr>
          <w:rFonts w:ascii="Sakkal Majalla" w:hAnsi="Sakkal Majalla" w:cs="Sakkal Majalla"/>
          <w:sz w:val="36"/>
          <w:szCs w:val="36"/>
        </w:rPr>
      </w:pPr>
    </w:p>
    <w:p w14:paraId="751ACFCA"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47" w:name="_Toc235205678"/>
      <w:r w:rsidRPr="00AE1FD7">
        <w:rPr>
          <w:rFonts w:ascii="Sakkal Majalla" w:eastAsia="Noto Kufi Arabic" w:hAnsi="Sakkal Majalla" w:cs="Sakkal Majalla"/>
          <w:sz w:val="36"/>
          <w:szCs w:val="36"/>
          <w:rtl/>
          <w:lang w:val="ar-SA"/>
        </w:rPr>
        <w:t>5.9 خارطة طريق تنفيذية</w:t>
      </w:r>
      <w:r w:rsidR="00181975">
        <w:rPr>
          <w:rFonts w:ascii="Sakkal Majalla" w:eastAsia="Noto Kufi Arabic" w:hAnsi="Sakkal Majalla" w:cs="Sakkal Majalla" w:hint="cs"/>
          <w:sz w:val="36"/>
          <w:szCs w:val="36"/>
          <w:rtl/>
          <w:lang w:val="ar-SA"/>
        </w:rPr>
        <w:t>:</w:t>
      </w:r>
      <w:bookmarkEnd w:id="147"/>
    </w:p>
    <w:p w14:paraId="20A26C1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تقترح الدراسة خارطة تمتد ثمانية عشر شهراً على أربع مراحل. تبدأ بالتشخيص والحصر، ثم تأسيس الحوكمة وتنظيف البيانات، ثم تنفيذ التكامل وخطط المحفظة، وأخيراً تشغيل المؤشرات والتحسين.</w:t>
      </w:r>
    </w:p>
    <w:p w14:paraId="1218D9C4" w14:textId="77777777" w:rsidR="00986803" w:rsidRPr="00181975" w:rsidRDefault="00DB29B7" w:rsidP="00181975">
      <w:pPr>
        <w:keepNext/>
        <w:bidi/>
        <w:spacing w:after="0" w:line="240" w:lineRule="auto"/>
        <w:ind w:firstLine="0"/>
        <w:jc w:val="center"/>
        <w:rPr>
          <w:rFonts w:ascii="Sakkal Majalla" w:hAnsi="Sakkal Majalla" w:cs="Sakkal Majalla"/>
          <w:bCs/>
          <w:sz w:val="36"/>
          <w:szCs w:val="36"/>
        </w:rPr>
      </w:pPr>
      <w:bookmarkStart w:id="148" w:name="table_roadmap"/>
      <w:r w:rsidRPr="00181975">
        <w:rPr>
          <w:rFonts w:ascii="Sakkal Majalla" w:eastAsia="Noto Kufi Arabic" w:hAnsi="Sakkal Majalla" w:cs="Sakkal Majalla"/>
          <w:bCs/>
          <w:color w:val="17365D"/>
          <w:sz w:val="36"/>
          <w:szCs w:val="36"/>
          <w:rtl/>
          <w:lang w:val="ar-SA"/>
        </w:rPr>
        <w:t>جدول (31): خارطة الطريق التنفيذية المقترحة</w:t>
      </w:r>
      <w:bookmarkEnd w:id="148"/>
    </w:p>
    <w:tbl>
      <w:tblPr>
        <w:bidiVisual/>
        <w:tblW w:w="10212"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48"/>
        <w:gridCol w:w="1324"/>
        <w:gridCol w:w="2891"/>
        <w:gridCol w:w="1926"/>
        <w:gridCol w:w="2223"/>
      </w:tblGrid>
      <w:tr w:rsidR="00986803" w:rsidRPr="00AE1FD7" w14:paraId="04408D8E" w14:textId="77777777" w:rsidTr="00181975">
        <w:trPr>
          <w:cantSplit/>
          <w:tblHeader/>
          <w:jc w:val="center"/>
        </w:trPr>
        <w:tc>
          <w:tcPr>
            <w:tcW w:w="1848" w:type="dxa"/>
            <w:shd w:val="clear" w:color="auto" w:fill="17365D"/>
            <w:tcMar>
              <w:top w:w="90" w:type="dxa"/>
              <w:left w:w="80" w:type="dxa"/>
              <w:bottom w:w="90" w:type="dxa"/>
              <w:right w:w="80" w:type="dxa"/>
            </w:tcMar>
            <w:vAlign w:val="center"/>
          </w:tcPr>
          <w:p w14:paraId="5E66E4E8"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المرحلة</w:t>
            </w:r>
          </w:p>
        </w:tc>
        <w:tc>
          <w:tcPr>
            <w:tcW w:w="1324" w:type="dxa"/>
            <w:shd w:val="clear" w:color="auto" w:fill="17365D"/>
            <w:tcMar>
              <w:top w:w="90" w:type="dxa"/>
              <w:left w:w="80" w:type="dxa"/>
              <w:bottom w:w="90" w:type="dxa"/>
              <w:right w:w="80" w:type="dxa"/>
            </w:tcMar>
            <w:vAlign w:val="center"/>
          </w:tcPr>
          <w:p w14:paraId="2C6874AB"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الفترة</w:t>
            </w:r>
          </w:p>
        </w:tc>
        <w:tc>
          <w:tcPr>
            <w:tcW w:w="2891" w:type="dxa"/>
            <w:shd w:val="clear" w:color="auto" w:fill="17365D"/>
            <w:tcMar>
              <w:top w:w="90" w:type="dxa"/>
              <w:left w:w="80" w:type="dxa"/>
              <w:bottom w:w="90" w:type="dxa"/>
              <w:right w:w="80" w:type="dxa"/>
            </w:tcMar>
            <w:vAlign w:val="center"/>
          </w:tcPr>
          <w:p w14:paraId="3E509C89"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الأعمال الرئيسة</w:t>
            </w:r>
          </w:p>
        </w:tc>
        <w:tc>
          <w:tcPr>
            <w:tcW w:w="1926" w:type="dxa"/>
            <w:shd w:val="clear" w:color="auto" w:fill="17365D"/>
            <w:tcMar>
              <w:top w:w="90" w:type="dxa"/>
              <w:left w:w="80" w:type="dxa"/>
              <w:bottom w:w="90" w:type="dxa"/>
              <w:right w:w="80" w:type="dxa"/>
            </w:tcMar>
            <w:vAlign w:val="center"/>
          </w:tcPr>
          <w:p w14:paraId="35921A7F"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المخرجات</w:t>
            </w:r>
          </w:p>
        </w:tc>
        <w:tc>
          <w:tcPr>
            <w:tcW w:w="2223" w:type="dxa"/>
            <w:shd w:val="clear" w:color="auto" w:fill="17365D"/>
            <w:tcMar>
              <w:top w:w="90" w:type="dxa"/>
              <w:left w:w="80" w:type="dxa"/>
              <w:bottom w:w="90" w:type="dxa"/>
              <w:right w:w="80" w:type="dxa"/>
            </w:tcMar>
            <w:vAlign w:val="center"/>
          </w:tcPr>
          <w:p w14:paraId="410F551A"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مؤشرات النجاح</w:t>
            </w:r>
          </w:p>
        </w:tc>
      </w:tr>
      <w:tr w:rsidR="00986803" w:rsidRPr="00AE1FD7" w14:paraId="580758C2" w14:textId="77777777" w:rsidTr="00181975">
        <w:trPr>
          <w:cantSplit/>
          <w:jc w:val="center"/>
        </w:trPr>
        <w:tc>
          <w:tcPr>
            <w:tcW w:w="1848" w:type="dxa"/>
            <w:shd w:val="clear" w:color="auto" w:fill="FFFFFF"/>
            <w:tcMar>
              <w:top w:w="70" w:type="dxa"/>
              <w:left w:w="70" w:type="dxa"/>
              <w:bottom w:w="70" w:type="dxa"/>
              <w:right w:w="70" w:type="dxa"/>
            </w:tcMar>
            <w:vAlign w:val="center"/>
          </w:tcPr>
          <w:p w14:paraId="3B834286"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 التشخيص والتأسيس</w:t>
            </w:r>
          </w:p>
        </w:tc>
        <w:tc>
          <w:tcPr>
            <w:tcW w:w="1324" w:type="dxa"/>
            <w:shd w:val="clear" w:color="auto" w:fill="FFFFFF"/>
            <w:tcMar>
              <w:top w:w="70" w:type="dxa"/>
              <w:left w:w="70" w:type="dxa"/>
              <w:bottom w:w="70" w:type="dxa"/>
              <w:right w:w="70" w:type="dxa"/>
            </w:tcMar>
            <w:vAlign w:val="center"/>
          </w:tcPr>
          <w:p w14:paraId="359BE287"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0-3 أشهر</w:t>
            </w:r>
          </w:p>
        </w:tc>
        <w:tc>
          <w:tcPr>
            <w:tcW w:w="2891" w:type="dxa"/>
            <w:shd w:val="clear" w:color="auto" w:fill="FFFFFF"/>
            <w:tcMar>
              <w:top w:w="70" w:type="dxa"/>
              <w:left w:w="70" w:type="dxa"/>
              <w:bottom w:w="70" w:type="dxa"/>
              <w:right w:w="70" w:type="dxa"/>
            </w:tcMar>
            <w:vAlign w:val="center"/>
          </w:tcPr>
          <w:p w14:paraId="384E1256"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حصر الأصول والأنظمة، تدقيق البيانات، تحديد الأدوار، خط أساس للمؤشرات.</w:t>
            </w:r>
          </w:p>
        </w:tc>
        <w:tc>
          <w:tcPr>
            <w:tcW w:w="1926" w:type="dxa"/>
            <w:shd w:val="clear" w:color="auto" w:fill="FFFFFF"/>
            <w:tcMar>
              <w:top w:w="70" w:type="dxa"/>
              <w:left w:w="70" w:type="dxa"/>
              <w:bottom w:w="70" w:type="dxa"/>
              <w:right w:w="70" w:type="dxa"/>
            </w:tcMar>
            <w:vAlign w:val="center"/>
          </w:tcPr>
          <w:p w14:paraId="2622370C"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تقرير فجوات، قاموس بيانات، مصفوفة صلاحيات.</w:t>
            </w:r>
          </w:p>
        </w:tc>
        <w:tc>
          <w:tcPr>
            <w:tcW w:w="2223" w:type="dxa"/>
            <w:shd w:val="clear" w:color="auto" w:fill="FFFFFF"/>
            <w:tcMar>
              <w:top w:w="70" w:type="dxa"/>
              <w:left w:w="70" w:type="dxa"/>
              <w:bottom w:w="70" w:type="dxa"/>
              <w:right w:w="70" w:type="dxa"/>
            </w:tcMar>
            <w:vAlign w:val="center"/>
          </w:tcPr>
          <w:p w14:paraId="09A69DFB"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اكتمال حصر أولي ≥90%، اعتماد الحوكمة.</w:t>
            </w:r>
          </w:p>
        </w:tc>
      </w:tr>
      <w:tr w:rsidR="00986803" w:rsidRPr="00AE1FD7" w14:paraId="393AF7C4" w14:textId="77777777" w:rsidTr="00181975">
        <w:trPr>
          <w:cantSplit/>
          <w:jc w:val="center"/>
        </w:trPr>
        <w:tc>
          <w:tcPr>
            <w:tcW w:w="1848" w:type="dxa"/>
            <w:shd w:val="clear" w:color="auto" w:fill="F2F4F6"/>
            <w:tcMar>
              <w:top w:w="70" w:type="dxa"/>
              <w:left w:w="70" w:type="dxa"/>
              <w:bottom w:w="70" w:type="dxa"/>
              <w:right w:w="70" w:type="dxa"/>
            </w:tcMar>
            <w:vAlign w:val="center"/>
          </w:tcPr>
          <w:p w14:paraId="2CE4FB9F"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2- التكامل والتخطيط</w:t>
            </w:r>
          </w:p>
        </w:tc>
        <w:tc>
          <w:tcPr>
            <w:tcW w:w="1324" w:type="dxa"/>
            <w:shd w:val="clear" w:color="auto" w:fill="F2F4F6"/>
            <w:tcMar>
              <w:top w:w="70" w:type="dxa"/>
              <w:left w:w="70" w:type="dxa"/>
              <w:bottom w:w="70" w:type="dxa"/>
              <w:right w:w="70" w:type="dxa"/>
            </w:tcMar>
            <w:vAlign w:val="center"/>
          </w:tcPr>
          <w:p w14:paraId="6795C0E0"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4-8 أشهر</w:t>
            </w:r>
          </w:p>
        </w:tc>
        <w:tc>
          <w:tcPr>
            <w:tcW w:w="2891" w:type="dxa"/>
            <w:shd w:val="clear" w:color="auto" w:fill="F2F4F6"/>
            <w:tcMar>
              <w:top w:w="70" w:type="dxa"/>
              <w:left w:w="70" w:type="dxa"/>
              <w:bottom w:w="70" w:type="dxa"/>
              <w:right w:w="70" w:type="dxa"/>
            </w:tcMar>
            <w:vAlign w:val="center"/>
          </w:tcPr>
          <w:p w14:paraId="77154177"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تنظيف وربط البيانات، تصنيف الأصول، تقييم الحالة والحرجية، خطة المحفظة.</w:t>
            </w:r>
          </w:p>
        </w:tc>
        <w:tc>
          <w:tcPr>
            <w:tcW w:w="1926" w:type="dxa"/>
            <w:shd w:val="clear" w:color="auto" w:fill="F2F4F6"/>
            <w:tcMar>
              <w:top w:w="70" w:type="dxa"/>
              <w:left w:w="70" w:type="dxa"/>
              <w:bottom w:w="70" w:type="dxa"/>
              <w:right w:w="70" w:type="dxa"/>
            </w:tcMar>
            <w:vAlign w:val="center"/>
          </w:tcPr>
          <w:p w14:paraId="057D683F"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سجل موحد، خطط صيانة وتجديد واستخدام.</w:t>
            </w:r>
          </w:p>
        </w:tc>
        <w:tc>
          <w:tcPr>
            <w:tcW w:w="2223" w:type="dxa"/>
            <w:shd w:val="clear" w:color="auto" w:fill="F2F4F6"/>
            <w:tcMar>
              <w:top w:w="70" w:type="dxa"/>
              <w:left w:w="70" w:type="dxa"/>
              <w:bottom w:w="70" w:type="dxa"/>
              <w:right w:w="70" w:type="dxa"/>
            </w:tcMar>
            <w:vAlign w:val="center"/>
          </w:tcPr>
          <w:p w14:paraId="3714EFA9"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تطابق مالي/فني ≥85%، تقييم الأصول الحرجة.</w:t>
            </w:r>
          </w:p>
        </w:tc>
      </w:tr>
      <w:tr w:rsidR="00986803" w:rsidRPr="00AE1FD7" w14:paraId="4FDC54D4" w14:textId="77777777" w:rsidTr="00181975">
        <w:trPr>
          <w:cantSplit/>
          <w:jc w:val="center"/>
        </w:trPr>
        <w:tc>
          <w:tcPr>
            <w:tcW w:w="1848" w:type="dxa"/>
            <w:shd w:val="clear" w:color="auto" w:fill="FFFFFF"/>
            <w:tcMar>
              <w:top w:w="70" w:type="dxa"/>
              <w:left w:w="70" w:type="dxa"/>
              <w:bottom w:w="70" w:type="dxa"/>
              <w:right w:w="70" w:type="dxa"/>
            </w:tcMar>
            <w:vAlign w:val="center"/>
          </w:tcPr>
          <w:p w14:paraId="263FFE16"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 التنفيذ والرقابة</w:t>
            </w:r>
          </w:p>
        </w:tc>
        <w:tc>
          <w:tcPr>
            <w:tcW w:w="1324" w:type="dxa"/>
            <w:shd w:val="clear" w:color="auto" w:fill="FFFFFF"/>
            <w:tcMar>
              <w:top w:w="70" w:type="dxa"/>
              <w:left w:w="70" w:type="dxa"/>
              <w:bottom w:w="70" w:type="dxa"/>
              <w:right w:w="70" w:type="dxa"/>
            </w:tcMar>
            <w:vAlign w:val="center"/>
          </w:tcPr>
          <w:p w14:paraId="00034A58"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9-14 شهراً</w:t>
            </w:r>
          </w:p>
        </w:tc>
        <w:tc>
          <w:tcPr>
            <w:tcW w:w="2891" w:type="dxa"/>
            <w:shd w:val="clear" w:color="auto" w:fill="FFFFFF"/>
            <w:tcMar>
              <w:top w:w="70" w:type="dxa"/>
              <w:left w:w="70" w:type="dxa"/>
              <w:bottom w:w="70" w:type="dxa"/>
              <w:right w:w="70" w:type="dxa"/>
            </w:tcMar>
            <w:vAlign w:val="center"/>
          </w:tcPr>
          <w:p w14:paraId="1947B5DD"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تطبيق الصيانة الوقائية، مراجعة الاستئجار والفائض، لوحات مؤشرات وسجل مخاطر.</w:t>
            </w:r>
          </w:p>
        </w:tc>
        <w:tc>
          <w:tcPr>
            <w:tcW w:w="1926" w:type="dxa"/>
            <w:shd w:val="clear" w:color="auto" w:fill="FFFFFF"/>
            <w:tcMar>
              <w:top w:w="70" w:type="dxa"/>
              <w:left w:w="70" w:type="dxa"/>
              <w:bottom w:w="70" w:type="dxa"/>
              <w:right w:w="70" w:type="dxa"/>
            </w:tcMar>
            <w:vAlign w:val="center"/>
          </w:tcPr>
          <w:p w14:paraId="6F1892FC"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مشروعات كفاءة، تقارير ربع سنوية، خطط معالجة.</w:t>
            </w:r>
          </w:p>
        </w:tc>
        <w:tc>
          <w:tcPr>
            <w:tcW w:w="2223" w:type="dxa"/>
            <w:shd w:val="clear" w:color="auto" w:fill="FFFFFF"/>
            <w:tcMar>
              <w:top w:w="70" w:type="dxa"/>
              <w:left w:w="70" w:type="dxa"/>
              <w:bottom w:w="70" w:type="dxa"/>
              <w:right w:w="70" w:type="dxa"/>
            </w:tcMar>
            <w:vAlign w:val="center"/>
          </w:tcPr>
          <w:p w14:paraId="1CCBC1F3"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خفض الطوارئ والإيجار غير الضروري.</w:t>
            </w:r>
          </w:p>
        </w:tc>
      </w:tr>
      <w:tr w:rsidR="00986803" w:rsidRPr="00AE1FD7" w14:paraId="0A8BCAD9" w14:textId="77777777" w:rsidTr="00181975">
        <w:trPr>
          <w:cantSplit/>
          <w:jc w:val="center"/>
        </w:trPr>
        <w:tc>
          <w:tcPr>
            <w:tcW w:w="1848" w:type="dxa"/>
            <w:shd w:val="clear" w:color="auto" w:fill="F2F4F6"/>
            <w:tcMar>
              <w:top w:w="70" w:type="dxa"/>
              <w:left w:w="70" w:type="dxa"/>
              <w:bottom w:w="70" w:type="dxa"/>
              <w:right w:w="70" w:type="dxa"/>
            </w:tcMar>
            <w:vAlign w:val="center"/>
          </w:tcPr>
          <w:p w14:paraId="52AF22C7"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4- التحسين والتنبؤ</w:t>
            </w:r>
          </w:p>
        </w:tc>
        <w:tc>
          <w:tcPr>
            <w:tcW w:w="1324" w:type="dxa"/>
            <w:shd w:val="clear" w:color="auto" w:fill="F2F4F6"/>
            <w:tcMar>
              <w:top w:w="70" w:type="dxa"/>
              <w:left w:w="70" w:type="dxa"/>
              <w:bottom w:w="70" w:type="dxa"/>
              <w:right w:w="70" w:type="dxa"/>
            </w:tcMar>
            <w:vAlign w:val="center"/>
          </w:tcPr>
          <w:p w14:paraId="23D61D5D"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15-18 شهراً</w:t>
            </w:r>
          </w:p>
        </w:tc>
        <w:tc>
          <w:tcPr>
            <w:tcW w:w="2891" w:type="dxa"/>
            <w:shd w:val="clear" w:color="auto" w:fill="F2F4F6"/>
            <w:tcMar>
              <w:top w:w="70" w:type="dxa"/>
              <w:left w:w="70" w:type="dxa"/>
              <w:bottom w:w="70" w:type="dxa"/>
              <w:right w:w="70" w:type="dxa"/>
            </w:tcMar>
            <w:vAlign w:val="center"/>
          </w:tcPr>
          <w:p w14:paraId="68312FEE"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مقارنات معيارية، تحليل تنبؤي، مراجعة منافع، تحديث السياسات.</w:t>
            </w:r>
          </w:p>
        </w:tc>
        <w:tc>
          <w:tcPr>
            <w:tcW w:w="1926" w:type="dxa"/>
            <w:shd w:val="clear" w:color="auto" w:fill="F2F4F6"/>
            <w:tcMar>
              <w:top w:w="70" w:type="dxa"/>
              <w:left w:w="70" w:type="dxa"/>
              <w:bottom w:w="70" w:type="dxa"/>
              <w:right w:w="70" w:type="dxa"/>
            </w:tcMar>
            <w:vAlign w:val="center"/>
          </w:tcPr>
          <w:p w14:paraId="4208B1AD"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نموذج نضج محسن وخطة سنوية جديدة.</w:t>
            </w:r>
          </w:p>
        </w:tc>
        <w:tc>
          <w:tcPr>
            <w:tcW w:w="2223" w:type="dxa"/>
            <w:shd w:val="clear" w:color="auto" w:fill="F2F4F6"/>
            <w:tcMar>
              <w:top w:w="70" w:type="dxa"/>
              <w:left w:w="70" w:type="dxa"/>
              <w:bottom w:w="70" w:type="dxa"/>
              <w:right w:w="70" w:type="dxa"/>
            </w:tcMar>
            <w:vAlign w:val="center"/>
          </w:tcPr>
          <w:p w14:paraId="6295091F" w14:textId="77777777" w:rsidR="00986803" w:rsidRPr="00AE1FD7" w:rsidRDefault="00DB29B7" w:rsidP="00181975">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تحقق المنافع واستدامة التحسن.</w:t>
            </w:r>
          </w:p>
        </w:tc>
      </w:tr>
    </w:tbl>
    <w:p w14:paraId="2FF19F7B"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637FF172"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49" w:name="_Toc235205679"/>
      <w:r w:rsidRPr="00AE1FD7">
        <w:rPr>
          <w:rFonts w:ascii="Sakkal Majalla" w:eastAsia="Noto Kufi Arabic" w:hAnsi="Sakkal Majalla" w:cs="Sakkal Majalla"/>
          <w:sz w:val="36"/>
          <w:szCs w:val="36"/>
          <w:rtl/>
          <w:lang w:val="ar-SA"/>
        </w:rPr>
        <w:lastRenderedPageBreak/>
        <w:t>5.10 مصفوفة المسؤوليات</w:t>
      </w:r>
      <w:r w:rsidR="00181975">
        <w:rPr>
          <w:rFonts w:ascii="Sakkal Majalla" w:eastAsia="Noto Kufi Arabic" w:hAnsi="Sakkal Majalla" w:cs="Sakkal Majalla" w:hint="cs"/>
          <w:sz w:val="36"/>
          <w:szCs w:val="36"/>
          <w:rtl/>
          <w:lang w:val="ar-SA"/>
        </w:rPr>
        <w:t>:</w:t>
      </w:r>
      <w:bookmarkEnd w:id="149"/>
    </w:p>
    <w:p w14:paraId="3E5E925B" w14:textId="77777777" w:rsidR="00986803" w:rsidRPr="00181975" w:rsidRDefault="00DB29B7" w:rsidP="00181975">
      <w:pPr>
        <w:keepNext/>
        <w:bidi/>
        <w:spacing w:after="0" w:line="240" w:lineRule="auto"/>
        <w:ind w:firstLine="0"/>
        <w:jc w:val="center"/>
        <w:rPr>
          <w:rFonts w:ascii="Sakkal Majalla" w:hAnsi="Sakkal Majalla" w:cs="Sakkal Majalla"/>
          <w:bCs/>
          <w:sz w:val="36"/>
          <w:szCs w:val="36"/>
        </w:rPr>
      </w:pPr>
      <w:bookmarkStart w:id="150" w:name="table_raci"/>
      <w:r w:rsidRPr="00181975">
        <w:rPr>
          <w:rFonts w:ascii="Sakkal Majalla" w:eastAsia="Noto Kufi Arabic" w:hAnsi="Sakkal Majalla" w:cs="Sakkal Majalla"/>
          <w:bCs/>
          <w:color w:val="17365D"/>
          <w:sz w:val="36"/>
          <w:szCs w:val="36"/>
          <w:rtl/>
          <w:lang w:val="ar-SA"/>
        </w:rPr>
        <w:t>جدول (32): مصفوفة المسؤوليات المقترحة RACI</w:t>
      </w:r>
      <w:bookmarkEnd w:id="150"/>
    </w:p>
    <w:tbl>
      <w:tblPr>
        <w:bidiVisual/>
        <w:tblW w:w="5000"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028"/>
        <w:gridCol w:w="715"/>
        <w:gridCol w:w="945"/>
        <w:gridCol w:w="642"/>
        <w:gridCol w:w="1513"/>
        <w:gridCol w:w="1462"/>
        <w:gridCol w:w="1530"/>
      </w:tblGrid>
      <w:tr w:rsidR="00986803" w:rsidRPr="00181975" w14:paraId="7339F98D" w14:textId="77777777" w:rsidTr="00181975">
        <w:trPr>
          <w:cantSplit/>
          <w:tblHeader/>
          <w:jc w:val="center"/>
        </w:trPr>
        <w:tc>
          <w:tcPr>
            <w:tcW w:w="1323" w:type="pct"/>
            <w:shd w:val="clear" w:color="auto" w:fill="17365D"/>
            <w:tcMar>
              <w:top w:w="90" w:type="dxa"/>
              <w:left w:w="80" w:type="dxa"/>
              <w:bottom w:w="90" w:type="dxa"/>
              <w:right w:w="80" w:type="dxa"/>
            </w:tcMar>
            <w:vAlign w:val="center"/>
          </w:tcPr>
          <w:p w14:paraId="4D21952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النشاط</w:t>
            </w:r>
          </w:p>
        </w:tc>
        <w:tc>
          <w:tcPr>
            <w:tcW w:w="580" w:type="pct"/>
            <w:shd w:val="clear" w:color="auto" w:fill="17365D"/>
            <w:tcMar>
              <w:top w:w="90" w:type="dxa"/>
              <w:left w:w="80" w:type="dxa"/>
              <w:bottom w:w="90" w:type="dxa"/>
              <w:right w:w="80" w:type="dxa"/>
            </w:tcMar>
            <w:vAlign w:val="center"/>
          </w:tcPr>
          <w:p w14:paraId="1C631EA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قيادة الجهة</w:t>
            </w:r>
          </w:p>
        </w:tc>
        <w:tc>
          <w:tcPr>
            <w:tcW w:w="709" w:type="pct"/>
            <w:shd w:val="clear" w:color="auto" w:fill="17365D"/>
            <w:tcMar>
              <w:top w:w="90" w:type="dxa"/>
              <w:left w:w="80" w:type="dxa"/>
              <w:bottom w:w="90" w:type="dxa"/>
              <w:right w:w="80" w:type="dxa"/>
            </w:tcMar>
            <w:vAlign w:val="center"/>
          </w:tcPr>
          <w:p w14:paraId="219BDCB0"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الأصول والمرافق</w:t>
            </w:r>
          </w:p>
        </w:tc>
        <w:tc>
          <w:tcPr>
            <w:tcW w:w="516" w:type="pct"/>
            <w:shd w:val="clear" w:color="auto" w:fill="17365D"/>
            <w:tcMar>
              <w:top w:w="90" w:type="dxa"/>
              <w:left w:w="80" w:type="dxa"/>
              <w:bottom w:w="90" w:type="dxa"/>
              <w:right w:w="80" w:type="dxa"/>
            </w:tcMar>
            <w:vAlign w:val="center"/>
          </w:tcPr>
          <w:p w14:paraId="736E149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المالية</w:t>
            </w:r>
          </w:p>
        </w:tc>
        <w:tc>
          <w:tcPr>
            <w:tcW w:w="613" w:type="pct"/>
            <w:shd w:val="clear" w:color="auto" w:fill="17365D"/>
            <w:tcMar>
              <w:top w:w="90" w:type="dxa"/>
              <w:left w:w="80" w:type="dxa"/>
              <w:bottom w:w="90" w:type="dxa"/>
              <w:right w:w="80" w:type="dxa"/>
            </w:tcMar>
            <w:vAlign w:val="center"/>
          </w:tcPr>
          <w:p w14:paraId="6119D294"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التقنية/البيانات</w:t>
            </w:r>
          </w:p>
        </w:tc>
        <w:tc>
          <w:tcPr>
            <w:tcW w:w="645" w:type="pct"/>
            <w:shd w:val="clear" w:color="auto" w:fill="17365D"/>
            <w:tcMar>
              <w:top w:w="90" w:type="dxa"/>
              <w:left w:w="80" w:type="dxa"/>
              <w:bottom w:w="90" w:type="dxa"/>
              <w:right w:w="80" w:type="dxa"/>
            </w:tcMar>
            <w:vAlign w:val="center"/>
          </w:tcPr>
          <w:p w14:paraId="36B0683C"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المخاطر/الرقابة</w:t>
            </w:r>
          </w:p>
        </w:tc>
        <w:tc>
          <w:tcPr>
            <w:tcW w:w="613" w:type="pct"/>
            <w:shd w:val="clear" w:color="auto" w:fill="17365D"/>
            <w:tcMar>
              <w:top w:w="90" w:type="dxa"/>
              <w:left w:w="80" w:type="dxa"/>
              <w:bottom w:w="90" w:type="dxa"/>
              <w:right w:w="80" w:type="dxa"/>
            </w:tcMar>
            <w:vAlign w:val="center"/>
          </w:tcPr>
          <w:p w14:paraId="289B91E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Noto Kufi Arabic" w:hAnsi="Sakkal Majalla" w:cs="Sakkal Majalla"/>
                <w:b/>
                <w:color w:val="FFFFFF"/>
                <w:sz w:val="30"/>
                <w:szCs w:val="30"/>
                <w:rtl/>
                <w:lang w:val="ar-SA"/>
              </w:rPr>
              <w:t>العقود/الهندسة</w:t>
            </w:r>
          </w:p>
        </w:tc>
      </w:tr>
      <w:tr w:rsidR="00986803" w:rsidRPr="00181975" w14:paraId="1E324473" w14:textId="77777777" w:rsidTr="00181975">
        <w:trPr>
          <w:cantSplit/>
          <w:jc w:val="center"/>
        </w:trPr>
        <w:tc>
          <w:tcPr>
            <w:tcW w:w="1323" w:type="pct"/>
            <w:shd w:val="clear" w:color="auto" w:fill="FFFFFF"/>
            <w:tcMar>
              <w:top w:w="70" w:type="dxa"/>
              <w:left w:w="70" w:type="dxa"/>
              <w:bottom w:w="70" w:type="dxa"/>
              <w:right w:w="70" w:type="dxa"/>
            </w:tcMar>
            <w:vAlign w:val="center"/>
          </w:tcPr>
          <w:p w14:paraId="122788DE"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اعتماد سياسة المحفظة</w:t>
            </w:r>
          </w:p>
        </w:tc>
        <w:tc>
          <w:tcPr>
            <w:tcW w:w="580" w:type="pct"/>
            <w:shd w:val="clear" w:color="auto" w:fill="FFFFFF"/>
            <w:tcMar>
              <w:top w:w="70" w:type="dxa"/>
              <w:left w:w="70" w:type="dxa"/>
              <w:bottom w:w="70" w:type="dxa"/>
              <w:right w:w="70" w:type="dxa"/>
            </w:tcMar>
            <w:vAlign w:val="center"/>
          </w:tcPr>
          <w:p w14:paraId="11BA5CD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709" w:type="pct"/>
            <w:shd w:val="clear" w:color="auto" w:fill="FFFFFF"/>
            <w:tcMar>
              <w:top w:w="70" w:type="dxa"/>
              <w:left w:w="70" w:type="dxa"/>
              <w:bottom w:w="70" w:type="dxa"/>
              <w:right w:w="70" w:type="dxa"/>
            </w:tcMar>
            <w:vAlign w:val="center"/>
          </w:tcPr>
          <w:p w14:paraId="358802F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516" w:type="pct"/>
            <w:shd w:val="clear" w:color="auto" w:fill="FFFFFF"/>
            <w:tcMar>
              <w:top w:w="70" w:type="dxa"/>
              <w:left w:w="70" w:type="dxa"/>
              <w:bottom w:w="70" w:type="dxa"/>
              <w:right w:w="70" w:type="dxa"/>
            </w:tcMar>
            <w:vAlign w:val="center"/>
          </w:tcPr>
          <w:p w14:paraId="3DE772CF"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732C534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FFFFF"/>
            <w:tcMar>
              <w:top w:w="70" w:type="dxa"/>
              <w:left w:w="70" w:type="dxa"/>
              <w:bottom w:w="70" w:type="dxa"/>
              <w:right w:w="70" w:type="dxa"/>
            </w:tcMar>
            <w:vAlign w:val="center"/>
          </w:tcPr>
          <w:p w14:paraId="0684A49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29AAF2D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r w:rsidR="00986803" w:rsidRPr="00181975" w14:paraId="4BBFE81B" w14:textId="77777777" w:rsidTr="00181975">
        <w:trPr>
          <w:cantSplit/>
          <w:jc w:val="center"/>
        </w:trPr>
        <w:tc>
          <w:tcPr>
            <w:tcW w:w="1323" w:type="pct"/>
            <w:shd w:val="clear" w:color="auto" w:fill="F2F4F6"/>
            <w:tcMar>
              <w:top w:w="70" w:type="dxa"/>
              <w:left w:w="70" w:type="dxa"/>
              <w:bottom w:w="70" w:type="dxa"/>
              <w:right w:w="70" w:type="dxa"/>
            </w:tcMar>
            <w:vAlign w:val="center"/>
          </w:tcPr>
          <w:p w14:paraId="0978A14F"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ملكية سجل الأصول</w:t>
            </w:r>
          </w:p>
        </w:tc>
        <w:tc>
          <w:tcPr>
            <w:tcW w:w="580" w:type="pct"/>
            <w:shd w:val="clear" w:color="auto" w:fill="F2F4F6"/>
            <w:tcMar>
              <w:top w:w="70" w:type="dxa"/>
              <w:left w:w="70" w:type="dxa"/>
              <w:bottom w:w="70" w:type="dxa"/>
              <w:right w:w="70" w:type="dxa"/>
            </w:tcMar>
            <w:vAlign w:val="center"/>
          </w:tcPr>
          <w:p w14:paraId="73D109A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c>
          <w:tcPr>
            <w:tcW w:w="709" w:type="pct"/>
            <w:shd w:val="clear" w:color="auto" w:fill="F2F4F6"/>
            <w:tcMar>
              <w:top w:w="70" w:type="dxa"/>
              <w:left w:w="70" w:type="dxa"/>
              <w:bottom w:w="70" w:type="dxa"/>
              <w:right w:w="70" w:type="dxa"/>
            </w:tcMar>
            <w:vAlign w:val="center"/>
          </w:tcPr>
          <w:p w14:paraId="356BF6C1"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A/R</w:t>
            </w:r>
          </w:p>
        </w:tc>
        <w:tc>
          <w:tcPr>
            <w:tcW w:w="516" w:type="pct"/>
            <w:shd w:val="clear" w:color="auto" w:fill="F2F4F6"/>
            <w:tcMar>
              <w:top w:w="70" w:type="dxa"/>
              <w:left w:w="70" w:type="dxa"/>
              <w:bottom w:w="70" w:type="dxa"/>
              <w:right w:w="70" w:type="dxa"/>
            </w:tcMar>
            <w:vAlign w:val="center"/>
          </w:tcPr>
          <w:p w14:paraId="09E60EA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59CDBE0A"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645" w:type="pct"/>
            <w:shd w:val="clear" w:color="auto" w:fill="F2F4F6"/>
            <w:tcMar>
              <w:top w:w="70" w:type="dxa"/>
              <w:left w:w="70" w:type="dxa"/>
              <w:bottom w:w="70" w:type="dxa"/>
              <w:right w:w="70" w:type="dxa"/>
            </w:tcMar>
            <w:vAlign w:val="center"/>
          </w:tcPr>
          <w:p w14:paraId="45007281"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3D3595C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r w:rsidR="00986803" w:rsidRPr="00181975" w14:paraId="1B80EE3B" w14:textId="77777777" w:rsidTr="00181975">
        <w:trPr>
          <w:cantSplit/>
          <w:jc w:val="center"/>
        </w:trPr>
        <w:tc>
          <w:tcPr>
            <w:tcW w:w="1323" w:type="pct"/>
            <w:shd w:val="clear" w:color="auto" w:fill="FFFFFF"/>
            <w:tcMar>
              <w:top w:w="70" w:type="dxa"/>
              <w:left w:w="70" w:type="dxa"/>
              <w:bottom w:w="70" w:type="dxa"/>
              <w:right w:w="70" w:type="dxa"/>
            </w:tcMar>
            <w:vAlign w:val="center"/>
          </w:tcPr>
          <w:p w14:paraId="1C38347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مطابقة القيمة المحاسبية</w:t>
            </w:r>
          </w:p>
        </w:tc>
        <w:tc>
          <w:tcPr>
            <w:tcW w:w="580" w:type="pct"/>
            <w:shd w:val="clear" w:color="auto" w:fill="FFFFFF"/>
            <w:tcMar>
              <w:top w:w="70" w:type="dxa"/>
              <w:left w:w="70" w:type="dxa"/>
              <w:bottom w:w="70" w:type="dxa"/>
              <w:right w:w="70" w:type="dxa"/>
            </w:tcMar>
            <w:vAlign w:val="center"/>
          </w:tcPr>
          <w:p w14:paraId="33419F3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c>
          <w:tcPr>
            <w:tcW w:w="709" w:type="pct"/>
            <w:shd w:val="clear" w:color="auto" w:fill="FFFFFF"/>
            <w:tcMar>
              <w:top w:w="70" w:type="dxa"/>
              <w:left w:w="70" w:type="dxa"/>
              <w:bottom w:w="70" w:type="dxa"/>
              <w:right w:w="70" w:type="dxa"/>
            </w:tcMar>
            <w:vAlign w:val="center"/>
          </w:tcPr>
          <w:p w14:paraId="7785964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516" w:type="pct"/>
            <w:shd w:val="clear" w:color="auto" w:fill="FFFFFF"/>
            <w:tcMar>
              <w:top w:w="70" w:type="dxa"/>
              <w:left w:w="70" w:type="dxa"/>
              <w:bottom w:w="70" w:type="dxa"/>
              <w:right w:w="70" w:type="dxa"/>
            </w:tcMar>
            <w:vAlign w:val="center"/>
          </w:tcPr>
          <w:p w14:paraId="5AE2524B"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A/R</w:t>
            </w:r>
          </w:p>
        </w:tc>
        <w:tc>
          <w:tcPr>
            <w:tcW w:w="613" w:type="pct"/>
            <w:shd w:val="clear" w:color="auto" w:fill="FFFFFF"/>
            <w:tcMar>
              <w:top w:w="70" w:type="dxa"/>
              <w:left w:w="70" w:type="dxa"/>
              <w:bottom w:w="70" w:type="dxa"/>
              <w:right w:w="70" w:type="dxa"/>
            </w:tcMar>
            <w:vAlign w:val="center"/>
          </w:tcPr>
          <w:p w14:paraId="377BEBE0"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FFFFF"/>
            <w:tcMar>
              <w:top w:w="70" w:type="dxa"/>
              <w:left w:w="70" w:type="dxa"/>
              <w:bottom w:w="70" w:type="dxa"/>
              <w:right w:w="70" w:type="dxa"/>
            </w:tcMar>
            <w:vAlign w:val="center"/>
          </w:tcPr>
          <w:p w14:paraId="2814C80B"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404B156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r>
      <w:tr w:rsidR="00986803" w:rsidRPr="00181975" w14:paraId="6424E434" w14:textId="77777777" w:rsidTr="00181975">
        <w:trPr>
          <w:cantSplit/>
          <w:jc w:val="center"/>
        </w:trPr>
        <w:tc>
          <w:tcPr>
            <w:tcW w:w="1323" w:type="pct"/>
            <w:shd w:val="clear" w:color="auto" w:fill="F2F4F6"/>
            <w:tcMar>
              <w:top w:w="70" w:type="dxa"/>
              <w:left w:w="70" w:type="dxa"/>
              <w:bottom w:w="70" w:type="dxa"/>
              <w:right w:w="70" w:type="dxa"/>
            </w:tcMar>
            <w:vAlign w:val="center"/>
          </w:tcPr>
          <w:p w14:paraId="3C4010CB"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تقييم الحالة والحرجية</w:t>
            </w:r>
          </w:p>
        </w:tc>
        <w:tc>
          <w:tcPr>
            <w:tcW w:w="580" w:type="pct"/>
            <w:shd w:val="clear" w:color="auto" w:fill="F2F4F6"/>
            <w:tcMar>
              <w:top w:w="70" w:type="dxa"/>
              <w:left w:w="70" w:type="dxa"/>
              <w:bottom w:w="70" w:type="dxa"/>
              <w:right w:w="70" w:type="dxa"/>
            </w:tcMar>
            <w:vAlign w:val="center"/>
          </w:tcPr>
          <w:p w14:paraId="00D120E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c>
          <w:tcPr>
            <w:tcW w:w="709" w:type="pct"/>
            <w:shd w:val="clear" w:color="auto" w:fill="F2F4F6"/>
            <w:tcMar>
              <w:top w:w="70" w:type="dxa"/>
              <w:left w:w="70" w:type="dxa"/>
              <w:bottom w:w="70" w:type="dxa"/>
              <w:right w:w="70" w:type="dxa"/>
            </w:tcMar>
            <w:vAlign w:val="center"/>
          </w:tcPr>
          <w:p w14:paraId="71E7F9A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516" w:type="pct"/>
            <w:shd w:val="clear" w:color="auto" w:fill="F2F4F6"/>
            <w:tcMar>
              <w:top w:w="70" w:type="dxa"/>
              <w:left w:w="70" w:type="dxa"/>
              <w:bottom w:w="70" w:type="dxa"/>
              <w:right w:w="70" w:type="dxa"/>
            </w:tcMar>
            <w:vAlign w:val="center"/>
          </w:tcPr>
          <w:p w14:paraId="6B60B32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77C531AF"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2F4F6"/>
            <w:tcMar>
              <w:top w:w="70" w:type="dxa"/>
              <w:left w:w="70" w:type="dxa"/>
              <w:bottom w:w="70" w:type="dxa"/>
              <w:right w:w="70" w:type="dxa"/>
            </w:tcMar>
            <w:vAlign w:val="center"/>
          </w:tcPr>
          <w:p w14:paraId="630FFD09"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776B22D9"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r>
      <w:tr w:rsidR="00986803" w:rsidRPr="00181975" w14:paraId="4F02EE51" w14:textId="77777777" w:rsidTr="00181975">
        <w:trPr>
          <w:cantSplit/>
          <w:jc w:val="center"/>
        </w:trPr>
        <w:tc>
          <w:tcPr>
            <w:tcW w:w="1323" w:type="pct"/>
            <w:shd w:val="clear" w:color="auto" w:fill="FFFFFF"/>
            <w:tcMar>
              <w:top w:w="70" w:type="dxa"/>
              <w:left w:w="70" w:type="dxa"/>
              <w:bottom w:w="70" w:type="dxa"/>
              <w:right w:w="70" w:type="dxa"/>
            </w:tcMar>
            <w:vAlign w:val="center"/>
          </w:tcPr>
          <w:p w14:paraId="76538504"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تحليل التملك أو الاستئجار</w:t>
            </w:r>
          </w:p>
        </w:tc>
        <w:tc>
          <w:tcPr>
            <w:tcW w:w="580" w:type="pct"/>
            <w:shd w:val="clear" w:color="auto" w:fill="FFFFFF"/>
            <w:tcMar>
              <w:top w:w="70" w:type="dxa"/>
              <w:left w:w="70" w:type="dxa"/>
              <w:bottom w:w="70" w:type="dxa"/>
              <w:right w:w="70" w:type="dxa"/>
            </w:tcMar>
            <w:vAlign w:val="center"/>
          </w:tcPr>
          <w:p w14:paraId="7D22DA6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709" w:type="pct"/>
            <w:shd w:val="clear" w:color="auto" w:fill="FFFFFF"/>
            <w:tcMar>
              <w:top w:w="70" w:type="dxa"/>
              <w:left w:w="70" w:type="dxa"/>
              <w:bottom w:w="70" w:type="dxa"/>
              <w:right w:w="70" w:type="dxa"/>
            </w:tcMar>
            <w:vAlign w:val="center"/>
          </w:tcPr>
          <w:p w14:paraId="3D213CEB"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516" w:type="pct"/>
            <w:shd w:val="clear" w:color="auto" w:fill="FFFFFF"/>
            <w:tcMar>
              <w:top w:w="70" w:type="dxa"/>
              <w:left w:w="70" w:type="dxa"/>
              <w:bottom w:w="70" w:type="dxa"/>
              <w:right w:w="70" w:type="dxa"/>
            </w:tcMar>
            <w:vAlign w:val="center"/>
          </w:tcPr>
          <w:p w14:paraId="3F2AD05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613" w:type="pct"/>
            <w:shd w:val="clear" w:color="auto" w:fill="FFFFFF"/>
            <w:tcMar>
              <w:top w:w="70" w:type="dxa"/>
              <w:left w:w="70" w:type="dxa"/>
              <w:bottom w:w="70" w:type="dxa"/>
              <w:right w:w="70" w:type="dxa"/>
            </w:tcMar>
            <w:vAlign w:val="center"/>
          </w:tcPr>
          <w:p w14:paraId="6886C88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FFFFF"/>
            <w:tcMar>
              <w:top w:w="70" w:type="dxa"/>
              <w:left w:w="70" w:type="dxa"/>
              <w:bottom w:w="70" w:type="dxa"/>
              <w:right w:w="70" w:type="dxa"/>
            </w:tcMar>
            <w:vAlign w:val="center"/>
          </w:tcPr>
          <w:p w14:paraId="15C7F51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3311DAC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r w:rsidR="00986803" w:rsidRPr="00181975" w14:paraId="70790C23" w14:textId="77777777" w:rsidTr="00181975">
        <w:trPr>
          <w:cantSplit/>
          <w:jc w:val="center"/>
        </w:trPr>
        <w:tc>
          <w:tcPr>
            <w:tcW w:w="1323" w:type="pct"/>
            <w:shd w:val="clear" w:color="auto" w:fill="F2F4F6"/>
            <w:tcMar>
              <w:top w:w="70" w:type="dxa"/>
              <w:left w:w="70" w:type="dxa"/>
              <w:bottom w:w="70" w:type="dxa"/>
              <w:right w:w="70" w:type="dxa"/>
            </w:tcMar>
            <w:vAlign w:val="center"/>
          </w:tcPr>
          <w:p w14:paraId="3E7D741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خطة الصيانة والتجديد</w:t>
            </w:r>
          </w:p>
        </w:tc>
        <w:tc>
          <w:tcPr>
            <w:tcW w:w="580" w:type="pct"/>
            <w:shd w:val="clear" w:color="auto" w:fill="F2F4F6"/>
            <w:tcMar>
              <w:top w:w="70" w:type="dxa"/>
              <w:left w:w="70" w:type="dxa"/>
              <w:bottom w:w="70" w:type="dxa"/>
              <w:right w:w="70" w:type="dxa"/>
            </w:tcMar>
            <w:vAlign w:val="center"/>
          </w:tcPr>
          <w:p w14:paraId="6DDB67F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c>
          <w:tcPr>
            <w:tcW w:w="709" w:type="pct"/>
            <w:shd w:val="clear" w:color="auto" w:fill="F2F4F6"/>
            <w:tcMar>
              <w:top w:w="70" w:type="dxa"/>
              <w:left w:w="70" w:type="dxa"/>
              <w:bottom w:w="70" w:type="dxa"/>
              <w:right w:w="70" w:type="dxa"/>
            </w:tcMar>
            <w:vAlign w:val="center"/>
          </w:tcPr>
          <w:p w14:paraId="152FCE11"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516" w:type="pct"/>
            <w:shd w:val="clear" w:color="auto" w:fill="F2F4F6"/>
            <w:tcMar>
              <w:top w:w="70" w:type="dxa"/>
              <w:left w:w="70" w:type="dxa"/>
              <w:bottom w:w="70" w:type="dxa"/>
              <w:right w:w="70" w:type="dxa"/>
            </w:tcMar>
            <w:vAlign w:val="center"/>
          </w:tcPr>
          <w:p w14:paraId="66010E28"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51890646"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2F4F6"/>
            <w:tcMar>
              <w:top w:w="70" w:type="dxa"/>
              <w:left w:w="70" w:type="dxa"/>
              <w:bottom w:w="70" w:type="dxa"/>
              <w:right w:w="70" w:type="dxa"/>
            </w:tcMar>
            <w:vAlign w:val="center"/>
          </w:tcPr>
          <w:p w14:paraId="10C27AEF"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0FF2CB9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r>
      <w:tr w:rsidR="00986803" w:rsidRPr="00181975" w14:paraId="71C63B81" w14:textId="77777777" w:rsidTr="00181975">
        <w:trPr>
          <w:cantSplit/>
          <w:jc w:val="center"/>
        </w:trPr>
        <w:tc>
          <w:tcPr>
            <w:tcW w:w="1323" w:type="pct"/>
            <w:shd w:val="clear" w:color="auto" w:fill="FFFFFF"/>
            <w:tcMar>
              <w:top w:w="70" w:type="dxa"/>
              <w:left w:w="70" w:type="dxa"/>
              <w:bottom w:w="70" w:type="dxa"/>
              <w:right w:w="70" w:type="dxa"/>
            </w:tcMar>
            <w:vAlign w:val="center"/>
          </w:tcPr>
          <w:p w14:paraId="6ED381F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سجل المخاطر والامتثال</w:t>
            </w:r>
          </w:p>
        </w:tc>
        <w:tc>
          <w:tcPr>
            <w:tcW w:w="580" w:type="pct"/>
            <w:shd w:val="clear" w:color="auto" w:fill="FFFFFF"/>
            <w:tcMar>
              <w:top w:w="70" w:type="dxa"/>
              <w:left w:w="70" w:type="dxa"/>
              <w:bottom w:w="70" w:type="dxa"/>
              <w:right w:w="70" w:type="dxa"/>
            </w:tcMar>
            <w:vAlign w:val="center"/>
          </w:tcPr>
          <w:p w14:paraId="432DC64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I</w:t>
            </w:r>
          </w:p>
        </w:tc>
        <w:tc>
          <w:tcPr>
            <w:tcW w:w="709" w:type="pct"/>
            <w:shd w:val="clear" w:color="auto" w:fill="FFFFFF"/>
            <w:tcMar>
              <w:top w:w="70" w:type="dxa"/>
              <w:left w:w="70" w:type="dxa"/>
              <w:bottom w:w="70" w:type="dxa"/>
              <w:right w:w="70" w:type="dxa"/>
            </w:tcMar>
            <w:vAlign w:val="center"/>
          </w:tcPr>
          <w:p w14:paraId="4E1BB09C"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516" w:type="pct"/>
            <w:shd w:val="clear" w:color="auto" w:fill="FFFFFF"/>
            <w:tcMar>
              <w:top w:w="70" w:type="dxa"/>
              <w:left w:w="70" w:type="dxa"/>
              <w:bottom w:w="70" w:type="dxa"/>
              <w:right w:w="70" w:type="dxa"/>
            </w:tcMar>
            <w:vAlign w:val="center"/>
          </w:tcPr>
          <w:p w14:paraId="17533A5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6EF139F9"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FFFFF"/>
            <w:tcMar>
              <w:top w:w="70" w:type="dxa"/>
              <w:left w:w="70" w:type="dxa"/>
              <w:bottom w:w="70" w:type="dxa"/>
              <w:right w:w="70" w:type="dxa"/>
            </w:tcMar>
            <w:vAlign w:val="center"/>
          </w:tcPr>
          <w:p w14:paraId="3749EBA9"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A/R</w:t>
            </w:r>
          </w:p>
        </w:tc>
        <w:tc>
          <w:tcPr>
            <w:tcW w:w="613" w:type="pct"/>
            <w:shd w:val="clear" w:color="auto" w:fill="FFFFFF"/>
            <w:tcMar>
              <w:top w:w="70" w:type="dxa"/>
              <w:left w:w="70" w:type="dxa"/>
              <w:bottom w:w="70" w:type="dxa"/>
              <w:right w:w="70" w:type="dxa"/>
            </w:tcMar>
            <w:vAlign w:val="center"/>
          </w:tcPr>
          <w:p w14:paraId="29E282F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r w:rsidR="00986803" w:rsidRPr="00181975" w14:paraId="2DBEF6F6" w14:textId="77777777" w:rsidTr="00181975">
        <w:trPr>
          <w:cantSplit/>
          <w:jc w:val="center"/>
        </w:trPr>
        <w:tc>
          <w:tcPr>
            <w:tcW w:w="1323" w:type="pct"/>
            <w:shd w:val="clear" w:color="auto" w:fill="F2F4F6"/>
            <w:tcMar>
              <w:top w:w="70" w:type="dxa"/>
              <w:left w:w="70" w:type="dxa"/>
              <w:bottom w:w="70" w:type="dxa"/>
              <w:right w:w="70" w:type="dxa"/>
            </w:tcMar>
            <w:vAlign w:val="center"/>
          </w:tcPr>
          <w:p w14:paraId="5CE5A98A"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لوحة المؤشرات والتقرير</w:t>
            </w:r>
          </w:p>
        </w:tc>
        <w:tc>
          <w:tcPr>
            <w:tcW w:w="580" w:type="pct"/>
            <w:shd w:val="clear" w:color="auto" w:fill="F2F4F6"/>
            <w:tcMar>
              <w:top w:w="70" w:type="dxa"/>
              <w:left w:w="70" w:type="dxa"/>
              <w:bottom w:w="70" w:type="dxa"/>
              <w:right w:w="70" w:type="dxa"/>
            </w:tcMar>
            <w:vAlign w:val="center"/>
          </w:tcPr>
          <w:p w14:paraId="71A5FFB4"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709" w:type="pct"/>
            <w:shd w:val="clear" w:color="auto" w:fill="F2F4F6"/>
            <w:tcMar>
              <w:top w:w="70" w:type="dxa"/>
              <w:left w:w="70" w:type="dxa"/>
              <w:bottom w:w="70" w:type="dxa"/>
              <w:right w:w="70" w:type="dxa"/>
            </w:tcMar>
            <w:vAlign w:val="center"/>
          </w:tcPr>
          <w:p w14:paraId="084F7DCD"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516" w:type="pct"/>
            <w:shd w:val="clear" w:color="auto" w:fill="F2F4F6"/>
            <w:tcMar>
              <w:top w:w="70" w:type="dxa"/>
              <w:left w:w="70" w:type="dxa"/>
              <w:bottom w:w="70" w:type="dxa"/>
              <w:right w:w="70" w:type="dxa"/>
            </w:tcMar>
            <w:vAlign w:val="center"/>
          </w:tcPr>
          <w:p w14:paraId="6C99DA0B"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613" w:type="pct"/>
            <w:shd w:val="clear" w:color="auto" w:fill="F2F4F6"/>
            <w:tcMar>
              <w:top w:w="70" w:type="dxa"/>
              <w:left w:w="70" w:type="dxa"/>
              <w:bottom w:w="70" w:type="dxa"/>
              <w:right w:w="70" w:type="dxa"/>
            </w:tcMar>
            <w:vAlign w:val="center"/>
          </w:tcPr>
          <w:p w14:paraId="654EB72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645" w:type="pct"/>
            <w:shd w:val="clear" w:color="auto" w:fill="F2F4F6"/>
            <w:tcMar>
              <w:top w:w="70" w:type="dxa"/>
              <w:left w:w="70" w:type="dxa"/>
              <w:bottom w:w="70" w:type="dxa"/>
              <w:right w:w="70" w:type="dxa"/>
            </w:tcMar>
            <w:vAlign w:val="center"/>
          </w:tcPr>
          <w:p w14:paraId="17D54762"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2F4F6"/>
            <w:tcMar>
              <w:top w:w="70" w:type="dxa"/>
              <w:left w:w="70" w:type="dxa"/>
              <w:bottom w:w="70" w:type="dxa"/>
              <w:right w:w="70" w:type="dxa"/>
            </w:tcMar>
            <w:vAlign w:val="center"/>
          </w:tcPr>
          <w:p w14:paraId="6C2049E0"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r w:rsidR="00986803" w:rsidRPr="00181975" w14:paraId="43EC1FA2" w14:textId="77777777" w:rsidTr="00181975">
        <w:trPr>
          <w:cantSplit/>
          <w:jc w:val="center"/>
        </w:trPr>
        <w:tc>
          <w:tcPr>
            <w:tcW w:w="1323" w:type="pct"/>
            <w:shd w:val="clear" w:color="auto" w:fill="FFFFFF"/>
            <w:tcMar>
              <w:top w:w="70" w:type="dxa"/>
              <w:left w:w="70" w:type="dxa"/>
              <w:bottom w:w="70" w:type="dxa"/>
              <w:right w:w="70" w:type="dxa"/>
            </w:tcMar>
            <w:vAlign w:val="center"/>
          </w:tcPr>
          <w:p w14:paraId="1214F417"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hAnsi="Sakkal Majalla" w:cs="Sakkal Majalla"/>
                <w:color w:val="000000"/>
                <w:sz w:val="30"/>
                <w:szCs w:val="30"/>
                <w:rtl/>
                <w:lang w:val="ar-SA"/>
              </w:rPr>
              <w:t>قرار إعادة الاستخدام/التخارج</w:t>
            </w:r>
          </w:p>
        </w:tc>
        <w:tc>
          <w:tcPr>
            <w:tcW w:w="580" w:type="pct"/>
            <w:shd w:val="clear" w:color="auto" w:fill="FFFFFF"/>
            <w:tcMar>
              <w:top w:w="70" w:type="dxa"/>
              <w:left w:w="70" w:type="dxa"/>
              <w:bottom w:w="70" w:type="dxa"/>
              <w:right w:w="70" w:type="dxa"/>
            </w:tcMar>
            <w:vAlign w:val="center"/>
          </w:tcPr>
          <w:p w14:paraId="48E4DD16"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A</w:t>
            </w:r>
          </w:p>
        </w:tc>
        <w:tc>
          <w:tcPr>
            <w:tcW w:w="709" w:type="pct"/>
            <w:shd w:val="clear" w:color="auto" w:fill="FFFFFF"/>
            <w:tcMar>
              <w:top w:w="70" w:type="dxa"/>
              <w:left w:w="70" w:type="dxa"/>
              <w:bottom w:w="70" w:type="dxa"/>
              <w:right w:w="70" w:type="dxa"/>
            </w:tcMar>
            <w:vAlign w:val="center"/>
          </w:tcPr>
          <w:p w14:paraId="0F0280D1"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516" w:type="pct"/>
            <w:shd w:val="clear" w:color="auto" w:fill="FFFFFF"/>
            <w:tcMar>
              <w:top w:w="70" w:type="dxa"/>
              <w:left w:w="70" w:type="dxa"/>
              <w:bottom w:w="70" w:type="dxa"/>
              <w:right w:w="70" w:type="dxa"/>
            </w:tcMar>
            <w:vAlign w:val="center"/>
          </w:tcPr>
          <w:p w14:paraId="6E149403"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R</w:t>
            </w:r>
          </w:p>
        </w:tc>
        <w:tc>
          <w:tcPr>
            <w:tcW w:w="613" w:type="pct"/>
            <w:shd w:val="clear" w:color="auto" w:fill="FFFFFF"/>
            <w:tcMar>
              <w:top w:w="70" w:type="dxa"/>
              <w:left w:w="70" w:type="dxa"/>
              <w:bottom w:w="70" w:type="dxa"/>
              <w:right w:w="70" w:type="dxa"/>
            </w:tcMar>
            <w:vAlign w:val="center"/>
          </w:tcPr>
          <w:p w14:paraId="267F18E0"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45" w:type="pct"/>
            <w:shd w:val="clear" w:color="auto" w:fill="FFFFFF"/>
            <w:tcMar>
              <w:top w:w="70" w:type="dxa"/>
              <w:left w:w="70" w:type="dxa"/>
              <w:bottom w:w="70" w:type="dxa"/>
              <w:right w:w="70" w:type="dxa"/>
            </w:tcMar>
            <w:vAlign w:val="center"/>
          </w:tcPr>
          <w:p w14:paraId="74E9FE7F"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c>
          <w:tcPr>
            <w:tcW w:w="613" w:type="pct"/>
            <w:shd w:val="clear" w:color="auto" w:fill="FFFFFF"/>
            <w:tcMar>
              <w:top w:w="70" w:type="dxa"/>
              <w:left w:w="70" w:type="dxa"/>
              <w:bottom w:w="70" w:type="dxa"/>
              <w:right w:w="70" w:type="dxa"/>
            </w:tcMar>
            <w:vAlign w:val="center"/>
          </w:tcPr>
          <w:p w14:paraId="4FD54605" w14:textId="77777777" w:rsidR="00986803" w:rsidRPr="00181975" w:rsidRDefault="00DB29B7" w:rsidP="00181975">
            <w:pPr>
              <w:bidi/>
              <w:spacing w:after="0" w:line="240" w:lineRule="auto"/>
              <w:ind w:firstLine="0"/>
              <w:jc w:val="center"/>
              <w:rPr>
                <w:rFonts w:ascii="Sakkal Majalla" w:hAnsi="Sakkal Majalla" w:cs="Sakkal Majalla"/>
                <w:sz w:val="30"/>
                <w:szCs w:val="30"/>
              </w:rPr>
            </w:pPr>
            <w:r w:rsidRPr="00181975">
              <w:rPr>
                <w:rFonts w:ascii="Sakkal Majalla" w:eastAsia="DejaVu Sans" w:hAnsi="Sakkal Majalla" w:cs="Sakkal Majalla"/>
                <w:color w:val="000000"/>
                <w:sz w:val="30"/>
                <w:szCs w:val="30"/>
                <w:lang w:bidi="en-US"/>
              </w:rPr>
              <w:t>C</w:t>
            </w:r>
          </w:p>
        </w:tc>
      </w:tr>
    </w:tbl>
    <w:p w14:paraId="54866051"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4229F4CB"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وتوضح المصفوفة أن نجاح الإدارة يحتاج إلى قيادة راعية، وإدارة أصول مسؤولة عن العملية، ومالية مسؤولة عن التكامل والتكلفة، وتقنية مسؤولة عن المنصة، ومراجعة داخلية تقدم تأكيداً مستقلاً، ووحدات تشغيلية تحدث البيانات وتنفذ الخطط.</w:t>
      </w:r>
    </w:p>
    <w:p w14:paraId="5EA0E2C4"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51" w:name="_Toc235205680"/>
      <w:r w:rsidRPr="00AE1FD7">
        <w:rPr>
          <w:rFonts w:ascii="Sakkal Majalla" w:eastAsia="Noto Kufi Arabic" w:hAnsi="Sakkal Majalla" w:cs="Sakkal Majalla"/>
          <w:sz w:val="36"/>
          <w:szCs w:val="36"/>
          <w:rtl/>
          <w:lang w:val="ar-SA"/>
        </w:rPr>
        <w:lastRenderedPageBreak/>
        <w:t>5.11 مؤشرات الأداء المقترحة</w:t>
      </w:r>
      <w:r w:rsidR="00181975">
        <w:rPr>
          <w:rFonts w:ascii="Sakkal Majalla" w:eastAsia="Noto Kufi Arabic" w:hAnsi="Sakkal Majalla" w:cs="Sakkal Majalla" w:hint="cs"/>
          <w:sz w:val="36"/>
          <w:szCs w:val="36"/>
          <w:rtl/>
          <w:lang w:val="ar-SA"/>
        </w:rPr>
        <w:t>:</w:t>
      </w:r>
      <w:bookmarkEnd w:id="151"/>
    </w:p>
    <w:p w14:paraId="5D285CEE" w14:textId="77777777" w:rsidR="00986803" w:rsidRPr="00181975" w:rsidRDefault="00DB29B7" w:rsidP="00181975">
      <w:pPr>
        <w:keepNext/>
        <w:bidi/>
        <w:spacing w:after="0" w:line="240" w:lineRule="auto"/>
        <w:ind w:firstLine="0"/>
        <w:jc w:val="center"/>
        <w:rPr>
          <w:rFonts w:ascii="Sakkal Majalla" w:hAnsi="Sakkal Majalla" w:cs="Sakkal Majalla"/>
          <w:bCs/>
          <w:sz w:val="36"/>
          <w:szCs w:val="36"/>
        </w:rPr>
      </w:pPr>
      <w:bookmarkStart w:id="152" w:name="table_kpis"/>
      <w:r w:rsidRPr="00181975">
        <w:rPr>
          <w:rFonts w:ascii="Sakkal Majalla" w:eastAsia="Noto Kufi Arabic" w:hAnsi="Sakkal Majalla" w:cs="Sakkal Majalla"/>
          <w:bCs/>
          <w:color w:val="17365D"/>
          <w:sz w:val="36"/>
          <w:szCs w:val="36"/>
          <w:rtl/>
          <w:lang w:val="ar-SA"/>
        </w:rPr>
        <w:t>جدول (33): مؤشرات الأداء الرئيسة المقترحة</w:t>
      </w:r>
      <w:bookmarkEnd w:id="152"/>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325"/>
        <w:gridCol w:w="3459"/>
        <w:gridCol w:w="1134"/>
        <w:gridCol w:w="1587"/>
      </w:tblGrid>
      <w:tr w:rsidR="00986803" w:rsidRPr="00181975" w14:paraId="3827D3BB" w14:textId="77777777" w:rsidTr="00181975">
        <w:trPr>
          <w:cantSplit/>
          <w:tblHeader/>
          <w:jc w:val="center"/>
        </w:trPr>
        <w:tc>
          <w:tcPr>
            <w:tcW w:w="2324" w:type="dxa"/>
            <w:shd w:val="clear" w:color="auto" w:fill="17365D"/>
            <w:tcMar>
              <w:top w:w="90" w:type="dxa"/>
              <w:left w:w="80" w:type="dxa"/>
              <w:bottom w:w="90" w:type="dxa"/>
              <w:right w:w="80" w:type="dxa"/>
            </w:tcMar>
            <w:vAlign w:val="center"/>
          </w:tcPr>
          <w:p w14:paraId="70820D9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المؤشر</w:t>
            </w:r>
          </w:p>
        </w:tc>
        <w:tc>
          <w:tcPr>
            <w:tcW w:w="3458" w:type="dxa"/>
            <w:shd w:val="clear" w:color="auto" w:fill="17365D"/>
            <w:tcMar>
              <w:top w:w="90" w:type="dxa"/>
              <w:left w:w="80" w:type="dxa"/>
              <w:bottom w:w="90" w:type="dxa"/>
              <w:right w:w="80" w:type="dxa"/>
            </w:tcMar>
            <w:vAlign w:val="center"/>
          </w:tcPr>
          <w:p w14:paraId="48507914"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طريقة الحساب</w:t>
            </w:r>
          </w:p>
        </w:tc>
        <w:tc>
          <w:tcPr>
            <w:tcW w:w="1134" w:type="dxa"/>
            <w:shd w:val="clear" w:color="auto" w:fill="17365D"/>
            <w:tcMar>
              <w:top w:w="90" w:type="dxa"/>
              <w:left w:w="80" w:type="dxa"/>
              <w:bottom w:w="90" w:type="dxa"/>
              <w:right w:w="80" w:type="dxa"/>
            </w:tcMar>
            <w:vAlign w:val="center"/>
          </w:tcPr>
          <w:p w14:paraId="5241CDA7"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التواتر</w:t>
            </w:r>
          </w:p>
        </w:tc>
        <w:tc>
          <w:tcPr>
            <w:tcW w:w="1587" w:type="dxa"/>
            <w:shd w:val="clear" w:color="auto" w:fill="17365D"/>
            <w:tcMar>
              <w:top w:w="90" w:type="dxa"/>
              <w:left w:w="80" w:type="dxa"/>
              <w:bottom w:w="90" w:type="dxa"/>
              <w:right w:w="80" w:type="dxa"/>
            </w:tcMar>
            <w:vAlign w:val="center"/>
          </w:tcPr>
          <w:p w14:paraId="417B7442"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eastAsia="Noto Kufi Arabic" w:hAnsi="Sakkal Majalla" w:cs="Sakkal Majalla"/>
                <w:b/>
                <w:color w:val="FFFFFF"/>
                <w:sz w:val="34"/>
                <w:szCs w:val="34"/>
                <w:rtl/>
                <w:lang w:val="ar-SA"/>
              </w:rPr>
              <w:t>الاتجاه المستهدف</w:t>
            </w:r>
          </w:p>
        </w:tc>
      </w:tr>
      <w:tr w:rsidR="00986803" w:rsidRPr="00181975" w14:paraId="745BA6D7" w14:textId="77777777" w:rsidTr="00181975">
        <w:trPr>
          <w:jc w:val="center"/>
        </w:trPr>
        <w:tc>
          <w:tcPr>
            <w:tcW w:w="2324" w:type="dxa"/>
            <w:shd w:val="clear" w:color="auto" w:fill="FFFFFF"/>
            <w:tcMar>
              <w:top w:w="70" w:type="dxa"/>
              <w:left w:w="70" w:type="dxa"/>
              <w:bottom w:w="70" w:type="dxa"/>
              <w:right w:w="70" w:type="dxa"/>
            </w:tcMar>
            <w:vAlign w:val="center"/>
          </w:tcPr>
          <w:p w14:paraId="6AF278E9"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اكتمال بيانات الأصول</w:t>
            </w:r>
          </w:p>
        </w:tc>
        <w:tc>
          <w:tcPr>
            <w:tcW w:w="3458" w:type="dxa"/>
            <w:shd w:val="clear" w:color="auto" w:fill="FFFFFF"/>
            <w:tcMar>
              <w:top w:w="70" w:type="dxa"/>
              <w:left w:w="70" w:type="dxa"/>
              <w:bottom w:w="70" w:type="dxa"/>
              <w:right w:w="70" w:type="dxa"/>
            </w:tcMar>
            <w:vAlign w:val="center"/>
          </w:tcPr>
          <w:p w14:paraId="73156386"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الأصول ذات الحقول المكتملة ÷ إجمالي الأصول ×100</w:t>
            </w:r>
          </w:p>
        </w:tc>
        <w:tc>
          <w:tcPr>
            <w:tcW w:w="1134" w:type="dxa"/>
            <w:shd w:val="clear" w:color="auto" w:fill="FFFFFF"/>
            <w:tcMar>
              <w:top w:w="70" w:type="dxa"/>
              <w:left w:w="70" w:type="dxa"/>
              <w:bottom w:w="70" w:type="dxa"/>
              <w:right w:w="70" w:type="dxa"/>
            </w:tcMar>
            <w:vAlign w:val="center"/>
          </w:tcPr>
          <w:p w14:paraId="169806A4"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شهري</w:t>
            </w:r>
          </w:p>
        </w:tc>
        <w:tc>
          <w:tcPr>
            <w:tcW w:w="1587" w:type="dxa"/>
            <w:shd w:val="clear" w:color="auto" w:fill="FFFFFF"/>
            <w:tcMar>
              <w:top w:w="70" w:type="dxa"/>
              <w:left w:w="70" w:type="dxa"/>
              <w:bottom w:w="70" w:type="dxa"/>
              <w:right w:w="70" w:type="dxa"/>
            </w:tcMar>
            <w:vAlign w:val="center"/>
          </w:tcPr>
          <w:p w14:paraId="614377E6"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ارتفاع إلى ≥95%.</w:t>
            </w:r>
          </w:p>
        </w:tc>
      </w:tr>
      <w:tr w:rsidR="00986803" w:rsidRPr="00181975" w14:paraId="29721694" w14:textId="77777777" w:rsidTr="00181975">
        <w:trPr>
          <w:jc w:val="center"/>
        </w:trPr>
        <w:tc>
          <w:tcPr>
            <w:tcW w:w="2324" w:type="dxa"/>
            <w:shd w:val="clear" w:color="auto" w:fill="F2F4F6"/>
            <w:tcMar>
              <w:top w:w="70" w:type="dxa"/>
              <w:left w:w="70" w:type="dxa"/>
              <w:bottom w:w="70" w:type="dxa"/>
              <w:right w:w="70" w:type="dxa"/>
            </w:tcMar>
            <w:vAlign w:val="center"/>
          </w:tcPr>
          <w:p w14:paraId="7B1C82B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التطابق المالي والفني</w:t>
            </w:r>
          </w:p>
        </w:tc>
        <w:tc>
          <w:tcPr>
            <w:tcW w:w="3458" w:type="dxa"/>
            <w:shd w:val="clear" w:color="auto" w:fill="F2F4F6"/>
            <w:tcMar>
              <w:top w:w="70" w:type="dxa"/>
              <w:left w:w="70" w:type="dxa"/>
              <w:bottom w:w="70" w:type="dxa"/>
              <w:right w:w="70" w:type="dxa"/>
            </w:tcMar>
            <w:vAlign w:val="center"/>
          </w:tcPr>
          <w:p w14:paraId="0FCF5CA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الأصول المتطابقة بين السجلين ÷ الإجمالي ×100</w:t>
            </w:r>
          </w:p>
        </w:tc>
        <w:tc>
          <w:tcPr>
            <w:tcW w:w="1134" w:type="dxa"/>
            <w:shd w:val="clear" w:color="auto" w:fill="F2F4F6"/>
            <w:tcMar>
              <w:top w:w="70" w:type="dxa"/>
              <w:left w:w="70" w:type="dxa"/>
              <w:bottom w:w="70" w:type="dxa"/>
              <w:right w:w="70" w:type="dxa"/>
            </w:tcMar>
            <w:vAlign w:val="center"/>
          </w:tcPr>
          <w:p w14:paraId="21225919"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ربع سنوي</w:t>
            </w:r>
          </w:p>
        </w:tc>
        <w:tc>
          <w:tcPr>
            <w:tcW w:w="1587" w:type="dxa"/>
            <w:shd w:val="clear" w:color="auto" w:fill="F2F4F6"/>
            <w:tcMar>
              <w:top w:w="70" w:type="dxa"/>
              <w:left w:w="70" w:type="dxa"/>
              <w:bottom w:w="70" w:type="dxa"/>
              <w:right w:w="70" w:type="dxa"/>
            </w:tcMar>
            <w:vAlign w:val="center"/>
          </w:tcPr>
          <w:p w14:paraId="3DC0D32C"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ارتفاع مستمر.</w:t>
            </w:r>
          </w:p>
        </w:tc>
      </w:tr>
      <w:tr w:rsidR="00986803" w:rsidRPr="00181975" w14:paraId="7CA60D26" w14:textId="77777777" w:rsidTr="00181975">
        <w:trPr>
          <w:jc w:val="center"/>
        </w:trPr>
        <w:tc>
          <w:tcPr>
            <w:tcW w:w="2324" w:type="dxa"/>
            <w:shd w:val="clear" w:color="auto" w:fill="FFFFFF"/>
            <w:tcMar>
              <w:top w:w="70" w:type="dxa"/>
              <w:left w:w="70" w:type="dxa"/>
              <w:bottom w:w="70" w:type="dxa"/>
              <w:right w:w="70" w:type="dxa"/>
            </w:tcMar>
            <w:vAlign w:val="center"/>
          </w:tcPr>
          <w:p w14:paraId="18D8EC3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معدل الاستخدام</w:t>
            </w:r>
          </w:p>
        </w:tc>
        <w:tc>
          <w:tcPr>
            <w:tcW w:w="3458" w:type="dxa"/>
            <w:shd w:val="clear" w:color="auto" w:fill="FFFFFF"/>
            <w:tcMar>
              <w:top w:w="70" w:type="dxa"/>
              <w:left w:w="70" w:type="dxa"/>
              <w:bottom w:w="70" w:type="dxa"/>
              <w:right w:w="70" w:type="dxa"/>
            </w:tcMar>
            <w:vAlign w:val="center"/>
          </w:tcPr>
          <w:p w14:paraId="54EA68D2"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الاستخدام الفعلي ÷ السعة المتاحة ×100</w:t>
            </w:r>
          </w:p>
        </w:tc>
        <w:tc>
          <w:tcPr>
            <w:tcW w:w="1134" w:type="dxa"/>
            <w:shd w:val="clear" w:color="auto" w:fill="FFFFFF"/>
            <w:tcMar>
              <w:top w:w="70" w:type="dxa"/>
              <w:left w:w="70" w:type="dxa"/>
              <w:bottom w:w="70" w:type="dxa"/>
              <w:right w:w="70" w:type="dxa"/>
            </w:tcMar>
            <w:vAlign w:val="center"/>
          </w:tcPr>
          <w:p w14:paraId="3FC429A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ربع سنوي</w:t>
            </w:r>
          </w:p>
        </w:tc>
        <w:tc>
          <w:tcPr>
            <w:tcW w:w="1587" w:type="dxa"/>
            <w:shd w:val="clear" w:color="auto" w:fill="FFFFFF"/>
            <w:tcMar>
              <w:top w:w="70" w:type="dxa"/>
              <w:left w:w="70" w:type="dxa"/>
              <w:bottom w:w="70" w:type="dxa"/>
              <w:right w:w="70" w:type="dxa"/>
            </w:tcMar>
            <w:vAlign w:val="center"/>
          </w:tcPr>
          <w:p w14:paraId="637E3AE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تحسن حسب نوع الأصل.</w:t>
            </w:r>
          </w:p>
        </w:tc>
      </w:tr>
      <w:tr w:rsidR="00986803" w:rsidRPr="00181975" w14:paraId="278FA466" w14:textId="77777777" w:rsidTr="00181975">
        <w:trPr>
          <w:jc w:val="center"/>
        </w:trPr>
        <w:tc>
          <w:tcPr>
            <w:tcW w:w="2324" w:type="dxa"/>
            <w:shd w:val="clear" w:color="auto" w:fill="F2F4F6"/>
            <w:tcMar>
              <w:top w:w="70" w:type="dxa"/>
              <w:left w:w="70" w:type="dxa"/>
              <w:bottom w:w="70" w:type="dxa"/>
              <w:right w:w="70" w:type="dxa"/>
            </w:tcMar>
            <w:vAlign w:val="center"/>
          </w:tcPr>
          <w:p w14:paraId="09536039"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كلفة الصيانة للمتر</w:t>
            </w:r>
          </w:p>
        </w:tc>
        <w:tc>
          <w:tcPr>
            <w:tcW w:w="3458" w:type="dxa"/>
            <w:shd w:val="clear" w:color="auto" w:fill="F2F4F6"/>
            <w:tcMar>
              <w:top w:w="70" w:type="dxa"/>
              <w:left w:w="70" w:type="dxa"/>
              <w:bottom w:w="70" w:type="dxa"/>
              <w:right w:w="70" w:type="dxa"/>
            </w:tcMar>
            <w:vAlign w:val="center"/>
          </w:tcPr>
          <w:p w14:paraId="5E9F101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إجمالي الصيانة ÷ المساحة المبنية</w:t>
            </w:r>
          </w:p>
        </w:tc>
        <w:tc>
          <w:tcPr>
            <w:tcW w:w="1134" w:type="dxa"/>
            <w:shd w:val="clear" w:color="auto" w:fill="F2F4F6"/>
            <w:tcMar>
              <w:top w:w="70" w:type="dxa"/>
              <w:left w:w="70" w:type="dxa"/>
              <w:bottom w:w="70" w:type="dxa"/>
              <w:right w:w="70" w:type="dxa"/>
            </w:tcMar>
            <w:vAlign w:val="center"/>
          </w:tcPr>
          <w:p w14:paraId="17395B10"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ربع سنوي</w:t>
            </w:r>
          </w:p>
        </w:tc>
        <w:tc>
          <w:tcPr>
            <w:tcW w:w="1587" w:type="dxa"/>
            <w:shd w:val="clear" w:color="auto" w:fill="F2F4F6"/>
            <w:tcMar>
              <w:top w:w="70" w:type="dxa"/>
              <w:left w:w="70" w:type="dxa"/>
              <w:bottom w:w="70" w:type="dxa"/>
              <w:right w:w="70" w:type="dxa"/>
            </w:tcMar>
            <w:vAlign w:val="center"/>
          </w:tcPr>
          <w:p w14:paraId="0E672F56"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التحسن مع الحفاظ على الحالة.</w:t>
            </w:r>
          </w:p>
        </w:tc>
      </w:tr>
      <w:tr w:rsidR="00986803" w:rsidRPr="00181975" w14:paraId="7CB2A5FD" w14:textId="77777777" w:rsidTr="00181975">
        <w:trPr>
          <w:jc w:val="center"/>
        </w:trPr>
        <w:tc>
          <w:tcPr>
            <w:tcW w:w="2324" w:type="dxa"/>
            <w:shd w:val="clear" w:color="auto" w:fill="FFFFFF"/>
            <w:tcMar>
              <w:top w:w="70" w:type="dxa"/>
              <w:left w:w="70" w:type="dxa"/>
              <w:bottom w:w="70" w:type="dxa"/>
              <w:right w:w="70" w:type="dxa"/>
            </w:tcMar>
            <w:vAlign w:val="center"/>
          </w:tcPr>
          <w:p w14:paraId="4CA2B2B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الصيانة الوقائية</w:t>
            </w:r>
          </w:p>
        </w:tc>
        <w:tc>
          <w:tcPr>
            <w:tcW w:w="3458" w:type="dxa"/>
            <w:shd w:val="clear" w:color="auto" w:fill="FFFFFF"/>
            <w:tcMar>
              <w:top w:w="70" w:type="dxa"/>
              <w:left w:w="70" w:type="dxa"/>
              <w:bottom w:w="70" w:type="dxa"/>
              <w:right w:w="70" w:type="dxa"/>
            </w:tcMar>
            <w:vAlign w:val="center"/>
          </w:tcPr>
          <w:p w14:paraId="18AE481C"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أوامر الوقائية ÷ إجمالي أوامر الصيانة ×100</w:t>
            </w:r>
          </w:p>
        </w:tc>
        <w:tc>
          <w:tcPr>
            <w:tcW w:w="1134" w:type="dxa"/>
            <w:shd w:val="clear" w:color="auto" w:fill="FFFFFF"/>
            <w:tcMar>
              <w:top w:w="70" w:type="dxa"/>
              <w:left w:w="70" w:type="dxa"/>
              <w:bottom w:w="70" w:type="dxa"/>
              <w:right w:w="70" w:type="dxa"/>
            </w:tcMar>
            <w:vAlign w:val="center"/>
          </w:tcPr>
          <w:p w14:paraId="71110DCB"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شهري</w:t>
            </w:r>
          </w:p>
        </w:tc>
        <w:tc>
          <w:tcPr>
            <w:tcW w:w="1587" w:type="dxa"/>
            <w:shd w:val="clear" w:color="auto" w:fill="FFFFFF"/>
            <w:tcMar>
              <w:top w:w="70" w:type="dxa"/>
              <w:left w:w="70" w:type="dxa"/>
              <w:bottom w:w="70" w:type="dxa"/>
              <w:right w:w="70" w:type="dxa"/>
            </w:tcMar>
            <w:vAlign w:val="center"/>
          </w:tcPr>
          <w:p w14:paraId="364B2AB8"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ارتفاع إلى ≥70%.</w:t>
            </w:r>
          </w:p>
        </w:tc>
      </w:tr>
      <w:tr w:rsidR="00986803" w:rsidRPr="00181975" w14:paraId="578DCA09" w14:textId="77777777" w:rsidTr="00181975">
        <w:trPr>
          <w:jc w:val="center"/>
        </w:trPr>
        <w:tc>
          <w:tcPr>
            <w:tcW w:w="2324" w:type="dxa"/>
            <w:shd w:val="clear" w:color="auto" w:fill="F2F4F6"/>
            <w:tcMar>
              <w:top w:w="70" w:type="dxa"/>
              <w:left w:w="70" w:type="dxa"/>
              <w:bottom w:w="70" w:type="dxa"/>
              <w:right w:w="70" w:type="dxa"/>
            </w:tcMar>
            <w:vAlign w:val="center"/>
          </w:tcPr>
          <w:p w14:paraId="6C96D03F"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الأعطال الحرجة</w:t>
            </w:r>
          </w:p>
        </w:tc>
        <w:tc>
          <w:tcPr>
            <w:tcW w:w="3458" w:type="dxa"/>
            <w:shd w:val="clear" w:color="auto" w:fill="F2F4F6"/>
            <w:tcMar>
              <w:top w:w="70" w:type="dxa"/>
              <w:left w:w="70" w:type="dxa"/>
              <w:bottom w:w="70" w:type="dxa"/>
              <w:right w:w="70" w:type="dxa"/>
            </w:tcMar>
            <w:vAlign w:val="center"/>
          </w:tcPr>
          <w:p w14:paraId="70BFEC1B"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عدد الأعطال المؤثرة على الخدمة</w:t>
            </w:r>
          </w:p>
        </w:tc>
        <w:tc>
          <w:tcPr>
            <w:tcW w:w="1134" w:type="dxa"/>
            <w:shd w:val="clear" w:color="auto" w:fill="F2F4F6"/>
            <w:tcMar>
              <w:top w:w="70" w:type="dxa"/>
              <w:left w:w="70" w:type="dxa"/>
              <w:bottom w:w="70" w:type="dxa"/>
              <w:right w:w="70" w:type="dxa"/>
            </w:tcMar>
            <w:vAlign w:val="center"/>
          </w:tcPr>
          <w:p w14:paraId="0DD1C551"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شهري</w:t>
            </w:r>
          </w:p>
        </w:tc>
        <w:tc>
          <w:tcPr>
            <w:tcW w:w="1587" w:type="dxa"/>
            <w:shd w:val="clear" w:color="auto" w:fill="F2F4F6"/>
            <w:tcMar>
              <w:top w:w="70" w:type="dxa"/>
              <w:left w:w="70" w:type="dxa"/>
              <w:bottom w:w="70" w:type="dxa"/>
              <w:right w:w="70" w:type="dxa"/>
            </w:tcMar>
            <w:vAlign w:val="center"/>
          </w:tcPr>
          <w:p w14:paraId="438B717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انخفاض.</w:t>
            </w:r>
          </w:p>
        </w:tc>
      </w:tr>
      <w:tr w:rsidR="00986803" w:rsidRPr="00181975" w14:paraId="223EF194" w14:textId="77777777" w:rsidTr="00181975">
        <w:trPr>
          <w:jc w:val="center"/>
        </w:trPr>
        <w:tc>
          <w:tcPr>
            <w:tcW w:w="2324" w:type="dxa"/>
            <w:shd w:val="clear" w:color="auto" w:fill="FFFFFF"/>
            <w:tcMar>
              <w:top w:w="70" w:type="dxa"/>
              <w:left w:w="70" w:type="dxa"/>
              <w:bottom w:w="70" w:type="dxa"/>
              <w:right w:w="70" w:type="dxa"/>
            </w:tcMar>
            <w:vAlign w:val="center"/>
          </w:tcPr>
          <w:p w14:paraId="758C9E3F"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زمن معالجة العطل</w:t>
            </w:r>
          </w:p>
        </w:tc>
        <w:tc>
          <w:tcPr>
            <w:tcW w:w="3458" w:type="dxa"/>
            <w:shd w:val="clear" w:color="auto" w:fill="FFFFFF"/>
            <w:tcMar>
              <w:top w:w="70" w:type="dxa"/>
              <w:left w:w="70" w:type="dxa"/>
              <w:bottom w:w="70" w:type="dxa"/>
              <w:right w:w="70" w:type="dxa"/>
            </w:tcMar>
            <w:vAlign w:val="center"/>
          </w:tcPr>
          <w:p w14:paraId="2E9FD511"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إجمالي زمن الإصلاح ÷ الأعطال المغلقة</w:t>
            </w:r>
          </w:p>
        </w:tc>
        <w:tc>
          <w:tcPr>
            <w:tcW w:w="1134" w:type="dxa"/>
            <w:shd w:val="clear" w:color="auto" w:fill="FFFFFF"/>
            <w:tcMar>
              <w:top w:w="70" w:type="dxa"/>
              <w:left w:w="70" w:type="dxa"/>
              <w:bottom w:w="70" w:type="dxa"/>
              <w:right w:w="70" w:type="dxa"/>
            </w:tcMar>
            <w:vAlign w:val="center"/>
          </w:tcPr>
          <w:p w14:paraId="44BDC28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شهري</w:t>
            </w:r>
          </w:p>
        </w:tc>
        <w:tc>
          <w:tcPr>
            <w:tcW w:w="1587" w:type="dxa"/>
            <w:shd w:val="clear" w:color="auto" w:fill="FFFFFF"/>
            <w:tcMar>
              <w:top w:w="70" w:type="dxa"/>
              <w:left w:w="70" w:type="dxa"/>
              <w:bottom w:w="70" w:type="dxa"/>
              <w:right w:w="70" w:type="dxa"/>
            </w:tcMar>
            <w:vAlign w:val="center"/>
          </w:tcPr>
          <w:p w14:paraId="3EDC3DE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انخفاض.</w:t>
            </w:r>
          </w:p>
        </w:tc>
      </w:tr>
      <w:tr w:rsidR="00986803" w:rsidRPr="00181975" w14:paraId="1C3F355A" w14:textId="77777777" w:rsidTr="00181975">
        <w:trPr>
          <w:jc w:val="center"/>
        </w:trPr>
        <w:tc>
          <w:tcPr>
            <w:tcW w:w="2324" w:type="dxa"/>
            <w:shd w:val="clear" w:color="auto" w:fill="F2F4F6"/>
            <w:tcMar>
              <w:top w:w="70" w:type="dxa"/>
              <w:left w:w="70" w:type="dxa"/>
              <w:bottom w:w="70" w:type="dxa"/>
              <w:right w:w="70" w:type="dxa"/>
            </w:tcMar>
            <w:vAlign w:val="center"/>
          </w:tcPr>
          <w:p w14:paraId="63C6728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نسبة الاستئجار</w:t>
            </w:r>
          </w:p>
        </w:tc>
        <w:tc>
          <w:tcPr>
            <w:tcW w:w="3458" w:type="dxa"/>
            <w:shd w:val="clear" w:color="auto" w:fill="F2F4F6"/>
            <w:tcMar>
              <w:top w:w="70" w:type="dxa"/>
              <w:left w:w="70" w:type="dxa"/>
              <w:bottom w:w="70" w:type="dxa"/>
              <w:right w:w="70" w:type="dxa"/>
            </w:tcMar>
            <w:vAlign w:val="center"/>
          </w:tcPr>
          <w:p w14:paraId="4F23EAD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تكلفة أو مساحة المستأجر ÷ إجمالي المحفظة</w:t>
            </w:r>
          </w:p>
        </w:tc>
        <w:tc>
          <w:tcPr>
            <w:tcW w:w="1134" w:type="dxa"/>
            <w:shd w:val="clear" w:color="auto" w:fill="F2F4F6"/>
            <w:tcMar>
              <w:top w:w="70" w:type="dxa"/>
              <w:left w:w="70" w:type="dxa"/>
              <w:bottom w:w="70" w:type="dxa"/>
              <w:right w:w="70" w:type="dxa"/>
            </w:tcMar>
            <w:vAlign w:val="center"/>
          </w:tcPr>
          <w:p w14:paraId="2FF4755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سنوي</w:t>
            </w:r>
          </w:p>
        </w:tc>
        <w:tc>
          <w:tcPr>
            <w:tcW w:w="1587" w:type="dxa"/>
            <w:shd w:val="clear" w:color="auto" w:fill="F2F4F6"/>
            <w:tcMar>
              <w:top w:w="70" w:type="dxa"/>
              <w:left w:w="70" w:type="dxa"/>
              <w:bottom w:w="70" w:type="dxa"/>
              <w:right w:w="70" w:type="dxa"/>
            </w:tcMar>
            <w:vAlign w:val="center"/>
          </w:tcPr>
          <w:p w14:paraId="5045AE5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الترشيد وفق البدائل.</w:t>
            </w:r>
          </w:p>
        </w:tc>
      </w:tr>
      <w:tr w:rsidR="00986803" w:rsidRPr="00181975" w14:paraId="6C91800C" w14:textId="77777777" w:rsidTr="00181975">
        <w:trPr>
          <w:jc w:val="center"/>
        </w:trPr>
        <w:tc>
          <w:tcPr>
            <w:tcW w:w="2324" w:type="dxa"/>
            <w:shd w:val="clear" w:color="auto" w:fill="FFFFFF"/>
            <w:tcMar>
              <w:top w:w="70" w:type="dxa"/>
              <w:left w:w="70" w:type="dxa"/>
              <w:bottom w:w="70" w:type="dxa"/>
              <w:right w:w="70" w:type="dxa"/>
            </w:tcMar>
            <w:vAlign w:val="center"/>
          </w:tcPr>
          <w:p w14:paraId="3FEE7212"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الأصول الفائضة المعالجة</w:t>
            </w:r>
          </w:p>
        </w:tc>
        <w:tc>
          <w:tcPr>
            <w:tcW w:w="3458" w:type="dxa"/>
            <w:shd w:val="clear" w:color="auto" w:fill="FFFFFF"/>
            <w:tcMar>
              <w:top w:w="70" w:type="dxa"/>
              <w:left w:w="70" w:type="dxa"/>
              <w:bottom w:w="70" w:type="dxa"/>
              <w:right w:w="70" w:type="dxa"/>
            </w:tcMar>
            <w:vAlign w:val="center"/>
          </w:tcPr>
          <w:p w14:paraId="399AF51B"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الأصول المعاد استخدامها/التصرف فيها ÷ الفائض ×100</w:t>
            </w:r>
          </w:p>
        </w:tc>
        <w:tc>
          <w:tcPr>
            <w:tcW w:w="1134" w:type="dxa"/>
            <w:shd w:val="clear" w:color="auto" w:fill="FFFFFF"/>
            <w:tcMar>
              <w:top w:w="70" w:type="dxa"/>
              <w:left w:w="70" w:type="dxa"/>
              <w:bottom w:w="70" w:type="dxa"/>
              <w:right w:w="70" w:type="dxa"/>
            </w:tcMar>
            <w:vAlign w:val="center"/>
          </w:tcPr>
          <w:p w14:paraId="08B9DB1D"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ربع سنوي</w:t>
            </w:r>
          </w:p>
        </w:tc>
        <w:tc>
          <w:tcPr>
            <w:tcW w:w="1587" w:type="dxa"/>
            <w:shd w:val="clear" w:color="auto" w:fill="FFFFFF"/>
            <w:tcMar>
              <w:top w:w="70" w:type="dxa"/>
              <w:left w:w="70" w:type="dxa"/>
              <w:bottom w:w="70" w:type="dxa"/>
              <w:right w:w="70" w:type="dxa"/>
            </w:tcMar>
            <w:vAlign w:val="center"/>
          </w:tcPr>
          <w:p w14:paraId="5D1793E4"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ارتفاع.</w:t>
            </w:r>
          </w:p>
        </w:tc>
      </w:tr>
      <w:tr w:rsidR="00986803" w:rsidRPr="00181975" w14:paraId="3787ED45" w14:textId="77777777" w:rsidTr="00181975">
        <w:trPr>
          <w:jc w:val="center"/>
        </w:trPr>
        <w:tc>
          <w:tcPr>
            <w:tcW w:w="2324" w:type="dxa"/>
            <w:shd w:val="clear" w:color="auto" w:fill="F2F4F6"/>
            <w:tcMar>
              <w:top w:w="70" w:type="dxa"/>
              <w:left w:w="70" w:type="dxa"/>
              <w:bottom w:w="70" w:type="dxa"/>
              <w:right w:w="70" w:type="dxa"/>
            </w:tcMar>
            <w:vAlign w:val="center"/>
          </w:tcPr>
          <w:p w14:paraId="24EA2D9E"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تحقق المنافع</w:t>
            </w:r>
          </w:p>
        </w:tc>
        <w:tc>
          <w:tcPr>
            <w:tcW w:w="3458" w:type="dxa"/>
            <w:shd w:val="clear" w:color="auto" w:fill="F2F4F6"/>
            <w:tcMar>
              <w:top w:w="70" w:type="dxa"/>
              <w:left w:w="70" w:type="dxa"/>
              <w:bottom w:w="70" w:type="dxa"/>
              <w:right w:w="70" w:type="dxa"/>
            </w:tcMar>
            <w:vAlign w:val="center"/>
          </w:tcPr>
          <w:p w14:paraId="46E4D78C"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المنافع المتحققة ÷ المنافع المعتمدة ×100</w:t>
            </w:r>
          </w:p>
        </w:tc>
        <w:tc>
          <w:tcPr>
            <w:tcW w:w="1134" w:type="dxa"/>
            <w:shd w:val="clear" w:color="auto" w:fill="F2F4F6"/>
            <w:tcMar>
              <w:top w:w="70" w:type="dxa"/>
              <w:left w:w="70" w:type="dxa"/>
              <w:bottom w:w="70" w:type="dxa"/>
              <w:right w:w="70" w:type="dxa"/>
            </w:tcMar>
            <w:vAlign w:val="center"/>
          </w:tcPr>
          <w:p w14:paraId="542DE4D5"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ربع سنوي</w:t>
            </w:r>
          </w:p>
        </w:tc>
        <w:tc>
          <w:tcPr>
            <w:tcW w:w="1587" w:type="dxa"/>
            <w:shd w:val="clear" w:color="auto" w:fill="F2F4F6"/>
            <w:tcMar>
              <w:top w:w="70" w:type="dxa"/>
              <w:left w:w="70" w:type="dxa"/>
              <w:bottom w:w="70" w:type="dxa"/>
              <w:right w:w="70" w:type="dxa"/>
            </w:tcMar>
            <w:vAlign w:val="center"/>
          </w:tcPr>
          <w:p w14:paraId="7FB0AA73" w14:textId="77777777" w:rsidR="00986803" w:rsidRPr="00181975" w:rsidRDefault="00DB29B7" w:rsidP="00181975">
            <w:pPr>
              <w:bidi/>
              <w:spacing w:after="0" w:line="240" w:lineRule="auto"/>
              <w:ind w:firstLine="0"/>
              <w:jc w:val="center"/>
              <w:rPr>
                <w:rFonts w:ascii="Sakkal Majalla" w:hAnsi="Sakkal Majalla" w:cs="Sakkal Majalla"/>
                <w:sz w:val="34"/>
                <w:szCs w:val="34"/>
              </w:rPr>
            </w:pPr>
            <w:r w:rsidRPr="00181975">
              <w:rPr>
                <w:rFonts w:ascii="Sakkal Majalla" w:hAnsi="Sakkal Majalla" w:cs="Sakkal Majalla"/>
                <w:color w:val="000000"/>
                <w:sz w:val="34"/>
                <w:szCs w:val="34"/>
                <w:rtl/>
                <w:lang w:val="ar-SA"/>
              </w:rPr>
              <w:t>≥90%.</w:t>
            </w:r>
          </w:p>
        </w:tc>
      </w:tr>
    </w:tbl>
    <w:p w14:paraId="74A654B1"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2C0C0855"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ويُفضل تحديد خط أساس ومستهدف لكل مؤشر، وربطه بمالك وتواتر ومصدر بيانات. كما يجب تجنب كثرة المؤشرات؛ فاللوحة القيادية يمكن أن تركز على عشرة إلى خمسة عشر مؤشراً، مع تفاصيل تشغيلية أدنى.</w:t>
      </w:r>
    </w:p>
    <w:p w14:paraId="64A86C6F" w14:textId="77777777" w:rsidR="00181975" w:rsidRPr="00AE1FD7" w:rsidRDefault="00181975" w:rsidP="00181975">
      <w:pPr>
        <w:bidi/>
        <w:spacing w:after="0" w:line="240" w:lineRule="auto"/>
        <w:rPr>
          <w:rFonts w:ascii="Sakkal Majalla" w:hAnsi="Sakkal Majalla" w:cs="Sakkal Majalla"/>
          <w:sz w:val="36"/>
          <w:szCs w:val="36"/>
        </w:rPr>
      </w:pPr>
    </w:p>
    <w:p w14:paraId="2C54CA13" w14:textId="77777777" w:rsidR="00986803" w:rsidRPr="00AE1FD7" w:rsidRDefault="00DB29B7" w:rsidP="00181975">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53" w:name="_Toc235205681"/>
      <w:r w:rsidRPr="00AE1FD7">
        <w:rPr>
          <w:rFonts w:ascii="Sakkal Majalla" w:eastAsia="Noto Kufi Arabic" w:hAnsi="Sakkal Majalla" w:cs="Sakkal Majalla"/>
          <w:sz w:val="36"/>
          <w:szCs w:val="36"/>
          <w:rtl/>
          <w:lang w:val="ar-SA"/>
        </w:rPr>
        <w:t xml:space="preserve">5.12 </w:t>
      </w:r>
      <w:proofErr w:type="gramStart"/>
      <w:r w:rsidRPr="00AE1FD7">
        <w:rPr>
          <w:rFonts w:ascii="Sakkal Majalla" w:eastAsia="Noto Kufi Arabic" w:hAnsi="Sakkal Majalla" w:cs="Sakkal Majalla"/>
          <w:sz w:val="36"/>
          <w:szCs w:val="36"/>
          <w:rtl/>
          <w:lang w:val="ar-SA"/>
        </w:rPr>
        <w:t>التوصيات</w:t>
      </w:r>
      <w:r w:rsidR="00181975">
        <w:rPr>
          <w:rFonts w:ascii="Sakkal Majalla" w:eastAsia="Noto Kufi Arabic" w:hAnsi="Sakkal Majalla" w:cs="Sakkal Majalla" w:hint="cs"/>
          <w:sz w:val="36"/>
          <w:szCs w:val="36"/>
          <w:rtl/>
          <w:lang w:val="ar-SA"/>
        </w:rPr>
        <w:t xml:space="preserve"> :</w:t>
      </w:r>
      <w:bookmarkEnd w:id="153"/>
      <w:proofErr w:type="gramEnd"/>
    </w:p>
    <w:p w14:paraId="4BD8F605"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54" w:name="_Toc235205682"/>
      <w:r w:rsidRPr="00AE1FD7">
        <w:rPr>
          <w:rFonts w:ascii="Sakkal Majalla" w:eastAsia="Noto Kufi Arabic" w:hAnsi="Sakkal Majalla" w:cs="Sakkal Majalla"/>
          <w:sz w:val="36"/>
          <w:szCs w:val="36"/>
          <w:rtl/>
          <w:lang w:val="ar-SA"/>
        </w:rPr>
        <w:t xml:space="preserve">5.12.1 توصيات استراتيجية </w:t>
      </w:r>
      <w:proofErr w:type="spellStart"/>
      <w:r w:rsidRPr="00AE1FD7">
        <w:rPr>
          <w:rFonts w:ascii="Sakkal Majalla" w:eastAsia="Noto Kufi Arabic" w:hAnsi="Sakkal Majalla" w:cs="Sakkal Majalla"/>
          <w:sz w:val="36"/>
          <w:szCs w:val="36"/>
          <w:rtl/>
          <w:lang w:val="ar-SA"/>
        </w:rPr>
        <w:t>وحوكمية</w:t>
      </w:r>
      <w:proofErr w:type="spellEnd"/>
      <w:r w:rsidR="00181975">
        <w:rPr>
          <w:rFonts w:ascii="Sakkal Majalla" w:eastAsia="Noto Kufi Arabic" w:hAnsi="Sakkal Majalla" w:cs="Sakkal Majalla" w:hint="cs"/>
          <w:sz w:val="36"/>
          <w:szCs w:val="36"/>
          <w:rtl/>
          <w:lang w:val="ar-SA"/>
        </w:rPr>
        <w:t>:</w:t>
      </w:r>
      <w:bookmarkEnd w:id="154"/>
    </w:p>
    <w:p w14:paraId="5D6303B8"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 اعتماد سياسة موحدة لإدارة المحفظة العقارية مرتبطة باستراتيجية الجهة وخطط الخدمة والميزانية.</w:t>
      </w:r>
    </w:p>
    <w:p w14:paraId="3A9284E2"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تشكيل لجنة دائمة للمحفظة تضم الأصول والمالية والمرافق والعقود والمخاطر والتقنية والمراجعة بصفة مراقب.</w:t>
      </w:r>
    </w:p>
    <w:p w14:paraId="2200A02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إعداد مصفوفة صلاحيات تحدد من يقترح ويحلل ويعتمد وينفذ ويراجع قرارات التملك والاستئجار والصيانة والتخارج.</w:t>
      </w:r>
    </w:p>
    <w:p w14:paraId="0D0DC288" w14:textId="77777777" w:rsidR="00986803" w:rsidRDefault="00DB29B7" w:rsidP="00697C88">
      <w:pPr>
        <w:bidi/>
        <w:spacing w:after="0" w:line="240" w:lineRule="auto"/>
        <w:ind w:right="255" w:firstLine="0"/>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4. إلزام القرارات العقارية الكبرى بدراسة بدائل وتكلفة دورة حياة وتحليل مخاطر وتوثيق المنافع المتوقعة.</w:t>
      </w:r>
    </w:p>
    <w:p w14:paraId="63EC8943"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55" w:name="_Toc235205683"/>
      <w:r w:rsidRPr="00AE1FD7">
        <w:rPr>
          <w:rFonts w:ascii="Sakkal Majalla" w:eastAsia="Noto Kufi Arabic" w:hAnsi="Sakkal Majalla" w:cs="Sakkal Majalla"/>
          <w:sz w:val="36"/>
          <w:szCs w:val="36"/>
          <w:rtl/>
          <w:lang w:val="ar-SA"/>
        </w:rPr>
        <w:t xml:space="preserve">5.12.2 توصيات البيانات </w:t>
      </w:r>
      <w:proofErr w:type="spellStart"/>
      <w:r w:rsidRPr="00AE1FD7">
        <w:rPr>
          <w:rFonts w:ascii="Sakkal Majalla" w:eastAsia="Noto Kufi Arabic" w:hAnsi="Sakkal Majalla" w:cs="Sakkal Majalla"/>
          <w:sz w:val="36"/>
          <w:szCs w:val="36"/>
          <w:rtl/>
          <w:lang w:val="ar-SA"/>
        </w:rPr>
        <w:t>والرقمنة</w:t>
      </w:r>
      <w:proofErr w:type="spellEnd"/>
      <w:r w:rsidR="00181975">
        <w:rPr>
          <w:rFonts w:ascii="Sakkal Majalla" w:eastAsia="Noto Kufi Arabic" w:hAnsi="Sakkal Majalla" w:cs="Sakkal Majalla" w:hint="cs"/>
          <w:sz w:val="36"/>
          <w:szCs w:val="36"/>
          <w:rtl/>
          <w:lang w:val="ar-SA"/>
        </w:rPr>
        <w:t>:</w:t>
      </w:r>
      <w:bookmarkEnd w:id="155"/>
      <w:r w:rsidR="00181975">
        <w:rPr>
          <w:rFonts w:ascii="Sakkal Majalla" w:eastAsia="Noto Kufi Arabic" w:hAnsi="Sakkal Majalla" w:cs="Sakkal Majalla" w:hint="cs"/>
          <w:sz w:val="36"/>
          <w:szCs w:val="36"/>
          <w:rtl/>
          <w:lang w:val="ar-SA"/>
        </w:rPr>
        <w:t xml:space="preserve"> </w:t>
      </w:r>
    </w:p>
    <w:p w14:paraId="045AAF7A"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 إنشاء سجل موحد للأصول بمعرّف فريد وربطه بالمالية ونظم المعلومات الجغرافية والصيانة والعقود.</w:t>
      </w:r>
    </w:p>
    <w:p w14:paraId="260A9085"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وضع حوكمة للبيانات تشمل التعريفات والمالك والجودة والدورية والصلاحيات وسجل التغيير.</w:t>
      </w:r>
    </w:p>
    <w:p w14:paraId="7E5716C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تنفيذ برنامج لتنظيف البيانات ومطابقتها ميدانياً ومحاسبياً قبل التوسع في التحليلات.</w:t>
      </w:r>
    </w:p>
    <w:p w14:paraId="6E12CA87" w14:textId="77777777" w:rsidR="00986803" w:rsidRDefault="00DB29B7" w:rsidP="00697C88">
      <w:pPr>
        <w:bidi/>
        <w:spacing w:after="0" w:line="240" w:lineRule="auto"/>
        <w:ind w:right="255" w:firstLine="0"/>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4. تطوير لوحات مؤشرات واستخدام التحليلات لاكتشاف الأصول منخفضة الاستخدام وكلفة الصيانة غير الطبيعية.</w:t>
      </w:r>
    </w:p>
    <w:p w14:paraId="61F09A3F"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56" w:name="_Toc235205684"/>
      <w:r w:rsidRPr="00AE1FD7">
        <w:rPr>
          <w:rFonts w:ascii="Sakkal Majalla" w:eastAsia="Noto Kufi Arabic" w:hAnsi="Sakkal Majalla" w:cs="Sakkal Majalla"/>
          <w:sz w:val="36"/>
          <w:szCs w:val="36"/>
          <w:rtl/>
          <w:lang w:val="ar-SA"/>
        </w:rPr>
        <w:t>5.12.3 توصيات دورة الحياة والكفاءة</w:t>
      </w:r>
      <w:r w:rsidR="00181975">
        <w:rPr>
          <w:rFonts w:ascii="Sakkal Majalla" w:eastAsia="Noto Kufi Arabic" w:hAnsi="Sakkal Majalla" w:cs="Sakkal Majalla" w:hint="cs"/>
          <w:sz w:val="36"/>
          <w:szCs w:val="36"/>
          <w:rtl/>
          <w:lang w:val="ar-SA"/>
        </w:rPr>
        <w:t>:</w:t>
      </w:r>
      <w:bookmarkEnd w:id="156"/>
    </w:p>
    <w:p w14:paraId="665A50C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 إعداد خطط خمسية للصيانة والتجديد والإحلال مبنية على الحالة والحرجية والمخاطر.</w:t>
      </w:r>
    </w:p>
    <w:p w14:paraId="31DADA96"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رفع نسبة الصيانة الوقائية وتحديد حد أقصى مقبول للصيانة التفاعلية.</w:t>
      </w:r>
    </w:p>
    <w:p w14:paraId="3400679D"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مراجعة عقود الاستئجار سنوياً مقابل بدائل التملك أو إعادة الاستخدام أو المشاركة.</w:t>
      </w:r>
    </w:p>
    <w:p w14:paraId="0E93B194"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4. تطبيق مراجعة دورية لاستخدام المساحات والأصول، ووضع مسار زمني للأصل الفائض.</w:t>
      </w:r>
    </w:p>
    <w:p w14:paraId="53102F70"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5. استخدام التكلفة الكلية للملكية في قرارات التصميم والشراء والتجديد.</w:t>
      </w:r>
    </w:p>
    <w:p w14:paraId="2EF8D021"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57" w:name="_Toc235205685"/>
      <w:r w:rsidRPr="00AE1FD7">
        <w:rPr>
          <w:rFonts w:ascii="Sakkal Majalla" w:eastAsia="Noto Kufi Arabic" w:hAnsi="Sakkal Majalla" w:cs="Sakkal Majalla"/>
          <w:sz w:val="36"/>
          <w:szCs w:val="36"/>
          <w:rtl/>
          <w:lang w:val="ar-SA"/>
        </w:rPr>
        <w:t>5.12.4 توصيات المخاطر والامتثال</w:t>
      </w:r>
      <w:r w:rsidR="00181975">
        <w:rPr>
          <w:rFonts w:ascii="Sakkal Majalla" w:eastAsia="Noto Kufi Arabic" w:hAnsi="Sakkal Majalla" w:cs="Sakkal Majalla" w:hint="cs"/>
          <w:sz w:val="36"/>
          <w:szCs w:val="36"/>
          <w:rtl/>
          <w:lang w:val="ar-SA"/>
        </w:rPr>
        <w:t>:</w:t>
      </w:r>
      <w:bookmarkEnd w:id="157"/>
    </w:p>
    <w:p w14:paraId="1A553FCF"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 إنشاء سجل مخاطر عقارية موحد وربطه بخطط المعالجة والميزانية.</w:t>
      </w:r>
    </w:p>
    <w:p w14:paraId="537D960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تصنيف الأصول الحرجة وإعداد خطط استمرارية واختبارات دورية.</w:t>
      </w:r>
    </w:p>
    <w:p w14:paraId="13F27739"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مراجعة الالتزامات التعاقدية والضمانات والتأمينات بصورة مركزية.</w:t>
      </w:r>
    </w:p>
    <w:p w14:paraId="57D47AE8"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4. إدماج الاستدامة والطاقة والمرونة المناخية في قرارات دورة الحياة.</w:t>
      </w:r>
    </w:p>
    <w:p w14:paraId="0D7BEEC6" w14:textId="77777777" w:rsidR="00986803" w:rsidRPr="00AE1FD7" w:rsidRDefault="00DB29B7" w:rsidP="00697C88">
      <w:pPr>
        <w:pStyle w:val="31"/>
        <w:bidi/>
        <w:spacing w:before="0" w:after="0" w:line="240" w:lineRule="auto"/>
        <w:ind w:firstLine="0"/>
        <w:jc w:val="both"/>
        <w:rPr>
          <w:rFonts w:ascii="Sakkal Majalla" w:hAnsi="Sakkal Majalla" w:cs="Sakkal Majalla"/>
          <w:sz w:val="36"/>
          <w:szCs w:val="36"/>
        </w:rPr>
      </w:pPr>
      <w:bookmarkStart w:id="158" w:name="_Toc235205686"/>
      <w:r w:rsidRPr="00AE1FD7">
        <w:rPr>
          <w:rFonts w:ascii="Sakkal Majalla" w:eastAsia="Noto Kufi Arabic" w:hAnsi="Sakkal Majalla" w:cs="Sakkal Majalla"/>
          <w:sz w:val="36"/>
          <w:szCs w:val="36"/>
          <w:rtl/>
          <w:lang w:val="ar-SA"/>
        </w:rPr>
        <w:t>5.12.5 توصيات القدرات والثقافة</w:t>
      </w:r>
      <w:r w:rsidR="00181975">
        <w:rPr>
          <w:rFonts w:ascii="Sakkal Majalla" w:eastAsia="Noto Kufi Arabic" w:hAnsi="Sakkal Majalla" w:cs="Sakkal Majalla" w:hint="cs"/>
          <w:sz w:val="36"/>
          <w:szCs w:val="36"/>
          <w:rtl/>
          <w:lang w:val="ar-SA"/>
        </w:rPr>
        <w:t>:</w:t>
      </w:r>
      <w:bookmarkEnd w:id="158"/>
    </w:p>
    <w:p w14:paraId="6683E942"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 تطوير مسارات مهنية وشهادات في إدارة الأصول والمرافق وتحليل البيانات وتكلفة دورة الحياة.</w:t>
      </w:r>
    </w:p>
    <w:p w14:paraId="6D98862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تدريب القيادات على قراءة مؤشرات المحفظة واتخاذ القرار القائم على القيمة.</w:t>
      </w:r>
    </w:p>
    <w:p w14:paraId="0F60808F"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إنشاء مجتمع ممارسة لتبادل الدروس والمقارنات بين الجهات.</w:t>
      </w:r>
    </w:p>
    <w:p w14:paraId="0430AC85" w14:textId="77777777" w:rsidR="00986803" w:rsidRDefault="00DB29B7" w:rsidP="00697C88">
      <w:pPr>
        <w:bidi/>
        <w:spacing w:after="0" w:line="240" w:lineRule="auto"/>
        <w:ind w:right="255" w:firstLine="0"/>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4. ربط بعض مؤشرات الأداء الوظيفي بجودة البيانات وإغلاق الملاحظات وتحقيق المنافع.</w:t>
      </w:r>
    </w:p>
    <w:p w14:paraId="5A571121" w14:textId="77777777" w:rsidR="00181975" w:rsidRPr="00AE1FD7" w:rsidRDefault="00181975" w:rsidP="00181975">
      <w:pPr>
        <w:bidi/>
        <w:spacing w:after="0" w:line="240" w:lineRule="auto"/>
        <w:ind w:right="255" w:firstLine="0"/>
        <w:rPr>
          <w:rFonts w:ascii="Sakkal Majalla" w:hAnsi="Sakkal Majalla" w:cs="Sakkal Majalla"/>
          <w:sz w:val="36"/>
          <w:szCs w:val="36"/>
        </w:rPr>
      </w:pPr>
    </w:p>
    <w:p w14:paraId="5938FC46"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59" w:name="_Toc235205687"/>
      <w:r w:rsidRPr="00AE1FD7">
        <w:rPr>
          <w:rFonts w:ascii="Sakkal Majalla" w:eastAsia="Noto Kufi Arabic" w:hAnsi="Sakkal Majalla" w:cs="Sakkal Majalla"/>
          <w:sz w:val="36"/>
          <w:szCs w:val="36"/>
          <w:rtl/>
          <w:lang w:val="ar-SA"/>
        </w:rPr>
        <w:t>5.13 القيود</w:t>
      </w:r>
      <w:r w:rsidR="00181975">
        <w:rPr>
          <w:rFonts w:ascii="Sakkal Majalla" w:eastAsia="Noto Kufi Arabic" w:hAnsi="Sakkal Majalla" w:cs="Sakkal Majalla" w:hint="cs"/>
          <w:sz w:val="36"/>
          <w:szCs w:val="36"/>
          <w:rtl/>
          <w:lang w:val="ar-SA"/>
        </w:rPr>
        <w:t>:</w:t>
      </w:r>
      <w:bookmarkEnd w:id="159"/>
    </w:p>
    <w:p w14:paraId="7A32E8B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تتمثل القيود في التصميم المقطعي والاعتماد على الاستبانة، ما قد يعكس تصورات المشاركين أكثر من القياسات المالية الفعلية. كما أن عدم ذكر أسماء الجهات يحمي السرية لكنه يمنع تحليل الخصائص التنظيمية التفصيلية. ولم تشمل الدراسة بيانات فعلية عن المساحة والتكلفة والعقود، ولم تختبر متغيرات وسيطة مثل القيادة أو الثقافة أو القدرات البشرية.</w:t>
      </w:r>
    </w:p>
    <w:p w14:paraId="0E17764D"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وقد يرفع المصدر الواحد للمتغيرات احتمال تحيز الطريقة المشتركة، رغم أن اختبارات البناء والعامل الواحد قللت القلق. كما تقتصر قابلية التعميم على الجهات والفئات المشابهة للعينة.</w:t>
      </w:r>
    </w:p>
    <w:p w14:paraId="35222125"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60" w:name="_Toc235205688"/>
      <w:r w:rsidRPr="00AE1FD7">
        <w:rPr>
          <w:rFonts w:ascii="Sakkal Majalla" w:eastAsia="Noto Kufi Arabic" w:hAnsi="Sakkal Majalla" w:cs="Sakkal Majalla"/>
          <w:sz w:val="36"/>
          <w:szCs w:val="36"/>
          <w:rtl/>
          <w:lang w:val="ar-SA"/>
        </w:rPr>
        <w:t>5.14 مقترحات الدراسات المستقبلية</w:t>
      </w:r>
      <w:bookmarkEnd w:id="160"/>
    </w:p>
    <w:p w14:paraId="795E529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تقترح الدراسة تنفيذ بحوث طولية تقيس التحسن قبل وبعد تطبيق الدليل الوطني أو المنصات الرقمية، وربط الاستبانة ببيانات فعلية عن الإيجار والصيانة والاستخدام. كما يمكن اختبار الوساطة التي تمارسها جودة القرار أو نضج البيانات، والدور المعدل للقيادة والثقافة والقدرات.</w:t>
      </w:r>
    </w:p>
    <w:p w14:paraId="329470DC"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lastRenderedPageBreak/>
        <w:t>ويمكن إجراء دراسات حالة مقارنة بين قطاعات الصحة والتعليم والإدارة، أو بناء مؤشر وطني لنضج الحوكمة العقارية، أو استخدام نمذجة المعادلات الهيكلية. كما يقترح بحث أثر الذكاء الاصطناعي وإنترنت الأشياء ونمذجة معلومات البناء في الصيانة التنبؤية وكفاءة الطاقة.</w:t>
      </w:r>
    </w:p>
    <w:p w14:paraId="03BA6C56" w14:textId="77777777" w:rsidR="00181975" w:rsidRPr="00AE1FD7" w:rsidRDefault="00181975" w:rsidP="00181975">
      <w:pPr>
        <w:bidi/>
        <w:spacing w:after="0" w:line="240" w:lineRule="auto"/>
        <w:rPr>
          <w:rFonts w:ascii="Sakkal Majalla" w:hAnsi="Sakkal Majalla" w:cs="Sakkal Majalla"/>
          <w:sz w:val="36"/>
          <w:szCs w:val="36"/>
        </w:rPr>
      </w:pPr>
    </w:p>
    <w:p w14:paraId="21DACC80" w14:textId="77777777" w:rsidR="00986803" w:rsidRPr="00AE1FD7" w:rsidRDefault="00DB29B7" w:rsidP="00181975">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61" w:name="_Toc235205689"/>
      <w:r w:rsidRPr="00AE1FD7">
        <w:rPr>
          <w:rFonts w:ascii="Sakkal Majalla" w:eastAsia="Noto Kufi Arabic" w:hAnsi="Sakkal Majalla" w:cs="Sakkal Majalla"/>
          <w:sz w:val="36"/>
          <w:szCs w:val="36"/>
          <w:rtl/>
          <w:lang w:val="ar-SA"/>
        </w:rPr>
        <w:t>5.15 الخاتمة العامة</w:t>
      </w:r>
      <w:r w:rsidR="00181975">
        <w:rPr>
          <w:rFonts w:ascii="Sakkal Majalla" w:eastAsia="Noto Kufi Arabic" w:hAnsi="Sakkal Majalla" w:cs="Sakkal Majalla" w:hint="cs"/>
          <w:sz w:val="36"/>
          <w:szCs w:val="36"/>
          <w:rtl/>
          <w:lang w:val="ar-SA"/>
        </w:rPr>
        <w:t>:</w:t>
      </w:r>
      <w:bookmarkEnd w:id="161"/>
    </w:p>
    <w:p w14:paraId="61E4193F"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خلصت الدراسة إلى أن حوكمة إدارة الممتلكات العامة عامل جوهري في تعزيز كفاءة الإنفاق الحكومي العقاري. وقد أظهرت النتائج أن الجهات تمتلك مستوى مرتفعاً من الممارسات، لكن التكامل الرقمي ودورة الحياة يمثلان أهم فرص التحسين. كما بين التحليل أن التخطيط الاستراتيجي والبيانات هما الأعلى تأثيراً، مع بقاء الشفافية والمساءلة والمخاطر عناصر ضرورية للنظام.</w:t>
      </w:r>
    </w:p>
    <w:p w14:paraId="06A9826C"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وتؤكد الدراسة أن الإصلاح لا ينبغي أن يقتصر على خفض المصروف أو شراء نظام، بل يحتاج إلى منظومة تجمع القرار والبيانات والمالية والهندسة والرقابة. وعندما تُدار الممتلكات باعتبارها محفظة لتمكين الخدمات وتحقيق القيمة، يمكن تحويلها من عبء صامت إلى رافعة للاستدامة المالية وجودة الخدمة العامة.</w:t>
      </w:r>
    </w:p>
    <w:p w14:paraId="2FFD185E"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1B9C8B4B" w14:textId="77777777" w:rsidR="00986803" w:rsidRPr="00AE1FD7" w:rsidRDefault="00DB29B7" w:rsidP="00181975">
      <w:pPr>
        <w:pStyle w:val="1"/>
        <w:pBdr>
          <w:bottom w:val="single" w:sz="18" w:space="8" w:color="C69C3A"/>
        </w:pBdr>
        <w:bidi/>
        <w:spacing w:after="0" w:line="240" w:lineRule="auto"/>
        <w:ind w:firstLine="0"/>
        <w:rPr>
          <w:rFonts w:ascii="Sakkal Majalla" w:hAnsi="Sakkal Majalla" w:cs="Sakkal Majalla"/>
          <w:sz w:val="36"/>
          <w:szCs w:val="36"/>
        </w:rPr>
      </w:pPr>
      <w:bookmarkStart w:id="162" w:name="_Toc235205690"/>
      <w:r w:rsidRPr="00AE1FD7">
        <w:rPr>
          <w:rFonts w:ascii="Sakkal Majalla" w:eastAsia="Noto Kufi Arabic" w:hAnsi="Sakkal Majalla" w:cs="Sakkal Majalla"/>
          <w:sz w:val="36"/>
          <w:szCs w:val="36"/>
          <w:rtl/>
          <w:lang w:val="ar-SA"/>
        </w:rPr>
        <w:lastRenderedPageBreak/>
        <w:t>المراجع</w:t>
      </w:r>
      <w:r w:rsidR="00181975">
        <w:rPr>
          <w:rFonts w:ascii="Sakkal Majalla" w:eastAsia="Noto Kufi Arabic" w:hAnsi="Sakkal Majalla" w:cs="Sakkal Majalla" w:hint="cs"/>
          <w:sz w:val="36"/>
          <w:szCs w:val="36"/>
          <w:rtl/>
          <w:lang w:val="ar-SA"/>
        </w:rPr>
        <w:t>:</w:t>
      </w:r>
      <w:bookmarkEnd w:id="162"/>
    </w:p>
    <w:p w14:paraId="5F98781D"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63" w:name="_Toc235205691"/>
      <w:r w:rsidRPr="00AE1FD7">
        <w:rPr>
          <w:rFonts w:ascii="Sakkal Majalla" w:eastAsia="Noto Kufi Arabic" w:hAnsi="Sakkal Majalla" w:cs="Sakkal Majalla"/>
          <w:sz w:val="36"/>
          <w:szCs w:val="36"/>
          <w:rtl/>
          <w:lang w:val="ar-SA"/>
        </w:rPr>
        <w:t>أولاً: المراجع العربية</w:t>
      </w:r>
      <w:bookmarkEnd w:id="163"/>
    </w:p>
    <w:p w14:paraId="7744CF64"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1. البسام، بسام بن </w:t>
      </w:r>
      <w:proofErr w:type="gramStart"/>
      <w:r w:rsidRPr="00AE1FD7">
        <w:rPr>
          <w:rFonts w:ascii="Sakkal Majalla" w:hAnsi="Sakkal Majalla" w:cs="Sakkal Majalla"/>
          <w:color w:val="000000"/>
          <w:sz w:val="36"/>
          <w:szCs w:val="36"/>
          <w:rtl/>
          <w:lang w:val="ar-SA"/>
        </w:rPr>
        <w:t>عبدالله</w:t>
      </w:r>
      <w:proofErr w:type="gramEnd"/>
      <w:r w:rsidRPr="00AE1FD7">
        <w:rPr>
          <w:rFonts w:ascii="Sakkal Majalla" w:hAnsi="Sakkal Majalla" w:cs="Sakkal Majalla"/>
          <w:color w:val="000000"/>
          <w:sz w:val="36"/>
          <w:szCs w:val="36"/>
          <w:rtl/>
          <w:lang w:val="ar-SA"/>
        </w:rPr>
        <w:t>. (2016). الحوكمة في القطاع العام. الرياض: معهد الإدارة العامة.</w:t>
      </w:r>
    </w:p>
    <w:p w14:paraId="25D52DE2"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2. الحصري، طارق. (2024). الحوكمة في القطاع الحكومي: المؤشرات والممارسات في مصر خلال الفترة 2006-2021. مجلة الحوكمة والوقاية من الفساد ومكافحته، 1(1)، 12-41.</w:t>
      </w:r>
    </w:p>
    <w:p w14:paraId="7E4E08FF"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3. الخريجي، مشاعل بنت فهد. (2021). قياس كفاءة الإنفاق الحكومي في المملكة العربية السعودية: دراسة مقارنة بمجموعة الدول العشرين. مجلة العلوم الإنسانية والاجتماعية، جامعة الإمام محمد بن سعود الإسلامية، العدد 59.</w:t>
      </w:r>
    </w:p>
    <w:p w14:paraId="12BC0CEF"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4. الرفاعي، علاء بن سعد بن رجاء الله، وكنة، الوليد نور الهدى أحمد. (2025). واقع تطبيق مبادئ الحوكمة في القطاع العام ودورها في تعزيز الاستدامة المالية في المملكة العربية السعودية. مجلة الأندلس للعلوم الإنسانية والاجتماعية، 12(115).</w:t>
      </w:r>
    </w:p>
    <w:p w14:paraId="5348EEAF"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5. سيروب، رشا جورج. (2022). أثر الحوكمة على كفاءة الإنفاق العام: دراسة تطبيقية على الاقتصاد السوري. مجلة جامعة دمشق للعلوم الاقتصادية والسياسية، 38(1).</w:t>
      </w:r>
    </w:p>
    <w:p w14:paraId="2FF9A2D1"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6. </w:t>
      </w:r>
      <w:proofErr w:type="spellStart"/>
      <w:r w:rsidRPr="00AE1FD7">
        <w:rPr>
          <w:rFonts w:ascii="Sakkal Majalla" w:hAnsi="Sakkal Majalla" w:cs="Sakkal Majalla"/>
          <w:color w:val="000000"/>
          <w:sz w:val="36"/>
          <w:szCs w:val="36"/>
          <w:rtl/>
          <w:lang w:val="ar-SA"/>
        </w:rPr>
        <w:t>شعوة</w:t>
      </w:r>
      <w:proofErr w:type="spellEnd"/>
      <w:r w:rsidRPr="00AE1FD7">
        <w:rPr>
          <w:rFonts w:ascii="Sakkal Majalla" w:hAnsi="Sakkal Majalla" w:cs="Sakkal Majalla"/>
          <w:color w:val="000000"/>
          <w:sz w:val="36"/>
          <w:szCs w:val="36"/>
          <w:rtl/>
          <w:lang w:val="ar-SA"/>
        </w:rPr>
        <w:t>، مهدي. (2018). وسائل الإدارة لحماية الأملاك العقارية العمومية. مجلة العلوم الإنسانية، 29(2).</w:t>
      </w:r>
    </w:p>
    <w:p w14:paraId="16E7ED57"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7. عرود، عبد السلام. (2022). تدبير أملاك الجماعات الترابية بين القانون والممارسة. مجلة القانون والمجتمع.</w:t>
      </w:r>
    </w:p>
    <w:p w14:paraId="5A88EC09"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8. رؤية السعودية 2030. (2025). التقرير السنوي لرؤية السعودية 2030 لعام 2025.</w:t>
      </w:r>
    </w:p>
    <w:p w14:paraId="51D3EF68"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9. رؤية السعودية 2030. (2025). برنامج الاستدامة المالية.</w:t>
      </w:r>
    </w:p>
    <w:p w14:paraId="4A945653"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10. الهيئة العامة لعقارات الدولة. (2024أ). ضوابط تخصيص عقارات الدولة واستردادها.</w:t>
      </w:r>
    </w:p>
    <w:p w14:paraId="37C09D6C"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11. الهيئة العامة لعقارات الدولة. (2024ب). لائحة التصرف في عقارات الدولة، الإصدار الثالث.</w:t>
      </w:r>
    </w:p>
    <w:p w14:paraId="736407F5"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12. هيئة كفاءة الإنفاق والمشروعات الحكومية. (2024أ). الدليل الوطني لإدارة الأصول والمرافق.</w:t>
      </w:r>
    </w:p>
    <w:p w14:paraId="5F922608"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13. هيئة كفاءة الإنفاق والمشروعات الحكومية. (2024ب). مفهوم كفاءة الإنفاق في المملكة العربية السعودية: ورقة بحثية.</w:t>
      </w:r>
    </w:p>
    <w:p w14:paraId="04C9EDA2"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14. وزارة المالية - المملكة العربية السعودية. (2019). دليل حصر وتقييم الأصول والالتزامات.</w:t>
      </w:r>
    </w:p>
    <w:p w14:paraId="51AE0278"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15. وزارة المالية - المملكة العربية السعودية. (2020). الدليل التمهيدي لتهيئة جهات القطاع العام لتطبيق التحول إلى أساس الاستحقاق المحاسبي.</w:t>
      </w:r>
    </w:p>
    <w:p w14:paraId="1BA18C4A"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16. وزارة المالية - المملكة العربية السعودية. (2024). المحاسبة عن الأصول في القطاع العام.</w:t>
      </w:r>
    </w:p>
    <w:p w14:paraId="1F8FAC6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17. وزارة المالية - دولة الإمارات العربية المتحدة. (2022). دليل الإجراءات لنظام تتبع الأصول، الإصدار 2.0.</w:t>
      </w:r>
    </w:p>
    <w:p w14:paraId="65D6BE9E"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18. وزارة المالية - دولة الإمارات العربية المتحدة. (2024). سياسات إدارة الأصول الثابتة في الحكومة الاتحادية.</w:t>
      </w:r>
    </w:p>
    <w:p w14:paraId="7A5B9840" w14:textId="77777777" w:rsidR="00986803" w:rsidRPr="00AE1FD7" w:rsidRDefault="00DB29B7" w:rsidP="00697C88">
      <w:pPr>
        <w:bidi/>
        <w:spacing w:after="0" w:line="240" w:lineRule="auto"/>
        <w:ind w:right="255" w:firstLine="0"/>
        <w:rPr>
          <w:rFonts w:ascii="Sakkal Majalla" w:hAnsi="Sakkal Majalla" w:cs="Sakkal Majalla"/>
          <w:sz w:val="36"/>
          <w:szCs w:val="36"/>
        </w:rPr>
      </w:pPr>
      <w:r w:rsidRPr="00AE1FD7">
        <w:rPr>
          <w:rFonts w:ascii="Sakkal Majalla" w:hAnsi="Sakkal Majalla" w:cs="Sakkal Majalla"/>
          <w:color w:val="000000"/>
          <w:sz w:val="36"/>
          <w:szCs w:val="36"/>
          <w:rtl/>
          <w:lang w:val="ar-SA"/>
        </w:rPr>
        <w:t>19. تنظيم الهيئة العامة لعقارات الدولة، قرار مجلس الوزراء رقم 266 وتاريخ 14/5/1442هـ. (2021).</w:t>
      </w:r>
    </w:p>
    <w:p w14:paraId="26ECBBD3" w14:textId="77777777" w:rsidR="00986803" w:rsidRPr="00AE1FD7" w:rsidRDefault="00DB29B7" w:rsidP="00697C88">
      <w:pPr>
        <w:pStyle w:val="21"/>
        <w:pBdr>
          <w:bottom w:val="single" w:sz="8" w:space="2" w:color="D9EAF7"/>
        </w:pBdr>
        <w:bidi/>
        <w:spacing w:before="0" w:after="0" w:line="240" w:lineRule="auto"/>
        <w:ind w:firstLine="0"/>
        <w:jc w:val="both"/>
        <w:rPr>
          <w:rFonts w:ascii="Sakkal Majalla" w:hAnsi="Sakkal Majalla" w:cs="Sakkal Majalla"/>
          <w:sz w:val="36"/>
          <w:szCs w:val="36"/>
        </w:rPr>
      </w:pPr>
      <w:bookmarkStart w:id="164" w:name="_Toc235205692"/>
      <w:r w:rsidRPr="00AE1FD7">
        <w:rPr>
          <w:rFonts w:ascii="Sakkal Majalla" w:eastAsia="Noto Kufi Arabic" w:hAnsi="Sakkal Majalla" w:cs="Sakkal Majalla"/>
          <w:sz w:val="36"/>
          <w:szCs w:val="36"/>
          <w:rtl/>
          <w:lang w:val="ar-SA"/>
        </w:rPr>
        <w:t>ثانياً: المراجع الأجنبية</w:t>
      </w:r>
      <w:bookmarkEnd w:id="164"/>
    </w:p>
    <w:p w14:paraId="62EE48C5"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 Afonso, A., Schuknecht, L., &amp; Tanzi, V. (2005). Public sector efficiency: An international comparison. Public Choice, 123, 321-347.</w:t>
      </w:r>
    </w:p>
    <w:p w14:paraId="6A6A9377"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2. Detter, D., &amp; </w:t>
      </w:r>
      <w:proofErr w:type="spellStart"/>
      <w:r w:rsidRPr="00AE1FD7">
        <w:rPr>
          <w:rFonts w:ascii="Sakkal Majalla" w:eastAsia="DejaVu Sans" w:hAnsi="Sakkal Majalla" w:cs="Sakkal Majalla"/>
          <w:color w:val="000000"/>
          <w:sz w:val="36"/>
          <w:szCs w:val="36"/>
          <w:lang w:bidi="en-US"/>
        </w:rPr>
        <w:t>Fölster</w:t>
      </w:r>
      <w:proofErr w:type="spellEnd"/>
      <w:r w:rsidRPr="00AE1FD7">
        <w:rPr>
          <w:rFonts w:ascii="Sakkal Majalla" w:eastAsia="DejaVu Sans" w:hAnsi="Sakkal Majalla" w:cs="Sakkal Majalla"/>
          <w:color w:val="000000"/>
          <w:sz w:val="36"/>
          <w:szCs w:val="36"/>
          <w:lang w:bidi="en-US"/>
        </w:rPr>
        <w:t>, S. (2015). The Public Wealth of Nations. Palgrave Macmillan.</w:t>
      </w:r>
    </w:p>
    <w:p w14:paraId="15A83DA2"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 Garmendia, C., &amp; Kapur, A. (2013). Enhancing Government Property Management with Data and Technology. Harvard Kennedy School, M-RCBG Associate Working Paper No. 21.</w:t>
      </w:r>
    </w:p>
    <w:p w14:paraId="72513DED"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4. García Mejía, M., Pareja, A., </w:t>
      </w:r>
      <w:proofErr w:type="spellStart"/>
      <w:r w:rsidRPr="00AE1FD7">
        <w:rPr>
          <w:rFonts w:ascii="Sakkal Majalla" w:eastAsia="DejaVu Sans" w:hAnsi="Sakkal Majalla" w:cs="Sakkal Majalla"/>
          <w:color w:val="000000"/>
          <w:sz w:val="36"/>
          <w:szCs w:val="36"/>
          <w:lang w:bidi="en-US"/>
        </w:rPr>
        <w:t>Farías</w:t>
      </w:r>
      <w:proofErr w:type="spellEnd"/>
      <w:r w:rsidRPr="00AE1FD7">
        <w:rPr>
          <w:rFonts w:ascii="Sakkal Majalla" w:eastAsia="DejaVu Sans" w:hAnsi="Sakkal Majalla" w:cs="Sakkal Majalla"/>
          <w:color w:val="000000"/>
          <w:sz w:val="36"/>
          <w:szCs w:val="36"/>
          <w:lang w:bidi="en-US"/>
        </w:rPr>
        <w:t>, P., Kaganova, O., Ball, I., &amp; Detter, D. (2021). Our Untapped Wealth: Toward Modern Management of Public Assets. Inter-American Development Bank.</w:t>
      </w:r>
    </w:p>
    <w:p w14:paraId="31C19147"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5. García Mejía, M., Aguirre De Mora, F., </w:t>
      </w:r>
      <w:proofErr w:type="spellStart"/>
      <w:r w:rsidRPr="00AE1FD7">
        <w:rPr>
          <w:rFonts w:ascii="Sakkal Majalla" w:eastAsia="DejaVu Sans" w:hAnsi="Sakkal Majalla" w:cs="Sakkal Majalla"/>
          <w:color w:val="000000"/>
          <w:sz w:val="36"/>
          <w:szCs w:val="36"/>
          <w:lang w:bidi="en-US"/>
        </w:rPr>
        <w:t>Brankevich</w:t>
      </w:r>
      <w:proofErr w:type="spellEnd"/>
      <w:r w:rsidRPr="00AE1FD7">
        <w:rPr>
          <w:rFonts w:ascii="Sakkal Majalla" w:eastAsia="DejaVu Sans" w:hAnsi="Sakkal Majalla" w:cs="Sakkal Majalla"/>
          <w:color w:val="000000"/>
          <w:sz w:val="36"/>
          <w:szCs w:val="36"/>
          <w:lang w:bidi="en-US"/>
        </w:rPr>
        <w:t>, P., Roseth, B., &amp; Naranjo Bautista, S. (2024). Public Asset Management Maturity Assessment. Inter-American Development Bank.</w:t>
      </w:r>
    </w:p>
    <w:p w14:paraId="69EF2516" w14:textId="77777777" w:rsidR="00986803" w:rsidRPr="00AE1FD7" w:rsidRDefault="00DB29B7" w:rsidP="00181975">
      <w:pPr>
        <w:spacing w:after="0" w:line="240" w:lineRule="auto"/>
        <w:ind w:left="369" w:hanging="369"/>
        <w:rPr>
          <w:rFonts w:ascii="Sakkal Majalla" w:hAnsi="Sakkal Majalla" w:cs="Sakkal Majalla"/>
          <w:sz w:val="36"/>
          <w:szCs w:val="36"/>
        </w:rPr>
      </w:pPr>
      <w:r w:rsidRPr="00981704">
        <w:rPr>
          <w:rFonts w:ascii="Sakkal Majalla" w:eastAsia="DejaVu Sans" w:hAnsi="Sakkal Majalla" w:cs="Sakkal Majalla"/>
          <w:color w:val="000000"/>
          <w:sz w:val="36"/>
          <w:szCs w:val="36"/>
          <w:lang w:val="pt-BR" w:bidi="en-US"/>
        </w:rPr>
        <w:t xml:space="preserve">6. </w:t>
      </w:r>
      <w:proofErr w:type="spellStart"/>
      <w:r w:rsidRPr="00981704">
        <w:rPr>
          <w:rFonts w:ascii="Sakkal Majalla" w:eastAsia="DejaVu Sans" w:hAnsi="Sakkal Majalla" w:cs="Sakkal Majalla"/>
          <w:color w:val="000000"/>
          <w:sz w:val="36"/>
          <w:szCs w:val="36"/>
          <w:lang w:val="pt-BR" w:bidi="en-US"/>
        </w:rPr>
        <w:t>Gavrikova</w:t>
      </w:r>
      <w:proofErr w:type="spellEnd"/>
      <w:r w:rsidRPr="00981704">
        <w:rPr>
          <w:rFonts w:ascii="Sakkal Majalla" w:eastAsia="DejaVu Sans" w:hAnsi="Sakkal Majalla" w:cs="Sakkal Majalla"/>
          <w:color w:val="000000"/>
          <w:sz w:val="36"/>
          <w:szCs w:val="36"/>
          <w:lang w:val="pt-BR" w:bidi="en-US"/>
        </w:rPr>
        <w:t xml:space="preserve">, E., Volkova, I., &amp; Burda, Y. (2020). </w:t>
      </w:r>
      <w:r w:rsidRPr="00AE1FD7">
        <w:rPr>
          <w:rFonts w:ascii="Sakkal Majalla" w:eastAsia="DejaVu Sans" w:hAnsi="Sakkal Majalla" w:cs="Sakkal Majalla"/>
          <w:color w:val="000000"/>
          <w:sz w:val="36"/>
          <w:szCs w:val="36"/>
          <w:lang w:bidi="en-US"/>
        </w:rPr>
        <w:t>Strategic aspects of asset management: An overview of current research. Sustainability, 12(15), 5955.</w:t>
      </w:r>
    </w:p>
    <w:p w14:paraId="166EA419"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 xml:space="preserve">7. Gross, M., &amp; </w:t>
      </w:r>
      <w:proofErr w:type="spellStart"/>
      <w:r w:rsidRPr="00AE1FD7">
        <w:rPr>
          <w:rFonts w:ascii="Sakkal Majalla" w:eastAsia="DejaVu Sans" w:hAnsi="Sakkal Majalla" w:cs="Sakkal Majalla"/>
          <w:color w:val="000000"/>
          <w:sz w:val="36"/>
          <w:szCs w:val="36"/>
          <w:lang w:bidi="en-US"/>
        </w:rPr>
        <w:t>Źróbek</w:t>
      </w:r>
      <w:proofErr w:type="spellEnd"/>
      <w:r w:rsidRPr="00AE1FD7">
        <w:rPr>
          <w:rFonts w:ascii="Sakkal Majalla" w:eastAsia="DejaVu Sans" w:hAnsi="Sakkal Majalla" w:cs="Sakkal Majalla"/>
          <w:color w:val="000000"/>
          <w:sz w:val="36"/>
          <w:szCs w:val="36"/>
          <w:lang w:bidi="en-US"/>
        </w:rPr>
        <w:t>, R. (2015). Good governance in some public real estate management systems. Land Use Policy, 49, 352-364.</w:t>
      </w:r>
    </w:p>
    <w:p w14:paraId="2D9A0429"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8. Gross, M., </w:t>
      </w:r>
      <w:proofErr w:type="spellStart"/>
      <w:r w:rsidRPr="00AE1FD7">
        <w:rPr>
          <w:rFonts w:ascii="Sakkal Majalla" w:eastAsia="DejaVu Sans" w:hAnsi="Sakkal Majalla" w:cs="Sakkal Majalla"/>
          <w:color w:val="000000"/>
          <w:sz w:val="36"/>
          <w:szCs w:val="36"/>
          <w:lang w:bidi="en-US"/>
        </w:rPr>
        <w:t>Źróbek</w:t>
      </w:r>
      <w:proofErr w:type="spellEnd"/>
      <w:r w:rsidRPr="00AE1FD7">
        <w:rPr>
          <w:rFonts w:ascii="Sakkal Majalla" w:eastAsia="DejaVu Sans" w:hAnsi="Sakkal Majalla" w:cs="Sakkal Majalla"/>
          <w:color w:val="000000"/>
          <w:sz w:val="36"/>
          <w:szCs w:val="36"/>
          <w:lang w:bidi="en-US"/>
        </w:rPr>
        <w:t xml:space="preserve">, R., &amp; </w:t>
      </w:r>
      <w:proofErr w:type="spellStart"/>
      <w:r w:rsidRPr="00AE1FD7">
        <w:rPr>
          <w:rFonts w:ascii="Sakkal Majalla" w:eastAsia="DejaVu Sans" w:hAnsi="Sakkal Majalla" w:cs="Sakkal Majalla"/>
          <w:color w:val="000000"/>
          <w:sz w:val="36"/>
          <w:szCs w:val="36"/>
          <w:lang w:bidi="en-US"/>
        </w:rPr>
        <w:t>Źróbek-Sokolnik</w:t>
      </w:r>
      <w:proofErr w:type="spellEnd"/>
      <w:r w:rsidRPr="00AE1FD7">
        <w:rPr>
          <w:rFonts w:ascii="Sakkal Majalla" w:eastAsia="DejaVu Sans" w:hAnsi="Sakkal Majalla" w:cs="Sakkal Majalla"/>
          <w:color w:val="000000"/>
          <w:sz w:val="36"/>
          <w:szCs w:val="36"/>
          <w:lang w:bidi="en-US"/>
        </w:rPr>
        <w:t>, A. (2021). A burden or a source of income? A study of municipal land resource management. Land Use Policy, 109.</w:t>
      </w:r>
    </w:p>
    <w:p w14:paraId="089E71C3"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9. Hanis, M. H., </w:t>
      </w:r>
      <w:proofErr w:type="spellStart"/>
      <w:r w:rsidRPr="00AE1FD7">
        <w:rPr>
          <w:rFonts w:ascii="Sakkal Majalla" w:eastAsia="DejaVu Sans" w:hAnsi="Sakkal Majalla" w:cs="Sakkal Majalla"/>
          <w:color w:val="000000"/>
          <w:sz w:val="36"/>
          <w:szCs w:val="36"/>
          <w:lang w:bidi="en-US"/>
        </w:rPr>
        <w:t>Trigunarsyah</w:t>
      </w:r>
      <w:proofErr w:type="spellEnd"/>
      <w:r w:rsidRPr="00AE1FD7">
        <w:rPr>
          <w:rFonts w:ascii="Sakkal Majalla" w:eastAsia="DejaVu Sans" w:hAnsi="Sakkal Majalla" w:cs="Sakkal Majalla"/>
          <w:color w:val="000000"/>
          <w:sz w:val="36"/>
          <w:szCs w:val="36"/>
          <w:lang w:bidi="en-US"/>
        </w:rPr>
        <w:t xml:space="preserve">, B., &amp; </w:t>
      </w:r>
      <w:proofErr w:type="spellStart"/>
      <w:r w:rsidRPr="00AE1FD7">
        <w:rPr>
          <w:rFonts w:ascii="Sakkal Majalla" w:eastAsia="DejaVu Sans" w:hAnsi="Sakkal Majalla" w:cs="Sakkal Majalla"/>
          <w:color w:val="000000"/>
          <w:sz w:val="36"/>
          <w:szCs w:val="36"/>
          <w:lang w:bidi="en-US"/>
        </w:rPr>
        <w:t>Susilawati</w:t>
      </w:r>
      <w:proofErr w:type="spellEnd"/>
      <w:r w:rsidRPr="00AE1FD7">
        <w:rPr>
          <w:rFonts w:ascii="Sakkal Majalla" w:eastAsia="DejaVu Sans" w:hAnsi="Sakkal Majalla" w:cs="Sakkal Majalla"/>
          <w:color w:val="000000"/>
          <w:sz w:val="36"/>
          <w:szCs w:val="36"/>
          <w:lang w:bidi="en-US"/>
        </w:rPr>
        <w:t>, C. (2011). The characteristics of public sector real estate asset management practice. Journal of Corporate Real Estate, 13(1), 16-31.</w:t>
      </w:r>
    </w:p>
    <w:p w14:paraId="417F09A6"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 Hood, C. (1991). A public management for all seasons? Public Administration, 69(1), 3-19.</w:t>
      </w:r>
    </w:p>
    <w:p w14:paraId="41A20DE8"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11. ISO. (2024). ISO 55000:2024 Asset Management—Vocabulary, Overview and Principles. International Organization for Standardization.</w:t>
      </w:r>
    </w:p>
    <w:p w14:paraId="00FC46A4"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12. ISO. (2024). ISO 55001:2024 Asset Management—Asset Management System—Requirements. International Organization for Standardization.</w:t>
      </w:r>
    </w:p>
    <w:p w14:paraId="692EAE62"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13. ISO. (2024). ISO 55010:2024 Asset Management—Guidance on the Alignment of Financial and Non-Financial Functions. International Organization for Standardization.</w:t>
      </w:r>
    </w:p>
    <w:p w14:paraId="3EE4D745"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14. ISO. (2024). ISO 55013:2024 Asset Management—Guidance on the Management of Data Assets. International Organization for Standardization.</w:t>
      </w:r>
    </w:p>
    <w:p w14:paraId="6C23460F"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15. Jensen, M. C., &amp; Meckling, W. H. (1976). Theory of the firm: Managerial behavior, agency costs and ownership structure. Journal of Financial Economics, 3(4), 305-360.</w:t>
      </w:r>
    </w:p>
    <w:p w14:paraId="20439F0B"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16. </w:t>
      </w:r>
      <w:proofErr w:type="spellStart"/>
      <w:r w:rsidRPr="00AE1FD7">
        <w:rPr>
          <w:rFonts w:ascii="Sakkal Majalla" w:eastAsia="DejaVu Sans" w:hAnsi="Sakkal Majalla" w:cs="Sakkal Majalla"/>
          <w:color w:val="000000"/>
          <w:sz w:val="36"/>
          <w:szCs w:val="36"/>
          <w:lang w:bidi="en-US"/>
        </w:rPr>
        <w:t>Kaganova</w:t>
      </w:r>
      <w:proofErr w:type="spellEnd"/>
      <w:r w:rsidRPr="00AE1FD7">
        <w:rPr>
          <w:rFonts w:ascii="Sakkal Majalla" w:eastAsia="DejaVu Sans" w:hAnsi="Sakkal Majalla" w:cs="Sakkal Majalla"/>
          <w:color w:val="000000"/>
          <w:sz w:val="36"/>
          <w:szCs w:val="36"/>
          <w:lang w:bidi="en-US"/>
        </w:rPr>
        <w:t>, O. (2012). Guidebook on Real Property Asset Management for Local Governments. Urban Institute.</w:t>
      </w:r>
    </w:p>
    <w:p w14:paraId="5D392A8F"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17. </w:t>
      </w:r>
      <w:proofErr w:type="spellStart"/>
      <w:r w:rsidRPr="00AE1FD7">
        <w:rPr>
          <w:rFonts w:ascii="Sakkal Majalla" w:eastAsia="DejaVu Sans" w:hAnsi="Sakkal Majalla" w:cs="Sakkal Majalla"/>
          <w:color w:val="000000"/>
          <w:sz w:val="36"/>
          <w:szCs w:val="36"/>
          <w:lang w:bidi="en-US"/>
        </w:rPr>
        <w:t>Kaganova</w:t>
      </w:r>
      <w:proofErr w:type="spellEnd"/>
      <w:r w:rsidRPr="00AE1FD7">
        <w:rPr>
          <w:rFonts w:ascii="Sakkal Majalla" w:eastAsia="DejaVu Sans" w:hAnsi="Sakkal Majalla" w:cs="Sakkal Majalla"/>
          <w:color w:val="000000"/>
          <w:sz w:val="36"/>
          <w:szCs w:val="36"/>
          <w:lang w:bidi="en-US"/>
        </w:rPr>
        <w:t>, O., &amp; Amoils, J. M. (2020). Central government property asset management: A review of international changes. Journal of Corporate Real Estate, 22(3), 239-260.</w:t>
      </w:r>
    </w:p>
    <w:p w14:paraId="75228750"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18. Moore, M. H. (1995). Creating Public Value: Strategic Management in Government. Harvard University Press.</w:t>
      </w:r>
    </w:p>
    <w:p w14:paraId="48AE0052"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19. OECD. (2017). Recommendation of the Council on Public Integrity. OECD Publishing.</w:t>
      </w:r>
    </w:p>
    <w:p w14:paraId="564F3828"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20. OECD. (2025). Government at a Glance 2025. OECD Publishing.</w:t>
      </w:r>
    </w:p>
    <w:p w14:paraId="382A45BA"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21. Phelps, A. (2010). Rationale, practice and outcomes in municipal property asset management. Journal of Corporate Real Estate, 12(3), 157-174.</w:t>
      </w:r>
    </w:p>
    <w:p w14:paraId="48C1B953"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22. Stoker, G. (2006). Public value management: A new narrative for networked governance? The American Review of Public Administration, 36(1), 41-57.</w:t>
      </w:r>
    </w:p>
    <w:p w14:paraId="4AEF8D4D"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 xml:space="preserve">23. van den </w:t>
      </w:r>
      <w:proofErr w:type="spellStart"/>
      <w:r w:rsidRPr="00AE1FD7">
        <w:rPr>
          <w:rFonts w:ascii="Sakkal Majalla" w:eastAsia="DejaVu Sans" w:hAnsi="Sakkal Majalla" w:cs="Sakkal Majalla"/>
          <w:color w:val="000000"/>
          <w:sz w:val="36"/>
          <w:szCs w:val="36"/>
          <w:lang w:bidi="en-US"/>
        </w:rPr>
        <w:t>Beemt</w:t>
      </w:r>
      <w:proofErr w:type="spellEnd"/>
      <w:r w:rsidRPr="00AE1FD7">
        <w:rPr>
          <w:rFonts w:ascii="Sakkal Majalla" w:eastAsia="DejaVu Sans" w:hAnsi="Sakkal Majalla" w:cs="Sakkal Majalla"/>
          <w:color w:val="000000"/>
          <w:sz w:val="36"/>
          <w:szCs w:val="36"/>
          <w:lang w:bidi="en-US"/>
        </w:rPr>
        <w:t xml:space="preserve">-Tjeerdsma, A., &amp; </w:t>
      </w:r>
      <w:proofErr w:type="spellStart"/>
      <w:r w:rsidRPr="00AE1FD7">
        <w:rPr>
          <w:rFonts w:ascii="Sakkal Majalla" w:eastAsia="DejaVu Sans" w:hAnsi="Sakkal Majalla" w:cs="Sakkal Majalla"/>
          <w:color w:val="000000"/>
          <w:sz w:val="36"/>
          <w:szCs w:val="36"/>
          <w:lang w:bidi="en-US"/>
        </w:rPr>
        <w:t>Veuger</w:t>
      </w:r>
      <w:proofErr w:type="spellEnd"/>
      <w:r w:rsidRPr="00AE1FD7">
        <w:rPr>
          <w:rFonts w:ascii="Sakkal Majalla" w:eastAsia="DejaVu Sans" w:hAnsi="Sakkal Majalla" w:cs="Sakkal Majalla"/>
          <w:color w:val="000000"/>
          <w:sz w:val="36"/>
          <w:szCs w:val="36"/>
          <w:lang w:bidi="en-US"/>
        </w:rPr>
        <w:t xml:space="preserve">, J. (2016). Towards a more </w:t>
      </w:r>
      <w:proofErr w:type="spellStart"/>
      <w:r w:rsidRPr="00AE1FD7">
        <w:rPr>
          <w:rFonts w:ascii="Sakkal Majalla" w:eastAsia="DejaVu Sans" w:hAnsi="Sakkal Majalla" w:cs="Sakkal Majalla"/>
          <w:color w:val="000000"/>
          <w:sz w:val="36"/>
          <w:szCs w:val="36"/>
          <w:lang w:bidi="en-US"/>
        </w:rPr>
        <w:t>professionalised</w:t>
      </w:r>
      <w:proofErr w:type="spellEnd"/>
      <w:r w:rsidRPr="00AE1FD7">
        <w:rPr>
          <w:rFonts w:ascii="Sakkal Majalla" w:eastAsia="DejaVu Sans" w:hAnsi="Sakkal Majalla" w:cs="Sakkal Majalla"/>
          <w:color w:val="000000"/>
          <w:sz w:val="36"/>
          <w:szCs w:val="36"/>
          <w:lang w:bidi="en-US"/>
        </w:rPr>
        <w:t xml:space="preserve"> municipal real estate management. Journal of Corporate Real Estate, 18(2), 132-144.</w:t>
      </w:r>
    </w:p>
    <w:p w14:paraId="630CAF3E"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 White, A. D. (2011). A review of UK public sector real estate asset management. Journal of Corporate Real Estate, 13(1), 6-15.</w:t>
      </w:r>
    </w:p>
    <w:p w14:paraId="78ABC96B" w14:textId="77777777" w:rsidR="00986803" w:rsidRPr="00AE1FD7" w:rsidRDefault="00DB29B7" w:rsidP="00181975">
      <w:pPr>
        <w:spacing w:after="0" w:line="240" w:lineRule="auto"/>
        <w:ind w:left="369" w:hanging="369"/>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25. World Bank. (2000). Strategic Municipal Asset Management. World Bank.</w:t>
      </w:r>
    </w:p>
    <w:p w14:paraId="715AFD49"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sz w:val="36"/>
          <w:szCs w:val="36"/>
        </w:rPr>
        <w:br w:type="page"/>
      </w:r>
    </w:p>
    <w:p w14:paraId="4AB3DD9E" w14:textId="77777777" w:rsidR="00986803" w:rsidRPr="00F0464D" w:rsidRDefault="00DB29B7" w:rsidP="00F0464D">
      <w:pPr>
        <w:pStyle w:val="1"/>
        <w:pBdr>
          <w:bottom w:val="single" w:sz="18" w:space="8" w:color="C69C3A"/>
        </w:pBdr>
        <w:bidi/>
        <w:spacing w:after="0" w:line="240" w:lineRule="auto"/>
        <w:ind w:firstLine="0"/>
        <w:rPr>
          <w:rFonts w:ascii="Sakkal Majalla" w:hAnsi="Sakkal Majalla" w:cs="Sakkal Majalla"/>
          <w:sz w:val="38"/>
          <w:szCs w:val="38"/>
        </w:rPr>
      </w:pPr>
      <w:bookmarkStart w:id="165" w:name="_Toc235205693"/>
      <w:r w:rsidRPr="00F0464D">
        <w:rPr>
          <w:rFonts w:ascii="Sakkal Majalla" w:eastAsia="Noto Kufi Arabic" w:hAnsi="Sakkal Majalla" w:cs="Sakkal Majalla"/>
          <w:sz w:val="38"/>
          <w:szCs w:val="38"/>
          <w:rtl/>
          <w:lang w:val="ar-SA"/>
        </w:rPr>
        <w:lastRenderedPageBreak/>
        <w:t>الملاحق</w:t>
      </w:r>
      <w:bookmarkEnd w:id="165"/>
    </w:p>
    <w:p w14:paraId="7149D93A" w14:textId="77777777" w:rsidR="00986803" w:rsidRPr="00AE1FD7" w:rsidRDefault="00DB29B7" w:rsidP="00F0464D">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66" w:name="_Toc235205694"/>
      <w:r w:rsidRPr="00AE1FD7">
        <w:rPr>
          <w:rFonts w:ascii="Sakkal Majalla" w:eastAsia="Noto Kufi Arabic" w:hAnsi="Sakkal Majalla" w:cs="Sakkal Majalla"/>
          <w:sz w:val="36"/>
          <w:szCs w:val="36"/>
          <w:rtl/>
          <w:lang w:val="ar-SA"/>
        </w:rPr>
        <w:t>الملحق (1): الاستبانة النهائية</w:t>
      </w:r>
      <w:bookmarkEnd w:id="166"/>
    </w:p>
    <w:p w14:paraId="391F7650" w14:textId="77777777" w:rsidR="00986803" w:rsidRPr="00F0464D" w:rsidRDefault="00DB29B7" w:rsidP="00F0464D">
      <w:pPr>
        <w:keepNext/>
        <w:bidi/>
        <w:spacing w:after="0" w:line="240" w:lineRule="auto"/>
        <w:ind w:firstLine="0"/>
        <w:jc w:val="center"/>
        <w:rPr>
          <w:rFonts w:ascii="Sakkal Majalla" w:hAnsi="Sakkal Majalla" w:cs="Sakkal Majalla"/>
          <w:bCs/>
          <w:sz w:val="36"/>
          <w:szCs w:val="36"/>
        </w:rPr>
      </w:pPr>
      <w:bookmarkStart w:id="167" w:name="table_questionnaire"/>
      <w:r w:rsidRPr="00F0464D">
        <w:rPr>
          <w:rFonts w:ascii="Sakkal Majalla" w:eastAsia="Noto Kufi Arabic" w:hAnsi="Sakkal Majalla" w:cs="Sakkal Majalla"/>
          <w:bCs/>
          <w:color w:val="17365D"/>
          <w:sz w:val="36"/>
          <w:szCs w:val="36"/>
          <w:rtl/>
          <w:lang w:val="ar-SA"/>
        </w:rPr>
        <w:t>جدول (34): الاستبانة النهائية للدراسة</w:t>
      </w:r>
      <w:bookmarkEnd w:id="167"/>
    </w:p>
    <w:tbl>
      <w:tblPr>
        <w:bidiVisual/>
        <w:tblW w:w="8476"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25"/>
        <w:gridCol w:w="5356"/>
        <w:gridCol w:w="539"/>
        <w:gridCol w:w="539"/>
        <w:gridCol w:w="539"/>
        <w:gridCol w:w="539"/>
        <w:gridCol w:w="539"/>
      </w:tblGrid>
      <w:tr w:rsidR="00986803" w:rsidRPr="00AE1FD7" w14:paraId="5B99D73F" w14:textId="77777777" w:rsidTr="00F0464D">
        <w:trPr>
          <w:cantSplit/>
          <w:tblHeader/>
          <w:jc w:val="center"/>
        </w:trPr>
        <w:tc>
          <w:tcPr>
            <w:tcW w:w="425" w:type="dxa"/>
            <w:shd w:val="clear" w:color="auto" w:fill="17365D"/>
            <w:tcMar>
              <w:top w:w="90" w:type="dxa"/>
              <w:left w:w="80" w:type="dxa"/>
              <w:bottom w:w="90" w:type="dxa"/>
              <w:right w:w="80" w:type="dxa"/>
            </w:tcMar>
            <w:vAlign w:val="center"/>
          </w:tcPr>
          <w:p w14:paraId="070AB8CD"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م</w:t>
            </w:r>
          </w:p>
        </w:tc>
        <w:tc>
          <w:tcPr>
            <w:tcW w:w="5357" w:type="dxa"/>
            <w:shd w:val="clear" w:color="auto" w:fill="17365D"/>
            <w:tcMar>
              <w:top w:w="90" w:type="dxa"/>
              <w:left w:w="80" w:type="dxa"/>
              <w:bottom w:w="90" w:type="dxa"/>
              <w:right w:w="80" w:type="dxa"/>
            </w:tcMar>
            <w:vAlign w:val="center"/>
          </w:tcPr>
          <w:p w14:paraId="41604CDD"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العبارة</w:t>
            </w:r>
          </w:p>
        </w:tc>
        <w:tc>
          <w:tcPr>
            <w:tcW w:w="539" w:type="dxa"/>
            <w:shd w:val="clear" w:color="auto" w:fill="17365D"/>
            <w:tcMar>
              <w:top w:w="90" w:type="dxa"/>
              <w:left w:w="80" w:type="dxa"/>
              <w:bottom w:w="90" w:type="dxa"/>
              <w:right w:w="80" w:type="dxa"/>
            </w:tcMar>
            <w:vAlign w:val="center"/>
          </w:tcPr>
          <w:p w14:paraId="2671A390"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1</w:t>
            </w:r>
          </w:p>
        </w:tc>
        <w:tc>
          <w:tcPr>
            <w:tcW w:w="539" w:type="dxa"/>
            <w:shd w:val="clear" w:color="auto" w:fill="17365D"/>
            <w:tcMar>
              <w:top w:w="90" w:type="dxa"/>
              <w:left w:w="80" w:type="dxa"/>
              <w:bottom w:w="90" w:type="dxa"/>
              <w:right w:w="80" w:type="dxa"/>
            </w:tcMar>
            <w:vAlign w:val="center"/>
          </w:tcPr>
          <w:p w14:paraId="709C86A7"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2</w:t>
            </w:r>
          </w:p>
        </w:tc>
        <w:tc>
          <w:tcPr>
            <w:tcW w:w="539" w:type="dxa"/>
            <w:shd w:val="clear" w:color="auto" w:fill="17365D"/>
            <w:tcMar>
              <w:top w:w="90" w:type="dxa"/>
              <w:left w:w="80" w:type="dxa"/>
              <w:bottom w:w="90" w:type="dxa"/>
              <w:right w:w="80" w:type="dxa"/>
            </w:tcMar>
            <w:vAlign w:val="center"/>
          </w:tcPr>
          <w:p w14:paraId="3FE6AF7A"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3</w:t>
            </w:r>
          </w:p>
        </w:tc>
        <w:tc>
          <w:tcPr>
            <w:tcW w:w="539" w:type="dxa"/>
            <w:shd w:val="clear" w:color="auto" w:fill="17365D"/>
            <w:tcMar>
              <w:top w:w="90" w:type="dxa"/>
              <w:left w:w="80" w:type="dxa"/>
              <w:bottom w:w="90" w:type="dxa"/>
              <w:right w:w="80" w:type="dxa"/>
            </w:tcMar>
            <w:vAlign w:val="center"/>
          </w:tcPr>
          <w:p w14:paraId="0FE6AA13"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4</w:t>
            </w:r>
          </w:p>
        </w:tc>
        <w:tc>
          <w:tcPr>
            <w:tcW w:w="539" w:type="dxa"/>
            <w:shd w:val="clear" w:color="auto" w:fill="17365D"/>
            <w:tcMar>
              <w:top w:w="90" w:type="dxa"/>
              <w:left w:w="80" w:type="dxa"/>
              <w:bottom w:w="90" w:type="dxa"/>
              <w:right w:w="80" w:type="dxa"/>
            </w:tcMar>
            <w:vAlign w:val="center"/>
          </w:tcPr>
          <w:p w14:paraId="1F174AB5" w14:textId="77777777" w:rsidR="00986803" w:rsidRPr="00F0464D" w:rsidRDefault="00DB29B7" w:rsidP="00F0464D">
            <w:pPr>
              <w:bidi/>
              <w:spacing w:after="0" w:line="240" w:lineRule="auto"/>
              <w:ind w:firstLine="0"/>
              <w:jc w:val="center"/>
              <w:rPr>
                <w:rFonts w:ascii="Sakkal Majalla" w:hAnsi="Sakkal Majalla" w:cs="Sakkal Majalla"/>
                <w:bCs/>
                <w:sz w:val="36"/>
                <w:szCs w:val="36"/>
              </w:rPr>
            </w:pPr>
            <w:r w:rsidRPr="00F0464D">
              <w:rPr>
                <w:rFonts w:ascii="Sakkal Majalla" w:eastAsia="Noto Kufi Arabic" w:hAnsi="Sakkal Majalla" w:cs="Sakkal Majalla"/>
                <w:bCs/>
                <w:color w:val="FFFFFF"/>
                <w:sz w:val="36"/>
                <w:szCs w:val="36"/>
                <w:rtl/>
                <w:lang w:val="ar-SA"/>
              </w:rPr>
              <w:t>5</w:t>
            </w:r>
          </w:p>
        </w:tc>
      </w:tr>
      <w:tr w:rsidR="00986803" w:rsidRPr="00AE1FD7" w14:paraId="15E20EE6" w14:textId="77777777" w:rsidTr="00F0464D">
        <w:trPr>
          <w:cantSplit/>
          <w:jc w:val="center"/>
        </w:trPr>
        <w:tc>
          <w:tcPr>
            <w:tcW w:w="425" w:type="dxa"/>
            <w:shd w:val="clear" w:color="auto" w:fill="FFFFFF"/>
            <w:tcMar>
              <w:top w:w="70" w:type="dxa"/>
              <w:left w:w="70" w:type="dxa"/>
              <w:bottom w:w="70" w:type="dxa"/>
              <w:right w:w="70" w:type="dxa"/>
            </w:tcMar>
            <w:vAlign w:val="center"/>
          </w:tcPr>
          <w:p w14:paraId="37E36F6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w:t>
            </w:r>
          </w:p>
        </w:tc>
        <w:tc>
          <w:tcPr>
            <w:tcW w:w="5357" w:type="dxa"/>
            <w:shd w:val="clear" w:color="auto" w:fill="FFFFFF"/>
            <w:tcMar>
              <w:top w:w="70" w:type="dxa"/>
              <w:left w:w="70" w:type="dxa"/>
              <w:bottom w:w="70" w:type="dxa"/>
              <w:right w:w="70" w:type="dxa"/>
            </w:tcMar>
            <w:vAlign w:val="center"/>
          </w:tcPr>
          <w:p w14:paraId="2B35319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في الجهة سياسات مكتوبة وواضحة لإدارة الممتلكات العامة والأصول العقارية.</w:t>
            </w:r>
          </w:p>
        </w:tc>
        <w:tc>
          <w:tcPr>
            <w:tcW w:w="539" w:type="dxa"/>
            <w:shd w:val="clear" w:color="auto" w:fill="FFFFFF"/>
            <w:tcMar>
              <w:top w:w="70" w:type="dxa"/>
              <w:left w:w="70" w:type="dxa"/>
              <w:bottom w:w="70" w:type="dxa"/>
              <w:right w:w="70" w:type="dxa"/>
            </w:tcMar>
            <w:vAlign w:val="center"/>
          </w:tcPr>
          <w:p w14:paraId="32BB19C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ED9F26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A34B82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389712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AC5EB5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590FADA7" w14:textId="77777777" w:rsidTr="00F0464D">
        <w:trPr>
          <w:cantSplit/>
          <w:jc w:val="center"/>
        </w:trPr>
        <w:tc>
          <w:tcPr>
            <w:tcW w:w="425" w:type="dxa"/>
            <w:shd w:val="clear" w:color="auto" w:fill="F2F4F6"/>
            <w:tcMar>
              <w:top w:w="70" w:type="dxa"/>
              <w:left w:w="70" w:type="dxa"/>
              <w:bottom w:w="70" w:type="dxa"/>
              <w:right w:w="70" w:type="dxa"/>
            </w:tcMar>
            <w:vAlign w:val="center"/>
          </w:tcPr>
          <w:p w14:paraId="1C623A2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w:t>
            </w:r>
          </w:p>
        </w:tc>
        <w:tc>
          <w:tcPr>
            <w:tcW w:w="5357" w:type="dxa"/>
            <w:shd w:val="clear" w:color="auto" w:fill="F2F4F6"/>
            <w:tcMar>
              <w:top w:w="70" w:type="dxa"/>
              <w:left w:w="70" w:type="dxa"/>
              <w:bottom w:w="70" w:type="dxa"/>
              <w:right w:w="70" w:type="dxa"/>
            </w:tcMar>
            <w:vAlign w:val="center"/>
          </w:tcPr>
          <w:p w14:paraId="7F5D2D7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تتاح البيانات الأساسية المتعلقة بالأصول العقارية للمسؤولين المعنيين بسهولة وفي الوقت المناسب.</w:t>
            </w:r>
          </w:p>
        </w:tc>
        <w:tc>
          <w:tcPr>
            <w:tcW w:w="539" w:type="dxa"/>
            <w:shd w:val="clear" w:color="auto" w:fill="F2F4F6"/>
            <w:tcMar>
              <w:top w:w="70" w:type="dxa"/>
              <w:left w:w="70" w:type="dxa"/>
              <w:bottom w:w="70" w:type="dxa"/>
              <w:right w:w="70" w:type="dxa"/>
            </w:tcMar>
            <w:vAlign w:val="center"/>
          </w:tcPr>
          <w:p w14:paraId="34A6763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111EE2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7EB182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10A67E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741240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F618EDD" w14:textId="77777777" w:rsidTr="00F0464D">
        <w:trPr>
          <w:cantSplit/>
          <w:jc w:val="center"/>
        </w:trPr>
        <w:tc>
          <w:tcPr>
            <w:tcW w:w="425" w:type="dxa"/>
            <w:shd w:val="clear" w:color="auto" w:fill="FFFFFF"/>
            <w:tcMar>
              <w:top w:w="70" w:type="dxa"/>
              <w:left w:w="70" w:type="dxa"/>
              <w:bottom w:w="70" w:type="dxa"/>
              <w:right w:w="70" w:type="dxa"/>
            </w:tcMar>
            <w:vAlign w:val="center"/>
          </w:tcPr>
          <w:p w14:paraId="4985D7B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w:t>
            </w:r>
          </w:p>
        </w:tc>
        <w:tc>
          <w:tcPr>
            <w:tcW w:w="5357" w:type="dxa"/>
            <w:shd w:val="clear" w:color="auto" w:fill="FFFFFF"/>
            <w:tcMar>
              <w:top w:w="70" w:type="dxa"/>
              <w:left w:w="70" w:type="dxa"/>
              <w:bottom w:w="70" w:type="dxa"/>
              <w:right w:w="70" w:type="dxa"/>
            </w:tcMar>
            <w:vAlign w:val="center"/>
          </w:tcPr>
          <w:p w14:paraId="2EB0EDC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تقارير دورية توضح حالة الأصول ومستوى الاستفادة منها.</w:t>
            </w:r>
          </w:p>
        </w:tc>
        <w:tc>
          <w:tcPr>
            <w:tcW w:w="539" w:type="dxa"/>
            <w:shd w:val="clear" w:color="auto" w:fill="FFFFFF"/>
            <w:tcMar>
              <w:top w:w="70" w:type="dxa"/>
              <w:left w:w="70" w:type="dxa"/>
              <w:bottom w:w="70" w:type="dxa"/>
              <w:right w:w="70" w:type="dxa"/>
            </w:tcMar>
            <w:vAlign w:val="center"/>
          </w:tcPr>
          <w:p w14:paraId="549EDFE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DFFACD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0497198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3BB7DC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AD603E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29FE656A" w14:textId="77777777" w:rsidTr="00F0464D">
        <w:trPr>
          <w:cantSplit/>
          <w:jc w:val="center"/>
        </w:trPr>
        <w:tc>
          <w:tcPr>
            <w:tcW w:w="425" w:type="dxa"/>
            <w:shd w:val="clear" w:color="auto" w:fill="F2F4F6"/>
            <w:tcMar>
              <w:top w:w="70" w:type="dxa"/>
              <w:left w:w="70" w:type="dxa"/>
              <w:bottom w:w="70" w:type="dxa"/>
              <w:right w:w="70" w:type="dxa"/>
            </w:tcMar>
            <w:vAlign w:val="center"/>
          </w:tcPr>
          <w:p w14:paraId="1CB2801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4</w:t>
            </w:r>
          </w:p>
        </w:tc>
        <w:tc>
          <w:tcPr>
            <w:tcW w:w="5357" w:type="dxa"/>
            <w:shd w:val="clear" w:color="auto" w:fill="F2F4F6"/>
            <w:tcMar>
              <w:top w:w="70" w:type="dxa"/>
              <w:left w:w="70" w:type="dxa"/>
              <w:bottom w:w="70" w:type="dxa"/>
              <w:right w:w="70" w:type="dxa"/>
            </w:tcMar>
            <w:vAlign w:val="center"/>
          </w:tcPr>
          <w:p w14:paraId="06E9AB7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تتم مشاركة معلومات تكاليف الصيانة والتشغيل والاستئجار مع الإدارات ذات العلاقة.</w:t>
            </w:r>
          </w:p>
        </w:tc>
        <w:tc>
          <w:tcPr>
            <w:tcW w:w="539" w:type="dxa"/>
            <w:shd w:val="clear" w:color="auto" w:fill="F2F4F6"/>
            <w:tcMar>
              <w:top w:w="70" w:type="dxa"/>
              <w:left w:w="70" w:type="dxa"/>
              <w:bottom w:w="70" w:type="dxa"/>
              <w:right w:w="70" w:type="dxa"/>
            </w:tcMar>
            <w:vAlign w:val="center"/>
          </w:tcPr>
          <w:p w14:paraId="4D646A7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0546C4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1CBE4D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616292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B348C7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55DE406E" w14:textId="77777777" w:rsidTr="00F0464D">
        <w:trPr>
          <w:cantSplit/>
          <w:jc w:val="center"/>
        </w:trPr>
        <w:tc>
          <w:tcPr>
            <w:tcW w:w="425" w:type="dxa"/>
            <w:shd w:val="clear" w:color="auto" w:fill="FFFFFF"/>
            <w:tcMar>
              <w:top w:w="70" w:type="dxa"/>
              <w:left w:w="70" w:type="dxa"/>
              <w:bottom w:w="70" w:type="dxa"/>
              <w:right w:w="70" w:type="dxa"/>
            </w:tcMar>
            <w:vAlign w:val="center"/>
          </w:tcPr>
          <w:p w14:paraId="1F854A6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5</w:t>
            </w:r>
          </w:p>
        </w:tc>
        <w:tc>
          <w:tcPr>
            <w:tcW w:w="5357" w:type="dxa"/>
            <w:shd w:val="clear" w:color="auto" w:fill="FFFFFF"/>
            <w:tcMar>
              <w:top w:w="70" w:type="dxa"/>
              <w:left w:w="70" w:type="dxa"/>
              <w:bottom w:w="70" w:type="dxa"/>
              <w:right w:w="70" w:type="dxa"/>
            </w:tcMar>
            <w:vAlign w:val="center"/>
          </w:tcPr>
          <w:p w14:paraId="57853D4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معايير واضحة للإفصاح عن الأصول غير المستغلة أو منخفضة الاستفادة.</w:t>
            </w:r>
          </w:p>
        </w:tc>
        <w:tc>
          <w:tcPr>
            <w:tcW w:w="539" w:type="dxa"/>
            <w:shd w:val="clear" w:color="auto" w:fill="FFFFFF"/>
            <w:tcMar>
              <w:top w:w="70" w:type="dxa"/>
              <w:left w:w="70" w:type="dxa"/>
              <w:bottom w:w="70" w:type="dxa"/>
              <w:right w:w="70" w:type="dxa"/>
            </w:tcMar>
            <w:vAlign w:val="center"/>
          </w:tcPr>
          <w:p w14:paraId="2D8C5BB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CA6E7D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A19596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987C21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82D1DD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778EEAC9" w14:textId="77777777" w:rsidTr="00F0464D">
        <w:trPr>
          <w:cantSplit/>
          <w:jc w:val="center"/>
        </w:trPr>
        <w:tc>
          <w:tcPr>
            <w:tcW w:w="425" w:type="dxa"/>
            <w:shd w:val="clear" w:color="auto" w:fill="F2F4F6"/>
            <w:tcMar>
              <w:top w:w="70" w:type="dxa"/>
              <w:left w:w="70" w:type="dxa"/>
              <w:bottom w:w="70" w:type="dxa"/>
              <w:right w:w="70" w:type="dxa"/>
            </w:tcMar>
            <w:vAlign w:val="center"/>
          </w:tcPr>
          <w:p w14:paraId="4A5AA3D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6</w:t>
            </w:r>
          </w:p>
        </w:tc>
        <w:tc>
          <w:tcPr>
            <w:tcW w:w="5357" w:type="dxa"/>
            <w:shd w:val="clear" w:color="auto" w:fill="F2F4F6"/>
            <w:tcMar>
              <w:top w:w="70" w:type="dxa"/>
              <w:left w:w="70" w:type="dxa"/>
              <w:bottom w:w="70" w:type="dxa"/>
              <w:right w:w="70" w:type="dxa"/>
            </w:tcMar>
            <w:vAlign w:val="center"/>
          </w:tcPr>
          <w:p w14:paraId="124B32F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الأدوار والمسؤوليات المتعلقة بإدارة الأصول العقارية محددة بوضوح داخل الجهة.</w:t>
            </w:r>
          </w:p>
        </w:tc>
        <w:tc>
          <w:tcPr>
            <w:tcW w:w="539" w:type="dxa"/>
            <w:shd w:val="clear" w:color="auto" w:fill="F2F4F6"/>
            <w:tcMar>
              <w:top w:w="70" w:type="dxa"/>
              <w:left w:w="70" w:type="dxa"/>
              <w:bottom w:w="70" w:type="dxa"/>
              <w:right w:w="70" w:type="dxa"/>
            </w:tcMar>
            <w:vAlign w:val="center"/>
          </w:tcPr>
          <w:p w14:paraId="69EEDD6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BAFE68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62B680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A440F4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00B963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44B96581" w14:textId="77777777" w:rsidTr="00F0464D">
        <w:trPr>
          <w:cantSplit/>
          <w:jc w:val="center"/>
        </w:trPr>
        <w:tc>
          <w:tcPr>
            <w:tcW w:w="425" w:type="dxa"/>
            <w:shd w:val="clear" w:color="auto" w:fill="FFFFFF"/>
            <w:tcMar>
              <w:top w:w="70" w:type="dxa"/>
              <w:left w:w="70" w:type="dxa"/>
              <w:bottom w:w="70" w:type="dxa"/>
              <w:right w:w="70" w:type="dxa"/>
            </w:tcMar>
            <w:vAlign w:val="center"/>
          </w:tcPr>
          <w:p w14:paraId="40D2184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7</w:t>
            </w:r>
          </w:p>
        </w:tc>
        <w:tc>
          <w:tcPr>
            <w:tcW w:w="5357" w:type="dxa"/>
            <w:shd w:val="clear" w:color="auto" w:fill="FFFFFF"/>
            <w:tcMar>
              <w:top w:w="70" w:type="dxa"/>
              <w:left w:w="70" w:type="dxa"/>
              <w:bottom w:w="70" w:type="dxa"/>
              <w:right w:w="70" w:type="dxa"/>
            </w:tcMar>
            <w:vAlign w:val="center"/>
          </w:tcPr>
          <w:p w14:paraId="56FB48C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آليات مراجعة داخلية للتأكد من سلامة قرارات الأصول والعقود العقارية.</w:t>
            </w:r>
          </w:p>
        </w:tc>
        <w:tc>
          <w:tcPr>
            <w:tcW w:w="539" w:type="dxa"/>
            <w:shd w:val="clear" w:color="auto" w:fill="FFFFFF"/>
            <w:tcMar>
              <w:top w:w="70" w:type="dxa"/>
              <w:left w:w="70" w:type="dxa"/>
              <w:bottom w:w="70" w:type="dxa"/>
              <w:right w:w="70" w:type="dxa"/>
            </w:tcMar>
            <w:vAlign w:val="center"/>
          </w:tcPr>
          <w:p w14:paraId="01237EA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9BE219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E1B405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67F846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50610A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5A11221" w14:textId="77777777" w:rsidTr="00F0464D">
        <w:trPr>
          <w:cantSplit/>
          <w:jc w:val="center"/>
        </w:trPr>
        <w:tc>
          <w:tcPr>
            <w:tcW w:w="425" w:type="dxa"/>
            <w:shd w:val="clear" w:color="auto" w:fill="F2F4F6"/>
            <w:tcMar>
              <w:top w:w="70" w:type="dxa"/>
              <w:left w:w="70" w:type="dxa"/>
              <w:bottom w:w="70" w:type="dxa"/>
              <w:right w:w="70" w:type="dxa"/>
            </w:tcMar>
            <w:vAlign w:val="center"/>
          </w:tcPr>
          <w:p w14:paraId="1777DE5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8</w:t>
            </w:r>
          </w:p>
        </w:tc>
        <w:tc>
          <w:tcPr>
            <w:tcW w:w="5357" w:type="dxa"/>
            <w:shd w:val="clear" w:color="auto" w:fill="F2F4F6"/>
            <w:tcMar>
              <w:top w:w="70" w:type="dxa"/>
              <w:left w:w="70" w:type="dxa"/>
              <w:bottom w:w="70" w:type="dxa"/>
              <w:right w:w="70" w:type="dxa"/>
            </w:tcMar>
            <w:vAlign w:val="center"/>
          </w:tcPr>
          <w:p w14:paraId="6C9A106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تخضع القرارات العقارية الرئيسة لمستويات اعتماد ومساءلة واضحة.</w:t>
            </w:r>
          </w:p>
        </w:tc>
        <w:tc>
          <w:tcPr>
            <w:tcW w:w="539" w:type="dxa"/>
            <w:shd w:val="clear" w:color="auto" w:fill="F2F4F6"/>
            <w:tcMar>
              <w:top w:w="70" w:type="dxa"/>
              <w:left w:w="70" w:type="dxa"/>
              <w:bottom w:w="70" w:type="dxa"/>
              <w:right w:w="70" w:type="dxa"/>
            </w:tcMar>
            <w:vAlign w:val="center"/>
          </w:tcPr>
          <w:p w14:paraId="6D73A32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847968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D6717F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70ED41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4EEB582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2175D4D" w14:textId="77777777" w:rsidTr="00F0464D">
        <w:trPr>
          <w:cantSplit/>
          <w:jc w:val="center"/>
        </w:trPr>
        <w:tc>
          <w:tcPr>
            <w:tcW w:w="425" w:type="dxa"/>
            <w:shd w:val="clear" w:color="auto" w:fill="FFFFFF"/>
            <w:tcMar>
              <w:top w:w="70" w:type="dxa"/>
              <w:left w:w="70" w:type="dxa"/>
              <w:bottom w:w="70" w:type="dxa"/>
              <w:right w:w="70" w:type="dxa"/>
            </w:tcMar>
            <w:vAlign w:val="center"/>
          </w:tcPr>
          <w:p w14:paraId="7F41468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9</w:t>
            </w:r>
          </w:p>
        </w:tc>
        <w:tc>
          <w:tcPr>
            <w:tcW w:w="5357" w:type="dxa"/>
            <w:shd w:val="clear" w:color="auto" w:fill="FFFFFF"/>
            <w:tcMar>
              <w:top w:w="70" w:type="dxa"/>
              <w:left w:w="70" w:type="dxa"/>
              <w:bottom w:w="70" w:type="dxa"/>
              <w:right w:w="70" w:type="dxa"/>
            </w:tcMar>
            <w:vAlign w:val="center"/>
          </w:tcPr>
          <w:p w14:paraId="063C121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تتم متابعة الالتزام بالسياسات والإجراءات الخاصة بالأصول والمرافق بصورة منتظمة.</w:t>
            </w:r>
          </w:p>
        </w:tc>
        <w:tc>
          <w:tcPr>
            <w:tcW w:w="539" w:type="dxa"/>
            <w:shd w:val="clear" w:color="auto" w:fill="FFFFFF"/>
            <w:tcMar>
              <w:top w:w="70" w:type="dxa"/>
              <w:left w:w="70" w:type="dxa"/>
              <w:bottom w:w="70" w:type="dxa"/>
              <w:right w:w="70" w:type="dxa"/>
            </w:tcMar>
            <w:vAlign w:val="center"/>
          </w:tcPr>
          <w:p w14:paraId="498E12C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A735F1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714E14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71369C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ECD392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387CE26" w14:textId="77777777" w:rsidTr="00F0464D">
        <w:trPr>
          <w:cantSplit/>
          <w:jc w:val="center"/>
        </w:trPr>
        <w:tc>
          <w:tcPr>
            <w:tcW w:w="425" w:type="dxa"/>
            <w:shd w:val="clear" w:color="auto" w:fill="F2F4F6"/>
            <w:tcMar>
              <w:top w:w="70" w:type="dxa"/>
              <w:left w:w="70" w:type="dxa"/>
              <w:bottom w:w="70" w:type="dxa"/>
              <w:right w:w="70" w:type="dxa"/>
            </w:tcMar>
            <w:vAlign w:val="center"/>
          </w:tcPr>
          <w:p w14:paraId="2563004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10</w:t>
            </w:r>
          </w:p>
        </w:tc>
        <w:tc>
          <w:tcPr>
            <w:tcW w:w="5357" w:type="dxa"/>
            <w:shd w:val="clear" w:color="auto" w:fill="F2F4F6"/>
            <w:tcMar>
              <w:top w:w="70" w:type="dxa"/>
              <w:left w:w="70" w:type="dxa"/>
              <w:bottom w:w="70" w:type="dxa"/>
              <w:right w:w="70" w:type="dxa"/>
            </w:tcMar>
            <w:vAlign w:val="center"/>
          </w:tcPr>
          <w:p w14:paraId="620F860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آليات لمعالجة المخالفات أو الانحرافات المرتبطة باستخدام الأصول أو تكاليفها.</w:t>
            </w:r>
          </w:p>
        </w:tc>
        <w:tc>
          <w:tcPr>
            <w:tcW w:w="539" w:type="dxa"/>
            <w:shd w:val="clear" w:color="auto" w:fill="F2F4F6"/>
            <w:tcMar>
              <w:top w:w="70" w:type="dxa"/>
              <w:left w:w="70" w:type="dxa"/>
              <w:bottom w:w="70" w:type="dxa"/>
              <w:right w:w="70" w:type="dxa"/>
            </w:tcMar>
            <w:vAlign w:val="center"/>
          </w:tcPr>
          <w:p w14:paraId="0896992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47D833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E1FDB5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72DF32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8D58CC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43DB9387" w14:textId="77777777" w:rsidTr="00F0464D">
        <w:trPr>
          <w:cantSplit/>
          <w:jc w:val="center"/>
        </w:trPr>
        <w:tc>
          <w:tcPr>
            <w:tcW w:w="425" w:type="dxa"/>
            <w:shd w:val="clear" w:color="auto" w:fill="FFFFFF"/>
            <w:tcMar>
              <w:top w:w="70" w:type="dxa"/>
              <w:left w:w="70" w:type="dxa"/>
              <w:bottom w:w="70" w:type="dxa"/>
              <w:right w:w="70" w:type="dxa"/>
            </w:tcMar>
            <w:vAlign w:val="center"/>
          </w:tcPr>
          <w:p w14:paraId="5BFC3F5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11</w:t>
            </w:r>
          </w:p>
        </w:tc>
        <w:tc>
          <w:tcPr>
            <w:tcW w:w="5357" w:type="dxa"/>
            <w:shd w:val="clear" w:color="auto" w:fill="FFFFFF"/>
            <w:tcMar>
              <w:top w:w="70" w:type="dxa"/>
              <w:left w:w="70" w:type="dxa"/>
              <w:bottom w:w="70" w:type="dxa"/>
              <w:right w:w="70" w:type="dxa"/>
            </w:tcMar>
            <w:vAlign w:val="center"/>
          </w:tcPr>
          <w:p w14:paraId="771643D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تتوفر لدى الجهة قاعدة بيانات موحدة ومحدثة للأصول العقارية الحكومية.</w:t>
            </w:r>
          </w:p>
        </w:tc>
        <w:tc>
          <w:tcPr>
            <w:tcW w:w="539" w:type="dxa"/>
            <w:shd w:val="clear" w:color="auto" w:fill="FFFFFF"/>
            <w:tcMar>
              <w:top w:w="70" w:type="dxa"/>
              <w:left w:w="70" w:type="dxa"/>
              <w:bottom w:w="70" w:type="dxa"/>
              <w:right w:w="70" w:type="dxa"/>
            </w:tcMar>
            <w:vAlign w:val="center"/>
          </w:tcPr>
          <w:p w14:paraId="2C35968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EDB8F0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80AFA4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08303D8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DB42AD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BB096CC" w14:textId="77777777" w:rsidTr="00F0464D">
        <w:trPr>
          <w:cantSplit/>
          <w:jc w:val="center"/>
        </w:trPr>
        <w:tc>
          <w:tcPr>
            <w:tcW w:w="425" w:type="dxa"/>
            <w:shd w:val="clear" w:color="auto" w:fill="F2F4F6"/>
            <w:tcMar>
              <w:top w:w="70" w:type="dxa"/>
              <w:left w:w="70" w:type="dxa"/>
              <w:bottom w:w="70" w:type="dxa"/>
              <w:right w:w="70" w:type="dxa"/>
            </w:tcMar>
            <w:vAlign w:val="center"/>
          </w:tcPr>
          <w:p w14:paraId="59B788B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12</w:t>
            </w:r>
          </w:p>
        </w:tc>
        <w:tc>
          <w:tcPr>
            <w:tcW w:w="5357" w:type="dxa"/>
            <w:shd w:val="clear" w:color="auto" w:fill="F2F4F6"/>
            <w:tcMar>
              <w:top w:w="70" w:type="dxa"/>
              <w:left w:w="70" w:type="dxa"/>
              <w:bottom w:w="70" w:type="dxa"/>
              <w:right w:w="70" w:type="dxa"/>
            </w:tcMar>
            <w:vAlign w:val="center"/>
          </w:tcPr>
          <w:p w14:paraId="7103E8A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ترتبط البيانات الفنية للأصول ببياناتها المالية والتشغيلية.</w:t>
            </w:r>
          </w:p>
        </w:tc>
        <w:tc>
          <w:tcPr>
            <w:tcW w:w="539" w:type="dxa"/>
            <w:shd w:val="clear" w:color="auto" w:fill="F2F4F6"/>
            <w:tcMar>
              <w:top w:w="70" w:type="dxa"/>
              <w:left w:w="70" w:type="dxa"/>
              <w:bottom w:w="70" w:type="dxa"/>
              <w:right w:w="70" w:type="dxa"/>
            </w:tcMar>
            <w:vAlign w:val="center"/>
          </w:tcPr>
          <w:p w14:paraId="3E01669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6CAC9B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CA83C4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D1E4E3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EAC1BB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4567FA5" w14:textId="77777777" w:rsidTr="00F0464D">
        <w:trPr>
          <w:cantSplit/>
          <w:jc w:val="center"/>
        </w:trPr>
        <w:tc>
          <w:tcPr>
            <w:tcW w:w="425" w:type="dxa"/>
            <w:shd w:val="clear" w:color="auto" w:fill="FFFFFF"/>
            <w:tcMar>
              <w:top w:w="70" w:type="dxa"/>
              <w:left w:w="70" w:type="dxa"/>
              <w:bottom w:w="70" w:type="dxa"/>
              <w:right w:w="70" w:type="dxa"/>
            </w:tcMar>
            <w:vAlign w:val="center"/>
          </w:tcPr>
          <w:p w14:paraId="6095DCF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13</w:t>
            </w:r>
          </w:p>
        </w:tc>
        <w:tc>
          <w:tcPr>
            <w:tcW w:w="5357" w:type="dxa"/>
            <w:shd w:val="clear" w:color="auto" w:fill="FFFFFF"/>
            <w:tcMar>
              <w:top w:w="70" w:type="dxa"/>
              <w:left w:w="70" w:type="dxa"/>
              <w:bottom w:w="70" w:type="dxa"/>
              <w:right w:w="70" w:type="dxa"/>
            </w:tcMar>
            <w:vAlign w:val="center"/>
          </w:tcPr>
          <w:p w14:paraId="704B975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الأنظمة الرقمية في دعم قرارات الصيانة أو الاستبدال أو إعادة الاستخدام.</w:t>
            </w:r>
          </w:p>
        </w:tc>
        <w:tc>
          <w:tcPr>
            <w:tcW w:w="539" w:type="dxa"/>
            <w:shd w:val="clear" w:color="auto" w:fill="FFFFFF"/>
            <w:tcMar>
              <w:top w:w="70" w:type="dxa"/>
              <w:left w:w="70" w:type="dxa"/>
              <w:bottom w:w="70" w:type="dxa"/>
              <w:right w:w="70" w:type="dxa"/>
            </w:tcMar>
            <w:vAlign w:val="center"/>
          </w:tcPr>
          <w:p w14:paraId="1EF9149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497724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107883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902C8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AC5764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68581361" w14:textId="77777777" w:rsidTr="00F0464D">
        <w:trPr>
          <w:cantSplit/>
          <w:jc w:val="center"/>
        </w:trPr>
        <w:tc>
          <w:tcPr>
            <w:tcW w:w="425" w:type="dxa"/>
            <w:shd w:val="clear" w:color="auto" w:fill="F2F4F6"/>
            <w:tcMar>
              <w:top w:w="70" w:type="dxa"/>
              <w:left w:w="70" w:type="dxa"/>
              <w:bottom w:w="70" w:type="dxa"/>
              <w:right w:w="70" w:type="dxa"/>
            </w:tcMar>
            <w:vAlign w:val="center"/>
          </w:tcPr>
          <w:p w14:paraId="756BA34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14</w:t>
            </w:r>
          </w:p>
        </w:tc>
        <w:tc>
          <w:tcPr>
            <w:tcW w:w="5357" w:type="dxa"/>
            <w:shd w:val="clear" w:color="auto" w:fill="F2F4F6"/>
            <w:tcMar>
              <w:top w:w="70" w:type="dxa"/>
              <w:left w:w="70" w:type="dxa"/>
              <w:bottom w:w="70" w:type="dxa"/>
              <w:right w:w="70" w:type="dxa"/>
            </w:tcMar>
            <w:vAlign w:val="center"/>
          </w:tcPr>
          <w:p w14:paraId="3D6489F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يتم تحديث بيانات الأصل عند حدوث تغير في حالته أو استخدامه أو موقعه أو قيمته.</w:t>
            </w:r>
          </w:p>
        </w:tc>
        <w:tc>
          <w:tcPr>
            <w:tcW w:w="539" w:type="dxa"/>
            <w:shd w:val="clear" w:color="auto" w:fill="F2F4F6"/>
            <w:tcMar>
              <w:top w:w="70" w:type="dxa"/>
              <w:left w:w="70" w:type="dxa"/>
              <w:bottom w:w="70" w:type="dxa"/>
              <w:right w:w="70" w:type="dxa"/>
            </w:tcMar>
            <w:vAlign w:val="center"/>
          </w:tcPr>
          <w:p w14:paraId="550D2C7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570588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20117D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EFBB8F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9F3C84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F585BD1" w14:textId="77777777" w:rsidTr="00F0464D">
        <w:trPr>
          <w:cantSplit/>
          <w:jc w:val="center"/>
        </w:trPr>
        <w:tc>
          <w:tcPr>
            <w:tcW w:w="425" w:type="dxa"/>
            <w:shd w:val="clear" w:color="auto" w:fill="FFFFFF"/>
            <w:tcMar>
              <w:top w:w="70" w:type="dxa"/>
              <w:left w:w="70" w:type="dxa"/>
              <w:bottom w:w="70" w:type="dxa"/>
              <w:right w:w="70" w:type="dxa"/>
            </w:tcMar>
            <w:vAlign w:val="center"/>
          </w:tcPr>
          <w:p w14:paraId="15EC4F2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15</w:t>
            </w:r>
          </w:p>
        </w:tc>
        <w:tc>
          <w:tcPr>
            <w:tcW w:w="5357" w:type="dxa"/>
            <w:shd w:val="clear" w:color="auto" w:fill="FFFFFF"/>
            <w:tcMar>
              <w:top w:w="70" w:type="dxa"/>
              <w:left w:w="70" w:type="dxa"/>
              <w:bottom w:w="70" w:type="dxa"/>
              <w:right w:w="70" w:type="dxa"/>
            </w:tcMar>
            <w:vAlign w:val="center"/>
          </w:tcPr>
          <w:p w14:paraId="25A62A2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يعتمد متخذو القرار على تقارير إلكترونية دقيقة عند دراسة البدائل العقارية.</w:t>
            </w:r>
          </w:p>
        </w:tc>
        <w:tc>
          <w:tcPr>
            <w:tcW w:w="539" w:type="dxa"/>
            <w:shd w:val="clear" w:color="auto" w:fill="FFFFFF"/>
            <w:tcMar>
              <w:top w:w="70" w:type="dxa"/>
              <w:left w:w="70" w:type="dxa"/>
              <w:bottom w:w="70" w:type="dxa"/>
              <w:right w:w="70" w:type="dxa"/>
            </w:tcMar>
            <w:vAlign w:val="center"/>
          </w:tcPr>
          <w:p w14:paraId="72AB9B2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C6B9BC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07440A1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844FF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9FD8EB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0EFD0CB9" w14:textId="77777777" w:rsidTr="00F0464D">
        <w:trPr>
          <w:cantSplit/>
          <w:jc w:val="center"/>
        </w:trPr>
        <w:tc>
          <w:tcPr>
            <w:tcW w:w="425" w:type="dxa"/>
            <w:shd w:val="clear" w:color="auto" w:fill="F2F4F6"/>
            <w:tcMar>
              <w:top w:w="70" w:type="dxa"/>
              <w:left w:w="70" w:type="dxa"/>
              <w:bottom w:w="70" w:type="dxa"/>
              <w:right w:w="70" w:type="dxa"/>
            </w:tcMar>
            <w:vAlign w:val="center"/>
          </w:tcPr>
          <w:p w14:paraId="3BC7454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16</w:t>
            </w:r>
          </w:p>
        </w:tc>
        <w:tc>
          <w:tcPr>
            <w:tcW w:w="5357" w:type="dxa"/>
            <w:shd w:val="clear" w:color="auto" w:fill="F2F4F6"/>
            <w:tcMar>
              <w:top w:w="70" w:type="dxa"/>
              <w:left w:w="70" w:type="dxa"/>
              <w:bottom w:w="70" w:type="dxa"/>
              <w:right w:w="70" w:type="dxa"/>
            </w:tcMar>
            <w:vAlign w:val="center"/>
          </w:tcPr>
          <w:p w14:paraId="66B8B0C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تتم مواءمة القرارات العقارية مع الأهداف الاستراتيجية للجهة الحكومية.</w:t>
            </w:r>
          </w:p>
        </w:tc>
        <w:tc>
          <w:tcPr>
            <w:tcW w:w="539" w:type="dxa"/>
            <w:shd w:val="clear" w:color="auto" w:fill="F2F4F6"/>
            <w:tcMar>
              <w:top w:w="70" w:type="dxa"/>
              <w:left w:w="70" w:type="dxa"/>
              <w:bottom w:w="70" w:type="dxa"/>
              <w:right w:w="70" w:type="dxa"/>
            </w:tcMar>
            <w:vAlign w:val="center"/>
          </w:tcPr>
          <w:p w14:paraId="56624D7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4425DD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115EC5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119E35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9341B0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8AE6A99" w14:textId="77777777" w:rsidTr="00F0464D">
        <w:trPr>
          <w:cantSplit/>
          <w:jc w:val="center"/>
        </w:trPr>
        <w:tc>
          <w:tcPr>
            <w:tcW w:w="425" w:type="dxa"/>
            <w:shd w:val="clear" w:color="auto" w:fill="FFFFFF"/>
            <w:tcMar>
              <w:top w:w="70" w:type="dxa"/>
              <w:left w:w="70" w:type="dxa"/>
              <w:bottom w:w="70" w:type="dxa"/>
              <w:right w:w="70" w:type="dxa"/>
            </w:tcMar>
            <w:vAlign w:val="center"/>
          </w:tcPr>
          <w:p w14:paraId="1CDDC56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17</w:t>
            </w:r>
          </w:p>
        </w:tc>
        <w:tc>
          <w:tcPr>
            <w:tcW w:w="5357" w:type="dxa"/>
            <w:shd w:val="clear" w:color="auto" w:fill="FFFFFF"/>
            <w:tcMar>
              <w:top w:w="70" w:type="dxa"/>
              <w:left w:w="70" w:type="dxa"/>
              <w:bottom w:w="70" w:type="dxa"/>
              <w:right w:w="70" w:type="dxa"/>
            </w:tcMar>
            <w:vAlign w:val="center"/>
          </w:tcPr>
          <w:p w14:paraId="02EA38F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خطط طويلة الأجل للصيانة والتجديد والإحلال للأصول العقارية.</w:t>
            </w:r>
          </w:p>
        </w:tc>
        <w:tc>
          <w:tcPr>
            <w:tcW w:w="539" w:type="dxa"/>
            <w:shd w:val="clear" w:color="auto" w:fill="FFFFFF"/>
            <w:tcMar>
              <w:top w:w="70" w:type="dxa"/>
              <w:left w:w="70" w:type="dxa"/>
              <w:bottom w:w="70" w:type="dxa"/>
              <w:right w:w="70" w:type="dxa"/>
            </w:tcMar>
            <w:vAlign w:val="center"/>
          </w:tcPr>
          <w:p w14:paraId="6E971E1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66A161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EDEA16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DE31B4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C9B30D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5C1754B6" w14:textId="77777777" w:rsidTr="00F0464D">
        <w:trPr>
          <w:cantSplit/>
          <w:jc w:val="center"/>
        </w:trPr>
        <w:tc>
          <w:tcPr>
            <w:tcW w:w="425" w:type="dxa"/>
            <w:shd w:val="clear" w:color="auto" w:fill="F2F4F6"/>
            <w:tcMar>
              <w:top w:w="70" w:type="dxa"/>
              <w:left w:w="70" w:type="dxa"/>
              <w:bottom w:w="70" w:type="dxa"/>
              <w:right w:w="70" w:type="dxa"/>
            </w:tcMar>
            <w:vAlign w:val="center"/>
          </w:tcPr>
          <w:p w14:paraId="763C410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18</w:t>
            </w:r>
          </w:p>
        </w:tc>
        <w:tc>
          <w:tcPr>
            <w:tcW w:w="5357" w:type="dxa"/>
            <w:shd w:val="clear" w:color="auto" w:fill="F2F4F6"/>
            <w:tcMar>
              <w:top w:w="70" w:type="dxa"/>
              <w:left w:w="70" w:type="dxa"/>
              <w:bottom w:w="70" w:type="dxa"/>
              <w:right w:w="70" w:type="dxa"/>
            </w:tcMar>
            <w:vAlign w:val="center"/>
          </w:tcPr>
          <w:p w14:paraId="0097946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تُقيَّم الحاجة إلى التملك أو الاستئجار أو إعادة استخدام الأصل وفق معايير واضحة.</w:t>
            </w:r>
          </w:p>
        </w:tc>
        <w:tc>
          <w:tcPr>
            <w:tcW w:w="539" w:type="dxa"/>
            <w:shd w:val="clear" w:color="auto" w:fill="F2F4F6"/>
            <w:tcMar>
              <w:top w:w="70" w:type="dxa"/>
              <w:left w:w="70" w:type="dxa"/>
              <w:bottom w:w="70" w:type="dxa"/>
              <w:right w:w="70" w:type="dxa"/>
            </w:tcMar>
            <w:vAlign w:val="center"/>
          </w:tcPr>
          <w:p w14:paraId="52249B1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15DB3B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2C559C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4812651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4BCDA8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462CE5EB" w14:textId="77777777" w:rsidTr="00F0464D">
        <w:trPr>
          <w:cantSplit/>
          <w:jc w:val="center"/>
        </w:trPr>
        <w:tc>
          <w:tcPr>
            <w:tcW w:w="425" w:type="dxa"/>
            <w:shd w:val="clear" w:color="auto" w:fill="FFFFFF"/>
            <w:tcMar>
              <w:top w:w="70" w:type="dxa"/>
              <w:left w:w="70" w:type="dxa"/>
              <w:bottom w:w="70" w:type="dxa"/>
              <w:right w:w="70" w:type="dxa"/>
            </w:tcMar>
            <w:vAlign w:val="center"/>
          </w:tcPr>
          <w:p w14:paraId="0619BFC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19</w:t>
            </w:r>
          </w:p>
        </w:tc>
        <w:tc>
          <w:tcPr>
            <w:tcW w:w="5357" w:type="dxa"/>
            <w:shd w:val="clear" w:color="auto" w:fill="FFFFFF"/>
            <w:tcMar>
              <w:top w:w="70" w:type="dxa"/>
              <w:left w:w="70" w:type="dxa"/>
              <w:bottom w:w="70" w:type="dxa"/>
              <w:right w:w="70" w:type="dxa"/>
            </w:tcMar>
            <w:vAlign w:val="center"/>
          </w:tcPr>
          <w:p w14:paraId="24DE2FB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تؤخذ كلفة دورة حياة الأصل في الحسبان عند اتخاذ القرار العقاري.</w:t>
            </w:r>
          </w:p>
        </w:tc>
        <w:tc>
          <w:tcPr>
            <w:tcW w:w="539" w:type="dxa"/>
            <w:shd w:val="clear" w:color="auto" w:fill="FFFFFF"/>
            <w:tcMar>
              <w:top w:w="70" w:type="dxa"/>
              <w:left w:w="70" w:type="dxa"/>
              <w:bottom w:w="70" w:type="dxa"/>
              <w:right w:w="70" w:type="dxa"/>
            </w:tcMar>
            <w:vAlign w:val="center"/>
          </w:tcPr>
          <w:p w14:paraId="7AD89EA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34C129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872DAB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93C80F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12CFE8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D5C6226" w14:textId="77777777" w:rsidTr="00F0464D">
        <w:trPr>
          <w:cantSplit/>
          <w:jc w:val="center"/>
        </w:trPr>
        <w:tc>
          <w:tcPr>
            <w:tcW w:w="425" w:type="dxa"/>
            <w:shd w:val="clear" w:color="auto" w:fill="F2F4F6"/>
            <w:tcMar>
              <w:top w:w="70" w:type="dxa"/>
              <w:left w:w="70" w:type="dxa"/>
              <w:bottom w:w="70" w:type="dxa"/>
              <w:right w:w="70" w:type="dxa"/>
            </w:tcMar>
            <w:vAlign w:val="center"/>
          </w:tcPr>
          <w:p w14:paraId="437D4BA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20</w:t>
            </w:r>
          </w:p>
        </w:tc>
        <w:tc>
          <w:tcPr>
            <w:tcW w:w="5357" w:type="dxa"/>
            <w:shd w:val="clear" w:color="auto" w:fill="F2F4F6"/>
            <w:tcMar>
              <w:top w:w="70" w:type="dxa"/>
              <w:left w:w="70" w:type="dxa"/>
              <w:bottom w:w="70" w:type="dxa"/>
              <w:right w:w="70" w:type="dxa"/>
            </w:tcMar>
            <w:vAlign w:val="center"/>
          </w:tcPr>
          <w:p w14:paraId="38CC12F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آلية دورية لتقييم الاستفادة من الأصول والتصرف في غير المستغل منها.</w:t>
            </w:r>
          </w:p>
        </w:tc>
        <w:tc>
          <w:tcPr>
            <w:tcW w:w="539" w:type="dxa"/>
            <w:shd w:val="clear" w:color="auto" w:fill="F2F4F6"/>
            <w:tcMar>
              <w:top w:w="70" w:type="dxa"/>
              <w:left w:w="70" w:type="dxa"/>
              <w:bottom w:w="70" w:type="dxa"/>
              <w:right w:w="70" w:type="dxa"/>
            </w:tcMar>
            <w:vAlign w:val="center"/>
          </w:tcPr>
          <w:p w14:paraId="0801858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D6B303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425174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DFAD73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B1EF2F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47CEBA0E" w14:textId="77777777" w:rsidTr="00F0464D">
        <w:trPr>
          <w:cantSplit/>
          <w:jc w:val="center"/>
        </w:trPr>
        <w:tc>
          <w:tcPr>
            <w:tcW w:w="425" w:type="dxa"/>
            <w:shd w:val="clear" w:color="auto" w:fill="FFFFFF"/>
            <w:tcMar>
              <w:top w:w="70" w:type="dxa"/>
              <w:left w:w="70" w:type="dxa"/>
              <w:bottom w:w="70" w:type="dxa"/>
              <w:right w:w="70" w:type="dxa"/>
            </w:tcMar>
            <w:vAlign w:val="center"/>
          </w:tcPr>
          <w:p w14:paraId="1C2E12E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21</w:t>
            </w:r>
          </w:p>
        </w:tc>
        <w:tc>
          <w:tcPr>
            <w:tcW w:w="5357" w:type="dxa"/>
            <w:shd w:val="clear" w:color="auto" w:fill="FFFFFF"/>
            <w:tcMar>
              <w:top w:w="70" w:type="dxa"/>
              <w:left w:w="70" w:type="dxa"/>
              <w:bottom w:w="70" w:type="dxa"/>
              <w:right w:w="70" w:type="dxa"/>
            </w:tcMar>
            <w:vAlign w:val="center"/>
          </w:tcPr>
          <w:p w14:paraId="2E985CF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تحدد الجهة المخاطر المرتبطة بالأصول العقارية بصورة منتظمة.</w:t>
            </w:r>
          </w:p>
        </w:tc>
        <w:tc>
          <w:tcPr>
            <w:tcW w:w="539" w:type="dxa"/>
            <w:shd w:val="clear" w:color="auto" w:fill="FFFFFF"/>
            <w:tcMar>
              <w:top w:w="70" w:type="dxa"/>
              <w:left w:w="70" w:type="dxa"/>
              <w:bottom w:w="70" w:type="dxa"/>
              <w:right w:w="70" w:type="dxa"/>
            </w:tcMar>
            <w:vAlign w:val="center"/>
          </w:tcPr>
          <w:p w14:paraId="263283C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AF58D2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9341B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F02A43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362FE9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7494838A" w14:textId="77777777" w:rsidTr="00F0464D">
        <w:trPr>
          <w:cantSplit/>
          <w:jc w:val="center"/>
        </w:trPr>
        <w:tc>
          <w:tcPr>
            <w:tcW w:w="425" w:type="dxa"/>
            <w:shd w:val="clear" w:color="auto" w:fill="F2F4F6"/>
            <w:tcMar>
              <w:top w:w="70" w:type="dxa"/>
              <w:left w:w="70" w:type="dxa"/>
              <w:bottom w:w="70" w:type="dxa"/>
              <w:right w:w="70" w:type="dxa"/>
            </w:tcMar>
            <w:vAlign w:val="center"/>
          </w:tcPr>
          <w:p w14:paraId="60C48FF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22</w:t>
            </w:r>
          </w:p>
        </w:tc>
        <w:tc>
          <w:tcPr>
            <w:tcW w:w="5357" w:type="dxa"/>
            <w:shd w:val="clear" w:color="auto" w:fill="F2F4F6"/>
            <w:tcMar>
              <w:top w:w="70" w:type="dxa"/>
              <w:left w:w="70" w:type="dxa"/>
              <w:bottom w:w="70" w:type="dxa"/>
              <w:right w:w="70" w:type="dxa"/>
            </w:tcMar>
            <w:vAlign w:val="center"/>
          </w:tcPr>
          <w:p w14:paraId="6FD2D6C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توجد خطط لمعالجة المخاطر ذات الأولوية في الأصول والمرافق.</w:t>
            </w:r>
          </w:p>
        </w:tc>
        <w:tc>
          <w:tcPr>
            <w:tcW w:w="539" w:type="dxa"/>
            <w:shd w:val="clear" w:color="auto" w:fill="F2F4F6"/>
            <w:tcMar>
              <w:top w:w="70" w:type="dxa"/>
              <w:left w:w="70" w:type="dxa"/>
              <w:bottom w:w="70" w:type="dxa"/>
              <w:right w:w="70" w:type="dxa"/>
            </w:tcMar>
            <w:vAlign w:val="center"/>
          </w:tcPr>
          <w:p w14:paraId="0685B1E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2060A0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4CBBDA6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DB77BA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30FEA1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53F3D9D6" w14:textId="77777777" w:rsidTr="00F0464D">
        <w:trPr>
          <w:cantSplit/>
          <w:jc w:val="center"/>
        </w:trPr>
        <w:tc>
          <w:tcPr>
            <w:tcW w:w="425" w:type="dxa"/>
            <w:shd w:val="clear" w:color="auto" w:fill="FFFFFF"/>
            <w:tcMar>
              <w:top w:w="70" w:type="dxa"/>
              <w:left w:w="70" w:type="dxa"/>
              <w:bottom w:w="70" w:type="dxa"/>
              <w:right w:w="70" w:type="dxa"/>
            </w:tcMar>
            <w:vAlign w:val="center"/>
          </w:tcPr>
          <w:p w14:paraId="008749C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23</w:t>
            </w:r>
          </w:p>
        </w:tc>
        <w:tc>
          <w:tcPr>
            <w:tcW w:w="5357" w:type="dxa"/>
            <w:shd w:val="clear" w:color="auto" w:fill="FFFFFF"/>
            <w:tcMar>
              <w:top w:w="70" w:type="dxa"/>
              <w:left w:w="70" w:type="dxa"/>
              <w:bottom w:w="70" w:type="dxa"/>
              <w:right w:w="70" w:type="dxa"/>
            </w:tcMar>
            <w:vAlign w:val="center"/>
          </w:tcPr>
          <w:p w14:paraId="61255E6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تلتزم الجهة بالمعايير والاشتراطات الفنية والتنظيمية ذات الصلة.</w:t>
            </w:r>
          </w:p>
        </w:tc>
        <w:tc>
          <w:tcPr>
            <w:tcW w:w="539" w:type="dxa"/>
            <w:shd w:val="clear" w:color="auto" w:fill="FFFFFF"/>
            <w:tcMar>
              <w:top w:w="70" w:type="dxa"/>
              <w:left w:w="70" w:type="dxa"/>
              <w:bottom w:w="70" w:type="dxa"/>
              <w:right w:w="70" w:type="dxa"/>
            </w:tcMar>
            <w:vAlign w:val="center"/>
          </w:tcPr>
          <w:p w14:paraId="71A4A2B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402217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0CB937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CE470D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2CA3F8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26E95D9" w14:textId="77777777" w:rsidTr="00F0464D">
        <w:trPr>
          <w:cantSplit/>
          <w:jc w:val="center"/>
        </w:trPr>
        <w:tc>
          <w:tcPr>
            <w:tcW w:w="425" w:type="dxa"/>
            <w:shd w:val="clear" w:color="auto" w:fill="F2F4F6"/>
            <w:tcMar>
              <w:top w:w="70" w:type="dxa"/>
              <w:left w:w="70" w:type="dxa"/>
              <w:bottom w:w="70" w:type="dxa"/>
              <w:right w:w="70" w:type="dxa"/>
            </w:tcMar>
            <w:vAlign w:val="center"/>
          </w:tcPr>
          <w:p w14:paraId="4CF8BEC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24</w:t>
            </w:r>
          </w:p>
        </w:tc>
        <w:tc>
          <w:tcPr>
            <w:tcW w:w="5357" w:type="dxa"/>
            <w:shd w:val="clear" w:color="auto" w:fill="F2F4F6"/>
            <w:tcMar>
              <w:top w:w="70" w:type="dxa"/>
              <w:left w:w="70" w:type="dxa"/>
              <w:bottom w:w="70" w:type="dxa"/>
              <w:right w:w="70" w:type="dxa"/>
            </w:tcMar>
            <w:vAlign w:val="center"/>
          </w:tcPr>
          <w:p w14:paraId="7DBBE8E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تؤخذ اعتبارات السلامة والاستدامة والامتثال في قرارات الصيانة والتشغيل والتعاقد.</w:t>
            </w:r>
          </w:p>
        </w:tc>
        <w:tc>
          <w:tcPr>
            <w:tcW w:w="539" w:type="dxa"/>
            <w:shd w:val="clear" w:color="auto" w:fill="F2F4F6"/>
            <w:tcMar>
              <w:top w:w="70" w:type="dxa"/>
              <w:left w:w="70" w:type="dxa"/>
              <w:bottom w:w="70" w:type="dxa"/>
              <w:right w:w="70" w:type="dxa"/>
            </w:tcMar>
            <w:vAlign w:val="center"/>
          </w:tcPr>
          <w:p w14:paraId="2CE2D57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524E1B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42F42A5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C09CF1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F5A334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0FFBB13E" w14:textId="77777777" w:rsidTr="00F0464D">
        <w:trPr>
          <w:cantSplit/>
          <w:jc w:val="center"/>
        </w:trPr>
        <w:tc>
          <w:tcPr>
            <w:tcW w:w="425" w:type="dxa"/>
            <w:shd w:val="clear" w:color="auto" w:fill="FFFFFF"/>
            <w:tcMar>
              <w:top w:w="70" w:type="dxa"/>
              <w:left w:w="70" w:type="dxa"/>
              <w:bottom w:w="70" w:type="dxa"/>
              <w:right w:w="70" w:type="dxa"/>
            </w:tcMar>
            <w:vAlign w:val="center"/>
          </w:tcPr>
          <w:p w14:paraId="377751E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25</w:t>
            </w:r>
          </w:p>
        </w:tc>
        <w:tc>
          <w:tcPr>
            <w:tcW w:w="5357" w:type="dxa"/>
            <w:shd w:val="clear" w:color="auto" w:fill="FFFFFF"/>
            <w:tcMar>
              <w:top w:w="70" w:type="dxa"/>
              <w:left w:w="70" w:type="dxa"/>
              <w:bottom w:w="70" w:type="dxa"/>
              <w:right w:w="70" w:type="dxa"/>
            </w:tcMar>
            <w:vAlign w:val="center"/>
          </w:tcPr>
          <w:p w14:paraId="778D6A2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تُراجع العقود والالتزامات العقارية بما يحد من المخاطر المالية والتشغيلية.</w:t>
            </w:r>
          </w:p>
        </w:tc>
        <w:tc>
          <w:tcPr>
            <w:tcW w:w="539" w:type="dxa"/>
            <w:shd w:val="clear" w:color="auto" w:fill="FFFFFF"/>
            <w:tcMar>
              <w:top w:w="70" w:type="dxa"/>
              <w:left w:w="70" w:type="dxa"/>
              <w:bottom w:w="70" w:type="dxa"/>
              <w:right w:w="70" w:type="dxa"/>
            </w:tcMar>
            <w:vAlign w:val="center"/>
          </w:tcPr>
          <w:p w14:paraId="072F0BB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2E1AE3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6E5776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C229B2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56A8421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1AE693CA" w14:textId="77777777" w:rsidTr="00F0464D">
        <w:trPr>
          <w:cantSplit/>
          <w:jc w:val="center"/>
        </w:trPr>
        <w:tc>
          <w:tcPr>
            <w:tcW w:w="425" w:type="dxa"/>
            <w:shd w:val="clear" w:color="auto" w:fill="F2F4F6"/>
            <w:tcMar>
              <w:top w:w="70" w:type="dxa"/>
              <w:left w:w="70" w:type="dxa"/>
              <w:bottom w:w="70" w:type="dxa"/>
              <w:right w:w="70" w:type="dxa"/>
            </w:tcMar>
            <w:vAlign w:val="center"/>
          </w:tcPr>
          <w:p w14:paraId="45CB3EF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26</w:t>
            </w:r>
          </w:p>
        </w:tc>
        <w:tc>
          <w:tcPr>
            <w:tcW w:w="5357" w:type="dxa"/>
            <w:shd w:val="clear" w:color="auto" w:fill="F2F4F6"/>
            <w:tcMar>
              <w:top w:w="70" w:type="dxa"/>
              <w:left w:w="70" w:type="dxa"/>
              <w:bottom w:w="70" w:type="dxa"/>
              <w:right w:w="70" w:type="dxa"/>
            </w:tcMar>
            <w:vAlign w:val="center"/>
          </w:tcPr>
          <w:p w14:paraId="213A457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ممارسات إدارة الأصول في خفض نفقات الاستئجار غير الضرورية.</w:t>
            </w:r>
          </w:p>
        </w:tc>
        <w:tc>
          <w:tcPr>
            <w:tcW w:w="539" w:type="dxa"/>
            <w:shd w:val="clear" w:color="auto" w:fill="F2F4F6"/>
            <w:tcMar>
              <w:top w:w="70" w:type="dxa"/>
              <w:left w:w="70" w:type="dxa"/>
              <w:bottom w:w="70" w:type="dxa"/>
              <w:right w:w="70" w:type="dxa"/>
            </w:tcMar>
            <w:vAlign w:val="center"/>
          </w:tcPr>
          <w:p w14:paraId="5388D77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43BF41F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B52174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754501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3890826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28911F13" w14:textId="77777777" w:rsidTr="00F0464D">
        <w:trPr>
          <w:cantSplit/>
          <w:jc w:val="center"/>
        </w:trPr>
        <w:tc>
          <w:tcPr>
            <w:tcW w:w="425" w:type="dxa"/>
            <w:shd w:val="clear" w:color="auto" w:fill="FFFFFF"/>
            <w:tcMar>
              <w:top w:w="70" w:type="dxa"/>
              <w:left w:w="70" w:type="dxa"/>
              <w:bottom w:w="70" w:type="dxa"/>
              <w:right w:w="70" w:type="dxa"/>
            </w:tcMar>
            <w:vAlign w:val="center"/>
          </w:tcPr>
          <w:p w14:paraId="1AC069F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27</w:t>
            </w:r>
          </w:p>
        </w:tc>
        <w:tc>
          <w:tcPr>
            <w:tcW w:w="5357" w:type="dxa"/>
            <w:shd w:val="clear" w:color="auto" w:fill="FFFFFF"/>
            <w:tcMar>
              <w:top w:w="70" w:type="dxa"/>
              <w:left w:w="70" w:type="dxa"/>
              <w:bottom w:w="70" w:type="dxa"/>
              <w:right w:w="70" w:type="dxa"/>
            </w:tcMar>
            <w:vAlign w:val="center"/>
          </w:tcPr>
          <w:p w14:paraId="62AE5B2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الإدارة الجيدة للأصول في تحسين كفاءة الصيانة والتشغيل.</w:t>
            </w:r>
          </w:p>
        </w:tc>
        <w:tc>
          <w:tcPr>
            <w:tcW w:w="539" w:type="dxa"/>
            <w:shd w:val="clear" w:color="auto" w:fill="FFFFFF"/>
            <w:tcMar>
              <w:top w:w="70" w:type="dxa"/>
              <w:left w:w="70" w:type="dxa"/>
              <w:bottom w:w="70" w:type="dxa"/>
              <w:right w:w="70" w:type="dxa"/>
            </w:tcMar>
            <w:vAlign w:val="center"/>
          </w:tcPr>
          <w:p w14:paraId="55EB13D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665464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6645A81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94F8C0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1BBC799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242C54E8" w14:textId="77777777" w:rsidTr="00F0464D">
        <w:trPr>
          <w:cantSplit/>
          <w:jc w:val="center"/>
        </w:trPr>
        <w:tc>
          <w:tcPr>
            <w:tcW w:w="425" w:type="dxa"/>
            <w:shd w:val="clear" w:color="auto" w:fill="F2F4F6"/>
            <w:tcMar>
              <w:top w:w="70" w:type="dxa"/>
              <w:left w:w="70" w:type="dxa"/>
              <w:bottom w:w="70" w:type="dxa"/>
              <w:right w:w="70" w:type="dxa"/>
            </w:tcMar>
            <w:vAlign w:val="center"/>
          </w:tcPr>
          <w:p w14:paraId="6261DC7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28</w:t>
            </w:r>
          </w:p>
        </w:tc>
        <w:tc>
          <w:tcPr>
            <w:tcW w:w="5357" w:type="dxa"/>
            <w:shd w:val="clear" w:color="auto" w:fill="F2F4F6"/>
            <w:tcMar>
              <w:top w:w="70" w:type="dxa"/>
              <w:left w:w="70" w:type="dxa"/>
              <w:bottom w:w="70" w:type="dxa"/>
              <w:right w:w="70" w:type="dxa"/>
            </w:tcMar>
            <w:vAlign w:val="center"/>
          </w:tcPr>
          <w:p w14:paraId="5F54974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تقلل الجهة من الهدر الناتج عن ضعف الاستفادة من العقارات الحكومية.</w:t>
            </w:r>
          </w:p>
        </w:tc>
        <w:tc>
          <w:tcPr>
            <w:tcW w:w="539" w:type="dxa"/>
            <w:shd w:val="clear" w:color="auto" w:fill="F2F4F6"/>
            <w:tcMar>
              <w:top w:w="70" w:type="dxa"/>
              <w:left w:w="70" w:type="dxa"/>
              <w:bottom w:w="70" w:type="dxa"/>
              <w:right w:w="70" w:type="dxa"/>
            </w:tcMar>
            <w:vAlign w:val="center"/>
          </w:tcPr>
          <w:p w14:paraId="4B3C5FE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637E3F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0931DD7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5909EA6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C7373B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6D718606" w14:textId="77777777" w:rsidTr="00F0464D">
        <w:trPr>
          <w:cantSplit/>
          <w:jc w:val="center"/>
        </w:trPr>
        <w:tc>
          <w:tcPr>
            <w:tcW w:w="425" w:type="dxa"/>
            <w:shd w:val="clear" w:color="auto" w:fill="FFFFFF"/>
            <w:tcMar>
              <w:top w:w="70" w:type="dxa"/>
              <w:left w:w="70" w:type="dxa"/>
              <w:bottom w:w="70" w:type="dxa"/>
              <w:right w:w="70" w:type="dxa"/>
            </w:tcMar>
            <w:vAlign w:val="center"/>
          </w:tcPr>
          <w:p w14:paraId="53C21F1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29</w:t>
            </w:r>
          </w:p>
        </w:tc>
        <w:tc>
          <w:tcPr>
            <w:tcW w:w="5357" w:type="dxa"/>
            <w:shd w:val="clear" w:color="auto" w:fill="FFFFFF"/>
            <w:tcMar>
              <w:top w:w="70" w:type="dxa"/>
              <w:left w:w="70" w:type="dxa"/>
              <w:bottom w:w="70" w:type="dxa"/>
              <w:right w:w="70" w:type="dxa"/>
            </w:tcMar>
            <w:vAlign w:val="center"/>
          </w:tcPr>
          <w:p w14:paraId="5930D61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تساعد البيانات المتاحة في اتخاذ قرارات أفضل بشأن التملك أو الاستئجار أو إعادة الاستخدام.</w:t>
            </w:r>
          </w:p>
        </w:tc>
        <w:tc>
          <w:tcPr>
            <w:tcW w:w="539" w:type="dxa"/>
            <w:shd w:val="clear" w:color="auto" w:fill="FFFFFF"/>
            <w:tcMar>
              <w:top w:w="70" w:type="dxa"/>
              <w:left w:w="70" w:type="dxa"/>
              <w:bottom w:w="70" w:type="dxa"/>
              <w:right w:w="70" w:type="dxa"/>
            </w:tcMar>
            <w:vAlign w:val="center"/>
          </w:tcPr>
          <w:p w14:paraId="4192AE9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340961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FCAFC3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93BDB7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485E871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82892AB" w14:textId="77777777" w:rsidTr="00F0464D">
        <w:trPr>
          <w:cantSplit/>
          <w:jc w:val="center"/>
        </w:trPr>
        <w:tc>
          <w:tcPr>
            <w:tcW w:w="425" w:type="dxa"/>
            <w:shd w:val="clear" w:color="auto" w:fill="F2F4F6"/>
            <w:tcMar>
              <w:top w:w="70" w:type="dxa"/>
              <w:left w:w="70" w:type="dxa"/>
              <w:bottom w:w="70" w:type="dxa"/>
              <w:right w:w="70" w:type="dxa"/>
            </w:tcMar>
            <w:vAlign w:val="center"/>
          </w:tcPr>
          <w:p w14:paraId="372F7A0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30</w:t>
            </w:r>
          </w:p>
        </w:tc>
        <w:tc>
          <w:tcPr>
            <w:tcW w:w="5357" w:type="dxa"/>
            <w:shd w:val="clear" w:color="auto" w:fill="F2F4F6"/>
            <w:tcMar>
              <w:top w:w="70" w:type="dxa"/>
              <w:left w:w="70" w:type="dxa"/>
              <w:bottom w:w="70" w:type="dxa"/>
              <w:right w:w="70" w:type="dxa"/>
            </w:tcMar>
            <w:vAlign w:val="center"/>
          </w:tcPr>
          <w:p w14:paraId="336872D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الإدارة الحالية في إطالة العمر التشغيلي للأصول وتقليل الأعطال الحرجة.</w:t>
            </w:r>
          </w:p>
        </w:tc>
        <w:tc>
          <w:tcPr>
            <w:tcW w:w="539" w:type="dxa"/>
            <w:shd w:val="clear" w:color="auto" w:fill="F2F4F6"/>
            <w:tcMar>
              <w:top w:w="70" w:type="dxa"/>
              <w:left w:w="70" w:type="dxa"/>
              <w:bottom w:w="70" w:type="dxa"/>
              <w:right w:w="70" w:type="dxa"/>
            </w:tcMar>
            <w:vAlign w:val="center"/>
          </w:tcPr>
          <w:p w14:paraId="490BAE2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025D40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26440F0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1C01240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2D0325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0C11BAFE" w14:textId="77777777" w:rsidTr="00F0464D">
        <w:trPr>
          <w:cantSplit/>
          <w:jc w:val="center"/>
        </w:trPr>
        <w:tc>
          <w:tcPr>
            <w:tcW w:w="425" w:type="dxa"/>
            <w:shd w:val="clear" w:color="auto" w:fill="FFFFFF"/>
            <w:tcMar>
              <w:top w:w="70" w:type="dxa"/>
              <w:left w:w="70" w:type="dxa"/>
              <w:bottom w:w="70" w:type="dxa"/>
              <w:right w:w="70" w:type="dxa"/>
            </w:tcMar>
            <w:vAlign w:val="center"/>
          </w:tcPr>
          <w:p w14:paraId="078F7A3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31</w:t>
            </w:r>
          </w:p>
        </w:tc>
        <w:tc>
          <w:tcPr>
            <w:tcW w:w="5357" w:type="dxa"/>
            <w:shd w:val="clear" w:color="auto" w:fill="FFFFFF"/>
            <w:tcMar>
              <w:top w:w="70" w:type="dxa"/>
              <w:left w:w="70" w:type="dxa"/>
              <w:bottom w:w="70" w:type="dxa"/>
              <w:right w:w="70" w:type="dxa"/>
            </w:tcMar>
            <w:vAlign w:val="center"/>
          </w:tcPr>
          <w:p w14:paraId="265096D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تسهم الحوكمة في توجيه الموارد المالية نحو الأصول الأعلى أولوية.</w:t>
            </w:r>
          </w:p>
        </w:tc>
        <w:tc>
          <w:tcPr>
            <w:tcW w:w="539" w:type="dxa"/>
            <w:shd w:val="clear" w:color="auto" w:fill="FFFFFF"/>
            <w:tcMar>
              <w:top w:w="70" w:type="dxa"/>
              <w:left w:w="70" w:type="dxa"/>
              <w:bottom w:w="70" w:type="dxa"/>
              <w:right w:w="70" w:type="dxa"/>
            </w:tcMar>
            <w:vAlign w:val="center"/>
          </w:tcPr>
          <w:p w14:paraId="7CB8013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A14450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36A9A6B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256D8DA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FFFFF"/>
            <w:tcMar>
              <w:top w:w="70" w:type="dxa"/>
              <w:left w:w="70" w:type="dxa"/>
              <w:bottom w:w="70" w:type="dxa"/>
              <w:right w:w="70" w:type="dxa"/>
            </w:tcMar>
            <w:vAlign w:val="center"/>
          </w:tcPr>
          <w:p w14:paraId="76E00AF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r w:rsidR="00986803" w:rsidRPr="00AE1FD7" w14:paraId="367E4EC3" w14:textId="77777777" w:rsidTr="00F0464D">
        <w:trPr>
          <w:cantSplit/>
          <w:jc w:val="center"/>
        </w:trPr>
        <w:tc>
          <w:tcPr>
            <w:tcW w:w="425" w:type="dxa"/>
            <w:shd w:val="clear" w:color="auto" w:fill="F2F4F6"/>
            <w:tcMar>
              <w:top w:w="70" w:type="dxa"/>
              <w:left w:w="70" w:type="dxa"/>
              <w:bottom w:w="70" w:type="dxa"/>
              <w:right w:w="70" w:type="dxa"/>
            </w:tcMar>
            <w:vAlign w:val="center"/>
          </w:tcPr>
          <w:p w14:paraId="1F3F4F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32</w:t>
            </w:r>
          </w:p>
        </w:tc>
        <w:tc>
          <w:tcPr>
            <w:tcW w:w="5357" w:type="dxa"/>
            <w:shd w:val="clear" w:color="auto" w:fill="F2F4F6"/>
            <w:tcMar>
              <w:top w:w="70" w:type="dxa"/>
              <w:left w:w="70" w:type="dxa"/>
              <w:bottom w:w="70" w:type="dxa"/>
              <w:right w:w="70" w:type="dxa"/>
            </w:tcMar>
            <w:vAlign w:val="center"/>
          </w:tcPr>
          <w:p w14:paraId="5ACC83C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تساعد الممارسات الحالية في تحقيق قيمة أعلى من الأصول مقارنة بالتكاليف المنفقة عليها.</w:t>
            </w:r>
          </w:p>
        </w:tc>
        <w:tc>
          <w:tcPr>
            <w:tcW w:w="539" w:type="dxa"/>
            <w:shd w:val="clear" w:color="auto" w:fill="F2F4F6"/>
            <w:tcMar>
              <w:top w:w="70" w:type="dxa"/>
              <w:left w:w="70" w:type="dxa"/>
              <w:bottom w:w="70" w:type="dxa"/>
              <w:right w:w="70" w:type="dxa"/>
            </w:tcMar>
            <w:vAlign w:val="center"/>
          </w:tcPr>
          <w:p w14:paraId="72E93A3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86C568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F3F87F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7350580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c>
          <w:tcPr>
            <w:tcW w:w="539" w:type="dxa"/>
            <w:shd w:val="clear" w:color="auto" w:fill="F2F4F6"/>
            <w:tcMar>
              <w:top w:w="70" w:type="dxa"/>
              <w:left w:w="70" w:type="dxa"/>
              <w:bottom w:w="70" w:type="dxa"/>
              <w:right w:w="70" w:type="dxa"/>
            </w:tcMar>
            <w:vAlign w:val="center"/>
          </w:tcPr>
          <w:p w14:paraId="6C4F3A5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egoe UI Symbol" w:hAnsi="Segoe UI Symbol" w:cs="Segoe UI Symbol" w:hint="cs"/>
                <w:color w:val="000000"/>
                <w:sz w:val="36"/>
                <w:szCs w:val="36"/>
                <w:rtl/>
                <w:lang w:val="ar-SA"/>
              </w:rPr>
              <w:t>☐</w:t>
            </w:r>
          </w:p>
        </w:tc>
      </w:tr>
    </w:tbl>
    <w:p w14:paraId="26A04E02" w14:textId="77777777" w:rsidR="00986803" w:rsidRPr="00AE1FD7" w:rsidRDefault="00986803" w:rsidP="00697C88">
      <w:pPr>
        <w:bidi/>
        <w:spacing w:after="0" w:line="240" w:lineRule="auto"/>
        <w:rPr>
          <w:rFonts w:ascii="Sakkal Majalla" w:hAnsi="Sakkal Majalla" w:cs="Sakkal Majalla"/>
          <w:sz w:val="36"/>
          <w:szCs w:val="36"/>
        </w:rPr>
      </w:pPr>
    </w:p>
    <w:p w14:paraId="6EDD5AEC"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مقياس الاستجابة: 1=لا أوافق بشدة، 2=لا أوافق، 3=محايد، 4=أوافق، 5=أوافق بشدة.</w:t>
      </w:r>
    </w:p>
    <w:p w14:paraId="3CF5F26A" w14:textId="77777777" w:rsidR="00986803" w:rsidRPr="00AE1FD7" w:rsidRDefault="00DB29B7" w:rsidP="00F0464D">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68" w:name="_Toc235205695"/>
      <w:r w:rsidRPr="00AE1FD7">
        <w:rPr>
          <w:rFonts w:ascii="Sakkal Majalla" w:eastAsia="Noto Kufi Arabic" w:hAnsi="Sakkal Majalla" w:cs="Sakkal Majalla"/>
          <w:sz w:val="36"/>
          <w:szCs w:val="36"/>
          <w:rtl/>
          <w:lang w:val="ar-SA"/>
        </w:rPr>
        <w:lastRenderedPageBreak/>
        <w:t>الملحق (2): خطاب التحكيم المقترح</w:t>
      </w:r>
      <w:bookmarkEnd w:id="168"/>
    </w:p>
    <w:p w14:paraId="4261AEE4"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سعادة المحكم/ة .................................................. حفظه/ها الله</w:t>
      </w:r>
    </w:p>
    <w:p w14:paraId="387F2743" w14:textId="77777777" w:rsidR="00986803" w:rsidRPr="00AE1FD7" w:rsidRDefault="00DB29B7" w:rsidP="00697C88">
      <w:pPr>
        <w:bidi/>
        <w:spacing w:after="0" w:line="240" w:lineRule="auto"/>
        <w:rPr>
          <w:rFonts w:ascii="Sakkal Majalla" w:hAnsi="Sakkal Majalla" w:cs="Sakkal Majalla"/>
          <w:sz w:val="36"/>
          <w:szCs w:val="36"/>
        </w:rPr>
      </w:pPr>
      <w:r w:rsidRPr="00AE1FD7">
        <w:rPr>
          <w:rFonts w:ascii="Sakkal Majalla" w:hAnsi="Sakkal Majalla" w:cs="Sakkal Majalla"/>
          <w:color w:val="000000"/>
          <w:sz w:val="36"/>
          <w:szCs w:val="36"/>
          <w:rtl/>
          <w:lang w:val="ar-SA"/>
        </w:rPr>
        <w:t>السلام عليكم ورحمة الله وبركاته،</w:t>
      </w:r>
    </w:p>
    <w:p w14:paraId="0112054B" w14:textId="77777777" w:rsidR="00986803" w:rsidRDefault="00DB29B7" w:rsidP="00697C88">
      <w:pPr>
        <w:bidi/>
        <w:spacing w:after="0" w:line="240" w:lineRule="auto"/>
        <w:rPr>
          <w:rFonts w:ascii="Sakkal Majalla" w:hAnsi="Sakkal Majalla" w:cs="Sakkal Majalla"/>
          <w:color w:val="000000"/>
          <w:sz w:val="36"/>
          <w:szCs w:val="36"/>
          <w:rtl/>
          <w:lang w:val="ar-SA"/>
        </w:rPr>
      </w:pPr>
      <w:r w:rsidRPr="00AE1FD7">
        <w:rPr>
          <w:rFonts w:ascii="Sakkal Majalla" w:hAnsi="Sakkal Majalla" w:cs="Sakkal Majalla"/>
          <w:color w:val="000000"/>
          <w:sz w:val="36"/>
          <w:szCs w:val="36"/>
          <w:rtl/>
          <w:lang w:val="ar-SA"/>
        </w:rPr>
        <w:t>يقوم الباحث بإجراء دراسة بعنوان «أثر حوكمة إدارة الممتلكات العامة في تعزيز كفاءة الإنفاق الحكومي العقاري في المملكة العربية السعودية». ونظراً لخبرتكم، يرجى التكرم بتحكيم البنود من حيث وضوح الصياغة، والانتماء للبعد، والملاءمة للبيئة الحكومية، واقتراح التعديلات. وستستخدم الآراء لأغراض تطوير الأداة فقط.</w:t>
      </w:r>
    </w:p>
    <w:p w14:paraId="2B61BA75" w14:textId="77777777" w:rsidR="00F0464D" w:rsidRPr="00AE1FD7" w:rsidRDefault="00F0464D" w:rsidP="00F0464D">
      <w:pPr>
        <w:bidi/>
        <w:spacing w:after="0" w:line="240" w:lineRule="auto"/>
        <w:rPr>
          <w:rFonts w:ascii="Sakkal Majalla" w:hAnsi="Sakkal Majalla" w:cs="Sakkal Majalla"/>
          <w:sz w:val="36"/>
          <w:szCs w:val="36"/>
        </w:rPr>
      </w:pPr>
    </w:p>
    <w:p w14:paraId="5F3AD46C" w14:textId="77777777" w:rsidR="00986803" w:rsidRPr="00AE1FD7" w:rsidRDefault="00DB29B7" w:rsidP="00F0464D">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69" w:name="_Toc235205696"/>
      <w:r w:rsidRPr="00AE1FD7">
        <w:rPr>
          <w:rFonts w:ascii="Sakkal Majalla" w:eastAsia="Noto Kufi Arabic" w:hAnsi="Sakkal Majalla" w:cs="Sakkal Majalla"/>
          <w:sz w:val="36"/>
          <w:szCs w:val="36"/>
          <w:rtl/>
          <w:lang w:val="ar-SA"/>
        </w:rPr>
        <w:t>الملحق (3): مصفوفة ترميز المتغيرات</w:t>
      </w:r>
      <w:bookmarkEnd w:id="169"/>
    </w:p>
    <w:p w14:paraId="6EF4283B" w14:textId="77777777" w:rsidR="00986803" w:rsidRPr="00F0464D" w:rsidRDefault="00DB29B7" w:rsidP="00F0464D">
      <w:pPr>
        <w:keepNext/>
        <w:bidi/>
        <w:spacing w:after="0" w:line="240" w:lineRule="auto"/>
        <w:ind w:firstLine="0"/>
        <w:jc w:val="center"/>
        <w:rPr>
          <w:rFonts w:ascii="Sakkal Majalla" w:hAnsi="Sakkal Majalla" w:cs="Sakkal Majalla"/>
          <w:bCs/>
          <w:sz w:val="36"/>
          <w:szCs w:val="36"/>
        </w:rPr>
      </w:pPr>
      <w:bookmarkStart w:id="170" w:name="table_codebook"/>
      <w:r w:rsidRPr="00F0464D">
        <w:rPr>
          <w:rFonts w:ascii="Sakkal Majalla" w:eastAsia="Noto Kufi Arabic" w:hAnsi="Sakkal Majalla" w:cs="Sakkal Majalla"/>
          <w:bCs/>
          <w:color w:val="17365D"/>
          <w:sz w:val="36"/>
          <w:szCs w:val="36"/>
          <w:rtl/>
          <w:lang w:val="ar-SA"/>
        </w:rPr>
        <w:t>جدول (35): مصفوفة ترميز متغيرات الدراسة</w:t>
      </w:r>
      <w:bookmarkEnd w:id="170"/>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135"/>
        <w:gridCol w:w="2721"/>
        <w:gridCol w:w="1531"/>
        <w:gridCol w:w="3118"/>
      </w:tblGrid>
      <w:tr w:rsidR="00986803" w:rsidRPr="00AE1FD7" w14:paraId="0CE5F5E7" w14:textId="77777777" w:rsidTr="00F0464D">
        <w:trPr>
          <w:cantSplit/>
          <w:tblHeader/>
          <w:jc w:val="center"/>
        </w:trPr>
        <w:tc>
          <w:tcPr>
            <w:tcW w:w="1134" w:type="dxa"/>
            <w:shd w:val="clear" w:color="auto" w:fill="17365D"/>
            <w:tcMar>
              <w:top w:w="90" w:type="dxa"/>
              <w:left w:w="80" w:type="dxa"/>
              <w:bottom w:w="90" w:type="dxa"/>
              <w:right w:w="80" w:type="dxa"/>
            </w:tcMar>
            <w:vAlign w:val="center"/>
          </w:tcPr>
          <w:p w14:paraId="27B864A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الرمز</w:t>
            </w:r>
          </w:p>
        </w:tc>
        <w:tc>
          <w:tcPr>
            <w:tcW w:w="2721" w:type="dxa"/>
            <w:shd w:val="clear" w:color="auto" w:fill="17365D"/>
            <w:tcMar>
              <w:top w:w="90" w:type="dxa"/>
              <w:left w:w="80" w:type="dxa"/>
              <w:bottom w:w="90" w:type="dxa"/>
              <w:right w:w="80" w:type="dxa"/>
            </w:tcMar>
            <w:vAlign w:val="center"/>
          </w:tcPr>
          <w:p w14:paraId="67FA595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المتغير</w:t>
            </w:r>
          </w:p>
        </w:tc>
        <w:tc>
          <w:tcPr>
            <w:tcW w:w="1531" w:type="dxa"/>
            <w:shd w:val="clear" w:color="auto" w:fill="17365D"/>
            <w:tcMar>
              <w:top w:w="90" w:type="dxa"/>
              <w:left w:w="80" w:type="dxa"/>
              <w:bottom w:w="90" w:type="dxa"/>
              <w:right w:w="80" w:type="dxa"/>
            </w:tcMar>
            <w:vAlign w:val="center"/>
          </w:tcPr>
          <w:p w14:paraId="0A43714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نوعه</w:t>
            </w:r>
          </w:p>
        </w:tc>
        <w:tc>
          <w:tcPr>
            <w:tcW w:w="3118" w:type="dxa"/>
            <w:shd w:val="clear" w:color="auto" w:fill="17365D"/>
            <w:tcMar>
              <w:top w:w="90" w:type="dxa"/>
              <w:left w:w="80" w:type="dxa"/>
              <w:bottom w:w="90" w:type="dxa"/>
              <w:right w:w="80" w:type="dxa"/>
            </w:tcMar>
            <w:vAlign w:val="center"/>
          </w:tcPr>
          <w:p w14:paraId="585D432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القيم/المعالجة</w:t>
            </w:r>
          </w:p>
        </w:tc>
      </w:tr>
      <w:tr w:rsidR="00986803" w:rsidRPr="00AE1FD7" w14:paraId="1CFBF27F" w14:textId="77777777" w:rsidTr="00F0464D">
        <w:trPr>
          <w:jc w:val="center"/>
        </w:trPr>
        <w:tc>
          <w:tcPr>
            <w:tcW w:w="1134" w:type="dxa"/>
            <w:shd w:val="clear" w:color="auto" w:fill="FFFFFF"/>
            <w:tcMar>
              <w:top w:w="70" w:type="dxa"/>
              <w:left w:w="70" w:type="dxa"/>
              <w:bottom w:w="70" w:type="dxa"/>
              <w:right w:w="70" w:type="dxa"/>
            </w:tcMar>
            <w:vAlign w:val="center"/>
          </w:tcPr>
          <w:p w14:paraId="6D17646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ENT</w:t>
            </w:r>
          </w:p>
        </w:tc>
        <w:tc>
          <w:tcPr>
            <w:tcW w:w="2721" w:type="dxa"/>
            <w:shd w:val="clear" w:color="auto" w:fill="FFFFFF"/>
            <w:tcMar>
              <w:top w:w="70" w:type="dxa"/>
              <w:left w:w="70" w:type="dxa"/>
              <w:bottom w:w="70" w:type="dxa"/>
              <w:right w:w="70" w:type="dxa"/>
            </w:tcMar>
            <w:vAlign w:val="center"/>
          </w:tcPr>
          <w:p w14:paraId="35729F5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نوع الجهة</w:t>
            </w:r>
          </w:p>
        </w:tc>
        <w:tc>
          <w:tcPr>
            <w:tcW w:w="1531" w:type="dxa"/>
            <w:shd w:val="clear" w:color="auto" w:fill="FFFFFF"/>
            <w:tcMar>
              <w:top w:w="70" w:type="dxa"/>
              <w:left w:w="70" w:type="dxa"/>
              <w:bottom w:w="70" w:type="dxa"/>
              <w:right w:w="70" w:type="dxa"/>
            </w:tcMar>
            <w:vAlign w:val="center"/>
          </w:tcPr>
          <w:p w14:paraId="0957151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اسمي</w:t>
            </w:r>
          </w:p>
        </w:tc>
        <w:tc>
          <w:tcPr>
            <w:tcW w:w="3118" w:type="dxa"/>
            <w:shd w:val="clear" w:color="auto" w:fill="FFFFFF"/>
            <w:tcMar>
              <w:top w:w="70" w:type="dxa"/>
              <w:left w:w="70" w:type="dxa"/>
              <w:bottom w:w="70" w:type="dxa"/>
              <w:right w:w="70" w:type="dxa"/>
            </w:tcMar>
            <w:vAlign w:val="center"/>
          </w:tcPr>
          <w:p w14:paraId="6CD0AFF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وزارة؛ هيئة/مؤسسة؛ جامعة؛ جهة خدمية.</w:t>
            </w:r>
          </w:p>
        </w:tc>
      </w:tr>
      <w:tr w:rsidR="00986803" w:rsidRPr="00AE1FD7" w14:paraId="595476C5" w14:textId="77777777" w:rsidTr="00F0464D">
        <w:trPr>
          <w:jc w:val="center"/>
        </w:trPr>
        <w:tc>
          <w:tcPr>
            <w:tcW w:w="1134" w:type="dxa"/>
            <w:shd w:val="clear" w:color="auto" w:fill="F2F4F6"/>
            <w:tcMar>
              <w:top w:w="70" w:type="dxa"/>
              <w:left w:w="70" w:type="dxa"/>
              <w:bottom w:w="70" w:type="dxa"/>
              <w:right w:w="70" w:type="dxa"/>
            </w:tcMar>
            <w:vAlign w:val="center"/>
          </w:tcPr>
          <w:p w14:paraId="0892C28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WORK</w:t>
            </w:r>
          </w:p>
        </w:tc>
        <w:tc>
          <w:tcPr>
            <w:tcW w:w="2721" w:type="dxa"/>
            <w:shd w:val="clear" w:color="auto" w:fill="F2F4F6"/>
            <w:tcMar>
              <w:top w:w="70" w:type="dxa"/>
              <w:left w:w="70" w:type="dxa"/>
              <w:bottom w:w="70" w:type="dxa"/>
              <w:right w:w="70" w:type="dxa"/>
            </w:tcMar>
            <w:vAlign w:val="center"/>
          </w:tcPr>
          <w:p w14:paraId="013DD7C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مجال العمل</w:t>
            </w:r>
          </w:p>
        </w:tc>
        <w:tc>
          <w:tcPr>
            <w:tcW w:w="1531" w:type="dxa"/>
            <w:shd w:val="clear" w:color="auto" w:fill="F2F4F6"/>
            <w:tcMar>
              <w:top w:w="70" w:type="dxa"/>
              <w:left w:w="70" w:type="dxa"/>
              <w:bottom w:w="70" w:type="dxa"/>
              <w:right w:w="70" w:type="dxa"/>
            </w:tcMar>
            <w:vAlign w:val="center"/>
          </w:tcPr>
          <w:p w14:paraId="3C8C27F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اسمي</w:t>
            </w:r>
          </w:p>
        </w:tc>
        <w:tc>
          <w:tcPr>
            <w:tcW w:w="3118" w:type="dxa"/>
            <w:shd w:val="clear" w:color="auto" w:fill="F2F4F6"/>
            <w:tcMar>
              <w:top w:w="70" w:type="dxa"/>
              <w:left w:w="70" w:type="dxa"/>
              <w:bottom w:w="70" w:type="dxa"/>
              <w:right w:w="70" w:type="dxa"/>
            </w:tcMar>
            <w:vAlign w:val="center"/>
          </w:tcPr>
          <w:p w14:paraId="67E50DE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المالية؛ العقود؛ الرقابة؛ الهندسة.</w:t>
            </w:r>
          </w:p>
        </w:tc>
      </w:tr>
      <w:tr w:rsidR="00986803" w:rsidRPr="00AE1FD7" w14:paraId="0F15B688" w14:textId="77777777" w:rsidTr="00F0464D">
        <w:trPr>
          <w:jc w:val="center"/>
        </w:trPr>
        <w:tc>
          <w:tcPr>
            <w:tcW w:w="1134" w:type="dxa"/>
            <w:shd w:val="clear" w:color="auto" w:fill="FFFFFF"/>
            <w:tcMar>
              <w:top w:w="70" w:type="dxa"/>
              <w:left w:w="70" w:type="dxa"/>
              <w:bottom w:w="70" w:type="dxa"/>
              <w:right w:w="70" w:type="dxa"/>
            </w:tcMar>
            <w:vAlign w:val="center"/>
          </w:tcPr>
          <w:p w14:paraId="185D417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EXP</w:t>
            </w:r>
          </w:p>
        </w:tc>
        <w:tc>
          <w:tcPr>
            <w:tcW w:w="2721" w:type="dxa"/>
            <w:shd w:val="clear" w:color="auto" w:fill="FFFFFF"/>
            <w:tcMar>
              <w:top w:w="70" w:type="dxa"/>
              <w:left w:w="70" w:type="dxa"/>
              <w:bottom w:w="70" w:type="dxa"/>
              <w:right w:w="70" w:type="dxa"/>
            </w:tcMar>
            <w:vAlign w:val="center"/>
          </w:tcPr>
          <w:p w14:paraId="4CA4C97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سنوات الخبرة</w:t>
            </w:r>
          </w:p>
        </w:tc>
        <w:tc>
          <w:tcPr>
            <w:tcW w:w="1531" w:type="dxa"/>
            <w:shd w:val="clear" w:color="auto" w:fill="FFFFFF"/>
            <w:tcMar>
              <w:top w:w="70" w:type="dxa"/>
              <w:left w:w="70" w:type="dxa"/>
              <w:bottom w:w="70" w:type="dxa"/>
              <w:right w:w="70" w:type="dxa"/>
            </w:tcMar>
            <w:vAlign w:val="center"/>
          </w:tcPr>
          <w:p w14:paraId="68D1E1A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رتبي</w:t>
            </w:r>
          </w:p>
        </w:tc>
        <w:tc>
          <w:tcPr>
            <w:tcW w:w="3118" w:type="dxa"/>
            <w:shd w:val="clear" w:color="auto" w:fill="FFFFFF"/>
            <w:tcMar>
              <w:top w:w="70" w:type="dxa"/>
              <w:left w:w="70" w:type="dxa"/>
              <w:bottom w:w="70" w:type="dxa"/>
              <w:right w:w="70" w:type="dxa"/>
            </w:tcMar>
            <w:vAlign w:val="center"/>
          </w:tcPr>
          <w:p w14:paraId="56C9999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أقل من 5؛ 5-&lt;10؛ 10-&lt;15؛ 15 فأكثر.</w:t>
            </w:r>
          </w:p>
        </w:tc>
      </w:tr>
      <w:tr w:rsidR="00986803" w:rsidRPr="00AE1FD7" w14:paraId="59F03221" w14:textId="77777777" w:rsidTr="00F0464D">
        <w:trPr>
          <w:jc w:val="center"/>
        </w:trPr>
        <w:tc>
          <w:tcPr>
            <w:tcW w:w="1134" w:type="dxa"/>
            <w:shd w:val="clear" w:color="auto" w:fill="F2F4F6"/>
            <w:tcMar>
              <w:top w:w="70" w:type="dxa"/>
              <w:left w:w="70" w:type="dxa"/>
              <w:bottom w:w="70" w:type="dxa"/>
              <w:right w:w="70" w:type="dxa"/>
            </w:tcMar>
            <w:vAlign w:val="center"/>
          </w:tcPr>
          <w:p w14:paraId="4F084B3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LEVEL</w:t>
            </w:r>
          </w:p>
        </w:tc>
        <w:tc>
          <w:tcPr>
            <w:tcW w:w="2721" w:type="dxa"/>
            <w:shd w:val="clear" w:color="auto" w:fill="F2F4F6"/>
            <w:tcMar>
              <w:top w:w="70" w:type="dxa"/>
              <w:left w:w="70" w:type="dxa"/>
              <w:bottom w:w="70" w:type="dxa"/>
              <w:right w:w="70" w:type="dxa"/>
            </w:tcMar>
            <w:vAlign w:val="center"/>
          </w:tcPr>
          <w:p w14:paraId="0C3B0FB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المستوى الإداري</w:t>
            </w:r>
          </w:p>
        </w:tc>
        <w:tc>
          <w:tcPr>
            <w:tcW w:w="1531" w:type="dxa"/>
            <w:shd w:val="clear" w:color="auto" w:fill="F2F4F6"/>
            <w:tcMar>
              <w:top w:w="70" w:type="dxa"/>
              <w:left w:w="70" w:type="dxa"/>
              <w:bottom w:w="70" w:type="dxa"/>
              <w:right w:w="70" w:type="dxa"/>
            </w:tcMar>
            <w:vAlign w:val="center"/>
          </w:tcPr>
          <w:p w14:paraId="50D7C8C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رتبي</w:t>
            </w:r>
          </w:p>
        </w:tc>
        <w:tc>
          <w:tcPr>
            <w:tcW w:w="3118" w:type="dxa"/>
            <w:shd w:val="clear" w:color="auto" w:fill="F2F4F6"/>
            <w:tcMar>
              <w:top w:w="70" w:type="dxa"/>
              <w:left w:w="70" w:type="dxa"/>
              <w:bottom w:w="70" w:type="dxa"/>
              <w:right w:w="70" w:type="dxa"/>
            </w:tcMar>
            <w:vAlign w:val="center"/>
          </w:tcPr>
          <w:p w14:paraId="013E9BE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تنفيذي/أخصائي؛ إشرافي؛ قيادي.</w:t>
            </w:r>
          </w:p>
        </w:tc>
      </w:tr>
      <w:tr w:rsidR="00986803" w:rsidRPr="00AE1FD7" w14:paraId="3B784C73" w14:textId="77777777" w:rsidTr="00F0464D">
        <w:trPr>
          <w:jc w:val="center"/>
        </w:trPr>
        <w:tc>
          <w:tcPr>
            <w:tcW w:w="1134" w:type="dxa"/>
            <w:shd w:val="clear" w:color="auto" w:fill="FFFFFF"/>
            <w:tcMar>
              <w:top w:w="70" w:type="dxa"/>
              <w:left w:w="70" w:type="dxa"/>
              <w:bottom w:w="70" w:type="dxa"/>
              <w:right w:w="70" w:type="dxa"/>
            </w:tcMar>
            <w:vAlign w:val="center"/>
          </w:tcPr>
          <w:p w14:paraId="6EBFF8D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EDU</w:t>
            </w:r>
          </w:p>
        </w:tc>
        <w:tc>
          <w:tcPr>
            <w:tcW w:w="2721" w:type="dxa"/>
            <w:shd w:val="clear" w:color="auto" w:fill="FFFFFF"/>
            <w:tcMar>
              <w:top w:w="70" w:type="dxa"/>
              <w:left w:w="70" w:type="dxa"/>
              <w:bottom w:w="70" w:type="dxa"/>
              <w:right w:w="70" w:type="dxa"/>
            </w:tcMar>
            <w:vAlign w:val="center"/>
          </w:tcPr>
          <w:p w14:paraId="55B99DF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المؤهل العلمي</w:t>
            </w:r>
          </w:p>
        </w:tc>
        <w:tc>
          <w:tcPr>
            <w:tcW w:w="1531" w:type="dxa"/>
            <w:shd w:val="clear" w:color="auto" w:fill="FFFFFF"/>
            <w:tcMar>
              <w:top w:w="70" w:type="dxa"/>
              <w:left w:w="70" w:type="dxa"/>
              <w:bottom w:w="70" w:type="dxa"/>
              <w:right w:w="70" w:type="dxa"/>
            </w:tcMar>
            <w:vAlign w:val="center"/>
          </w:tcPr>
          <w:p w14:paraId="4CEE6C3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رتبي</w:t>
            </w:r>
          </w:p>
        </w:tc>
        <w:tc>
          <w:tcPr>
            <w:tcW w:w="3118" w:type="dxa"/>
            <w:shd w:val="clear" w:color="auto" w:fill="FFFFFF"/>
            <w:tcMar>
              <w:top w:w="70" w:type="dxa"/>
              <w:left w:w="70" w:type="dxa"/>
              <w:bottom w:w="70" w:type="dxa"/>
              <w:right w:w="70" w:type="dxa"/>
            </w:tcMar>
            <w:vAlign w:val="center"/>
          </w:tcPr>
          <w:p w14:paraId="71BB59F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دبلوم فأقل؛ بكالوريوس؛ ماجستير؛ دكتوراه.</w:t>
            </w:r>
          </w:p>
        </w:tc>
      </w:tr>
      <w:tr w:rsidR="00986803" w:rsidRPr="00AE1FD7" w14:paraId="5A790B91" w14:textId="77777777" w:rsidTr="00F0464D">
        <w:trPr>
          <w:jc w:val="center"/>
        </w:trPr>
        <w:tc>
          <w:tcPr>
            <w:tcW w:w="1134" w:type="dxa"/>
            <w:shd w:val="clear" w:color="auto" w:fill="F2F4F6"/>
            <w:tcMar>
              <w:top w:w="70" w:type="dxa"/>
              <w:left w:w="70" w:type="dxa"/>
              <w:bottom w:w="70" w:type="dxa"/>
              <w:right w:w="70" w:type="dxa"/>
            </w:tcMar>
            <w:vAlign w:val="center"/>
          </w:tcPr>
          <w:p w14:paraId="1119B64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TR</w:t>
            </w:r>
          </w:p>
        </w:tc>
        <w:tc>
          <w:tcPr>
            <w:tcW w:w="2721" w:type="dxa"/>
            <w:shd w:val="clear" w:color="auto" w:fill="F2F4F6"/>
            <w:tcMar>
              <w:top w:w="70" w:type="dxa"/>
              <w:left w:w="70" w:type="dxa"/>
              <w:bottom w:w="70" w:type="dxa"/>
              <w:right w:w="70" w:type="dxa"/>
            </w:tcMar>
            <w:vAlign w:val="center"/>
          </w:tcPr>
          <w:p w14:paraId="2272040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الشفافية والإفصاح</w:t>
            </w:r>
          </w:p>
        </w:tc>
        <w:tc>
          <w:tcPr>
            <w:tcW w:w="1531" w:type="dxa"/>
            <w:shd w:val="clear" w:color="auto" w:fill="F2F4F6"/>
            <w:tcMar>
              <w:top w:w="70" w:type="dxa"/>
              <w:left w:w="70" w:type="dxa"/>
              <w:bottom w:w="70" w:type="dxa"/>
              <w:right w:w="70" w:type="dxa"/>
            </w:tcMar>
            <w:vAlign w:val="center"/>
          </w:tcPr>
          <w:p w14:paraId="0B124D2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2F4F6"/>
            <w:tcMar>
              <w:top w:w="70" w:type="dxa"/>
              <w:left w:w="70" w:type="dxa"/>
              <w:bottom w:w="70" w:type="dxa"/>
              <w:right w:w="70" w:type="dxa"/>
            </w:tcMar>
            <w:vAlign w:val="center"/>
          </w:tcPr>
          <w:p w14:paraId="5826904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TR1-TR5.</w:t>
            </w:r>
          </w:p>
        </w:tc>
      </w:tr>
      <w:tr w:rsidR="00986803" w:rsidRPr="00AE1FD7" w14:paraId="6CEBCE56" w14:textId="77777777" w:rsidTr="00F0464D">
        <w:trPr>
          <w:jc w:val="center"/>
        </w:trPr>
        <w:tc>
          <w:tcPr>
            <w:tcW w:w="1134" w:type="dxa"/>
            <w:shd w:val="clear" w:color="auto" w:fill="FFFFFF"/>
            <w:tcMar>
              <w:top w:w="70" w:type="dxa"/>
              <w:left w:w="70" w:type="dxa"/>
              <w:bottom w:w="70" w:type="dxa"/>
              <w:right w:w="70" w:type="dxa"/>
            </w:tcMar>
            <w:vAlign w:val="center"/>
          </w:tcPr>
          <w:p w14:paraId="70BDA07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AC</w:t>
            </w:r>
          </w:p>
        </w:tc>
        <w:tc>
          <w:tcPr>
            <w:tcW w:w="2721" w:type="dxa"/>
            <w:shd w:val="clear" w:color="auto" w:fill="FFFFFF"/>
            <w:tcMar>
              <w:top w:w="70" w:type="dxa"/>
              <w:left w:w="70" w:type="dxa"/>
              <w:bottom w:w="70" w:type="dxa"/>
              <w:right w:w="70" w:type="dxa"/>
            </w:tcMar>
            <w:vAlign w:val="center"/>
          </w:tcPr>
          <w:p w14:paraId="35C24A4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المساءلة والرقابة</w:t>
            </w:r>
          </w:p>
        </w:tc>
        <w:tc>
          <w:tcPr>
            <w:tcW w:w="1531" w:type="dxa"/>
            <w:shd w:val="clear" w:color="auto" w:fill="FFFFFF"/>
            <w:tcMar>
              <w:top w:w="70" w:type="dxa"/>
              <w:left w:w="70" w:type="dxa"/>
              <w:bottom w:w="70" w:type="dxa"/>
              <w:right w:w="70" w:type="dxa"/>
            </w:tcMar>
            <w:vAlign w:val="center"/>
          </w:tcPr>
          <w:p w14:paraId="79A762A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FFFFF"/>
            <w:tcMar>
              <w:top w:w="70" w:type="dxa"/>
              <w:left w:w="70" w:type="dxa"/>
              <w:bottom w:w="70" w:type="dxa"/>
              <w:right w:w="70" w:type="dxa"/>
            </w:tcMar>
            <w:vAlign w:val="center"/>
          </w:tcPr>
          <w:p w14:paraId="2581502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AC1-AC5.</w:t>
            </w:r>
          </w:p>
        </w:tc>
      </w:tr>
      <w:tr w:rsidR="00986803" w:rsidRPr="00AE1FD7" w14:paraId="45EFBD84" w14:textId="77777777" w:rsidTr="00F0464D">
        <w:trPr>
          <w:jc w:val="center"/>
        </w:trPr>
        <w:tc>
          <w:tcPr>
            <w:tcW w:w="1134" w:type="dxa"/>
            <w:shd w:val="clear" w:color="auto" w:fill="F2F4F6"/>
            <w:tcMar>
              <w:top w:w="70" w:type="dxa"/>
              <w:left w:w="70" w:type="dxa"/>
              <w:bottom w:w="70" w:type="dxa"/>
              <w:right w:w="70" w:type="dxa"/>
            </w:tcMar>
            <w:vAlign w:val="center"/>
          </w:tcPr>
          <w:p w14:paraId="2D57BCF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DI</w:t>
            </w:r>
          </w:p>
        </w:tc>
        <w:tc>
          <w:tcPr>
            <w:tcW w:w="2721" w:type="dxa"/>
            <w:shd w:val="clear" w:color="auto" w:fill="F2F4F6"/>
            <w:tcMar>
              <w:top w:w="70" w:type="dxa"/>
              <w:left w:w="70" w:type="dxa"/>
              <w:bottom w:w="70" w:type="dxa"/>
              <w:right w:w="70" w:type="dxa"/>
            </w:tcMar>
            <w:vAlign w:val="center"/>
          </w:tcPr>
          <w:p w14:paraId="19F9362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 xml:space="preserve">البيانات </w:t>
            </w:r>
            <w:proofErr w:type="spellStart"/>
            <w:r w:rsidRPr="00AE1FD7">
              <w:rPr>
                <w:rFonts w:ascii="Sakkal Majalla" w:hAnsi="Sakkal Majalla" w:cs="Sakkal Majalla"/>
                <w:color w:val="000000"/>
                <w:sz w:val="36"/>
                <w:szCs w:val="36"/>
                <w:rtl/>
                <w:lang w:val="ar-SA"/>
              </w:rPr>
              <w:t>والرقمنة</w:t>
            </w:r>
            <w:proofErr w:type="spellEnd"/>
          </w:p>
        </w:tc>
        <w:tc>
          <w:tcPr>
            <w:tcW w:w="1531" w:type="dxa"/>
            <w:shd w:val="clear" w:color="auto" w:fill="F2F4F6"/>
            <w:tcMar>
              <w:top w:w="70" w:type="dxa"/>
              <w:left w:w="70" w:type="dxa"/>
              <w:bottom w:w="70" w:type="dxa"/>
              <w:right w:w="70" w:type="dxa"/>
            </w:tcMar>
            <w:vAlign w:val="center"/>
          </w:tcPr>
          <w:p w14:paraId="089F81F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2F4F6"/>
            <w:tcMar>
              <w:top w:w="70" w:type="dxa"/>
              <w:left w:w="70" w:type="dxa"/>
              <w:bottom w:w="70" w:type="dxa"/>
              <w:right w:w="70" w:type="dxa"/>
            </w:tcMar>
            <w:vAlign w:val="center"/>
          </w:tcPr>
          <w:p w14:paraId="6A4A782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DI1-DI5.</w:t>
            </w:r>
          </w:p>
        </w:tc>
      </w:tr>
      <w:tr w:rsidR="00986803" w:rsidRPr="00AE1FD7" w14:paraId="1D89E748" w14:textId="77777777" w:rsidTr="00F0464D">
        <w:trPr>
          <w:jc w:val="center"/>
        </w:trPr>
        <w:tc>
          <w:tcPr>
            <w:tcW w:w="1134" w:type="dxa"/>
            <w:shd w:val="clear" w:color="auto" w:fill="FFFFFF"/>
            <w:tcMar>
              <w:top w:w="70" w:type="dxa"/>
              <w:left w:w="70" w:type="dxa"/>
              <w:bottom w:w="70" w:type="dxa"/>
              <w:right w:w="70" w:type="dxa"/>
            </w:tcMar>
            <w:vAlign w:val="center"/>
          </w:tcPr>
          <w:p w14:paraId="194652E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LC</w:t>
            </w:r>
          </w:p>
        </w:tc>
        <w:tc>
          <w:tcPr>
            <w:tcW w:w="2721" w:type="dxa"/>
            <w:shd w:val="clear" w:color="auto" w:fill="FFFFFF"/>
            <w:tcMar>
              <w:top w:w="70" w:type="dxa"/>
              <w:left w:w="70" w:type="dxa"/>
              <w:bottom w:w="70" w:type="dxa"/>
              <w:right w:w="70" w:type="dxa"/>
            </w:tcMar>
            <w:vAlign w:val="center"/>
          </w:tcPr>
          <w:p w14:paraId="39E6917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التخطيط ودورة الحياة</w:t>
            </w:r>
          </w:p>
        </w:tc>
        <w:tc>
          <w:tcPr>
            <w:tcW w:w="1531" w:type="dxa"/>
            <w:shd w:val="clear" w:color="auto" w:fill="FFFFFF"/>
            <w:tcMar>
              <w:top w:w="70" w:type="dxa"/>
              <w:left w:w="70" w:type="dxa"/>
              <w:bottom w:w="70" w:type="dxa"/>
              <w:right w:w="70" w:type="dxa"/>
            </w:tcMar>
            <w:vAlign w:val="center"/>
          </w:tcPr>
          <w:p w14:paraId="5D66D17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FFFFF"/>
            <w:tcMar>
              <w:top w:w="70" w:type="dxa"/>
              <w:left w:w="70" w:type="dxa"/>
              <w:bottom w:w="70" w:type="dxa"/>
              <w:right w:w="70" w:type="dxa"/>
            </w:tcMar>
            <w:vAlign w:val="center"/>
          </w:tcPr>
          <w:p w14:paraId="4C7E1F7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LC1-LC5.</w:t>
            </w:r>
          </w:p>
        </w:tc>
      </w:tr>
      <w:tr w:rsidR="00986803" w:rsidRPr="00AE1FD7" w14:paraId="648CA524" w14:textId="77777777" w:rsidTr="00F0464D">
        <w:trPr>
          <w:jc w:val="center"/>
        </w:trPr>
        <w:tc>
          <w:tcPr>
            <w:tcW w:w="1134" w:type="dxa"/>
            <w:shd w:val="clear" w:color="auto" w:fill="F2F4F6"/>
            <w:tcMar>
              <w:top w:w="70" w:type="dxa"/>
              <w:left w:w="70" w:type="dxa"/>
              <w:bottom w:w="70" w:type="dxa"/>
              <w:right w:w="70" w:type="dxa"/>
            </w:tcMar>
            <w:vAlign w:val="center"/>
          </w:tcPr>
          <w:p w14:paraId="4E7A80D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lastRenderedPageBreak/>
              <w:t>RC</w:t>
            </w:r>
          </w:p>
        </w:tc>
        <w:tc>
          <w:tcPr>
            <w:tcW w:w="2721" w:type="dxa"/>
            <w:shd w:val="clear" w:color="auto" w:fill="F2F4F6"/>
            <w:tcMar>
              <w:top w:w="70" w:type="dxa"/>
              <w:left w:w="70" w:type="dxa"/>
              <w:bottom w:w="70" w:type="dxa"/>
              <w:right w:w="70" w:type="dxa"/>
            </w:tcMar>
            <w:vAlign w:val="center"/>
          </w:tcPr>
          <w:p w14:paraId="4CAD56C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المخاطر والامتثال</w:t>
            </w:r>
          </w:p>
        </w:tc>
        <w:tc>
          <w:tcPr>
            <w:tcW w:w="1531" w:type="dxa"/>
            <w:shd w:val="clear" w:color="auto" w:fill="F2F4F6"/>
            <w:tcMar>
              <w:top w:w="70" w:type="dxa"/>
              <w:left w:w="70" w:type="dxa"/>
              <w:bottom w:w="70" w:type="dxa"/>
              <w:right w:w="70" w:type="dxa"/>
            </w:tcMar>
            <w:vAlign w:val="center"/>
          </w:tcPr>
          <w:p w14:paraId="30E5E8C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2F4F6"/>
            <w:tcMar>
              <w:top w:w="70" w:type="dxa"/>
              <w:left w:w="70" w:type="dxa"/>
              <w:bottom w:w="70" w:type="dxa"/>
              <w:right w:w="70" w:type="dxa"/>
            </w:tcMar>
            <w:vAlign w:val="center"/>
          </w:tcPr>
          <w:p w14:paraId="7F1F084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RC1-RC5.</w:t>
            </w:r>
          </w:p>
        </w:tc>
      </w:tr>
      <w:tr w:rsidR="00986803" w:rsidRPr="00AE1FD7" w14:paraId="0780645D" w14:textId="77777777" w:rsidTr="00F0464D">
        <w:trPr>
          <w:jc w:val="center"/>
        </w:trPr>
        <w:tc>
          <w:tcPr>
            <w:tcW w:w="1134" w:type="dxa"/>
            <w:shd w:val="clear" w:color="auto" w:fill="FFFFFF"/>
            <w:tcMar>
              <w:top w:w="70" w:type="dxa"/>
              <w:left w:w="70" w:type="dxa"/>
              <w:bottom w:w="70" w:type="dxa"/>
              <w:right w:w="70" w:type="dxa"/>
            </w:tcMar>
            <w:vAlign w:val="center"/>
          </w:tcPr>
          <w:p w14:paraId="02A835E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GOV</w:t>
            </w:r>
          </w:p>
        </w:tc>
        <w:tc>
          <w:tcPr>
            <w:tcW w:w="2721" w:type="dxa"/>
            <w:shd w:val="clear" w:color="auto" w:fill="FFFFFF"/>
            <w:tcMar>
              <w:top w:w="70" w:type="dxa"/>
              <w:left w:w="70" w:type="dxa"/>
              <w:bottom w:w="70" w:type="dxa"/>
              <w:right w:w="70" w:type="dxa"/>
            </w:tcMar>
            <w:vAlign w:val="center"/>
          </w:tcPr>
          <w:p w14:paraId="0A2911B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حوكمة الممتلكات العامة</w:t>
            </w:r>
          </w:p>
        </w:tc>
        <w:tc>
          <w:tcPr>
            <w:tcW w:w="1531" w:type="dxa"/>
            <w:shd w:val="clear" w:color="auto" w:fill="FFFFFF"/>
            <w:tcMar>
              <w:top w:w="70" w:type="dxa"/>
              <w:left w:w="70" w:type="dxa"/>
              <w:bottom w:w="70" w:type="dxa"/>
              <w:right w:w="70" w:type="dxa"/>
            </w:tcMar>
            <w:vAlign w:val="center"/>
          </w:tcPr>
          <w:p w14:paraId="6498C2A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FFFFF"/>
            <w:tcMar>
              <w:top w:w="70" w:type="dxa"/>
              <w:left w:w="70" w:type="dxa"/>
              <w:bottom w:w="70" w:type="dxa"/>
              <w:right w:w="70" w:type="dxa"/>
            </w:tcMar>
            <w:vAlign w:val="center"/>
          </w:tcPr>
          <w:p w14:paraId="536FEA6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الأبعاد الخمسة.</w:t>
            </w:r>
          </w:p>
        </w:tc>
      </w:tr>
      <w:tr w:rsidR="00986803" w:rsidRPr="00AE1FD7" w14:paraId="2D13A6C4" w14:textId="77777777" w:rsidTr="00F0464D">
        <w:trPr>
          <w:jc w:val="center"/>
        </w:trPr>
        <w:tc>
          <w:tcPr>
            <w:tcW w:w="1134" w:type="dxa"/>
            <w:shd w:val="clear" w:color="auto" w:fill="F2F4F6"/>
            <w:tcMar>
              <w:top w:w="70" w:type="dxa"/>
              <w:left w:w="70" w:type="dxa"/>
              <w:bottom w:w="70" w:type="dxa"/>
              <w:right w:w="70" w:type="dxa"/>
            </w:tcMar>
            <w:vAlign w:val="center"/>
          </w:tcPr>
          <w:p w14:paraId="6396E95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EF</w:t>
            </w:r>
          </w:p>
        </w:tc>
        <w:tc>
          <w:tcPr>
            <w:tcW w:w="2721" w:type="dxa"/>
            <w:shd w:val="clear" w:color="auto" w:fill="F2F4F6"/>
            <w:tcMar>
              <w:top w:w="70" w:type="dxa"/>
              <w:left w:w="70" w:type="dxa"/>
              <w:bottom w:w="70" w:type="dxa"/>
              <w:right w:w="70" w:type="dxa"/>
            </w:tcMar>
            <w:vAlign w:val="center"/>
          </w:tcPr>
          <w:p w14:paraId="2F81EF1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كفاءة الإنفاق العقاري</w:t>
            </w:r>
          </w:p>
        </w:tc>
        <w:tc>
          <w:tcPr>
            <w:tcW w:w="1531" w:type="dxa"/>
            <w:shd w:val="clear" w:color="auto" w:fill="F2F4F6"/>
            <w:tcMar>
              <w:top w:w="70" w:type="dxa"/>
              <w:left w:w="70" w:type="dxa"/>
              <w:bottom w:w="70" w:type="dxa"/>
              <w:right w:w="70" w:type="dxa"/>
            </w:tcMar>
            <w:vAlign w:val="center"/>
          </w:tcPr>
          <w:p w14:paraId="26BD37D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كمي مركب</w:t>
            </w:r>
          </w:p>
        </w:tc>
        <w:tc>
          <w:tcPr>
            <w:tcW w:w="3118" w:type="dxa"/>
            <w:shd w:val="clear" w:color="auto" w:fill="F2F4F6"/>
            <w:tcMar>
              <w:top w:w="70" w:type="dxa"/>
              <w:left w:w="70" w:type="dxa"/>
              <w:bottom w:w="70" w:type="dxa"/>
              <w:right w:w="70" w:type="dxa"/>
            </w:tcMar>
            <w:vAlign w:val="center"/>
          </w:tcPr>
          <w:p w14:paraId="4413223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EF1-EF7.</w:t>
            </w:r>
          </w:p>
        </w:tc>
      </w:tr>
    </w:tbl>
    <w:p w14:paraId="65F1756F" w14:textId="77777777" w:rsidR="00986803" w:rsidRDefault="00DB29B7" w:rsidP="00697C88">
      <w:pPr>
        <w:bidi/>
        <w:spacing w:after="0" w:line="240" w:lineRule="auto"/>
        <w:ind w:firstLine="0"/>
        <w:rPr>
          <w:rFonts w:ascii="Sakkal Majalla" w:hAnsi="Sakkal Majalla" w:cs="Sakkal Majalla"/>
          <w:i/>
          <w:color w:val="3F4650"/>
          <w:sz w:val="36"/>
          <w:szCs w:val="36"/>
          <w:rtl/>
          <w:lang w:val="ar-SA"/>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7B33010E" w14:textId="77777777" w:rsidR="00F0464D" w:rsidRPr="00AE1FD7" w:rsidRDefault="00F0464D" w:rsidP="00F0464D">
      <w:pPr>
        <w:bidi/>
        <w:spacing w:after="0" w:line="240" w:lineRule="auto"/>
        <w:ind w:firstLine="0"/>
        <w:rPr>
          <w:rFonts w:ascii="Sakkal Majalla" w:hAnsi="Sakkal Majalla" w:cs="Sakkal Majalla"/>
          <w:sz w:val="36"/>
          <w:szCs w:val="36"/>
        </w:rPr>
      </w:pPr>
    </w:p>
    <w:p w14:paraId="6EBC7F34" w14:textId="77777777" w:rsidR="00986803" w:rsidRPr="00AE1FD7" w:rsidRDefault="00DB29B7" w:rsidP="00F0464D">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71" w:name="_Toc235205697"/>
      <w:r w:rsidRPr="00AE1FD7">
        <w:rPr>
          <w:rFonts w:ascii="Sakkal Majalla" w:eastAsia="Noto Kufi Arabic" w:hAnsi="Sakkal Majalla" w:cs="Sakkal Majalla"/>
          <w:sz w:val="36"/>
          <w:szCs w:val="36"/>
          <w:rtl/>
          <w:lang w:val="ar-SA"/>
        </w:rPr>
        <w:t>الملحق (4): قائمة مؤشرات المتابعة التنفيذية</w:t>
      </w:r>
      <w:bookmarkEnd w:id="171"/>
    </w:p>
    <w:p w14:paraId="5068D750" w14:textId="77777777" w:rsidR="00986803" w:rsidRPr="00F0464D" w:rsidRDefault="00DB29B7" w:rsidP="00F0464D">
      <w:pPr>
        <w:keepNext/>
        <w:bidi/>
        <w:spacing w:after="0" w:line="240" w:lineRule="auto"/>
        <w:ind w:firstLine="0"/>
        <w:jc w:val="center"/>
        <w:rPr>
          <w:rFonts w:ascii="Sakkal Majalla" w:hAnsi="Sakkal Majalla" w:cs="Sakkal Majalla"/>
          <w:bCs/>
          <w:sz w:val="36"/>
          <w:szCs w:val="36"/>
        </w:rPr>
      </w:pPr>
      <w:bookmarkStart w:id="172" w:name="table_kpis_extended"/>
      <w:r w:rsidRPr="00F0464D">
        <w:rPr>
          <w:rFonts w:ascii="Sakkal Majalla" w:eastAsia="Noto Kufi Arabic" w:hAnsi="Sakkal Majalla" w:cs="Sakkal Majalla"/>
          <w:bCs/>
          <w:color w:val="17365D"/>
          <w:sz w:val="36"/>
          <w:szCs w:val="36"/>
          <w:rtl/>
          <w:lang w:val="ar-SA"/>
        </w:rPr>
        <w:t>جدول (36): القائمة الموسعة لمؤشرات المتابعة التنفيذية</w:t>
      </w:r>
      <w:bookmarkEnd w:id="172"/>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305"/>
        <w:gridCol w:w="1928"/>
        <w:gridCol w:w="2721"/>
        <w:gridCol w:w="1531"/>
        <w:gridCol w:w="1020"/>
      </w:tblGrid>
      <w:tr w:rsidR="00986803" w:rsidRPr="00AE1FD7" w14:paraId="39BFDC8B" w14:textId="77777777" w:rsidTr="00F0464D">
        <w:trPr>
          <w:cantSplit/>
          <w:tblHeader/>
          <w:jc w:val="center"/>
        </w:trPr>
        <w:tc>
          <w:tcPr>
            <w:tcW w:w="1304" w:type="dxa"/>
            <w:shd w:val="clear" w:color="auto" w:fill="17365D"/>
            <w:tcMar>
              <w:top w:w="90" w:type="dxa"/>
              <w:left w:w="80" w:type="dxa"/>
              <w:bottom w:w="90" w:type="dxa"/>
              <w:right w:w="80" w:type="dxa"/>
            </w:tcMar>
            <w:vAlign w:val="center"/>
          </w:tcPr>
          <w:p w14:paraId="611907C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المحور</w:t>
            </w:r>
          </w:p>
        </w:tc>
        <w:tc>
          <w:tcPr>
            <w:tcW w:w="1928" w:type="dxa"/>
            <w:shd w:val="clear" w:color="auto" w:fill="17365D"/>
            <w:tcMar>
              <w:top w:w="90" w:type="dxa"/>
              <w:left w:w="80" w:type="dxa"/>
              <w:bottom w:w="90" w:type="dxa"/>
              <w:right w:w="80" w:type="dxa"/>
            </w:tcMar>
            <w:vAlign w:val="center"/>
          </w:tcPr>
          <w:p w14:paraId="184C56D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المؤشر</w:t>
            </w:r>
          </w:p>
        </w:tc>
        <w:tc>
          <w:tcPr>
            <w:tcW w:w="2721" w:type="dxa"/>
            <w:shd w:val="clear" w:color="auto" w:fill="17365D"/>
            <w:tcMar>
              <w:top w:w="90" w:type="dxa"/>
              <w:left w:w="80" w:type="dxa"/>
              <w:bottom w:w="90" w:type="dxa"/>
              <w:right w:w="80" w:type="dxa"/>
            </w:tcMar>
            <w:vAlign w:val="center"/>
          </w:tcPr>
          <w:p w14:paraId="43ABCE5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المعادلة/الوصف</w:t>
            </w:r>
          </w:p>
        </w:tc>
        <w:tc>
          <w:tcPr>
            <w:tcW w:w="1531" w:type="dxa"/>
            <w:shd w:val="clear" w:color="auto" w:fill="17365D"/>
            <w:tcMar>
              <w:top w:w="90" w:type="dxa"/>
              <w:left w:w="80" w:type="dxa"/>
              <w:bottom w:w="90" w:type="dxa"/>
              <w:right w:w="80" w:type="dxa"/>
            </w:tcMar>
            <w:vAlign w:val="center"/>
          </w:tcPr>
          <w:p w14:paraId="3116E85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مصدر البيانات</w:t>
            </w:r>
          </w:p>
        </w:tc>
        <w:tc>
          <w:tcPr>
            <w:tcW w:w="1020" w:type="dxa"/>
            <w:shd w:val="clear" w:color="auto" w:fill="17365D"/>
            <w:tcMar>
              <w:top w:w="90" w:type="dxa"/>
              <w:left w:w="80" w:type="dxa"/>
              <w:bottom w:w="90" w:type="dxa"/>
              <w:right w:w="80" w:type="dxa"/>
            </w:tcMar>
            <w:vAlign w:val="center"/>
          </w:tcPr>
          <w:p w14:paraId="56DB650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الدورية</w:t>
            </w:r>
          </w:p>
        </w:tc>
      </w:tr>
      <w:tr w:rsidR="00986803" w:rsidRPr="00AE1FD7" w14:paraId="7C433F60" w14:textId="77777777" w:rsidTr="00F0464D">
        <w:trPr>
          <w:jc w:val="center"/>
        </w:trPr>
        <w:tc>
          <w:tcPr>
            <w:tcW w:w="1304" w:type="dxa"/>
            <w:shd w:val="clear" w:color="auto" w:fill="FFFFFF"/>
            <w:tcMar>
              <w:top w:w="70" w:type="dxa"/>
              <w:left w:w="70" w:type="dxa"/>
              <w:bottom w:w="70" w:type="dxa"/>
              <w:right w:w="70" w:type="dxa"/>
            </w:tcMar>
            <w:vAlign w:val="center"/>
          </w:tcPr>
          <w:p w14:paraId="107C84E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البيانات</w:t>
            </w:r>
          </w:p>
        </w:tc>
        <w:tc>
          <w:tcPr>
            <w:tcW w:w="1928" w:type="dxa"/>
            <w:shd w:val="clear" w:color="auto" w:fill="FFFFFF"/>
            <w:tcMar>
              <w:top w:w="70" w:type="dxa"/>
              <w:left w:w="70" w:type="dxa"/>
              <w:bottom w:w="70" w:type="dxa"/>
              <w:right w:w="70" w:type="dxa"/>
            </w:tcMar>
            <w:vAlign w:val="center"/>
          </w:tcPr>
          <w:p w14:paraId="14038BE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اكتمال سجل الأصل</w:t>
            </w:r>
          </w:p>
        </w:tc>
        <w:tc>
          <w:tcPr>
            <w:tcW w:w="2721" w:type="dxa"/>
            <w:shd w:val="clear" w:color="auto" w:fill="FFFFFF"/>
            <w:tcMar>
              <w:top w:w="70" w:type="dxa"/>
              <w:left w:w="70" w:type="dxa"/>
              <w:bottom w:w="70" w:type="dxa"/>
              <w:right w:w="70" w:type="dxa"/>
            </w:tcMar>
            <w:vAlign w:val="center"/>
          </w:tcPr>
          <w:p w14:paraId="671AEBA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نسبة الحقول الإلزامية المكتملة.</w:t>
            </w:r>
          </w:p>
        </w:tc>
        <w:tc>
          <w:tcPr>
            <w:tcW w:w="1531" w:type="dxa"/>
            <w:shd w:val="clear" w:color="auto" w:fill="FFFFFF"/>
            <w:tcMar>
              <w:top w:w="70" w:type="dxa"/>
              <w:left w:w="70" w:type="dxa"/>
              <w:bottom w:w="70" w:type="dxa"/>
              <w:right w:w="70" w:type="dxa"/>
            </w:tcMar>
            <w:vAlign w:val="center"/>
          </w:tcPr>
          <w:p w14:paraId="0ECFD54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منصة الأصول</w:t>
            </w:r>
          </w:p>
        </w:tc>
        <w:tc>
          <w:tcPr>
            <w:tcW w:w="1020" w:type="dxa"/>
            <w:shd w:val="clear" w:color="auto" w:fill="FFFFFF"/>
            <w:tcMar>
              <w:top w:w="70" w:type="dxa"/>
              <w:left w:w="70" w:type="dxa"/>
              <w:bottom w:w="70" w:type="dxa"/>
              <w:right w:w="70" w:type="dxa"/>
            </w:tcMar>
            <w:vAlign w:val="center"/>
          </w:tcPr>
          <w:p w14:paraId="56364D6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شهري</w:t>
            </w:r>
          </w:p>
        </w:tc>
      </w:tr>
      <w:tr w:rsidR="00986803" w:rsidRPr="00AE1FD7" w14:paraId="3230A269" w14:textId="77777777" w:rsidTr="00F0464D">
        <w:trPr>
          <w:jc w:val="center"/>
        </w:trPr>
        <w:tc>
          <w:tcPr>
            <w:tcW w:w="1304" w:type="dxa"/>
            <w:shd w:val="clear" w:color="auto" w:fill="F2F4F6"/>
            <w:tcMar>
              <w:top w:w="70" w:type="dxa"/>
              <w:left w:w="70" w:type="dxa"/>
              <w:bottom w:w="70" w:type="dxa"/>
              <w:right w:w="70" w:type="dxa"/>
            </w:tcMar>
            <w:vAlign w:val="center"/>
          </w:tcPr>
          <w:p w14:paraId="3AE34E7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البيانات</w:t>
            </w:r>
          </w:p>
        </w:tc>
        <w:tc>
          <w:tcPr>
            <w:tcW w:w="1928" w:type="dxa"/>
            <w:shd w:val="clear" w:color="auto" w:fill="F2F4F6"/>
            <w:tcMar>
              <w:top w:w="70" w:type="dxa"/>
              <w:left w:w="70" w:type="dxa"/>
              <w:bottom w:w="70" w:type="dxa"/>
              <w:right w:w="70" w:type="dxa"/>
            </w:tcMar>
            <w:vAlign w:val="center"/>
          </w:tcPr>
          <w:p w14:paraId="3D46308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حداثة البيانات</w:t>
            </w:r>
          </w:p>
        </w:tc>
        <w:tc>
          <w:tcPr>
            <w:tcW w:w="2721" w:type="dxa"/>
            <w:shd w:val="clear" w:color="auto" w:fill="F2F4F6"/>
            <w:tcMar>
              <w:top w:w="70" w:type="dxa"/>
              <w:left w:w="70" w:type="dxa"/>
              <w:bottom w:w="70" w:type="dxa"/>
              <w:right w:w="70" w:type="dxa"/>
            </w:tcMar>
            <w:vAlign w:val="center"/>
          </w:tcPr>
          <w:p w14:paraId="48C08A3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المحدثة خلال الفترة ÷ الإجمالي.</w:t>
            </w:r>
          </w:p>
        </w:tc>
        <w:tc>
          <w:tcPr>
            <w:tcW w:w="1531" w:type="dxa"/>
            <w:shd w:val="clear" w:color="auto" w:fill="F2F4F6"/>
            <w:tcMar>
              <w:top w:w="70" w:type="dxa"/>
              <w:left w:w="70" w:type="dxa"/>
              <w:bottom w:w="70" w:type="dxa"/>
              <w:right w:w="70" w:type="dxa"/>
            </w:tcMar>
            <w:vAlign w:val="center"/>
          </w:tcPr>
          <w:p w14:paraId="1D82BA9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منصة الأصول</w:t>
            </w:r>
          </w:p>
        </w:tc>
        <w:tc>
          <w:tcPr>
            <w:tcW w:w="1020" w:type="dxa"/>
            <w:shd w:val="clear" w:color="auto" w:fill="F2F4F6"/>
            <w:tcMar>
              <w:top w:w="70" w:type="dxa"/>
              <w:left w:w="70" w:type="dxa"/>
              <w:bottom w:w="70" w:type="dxa"/>
              <w:right w:w="70" w:type="dxa"/>
            </w:tcMar>
            <w:vAlign w:val="center"/>
          </w:tcPr>
          <w:p w14:paraId="3B3D1A8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شهري</w:t>
            </w:r>
          </w:p>
        </w:tc>
      </w:tr>
      <w:tr w:rsidR="00986803" w:rsidRPr="00AE1FD7" w14:paraId="2633FCA7" w14:textId="77777777" w:rsidTr="00F0464D">
        <w:trPr>
          <w:jc w:val="center"/>
        </w:trPr>
        <w:tc>
          <w:tcPr>
            <w:tcW w:w="1304" w:type="dxa"/>
            <w:shd w:val="clear" w:color="auto" w:fill="FFFFFF"/>
            <w:tcMar>
              <w:top w:w="70" w:type="dxa"/>
              <w:left w:w="70" w:type="dxa"/>
              <w:bottom w:w="70" w:type="dxa"/>
              <w:right w:w="70" w:type="dxa"/>
            </w:tcMar>
            <w:vAlign w:val="center"/>
          </w:tcPr>
          <w:p w14:paraId="0ED3746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البيانات</w:t>
            </w:r>
          </w:p>
        </w:tc>
        <w:tc>
          <w:tcPr>
            <w:tcW w:w="1928" w:type="dxa"/>
            <w:shd w:val="clear" w:color="auto" w:fill="FFFFFF"/>
            <w:tcMar>
              <w:top w:w="70" w:type="dxa"/>
              <w:left w:w="70" w:type="dxa"/>
              <w:bottom w:w="70" w:type="dxa"/>
              <w:right w:w="70" w:type="dxa"/>
            </w:tcMar>
            <w:vAlign w:val="center"/>
          </w:tcPr>
          <w:p w14:paraId="6125809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التطابق المالي الفني</w:t>
            </w:r>
          </w:p>
        </w:tc>
        <w:tc>
          <w:tcPr>
            <w:tcW w:w="2721" w:type="dxa"/>
            <w:shd w:val="clear" w:color="auto" w:fill="FFFFFF"/>
            <w:tcMar>
              <w:top w:w="70" w:type="dxa"/>
              <w:left w:w="70" w:type="dxa"/>
              <w:bottom w:w="70" w:type="dxa"/>
              <w:right w:w="70" w:type="dxa"/>
            </w:tcMar>
            <w:vAlign w:val="center"/>
          </w:tcPr>
          <w:p w14:paraId="76C2ED4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المتطابقة بين الأنظمة.</w:t>
            </w:r>
          </w:p>
        </w:tc>
        <w:tc>
          <w:tcPr>
            <w:tcW w:w="1531" w:type="dxa"/>
            <w:shd w:val="clear" w:color="auto" w:fill="FFFFFF"/>
            <w:tcMar>
              <w:top w:w="70" w:type="dxa"/>
              <w:left w:w="70" w:type="dxa"/>
              <w:bottom w:w="70" w:type="dxa"/>
              <w:right w:w="70" w:type="dxa"/>
            </w:tcMar>
            <w:vAlign w:val="center"/>
          </w:tcPr>
          <w:p w14:paraId="2F15C77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ERP/سجل الأصل</w:t>
            </w:r>
          </w:p>
        </w:tc>
        <w:tc>
          <w:tcPr>
            <w:tcW w:w="1020" w:type="dxa"/>
            <w:shd w:val="clear" w:color="auto" w:fill="FFFFFF"/>
            <w:tcMar>
              <w:top w:w="70" w:type="dxa"/>
              <w:left w:w="70" w:type="dxa"/>
              <w:bottom w:w="70" w:type="dxa"/>
              <w:right w:w="70" w:type="dxa"/>
            </w:tcMar>
            <w:vAlign w:val="center"/>
          </w:tcPr>
          <w:p w14:paraId="7192C24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14C5111F" w14:textId="77777777" w:rsidTr="00F0464D">
        <w:trPr>
          <w:jc w:val="center"/>
        </w:trPr>
        <w:tc>
          <w:tcPr>
            <w:tcW w:w="1304" w:type="dxa"/>
            <w:shd w:val="clear" w:color="auto" w:fill="F2F4F6"/>
            <w:tcMar>
              <w:top w:w="70" w:type="dxa"/>
              <w:left w:w="70" w:type="dxa"/>
              <w:bottom w:w="70" w:type="dxa"/>
              <w:right w:w="70" w:type="dxa"/>
            </w:tcMar>
            <w:vAlign w:val="center"/>
          </w:tcPr>
          <w:p w14:paraId="33706B0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الاستخدام</w:t>
            </w:r>
          </w:p>
        </w:tc>
        <w:tc>
          <w:tcPr>
            <w:tcW w:w="1928" w:type="dxa"/>
            <w:shd w:val="clear" w:color="auto" w:fill="F2F4F6"/>
            <w:tcMar>
              <w:top w:w="70" w:type="dxa"/>
              <w:left w:w="70" w:type="dxa"/>
              <w:bottom w:w="70" w:type="dxa"/>
              <w:right w:w="70" w:type="dxa"/>
            </w:tcMar>
            <w:vAlign w:val="center"/>
          </w:tcPr>
          <w:p w14:paraId="7AC60B7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الإشغال/الاستخدام</w:t>
            </w:r>
          </w:p>
        </w:tc>
        <w:tc>
          <w:tcPr>
            <w:tcW w:w="2721" w:type="dxa"/>
            <w:shd w:val="clear" w:color="auto" w:fill="F2F4F6"/>
            <w:tcMar>
              <w:top w:w="70" w:type="dxa"/>
              <w:left w:w="70" w:type="dxa"/>
              <w:bottom w:w="70" w:type="dxa"/>
              <w:right w:w="70" w:type="dxa"/>
            </w:tcMar>
            <w:vAlign w:val="center"/>
          </w:tcPr>
          <w:p w14:paraId="1AB3732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الاستخدام الفعلي مقارنة بالسعة.</w:t>
            </w:r>
          </w:p>
        </w:tc>
        <w:tc>
          <w:tcPr>
            <w:tcW w:w="1531" w:type="dxa"/>
            <w:shd w:val="clear" w:color="auto" w:fill="F2F4F6"/>
            <w:tcMar>
              <w:top w:w="70" w:type="dxa"/>
              <w:left w:w="70" w:type="dxa"/>
              <w:bottom w:w="70" w:type="dxa"/>
              <w:right w:w="70" w:type="dxa"/>
            </w:tcMar>
            <w:vAlign w:val="center"/>
          </w:tcPr>
          <w:p w14:paraId="7154A6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نظم الحجز/المسح</w:t>
            </w:r>
          </w:p>
        </w:tc>
        <w:tc>
          <w:tcPr>
            <w:tcW w:w="1020" w:type="dxa"/>
            <w:shd w:val="clear" w:color="auto" w:fill="F2F4F6"/>
            <w:tcMar>
              <w:top w:w="70" w:type="dxa"/>
              <w:left w:w="70" w:type="dxa"/>
              <w:bottom w:w="70" w:type="dxa"/>
              <w:right w:w="70" w:type="dxa"/>
            </w:tcMar>
            <w:vAlign w:val="center"/>
          </w:tcPr>
          <w:p w14:paraId="57773F5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577F9BED" w14:textId="77777777" w:rsidTr="00F0464D">
        <w:trPr>
          <w:jc w:val="center"/>
        </w:trPr>
        <w:tc>
          <w:tcPr>
            <w:tcW w:w="1304" w:type="dxa"/>
            <w:shd w:val="clear" w:color="auto" w:fill="FFFFFF"/>
            <w:tcMar>
              <w:top w:w="70" w:type="dxa"/>
              <w:left w:w="70" w:type="dxa"/>
              <w:bottom w:w="70" w:type="dxa"/>
              <w:right w:w="70" w:type="dxa"/>
            </w:tcMar>
            <w:vAlign w:val="center"/>
          </w:tcPr>
          <w:p w14:paraId="672E8E0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الاستخدام</w:t>
            </w:r>
          </w:p>
        </w:tc>
        <w:tc>
          <w:tcPr>
            <w:tcW w:w="1928" w:type="dxa"/>
            <w:shd w:val="clear" w:color="auto" w:fill="FFFFFF"/>
            <w:tcMar>
              <w:top w:w="70" w:type="dxa"/>
              <w:left w:w="70" w:type="dxa"/>
              <w:bottom w:w="70" w:type="dxa"/>
              <w:right w:w="70" w:type="dxa"/>
            </w:tcMar>
            <w:vAlign w:val="center"/>
          </w:tcPr>
          <w:p w14:paraId="000C86F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المساحة للفرد</w:t>
            </w:r>
          </w:p>
        </w:tc>
        <w:tc>
          <w:tcPr>
            <w:tcW w:w="2721" w:type="dxa"/>
            <w:shd w:val="clear" w:color="auto" w:fill="FFFFFF"/>
            <w:tcMar>
              <w:top w:w="70" w:type="dxa"/>
              <w:left w:w="70" w:type="dxa"/>
              <w:bottom w:w="70" w:type="dxa"/>
              <w:right w:w="70" w:type="dxa"/>
            </w:tcMar>
            <w:vAlign w:val="center"/>
          </w:tcPr>
          <w:p w14:paraId="7BA3012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المساحة المشغولة ÷ عدد المستخدمين.</w:t>
            </w:r>
          </w:p>
        </w:tc>
        <w:tc>
          <w:tcPr>
            <w:tcW w:w="1531" w:type="dxa"/>
            <w:shd w:val="clear" w:color="auto" w:fill="FFFFFF"/>
            <w:tcMar>
              <w:top w:w="70" w:type="dxa"/>
              <w:left w:w="70" w:type="dxa"/>
              <w:bottom w:w="70" w:type="dxa"/>
              <w:right w:w="70" w:type="dxa"/>
            </w:tcMar>
            <w:vAlign w:val="center"/>
          </w:tcPr>
          <w:p w14:paraId="376F46C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الموارد/المساحة</w:t>
            </w:r>
          </w:p>
        </w:tc>
        <w:tc>
          <w:tcPr>
            <w:tcW w:w="1020" w:type="dxa"/>
            <w:shd w:val="clear" w:color="auto" w:fill="FFFFFF"/>
            <w:tcMar>
              <w:top w:w="70" w:type="dxa"/>
              <w:left w:w="70" w:type="dxa"/>
              <w:bottom w:w="70" w:type="dxa"/>
              <w:right w:w="70" w:type="dxa"/>
            </w:tcMar>
            <w:vAlign w:val="center"/>
          </w:tcPr>
          <w:p w14:paraId="42FBF8A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سنوي</w:t>
            </w:r>
          </w:p>
        </w:tc>
      </w:tr>
      <w:tr w:rsidR="00986803" w:rsidRPr="00AE1FD7" w14:paraId="2C75FDD0" w14:textId="77777777" w:rsidTr="00F0464D">
        <w:trPr>
          <w:jc w:val="center"/>
        </w:trPr>
        <w:tc>
          <w:tcPr>
            <w:tcW w:w="1304" w:type="dxa"/>
            <w:shd w:val="clear" w:color="auto" w:fill="F2F4F6"/>
            <w:tcMar>
              <w:top w:w="70" w:type="dxa"/>
              <w:left w:w="70" w:type="dxa"/>
              <w:bottom w:w="70" w:type="dxa"/>
              <w:right w:w="70" w:type="dxa"/>
            </w:tcMar>
            <w:vAlign w:val="center"/>
          </w:tcPr>
          <w:p w14:paraId="558DAAD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التكلفة</w:t>
            </w:r>
          </w:p>
        </w:tc>
        <w:tc>
          <w:tcPr>
            <w:tcW w:w="1928" w:type="dxa"/>
            <w:shd w:val="clear" w:color="auto" w:fill="F2F4F6"/>
            <w:tcMar>
              <w:top w:w="70" w:type="dxa"/>
              <w:left w:w="70" w:type="dxa"/>
              <w:bottom w:w="70" w:type="dxa"/>
              <w:right w:w="70" w:type="dxa"/>
            </w:tcMar>
            <w:vAlign w:val="center"/>
          </w:tcPr>
          <w:p w14:paraId="36DFC87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كلفة التشغيل للمتر</w:t>
            </w:r>
          </w:p>
        </w:tc>
        <w:tc>
          <w:tcPr>
            <w:tcW w:w="2721" w:type="dxa"/>
            <w:shd w:val="clear" w:color="auto" w:fill="F2F4F6"/>
            <w:tcMar>
              <w:top w:w="70" w:type="dxa"/>
              <w:left w:w="70" w:type="dxa"/>
              <w:bottom w:w="70" w:type="dxa"/>
              <w:right w:w="70" w:type="dxa"/>
            </w:tcMar>
            <w:vAlign w:val="center"/>
          </w:tcPr>
          <w:p w14:paraId="421AF05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تكاليف التشغيل ÷ المساحة.</w:t>
            </w:r>
          </w:p>
        </w:tc>
        <w:tc>
          <w:tcPr>
            <w:tcW w:w="1531" w:type="dxa"/>
            <w:shd w:val="clear" w:color="auto" w:fill="F2F4F6"/>
            <w:tcMar>
              <w:top w:w="70" w:type="dxa"/>
              <w:left w:w="70" w:type="dxa"/>
              <w:bottom w:w="70" w:type="dxa"/>
              <w:right w:w="70" w:type="dxa"/>
            </w:tcMar>
            <w:vAlign w:val="center"/>
          </w:tcPr>
          <w:p w14:paraId="1E84569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المالية/المرافق</w:t>
            </w:r>
          </w:p>
        </w:tc>
        <w:tc>
          <w:tcPr>
            <w:tcW w:w="1020" w:type="dxa"/>
            <w:shd w:val="clear" w:color="auto" w:fill="F2F4F6"/>
            <w:tcMar>
              <w:top w:w="70" w:type="dxa"/>
              <w:left w:w="70" w:type="dxa"/>
              <w:bottom w:w="70" w:type="dxa"/>
              <w:right w:w="70" w:type="dxa"/>
            </w:tcMar>
            <w:vAlign w:val="center"/>
          </w:tcPr>
          <w:p w14:paraId="55FB804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3C9FBD28" w14:textId="77777777" w:rsidTr="00F0464D">
        <w:trPr>
          <w:jc w:val="center"/>
        </w:trPr>
        <w:tc>
          <w:tcPr>
            <w:tcW w:w="1304" w:type="dxa"/>
            <w:shd w:val="clear" w:color="auto" w:fill="FFFFFF"/>
            <w:tcMar>
              <w:top w:w="70" w:type="dxa"/>
              <w:left w:w="70" w:type="dxa"/>
              <w:bottom w:w="70" w:type="dxa"/>
              <w:right w:w="70" w:type="dxa"/>
            </w:tcMar>
            <w:vAlign w:val="center"/>
          </w:tcPr>
          <w:p w14:paraId="4596E75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التكلفة</w:t>
            </w:r>
          </w:p>
        </w:tc>
        <w:tc>
          <w:tcPr>
            <w:tcW w:w="1928" w:type="dxa"/>
            <w:shd w:val="clear" w:color="auto" w:fill="FFFFFF"/>
            <w:tcMar>
              <w:top w:w="70" w:type="dxa"/>
              <w:left w:w="70" w:type="dxa"/>
              <w:bottom w:w="70" w:type="dxa"/>
              <w:right w:w="70" w:type="dxa"/>
            </w:tcMar>
            <w:vAlign w:val="center"/>
          </w:tcPr>
          <w:p w14:paraId="4936833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كلفة الصيانة للمتر</w:t>
            </w:r>
          </w:p>
        </w:tc>
        <w:tc>
          <w:tcPr>
            <w:tcW w:w="2721" w:type="dxa"/>
            <w:shd w:val="clear" w:color="auto" w:fill="FFFFFF"/>
            <w:tcMar>
              <w:top w:w="70" w:type="dxa"/>
              <w:left w:w="70" w:type="dxa"/>
              <w:bottom w:w="70" w:type="dxa"/>
              <w:right w:w="70" w:type="dxa"/>
            </w:tcMar>
            <w:vAlign w:val="center"/>
          </w:tcPr>
          <w:p w14:paraId="4B55E50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تكاليف الصيانة ÷ المساحة.</w:t>
            </w:r>
          </w:p>
        </w:tc>
        <w:tc>
          <w:tcPr>
            <w:tcW w:w="1531" w:type="dxa"/>
            <w:shd w:val="clear" w:color="auto" w:fill="FFFFFF"/>
            <w:tcMar>
              <w:top w:w="70" w:type="dxa"/>
              <w:left w:w="70" w:type="dxa"/>
              <w:bottom w:w="70" w:type="dxa"/>
              <w:right w:w="70" w:type="dxa"/>
            </w:tcMar>
            <w:vAlign w:val="center"/>
          </w:tcPr>
          <w:p w14:paraId="393FE88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المالية/CMMS</w:t>
            </w:r>
          </w:p>
        </w:tc>
        <w:tc>
          <w:tcPr>
            <w:tcW w:w="1020" w:type="dxa"/>
            <w:shd w:val="clear" w:color="auto" w:fill="FFFFFF"/>
            <w:tcMar>
              <w:top w:w="70" w:type="dxa"/>
              <w:left w:w="70" w:type="dxa"/>
              <w:bottom w:w="70" w:type="dxa"/>
              <w:right w:w="70" w:type="dxa"/>
            </w:tcMar>
            <w:vAlign w:val="center"/>
          </w:tcPr>
          <w:p w14:paraId="63C94D1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0759216B" w14:textId="77777777" w:rsidTr="00F0464D">
        <w:trPr>
          <w:jc w:val="center"/>
        </w:trPr>
        <w:tc>
          <w:tcPr>
            <w:tcW w:w="1304" w:type="dxa"/>
            <w:shd w:val="clear" w:color="auto" w:fill="F2F4F6"/>
            <w:tcMar>
              <w:top w:w="70" w:type="dxa"/>
              <w:left w:w="70" w:type="dxa"/>
              <w:bottom w:w="70" w:type="dxa"/>
              <w:right w:w="70" w:type="dxa"/>
            </w:tcMar>
            <w:vAlign w:val="center"/>
          </w:tcPr>
          <w:p w14:paraId="572871C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lastRenderedPageBreak/>
              <w:t>الصيانة</w:t>
            </w:r>
          </w:p>
        </w:tc>
        <w:tc>
          <w:tcPr>
            <w:tcW w:w="1928" w:type="dxa"/>
            <w:shd w:val="clear" w:color="auto" w:fill="F2F4F6"/>
            <w:tcMar>
              <w:top w:w="70" w:type="dxa"/>
              <w:left w:w="70" w:type="dxa"/>
              <w:bottom w:w="70" w:type="dxa"/>
              <w:right w:w="70" w:type="dxa"/>
            </w:tcMar>
            <w:vAlign w:val="center"/>
          </w:tcPr>
          <w:p w14:paraId="45A2061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نسبة الوقائية</w:t>
            </w:r>
          </w:p>
        </w:tc>
        <w:tc>
          <w:tcPr>
            <w:tcW w:w="2721" w:type="dxa"/>
            <w:shd w:val="clear" w:color="auto" w:fill="F2F4F6"/>
            <w:tcMar>
              <w:top w:w="70" w:type="dxa"/>
              <w:left w:w="70" w:type="dxa"/>
              <w:bottom w:w="70" w:type="dxa"/>
              <w:right w:w="70" w:type="dxa"/>
            </w:tcMar>
            <w:vAlign w:val="center"/>
          </w:tcPr>
          <w:p w14:paraId="73D03A3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الأعمال الوقائية ÷ إجمالي الأعمال.</w:t>
            </w:r>
          </w:p>
        </w:tc>
        <w:tc>
          <w:tcPr>
            <w:tcW w:w="1531" w:type="dxa"/>
            <w:shd w:val="clear" w:color="auto" w:fill="F2F4F6"/>
            <w:tcMar>
              <w:top w:w="70" w:type="dxa"/>
              <w:left w:w="70" w:type="dxa"/>
              <w:bottom w:w="70" w:type="dxa"/>
              <w:right w:w="70" w:type="dxa"/>
            </w:tcMar>
            <w:vAlign w:val="center"/>
          </w:tcPr>
          <w:p w14:paraId="1655D04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DejaVu Sans" w:hAnsi="Sakkal Majalla" w:cs="Sakkal Majalla"/>
                <w:color w:val="000000"/>
                <w:sz w:val="36"/>
                <w:szCs w:val="36"/>
                <w:lang w:bidi="en-US"/>
              </w:rPr>
              <w:t>CMMS</w:t>
            </w:r>
          </w:p>
        </w:tc>
        <w:tc>
          <w:tcPr>
            <w:tcW w:w="1020" w:type="dxa"/>
            <w:shd w:val="clear" w:color="auto" w:fill="F2F4F6"/>
            <w:tcMar>
              <w:top w:w="70" w:type="dxa"/>
              <w:left w:w="70" w:type="dxa"/>
              <w:bottom w:w="70" w:type="dxa"/>
              <w:right w:w="70" w:type="dxa"/>
            </w:tcMar>
            <w:vAlign w:val="center"/>
          </w:tcPr>
          <w:p w14:paraId="7524298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شهري</w:t>
            </w:r>
          </w:p>
        </w:tc>
      </w:tr>
      <w:tr w:rsidR="00986803" w:rsidRPr="00AE1FD7" w14:paraId="64C6401E" w14:textId="77777777" w:rsidTr="00F0464D">
        <w:trPr>
          <w:jc w:val="center"/>
        </w:trPr>
        <w:tc>
          <w:tcPr>
            <w:tcW w:w="1304" w:type="dxa"/>
            <w:shd w:val="clear" w:color="auto" w:fill="FFFFFF"/>
            <w:tcMar>
              <w:top w:w="70" w:type="dxa"/>
              <w:left w:w="70" w:type="dxa"/>
              <w:bottom w:w="70" w:type="dxa"/>
              <w:right w:w="70" w:type="dxa"/>
            </w:tcMar>
            <w:vAlign w:val="center"/>
          </w:tcPr>
          <w:p w14:paraId="0163BA8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الصيانة</w:t>
            </w:r>
          </w:p>
        </w:tc>
        <w:tc>
          <w:tcPr>
            <w:tcW w:w="1928" w:type="dxa"/>
            <w:shd w:val="clear" w:color="auto" w:fill="FFFFFF"/>
            <w:tcMar>
              <w:top w:w="70" w:type="dxa"/>
              <w:left w:w="70" w:type="dxa"/>
              <w:bottom w:w="70" w:type="dxa"/>
              <w:right w:w="70" w:type="dxa"/>
            </w:tcMar>
            <w:vAlign w:val="center"/>
          </w:tcPr>
          <w:p w14:paraId="69F85AE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مؤشر حالة الأصل</w:t>
            </w:r>
          </w:p>
        </w:tc>
        <w:tc>
          <w:tcPr>
            <w:tcW w:w="2721" w:type="dxa"/>
            <w:shd w:val="clear" w:color="auto" w:fill="FFFFFF"/>
            <w:tcMar>
              <w:top w:w="70" w:type="dxa"/>
              <w:left w:w="70" w:type="dxa"/>
              <w:bottom w:w="70" w:type="dxa"/>
              <w:right w:w="70" w:type="dxa"/>
            </w:tcMar>
            <w:vAlign w:val="center"/>
          </w:tcPr>
          <w:p w14:paraId="77C5670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درجة مركبة للحالة الفنية.</w:t>
            </w:r>
          </w:p>
        </w:tc>
        <w:tc>
          <w:tcPr>
            <w:tcW w:w="1531" w:type="dxa"/>
            <w:shd w:val="clear" w:color="auto" w:fill="FFFFFF"/>
            <w:tcMar>
              <w:top w:w="70" w:type="dxa"/>
              <w:left w:w="70" w:type="dxa"/>
              <w:bottom w:w="70" w:type="dxa"/>
              <w:right w:w="70" w:type="dxa"/>
            </w:tcMar>
            <w:vAlign w:val="center"/>
          </w:tcPr>
          <w:p w14:paraId="6B0D710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الفحص الهندسي</w:t>
            </w:r>
          </w:p>
        </w:tc>
        <w:tc>
          <w:tcPr>
            <w:tcW w:w="1020" w:type="dxa"/>
            <w:shd w:val="clear" w:color="auto" w:fill="FFFFFF"/>
            <w:tcMar>
              <w:top w:w="70" w:type="dxa"/>
              <w:left w:w="70" w:type="dxa"/>
              <w:bottom w:w="70" w:type="dxa"/>
              <w:right w:w="70" w:type="dxa"/>
            </w:tcMar>
            <w:vAlign w:val="center"/>
          </w:tcPr>
          <w:p w14:paraId="7DB6B18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نصف سنوي</w:t>
            </w:r>
          </w:p>
        </w:tc>
      </w:tr>
      <w:tr w:rsidR="00986803" w:rsidRPr="00AE1FD7" w14:paraId="1FE18429" w14:textId="77777777" w:rsidTr="00F0464D">
        <w:trPr>
          <w:jc w:val="center"/>
        </w:trPr>
        <w:tc>
          <w:tcPr>
            <w:tcW w:w="1304" w:type="dxa"/>
            <w:shd w:val="clear" w:color="auto" w:fill="F2F4F6"/>
            <w:tcMar>
              <w:top w:w="70" w:type="dxa"/>
              <w:left w:w="70" w:type="dxa"/>
              <w:bottom w:w="70" w:type="dxa"/>
              <w:right w:w="70" w:type="dxa"/>
            </w:tcMar>
            <w:vAlign w:val="center"/>
          </w:tcPr>
          <w:p w14:paraId="2496AD4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الخدمة</w:t>
            </w:r>
          </w:p>
        </w:tc>
        <w:tc>
          <w:tcPr>
            <w:tcW w:w="1928" w:type="dxa"/>
            <w:shd w:val="clear" w:color="auto" w:fill="F2F4F6"/>
            <w:tcMar>
              <w:top w:w="70" w:type="dxa"/>
              <w:left w:w="70" w:type="dxa"/>
              <w:bottom w:w="70" w:type="dxa"/>
              <w:right w:w="70" w:type="dxa"/>
            </w:tcMar>
            <w:vAlign w:val="center"/>
          </w:tcPr>
          <w:p w14:paraId="4381F8E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الجاهزية</w:t>
            </w:r>
          </w:p>
        </w:tc>
        <w:tc>
          <w:tcPr>
            <w:tcW w:w="2721" w:type="dxa"/>
            <w:shd w:val="clear" w:color="auto" w:fill="F2F4F6"/>
            <w:tcMar>
              <w:top w:w="70" w:type="dxa"/>
              <w:left w:w="70" w:type="dxa"/>
              <w:bottom w:w="70" w:type="dxa"/>
              <w:right w:w="70" w:type="dxa"/>
            </w:tcMar>
            <w:vAlign w:val="center"/>
          </w:tcPr>
          <w:p w14:paraId="6C36584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ساعات الإتاحة ÷ الساعات المخططة.</w:t>
            </w:r>
          </w:p>
        </w:tc>
        <w:tc>
          <w:tcPr>
            <w:tcW w:w="1531" w:type="dxa"/>
            <w:shd w:val="clear" w:color="auto" w:fill="F2F4F6"/>
            <w:tcMar>
              <w:top w:w="70" w:type="dxa"/>
              <w:left w:w="70" w:type="dxa"/>
              <w:bottom w:w="70" w:type="dxa"/>
              <w:right w:w="70" w:type="dxa"/>
            </w:tcMar>
            <w:vAlign w:val="center"/>
          </w:tcPr>
          <w:p w14:paraId="7BE6B6D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التشغيل</w:t>
            </w:r>
          </w:p>
        </w:tc>
        <w:tc>
          <w:tcPr>
            <w:tcW w:w="1020" w:type="dxa"/>
            <w:shd w:val="clear" w:color="auto" w:fill="F2F4F6"/>
            <w:tcMar>
              <w:top w:w="70" w:type="dxa"/>
              <w:left w:w="70" w:type="dxa"/>
              <w:bottom w:w="70" w:type="dxa"/>
              <w:right w:w="70" w:type="dxa"/>
            </w:tcMar>
            <w:vAlign w:val="center"/>
          </w:tcPr>
          <w:p w14:paraId="5D018F4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شهري</w:t>
            </w:r>
          </w:p>
        </w:tc>
      </w:tr>
      <w:tr w:rsidR="00986803" w:rsidRPr="00AE1FD7" w14:paraId="04CCC09A" w14:textId="77777777" w:rsidTr="00F0464D">
        <w:trPr>
          <w:jc w:val="center"/>
        </w:trPr>
        <w:tc>
          <w:tcPr>
            <w:tcW w:w="1304" w:type="dxa"/>
            <w:shd w:val="clear" w:color="auto" w:fill="FFFFFF"/>
            <w:tcMar>
              <w:top w:w="70" w:type="dxa"/>
              <w:left w:w="70" w:type="dxa"/>
              <w:bottom w:w="70" w:type="dxa"/>
              <w:right w:w="70" w:type="dxa"/>
            </w:tcMar>
            <w:vAlign w:val="center"/>
          </w:tcPr>
          <w:p w14:paraId="2997E0A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الخدمة</w:t>
            </w:r>
          </w:p>
        </w:tc>
        <w:tc>
          <w:tcPr>
            <w:tcW w:w="1928" w:type="dxa"/>
            <w:shd w:val="clear" w:color="auto" w:fill="FFFFFF"/>
            <w:tcMar>
              <w:top w:w="70" w:type="dxa"/>
              <w:left w:w="70" w:type="dxa"/>
              <w:bottom w:w="70" w:type="dxa"/>
              <w:right w:w="70" w:type="dxa"/>
            </w:tcMar>
            <w:vAlign w:val="center"/>
          </w:tcPr>
          <w:p w14:paraId="4293272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زمن إغلاق البلاغ</w:t>
            </w:r>
          </w:p>
        </w:tc>
        <w:tc>
          <w:tcPr>
            <w:tcW w:w="2721" w:type="dxa"/>
            <w:shd w:val="clear" w:color="auto" w:fill="FFFFFF"/>
            <w:tcMar>
              <w:top w:w="70" w:type="dxa"/>
              <w:left w:w="70" w:type="dxa"/>
              <w:bottom w:w="70" w:type="dxa"/>
              <w:right w:w="70" w:type="dxa"/>
            </w:tcMar>
            <w:vAlign w:val="center"/>
          </w:tcPr>
          <w:p w14:paraId="22513ED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متوسط الزمن من البلاغ إلى الإغلاق.</w:t>
            </w:r>
          </w:p>
        </w:tc>
        <w:tc>
          <w:tcPr>
            <w:tcW w:w="1531" w:type="dxa"/>
            <w:shd w:val="clear" w:color="auto" w:fill="FFFFFF"/>
            <w:tcMar>
              <w:top w:w="70" w:type="dxa"/>
              <w:left w:w="70" w:type="dxa"/>
              <w:bottom w:w="70" w:type="dxa"/>
              <w:right w:w="70" w:type="dxa"/>
            </w:tcMar>
            <w:vAlign w:val="center"/>
          </w:tcPr>
          <w:p w14:paraId="21E4586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مركز الخدمة</w:t>
            </w:r>
          </w:p>
        </w:tc>
        <w:tc>
          <w:tcPr>
            <w:tcW w:w="1020" w:type="dxa"/>
            <w:shd w:val="clear" w:color="auto" w:fill="FFFFFF"/>
            <w:tcMar>
              <w:top w:w="70" w:type="dxa"/>
              <w:left w:w="70" w:type="dxa"/>
              <w:bottom w:w="70" w:type="dxa"/>
              <w:right w:w="70" w:type="dxa"/>
            </w:tcMar>
            <w:vAlign w:val="center"/>
          </w:tcPr>
          <w:p w14:paraId="50205E4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شهري</w:t>
            </w:r>
          </w:p>
        </w:tc>
      </w:tr>
      <w:tr w:rsidR="00986803" w:rsidRPr="00AE1FD7" w14:paraId="68F839D8" w14:textId="77777777" w:rsidTr="00F0464D">
        <w:trPr>
          <w:jc w:val="center"/>
        </w:trPr>
        <w:tc>
          <w:tcPr>
            <w:tcW w:w="1304" w:type="dxa"/>
            <w:shd w:val="clear" w:color="auto" w:fill="F2F4F6"/>
            <w:tcMar>
              <w:top w:w="70" w:type="dxa"/>
              <w:left w:w="70" w:type="dxa"/>
              <w:bottom w:w="70" w:type="dxa"/>
              <w:right w:w="70" w:type="dxa"/>
            </w:tcMar>
            <w:vAlign w:val="center"/>
          </w:tcPr>
          <w:p w14:paraId="3E05976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المخاطر</w:t>
            </w:r>
          </w:p>
        </w:tc>
        <w:tc>
          <w:tcPr>
            <w:tcW w:w="1928" w:type="dxa"/>
            <w:shd w:val="clear" w:color="auto" w:fill="F2F4F6"/>
            <w:tcMar>
              <w:top w:w="70" w:type="dxa"/>
              <w:left w:w="70" w:type="dxa"/>
              <w:bottom w:w="70" w:type="dxa"/>
              <w:right w:w="70" w:type="dxa"/>
            </w:tcMar>
            <w:vAlign w:val="center"/>
          </w:tcPr>
          <w:p w14:paraId="778D505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الحرجة بخطة معالجة</w:t>
            </w:r>
          </w:p>
        </w:tc>
        <w:tc>
          <w:tcPr>
            <w:tcW w:w="2721" w:type="dxa"/>
            <w:shd w:val="clear" w:color="auto" w:fill="F2F4F6"/>
            <w:tcMar>
              <w:top w:w="70" w:type="dxa"/>
              <w:left w:w="70" w:type="dxa"/>
              <w:bottom w:w="70" w:type="dxa"/>
              <w:right w:w="70" w:type="dxa"/>
            </w:tcMar>
            <w:vAlign w:val="center"/>
          </w:tcPr>
          <w:p w14:paraId="0350B76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الحرجة ذات خطة معتمدة ÷ الحرجة.</w:t>
            </w:r>
          </w:p>
        </w:tc>
        <w:tc>
          <w:tcPr>
            <w:tcW w:w="1531" w:type="dxa"/>
            <w:shd w:val="clear" w:color="auto" w:fill="F2F4F6"/>
            <w:tcMar>
              <w:top w:w="70" w:type="dxa"/>
              <w:left w:w="70" w:type="dxa"/>
              <w:bottom w:w="70" w:type="dxa"/>
              <w:right w:w="70" w:type="dxa"/>
            </w:tcMar>
            <w:vAlign w:val="center"/>
          </w:tcPr>
          <w:p w14:paraId="4A97FC0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سجل المخاطر</w:t>
            </w:r>
          </w:p>
        </w:tc>
        <w:tc>
          <w:tcPr>
            <w:tcW w:w="1020" w:type="dxa"/>
            <w:shd w:val="clear" w:color="auto" w:fill="F2F4F6"/>
            <w:tcMar>
              <w:top w:w="70" w:type="dxa"/>
              <w:left w:w="70" w:type="dxa"/>
              <w:bottom w:w="70" w:type="dxa"/>
              <w:right w:w="70" w:type="dxa"/>
            </w:tcMar>
            <w:vAlign w:val="center"/>
          </w:tcPr>
          <w:p w14:paraId="43AD433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46EBCDA1" w14:textId="77777777" w:rsidTr="00F0464D">
        <w:trPr>
          <w:jc w:val="center"/>
        </w:trPr>
        <w:tc>
          <w:tcPr>
            <w:tcW w:w="1304" w:type="dxa"/>
            <w:shd w:val="clear" w:color="auto" w:fill="FFFFFF"/>
            <w:tcMar>
              <w:top w:w="70" w:type="dxa"/>
              <w:left w:w="70" w:type="dxa"/>
              <w:bottom w:w="70" w:type="dxa"/>
              <w:right w:w="70" w:type="dxa"/>
            </w:tcMar>
            <w:vAlign w:val="center"/>
          </w:tcPr>
          <w:p w14:paraId="15CFFB6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الامتثال</w:t>
            </w:r>
          </w:p>
        </w:tc>
        <w:tc>
          <w:tcPr>
            <w:tcW w:w="1928" w:type="dxa"/>
            <w:shd w:val="clear" w:color="auto" w:fill="FFFFFF"/>
            <w:tcMar>
              <w:top w:w="70" w:type="dxa"/>
              <w:left w:w="70" w:type="dxa"/>
              <w:bottom w:w="70" w:type="dxa"/>
              <w:right w:w="70" w:type="dxa"/>
            </w:tcMar>
            <w:vAlign w:val="center"/>
          </w:tcPr>
          <w:p w14:paraId="66EC290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الملاحظات المغلقة</w:t>
            </w:r>
          </w:p>
        </w:tc>
        <w:tc>
          <w:tcPr>
            <w:tcW w:w="2721" w:type="dxa"/>
            <w:shd w:val="clear" w:color="auto" w:fill="FFFFFF"/>
            <w:tcMar>
              <w:top w:w="70" w:type="dxa"/>
              <w:left w:w="70" w:type="dxa"/>
              <w:bottom w:w="70" w:type="dxa"/>
              <w:right w:w="70" w:type="dxa"/>
            </w:tcMar>
            <w:vAlign w:val="center"/>
          </w:tcPr>
          <w:p w14:paraId="0CEFF65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الملاحظات المغلقة ÷ المستحقة.</w:t>
            </w:r>
          </w:p>
        </w:tc>
        <w:tc>
          <w:tcPr>
            <w:tcW w:w="1531" w:type="dxa"/>
            <w:shd w:val="clear" w:color="auto" w:fill="FFFFFF"/>
            <w:tcMar>
              <w:top w:w="70" w:type="dxa"/>
              <w:left w:w="70" w:type="dxa"/>
              <w:bottom w:w="70" w:type="dxa"/>
              <w:right w:w="70" w:type="dxa"/>
            </w:tcMar>
            <w:vAlign w:val="center"/>
          </w:tcPr>
          <w:p w14:paraId="6CCA7C4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المراجعة</w:t>
            </w:r>
          </w:p>
        </w:tc>
        <w:tc>
          <w:tcPr>
            <w:tcW w:w="1020" w:type="dxa"/>
            <w:shd w:val="clear" w:color="auto" w:fill="FFFFFF"/>
            <w:tcMar>
              <w:top w:w="70" w:type="dxa"/>
              <w:left w:w="70" w:type="dxa"/>
              <w:bottom w:w="70" w:type="dxa"/>
              <w:right w:w="70" w:type="dxa"/>
            </w:tcMar>
            <w:vAlign w:val="center"/>
          </w:tcPr>
          <w:p w14:paraId="2F0DFE9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3F098492" w14:textId="77777777" w:rsidTr="00F0464D">
        <w:trPr>
          <w:jc w:val="center"/>
        </w:trPr>
        <w:tc>
          <w:tcPr>
            <w:tcW w:w="1304" w:type="dxa"/>
            <w:shd w:val="clear" w:color="auto" w:fill="F2F4F6"/>
            <w:tcMar>
              <w:top w:w="70" w:type="dxa"/>
              <w:left w:w="70" w:type="dxa"/>
              <w:bottom w:w="70" w:type="dxa"/>
              <w:right w:w="70" w:type="dxa"/>
            </w:tcMar>
            <w:vAlign w:val="center"/>
          </w:tcPr>
          <w:p w14:paraId="5F3C61D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الاستئجار</w:t>
            </w:r>
          </w:p>
        </w:tc>
        <w:tc>
          <w:tcPr>
            <w:tcW w:w="1928" w:type="dxa"/>
            <w:shd w:val="clear" w:color="auto" w:fill="F2F4F6"/>
            <w:tcMar>
              <w:top w:w="70" w:type="dxa"/>
              <w:left w:w="70" w:type="dxa"/>
              <w:bottom w:w="70" w:type="dxa"/>
              <w:right w:w="70" w:type="dxa"/>
            </w:tcMar>
            <w:vAlign w:val="center"/>
          </w:tcPr>
          <w:p w14:paraId="2A836D52"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تكلفة الإيجار المتجنب</w:t>
            </w:r>
          </w:p>
        </w:tc>
        <w:tc>
          <w:tcPr>
            <w:tcW w:w="2721" w:type="dxa"/>
            <w:shd w:val="clear" w:color="auto" w:fill="F2F4F6"/>
            <w:tcMar>
              <w:top w:w="70" w:type="dxa"/>
              <w:left w:w="70" w:type="dxa"/>
              <w:bottom w:w="70" w:type="dxa"/>
              <w:right w:w="70" w:type="dxa"/>
            </w:tcMar>
            <w:vAlign w:val="center"/>
          </w:tcPr>
          <w:p w14:paraId="0F05BD4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قيمة عقود ألغيت/خفضت نتيجة البدائل.</w:t>
            </w:r>
          </w:p>
        </w:tc>
        <w:tc>
          <w:tcPr>
            <w:tcW w:w="1531" w:type="dxa"/>
            <w:shd w:val="clear" w:color="auto" w:fill="F2F4F6"/>
            <w:tcMar>
              <w:top w:w="70" w:type="dxa"/>
              <w:left w:w="70" w:type="dxa"/>
              <w:bottom w:w="70" w:type="dxa"/>
              <w:right w:w="70" w:type="dxa"/>
            </w:tcMar>
            <w:vAlign w:val="center"/>
          </w:tcPr>
          <w:p w14:paraId="6A3C1CF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العقود/المالية</w:t>
            </w:r>
          </w:p>
        </w:tc>
        <w:tc>
          <w:tcPr>
            <w:tcW w:w="1020" w:type="dxa"/>
            <w:shd w:val="clear" w:color="auto" w:fill="F2F4F6"/>
            <w:tcMar>
              <w:top w:w="70" w:type="dxa"/>
              <w:left w:w="70" w:type="dxa"/>
              <w:bottom w:w="70" w:type="dxa"/>
              <w:right w:w="70" w:type="dxa"/>
            </w:tcMar>
            <w:vAlign w:val="center"/>
          </w:tcPr>
          <w:p w14:paraId="1F313D4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سنوي</w:t>
            </w:r>
          </w:p>
        </w:tc>
      </w:tr>
      <w:tr w:rsidR="00986803" w:rsidRPr="00AE1FD7" w14:paraId="1EA24784" w14:textId="77777777" w:rsidTr="00F0464D">
        <w:trPr>
          <w:jc w:val="center"/>
        </w:trPr>
        <w:tc>
          <w:tcPr>
            <w:tcW w:w="1304" w:type="dxa"/>
            <w:shd w:val="clear" w:color="auto" w:fill="FFFFFF"/>
            <w:tcMar>
              <w:top w:w="70" w:type="dxa"/>
              <w:left w:w="70" w:type="dxa"/>
              <w:bottom w:w="70" w:type="dxa"/>
              <w:right w:w="70" w:type="dxa"/>
            </w:tcMar>
            <w:vAlign w:val="center"/>
          </w:tcPr>
          <w:p w14:paraId="6B2FA77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الفائض</w:t>
            </w:r>
          </w:p>
        </w:tc>
        <w:tc>
          <w:tcPr>
            <w:tcW w:w="1928" w:type="dxa"/>
            <w:shd w:val="clear" w:color="auto" w:fill="FFFFFF"/>
            <w:tcMar>
              <w:top w:w="70" w:type="dxa"/>
              <w:left w:w="70" w:type="dxa"/>
              <w:bottom w:w="70" w:type="dxa"/>
              <w:right w:w="70" w:type="dxa"/>
            </w:tcMar>
            <w:vAlign w:val="center"/>
          </w:tcPr>
          <w:p w14:paraId="1E382C3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زمن معالجة الأصل الفائض</w:t>
            </w:r>
          </w:p>
        </w:tc>
        <w:tc>
          <w:tcPr>
            <w:tcW w:w="2721" w:type="dxa"/>
            <w:shd w:val="clear" w:color="auto" w:fill="FFFFFF"/>
            <w:tcMar>
              <w:top w:w="70" w:type="dxa"/>
              <w:left w:w="70" w:type="dxa"/>
              <w:bottom w:w="70" w:type="dxa"/>
              <w:right w:w="70" w:type="dxa"/>
            </w:tcMar>
            <w:vAlign w:val="center"/>
          </w:tcPr>
          <w:p w14:paraId="6C05056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المدة من تحديد الفائض إلى القرار.</w:t>
            </w:r>
          </w:p>
        </w:tc>
        <w:tc>
          <w:tcPr>
            <w:tcW w:w="1531" w:type="dxa"/>
            <w:shd w:val="clear" w:color="auto" w:fill="FFFFFF"/>
            <w:tcMar>
              <w:top w:w="70" w:type="dxa"/>
              <w:left w:w="70" w:type="dxa"/>
              <w:bottom w:w="70" w:type="dxa"/>
              <w:right w:w="70" w:type="dxa"/>
            </w:tcMar>
            <w:vAlign w:val="center"/>
          </w:tcPr>
          <w:p w14:paraId="17AE49C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المحفظة</w:t>
            </w:r>
          </w:p>
        </w:tc>
        <w:tc>
          <w:tcPr>
            <w:tcW w:w="1020" w:type="dxa"/>
            <w:shd w:val="clear" w:color="auto" w:fill="FFFFFF"/>
            <w:tcMar>
              <w:top w:w="70" w:type="dxa"/>
              <w:left w:w="70" w:type="dxa"/>
              <w:bottom w:w="70" w:type="dxa"/>
              <w:right w:w="70" w:type="dxa"/>
            </w:tcMar>
            <w:vAlign w:val="center"/>
          </w:tcPr>
          <w:p w14:paraId="1451BBE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r w:rsidR="00986803" w:rsidRPr="00AE1FD7" w14:paraId="1B29B0C9" w14:textId="77777777" w:rsidTr="00F0464D">
        <w:trPr>
          <w:jc w:val="center"/>
        </w:trPr>
        <w:tc>
          <w:tcPr>
            <w:tcW w:w="1304" w:type="dxa"/>
            <w:shd w:val="clear" w:color="auto" w:fill="F2F4F6"/>
            <w:tcMar>
              <w:top w:w="70" w:type="dxa"/>
              <w:left w:w="70" w:type="dxa"/>
              <w:bottom w:w="70" w:type="dxa"/>
              <w:right w:w="70" w:type="dxa"/>
            </w:tcMar>
            <w:vAlign w:val="center"/>
          </w:tcPr>
          <w:p w14:paraId="529E481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القيمة</w:t>
            </w:r>
          </w:p>
        </w:tc>
        <w:tc>
          <w:tcPr>
            <w:tcW w:w="1928" w:type="dxa"/>
            <w:shd w:val="clear" w:color="auto" w:fill="F2F4F6"/>
            <w:tcMar>
              <w:top w:w="70" w:type="dxa"/>
              <w:left w:w="70" w:type="dxa"/>
              <w:bottom w:w="70" w:type="dxa"/>
              <w:right w:w="70" w:type="dxa"/>
            </w:tcMar>
            <w:vAlign w:val="center"/>
          </w:tcPr>
          <w:p w14:paraId="1D3FF8C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تحقق المنافع</w:t>
            </w:r>
          </w:p>
        </w:tc>
        <w:tc>
          <w:tcPr>
            <w:tcW w:w="2721" w:type="dxa"/>
            <w:shd w:val="clear" w:color="auto" w:fill="F2F4F6"/>
            <w:tcMar>
              <w:top w:w="70" w:type="dxa"/>
              <w:left w:w="70" w:type="dxa"/>
              <w:bottom w:w="70" w:type="dxa"/>
              <w:right w:w="70" w:type="dxa"/>
            </w:tcMar>
            <w:vAlign w:val="center"/>
          </w:tcPr>
          <w:p w14:paraId="3A3828D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المنافع المتحققة ÷ المعتمدة.</w:t>
            </w:r>
          </w:p>
        </w:tc>
        <w:tc>
          <w:tcPr>
            <w:tcW w:w="1531" w:type="dxa"/>
            <w:shd w:val="clear" w:color="auto" w:fill="F2F4F6"/>
            <w:tcMar>
              <w:top w:w="70" w:type="dxa"/>
              <w:left w:w="70" w:type="dxa"/>
              <w:bottom w:w="70" w:type="dxa"/>
              <w:right w:w="70" w:type="dxa"/>
            </w:tcMar>
            <w:vAlign w:val="center"/>
          </w:tcPr>
          <w:p w14:paraId="1783703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مكتب المنافع</w:t>
            </w:r>
          </w:p>
        </w:tc>
        <w:tc>
          <w:tcPr>
            <w:tcW w:w="1020" w:type="dxa"/>
            <w:shd w:val="clear" w:color="auto" w:fill="F2F4F6"/>
            <w:tcMar>
              <w:top w:w="70" w:type="dxa"/>
              <w:left w:w="70" w:type="dxa"/>
              <w:bottom w:w="70" w:type="dxa"/>
              <w:right w:w="70" w:type="dxa"/>
            </w:tcMar>
            <w:vAlign w:val="center"/>
          </w:tcPr>
          <w:p w14:paraId="2874929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ربع سنوي</w:t>
            </w:r>
          </w:p>
        </w:tc>
      </w:tr>
    </w:tbl>
    <w:p w14:paraId="296FCC63" w14:textId="77777777" w:rsidR="00986803" w:rsidRPr="00AE1FD7" w:rsidRDefault="00DB29B7" w:rsidP="00697C88">
      <w:pPr>
        <w:bidi/>
        <w:spacing w:after="0" w:line="240" w:lineRule="auto"/>
        <w:ind w:firstLine="0"/>
        <w:rPr>
          <w:rFonts w:ascii="Sakkal Majalla" w:hAnsi="Sakkal Majalla" w:cs="Sakkal Majalla"/>
          <w:sz w:val="36"/>
          <w:szCs w:val="36"/>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4100C2BD" w14:textId="77777777" w:rsidR="00986803" w:rsidRPr="00AE1FD7" w:rsidRDefault="00DB29B7" w:rsidP="00F0464D">
      <w:pPr>
        <w:pStyle w:val="21"/>
        <w:pBdr>
          <w:bottom w:val="single" w:sz="8" w:space="2" w:color="D9EAF7"/>
        </w:pBdr>
        <w:bidi/>
        <w:spacing w:before="0" w:after="0" w:line="240" w:lineRule="auto"/>
        <w:ind w:firstLine="0"/>
        <w:jc w:val="center"/>
        <w:rPr>
          <w:rFonts w:ascii="Sakkal Majalla" w:hAnsi="Sakkal Majalla" w:cs="Sakkal Majalla"/>
          <w:sz w:val="36"/>
          <w:szCs w:val="36"/>
        </w:rPr>
      </w:pPr>
      <w:bookmarkStart w:id="173" w:name="_Toc235205698"/>
      <w:r w:rsidRPr="00AE1FD7">
        <w:rPr>
          <w:rFonts w:ascii="Sakkal Majalla" w:eastAsia="Noto Kufi Arabic" w:hAnsi="Sakkal Majalla" w:cs="Sakkal Majalla"/>
          <w:sz w:val="36"/>
          <w:szCs w:val="36"/>
          <w:rtl/>
          <w:lang w:val="ar-SA"/>
        </w:rPr>
        <w:lastRenderedPageBreak/>
        <w:t>الملحق (5): نموذج تقرير ربع سنوي للمحفظة العقارية</w:t>
      </w:r>
      <w:bookmarkEnd w:id="173"/>
    </w:p>
    <w:p w14:paraId="553B9F28" w14:textId="77777777" w:rsidR="00986803" w:rsidRPr="00F0464D" w:rsidRDefault="00DB29B7" w:rsidP="00F0464D">
      <w:pPr>
        <w:keepNext/>
        <w:bidi/>
        <w:spacing w:after="0" w:line="240" w:lineRule="auto"/>
        <w:ind w:firstLine="0"/>
        <w:jc w:val="center"/>
        <w:rPr>
          <w:rFonts w:ascii="Sakkal Majalla" w:hAnsi="Sakkal Majalla" w:cs="Sakkal Majalla"/>
          <w:bCs/>
          <w:sz w:val="36"/>
          <w:szCs w:val="36"/>
        </w:rPr>
      </w:pPr>
      <w:bookmarkStart w:id="174" w:name="table_quarterly_report"/>
      <w:r w:rsidRPr="00F0464D">
        <w:rPr>
          <w:rFonts w:ascii="Sakkal Majalla" w:eastAsia="Noto Kufi Arabic" w:hAnsi="Sakkal Majalla" w:cs="Sakkal Majalla"/>
          <w:bCs/>
          <w:color w:val="17365D"/>
          <w:sz w:val="36"/>
          <w:szCs w:val="36"/>
          <w:rtl/>
          <w:lang w:val="ar-SA"/>
        </w:rPr>
        <w:t>جدول (37): نموذج تقرير ربع سنوي للمحفظة العقارية الحكومية</w:t>
      </w:r>
      <w:bookmarkEnd w:id="174"/>
    </w:p>
    <w:tbl>
      <w:tblPr>
        <w:bidiVisual/>
        <w:tblW w:w="850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871"/>
        <w:gridCol w:w="4650"/>
        <w:gridCol w:w="1984"/>
      </w:tblGrid>
      <w:tr w:rsidR="00986803" w:rsidRPr="00AE1FD7" w14:paraId="3C752AE8" w14:textId="77777777" w:rsidTr="00F0464D">
        <w:trPr>
          <w:cantSplit/>
          <w:tblHeader/>
          <w:jc w:val="center"/>
        </w:trPr>
        <w:tc>
          <w:tcPr>
            <w:tcW w:w="1871" w:type="dxa"/>
            <w:shd w:val="clear" w:color="auto" w:fill="17365D"/>
            <w:tcMar>
              <w:top w:w="90" w:type="dxa"/>
              <w:left w:w="80" w:type="dxa"/>
              <w:bottom w:w="90" w:type="dxa"/>
              <w:right w:w="80" w:type="dxa"/>
            </w:tcMar>
            <w:vAlign w:val="center"/>
          </w:tcPr>
          <w:p w14:paraId="6B559AD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القسم</w:t>
            </w:r>
          </w:p>
        </w:tc>
        <w:tc>
          <w:tcPr>
            <w:tcW w:w="4649" w:type="dxa"/>
            <w:shd w:val="clear" w:color="auto" w:fill="17365D"/>
            <w:tcMar>
              <w:top w:w="90" w:type="dxa"/>
              <w:left w:w="80" w:type="dxa"/>
              <w:bottom w:w="90" w:type="dxa"/>
              <w:right w:w="80" w:type="dxa"/>
            </w:tcMar>
            <w:vAlign w:val="center"/>
          </w:tcPr>
          <w:p w14:paraId="4E223E1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المحتوى المطلوب</w:t>
            </w:r>
          </w:p>
        </w:tc>
        <w:tc>
          <w:tcPr>
            <w:tcW w:w="1984" w:type="dxa"/>
            <w:shd w:val="clear" w:color="auto" w:fill="17365D"/>
            <w:tcMar>
              <w:top w:w="90" w:type="dxa"/>
              <w:left w:w="80" w:type="dxa"/>
              <w:bottom w:w="90" w:type="dxa"/>
              <w:right w:w="80" w:type="dxa"/>
            </w:tcMar>
            <w:vAlign w:val="center"/>
          </w:tcPr>
          <w:p w14:paraId="12B4C84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FFFFFF"/>
                <w:sz w:val="36"/>
                <w:szCs w:val="36"/>
                <w:rtl/>
                <w:lang w:val="ar-SA"/>
              </w:rPr>
              <w:t>المؤشر/المرفق</w:t>
            </w:r>
          </w:p>
        </w:tc>
      </w:tr>
      <w:tr w:rsidR="00986803" w:rsidRPr="00AE1FD7" w14:paraId="3460C5A5" w14:textId="77777777" w:rsidTr="00F0464D">
        <w:trPr>
          <w:jc w:val="center"/>
        </w:trPr>
        <w:tc>
          <w:tcPr>
            <w:tcW w:w="1871" w:type="dxa"/>
            <w:shd w:val="clear" w:color="auto" w:fill="FFFFFF"/>
            <w:tcMar>
              <w:top w:w="70" w:type="dxa"/>
              <w:left w:w="70" w:type="dxa"/>
              <w:bottom w:w="70" w:type="dxa"/>
              <w:right w:w="70" w:type="dxa"/>
            </w:tcMar>
            <w:vAlign w:val="center"/>
          </w:tcPr>
          <w:p w14:paraId="75FBE69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 الملخص التنفيذي</w:t>
            </w:r>
          </w:p>
        </w:tc>
        <w:tc>
          <w:tcPr>
            <w:tcW w:w="4649" w:type="dxa"/>
            <w:shd w:val="clear" w:color="auto" w:fill="FFFFFF"/>
            <w:tcMar>
              <w:top w:w="70" w:type="dxa"/>
              <w:left w:w="70" w:type="dxa"/>
              <w:bottom w:w="70" w:type="dxa"/>
              <w:right w:w="70" w:type="dxa"/>
            </w:tcMar>
            <w:vAlign w:val="center"/>
          </w:tcPr>
          <w:p w14:paraId="5BC90BC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أبرز التغيرات والقرارات والمخاطر والفرص خلال الربع.</w:t>
            </w:r>
          </w:p>
        </w:tc>
        <w:tc>
          <w:tcPr>
            <w:tcW w:w="1984" w:type="dxa"/>
            <w:shd w:val="clear" w:color="auto" w:fill="FFFFFF"/>
            <w:tcMar>
              <w:top w:w="70" w:type="dxa"/>
              <w:left w:w="70" w:type="dxa"/>
              <w:bottom w:w="70" w:type="dxa"/>
              <w:right w:w="70" w:type="dxa"/>
            </w:tcMar>
            <w:vAlign w:val="center"/>
          </w:tcPr>
          <w:p w14:paraId="4AD6FAC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صفحة واحدة.</w:t>
            </w:r>
          </w:p>
        </w:tc>
      </w:tr>
      <w:tr w:rsidR="00986803" w:rsidRPr="00AE1FD7" w14:paraId="7F873855" w14:textId="77777777" w:rsidTr="00F0464D">
        <w:trPr>
          <w:jc w:val="center"/>
        </w:trPr>
        <w:tc>
          <w:tcPr>
            <w:tcW w:w="1871" w:type="dxa"/>
            <w:shd w:val="clear" w:color="auto" w:fill="F2F4F6"/>
            <w:tcMar>
              <w:top w:w="70" w:type="dxa"/>
              <w:left w:w="70" w:type="dxa"/>
              <w:bottom w:w="70" w:type="dxa"/>
              <w:right w:w="70" w:type="dxa"/>
            </w:tcMar>
            <w:vAlign w:val="center"/>
          </w:tcPr>
          <w:p w14:paraId="7F8B1ABD"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2. حالة المحفظة</w:t>
            </w:r>
          </w:p>
        </w:tc>
        <w:tc>
          <w:tcPr>
            <w:tcW w:w="4649" w:type="dxa"/>
            <w:shd w:val="clear" w:color="auto" w:fill="F2F4F6"/>
            <w:tcMar>
              <w:top w:w="70" w:type="dxa"/>
              <w:left w:w="70" w:type="dxa"/>
              <w:bottom w:w="70" w:type="dxa"/>
              <w:right w:w="70" w:type="dxa"/>
            </w:tcMar>
            <w:vAlign w:val="center"/>
          </w:tcPr>
          <w:p w14:paraId="168DAFA9"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عدد الأصول، المساحة، القيمة، الحالة، الاستخدام، التوزيع.</w:t>
            </w:r>
          </w:p>
        </w:tc>
        <w:tc>
          <w:tcPr>
            <w:tcW w:w="1984" w:type="dxa"/>
            <w:shd w:val="clear" w:color="auto" w:fill="F2F4F6"/>
            <w:tcMar>
              <w:top w:w="70" w:type="dxa"/>
              <w:left w:w="70" w:type="dxa"/>
              <w:bottom w:w="70" w:type="dxa"/>
              <w:right w:w="70" w:type="dxa"/>
            </w:tcMar>
            <w:vAlign w:val="center"/>
          </w:tcPr>
          <w:p w14:paraId="5498A88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لوحة المحفظة.</w:t>
            </w:r>
          </w:p>
        </w:tc>
      </w:tr>
      <w:tr w:rsidR="00986803" w:rsidRPr="00AE1FD7" w14:paraId="50C5DB81" w14:textId="77777777" w:rsidTr="00F0464D">
        <w:trPr>
          <w:jc w:val="center"/>
        </w:trPr>
        <w:tc>
          <w:tcPr>
            <w:tcW w:w="1871" w:type="dxa"/>
            <w:shd w:val="clear" w:color="auto" w:fill="FFFFFF"/>
            <w:tcMar>
              <w:top w:w="70" w:type="dxa"/>
              <w:left w:w="70" w:type="dxa"/>
              <w:bottom w:w="70" w:type="dxa"/>
              <w:right w:w="70" w:type="dxa"/>
            </w:tcMar>
            <w:vAlign w:val="center"/>
          </w:tcPr>
          <w:p w14:paraId="0189128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3. الإنفاق</w:t>
            </w:r>
          </w:p>
        </w:tc>
        <w:tc>
          <w:tcPr>
            <w:tcW w:w="4649" w:type="dxa"/>
            <w:shd w:val="clear" w:color="auto" w:fill="FFFFFF"/>
            <w:tcMar>
              <w:top w:w="70" w:type="dxa"/>
              <w:left w:w="70" w:type="dxa"/>
              <w:bottom w:w="70" w:type="dxa"/>
              <w:right w:w="70" w:type="dxa"/>
            </w:tcMar>
            <w:vAlign w:val="center"/>
          </w:tcPr>
          <w:p w14:paraId="0298DCC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الإيجار والتشغيل والصيانة والرأسمالي والانحراف عن الميزانية.</w:t>
            </w:r>
          </w:p>
        </w:tc>
        <w:tc>
          <w:tcPr>
            <w:tcW w:w="1984" w:type="dxa"/>
            <w:shd w:val="clear" w:color="auto" w:fill="FFFFFF"/>
            <w:tcMar>
              <w:top w:w="70" w:type="dxa"/>
              <w:left w:w="70" w:type="dxa"/>
              <w:bottom w:w="70" w:type="dxa"/>
              <w:right w:w="70" w:type="dxa"/>
            </w:tcMar>
            <w:vAlign w:val="center"/>
          </w:tcPr>
          <w:p w14:paraId="3D5A6AF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جدول الإنفاق.</w:t>
            </w:r>
          </w:p>
        </w:tc>
      </w:tr>
      <w:tr w:rsidR="00986803" w:rsidRPr="00AE1FD7" w14:paraId="78C348E3" w14:textId="77777777" w:rsidTr="00F0464D">
        <w:trPr>
          <w:jc w:val="center"/>
        </w:trPr>
        <w:tc>
          <w:tcPr>
            <w:tcW w:w="1871" w:type="dxa"/>
            <w:shd w:val="clear" w:color="auto" w:fill="F2F4F6"/>
            <w:tcMar>
              <w:top w:w="70" w:type="dxa"/>
              <w:left w:w="70" w:type="dxa"/>
              <w:bottom w:w="70" w:type="dxa"/>
              <w:right w:w="70" w:type="dxa"/>
            </w:tcMar>
            <w:vAlign w:val="center"/>
          </w:tcPr>
          <w:p w14:paraId="5182D2A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4. الصيانة والخدمة</w:t>
            </w:r>
          </w:p>
        </w:tc>
        <w:tc>
          <w:tcPr>
            <w:tcW w:w="4649" w:type="dxa"/>
            <w:shd w:val="clear" w:color="auto" w:fill="F2F4F6"/>
            <w:tcMar>
              <w:top w:w="70" w:type="dxa"/>
              <w:left w:w="70" w:type="dxa"/>
              <w:bottom w:w="70" w:type="dxa"/>
              <w:right w:w="70" w:type="dxa"/>
            </w:tcMar>
            <w:vAlign w:val="center"/>
          </w:tcPr>
          <w:p w14:paraId="22D94FD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الوقائية والتفاعلية والأعطال الحرجة والجاهزية.</w:t>
            </w:r>
          </w:p>
        </w:tc>
        <w:tc>
          <w:tcPr>
            <w:tcW w:w="1984" w:type="dxa"/>
            <w:shd w:val="clear" w:color="auto" w:fill="F2F4F6"/>
            <w:tcMar>
              <w:top w:w="70" w:type="dxa"/>
              <w:left w:w="70" w:type="dxa"/>
              <w:bottom w:w="70" w:type="dxa"/>
              <w:right w:w="70" w:type="dxa"/>
            </w:tcMar>
            <w:vAlign w:val="center"/>
          </w:tcPr>
          <w:p w14:paraId="05D9349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لوحة الصيانة.</w:t>
            </w:r>
          </w:p>
        </w:tc>
      </w:tr>
      <w:tr w:rsidR="00986803" w:rsidRPr="00AE1FD7" w14:paraId="17A2B568" w14:textId="77777777" w:rsidTr="00F0464D">
        <w:trPr>
          <w:jc w:val="center"/>
        </w:trPr>
        <w:tc>
          <w:tcPr>
            <w:tcW w:w="1871" w:type="dxa"/>
            <w:shd w:val="clear" w:color="auto" w:fill="FFFFFF"/>
            <w:tcMar>
              <w:top w:w="70" w:type="dxa"/>
              <w:left w:w="70" w:type="dxa"/>
              <w:bottom w:w="70" w:type="dxa"/>
              <w:right w:w="70" w:type="dxa"/>
            </w:tcMar>
            <w:vAlign w:val="center"/>
          </w:tcPr>
          <w:p w14:paraId="76D029F7"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5. البيانات</w:t>
            </w:r>
          </w:p>
        </w:tc>
        <w:tc>
          <w:tcPr>
            <w:tcW w:w="4649" w:type="dxa"/>
            <w:shd w:val="clear" w:color="auto" w:fill="FFFFFF"/>
            <w:tcMar>
              <w:top w:w="70" w:type="dxa"/>
              <w:left w:w="70" w:type="dxa"/>
              <w:bottom w:w="70" w:type="dxa"/>
              <w:right w:w="70" w:type="dxa"/>
            </w:tcMar>
            <w:vAlign w:val="center"/>
          </w:tcPr>
          <w:p w14:paraId="2AE6F28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اكتمال وحداثة وتطابق السجلات.</w:t>
            </w:r>
          </w:p>
        </w:tc>
        <w:tc>
          <w:tcPr>
            <w:tcW w:w="1984" w:type="dxa"/>
            <w:shd w:val="clear" w:color="auto" w:fill="FFFFFF"/>
            <w:tcMar>
              <w:top w:w="70" w:type="dxa"/>
              <w:left w:w="70" w:type="dxa"/>
              <w:bottom w:w="70" w:type="dxa"/>
              <w:right w:w="70" w:type="dxa"/>
            </w:tcMar>
            <w:vAlign w:val="center"/>
          </w:tcPr>
          <w:p w14:paraId="78F2DA04"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تقرير جودة البيانات.</w:t>
            </w:r>
          </w:p>
        </w:tc>
      </w:tr>
      <w:tr w:rsidR="00986803" w:rsidRPr="00AE1FD7" w14:paraId="4B2BEEAB" w14:textId="77777777" w:rsidTr="00F0464D">
        <w:trPr>
          <w:jc w:val="center"/>
        </w:trPr>
        <w:tc>
          <w:tcPr>
            <w:tcW w:w="1871" w:type="dxa"/>
            <w:shd w:val="clear" w:color="auto" w:fill="F2F4F6"/>
            <w:tcMar>
              <w:top w:w="70" w:type="dxa"/>
              <w:left w:w="70" w:type="dxa"/>
              <w:bottom w:w="70" w:type="dxa"/>
              <w:right w:w="70" w:type="dxa"/>
            </w:tcMar>
            <w:vAlign w:val="center"/>
          </w:tcPr>
          <w:p w14:paraId="5816044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6. المخاطر والامتثال</w:t>
            </w:r>
          </w:p>
        </w:tc>
        <w:tc>
          <w:tcPr>
            <w:tcW w:w="4649" w:type="dxa"/>
            <w:shd w:val="clear" w:color="auto" w:fill="F2F4F6"/>
            <w:tcMar>
              <w:top w:w="70" w:type="dxa"/>
              <w:left w:w="70" w:type="dxa"/>
              <w:bottom w:w="70" w:type="dxa"/>
              <w:right w:w="70" w:type="dxa"/>
            </w:tcMar>
            <w:vAlign w:val="center"/>
          </w:tcPr>
          <w:p w14:paraId="5FAE61FE"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المخاطر العليا، خطط المعالجة، الملاحظات، السلامة.</w:t>
            </w:r>
          </w:p>
        </w:tc>
        <w:tc>
          <w:tcPr>
            <w:tcW w:w="1984" w:type="dxa"/>
            <w:shd w:val="clear" w:color="auto" w:fill="F2F4F6"/>
            <w:tcMar>
              <w:top w:w="70" w:type="dxa"/>
              <w:left w:w="70" w:type="dxa"/>
              <w:bottom w:w="70" w:type="dxa"/>
              <w:right w:w="70" w:type="dxa"/>
            </w:tcMar>
            <w:vAlign w:val="center"/>
          </w:tcPr>
          <w:p w14:paraId="3FF23D71"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سجل المخاطر.</w:t>
            </w:r>
          </w:p>
        </w:tc>
      </w:tr>
      <w:tr w:rsidR="00986803" w:rsidRPr="00AE1FD7" w14:paraId="1F0918B7" w14:textId="77777777" w:rsidTr="00F0464D">
        <w:trPr>
          <w:jc w:val="center"/>
        </w:trPr>
        <w:tc>
          <w:tcPr>
            <w:tcW w:w="1871" w:type="dxa"/>
            <w:shd w:val="clear" w:color="auto" w:fill="FFFFFF"/>
            <w:tcMar>
              <w:top w:w="70" w:type="dxa"/>
              <w:left w:w="70" w:type="dxa"/>
              <w:bottom w:w="70" w:type="dxa"/>
              <w:right w:w="70" w:type="dxa"/>
            </w:tcMar>
            <w:vAlign w:val="center"/>
          </w:tcPr>
          <w:p w14:paraId="6F6FEF0F"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7. الاستخدام والفائض</w:t>
            </w:r>
          </w:p>
        </w:tc>
        <w:tc>
          <w:tcPr>
            <w:tcW w:w="4649" w:type="dxa"/>
            <w:shd w:val="clear" w:color="auto" w:fill="FFFFFF"/>
            <w:tcMar>
              <w:top w:w="70" w:type="dxa"/>
              <w:left w:w="70" w:type="dxa"/>
              <w:bottom w:w="70" w:type="dxa"/>
              <w:right w:w="70" w:type="dxa"/>
            </w:tcMar>
            <w:vAlign w:val="center"/>
          </w:tcPr>
          <w:p w14:paraId="3433039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الأصول منخفضة الاستخدام والإجراءات المتخذة.</w:t>
            </w:r>
          </w:p>
        </w:tc>
        <w:tc>
          <w:tcPr>
            <w:tcW w:w="1984" w:type="dxa"/>
            <w:shd w:val="clear" w:color="auto" w:fill="FFFFFF"/>
            <w:tcMar>
              <w:top w:w="70" w:type="dxa"/>
              <w:left w:w="70" w:type="dxa"/>
              <w:bottom w:w="70" w:type="dxa"/>
              <w:right w:w="70" w:type="dxa"/>
            </w:tcMar>
            <w:vAlign w:val="center"/>
          </w:tcPr>
          <w:p w14:paraId="241D9C7C"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قائمة الفرص.</w:t>
            </w:r>
          </w:p>
        </w:tc>
      </w:tr>
      <w:tr w:rsidR="00986803" w:rsidRPr="00AE1FD7" w14:paraId="763C3165" w14:textId="77777777" w:rsidTr="00F0464D">
        <w:trPr>
          <w:jc w:val="center"/>
        </w:trPr>
        <w:tc>
          <w:tcPr>
            <w:tcW w:w="1871" w:type="dxa"/>
            <w:shd w:val="clear" w:color="auto" w:fill="F2F4F6"/>
            <w:tcMar>
              <w:top w:w="70" w:type="dxa"/>
              <w:left w:w="70" w:type="dxa"/>
              <w:bottom w:w="70" w:type="dxa"/>
              <w:right w:w="70" w:type="dxa"/>
            </w:tcMar>
            <w:vAlign w:val="center"/>
          </w:tcPr>
          <w:p w14:paraId="3B05EBE3"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8. قرارات التملك والاستئجار</w:t>
            </w:r>
          </w:p>
        </w:tc>
        <w:tc>
          <w:tcPr>
            <w:tcW w:w="4649" w:type="dxa"/>
            <w:shd w:val="clear" w:color="auto" w:fill="F2F4F6"/>
            <w:tcMar>
              <w:top w:w="70" w:type="dxa"/>
              <w:left w:w="70" w:type="dxa"/>
              <w:bottom w:w="70" w:type="dxa"/>
              <w:right w:w="70" w:type="dxa"/>
            </w:tcMar>
            <w:vAlign w:val="center"/>
          </w:tcPr>
          <w:p w14:paraId="6D37414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البدائل التي درست والقرارات والمنافع.</w:t>
            </w:r>
          </w:p>
        </w:tc>
        <w:tc>
          <w:tcPr>
            <w:tcW w:w="1984" w:type="dxa"/>
            <w:shd w:val="clear" w:color="auto" w:fill="F2F4F6"/>
            <w:tcMar>
              <w:top w:w="70" w:type="dxa"/>
              <w:left w:w="70" w:type="dxa"/>
              <w:bottom w:w="70" w:type="dxa"/>
              <w:right w:w="70" w:type="dxa"/>
            </w:tcMar>
            <w:vAlign w:val="center"/>
          </w:tcPr>
          <w:p w14:paraId="7BD00426"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دراسات الأعمال.</w:t>
            </w:r>
          </w:p>
        </w:tc>
      </w:tr>
      <w:tr w:rsidR="00986803" w:rsidRPr="00AE1FD7" w14:paraId="2D0F9E75" w14:textId="77777777" w:rsidTr="00F0464D">
        <w:trPr>
          <w:jc w:val="center"/>
        </w:trPr>
        <w:tc>
          <w:tcPr>
            <w:tcW w:w="1871" w:type="dxa"/>
            <w:shd w:val="clear" w:color="auto" w:fill="FFFFFF"/>
            <w:tcMar>
              <w:top w:w="70" w:type="dxa"/>
              <w:left w:w="70" w:type="dxa"/>
              <w:bottom w:w="70" w:type="dxa"/>
              <w:right w:w="70" w:type="dxa"/>
            </w:tcMar>
            <w:vAlign w:val="center"/>
          </w:tcPr>
          <w:p w14:paraId="7E3FD8D0"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9. المنافع والوفورات</w:t>
            </w:r>
          </w:p>
        </w:tc>
        <w:tc>
          <w:tcPr>
            <w:tcW w:w="4649" w:type="dxa"/>
            <w:shd w:val="clear" w:color="auto" w:fill="FFFFFF"/>
            <w:tcMar>
              <w:top w:w="70" w:type="dxa"/>
              <w:left w:w="70" w:type="dxa"/>
              <w:bottom w:w="70" w:type="dxa"/>
              <w:right w:w="70" w:type="dxa"/>
            </w:tcMar>
            <w:vAlign w:val="center"/>
          </w:tcPr>
          <w:p w14:paraId="726D9DC5"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المنافع المالية وغير المالية المتحققة والمتوقعة.</w:t>
            </w:r>
          </w:p>
        </w:tc>
        <w:tc>
          <w:tcPr>
            <w:tcW w:w="1984" w:type="dxa"/>
            <w:shd w:val="clear" w:color="auto" w:fill="FFFFFF"/>
            <w:tcMar>
              <w:top w:w="70" w:type="dxa"/>
              <w:left w:w="70" w:type="dxa"/>
              <w:bottom w:w="70" w:type="dxa"/>
              <w:right w:w="70" w:type="dxa"/>
            </w:tcMar>
            <w:vAlign w:val="center"/>
          </w:tcPr>
          <w:p w14:paraId="724A724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سجل المنافع.</w:t>
            </w:r>
          </w:p>
        </w:tc>
      </w:tr>
      <w:tr w:rsidR="00986803" w:rsidRPr="00AE1FD7" w14:paraId="0E42A483" w14:textId="77777777" w:rsidTr="00F0464D">
        <w:trPr>
          <w:jc w:val="center"/>
        </w:trPr>
        <w:tc>
          <w:tcPr>
            <w:tcW w:w="1871" w:type="dxa"/>
            <w:shd w:val="clear" w:color="auto" w:fill="F2F4F6"/>
            <w:tcMar>
              <w:top w:w="70" w:type="dxa"/>
              <w:left w:w="70" w:type="dxa"/>
              <w:bottom w:w="70" w:type="dxa"/>
              <w:right w:w="70" w:type="dxa"/>
            </w:tcMar>
            <w:vAlign w:val="center"/>
          </w:tcPr>
          <w:p w14:paraId="4B3EC80B"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10. خطة الربع القادم</w:t>
            </w:r>
          </w:p>
        </w:tc>
        <w:tc>
          <w:tcPr>
            <w:tcW w:w="4649" w:type="dxa"/>
            <w:shd w:val="clear" w:color="auto" w:fill="F2F4F6"/>
            <w:tcMar>
              <w:top w:w="70" w:type="dxa"/>
              <w:left w:w="70" w:type="dxa"/>
              <w:bottom w:w="70" w:type="dxa"/>
              <w:right w:w="70" w:type="dxa"/>
            </w:tcMar>
            <w:vAlign w:val="center"/>
          </w:tcPr>
          <w:p w14:paraId="428D2A2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الأولويات والمالك والموعد والاعتماد المطلوب.</w:t>
            </w:r>
          </w:p>
        </w:tc>
        <w:tc>
          <w:tcPr>
            <w:tcW w:w="1984" w:type="dxa"/>
            <w:shd w:val="clear" w:color="auto" w:fill="F2F4F6"/>
            <w:tcMar>
              <w:top w:w="70" w:type="dxa"/>
              <w:left w:w="70" w:type="dxa"/>
              <w:bottom w:w="70" w:type="dxa"/>
              <w:right w:w="70" w:type="dxa"/>
            </w:tcMar>
            <w:vAlign w:val="center"/>
          </w:tcPr>
          <w:p w14:paraId="3C972A68"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hAnsi="Sakkal Majalla" w:cs="Sakkal Majalla"/>
                <w:color w:val="000000"/>
                <w:sz w:val="36"/>
                <w:szCs w:val="36"/>
                <w:rtl/>
                <w:lang w:val="ar-SA"/>
              </w:rPr>
              <w:t>خطة عمل.</w:t>
            </w:r>
          </w:p>
        </w:tc>
      </w:tr>
    </w:tbl>
    <w:p w14:paraId="2DADE911" w14:textId="77777777" w:rsidR="00F0464D" w:rsidRDefault="00DB29B7" w:rsidP="00F0464D">
      <w:pPr>
        <w:bidi/>
        <w:spacing w:after="0" w:line="240" w:lineRule="auto"/>
        <w:ind w:firstLine="0"/>
        <w:rPr>
          <w:rFonts w:ascii="Sakkal Majalla" w:hAnsi="Sakkal Majalla" w:cs="Sakkal Majalla"/>
          <w:sz w:val="36"/>
          <w:szCs w:val="36"/>
          <w:rtl/>
        </w:rPr>
      </w:pPr>
      <w:r w:rsidRPr="00AE1FD7">
        <w:rPr>
          <w:rFonts w:ascii="Sakkal Majalla" w:hAnsi="Sakkal Majalla" w:cs="Sakkal Majalla"/>
          <w:i/>
          <w:color w:val="3F4650"/>
          <w:sz w:val="36"/>
          <w:szCs w:val="36"/>
          <w:rtl/>
          <w:lang w:val="ar-SA"/>
        </w:rPr>
        <w:t>المصدر: إعداد الباحث في ضوء أدبيات الدراسة ومخرجات التحليل.</w:t>
      </w:r>
    </w:p>
    <w:p w14:paraId="03D302DA" w14:textId="77777777" w:rsidR="00986803" w:rsidRPr="00AE1FD7" w:rsidRDefault="00DB29B7" w:rsidP="00F0464D">
      <w:pPr>
        <w:bidi/>
        <w:spacing w:after="0" w:line="240" w:lineRule="auto"/>
        <w:ind w:firstLine="0"/>
        <w:jc w:val="center"/>
        <w:rPr>
          <w:rFonts w:ascii="Sakkal Majalla" w:hAnsi="Sakkal Majalla" w:cs="Sakkal Majalla"/>
          <w:sz w:val="36"/>
          <w:szCs w:val="36"/>
        </w:rPr>
      </w:pPr>
      <w:r w:rsidRPr="00AE1FD7">
        <w:rPr>
          <w:rFonts w:ascii="Sakkal Majalla" w:eastAsia="Noto Kufi Arabic" w:hAnsi="Sakkal Majalla" w:cs="Sakkal Majalla"/>
          <w:b/>
          <w:color w:val="17365D"/>
          <w:sz w:val="36"/>
          <w:szCs w:val="36"/>
          <w:rtl/>
          <w:lang w:val="ar-SA"/>
        </w:rPr>
        <w:t>تم بحمد الله</w:t>
      </w:r>
    </w:p>
    <w:sectPr w:rsidR="00986803" w:rsidRPr="00AE1FD7">
      <w:headerReference w:type="default" r:id="rId16"/>
      <w:footerReference w:type="default" r:id="rId17"/>
      <w:pgSz w:w="11906" w:h="16838"/>
      <w:pgMar w:top="1247" w:right="1587" w:bottom="1134" w:left="1304" w:header="454" w:footer="454" w:gutter="17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B630A" w14:textId="77777777" w:rsidR="00862342" w:rsidRDefault="00862342">
      <w:pPr>
        <w:spacing w:after="0" w:line="240" w:lineRule="auto"/>
      </w:pPr>
      <w:r>
        <w:separator/>
      </w:r>
    </w:p>
  </w:endnote>
  <w:endnote w:type="continuationSeparator" w:id="0">
    <w:p w14:paraId="752AA014" w14:textId="77777777" w:rsidR="00862342" w:rsidRDefault="0086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Noto Naskh Arabic">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Noto Kufi Arabic">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14281"/>
      <w:docPartObj>
        <w:docPartGallery w:val="Page Numbers (Bottom of Page)"/>
        <w:docPartUnique/>
      </w:docPartObj>
    </w:sdtPr>
    <w:sdtContent>
      <w:p w14:paraId="724255D5" w14:textId="77777777" w:rsidR="00D26C73" w:rsidRDefault="00D26C73" w:rsidP="00697C88">
        <w:pPr>
          <w:pStyle w:val="a6"/>
          <w:ind w:firstLine="0"/>
        </w:pPr>
        <w:r>
          <w:rPr>
            <w:noProof/>
          </w:rPr>
          <mc:AlternateContent>
            <mc:Choice Requires="wps">
              <w:drawing>
                <wp:anchor distT="0" distB="0" distL="114300" distR="114300" simplePos="0" relativeHeight="251656704" behindDoc="0" locked="0" layoutInCell="1" allowOverlap="1" wp14:anchorId="364678A6" wp14:editId="488F3D17">
                  <wp:simplePos x="0" y="0"/>
                  <wp:positionH relativeFrom="column">
                    <wp:posOffset>275590</wp:posOffset>
                  </wp:positionH>
                  <wp:positionV relativeFrom="paragraph">
                    <wp:posOffset>124460</wp:posOffset>
                  </wp:positionV>
                  <wp:extent cx="5379720" cy="0"/>
                  <wp:effectExtent l="38100" t="38100" r="68580" b="95250"/>
                  <wp:wrapNone/>
                  <wp:docPr id="4" name="رابط مستقيم 4"/>
                  <wp:cNvGraphicFramePr/>
                  <a:graphic xmlns:a="http://schemas.openxmlformats.org/drawingml/2006/main">
                    <a:graphicData uri="http://schemas.microsoft.com/office/word/2010/wordprocessingShape">
                      <wps:wsp>
                        <wps:cNvCnPr/>
                        <wps:spPr>
                          <a:xfrm>
                            <a:off x="0" y="0"/>
                            <a:ext cx="537972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22432F" id="رابط مستقيم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pt,9.8pt" to="445.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" strokecolor="black [3200]" strokeweight="2pt">
                  <v:shadow on="t" color="black" opacity="24903f" origin=",.5" offset="0,.55556mm"/>
                </v:line>
              </w:pict>
            </mc:Fallback>
          </mc:AlternateContent>
        </w:r>
        <w:r>
          <w:rPr>
            <w:noProof/>
          </w:rPr>
          <mc:AlternateContent>
            <mc:Choice Requires="wps">
              <w:drawing>
                <wp:anchor distT="0" distB="0" distL="114300" distR="114300" simplePos="0" relativeHeight="251661824" behindDoc="0" locked="0" layoutInCell="1" allowOverlap="1" wp14:anchorId="3A276B74" wp14:editId="155221A7">
                  <wp:simplePos x="0" y="0"/>
                  <wp:positionH relativeFrom="column">
                    <wp:posOffset>-212090</wp:posOffset>
                  </wp:positionH>
                  <wp:positionV relativeFrom="paragraph">
                    <wp:posOffset>-102235</wp:posOffset>
                  </wp:positionV>
                  <wp:extent cx="449580" cy="403860"/>
                  <wp:effectExtent l="57150" t="19050" r="64770" b="91440"/>
                  <wp:wrapNone/>
                  <wp:docPr id="5" name="سداسي 5"/>
                  <wp:cNvGraphicFramePr/>
                  <a:graphic xmlns:a="http://schemas.openxmlformats.org/drawingml/2006/main">
                    <a:graphicData uri="http://schemas.microsoft.com/office/word/2010/wordprocessingShape">
                      <wps:wsp>
                        <wps:cNvSpPr/>
                        <wps:spPr>
                          <a:xfrm>
                            <a:off x="0" y="0"/>
                            <a:ext cx="449580" cy="403860"/>
                          </a:xfrm>
                          <a:prstGeom prst="hexagon">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313D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5" o:spid="_x0000_s1026" type="#_x0000_t9" style="position:absolute;margin-left:-16.7pt;margin-top:-8.05pt;width:35.4pt;height:3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" adj="4851" filled="f" strokecolor="#4579b8 [3044]">
                  <v:shadow on="t" color="black" opacity="22937f" origin=",.5" offset="0,.63889mm"/>
                </v:shape>
              </w:pict>
            </mc:Fallback>
          </mc:AlternateContent>
        </w:r>
        <w:r>
          <w:fldChar w:fldCharType="begin"/>
        </w:r>
        <w:r>
          <w:instrText>PAGE   \* MERGEFORMAT</w:instrText>
        </w:r>
        <w:r>
          <w:fldChar w:fldCharType="separate"/>
        </w:r>
        <w:r w:rsidR="00C822C0" w:rsidRPr="00C822C0">
          <w:rPr>
            <w:noProof/>
            <w:rtl/>
            <w:lang w:val="ar-SA"/>
          </w:rPr>
          <w:t>‌ز</w:t>
        </w:r>
        <w:r>
          <w:fldChar w:fldCharType="end"/>
        </w:r>
      </w:p>
    </w:sdtContent>
  </w:sdt>
  <w:p w14:paraId="75E3AE4F" w14:textId="77777777" w:rsidR="00D26C73" w:rsidRDefault="00D26C7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D205C" w14:textId="77777777" w:rsidR="00D26C73" w:rsidRDefault="00D26C73">
    <w:pPr>
      <w:pStyle w:val="a6"/>
      <w:ind w:firstLine="0"/>
      <w:jc w:val="center"/>
    </w:pPr>
    <w:r>
      <w:rPr>
        <w:rFonts w:ascii="DejaVu Sans" w:eastAsia="DejaVu Sans" w:hAnsi="DejaVu Sans" w:cs="DejaVu Sans"/>
        <w:color w:val="3F4650"/>
        <w:sz w:val="20"/>
        <w:lang w:bidi="en-US"/>
      </w:rPr>
      <w:fldChar w:fldCharType="begin"/>
    </w:r>
    <w:r>
      <w:rPr>
        <w:rFonts w:ascii="DejaVu Sans" w:eastAsia="DejaVu Sans" w:hAnsi="DejaVu Sans" w:cs="DejaVu Sans"/>
        <w:color w:val="3F4650"/>
        <w:sz w:val="20"/>
        <w:lang w:bidi="en-US"/>
      </w:rPr>
      <w:instrText xml:space="preserve"> PAGE </w:instrText>
    </w:r>
    <w:r>
      <w:rPr>
        <w:rFonts w:ascii="DejaVu Sans" w:eastAsia="DejaVu Sans" w:hAnsi="DejaVu Sans" w:cs="DejaVu Sans"/>
        <w:color w:val="3F4650"/>
        <w:sz w:val="20"/>
        <w:lang w:bidi="en-US"/>
      </w:rPr>
      <w:fldChar w:fldCharType="separate"/>
    </w:r>
    <w:r w:rsidR="00C822C0">
      <w:rPr>
        <w:rFonts w:ascii="DejaVu Sans" w:eastAsia="DejaVu Sans" w:hAnsi="DejaVu Sans" w:cs="DejaVu Sans"/>
        <w:noProof/>
        <w:color w:val="3F4650"/>
        <w:sz w:val="20"/>
        <w:lang w:bidi="en-US"/>
      </w:rPr>
      <w:t>8</w:t>
    </w:r>
    <w:r>
      <w:rPr>
        <w:rFonts w:ascii="DejaVu Sans" w:eastAsia="DejaVu Sans" w:hAnsi="DejaVu Sans" w:cs="DejaVu Sans"/>
        <w:color w:val="3F4650"/>
        <w:sz w:val="20"/>
        <w:lang w:bidi="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7DB19A" w14:textId="77777777" w:rsidR="00862342" w:rsidRDefault="00862342">
      <w:pPr>
        <w:spacing w:after="0" w:line="240" w:lineRule="auto"/>
      </w:pPr>
      <w:r>
        <w:separator/>
      </w:r>
    </w:p>
  </w:footnote>
  <w:footnote w:type="continuationSeparator" w:id="0">
    <w:p w14:paraId="126706D5" w14:textId="77777777" w:rsidR="00862342" w:rsidRDefault="0086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8F2FC" w14:textId="77777777" w:rsidR="00D26C73" w:rsidRDefault="00D26C73">
    <w:pPr>
      <w:pStyle w:val="a5"/>
      <w:pBdr>
        <w:bottom w:val="single" w:sz="6" w:space="3" w:color="D9DEE3"/>
      </w:pBdr>
      <w:bidi/>
      <w:ind w:firstLine="0"/>
      <w:jc w:val="center"/>
    </w:pPr>
    <w:r>
      <w:rPr>
        <w:rFonts w:cs="Times New Roman"/>
        <w:color w:val="3F4650"/>
        <w:sz w:val="19"/>
        <w:rtl/>
        <w:lang w:val="ar-SA"/>
      </w:rPr>
      <w:t>حوكمة الممتلكات العامة وكفاءة الإنفاق العقاري الحكومي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975792734">
    <w:abstractNumId w:val="8"/>
  </w:num>
  <w:num w:numId="2" w16cid:durableId="1816684094">
    <w:abstractNumId w:val="6"/>
  </w:num>
  <w:num w:numId="3" w16cid:durableId="2088261502">
    <w:abstractNumId w:val="5"/>
  </w:num>
  <w:num w:numId="4" w16cid:durableId="2120640510">
    <w:abstractNumId w:val="4"/>
  </w:num>
  <w:num w:numId="5" w16cid:durableId="1622414679">
    <w:abstractNumId w:val="7"/>
  </w:num>
  <w:num w:numId="6" w16cid:durableId="338510117">
    <w:abstractNumId w:val="3"/>
  </w:num>
  <w:num w:numId="7" w16cid:durableId="1824154679">
    <w:abstractNumId w:val="2"/>
  </w:num>
  <w:num w:numId="8" w16cid:durableId="1011682578">
    <w:abstractNumId w:val="1"/>
  </w:num>
  <w:num w:numId="9" w16cid:durableId="1924335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0B362E"/>
    <w:rsid w:val="0015074B"/>
    <w:rsid w:val="00181975"/>
    <w:rsid w:val="00190A10"/>
    <w:rsid w:val="0029639D"/>
    <w:rsid w:val="00326F90"/>
    <w:rsid w:val="003D26DE"/>
    <w:rsid w:val="00407C4C"/>
    <w:rsid w:val="00482CBE"/>
    <w:rsid w:val="005714E8"/>
    <w:rsid w:val="00642214"/>
    <w:rsid w:val="00697C88"/>
    <w:rsid w:val="007817CC"/>
    <w:rsid w:val="00862342"/>
    <w:rsid w:val="00936267"/>
    <w:rsid w:val="00981704"/>
    <w:rsid w:val="00986803"/>
    <w:rsid w:val="009868D4"/>
    <w:rsid w:val="009B6272"/>
    <w:rsid w:val="00AA1D8D"/>
    <w:rsid w:val="00AE1FD7"/>
    <w:rsid w:val="00B47730"/>
    <w:rsid w:val="00C34E74"/>
    <w:rsid w:val="00C3635B"/>
    <w:rsid w:val="00C822C0"/>
    <w:rsid w:val="00CB0664"/>
    <w:rsid w:val="00D14057"/>
    <w:rsid w:val="00D26C73"/>
    <w:rsid w:val="00DA34A3"/>
    <w:rsid w:val="00DB29B7"/>
    <w:rsid w:val="00F0464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F6DB38"/>
  <w14:defaultImageDpi w14:val="300"/>
  <w15:docId w15:val="{9D93C392-4B3B-421D-8A3C-1FDFCBA48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00" w:line="324" w:lineRule="auto"/>
      <w:ind w:firstLine="397"/>
      <w:jc w:val="both"/>
    </w:pPr>
    <w:rPr>
      <w:rFonts w:ascii="Noto Naskh Arabic" w:eastAsia="Noto Naskh Arabic" w:hAnsi="Noto Naskh Arabic" w:cs="Noto Naskh Arabic"/>
      <w:sz w:val="28"/>
    </w:rPr>
  </w:style>
  <w:style w:type="paragraph" w:styleId="1">
    <w:name w:val="heading 1"/>
    <w:basedOn w:val="a1"/>
    <w:next w:val="a1"/>
    <w:link w:val="1Char"/>
    <w:uiPriority w:val="9"/>
    <w:qFormat/>
    <w:rsid w:val="00FC693F"/>
    <w:pPr>
      <w:keepNext/>
      <w:keepLines/>
      <w:pageBreakBefore/>
      <w:spacing w:after="360"/>
      <w:jc w:val="center"/>
      <w:outlineLvl w:val="0"/>
    </w:pPr>
    <w:rPr>
      <w:rFonts w:asciiTheme="majorHAnsi" w:eastAsiaTheme="majorEastAsia" w:hAnsiTheme="majorHAnsi" w:cstheme="majorBidi"/>
      <w:b/>
      <w:bCs/>
      <w:color w:val="17365D"/>
      <w:sz w:val="40"/>
      <w:szCs w:val="28"/>
    </w:rPr>
  </w:style>
  <w:style w:type="paragraph" w:styleId="21">
    <w:name w:val="heading 2"/>
    <w:basedOn w:val="a1"/>
    <w:next w:val="a1"/>
    <w:link w:val="2Char"/>
    <w:uiPriority w:val="9"/>
    <w:unhideWhenUsed/>
    <w:qFormat/>
    <w:rsid w:val="00FC693F"/>
    <w:pPr>
      <w:keepNext/>
      <w:keepLines/>
      <w:spacing w:before="260" w:after="140"/>
      <w:jc w:val="right"/>
      <w:outlineLvl w:val="1"/>
    </w:pPr>
    <w:rPr>
      <w:rFonts w:asciiTheme="majorHAnsi" w:eastAsiaTheme="majorEastAsia" w:hAnsiTheme="majorHAnsi" w:cstheme="majorBidi"/>
      <w:b/>
      <w:bCs/>
      <w:color w:val="17365D"/>
      <w:sz w:val="32"/>
      <w:szCs w:val="26"/>
    </w:rPr>
  </w:style>
  <w:style w:type="paragraph" w:styleId="31">
    <w:name w:val="heading 3"/>
    <w:basedOn w:val="a1"/>
    <w:next w:val="a1"/>
    <w:link w:val="3Char"/>
    <w:uiPriority w:val="9"/>
    <w:unhideWhenUsed/>
    <w:qFormat/>
    <w:rsid w:val="00FC693F"/>
    <w:pPr>
      <w:keepNext/>
      <w:keepLines/>
      <w:spacing w:before="200"/>
      <w:jc w:val="right"/>
      <w:outlineLvl w:val="2"/>
    </w:pPr>
    <w:rPr>
      <w:rFonts w:asciiTheme="majorHAnsi" w:eastAsiaTheme="majorEastAsia" w:hAnsiTheme="majorHAnsi" w:cstheme="majorBidi"/>
      <w:b/>
      <w:bCs/>
      <w:color w:val="1F6D7A"/>
      <w:sz w:val="29"/>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jc w:val="center"/>
    </w:pPr>
    <w:rPr>
      <w:rFonts w:asciiTheme="majorHAnsi" w:eastAsiaTheme="majorEastAsia" w:hAnsiTheme="majorHAnsi" w:cstheme="majorBidi"/>
      <w:b/>
      <w:color w:val="17365D"/>
      <w:spacing w:val="5"/>
      <w:kern w:val="28"/>
      <w:sz w:val="44"/>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ind w:firstLine="397"/>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13">
    <w:name w:val="toc 1"/>
    <w:basedOn w:val="a1"/>
    <w:next w:val="a1"/>
    <w:autoRedefine/>
    <w:uiPriority w:val="39"/>
    <w:unhideWhenUsed/>
    <w:rsid w:val="005714E8"/>
  </w:style>
  <w:style w:type="paragraph" w:styleId="28">
    <w:name w:val="toc 2"/>
    <w:basedOn w:val="a1"/>
    <w:next w:val="a1"/>
    <w:autoRedefine/>
    <w:uiPriority w:val="39"/>
    <w:unhideWhenUsed/>
    <w:rsid w:val="005714E8"/>
    <w:pPr>
      <w:ind w:left="280"/>
    </w:pPr>
  </w:style>
  <w:style w:type="paragraph" w:styleId="36">
    <w:name w:val="toc 3"/>
    <w:basedOn w:val="a1"/>
    <w:next w:val="a1"/>
    <w:autoRedefine/>
    <w:uiPriority w:val="39"/>
    <w:unhideWhenUsed/>
    <w:rsid w:val="005714E8"/>
    <w:pPr>
      <w:ind w:left="560"/>
    </w:pPr>
  </w:style>
  <w:style w:type="paragraph" w:styleId="40">
    <w:name w:val="toc 4"/>
    <w:basedOn w:val="a1"/>
    <w:next w:val="a1"/>
    <w:autoRedefine/>
    <w:uiPriority w:val="39"/>
    <w:unhideWhenUsed/>
    <w:rsid w:val="005714E8"/>
    <w:pPr>
      <w:spacing w:line="259" w:lineRule="auto"/>
      <w:ind w:left="660" w:firstLine="0"/>
      <w:jc w:val="left"/>
    </w:pPr>
    <w:rPr>
      <w:rFonts w:asciiTheme="minorHAnsi" w:eastAsiaTheme="minorEastAsia" w:hAnsiTheme="minorHAnsi" w:cstheme="minorBidi"/>
      <w:sz w:val="22"/>
    </w:rPr>
  </w:style>
  <w:style w:type="paragraph" w:styleId="50">
    <w:name w:val="toc 5"/>
    <w:basedOn w:val="a1"/>
    <w:next w:val="a1"/>
    <w:autoRedefine/>
    <w:uiPriority w:val="39"/>
    <w:unhideWhenUsed/>
    <w:rsid w:val="005714E8"/>
    <w:pPr>
      <w:spacing w:line="259" w:lineRule="auto"/>
      <w:ind w:left="880" w:firstLine="0"/>
      <w:jc w:val="left"/>
    </w:pPr>
    <w:rPr>
      <w:rFonts w:asciiTheme="minorHAnsi" w:eastAsiaTheme="minorEastAsia" w:hAnsiTheme="minorHAnsi" w:cstheme="minorBidi"/>
      <w:sz w:val="22"/>
    </w:rPr>
  </w:style>
  <w:style w:type="paragraph" w:styleId="60">
    <w:name w:val="toc 6"/>
    <w:basedOn w:val="a1"/>
    <w:next w:val="a1"/>
    <w:autoRedefine/>
    <w:uiPriority w:val="39"/>
    <w:unhideWhenUsed/>
    <w:rsid w:val="005714E8"/>
    <w:pPr>
      <w:spacing w:line="259" w:lineRule="auto"/>
      <w:ind w:left="1100" w:firstLine="0"/>
      <w:jc w:val="left"/>
    </w:pPr>
    <w:rPr>
      <w:rFonts w:asciiTheme="minorHAnsi" w:eastAsiaTheme="minorEastAsia" w:hAnsiTheme="minorHAnsi" w:cstheme="minorBidi"/>
      <w:sz w:val="22"/>
    </w:rPr>
  </w:style>
  <w:style w:type="paragraph" w:styleId="70">
    <w:name w:val="toc 7"/>
    <w:basedOn w:val="a1"/>
    <w:next w:val="a1"/>
    <w:autoRedefine/>
    <w:uiPriority w:val="39"/>
    <w:unhideWhenUsed/>
    <w:rsid w:val="005714E8"/>
    <w:pPr>
      <w:spacing w:line="259" w:lineRule="auto"/>
      <w:ind w:left="1320" w:firstLine="0"/>
      <w:jc w:val="left"/>
    </w:pPr>
    <w:rPr>
      <w:rFonts w:asciiTheme="minorHAnsi" w:eastAsiaTheme="minorEastAsia" w:hAnsiTheme="minorHAnsi" w:cstheme="minorBidi"/>
      <w:sz w:val="22"/>
    </w:rPr>
  </w:style>
  <w:style w:type="paragraph" w:styleId="80">
    <w:name w:val="toc 8"/>
    <w:basedOn w:val="a1"/>
    <w:next w:val="a1"/>
    <w:autoRedefine/>
    <w:uiPriority w:val="39"/>
    <w:unhideWhenUsed/>
    <w:rsid w:val="005714E8"/>
    <w:pPr>
      <w:spacing w:line="259" w:lineRule="auto"/>
      <w:ind w:left="1540" w:firstLine="0"/>
      <w:jc w:val="left"/>
    </w:pPr>
    <w:rPr>
      <w:rFonts w:asciiTheme="minorHAnsi" w:eastAsiaTheme="minorEastAsia" w:hAnsiTheme="minorHAnsi" w:cstheme="minorBidi"/>
      <w:sz w:val="22"/>
    </w:rPr>
  </w:style>
  <w:style w:type="paragraph" w:styleId="90">
    <w:name w:val="toc 9"/>
    <w:basedOn w:val="a1"/>
    <w:next w:val="a1"/>
    <w:autoRedefine/>
    <w:uiPriority w:val="39"/>
    <w:unhideWhenUsed/>
    <w:rsid w:val="005714E8"/>
    <w:pPr>
      <w:spacing w:line="259" w:lineRule="auto"/>
      <w:ind w:left="1760" w:firstLine="0"/>
      <w:jc w:val="left"/>
    </w:pPr>
    <w:rPr>
      <w:rFonts w:asciiTheme="minorHAnsi" w:eastAsiaTheme="minorEastAsia" w:hAnsiTheme="minorHAnsi" w:cstheme="minorBidi"/>
      <w:sz w:val="22"/>
    </w:rPr>
  </w:style>
  <w:style w:type="character" w:styleId="Hyperlink">
    <w:name w:val="Hyperlink"/>
    <w:basedOn w:val="a2"/>
    <w:uiPriority w:val="99"/>
    <w:unhideWhenUsed/>
    <w:rsid w:val="005714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4396E-D0F6-4AA5-A71A-FFC92CEA8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94</Pages>
  <Words>19796</Words>
  <Characters>112841</Characters>
  <Application>Microsoft Office Word</Application>
  <DocSecurity>0</DocSecurity>
  <Lines>940</Lines>
  <Paragraphs>264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حوكمة إدارة الممتلكات العامة في تعزيز كفاءة الإنفاق الحكومي العقاري في المملكة العربية السعودية</vt:lpstr>
      <vt:lpstr/>
    </vt:vector>
  </TitlesOfParts>
  <Manager/>
  <Company/>
  <LinksUpToDate>false</LinksUpToDate>
  <CharactersWithSpaces>132373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حوكمة إدارة الممتلكات العامة في تعزيز كفاءة الإنفاق الحكومي العقاري في المملكة العربية السعودية</dc:title>
  <dc:subject>رسالة ماجستير في حوكمة إدارة الممتلكات العامة وكفاءة الإنفاق الحكومي العقاري</dc:subject>
  <dc:creator>Maher</dc:creator>
  <cp:keywords>الحوكمة؛ الممتلكات العامة؛ كفاءة الإنفاق؛ الأصول العقارية؛ السعودية</cp:keywords>
  <dc:description>generated by python-docx</dc:description>
  <cp:lastModifiedBy>اطلال محمد</cp:lastModifiedBy>
  <cp:revision>11</cp:revision>
  <cp:lastPrinted>2026-07-17T15:37:00Z</cp:lastPrinted>
  <dcterms:created xsi:type="dcterms:W3CDTF">2026-07-17T13:23:00Z</dcterms:created>
  <dcterms:modified xsi:type="dcterms:W3CDTF">2026-07-17T16:30:00Z</dcterms:modified>
  <cp:category/>
</cp:coreProperties>
</file>