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E1624F0" w:rsidR="009125CE" w:rsidRPr="003177F3" w:rsidRDefault="005839BE" w:rsidP="00F8519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177F3">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7B0D6230">
            <wp:simplePos x="0" y="0"/>
            <wp:positionH relativeFrom="margin">
              <wp:posOffset>113665</wp:posOffset>
            </wp:positionH>
            <wp:positionV relativeFrom="margin">
              <wp:posOffset>-274320</wp:posOffset>
            </wp:positionV>
            <wp:extent cx="1600835" cy="14859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835" cy="1485900"/>
                    </a:xfrm>
                    <a:prstGeom prst="rect">
                      <a:avLst/>
                    </a:prstGeom>
                  </pic:spPr>
                </pic:pic>
              </a:graphicData>
            </a:graphic>
            <wp14:sizeRelH relativeFrom="margin">
              <wp14:pctWidth>0</wp14:pctWidth>
            </wp14:sizeRelH>
            <wp14:sizeRelV relativeFrom="margin">
              <wp14:pctHeight>0</wp14:pctHeight>
            </wp14:sizeRelV>
          </wp:anchor>
        </w:drawing>
      </w:r>
      <w:r w:rsidR="009125CE" w:rsidRPr="003177F3">
        <w:rPr>
          <w:rFonts w:ascii="Sakkal Majalla" w:hAnsi="Sakkal Majalla" w:cs="Sakkal Majalla"/>
          <w:b/>
          <w:bCs/>
          <w:color w:val="000000" w:themeColor="text1"/>
          <w:sz w:val="32"/>
          <w:szCs w:val="32"/>
          <w:rtl/>
          <w:lang w:bidi="ar-EG"/>
        </w:rPr>
        <w:t xml:space="preserve">جامعة ميدأوشن </w:t>
      </w:r>
    </w:p>
    <w:p w14:paraId="1E957002" w14:textId="2BF416A9" w:rsidR="00F546CE" w:rsidRPr="003177F3" w:rsidRDefault="009125CE" w:rsidP="00F8519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177F3">
        <w:rPr>
          <w:rFonts w:ascii="Sakkal Majalla" w:hAnsi="Sakkal Majalla" w:cs="Sakkal Majalla"/>
          <w:b/>
          <w:bCs/>
          <w:color w:val="000000" w:themeColor="text1"/>
          <w:sz w:val="32"/>
          <w:szCs w:val="32"/>
          <w:lang w:bidi="ar-EG"/>
        </w:rPr>
        <w:t xml:space="preserve"> </w:t>
      </w:r>
      <w:r w:rsidRPr="003177F3">
        <w:rPr>
          <w:rFonts w:ascii="Sakkal Majalla" w:hAnsi="Sakkal Majalla" w:cs="Sakkal Majalla"/>
          <w:b/>
          <w:bCs/>
          <w:color w:val="000000" w:themeColor="text1"/>
          <w:sz w:val="32"/>
          <w:szCs w:val="32"/>
          <w:rtl/>
          <w:lang w:bidi="ar-EG"/>
        </w:rPr>
        <w:t xml:space="preserve">كلية الإدارة </w:t>
      </w:r>
    </w:p>
    <w:p w14:paraId="0217C513" w14:textId="423A403B" w:rsidR="009125CE" w:rsidRPr="003177F3" w:rsidRDefault="009125CE" w:rsidP="00F8519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177F3">
        <w:rPr>
          <w:rFonts w:ascii="Sakkal Majalla" w:hAnsi="Sakkal Majalla" w:cs="Sakkal Majalla"/>
          <w:b/>
          <w:bCs/>
          <w:color w:val="000000" w:themeColor="text1"/>
          <w:sz w:val="32"/>
          <w:szCs w:val="32"/>
          <w:rtl/>
          <w:lang w:bidi="ar-EG"/>
        </w:rPr>
        <w:t>قسم / تخصص</w:t>
      </w:r>
      <w:r w:rsidR="00622AEC" w:rsidRPr="003177F3">
        <w:rPr>
          <w:rFonts w:ascii="Sakkal Majalla" w:hAnsi="Sakkal Majalla" w:cs="Sakkal Majalla"/>
          <w:b/>
          <w:bCs/>
          <w:color w:val="000000" w:themeColor="text1"/>
          <w:sz w:val="32"/>
          <w:szCs w:val="32"/>
          <w:rtl/>
          <w:lang w:bidi="ar-EG"/>
        </w:rPr>
        <w:t xml:space="preserve"> إدارة مخاطر</w:t>
      </w:r>
    </w:p>
    <w:p w14:paraId="1AA4343F" w14:textId="4B5C5176" w:rsidR="009125CE" w:rsidRPr="003177F3" w:rsidRDefault="00622AEC" w:rsidP="00F85192">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3177F3">
        <w:rPr>
          <w:rFonts w:ascii="Sakkal Majalla" w:hAnsi="Sakkal Majalla" w:cs="Sakkal Majalla"/>
          <w:b/>
          <w:bCs/>
          <w:color w:val="000000" w:themeColor="text1"/>
          <w:sz w:val="40"/>
          <w:szCs w:val="40"/>
          <w:rtl/>
          <w:lang w:bidi="ar-EG"/>
        </w:rPr>
        <w:t xml:space="preserve">ادارة مخاطر الكوارث الصحية والاوبئة </w:t>
      </w:r>
      <w:r w:rsidR="0040482E" w:rsidRPr="003177F3">
        <w:rPr>
          <w:rFonts w:ascii="Sakkal Majalla" w:hAnsi="Sakkal Majalla" w:cs="Sakkal Majalla"/>
          <w:b/>
          <w:bCs/>
          <w:color w:val="000000" w:themeColor="text1"/>
          <w:sz w:val="40"/>
          <w:szCs w:val="40"/>
          <w:rtl/>
          <w:lang w:bidi="ar-EG"/>
        </w:rPr>
        <w:t>: إطار استراتيجى لتعزيز جاهزية واستدامة القطاع الصحى</w:t>
      </w:r>
    </w:p>
    <w:p w14:paraId="751A7E65" w14:textId="6D872A85" w:rsidR="009125CE" w:rsidRPr="003177F3" w:rsidRDefault="009125CE" w:rsidP="00F8519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177F3">
        <w:rPr>
          <w:rFonts w:ascii="Sakkal Majalla" w:hAnsi="Sakkal Majalla" w:cs="Sakkal Majalla"/>
          <w:b/>
          <w:bCs/>
          <w:color w:val="000000" w:themeColor="text1"/>
          <w:sz w:val="36"/>
          <w:szCs w:val="36"/>
          <w:rtl/>
          <w:lang w:bidi="ar-EG"/>
        </w:rPr>
        <w:t>إعداد الطالب/</w:t>
      </w:r>
    </w:p>
    <w:p w14:paraId="58D6152F" w14:textId="4B7CB4A3" w:rsidR="009125CE" w:rsidRPr="003177F3" w:rsidRDefault="00622AEC" w:rsidP="00F8519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3177F3">
        <w:rPr>
          <w:rFonts w:ascii="Sakkal Majalla" w:hAnsi="Sakkal Majalla" w:cs="Sakkal Majalla"/>
          <w:color w:val="000000" w:themeColor="text1"/>
          <w:sz w:val="36"/>
          <w:szCs w:val="36"/>
          <w:rtl/>
          <w:lang w:bidi="ar-EG"/>
        </w:rPr>
        <w:t>محمد صالح النخلي</w:t>
      </w:r>
    </w:p>
    <w:p w14:paraId="5F4EE2DE" w14:textId="1A92484F" w:rsidR="009125CE" w:rsidRPr="003177F3" w:rsidRDefault="009125CE" w:rsidP="00F8519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177F3">
        <w:rPr>
          <w:rFonts w:ascii="Sakkal Majalla" w:hAnsi="Sakkal Majalla" w:cs="Sakkal Majalla"/>
          <w:b/>
          <w:bCs/>
          <w:color w:val="000000" w:themeColor="text1"/>
          <w:sz w:val="36"/>
          <w:szCs w:val="36"/>
          <w:rtl/>
          <w:lang w:bidi="ar-EG"/>
        </w:rPr>
        <w:t>إشراف/</w:t>
      </w:r>
    </w:p>
    <w:p w14:paraId="2EFA31CD" w14:textId="287D4D2F" w:rsidR="009125CE" w:rsidRPr="003177F3" w:rsidRDefault="00B55620" w:rsidP="00F8519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3177F3">
        <w:rPr>
          <w:rFonts w:ascii="Sakkal Majalla" w:hAnsi="Sakkal Majalla" w:cs="Sakkal Majalla"/>
          <w:color w:val="000000" w:themeColor="text1"/>
          <w:sz w:val="36"/>
          <w:szCs w:val="36"/>
          <w:rtl/>
          <w:lang w:bidi="ar-EG"/>
        </w:rPr>
        <w:t>د.الفيصل عبد الحميد</w:t>
      </w:r>
    </w:p>
    <w:p w14:paraId="22738CC6" w14:textId="0A2AABF5" w:rsidR="009125CE" w:rsidRPr="003177F3" w:rsidRDefault="00B55620" w:rsidP="00F8519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3177F3">
        <w:rPr>
          <w:rFonts w:ascii="Sakkal Majalla" w:hAnsi="Sakkal Majalla" w:cs="Sakkal Majalla"/>
          <w:color w:val="000000" w:themeColor="text1"/>
          <w:sz w:val="36"/>
          <w:szCs w:val="36"/>
          <w:rtl/>
          <w:lang w:bidi="ar-EG"/>
        </w:rPr>
        <w:t>د.فايز جراد</w:t>
      </w:r>
    </w:p>
    <w:p w14:paraId="14480418" w14:textId="78A6C3AC" w:rsidR="009125CE" w:rsidRPr="003177F3" w:rsidRDefault="009125CE" w:rsidP="00F8519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177F3">
        <w:rPr>
          <w:rFonts w:ascii="Sakkal Majalla" w:hAnsi="Sakkal Majalla" w:cs="Sakkal Majalla"/>
          <w:b/>
          <w:bCs/>
          <w:color w:val="000000" w:themeColor="text1"/>
          <w:sz w:val="36"/>
          <w:szCs w:val="36"/>
          <w:rtl/>
          <w:lang w:bidi="ar-EG"/>
        </w:rPr>
        <w:t>العام الدراسي:</w:t>
      </w:r>
    </w:p>
    <w:p w14:paraId="0A07F462" w14:textId="77777777" w:rsidR="005839BE" w:rsidRPr="003177F3" w:rsidRDefault="005839BE" w:rsidP="00F85192">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5839BE" w:rsidRPr="003177F3" w:rsidSect="005839BE">
          <w:type w:val="continuous"/>
          <w:pgSz w:w="11906" w:h="16838" w:code="9"/>
          <w:pgMar w:top="1440" w:right="1985" w:bottom="1440" w:left="1418" w:header="720" w:footer="720" w:gutter="567"/>
          <w:pgNumType w:fmt="arabicAbjad" w:start="1"/>
          <w:cols w:space="708"/>
          <w:bidi/>
          <w:rtlGutter/>
          <w:docGrid w:linePitch="360"/>
        </w:sectPr>
      </w:pPr>
      <w:r w:rsidRPr="003177F3">
        <w:rPr>
          <w:rFonts w:ascii="Sakkal Majalla" w:hAnsi="Sakkal Majalla" w:cs="Sakkal Majalla" w:hint="cs"/>
          <w:color w:val="000000" w:themeColor="text1"/>
          <w:sz w:val="36"/>
          <w:szCs w:val="36"/>
          <w:rtl/>
          <w:lang w:bidi="ar-EG"/>
        </w:rPr>
        <w:t xml:space="preserve">1447 </w:t>
      </w:r>
      <w:r w:rsidRPr="003177F3">
        <w:rPr>
          <w:rFonts w:ascii="Sakkal Majalla" w:hAnsi="Sakkal Majalla" w:cs="Sakkal Majalla"/>
          <w:color w:val="000000" w:themeColor="text1"/>
          <w:sz w:val="36"/>
          <w:szCs w:val="36"/>
          <w:rtl/>
          <w:lang w:bidi="ar-EG"/>
        </w:rPr>
        <w:t>–</w:t>
      </w:r>
      <w:r w:rsidRPr="003177F3">
        <w:rPr>
          <w:rFonts w:ascii="Sakkal Majalla" w:hAnsi="Sakkal Majalla" w:cs="Sakkal Majalla" w:hint="cs"/>
          <w:color w:val="000000" w:themeColor="text1"/>
          <w:sz w:val="36"/>
          <w:szCs w:val="36"/>
          <w:rtl/>
          <w:lang w:bidi="ar-EG"/>
        </w:rPr>
        <w:t xml:space="preserve"> 2026</w:t>
      </w:r>
    </w:p>
    <w:p w14:paraId="257D0A64" w14:textId="0774D34E" w:rsidR="005839BE" w:rsidRPr="003177F3" w:rsidRDefault="00F85192" w:rsidP="00F85192">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0" w:name="_Toc223814192"/>
      <w:r w:rsidRPr="003177F3">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45804C03" w14:textId="603DBA0D" w:rsidR="00812EC8" w:rsidRPr="003177F3" w:rsidRDefault="00F85192" w:rsidP="00F8519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 w:name="_Toc223814193"/>
      <w:r w:rsidRPr="003177F3">
        <w:rPr>
          <w:rFonts w:ascii="Sakkal Majalla" w:hAnsi="Sakkal Majalla" w:cs="Sakkal Majalla" w:hint="cs"/>
          <w:b/>
          <w:bCs/>
          <w:color w:val="000000" w:themeColor="text1"/>
          <w:sz w:val="36"/>
          <w:szCs w:val="36"/>
          <w:rtl/>
        </w:rPr>
        <w:t>1.1 المقدمة</w:t>
      </w:r>
      <w:bookmarkEnd w:id="1"/>
    </w:p>
    <w:p w14:paraId="6390BE20" w14:textId="77777777" w:rsidR="00D86537" w:rsidRPr="003177F3" w:rsidRDefault="00D86537" w:rsidP="00F8519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177F3">
        <w:rPr>
          <w:rFonts w:ascii="Sakkal Majalla" w:hAnsi="Sakkal Majalla" w:cs="Sakkal Majalla"/>
          <w:color w:val="000000" w:themeColor="text1"/>
          <w:sz w:val="28"/>
          <w:szCs w:val="28"/>
          <w:rtl/>
        </w:rPr>
        <w:t>يُعدّ القطاع الصحي من أكثر القطاعات الحيوية حساسيةً وارتباطاً بحياة الإنسان ورفاهيته، إذ يتحمل مسؤولية تقديم خدمات الرعاية الصحية والوقاية والعلاج لملايين البشر حول العالم، غير أن هذا القطاع يواجه بصورة متزايدة موجات متلاحقة من الأزمات والكوارث الصحية والأوبئة التي تُلقي بأعباء هائلة على منظوماته وبنيته التحتية وكوادره البشرية. ولعل جائحة كوفيد-19 كانت أبرز شاهد معاصر على قدرة الأوبئة على زعزعة أقوى الأنظمة الصحية في العالم وكشف مواطن الضعف الكامنة فيها، مما أعاد إلى الواجهة تساؤلات جوهرية حول مدى استعداد المؤسسات الصحية لمواجهة المخاطر الصحية الكبرى وقدرتها على ضمان استمرارية خدماتها في ظل الظروف الاستثنائية (القضاة والسبحي وحوباني، 2023)</w:t>
      </w:r>
      <w:r w:rsidRPr="003177F3">
        <w:rPr>
          <w:rFonts w:ascii="Sakkal Majalla" w:hAnsi="Sakkal Majalla" w:cs="Sakkal Majalla"/>
          <w:color w:val="000000" w:themeColor="text1"/>
          <w:sz w:val="28"/>
          <w:szCs w:val="28"/>
          <w:lang w:bidi="ar-EG"/>
        </w:rPr>
        <w:t>.</w:t>
      </w:r>
    </w:p>
    <w:p w14:paraId="42DACF48" w14:textId="77777777" w:rsidR="00D86537" w:rsidRPr="003177F3" w:rsidRDefault="00D86537" w:rsidP="00F8519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177F3">
        <w:rPr>
          <w:rFonts w:ascii="Sakkal Majalla" w:hAnsi="Sakkal Majalla" w:cs="Sakkal Majalla"/>
          <w:color w:val="000000" w:themeColor="text1"/>
          <w:sz w:val="28"/>
          <w:szCs w:val="28"/>
          <w:rtl/>
        </w:rPr>
        <w:t>وتمثل إدارة مخاطر الكوارث الصحية والأوبئة منظومة متكاملة من العمليات والممارسات التي تهدف إلى تحديد المخاطر الصحية المحتملة وتقييمها والتعامل معها بأساليب استباقية منهجية، وتتطلب هذه المنظومة تخطيطاً استباقياً دقيقاً يستند إلى تحليل علمي للمخاطر ووضع سيناريوهات مسبقة للاستجابة، يُدعم ببناء قدرات مؤسسية قادرة على التقدير الدقيق للمخاطر ومعالجتها وفق أُطر منهجية واضحة تضمن التقليل من آثارها السلبية على المنظومة الصحية والمجتمع (المطيري، 2023). كما يُعدّ التنسيق المؤسسي والاستجابة السريعة ركيزتين محوريتين في إدارة المخاطر الصحية، إذ يتطلب التعامل الفعال مع الأوبئة والكوارث تكاملاً وثيقاً بين مختلف الجهات الصحية والحكومية والمجتمعية، مع تبني استراتيجيات فعالة لاتصال المخاطر تضمن إيصال المعلومات الصحيحة للجمهور في الوقت المناسب وتعزيز ثقته بالمؤسسات الصحية القائمة على إدارة الأزمة (بن لعربي، 2022)</w:t>
      </w:r>
      <w:r w:rsidRPr="003177F3">
        <w:rPr>
          <w:rFonts w:ascii="Sakkal Majalla" w:hAnsi="Sakkal Majalla" w:cs="Sakkal Majalla"/>
          <w:color w:val="000000" w:themeColor="text1"/>
          <w:sz w:val="28"/>
          <w:szCs w:val="28"/>
          <w:lang w:bidi="ar-EG"/>
        </w:rPr>
        <w:t>.</w:t>
      </w:r>
    </w:p>
    <w:p w14:paraId="5F4EC815" w14:textId="77777777" w:rsidR="00D86537" w:rsidRPr="003177F3" w:rsidRDefault="00D86537" w:rsidP="00F8519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177F3">
        <w:rPr>
          <w:rFonts w:ascii="Sakkal Majalla" w:hAnsi="Sakkal Majalla" w:cs="Sakkal Majalla"/>
          <w:color w:val="000000" w:themeColor="text1"/>
          <w:sz w:val="28"/>
          <w:szCs w:val="28"/>
          <w:rtl/>
        </w:rPr>
        <w:t xml:space="preserve">ومن جهة أخرى، يُشكّل تعزيز جاهزية القطاع الصحي واستدامته غاية استراتيجية محورية تسعى إليها الأنظمة الصحية حول العالم، حيث تُشير الجاهزية إلى مدى استعداد المؤسسات الصحية بمواردها البشرية والمادية والتقنية للتعامل مع الأزمات والطوارئ الصحية بكفاءة وفاعلية، بينما تعكس الاستدامة </w:t>
      </w:r>
      <w:r w:rsidRPr="003177F3">
        <w:rPr>
          <w:rFonts w:ascii="Sakkal Majalla" w:hAnsi="Sakkal Majalla" w:cs="Sakkal Majalla"/>
          <w:color w:val="000000" w:themeColor="text1"/>
          <w:sz w:val="28"/>
          <w:szCs w:val="28"/>
          <w:rtl/>
        </w:rPr>
        <w:lastRenderedPageBreak/>
        <w:t>قدرة هذه المؤسسات على المحافظة على مستوى أدائها واستمرارية خدماتها على المدى البعيد بصرف النظر عن الصدمات والضغوط التي قد تتعرض لها (العنزي والنيف، 2025). ويرتبط تحقيق الجاهزية والاستدامة ارتباطاً وثيقاً ببناء مرونة تنظيمية شاملة تتجاوز مجرد القدرة على مقاومة الصدمات لتشمل القدرة على التكيف والتحول والتعلم المستمر من التجارب السابقة، وهو ما يستوجب توافر بنية تحتية متينة وكفاءات بشرية مؤهلة وأنظمة معلومات فاعلة وثقافة تنظيمية داعمة لإدارة المخاطر</w:t>
      </w:r>
      <w:r w:rsidRPr="003177F3">
        <w:rPr>
          <w:rFonts w:ascii="Sakkal Majalla" w:hAnsi="Sakkal Majalla" w:cs="Sakkal Majalla"/>
          <w:color w:val="000000" w:themeColor="text1"/>
          <w:sz w:val="28"/>
          <w:szCs w:val="28"/>
          <w:lang w:bidi="ar-EG"/>
        </w:rPr>
        <w:t xml:space="preserve"> (Barasa, Mbau &amp; Gilson, 2018).</w:t>
      </w:r>
    </w:p>
    <w:p w14:paraId="6C5EC00B" w14:textId="77777777" w:rsidR="00D86537" w:rsidRPr="003177F3" w:rsidRDefault="00D86537" w:rsidP="00F8519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3177F3">
        <w:rPr>
          <w:rFonts w:ascii="Sakkal Majalla" w:hAnsi="Sakkal Majalla" w:cs="Sakkal Majalla"/>
          <w:color w:val="000000" w:themeColor="text1"/>
          <w:sz w:val="28"/>
          <w:szCs w:val="28"/>
          <w:rtl/>
        </w:rPr>
        <w:t>وعليه، فإن العلاقة بين إدارة مخاطر الكوارث الصحية والأوبئة وبين تعزيز جاهزية واستدامة القطاع الصحي هي علاقة تكاملية جوهرية، إذ أن جودة ممارسات إدارة المخاطر بأبعادها المختلفة تنعكس بصورة مباشرة على قدرة المؤسسات الصحية في الحفاظ على جاهزيتها واستدامة خدماتها، وأن أي قصور في أحد أبعاد إدارة المخاطر سينعكس سلباً على المنظومة الصحية بأكملها (داخل وجماعة وأبو زيد، 2022)</w:t>
      </w:r>
      <w:r w:rsidRPr="003177F3">
        <w:rPr>
          <w:rFonts w:ascii="Sakkal Majalla" w:hAnsi="Sakkal Majalla" w:cs="Sakkal Majalla"/>
          <w:color w:val="000000" w:themeColor="text1"/>
          <w:sz w:val="28"/>
          <w:szCs w:val="28"/>
          <w:lang w:bidi="ar-EG"/>
        </w:rPr>
        <w:t>.</w:t>
      </w:r>
    </w:p>
    <w:p w14:paraId="09FA4DDA" w14:textId="57AAB00D" w:rsidR="00D86537" w:rsidRPr="003177F3" w:rsidRDefault="00D86537" w:rsidP="00F8519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3177F3">
        <w:rPr>
          <w:rFonts w:ascii="Sakkal Majalla" w:hAnsi="Sakkal Majalla" w:cs="Sakkal Majalla"/>
          <w:color w:val="000000" w:themeColor="text1"/>
          <w:sz w:val="28"/>
          <w:szCs w:val="28"/>
          <w:rtl/>
        </w:rPr>
        <w:t>وانطلاقاً من ذلك، تأتي هذه الدراسة لتسلّط الضوء على أثر إدارة مخاطر الكوارث الصحية والأوبئة بأبعادها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في المؤسسات الصحية، ساعيةً إلى تقديم إطار استراتيجي يُسهم في تمكين هذه المؤسسات من بناء منظومة متكاملة لإدارة المخاطر تضمن استعدادها الأمثل لمواجهة الكوارث الصحية والأوبئة الحالية والمستقبلية</w:t>
      </w:r>
    </w:p>
    <w:p w14:paraId="354461C6" w14:textId="006C4F7B" w:rsidR="00C254AC" w:rsidRPr="003177F3" w:rsidRDefault="00F85192" w:rsidP="00F8519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23814194"/>
      <w:r w:rsidRPr="003177F3">
        <w:rPr>
          <w:rFonts w:ascii="Sakkal Majalla" w:hAnsi="Sakkal Majalla" w:cs="Sakkal Majalla" w:hint="cs"/>
          <w:b/>
          <w:bCs/>
          <w:color w:val="000000" w:themeColor="text1"/>
          <w:sz w:val="36"/>
          <w:szCs w:val="36"/>
          <w:rtl/>
          <w:lang w:bidi="ar-EG"/>
        </w:rPr>
        <w:t xml:space="preserve">2.1 </w:t>
      </w:r>
      <w:r w:rsidR="00A74F76" w:rsidRPr="003177F3">
        <w:rPr>
          <w:rFonts w:ascii="Sakkal Majalla" w:hAnsi="Sakkal Majalla" w:cs="Sakkal Majalla"/>
          <w:b/>
          <w:bCs/>
          <w:color w:val="000000" w:themeColor="text1"/>
          <w:sz w:val="36"/>
          <w:szCs w:val="36"/>
          <w:rtl/>
        </w:rPr>
        <w:t>مشكلة الدراسة</w:t>
      </w:r>
      <w:r w:rsidR="009125CE" w:rsidRPr="003177F3">
        <w:rPr>
          <w:rFonts w:ascii="Sakkal Majalla" w:hAnsi="Sakkal Majalla" w:cs="Sakkal Majalla"/>
          <w:b/>
          <w:bCs/>
          <w:color w:val="000000" w:themeColor="text1"/>
          <w:sz w:val="36"/>
          <w:szCs w:val="36"/>
          <w:rtl/>
          <w:lang w:bidi="ar-EG"/>
        </w:rPr>
        <w:t>:</w:t>
      </w:r>
      <w:bookmarkEnd w:id="2"/>
    </w:p>
    <w:p w14:paraId="40FC2D80" w14:textId="77777777" w:rsidR="00D86537" w:rsidRPr="003177F3" w:rsidRDefault="00D86537" w:rsidP="00F85192">
      <w:pPr>
        <w:pStyle w:val="NormalWeb"/>
        <w:bidi/>
        <w:spacing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يشهد العالم المعاصر تصاعداً غير مسبوق في وتيرة الكوارث الصحية والأوبئة وحدّتها، حيث كشفت جائحة كوفيد-19 التي اجتاحت العالم مطلع عام 2020 عن هشاشة بنيوية عميقة في منظومات الرعاية الصحية على المستويين الإقليمي والدولي، إذ وجدت المؤسسات الصحية نفسها أمام تحديات جسيمة فاقت قدراتها الاستيعابية وأربكت خططها التشغيلية، وأسفرت عن انهيار سلاسل الإمداد الطبي وتراجع جودة الخدمات الصحية المقدمة وارتفاع معدلات الإصابة والوفاة بصورة كارثية. وقد أثبتت هذه </w:t>
      </w:r>
      <w:r w:rsidRPr="003177F3">
        <w:rPr>
          <w:rFonts w:ascii="Sakkal Majalla" w:hAnsi="Sakkal Majalla" w:cs="Sakkal Majalla"/>
          <w:color w:val="000000" w:themeColor="text1"/>
          <w:sz w:val="28"/>
          <w:szCs w:val="28"/>
          <w:rtl/>
        </w:rPr>
        <w:lastRenderedPageBreak/>
        <w:t>الجائحة أن غياب أُطر استراتيجية متكاملة لإدارة مخاطر الكوارث الصحية والأوبئة لا يُهدد فقط قدرة المؤسسات الصحية على الاستجابة الآنية للأزمات، بل يُقوّض استدامتها المؤسسية على المدى البعيد ويُفضي إلى تداعيات اقتصادية واجتماعية ونفسية واسعة النطاق تطال المجتمعات بأسرها</w:t>
      </w:r>
      <w:r w:rsidRPr="003177F3">
        <w:rPr>
          <w:rFonts w:ascii="Sakkal Majalla" w:hAnsi="Sakkal Majalla" w:cs="Sakkal Majalla"/>
          <w:color w:val="000000" w:themeColor="text1"/>
          <w:sz w:val="28"/>
          <w:szCs w:val="28"/>
        </w:rPr>
        <w:t>.</w:t>
      </w:r>
    </w:p>
    <w:p w14:paraId="256A5E45" w14:textId="77777777" w:rsidR="00D86537" w:rsidRPr="003177F3" w:rsidRDefault="00D86537" w:rsidP="00F85192">
      <w:pPr>
        <w:pStyle w:val="NormalWeb"/>
        <w:bidi/>
        <w:spacing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وعلى الرغم من الدروس القاسية التي خلّفتها جائحة كوفيد-19 والأوبئة السابقة لها كإنفلونزا الخنازير وفيروس إيبولا ومتلازمة الشرق الأوسط التنفسية، فإن كثيراً من المؤسسات الصحية لا تزال تعاني من قصور واضح في منظومة إدارة المخاطر، يتجلى في ضعف التخطيط الاستباقي وغياب سيناريوهات الاستجابة المعدّة مسبقاً، وبطء آليات الاستجابة والتنسيق بين الجهات المعنية عند وقوع الأزمات، وتشتت جهود اتصال المخاطر وعدم فاعلية الرسائل التوعوية الموجهة للمجتمع مما يُولّد حالة من الارتباك وعدم الثقة، فضلاً عن التأخر في تبني التحول الرقمي وضعف البنية التحتية التقنية اللازمة لدعم عمليات الرصد والإنذار المبكر واتخاذ القرار المبني على البيانات. وقد أكدت دراسة القضاة والسبحي وحوباني (2023) أن المؤسسات الصحية بحاجة ماسة إلى تبني تغييرات استراتيجية جوهرية في مقارباتها لإدارة الأزمات والكوارث الصحية، كما أشارت دراسة المطيري</w:t>
      </w:r>
      <w:r w:rsidRPr="003177F3">
        <w:rPr>
          <w:rFonts w:ascii="Sakkal Majalla" w:hAnsi="Sakkal Majalla" w:cs="Sakkal Majalla"/>
          <w:color w:val="000000" w:themeColor="text1"/>
          <w:sz w:val="28"/>
          <w:szCs w:val="28"/>
        </w:rPr>
        <w:t xml:space="preserve"> (2023) </w:t>
      </w:r>
      <w:r w:rsidRPr="003177F3">
        <w:rPr>
          <w:rFonts w:ascii="Sakkal Majalla" w:hAnsi="Sakkal Majalla" w:cs="Sakkal Majalla"/>
          <w:color w:val="000000" w:themeColor="text1"/>
          <w:sz w:val="28"/>
          <w:szCs w:val="28"/>
          <w:rtl/>
        </w:rPr>
        <w:t>إلى أن ممارسات إدارة المخاطر تؤثر تأثيراً جوهرياً في جودة الرعاية الصحية، في حين كشفت دراسة</w:t>
      </w:r>
      <w:r w:rsidRPr="003177F3">
        <w:rPr>
          <w:rFonts w:ascii="Sakkal Majalla" w:hAnsi="Sakkal Majalla" w:cs="Sakkal Majalla"/>
          <w:color w:val="000000" w:themeColor="text1"/>
          <w:sz w:val="28"/>
          <w:szCs w:val="28"/>
        </w:rPr>
        <w:t xml:space="preserve"> (Barasa, Mbau &amp; Gilson, 2018) </w:t>
      </w:r>
      <w:r w:rsidRPr="003177F3">
        <w:rPr>
          <w:rFonts w:ascii="Sakkal Majalla" w:hAnsi="Sakkal Majalla" w:cs="Sakkal Majalla"/>
          <w:color w:val="000000" w:themeColor="text1"/>
          <w:sz w:val="28"/>
          <w:szCs w:val="28"/>
          <w:rtl/>
        </w:rPr>
        <w:t>عن أن مرونة الأنظمة الصحية واستدامتها مرهونتان بتوافر مقومات متعددة تشمل التخطيط والاستعداد وإدارة المعلومات والقيادة الفاعلة والثقافة التنظيمية الداعمة</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كما أوضحت دراسة</w:t>
      </w:r>
      <w:r w:rsidRPr="003177F3">
        <w:rPr>
          <w:rFonts w:ascii="Sakkal Majalla" w:hAnsi="Sakkal Majalla" w:cs="Sakkal Majalla"/>
          <w:color w:val="000000" w:themeColor="text1"/>
          <w:sz w:val="28"/>
          <w:szCs w:val="28"/>
        </w:rPr>
        <w:t xml:space="preserve"> (Malecki, Keating &amp; Safdar, 2021) </w:t>
      </w:r>
      <w:r w:rsidRPr="003177F3">
        <w:rPr>
          <w:rFonts w:ascii="Sakkal Majalla" w:hAnsi="Sakkal Majalla" w:cs="Sakkal Majalla"/>
          <w:color w:val="000000" w:themeColor="text1"/>
          <w:sz w:val="28"/>
          <w:szCs w:val="28"/>
          <w:rtl/>
        </w:rPr>
        <w:t>أن الإخفاق في اتصال المخاطر يُفضي إلى تشوّه الإدراك العام للمخاطر وتراجع الالتزام بالإجراءات الوقائية</w:t>
      </w:r>
      <w:r w:rsidRPr="003177F3">
        <w:rPr>
          <w:rFonts w:ascii="Sakkal Majalla" w:hAnsi="Sakkal Majalla" w:cs="Sakkal Majalla"/>
          <w:color w:val="000000" w:themeColor="text1"/>
          <w:sz w:val="28"/>
          <w:szCs w:val="28"/>
        </w:rPr>
        <w:t>.</w:t>
      </w:r>
    </w:p>
    <w:p w14:paraId="7CAF3D94" w14:textId="77777777" w:rsidR="00D86537" w:rsidRPr="003177F3" w:rsidRDefault="00D86537" w:rsidP="00F85192">
      <w:pPr>
        <w:pStyle w:val="NormalWeb"/>
        <w:bidi/>
        <w:spacing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ومما يزيد من تعقيد المشكلة أن معظم الدراسات السابقة تناولت أبعاد إدارة المخاطر الصحية بشكل مجزّأ ومنفصل، دون تقديم إطار استراتيجي شامل يُدمج بين التخطيط الاستباقي والاستجابة المؤسسية واتصال المخاطر والتحول الرقمي في منظومة واحدة متكاملة قادرة على تعزيز جاهزية القطاع الصحي واستدامته. وتتفاقم هذه الفجوة البحثية في البيئة العربية تحديداً، حيث تبقى الأدبيات العلمية المتعلقة بهذا الموضوع محدودة نسبياً ولا تواكب حجم التحديات المتسارعة التي يواجهها القطاع الصحي في ظل تزايد احتمالية تكرار الأوبئة وتنامي المخاطر الصحية العابرة للحدود</w:t>
      </w:r>
      <w:r w:rsidRPr="003177F3">
        <w:rPr>
          <w:rFonts w:ascii="Sakkal Majalla" w:hAnsi="Sakkal Majalla" w:cs="Sakkal Majalla"/>
          <w:color w:val="000000" w:themeColor="text1"/>
          <w:sz w:val="28"/>
          <w:szCs w:val="28"/>
        </w:rPr>
        <w:t>.</w:t>
      </w:r>
    </w:p>
    <w:p w14:paraId="69DA3FAA" w14:textId="77777777" w:rsidR="00D86537" w:rsidRPr="003177F3" w:rsidRDefault="00D86537" w:rsidP="00F85192">
      <w:pPr>
        <w:pStyle w:val="NormalWeb"/>
        <w:bidi/>
        <w:spacing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وبناءً على ما تقدم، تتبلور مشكلة الدراسة الحالية في الحاجة الملحّة إلى الكشف عن أثر إدارة مخاطر الكوارث الصحية والأوبئة بأبعادها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وتقديم إطار استراتيجي متكامل يُسهم في سد الفجوة القائمة بين الواقع الحالي لإدارة المخاطر في المؤسسات الصحية والمستوى المأمول من الجاهزية والاستدامة</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ويمكن صياغة مشكلة الدراسة في التساؤل الرئيسي التالي</w:t>
      </w:r>
      <w:r w:rsidRPr="003177F3">
        <w:rPr>
          <w:rFonts w:ascii="Sakkal Majalla" w:hAnsi="Sakkal Majalla" w:cs="Sakkal Majalla"/>
          <w:color w:val="000000" w:themeColor="text1"/>
          <w:sz w:val="28"/>
          <w:szCs w:val="28"/>
        </w:rPr>
        <w:t xml:space="preserve">: </w:t>
      </w:r>
      <w:r w:rsidRPr="003177F3">
        <w:rPr>
          <w:rStyle w:val="Strong"/>
          <w:rFonts w:ascii="Sakkal Majalla" w:hAnsi="Sakkal Majalla" w:cs="Sakkal Majalla"/>
          <w:b w:val="0"/>
          <w:bCs w:val="0"/>
          <w:color w:val="000000" w:themeColor="text1"/>
          <w:sz w:val="28"/>
          <w:szCs w:val="28"/>
          <w:rtl/>
        </w:rPr>
        <w:t>ما أثر إدارة مخاطر الكوارث الصحية والأوبئة بأبعادها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في المؤسسات الصحية؟</w:t>
      </w:r>
    </w:p>
    <w:p w14:paraId="5F02BB6D" w14:textId="1FAE78B7" w:rsidR="009125CE" w:rsidRPr="003177F3" w:rsidRDefault="00F85192" w:rsidP="00F8519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23814195"/>
      <w:r w:rsidRPr="003177F3">
        <w:rPr>
          <w:rFonts w:ascii="Sakkal Majalla" w:hAnsi="Sakkal Majalla" w:cs="Sakkal Majalla"/>
          <w:b/>
          <w:bCs/>
          <w:color w:val="000000" w:themeColor="text1"/>
          <w:sz w:val="36"/>
          <w:szCs w:val="36"/>
          <w:rtl/>
          <w:lang w:bidi="ar-EG"/>
        </w:rPr>
        <w:t>3.1 اهداف الدراسة</w:t>
      </w:r>
      <w:bookmarkEnd w:id="3"/>
    </w:p>
    <w:p w14:paraId="7F9AFC6D" w14:textId="77777777" w:rsidR="00D86537" w:rsidRPr="003177F3" w:rsidRDefault="00D86537" w:rsidP="00F85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تهدف هذه الدراسة إلى التعرف على أثر إدارة مخاطر الكوارث الصحية والأوبئة بأبعادها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3EE80D13" w14:textId="79404387" w:rsidR="00F85192" w:rsidRPr="003177F3" w:rsidRDefault="00F85192"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3177F3">
        <w:rPr>
          <w:rFonts w:ascii="Sakkal Majalla" w:eastAsia="Times New Roman" w:hAnsi="Sakkal Majalla" w:cs="Sakkal Majalla"/>
          <w:b/>
          <w:bCs/>
          <w:color w:val="000000" w:themeColor="text1"/>
          <w:kern w:val="0"/>
          <w:sz w:val="32"/>
          <w:szCs w:val="32"/>
          <w:rtl/>
          <w14:ligatures w14:val="none"/>
        </w:rPr>
        <w:t>الأهداف الفرعية</w:t>
      </w:r>
    </w:p>
    <w:p w14:paraId="6CC92E46" w14:textId="77777777" w:rsidR="00D86537" w:rsidRPr="003177F3" w:rsidRDefault="00D86537"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ويتفرع من هذا الهدف الرئيسي الأهداف الفرعية التالية</w:t>
      </w:r>
      <w:r w:rsidRPr="003177F3">
        <w:rPr>
          <w:rFonts w:ascii="Sakkal Majalla" w:eastAsia="Times New Roman" w:hAnsi="Sakkal Majalla" w:cs="Sakkal Majalla"/>
          <w:b/>
          <w:bCs/>
          <w:color w:val="000000" w:themeColor="text1"/>
          <w:kern w:val="0"/>
          <w:sz w:val="28"/>
          <w:szCs w:val="28"/>
          <w14:ligatures w14:val="none"/>
        </w:rPr>
        <w:t>:</w:t>
      </w:r>
    </w:p>
    <w:p w14:paraId="7D0124CB"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التعرف على أثر التخطيط الاستباقي للمخاطر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2FED7935"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التعرف على أثر الاستجابة السريعة والتنسيق المؤسسي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444FAAAA"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التعرف على أثر اتصال المخاطر والتوعية المجتمعية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3F530F61"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التعرف على أثر التحول الرقمي والبنية التحتية التقنية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7081CAFC"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تحديد مستوى تطبيق إدارة مخاطر الكوارث الصحية والأوبئة بأبعادها المختلفة في المؤسسات الصحية من وجهة نظر العاملين فيها</w:t>
      </w:r>
      <w:r w:rsidRPr="003177F3">
        <w:rPr>
          <w:rFonts w:ascii="Sakkal Majalla" w:eastAsia="Times New Roman" w:hAnsi="Sakkal Majalla" w:cs="Sakkal Majalla"/>
          <w:color w:val="000000" w:themeColor="text1"/>
          <w:kern w:val="0"/>
          <w:sz w:val="28"/>
          <w:szCs w:val="28"/>
          <w14:ligatures w14:val="none"/>
        </w:rPr>
        <w:t>.</w:t>
      </w:r>
    </w:p>
    <w:p w14:paraId="3E552214"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تحديد مستوى جاهزية واستدامة القطاع الصحي في المؤسسات الصحية من وجهة نظر العاملين فيها</w:t>
      </w:r>
      <w:r w:rsidRPr="003177F3">
        <w:rPr>
          <w:rFonts w:ascii="Sakkal Majalla" w:eastAsia="Times New Roman" w:hAnsi="Sakkal Majalla" w:cs="Sakkal Majalla"/>
          <w:color w:val="000000" w:themeColor="text1"/>
          <w:kern w:val="0"/>
          <w:sz w:val="28"/>
          <w:szCs w:val="28"/>
          <w14:ligatures w14:val="none"/>
        </w:rPr>
        <w:t>.</w:t>
      </w:r>
    </w:p>
    <w:p w14:paraId="6B867232" w14:textId="77777777" w:rsidR="00D86537" w:rsidRPr="003177F3" w:rsidRDefault="00D86537" w:rsidP="00F85192">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تقديم إطار استراتيجي مقترح لتعزيز جاهزية واستدامة القطاع الصحي في ضوء نتائج الدراسة وتوصياتها</w:t>
      </w:r>
      <w:r w:rsidRPr="003177F3">
        <w:rPr>
          <w:rFonts w:ascii="Sakkal Majalla" w:eastAsia="Times New Roman" w:hAnsi="Sakkal Majalla" w:cs="Sakkal Majalla"/>
          <w:color w:val="000000" w:themeColor="text1"/>
          <w:kern w:val="0"/>
          <w:sz w:val="28"/>
          <w:szCs w:val="28"/>
          <w14:ligatures w14:val="none"/>
        </w:rPr>
        <w:t>.</w:t>
      </w:r>
    </w:p>
    <w:p w14:paraId="0F13785C" w14:textId="77777777" w:rsidR="00F85192" w:rsidRPr="003177F3" w:rsidRDefault="00F85192" w:rsidP="00F85192">
      <w:pPr>
        <w:tabs>
          <w:tab w:val="num" w:pos="423"/>
        </w:tabs>
        <w:spacing w:before="100" w:beforeAutospacing="1" w:after="100" w:afterAutospacing="1" w:line="360" w:lineRule="auto"/>
        <w:ind w:left="62"/>
        <w:outlineLvl w:val="1"/>
        <w:rPr>
          <w:rFonts w:ascii="Sakkal Majalla" w:eastAsia="Times New Roman" w:hAnsi="Sakkal Majalla" w:cs="Sakkal Majalla"/>
          <w:b/>
          <w:bCs/>
          <w:color w:val="000000" w:themeColor="text1"/>
          <w:kern w:val="0"/>
          <w:sz w:val="36"/>
          <w:szCs w:val="36"/>
          <w:rtl/>
          <w14:ligatures w14:val="none"/>
        </w:rPr>
      </w:pPr>
      <w:bookmarkStart w:id="4" w:name="_Toc223814196"/>
      <w:r w:rsidRPr="003177F3">
        <w:rPr>
          <w:rFonts w:ascii="Sakkal Majalla" w:eastAsia="Times New Roman" w:hAnsi="Sakkal Majalla" w:cs="Sakkal Majalla"/>
          <w:b/>
          <w:bCs/>
          <w:color w:val="000000" w:themeColor="text1"/>
          <w:kern w:val="0"/>
          <w:sz w:val="36"/>
          <w:szCs w:val="36"/>
          <w:rtl/>
          <w14:ligatures w14:val="none"/>
        </w:rPr>
        <w:t>4.1 أسئلة الدراسة</w:t>
      </w:r>
      <w:bookmarkEnd w:id="4"/>
    </w:p>
    <w:p w14:paraId="1FD7C7DA" w14:textId="78FD1E7C" w:rsidR="00D86537" w:rsidRPr="003177F3" w:rsidRDefault="00F85192" w:rsidP="00F85192">
      <w:pPr>
        <w:tabs>
          <w:tab w:val="num" w:pos="423"/>
        </w:tabs>
        <w:spacing w:before="100" w:beforeAutospacing="1" w:after="100" w:afterAutospacing="1" w:line="360" w:lineRule="auto"/>
        <w:ind w:left="63"/>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السؤال الرئيسي</w:t>
      </w:r>
    </w:p>
    <w:p w14:paraId="674EA753" w14:textId="77777777" w:rsidR="00D86537" w:rsidRPr="003177F3" w:rsidRDefault="00D86537" w:rsidP="00F85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ما أثر إدارة مخاطر الكوارث الصحية والأوبئة بأبعادها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في المؤسسات الصحية؟</w:t>
      </w:r>
    </w:p>
    <w:p w14:paraId="58A4B537" w14:textId="577C9A2C" w:rsidR="00F85192" w:rsidRPr="003177F3" w:rsidRDefault="00F85192"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الأسئلة الفرعية</w:t>
      </w:r>
    </w:p>
    <w:p w14:paraId="7E0D65DE" w14:textId="77777777" w:rsidR="00D86537" w:rsidRPr="003177F3" w:rsidRDefault="00D86537" w:rsidP="00F8519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ما أثر التخطيط الاستباقي للمخاطر على تعزيز جاهزية واستدامة القطاع الصحي في المؤسسات الصحية؟</w:t>
      </w:r>
    </w:p>
    <w:p w14:paraId="630A0330" w14:textId="77777777" w:rsidR="00D86537" w:rsidRPr="003177F3" w:rsidRDefault="00D86537" w:rsidP="00F8519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ما أثر الاستجابة السريعة والتنسيق المؤسسي على تعزيز جاهزية واستدامة القطاع الصحي في المؤسسات الصحية؟</w:t>
      </w:r>
    </w:p>
    <w:p w14:paraId="122926ED" w14:textId="77777777" w:rsidR="00D86537" w:rsidRPr="003177F3" w:rsidRDefault="00D86537" w:rsidP="00F8519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ما أثر اتصال المخاطر والتوعية المجتمعية على تعزيز جاهزية واستدامة القطاع الصحي في المؤسسات الصحية؟</w:t>
      </w:r>
    </w:p>
    <w:p w14:paraId="4FC70772" w14:textId="77777777" w:rsidR="00D86537" w:rsidRPr="003177F3" w:rsidRDefault="00D86537" w:rsidP="00F85192">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ما أثر التحول الرقمي والبنية التحتية التقنية على تعزيز جاهزية واستدامة القطاع الصحي في المؤسسات الصحية؟</w:t>
      </w:r>
    </w:p>
    <w:p w14:paraId="12E5B017" w14:textId="77777777" w:rsidR="00F85192" w:rsidRPr="003177F3" w:rsidRDefault="00F85192" w:rsidP="00F85192">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5" w:name="_Toc223814197"/>
      <w:r w:rsidRPr="003177F3">
        <w:rPr>
          <w:rFonts w:ascii="Sakkal Majalla" w:eastAsia="Times New Roman" w:hAnsi="Sakkal Majalla" w:cs="Sakkal Majalla"/>
          <w:b/>
          <w:bCs/>
          <w:color w:val="000000" w:themeColor="text1"/>
          <w:kern w:val="0"/>
          <w:sz w:val="36"/>
          <w:szCs w:val="36"/>
          <w:rtl/>
          <w14:ligatures w14:val="none"/>
        </w:rPr>
        <w:lastRenderedPageBreak/>
        <w:t>5.1  فروض الدراسة</w:t>
      </w:r>
      <w:bookmarkEnd w:id="5"/>
    </w:p>
    <w:p w14:paraId="0F9A9AC2" w14:textId="10A117DC" w:rsidR="00D86537" w:rsidRPr="003177F3" w:rsidRDefault="00F85192"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الفرض الرئيسي</w:t>
      </w:r>
    </w:p>
    <w:p w14:paraId="2516BED2" w14:textId="77777777" w:rsidR="00D86537" w:rsidRPr="003177F3" w:rsidRDefault="00D86537" w:rsidP="00F8519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Cambria" w:eastAsia="Times New Roman" w:hAnsi="Cambria" w:cs="Cambria"/>
          <w:color w:val="000000" w:themeColor="text1"/>
          <w:kern w:val="0"/>
          <w:sz w:val="28"/>
          <w:szCs w:val="28"/>
          <w14:ligatures w14:val="none"/>
        </w:rPr>
        <w:t>α</w:t>
      </w:r>
      <w:r w:rsidRPr="003177F3">
        <w:rPr>
          <w:rFonts w:ascii="Sakkal Majalla" w:eastAsia="Times New Roman" w:hAnsi="Sakkal Majalla" w:cs="Sakkal Majalla"/>
          <w:color w:val="000000" w:themeColor="text1"/>
          <w:kern w:val="0"/>
          <w:sz w:val="28"/>
          <w:szCs w:val="28"/>
          <w14:ligatures w14:val="none"/>
        </w:rPr>
        <w:t xml:space="preserve"> ≤ 0.05) </w:t>
      </w:r>
      <w:r w:rsidRPr="003177F3">
        <w:rPr>
          <w:rFonts w:ascii="Sakkal Majalla" w:eastAsia="Times New Roman" w:hAnsi="Sakkal Majalla" w:cs="Sakkal Majalla"/>
          <w:color w:val="000000" w:themeColor="text1"/>
          <w:kern w:val="0"/>
          <w:sz w:val="28"/>
          <w:szCs w:val="28"/>
          <w:rtl/>
          <w14:ligatures w14:val="none"/>
        </w:rPr>
        <w:t>لإدارة مخاطر الكوارث الصحية والأوبئة بأبعادها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74A34D56" w14:textId="77777777" w:rsidR="00D86537" w:rsidRPr="003177F3" w:rsidRDefault="00D86537"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الفروض الفرعية</w:t>
      </w:r>
    </w:p>
    <w:p w14:paraId="37DACE49" w14:textId="77777777" w:rsidR="00D86537" w:rsidRPr="003177F3" w:rsidRDefault="00D86537" w:rsidP="00F85192">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الفرض الفرعي الأول</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Cambria" w:eastAsia="Times New Roman" w:hAnsi="Cambria" w:cs="Cambria"/>
          <w:color w:val="000000" w:themeColor="text1"/>
          <w:kern w:val="0"/>
          <w:sz w:val="28"/>
          <w:szCs w:val="28"/>
          <w14:ligatures w14:val="none"/>
        </w:rPr>
        <w:t>α</w:t>
      </w:r>
      <w:r w:rsidRPr="003177F3">
        <w:rPr>
          <w:rFonts w:ascii="Sakkal Majalla" w:eastAsia="Times New Roman" w:hAnsi="Sakkal Majalla" w:cs="Sakkal Majalla"/>
          <w:color w:val="000000" w:themeColor="text1"/>
          <w:kern w:val="0"/>
          <w:sz w:val="28"/>
          <w:szCs w:val="28"/>
          <w14:ligatures w14:val="none"/>
        </w:rPr>
        <w:t xml:space="preserve"> ≤ 0.05) </w:t>
      </w:r>
      <w:r w:rsidRPr="003177F3">
        <w:rPr>
          <w:rFonts w:ascii="Sakkal Majalla" w:eastAsia="Times New Roman" w:hAnsi="Sakkal Majalla" w:cs="Sakkal Majalla"/>
          <w:color w:val="000000" w:themeColor="text1"/>
          <w:kern w:val="0"/>
          <w:sz w:val="28"/>
          <w:szCs w:val="28"/>
          <w:rtl/>
          <w14:ligatures w14:val="none"/>
        </w:rPr>
        <w:t>للتخطيط الاستباقي للمخاطر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60288BAD" w14:textId="77777777" w:rsidR="00D86537" w:rsidRPr="003177F3" w:rsidRDefault="00D86537" w:rsidP="00F85192">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الفرض الفرعي الثاني</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Cambria" w:eastAsia="Times New Roman" w:hAnsi="Cambria" w:cs="Cambria"/>
          <w:color w:val="000000" w:themeColor="text1"/>
          <w:kern w:val="0"/>
          <w:sz w:val="28"/>
          <w:szCs w:val="28"/>
          <w14:ligatures w14:val="none"/>
        </w:rPr>
        <w:t>α</w:t>
      </w:r>
      <w:r w:rsidRPr="003177F3">
        <w:rPr>
          <w:rFonts w:ascii="Sakkal Majalla" w:eastAsia="Times New Roman" w:hAnsi="Sakkal Majalla" w:cs="Sakkal Majalla"/>
          <w:color w:val="000000" w:themeColor="text1"/>
          <w:kern w:val="0"/>
          <w:sz w:val="28"/>
          <w:szCs w:val="28"/>
          <w14:ligatures w14:val="none"/>
        </w:rPr>
        <w:t xml:space="preserve"> ≤ 0.05) </w:t>
      </w:r>
      <w:r w:rsidRPr="003177F3">
        <w:rPr>
          <w:rFonts w:ascii="Sakkal Majalla" w:eastAsia="Times New Roman" w:hAnsi="Sakkal Majalla" w:cs="Sakkal Majalla"/>
          <w:color w:val="000000" w:themeColor="text1"/>
          <w:kern w:val="0"/>
          <w:sz w:val="28"/>
          <w:szCs w:val="28"/>
          <w:rtl/>
          <w14:ligatures w14:val="none"/>
        </w:rPr>
        <w:t>للاستجابة السريعة والتنسيق المؤسسي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0E835ECA" w14:textId="77777777" w:rsidR="00D86537" w:rsidRPr="003177F3" w:rsidRDefault="00D86537" w:rsidP="00F85192">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الفرض الفرعي الثالث</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Cambria" w:eastAsia="Times New Roman" w:hAnsi="Cambria" w:cs="Cambria"/>
          <w:color w:val="000000" w:themeColor="text1"/>
          <w:kern w:val="0"/>
          <w:sz w:val="28"/>
          <w:szCs w:val="28"/>
          <w14:ligatures w14:val="none"/>
        </w:rPr>
        <w:t>α</w:t>
      </w:r>
      <w:r w:rsidRPr="003177F3">
        <w:rPr>
          <w:rFonts w:ascii="Sakkal Majalla" w:eastAsia="Times New Roman" w:hAnsi="Sakkal Majalla" w:cs="Sakkal Majalla"/>
          <w:color w:val="000000" w:themeColor="text1"/>
          <w:kern w:val="0"/>
          <w:sz w:val="28"/>
          <w:szCs w:val="28"/>
          <w14:ligatures w14:val="none"/>
        </w:rPr>
        <w:t xml:space="preserve"> ≤ 0.05) </w:t>
      </w:r>
      <w:r w:rsidRPr="003177F3">
        <w:rPr>
          <w:rFonts w:ascii="Sakkal Majalla" w:eastAsia="Times New Roman" w:hAnsi="Sakkal Majalla" w:cs="Sakkal Majalla"/>
          <w:color w:val="000000" w:themeColor="text1"/>
          <w:kern w:val="0"/>
          <w:sz w:val="28"/>
          <w:szCs w:val="28"/>
          <w:rtl/>
          <w14:ligatures w14:val="none"/>
        </w:rPr>
        <w:t>لاتصال المخاطر والتوعية المجتمعية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60D83749" w14:textId="77777777" w:rsidR="00D86537" w:rsidRPr="003177F3" w:rsidRDefault="00D86537" w:rsidP="00F85192">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الفرض الفرعي الرابع</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يوجد أثر ذو دلالة إحصائية عند مستوى دلالة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Cambria" w:eastAsia="Times New Roman" w:hAnsi="Cambria" w:cs="Cambria"/>
          <w:color w:val="000000" w:themeColor="text1"/>
          <w:kern w:val="0"/>
          <w:sz w:val="28"/>
          <w:szCs w:val="28"/>
          <w14:ligatures w14:val="none"/>
        </w:rPr>
        <w:t>α</w:t>
      </w:r>
      <w:r w:rsidRPr="003177F3">
        <w:rPr>
          <w:rFonts w:ascii="Sakkal Majalla" w:eastAsia="Times New Roman" w:hAnsi="Sakkal Majalla" w:cs="Sakkal Majalla"/>
          <w:color w:val="000000" w:themeColor="text1"/>
          <w:kern w:val="0"/>
          <w:sz w:val="28"/>
          <w:szCs w:val="28"/>
          <w14:ligatures w14:val="none"/>
        </w:rPr>
        <w:t xml:space="preserve"> ≤ 0.05) </w:t>
      </w:r>
      <w:r w:rsidRPr="003177F3">
        <w:rPr>
          <w:rFonts w:ascii="Sakkal Majalla" w:eastAsia="Times New Roman" w:hAnsi="Sakkal Majalla" w:cs="Sakkal Majalla"/>
          <w:color w:val="000000" w:themeColor="text1"/>
          <w:kern w:val="0"/>
          <w:sz w:val="28"/>
          <w:szCs w:val="28"/>
          <w:rtl/>
          <w14:ligatures w14:val="none"/>
        </w:rPr>
        <w:t>للتحول الرقمي والبنية التحتية التقنية على تعزيز جاهزية واستدامة القطاع الصحي في المؤسسات الصحية</w:t>
      </w:r>
      <w:r w:rsidRPr="003177F3">
        <w:rPr>
          <w:rFonts w:ascii="Sakkal Majalla" w:eastAsia="Times New Roman" w:hAnsi="Sakkal Majalla" w:cs="Sakkal Majalla"/>
          <w:color w:val="000000" w:themeColor="text1"/>
          <w:kern w:val="0"/>
          <w:sz w:val="28"/>
          <w:szCs w:val="28"/>
          <w14:ligatures w14:val="none"/>
        </w:rPr>
        <w:t>.</w:t>
      </w:r>
    </w:p>
    <w:p w14:paraId="10ED6E98" w14:textId="77777777" w:rsidR="00F85192" w:rsidRPr="003177F3" w:rsidRDefault="00F85192" w:rsidP="00F85192">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6" w:name="_Toc223814198"/>
      <w:r w:rsidRPr="003177F3">
        <w:rPr>
          <w:rFonts w:ascii="Sakkal Majalla" w:eastAsia="Times New Roman" w:hAnsi="Sakkal Majalla" w:cs="Sakkal Majalla"/>
          <w:b/>
          <w:bCs/>
          <w:color w:val="000000" w:themeColor="text1"/>
          <w:kern w:val="0"/>
          <w:sz w:val="36"/>
          <w:szCs w:val="36"/>
          <w:rtl/>
          <w14:ligatures w14:val="none"/>
        </w:rPr>
        <w:t>6.1  أهمية الدراسة</w:t>
      </w:r>
      <w:bookmarkEnd w:id="6"/>
    </w:p>
    <w:p w14:paraId="00EBA856" w14:textId="7FB86574" w:rsidR="00F85192" w:rsidRPr="003177F3" w:rsidRDefault="00F85192"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الأهمية العلمية (النظرية)</w:t>
      </w:r>
    </w:p>
    <w:p w14:paraId="14C86EE1" w14:textId="77777777" w:rsidR="00D86537" w:rsidRPr="003177F3" w:rsidRDefault="00D86537" w:rsidP="009D640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إثراء الإطار النظري</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 xml:space="preserve">تسهم هذه الدراسة في إثراء الأدب النظري المتعلق بإدارة مخاطر الكوارث الصحية والأوبئة من خلال تقديم إطار استراتيجي متكامل يربط بين أبعاد إدارة المخاطر (التخطيط </w:t>
      </w:r>
      <w:r w:rsidRPr="003177F3">
        <w:rPr>
          <w:rFonts w:ascii="Sakkal Majalla" w:eastAsia="Times New Roman" w:hAnsi="Sakkal Majalla" w:cs="Sakkal Majalla"/>
          <w:color w:val="000000" w:themeColor="text1"/>
          <w:kern w:val="0"/>
          <w:sz w:val="28"/>
          <w:szCs w:val="28"/>
          <w:rtl/>
          <w14:ligatures w14:val="none"/>
        </w:rPr>
        <w:lastRenderedPageBreak/>
        <w:t>الاستباقي، الاستجابة والتنسيق، اتصال المخاطر، التحول الرقمي) وبين تعزيز جاهزية واستدامة القطاع الصحي، وهو ما يُمثل إضافة نوعية للمكتبة العربية التي تعاني من ندرة نسبية في هذا المجال البحثي المتكامل</w:t>
      </w:r>
      <w:r w:rsidRPr="003177F3">
        <w:rPr>
          <w:rFonts w:ascii="Sakkal Majalla" w:eastAsia="Times New Roman" w:hAnsi="Sakkal Majalla" w:cs="Sakkal Majalla"/>
          <w:color w:val="000000" w:themeColor="text1"/>
          <w:kern w:val="0"/>
          <w:sz w:val="28"/>
          <w:szCs w:val="28"/>
          <w14:ligatures w14:val="none"/>
        </w:rPr>
        <w:t>.</w:t>
      </w:r>
    </w:p>
    <w:p w14:paraId="68526914" w14:textId="77777777" w:rsidR="00D86537" w:rsidRPr="003177F3" w:rsidRDefault="00D86537" w:rsidP="009D640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سد الفجوة البحثية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تأتي هذه الدراسة لسد فجوة واضحة في الأدبيات العربية والأجنبية، إذ أن معظم الدراسات السابقة تناولت إدارة الأزمات الصحية من زاوية واحدة أو بُعد منفرد، في حين تتميز هذه الدراسة بتقديم رؤية شمولية تجمع بين أربعة أبعاد مترابطة ومتكاملة لإدارة المخاطر في سياق صحي متكامل</w:t>
      </w:r>
      <w:r w:rsidRPr="003177F3">
        <w:rPr>
          <w:rFonts w:ascii="Sakkal Majalla" w:eastAsia="Times New Roman" w:hAnsi="Sakkal Majalla" w:cs="Sakkal Majalla"/>
          <w:color w:val="000000" w:themeColor="text1"/>
          <w:kern w:val="0"/>
          <w:sz w:val="28"/>
          <w:szCs w:val="28"/>
          <w14:ligatures w14:val="none"/>
        </w:rPr>
        <w:t>.</w:t>
      </w:r>
    </w:p>
    <w:p w14:paraId="3C961F13" w14:textId="77777777" w:rsidR="00D86537" w:rsidRPr="003177F3" w:rsidRDefault="00D86537" w:rsidP="009D640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تقديم نموذج قابل للاختبار</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توفر الدراسة نموذجاً بحثياً يمكن اختباره وتطبيقه في بيئات صحية متنوعة، مما يُتيح للباحثين المستقبليين البناء عليه وتطويره واختباره في سياقات جغرافية ومؤسسية مختلفة، وبالتالي تراكم المعرفة العلمية في هذا الحقل</w:t>
      </w:r>
      <w:r w:rsidRPr="003177F3">
        <w:rPr>
          <w:rFonts w:ascii="Sakkal Majalla" w:eastAsia="Times New Roman" w:hAnsi="Sakkal Majalla" w:cs="Sakkal Majalla"/>
          <w:color w:val="000000" w:themeColor="text1"/>
          <w:kern w:val="0"/>
          <w:sz w:val="28"/>
          <w:szCs w:val="28"/>
          <w14:ligatures w14:val="none"/>
        </w:rPr>
        <w:t>.</w:t>
      </w:r>
    </w:p>
    <w:p w14:paraId="6632EA93" w14:textId="77777777" w:rsidR="00D86537" w:rsidRPr="003177F3" w:rsidRDefault="00D86537" w:rsidP="009D640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تأصيل مفاهيمي متعدد التخصصات</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تسهم الدراسة في التأصيل المفاهيمي لمصطلحات حديثة ومتداخلة مثل جاهزية القطاع الصحي واستدامته في ضوء إدارة مخاطر الكوارث والأوبئة، مستفيدةً من تقاطع عدة تخصصات تشمل الإدارة الصحية وإدارة المخاطر وإدارة الأزمات وتقنية المعلومات الصحية</w:t>
      </w:r>
      <w:r w:rsidRPr="003177F3">
        <w:rPr>
          <w:rFonts w:ascii="Sakkal Majalla" w:eastAsia="Times New Roman" w:hAnsi="Sakkal Majalla" w:cs="Sakkal Majalla"/>
          <w:color w:val="000000" w:themeColor="text1"/>
          <w:kern w:val="0"/>
          <w:sz w:val="28"/>
          <w:szCs w:val="28"/>
          <w14:ligatures w14:val="none"/>
        </w:rPr>
        <w:t>.</w:t>
      </w:r>
    </w:p>
    <w:p w14:paraId="4A5DFEF7" w14:textId="77777777" w:rsidR="00D86537" w:rsidRPr="003177F3" w:rsidRDefault="00D86537" w:rsidP="009D640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توسيع نطاق الأدبيات المرجعية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تُشكّل هذه الدراسة مرجعاً علمياً حديثاً يمكن أن يستفيد منه الباحثون وطلاب الدراسات العليا في مجالات الإدارة الصحية وإدارة الأزمات والصحة العامة، حيث تجمع بين التأطير النظري والتحليل الميداني في موضوع يكتسب أهمية متصاعدة في أعقاب جائحة كوفيد-19</w:t>
      </w:r>
      <w:r w:rsidRPr="003177F3">
        <w:rPr>
          <w:rFonts w:ascii="Sakkal Majalla" w:eastAsia="Times New Roman" w:hAnsi="Sakkal Majalla" w:cs="Sakkal Majalla"/>
          <w:color w:val="000000" w:themeColor="text1"/>
          <w:kern w:val="0"/>
          <w:sz w:val="28"/>
          <w:szCs w:val="28"/>
          <w14:ligatures w14:val="none"/>
        </w:rPr>
        <w:t>.</w:t>
      </w:r>
    </w:p>
    <w:p w14:paraId="2D57CA1A" w14:textId="2D1389F7" w:rsidR="00D86537" w:rsidRPr="003177F3" w:rsidRDefault="00D86537" w:rsidP="009D6408">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الاستجابة للتوجهات البحثية الحديثة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تتماشى هذه الدراسة مع التوجهات البحثية العالمية المعاصرة التي تؤكد ضرورة تبني مقاربات استراتيجية وشاملة لإدارة المخاطر الصحية بدلاً من المقاربات الجزئية والتقليدية، مما يجعلها متسقة مع الأجندة البحثية الدولية في هذا المجال</w:t>
      </w:r>
      <w:r w:rsidRPr="003177F3">
        <w:rPr>
          <w:rFonts w:ascii="Sakkal Majalla" w:eastAsia="Times New Roman" w:hAnsi="Sakkal Majalla" w:cs="Sakkal Majalla"/>
          <w:color w:val="000000" w:themeColor="text1"/>
          <w:kern w:val="0"/>
          <w:sz w:val="28"/>
          <w:szCs w:val="28"/>
          <w14:ligatures w14:val="none"/>
        </w:rPr>
        <w:t>.</w:t>
      </w:r>
    </w:p>
    <w:p w14:paraId="66567D14" w14:textId="2C0443B7" w:rsidR="009D6408" w:rsidRPr="003177F3" w:rsidRDefault="009D6408" w:rsidP="009D6408">
      <w:pPr>
        <w:spacing w:line="360" w:lineRule="auto"/>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الأهمية العملية (التطبيقية)</w:t>
      </w:r>
    </w:p>
    <w:p w14:paraId="08A00CD9"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دعم صناع القرار الصحي</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تقدم هذه الدراسة توصيات عملية وإطاراً استراتيجياً يمكن لصانعي القرار في المؤسسات الصحية ووزارات الصحة الاسترشاد به في تطوير سياسات وخطط إدارة مخاطر الكوارث الصحية والأوبئة، بما يضمن تحقيق أعلى مستويات الجاهزية والاستدامة</w:t>
      </w:r>
      <w:r w:rsidRPr="003177F3">
        <w:rPr>
          <w:rFonts w:ascii="Sakkal Majalla" w:eastAsia="Times New Roman" w:hAnsi="Sakkal Majalla" w:cs="Sakkal Majalla"/>
          <w:color w:val="000000" w:themeColor="text1"/>
          <w:kern w:val="0"/>
          <w:sz w:val="28"/>
          <w:szCs w:val="28"/>
          <w14:ligatures w14:val="none"/>
        </w:rPr>
        <w:t>.</w:t>
      </w:r>
    </w:p>
    <w:p w14:paraId="7F1990C8"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تحسين الممارسات الإدارية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تسهم نتائج الدراسة في تحسين الممارسات الإدارية المتبعة في المؤسسات الصحية من خلال تسليط الضوء على نقاط القوة والضعف في أبعاد إدارة المخاطر الأربعة، مما يُمكّن الإدارات الصحية من توجيه مواردها وجهودها نحو المجالات الأكثر حاجة للتطوير والتحسين</w:t>
      </w:r>
      <w:r w:rsidRPr="003177F3">
        <w:rPr>
          <w:rFonts w:ascii="Sakkal Majalla" w:eastAsia="Times New Roman" w:hAnsi="Sakkal Majalla" w:cs="Sakkal Majalla"/>
          <w:color w:val="000000" w:themeColor="text1"/>
          <w:kern w:val="0"/>
          <w:sz w:val="28"/>
          <w:szCs w:val="28"/>
          <w14:ligatures w14:val="none"/>
        </w:rPr>
        <w:t>.</w:t>
      </w:r>
    </w:p>
    <w:p w14:paraId="12D45274"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تعزيز الاستعداد للأوبئة المستقبلية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في ضوء الدروس المستفادة من جائحة كوفيد-19، توفر هذه الدراسة خارطة طريق عملية للمؤسسات الصحية لبناء قدراتها الاستباقية وتحسين مستوى استعدادها لمواجهة أي أوبئة أو كوارث صحية مستقبلية بكفاءة وفاعلية أكبر</w:t>
      </w:r>
      <w:r w:rsidRPr="003177F3">
        <w:rPr>
          <w:rFonts w:ascii="Sakkal Majalla" w:eastAsia="Times New Roman" w:hAnsi="Sakkal Majalla" w:cs="Sakkal Majalla"/>
          <w:color w:val="000000" w:themeColor="text1"/>
          <w:kern w:val="0"/>
          <w:sz w:val="28"/>
          <w:szCs w:val="28"/>
          <w14:ligatures w14:val="none"/>
        </w:rPr>
        <w:t>.</w:t>
      </w:r>
    </w:p>
    <w:p w14:paraId="766BE11D"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دعم التحول الرقمي في القطاع الصحي</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تُبرز الدراسة الدور المحوري للتحول الرقمي والبنية التحتية التقنية في تعزيز جاهزية القطاع الصحي، مما يوفر مبررات علمية وعملية لصانعي القرار لزيادة الاستثمار في الحلول التقنية والأنظمة الرقمية الداعمة لإدارة المخاطر والأزمات الصحية</w:t>
      </w:r>
      <w:r w:rsidRPr="003177F3">
        <w:rPr>
          <w:rFonts w:ascii="Sakkal Majalla" w:eastAsia="Times New Roman" w:hAnsi="Sakkal Majalla" w:cs="Sakkal Majalla"/>
          <w:color w:val="000000" w:themeColor="text1"/>
          <w:kern w:val="0"/>
          <w:sz w:val="28"/>
          <w:szCs w:val="28"/>
          <w14:ligatures w14:val="none"/>
        </w:rPr>
        <w:t>.</w:t>
      </w:r>
    </w:p>
    <w:p w14:paraId="23A7FF7C"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تحسين منظومة اتصال المخاطر</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تقدم الدراسة رؤى عملية حول كيفية تطوير استراتيجيات اتصال المخاطر والتوعية المجتمعية، بما يسهم في بناء ثقة الجمهور وتعزيز التزامه بالإجراءات الوقائية والاحترازية أثناء الأزمات والكوارث الصحية، وهو ما ثبت أنه عامل حاسم في نجاح أو فشل جهود مواجهة الأوبئة</w:t>
      </w:r>
      <w:r w:rsidRPr="003177F3">
        <w:rPr>
          <w:rFonts w:ascii="Sakkal Majalla" w:eastAsia="Times New Roman" w:hAnsi="Sakkal Majalla" w:cs="Sakkal Majalla"/>
          <w:color w:val="000000" w:themeColor="text1"/>
          <w:kern w:val="0"/>
          <w:sz w:val="28"/>
          <w:szCs w:val="28"/>
          <w14:ligatures w14:val="none"/>
        </w:rPr>
        <w:t>.</w:t>
      </w:r>
    </w:p>
    <w:p w14:paraId="7F010BE3"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تعزيز التنسيق بين القطاعات</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تُسلّط الدراسة الضوء على أهمية الاستجابة السريعة والتنسيق المؤسسي بين مختلف الجهات الصحية والحكومية والمجتمعية، مما يقدم إرشادات عملية لبناء آليات تنسيق فعالة وبروتوكولات عمل مشتركة تضمن سرعة الاستجابة وتكامل الجهود أثناء الطوارئ الصحية</w:t>
      </w:r>
      <w:r w:rsidRPr="003177F3">
        <w:rPr>
          <w:rFonts w:ascii="Sakkal Majalla" w:eastAsia="Times New Roman" w:hAnsi="Sakkal Majalla" w:cs="Sakkal Majalla"/>
          <w:color w:val="000000" w:themeColor="text1"/>
          <w:kern w:val="0"/>
          <w:sz w:val="28"/>
          <w:szCs w:val="28"/>
          <w14:ligatures w14:val="none"/>
        </w:rPr>
        <w:t>.</w:t>
      </w:r>
    </w:p>
    <w:p w14:paraId="66320D7B" w14:textId="77777777" w:rsidR="00D86537" w:rsidRPr="003177F3" w:rsidRDefault="00D86537" w:rsidP="009D6408">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المساهمة في تحقيق التنمية المستدامة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ترتبط نتائج هذه الدراسة ارتباطاً وثيقاً بأهداف التنمية المستدامة ولا سيما الهدف الثالث المتعلق بالصحة الجيدة والرفاه، حيث إن تعزيز جاهزية واستدامة القطاع الصحي يُعدّ ركيزة أساسية لتحقيق التغطية الصحية الشاملة وضمان قدرة الأنظمة الصحية على الصمود أمام التحديات والأزمات</w:t>
      </w:r>
      <w:r w:rsidRPr="003177F3">
        <w:rPr>
          <w:rFonts w:ascii="Sakkal Majalla" w:eastAsia="Times New Roman" w:hAnsi="Sakkal Majalla" w:cs="Sakkal Majalla"/>
          <w:color w:val="000000" w:themeColor="text1"/>
          <w:kern w:val="0"/>
          <w:sz w:val="28"/>
          <w:szCs w:val="28"/>
          <w14:ligatures w14:val="none"/>
        </w:rPr>
        <w:t>.</w:t>
      </w:r>
    </w:p>
    <w:p w14:paraId="76D397BE" w14:textId="7CFE24E6" w:rsidR="00D22171" w:rsidRPr="003177F3" w:rsidRDefault="009D6408" w:rsidP="009D64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23814199"/>
      <w:r w:rsidRPr="003177F3">
        <w:rPr>
          <w:rFonts w:ascii="Sakkal Majalla" w:hAnsi="Sakkal Majalla" w:cs="Sakkal Majalla" w:hint="cs"/>
          <w:b/>
          <w:bCs/>
          <w:color w:val="000000" w:themeColor="text1"/>
          <w:sz w:val="36"/>
          <w:szCs w:val="36"/>
          <w:rtl/>
        </w:rPr>
        <w:lastRenderedPageBreak/>
        <w:t xml:space="preserve">7.1 </w:t>
      </w:r>
      <w:r w:rsidR="00D22171" w:rsidRPr="003177F3">
        <w:rPr>
          <w:rFonts w:ascii="Sakkal Majalla" w:hAnsi="Sakkal Majalla" w:cs="Sakkal Majalla"/>
          <w:b/>
          <w:bCs/>
          <w:color w:val="000000" w:themeColor="text1"/>
          <w:sz w:val="36"/>
          <w:szCs w:val="36"/>
          <w:rtl/>
        </w:rPr>
        <w:t>الدراسات السابقة</w:t>
      </w:r>
      <w:r w:rsidR="00A74F76" w:rsidRPr="003177F3">
        <w:rPr>
          <w:rFonts w:ascii="Sakkal Majalla" w:hAnsi="Sakkal Majalla" w:cs="Sakkal Majalla"/>
          <w:b/>
          <w:bCs/>
          <w:color w:val="000000" w:themeColor="text1"/>
          <w:sz w:val="36"/>
          <w:szCs w:val="36"/>
          <w:rtl/>
        </w:rPr>
        <w:t>:</w:t>
      </w:r>
      <w:bookmarkEnd w:id="7"/>
    </w:p>
    <w:p w14:paraId="45ECF2F5" w14:textId="77777777" w:rsidR="00D86537" w:rsidRPr="003177F3" w:rsidRDefault="00D86537" w:rsidP="009D64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أولاً: الدراسات العربية</w:t>
      </w:r>
    </w:p>
    <w:p w14:paraId="2E318290"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 (العنزي والنيف، 2025): "أثر الجاهزية الإلكترونية في إدارة الأزمات والكوارث الصحية: دراسة ميدانية في الإدارة المساعدة للأزمات والكوارث بصحة الحدود الشمالية بالمملكة العربية السعودية</w:t>
      </w:r>
      <w:r w:rsidRPr="003177F3">
        <w:rPr>
          <w:rFonts w:ascii="Sakkal Majalla" w:eastAsia="Times New Roman" w:hAnsi="Sakkal Majalla" w:cs="Sakkal Majalla"/>
          <w:b/>
          <w:bCs/>
          <w:color w:val="000000" w:themeColor="text1"/>
          <w:kern w:val="0"/>
          <w:sz w:val="28"/>
          <w:szCs w:val="28"/>
          <w14:ligatures w14:val="none"/>
        </w:rPr>
        <w:t>"</w:t>
      </w:r>
    </w:p>
    <w:p w14:paraId="5FDC1334" w14:textId="20BF22F5"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هدفت الدراسة إلى التعرف على أثر الجاهزية الإلكترونية بأبعادها (البنية التحتية التقنية، الكفاءات البشرية الرقمية، الأنظمة والتطبيقات الإلكترونية) على إدارة الأزمات والكوارث الصحية في الإدارة المساعدة للأزمات والكوارث بصحة الحدود الشمالية بالمملكة العربية السعودية. واستخدمت الدراسة المنهج الوصفي التحليلي، واعتمدت على الاستبانة كأداة لجمع البيانات. وتكونت العينة من العاملين في الإدارة المساعدة للأزمات والكوارث بصحة الحدود الشمالية. وتوصلت نتائج الدراسة إلى وجود أثر ذي دلالة إحصائية للجاهزية الإلكترونية في تعزيز كفاءة إدارة الأزمات والكوارث الصحية، وأن توافر البنية التحتية التقنية والأنظمة الإلكترونية يسهم بشكل فاعل في سرعة الاستجابة وتحسين التنسيق بين الجهات المعنية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وأوصت الدراسة بضرورة تعزيز الاستثمار في البنية التحتية الرقمية وتطوير الكفاءات البشرية في مجال التقنية لضمان جاهزية أفضل لمواجهة الأزمات والكوارث الصحية</w:t>
      </w:r>
      <w:r w:rsidRPr="003177F3">
        <w:rPr>
          <w:rFonts w:ascii="Sakkal Majalla" w:eastAsia="Times New Roman" w:hAnsi="Sakkal Majalla" w:cs="Sakkal Majalla"/>
          <w:color w:val="000000" w:themeColor="text1"/>
          <w:kern w:val="0"/>
          <w:sz w:val="28"/>
          <w:szCs w:val="28"/>
          <w14:ligatures w14:val="none"/>
        </w:rPr>
        <w:t>.</w:t>
      </w:r>
    </w:p>
    <w:p w14:paraId="18D9A6B5"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 xml:space="preserve">دراسة (القضاة والسبحي وحوباني، </w:t>
      </w:r>
      <w:r w:rsidRPr="003177F3">
        <w:rPr>
          <w:rFonts w:ascii="Sakkal Majalla" w:eastAsia="Times New Roman" w:hAnsi="Sakkal Majalla" w:cs="Sakkal Majalla"/>
          <w:b/>
          <w:bCs/>
          <w:color w:val="000000" w:themeColor="text1"/>
          <w:kern w:val="0"/>
          <w:sz w:val="28"/>
          <w:szCs w:val="28"/>
          <w14:ligatures w14:val="none"/>
        </w:rPr>
        <w:t>2023): "</w:t>
      </w:r>
      <w:r w:rsidRPr="003177F3">
        <w:rPr>
          <w:rFonts w:ascii="Sakkal Majalla" w:eastAsia="Times New Roman" w:hAnsi="Sakkal Majalla" w:cs="Sakkal Majalla"/>
          <w:b/>
          <w:bCs/>
          <w:color w:val="000000" w:themeColor="text1"/>
          <w:kern w:val="0"/>
          <w:sz w:val="28"/>
          <w:szCs w:val="28"/>
          <w:rtl/>
          <w14:ligatures w14:val="none"/>
        </w:rPr>
        <w:t>التغييرات الاستراتيجية المتبناة في المركز الوطني لإدارة الأزمات والكوارث الصحية السعودي بعد جائحة كوفيد 19</w:t>
      </w:r>
      <w:r w:rsidRPr="003177F3">
        <w:rPr>
          <w:rFonts w:ascii="Sakkal Majalla" w:eastAsia="Times New Roman" w:hAnsi="Sakkal Majalla" w:cs="Sakkal Majalla"/>
          <w:b/>
          <w:bCs/>
          <w:color w:val="000000" w:themeColor="text1"/>
          <w:kern w:val="0"/>
          <w:sz w:val="28"/>
          <w:szCs w:val="28"/>
          <w14:ligatures w14:val="none"/>
        </w:rPr>
        <w:t>"</w:t>
      </w:r>
    </w:p>
    <w:p w14:paraId="6F563A56" w14:textId="01CDB4BA"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هدفت الدراسة إلى التعرف على التغييرات الاستراتيجية التي اعتمدها المركز الوطني السعودي لإدارة الأزمات والكوارث الصحية</w:t>
      </w:r>
      <w:r w:rsidRPr="003177F3">
        <w:rPr>
          <w:rFonts w:ascii="Sakkal Majalla" w:eastAsia="Times New Roman" w:hAnsi="Sakkal Majalla" w:cs="Sakkal Majalla"/>
          <w:color w:val="000000" w:themeColor="text1"/>
          <w:kern w:val="0"/>
          <w:sz w:val="28"/>
          <w:szCs w:val="28"/>
          <w14:ligatures w14:val="none"/>
        </w:rPr>
        <w:t xml:space="preserve"> (NHEOC) </w:t>
      </w:r>
      <w:r w:rsidRPr="003177F3">
        <w:rPr>
          <w:rFonts w:ascii="Sakkal Majalla" w:eastAsia="Times New Roman" w:hAnsi="Sakkal Majalla" w:cs="Sakkal Majalla"/>
          <w:color w:val="000000" w:themeColor="text1"/>
          <w:kern w:val="0"/>
          <w:sz w:val="28"/>
          <w:szCs w:val="28"/>
          <w:rtl/>
          <w14:ligatures w14:val="none"/>
        </w:rPr>
        <w:t>بعد جائحة كوفيد-19 بأبعادها (تحسين جودة وكفاءة الخدمات الصحية، رقمنة الصحة، زيادة تغطية الخدمات الصحية) على إدارة المخاطر الصحية في المملكة العربية السعودية بما يتوافق مع رؤية المملكة 2030</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 xml:space="preserve">واستخدمت الدراسة المنهج الكمي من خلال توزيع استبيان إلكتروني. وتكونت العينة من (65) مديراً ومسؤولاً داخل المركز الوطني لإدارة الأزمات والكوارث </w:t>
      </w:r>
      <w:r w:rsidRPr="003177F3">
        <w:rPr>
          <w:rFonts w:ascii="Sakkal Majalla" w:eastAsia="Times New Roman" w:hAnsi="Sakkal Majalla" w:cs="Sakkal Majalla"/>
          <w:color w:val="000000" w:themeColor="text1"/>
          <w:kern w:val="0"/>
          <w:sz w:val="28"/>
          <w:szCs w:val="28"/>
          <w:rtl/>
          <w14:ligatures w14:val="none"/>
        </w:rPr>
        <w:lastRenderedPageBreak/>
        <w:t>الصحية تم اختيارهم بطريقة عشوائية. وتوصلت نتائج الدراسة إلى قبول جميع الفرضيات، حيث تبيّن أن المركز الوطني اعتمد استراتيجيات أعادت بناء القطاع الصحي من حيث تحسين جودة الخدمات ورقمنة الصحة وزيادة التغطية لتشمل جميع مناطق المملكة والمواطنين والمقيمين والزوار والحجاج. وأوصت الدراسة بأهمية تفعيل دور الجامعات في تحقيق رؤية المملكة 2030 فيما يتعلق بإدارة الأزمات والكوارث الصحية، وتعزيز الشراكة بين القطاع التعليمي والقطاع الصحي، وتعزيز الوعي الإداري بجودة الخدمات الصحية</w:t>
      </w:r>
      <w:r w:rsidRPr="003177F3">
        <w:rPr>
          <w:rFonts w:ascii="Sakkal Majalla" w:eastAsia="Times New Roman" w:hAnsi="Sakkal Majalla" w:cs="Sakkal Majalla"/>
          <w:color w:val="000000" w:themeColor="text1"/>
          <w:kern w:val="0"/>
          <w:sz w:val="28"/>
          <w:szCs w:val="28"/>
          <w14:ligatures w14:val="none"/>
        </w:rPr>
        <w:t>.</w:t>
      </w:r>
    </w:p>
    <w:p w14:paraId="5A08D752"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 (موسى، 2021): "فعالية التنظيمات الطبية وقدرتها على مواجهة المخاطر المصاحبة لفيروس كورونا</w:t>
      </w:r>
      <w:r w:rsidRPr="003177F3">
        <w:rPr>
          <w:rFonts w:ascii="Sakkal Majalla" w:eastAsia="Times New Roman" w:hAnsi="Sakkal Majalla" w:cs="Sakkal Majalla"/>
          <w:b/>
          <w:bCs/>
          <w:color w:val="000000" w:themeColor="text1"/>
          <w:kern w:val="0"/>
          <w:sz w:val="28"/>
          <w:szCs w:val="28"/>
          <w14:ligatures w14:val="none"/>
        </w:rPr>
        <w:t xml:space="preserve">: </w:t>
      </w:r>
      <w:r w:rsidRPr="003177F3">
        <w:rPr>
          <w:rFonts w:ascii="Sakkal Majalla" w:eastAsia="Times New Roman" w:hAnsi="Sakkal Majalla" w:cs="Sakkal Majalla"/>
          <w:b/>
          <w:bCs/>
          <w:color w:val="000000" w:themeColor="text1"/>
          <w:kern w:val="0"/>
          <w:sz w:val="28"/>
          <w:szCs w:val="28"/>
          <w:rtl/>
          <w14:ligatures w14:val="none"/>
        </w:rPr>
        <w:t>دراسة حالة مستشفى العبور بمدينة كفر الشيخ</w:t>
      </w:r>
      <w:r w:rsidRPr="003177F3">
        <w:rPr>
          <w:rFonts w:ascii="Sakkal Majalla" w:eastAsia="Times New Roman" w:hAnsi="Sakkal Majalla" w:cs="Sakkal Majalla"/>
          <w:b/>
          <w:bCs/>
          <w:color w:val="000000" w:themeColor="text1"/>
          <w:kern w:val="0"/>
          <w:sz w:val="28"/>
          <w:szCs w:val="28"/>
          <w14:ligatures w14:val="none"/>
        </w:rPr>
        <w:t>"</w:t>
      </w:r>
    </w:p>
    <w:p w14:paraId="53910534" w14:textId="79952EF5"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هدفت الدراسة إلى التعرف على أبرز العوامل التنظيمية التي تسهم في تحقيق فعالية التنظيمات الطبية بأبعادها (البنية التحتية، الإمكانيات المادية والفنية، كفاءة الموارد البشرية، القيادة التنظيمية) على قدرتها في مواجهة المخاطر المصاحبة لفيروس كورونا في مستشفى العبور بمدينة كفر الشيخ بمصر. واستخدمت الدراسة المنهج الوصفي التحليلي، واعتمدت على أداة المقابلة والاستبانة. وتكونت العينة من (50) مفردة من المدراء ورؤساء الأقسام الإدارية والطبية، و(200) مفردة من الإداريين والأطباء والممرضين، و(100) مفردة من المرضى الذين تم علاجهم من فيروس كورونا. وتوصلت نتائج الدراسة إلى أن البنية التحتية وتوافر الإمكانيات المادية والفنية وكفاءة الموارد البشرية ساهمت في تعزيز الفعالية التنظيمية للمستشفى، وأن القيادات التنظيمية الشابة أسهمت في دعم العمل الجماعي وتحقيق الأهداف الاستراتيجية، فضلاً عن وجود نظام قوي للتعامل مع المخاطر الصحية. وأوصت الدراسة بضرورة رفع الكفاءات البشرية بالتدريب واستحداث تقنيات حديثة وتعزيز سبل المتابعة والرعاية للمصابين</w:t>
      </w:r>
      <w:r w:rsidRPr="003177F3">
        <w:rPr>
          <w:rFonts w:ascii="Sakkal Majalla" w:eastAsia="Times New Roman" w:hAnsi="Sakkal Majalla" w:cs="Sakkal Majalla"/>
          <w:color w:val="000000" w:themeColor="text1"/>
          <w:kern w:val="0"/>
          <w:sz w:val="28"/>
          <w:szCs w:val="28"/>
          <w14:ligatures w14:val="none"/>
        </w:rPr>
        <w:t>.</w:t>
      </w:r>
    </w:p>
    <w:p w14:paraId="7D818F34"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 (المطيري، 2023): "أثر ممارسات إدارة المخاطر على جودة الرعاية الصحية في قطاع الخدمات الصحية بالقصيم</w:t>
      </w:r>
      <w:r w:rsidRPr="003177F3">
        <w:rPr>
          <w:rFonts w:ascii="Sakkal Majalla" w:eastAsia="Times New Roman" w:hAnsi="Sakkal Majalla" w:cs="Sakkal Majalla"/>
          <w:b/>
          <w:bCs/>
          <w:color w:val="000000" w:themeColor="text1"/>
          <w:kern w:val="0"/>
          <w:sz w:val="28"/>
          <w:szCs w:val="28"/>
          <w14:ligatures w14:val="none"/>
        </w:rPr>
        <w:t xml:space="preserve">: </w:t>
      </w:r>
      <w:r w:rsidRPr="003177F3">
        <w:rPr>
          <w:rFonts w:ascii="Sakkal Majalla" w:eastAsia="Times New Roman" w:hAnsi="Sakkal Majalla" w:cs="Sakkal Majalla"/>
          <w:b/>
          <w:bCs/>
          <w:color w:val="000000" w:themeColor="text1"/>
          <w:kern w:val="0"/>
          <w:sz w:val="28"/>
          <w:szCs w:val="28"/>
          <w:rtl/>
          <w14:ligatures w14:val="none"/>
        </w:rPr>
        <w:t>دراسة حالة مستشفى المذنب العام</w:t>
      </w:r>
      <w:r w:rsidRPr="003177F3">
        <w:rPr>
          <w:rFonts w:ascii="Sakkal Majalla" w:eastAsia="Times New Roman" w:hAnsi="Sakkal Majalla" w:cs="Sakkal Majalla"/>
          <w:b/>
          <w:bCs/>
          <w:color w:val="000000" w:themeColor="text1"/>
          <w:kern w:val="0"/>
          <w:sz w:val="28"/>
          <w:szCs w:val="28"/>
          <w14:ligatures w14:val="none"/>
        </w:rPr>
        <w:t>"</w:t>
      </w:r>
    </w:p>
    <w:p w14:paraId="676EAEAC" w14:textId="179C7B41"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أثر ممارسات إدارة المخاطر بأبعادها (تحليل المخاطر، تقدير المخاطر، معالجة المخاطر) على جودة الرعاية الصحية بأبعادها (الاعتمادية، الملموسية، التعاطف، الاستجابة) في قطاع الخدمات الصحية بالقصيم. واستخدمت الدراسة المنهج الوصفي التحليلي اعتماداً على الاستبانة كأداة رئيسية لجمع البيانات</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وتكونت العينة من (236) موظفاً من العاملين في مستشفى المذنب العام، وتم تحليل البيانات باستخدام برنامج</w:t>
      </w:r>
      <w:r w:rsidRPr="003177F3">
        <w:rPr>
          <w:rFonts w:ascii="Sakkal Majalla" w:eastAsia="Times New Roman" w:hAnsi="Sakkal Majalla" w:cs="Sakkal Majalla"/>
          <w:color w:val="000000" w:themeColor="text1"/>
          <w:kern w:val="0"/>
          <w:sz w:val="28"/>
          <w:szCs w:val="28"/>
          <w14:ligatures w14:val="none"/>
        </w:rPr>
        <w:t xml:space="preserve"> (SPSS). </w:t>
      </w:r>
      <w:r w:rsidRPr="003177F3">
        <w:rPr>
          <w:rFonts w:ascii="Sakkal Majalla" w:eastAsia="Times New Roman" w:hAnsi="Sakkal Majalla" w:cs="Sakkal Majalla"/>
          <w:color w:val="000000" w:themeColor="text1"/>
          <w:kern w:val="0"/>
          <w:sz w:val="28"/>
          <w:szCs w:val="28"/>
          <w:rtl/>
          <w14:ligatures w14:val="none"/>
        </w:rPr>
        <w:t>وتوصلت نتائج الدراسة إلى وجود درجة تقدير مرتفعة لممارسات إدارة المخاطر بجميع أبعادها في المستشفى، كما أثبتت وجود أثر ذي دلالة إحصائية لإدارة المخاطر على جودة الرعاية الصحية بجميع أبعادها. وأوصت الدراسة بضرورة إجراء المزيد من الأبحاث حول ممارسات إدارة المخاطر في المستشفيات وتعزيز تطبيقها لرفع مستوى جودة الخدمات الصحية المقدمة</w:t>
      </w:r>
      <w:r w:rsidRPr="003177F3">
        <w:rPr>
          <w:rFonts w:ascii="Sakkal Majalla" w:eastAsia="Times New Roman" w:hAnsi="Sakkal Majalla" w:cs="Sakkal Majalla"/>
          <w:color w:val="000000" w:themeColor="text1"/>
          <w:kern w:val="0"/>
          <w:sz w:val="28"/>
          <w:szCs w:val="28"/>
          <w14:ligatures w14:val="none"/>
        </w:rPr>
        <w:t>.</w:t>
      </w:r>
    </w:p>
    <w:p w14:paraId="1C2FE503"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 (البقمي وشرقي، 2025): "دور اليقظة الاستراتيجية في إدارة المخاطر: دراسة حالة أزمة كوفيد بالمملكة العربية السعودية</w:t>
      </w:r>
      <w:r w:rsidRPr="003177F3">
        <w:rPr>
          <w:rFonts w:ascii="Sakkal Majalla" w:eastAsia="Times New Roman" w:hAnsi="Sakkal Majalla" w:cs="Sakkal Majalla"/>
          <w:b/>
          <w:bCs/>
          <w:color w:val="000000" w:themeColor="text1"/>
          <w:kern w:val="0"/>
          <w:sz w:val="28"/>
          <w:szCs w:val="28"/>
          <w14:ligatures w14:val="none"/>
        </w:rPr>
        <w:t>"</w:t>
      </w:r>
    </w:p>
    <w:p w14:paraId="3D752D9D" w14:textId="389A5E05"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هدفت الدراسة إلى التعرف على دور اليقظة الاستراتيجية بأبعادها (أنظمة الإنذار المبكر، تحليل البيانات، الإجراءات الاستباقية، التحول الرقمي) في إدارة المخاطر أثناء أزمة كوفيد-19 في المملكة العربية السعودية. واستخدمت الدراسة المنهج الوصفي التحليلي، واعتمدت على مقياس تم تصميمه لتقييم فاعلية السياسات والإجراءات المتبعة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وأظهرت نتائج الدراسة نجاح المملكة العربية السعودية في التنبؤ بالمخاطر باستخدام أنظمة الإنذار المبكر وتحليل البيانات، بالإضافة إلى تنفيذ إجراءات استباقية مثل إغلاق الحدود وحملات التوعية، كما برز التحول الرقمي من خلال تطبيق "توكلنا" كأداة رئيسية في إدارة الأزمة. غير أن المملكة واجهت تحديات مثل الضغوط الاقتصادية الناتجة عن الإغلاق والتغيرات السريعة في طبيعة الأزمة. وأوصت الدراسة بأهمية تعزيز التكامل بين القطاعات، والاستثمار المستدام في أنظمة اليقظة الاستراتيجية، وتوسيع استخدام التكنولوجيا في مواجهة الأزمات المستقبلية</w:t>
      </w:r>
      <w:r w:rsidRPr="003177F3">
        <w:rPr>
          <w:rFonts w:ascii="Sakkal Majalla" w:eastAsia="Times New Roman" w:hAnsi="Sakkal Majalla" w:cs="Sakkal Majalla"/>
          <w:color w:val="000000" w:themeColor="text1"/>
          <w:kern w:val="0"/>
          <w:sz w:val="28"/>
          <w:szCs w:val="28"/>
          <w14:ligatures w14:val="none"/>
        </w:rPr>
        <w:t>.</w:t>
      </w:r>
    </w:p>
    <w:p w14:paraId="5363AB0A"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 (صادق، 2022): "إسهامات طريقة تنظيم المجتمع في تطوير إدارة الأزمات للحد من مخاطر الأوبئة الصحية في المجتمع المصري</w:t>
      </w:r>
      <w:r w:rsidRPr="003177F3">
        <w:rPr>
          <w:rFonts w:ascii="Sakkal Majalla" w:eastAsia="Times New Roman" w:hAnsi="Sakkal Majalla" w:cs="Sakkal Majalla"/>
          <w:b/>
          <w:bCs/>
          <w:color w:val="000000" w:themeColor="text1"/>
          <w:kern w:val="0"/>
          <w:sz w:val="28"/>
          <w:szCs w:val="28"/>
          <w14:ligatures w14:val="none"/>
        </w:rPr>
        <w:t>"</w:t>
      </w:r>
    </w:p>
    <w:p w14:paraId="3305F766" w14:textId="1A26E960"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 xml:space="preserve">هدفت الدراسة إلى التعرف على إسهامات طريقة تنظيم المجتمع في تطوير إدارة الأزمات بأبعادها (تنمية الثقافة الصحية، تنفيذ إجراءات التعامل مع المخاطر، تحديد مخاطر الأوبئة الصحية) على الحد من مخاطر الأوبئة الصحية في المجتمع المصري. واستخدمت الدراسة منهج المسح الاجتماعي، واعتمدت على استمارة الاستبيان كأداة لجمع البيانات. وتكونت العينة من (49) أخصائياً اجتماعياً. وتوصلت نتائج الدراسة إلى أهمية تطوير إدارة الأزمات للحد من مخاطر الأوبئة الصحية، حيث جاء في المرتبة الأولى بنسبة (97.9%) التقليل من مستوى التعرض لمخاطر الأوبئة من خلال تنمية الثقافة الصحية، وفي المرتبة الثانية بنسبة (96.5%) تنفيذ إجراءات التعامل مع مخاطر الأوبئة من حيث التكلفة والوقت، وفي المرتبة الثالثة بنسبة </w:t>
      </w:r>
      <w:r w:rsidRPr="003177F3">
        <w:rPr>
          <w:rFonts w:ascii="Sakkal Majalla" w:eastAsia="Times New Roman" w:hAnsi="Sakkal Majalla" w:cs="Sakkal Majalla"/>
          <w:color w:val="000000" w:themeColor="text1"/>
          <w:kern w:val="0"/>
          <w:sz w:val="28"/>
          <w:szCs w:val="28"/>
          <w14:ligatures w14:val="none"/>
        </w:rPr>
        <w:t xml:space="preserve">(94.5%) </w:t>
      </w:r>
      <w:r w:rsidRPr="003177F3">
        <w:rPr>
          <w:rFonts w:ascii="Sakkal Majalla" w:eastAsia="Times New Roman" w:hAnsi="Sakkal Majalla" w:cs="Sakkal Majalla"/>
          <w:color w:val="000000" w:themeColor="text1"/>
          <w:kern w:val="0"/>
          <w:sz w:val="28"/>
          <w:szCs w:val="28"/>
          <w:rtl/>
          <w14:ligatures w14:val="none"/>
        </w:rPr>
        <w:t>تحديد مخاطر الأوبئة وترتيب التعامل معها، وبلغ المستوى العام لأهمية تطوير إدارة الأزمات مرتفعاً بنسبة (92.2%). وأوصت الدراسة بتعزيز دور تنظيم المجتمع في مواجهة الأوبئة وتكثيف برامج التوعية الصحية المجتمعية</w:t>
      </w:r>
      <w:r w:rsidRPr="003177F3">
        <w:rPr>
          <w:rFonts w:ascii="Sakkal Majalla" w:eastAsia="Times New Roman" w:hAnsi="Sakkal Majalla" w:cs="Sakkal Majalla"/>
          <w:color w:val="000000" w:themeColor="text1"/>
          <w:kern w:val="0"/>
          <w:sz w:val="28"/>
          <w:szCs w:val="28"/>
          <w14:ligatures w14:val="none"/>
        </w:rPr>
        <w:t>.</w:t>
      </w:r>
    </w:p>
    <w:p w14:paraId="06F0D4D5"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 (داخل وجماعة وأبو زيد، 2022): "علاقة التخطيط الاستراتيجي بفاعلية إدارة الأزمات والمخاطر في المنظمات الصحية العراقية</w:t>
      </w:r>
      <w:r w:rsidRPr="003177F3">
        <w:rPr>
          <w:rFonts w:ascii="Sakkal Majalla" w:eastAsia="Times New Roman" w:hAnsi="Sakkal Majalla" w:cs="Sakkal Majalla"/>
          <w:b/>
          <w:bCs/>
          <w:color w:val="000000" w:themeColor="text1"/>
          <w:kern w:val="0"/>
          <w:sz w:val="28"/>
          <w:szCs w:val="28"/>
          <w14:ligatures w14:val="none"/>
        </w:rPr>
        <w:t>"</w:t>
      </w:r>
    </w:p>
    <w:p w14:paraId="0457C9E9" w14:textId="641BB480"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هدفت الدراسة إلى التعرف على العلاقة بين التخطيط الاستراتيجي بأبعاده (صياغة الرؤية والرسالة، تحديد الأهداف الاستراتيجية، التحليل البيئي) وفاعلية إدارة الأزمات والمخاطر في المنظمات الصحية العراقية، وتقديم نموذج مقترح لهذه العلاقة. واستخدمت الدراسة المنهج الوصفي التحليلي، واعتمدت على الاستبانة كأداة لجمع البيانات. وتكون مجتمع الدراسة من العاملين في بعض المستشفيات العراقية الحكومية (الزهراء التعليمي، الكرامة التعليمي، اليرموك التعليمي) والمستشفيات الخاصة (الهلال الأحمر، الجادرية الأهلي، الراهبات الأهلي) في أقسام متعددة، وبلغ حجم المجتمع نحو (1376) مفردة. وتوصلت نتائج الدراسة إلى أهمية مشاركة كافة العاملين في صياغة رؤية ورسالة المؤسسة، وضرورة التحديد الواضح لرؤية ورسالة المؤسسة بما يتوافق مع أسباب وجودها في البيئة، والقيام بعمليات تحديد الأهداف الاستراتيجية بشكل يحقق خصائص الأهداف الذكية. وأوصت الدراسة بتحسين الممارسات الفعلية لسياسات التخطيط الاستراتيجي في المؤسسات الصحية للحد من الآثار السلبية للأزمات المستقبلية</w:t>
      </w:r>
      <w:r w:rsidRPr="003177F3">
        <w:rPr>
          <w:rFonts w:ascii="Sakkal Majalla" w:eastAsia="Times New Roman" w:hAnsi="Sakkal Majalla" w:cs="Sakkal Majalla"/>
          <w:color w:val="000000" w:themeColor="text1"/>
          <w:kern w:val="0"/>
          <w:sz w:val="28"/>
          <w:szCs w:val="28"/>
          <w14:ligatures w14:val="none"/>
        </w:rPr>
        <w:t>.</w:t>
      </w:r>
    </w:p>
    <w:p w14:paraId="36E9908A" w14:textId="77777777" w:rsidR="00D86537" w:rsidRPr="003177F3" w:rsidRDefault="00D86537" w:rsidP="009D64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lastRenderedPageBreak/>
        <w:t>ثانياً: الدراسات الأجنبية</w:t>
      </w:r>
    </w:p>
    <w:p w14:paraId="395ACE02"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w:t>
      </w:r>
      <w:r w:rsidRPr="003177F3">
        <w:rPr>
          <w:rFonts w:ascii="Sakkal Majalla" w:eastAsia="Times New Roman" w:hAnsi="Sakkal Majalla" w:cs="Sakkal Majalla"/>
          <w:b/>
          <w:bCs/>
          <w:color w:val="000000" w:themeColor="text1"/>
          <w:kern w:val="0"/>
          <w:sz w:val="28"/>
          <w:szCs w:val="28"/>
          <w14:ligatures w14:val="none"/>
        </w:rPr>
        <w:t xml:space="preserve"> (Malecki, Keating &amp; Safdar, 2021): "Crisis Communication and Public Perception of COVID-19 Risk in the Era of Social Media"</w:t>
      </w:r>
    </w:p>
    <w:p w14:paraId="24CCF0EC" w14:textId="55B03C6A"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هدفت الدراسة إلى التعرف على دور اتصال الأزمات بأبعاده (إدراك المخاطر، عوامل الغضب العام، التواصل عبر وسائل التواصل الاجتماعي، استراتيجيات تخفيف المخاطر) على الإدراك العام لمخاطر كوفيد-19 في الولايات المتحدة الأمريكية. واستخدمت الدراسة المنهج الوصفي التحليلي القائم على مراجعة الأدبيات وتحليل أُطر اتصال المخاطر المستندة إلى نموذج "الخطر + الغضب</w:t>
      </w:r>
      <w:r w:rsidRPr="003177F3">
        <w:rPr>
          <w:rFonts w:ascii="Sakkal Majalla" w:eastAsia="Times New Roman" w:hAnsi="Sakkal Majalla" w:cs="Sakkal Majalla"/>
          <w:color w:val="000000" w:themeColor="text1"/>
          <w:kern w:val="0"/>
          <w:sz w:val="28"/>
          <w:szCs w:val="28"/>
          <w14:ligatures w14:val="none"/>
        </w:rPr>
        <w:t xml:space="preserve">" (Hazard + Outrage). </w:t>
      </w:r>
      <w:r w:rsidRPr="003177F3">
        <w:rPr>
          <w:rFonts w:ascii="Sakkal Majalla" w:eastAsia="Times New Roman" w:hAnsi="Sakkal Majalla" w:cs="Sakkal Majalla"/>
          <w:color w:val="000000" w:themeColor="text1"/>
          <w:kern w:val="0"/>
          <w:sz w:val="28"/>
          <w:szCs w:val="28"/>
          <w:rtl/>
          <w14:ligatures w14:val="none"/>
        </w:rPr>
        <w:t xml:space="preserve">وتوصلت نتائج الدراسة إلى أن الإدراك العام للمخاطر يتشكل من عاملين رئيسيين هما: الخطر الفعلي </w:t>
      </w:r>
      <w:r w:rsidRPr="003177F3">
        <w:rPr>
          <w:rFonts w:ascii="Sakkal Majalla" w:eastAsia="Times New Roman" w:hAnsi="Sakkal Majalla" w:cs="Sakkal Majalla"/>
          <w:color w:val="000000" w:themeColor="text1"/>
          <w:kern w:val="0"/>
          <w:sz w:val="28"/>
          <w:szCs w:val="28"/>
          <w14:ligatures w14:val="none"/>
        </w:rPr>
        <w:t xml:space="preserve">(Hazard) </w:t>
      </w:r>
      <w:r w:rsidRPr="003177F3">
        <w:rPr>
          <w:rFonts w:ascii="Sakkal Majalla" w:eastAsia="Times New Roman" w:hAnsi="Sakkal Majalla" w:cs="Sakkal Majalla"/>
          <w:color w:val="000000" w:themeColor="text1"/>
          <w:kern w:val="0"/>
          <w:sz w:val="28"/>
          <w:szCs w:val="28"/>
          <w:rtl/>
          <w14:ligatures w14:val="none"/>
        </w:rPr>
        <w:t>ودرجة الغضب</w:t>
      </w:r>
      <w:r w:rsidRPr="003177F3">
        <w:rPr>
          <w:rFonts w:ascii="Sakkal Majalla" w:eastAsia="Times New Roman" w:hAnsi="Sakkal Majalla" w:cs="Sakkal Majalla"/>
          <w:color w:val="000000" w:themeColor="text1"/>
          <w:kern w:val="0"/>
          <w:sz w:val="28"/>
          <w:szCs w:val="28"/>
          <w14:ligatures w14:val="none"/>
        </w:rPr>
        <w:t xml:space="preserve"> (Outrage)</w:t>
      </w:r>
      <w:r w:rsidRPr="003177F3">
        <w:rPr>
          <w:rFonts w:ascii="Sakkal Majalla" w:eastAsia="Times New Roman" w:hAnsi="Sakkal Majalla" w:cs="Sakkal Majalla"/>
          <w:color w:val="000000" w:themeColor="text1"/>
          <w:kern w:val="0"/>
          <w:sz w:val="28"/>
          <w:szCs w:val="28"/>
          <w:rtl/>
          <w14:ligatures w14:val="none"/>
        </w:rPr>
        <w:t>، وأن عوامل مثل عدم الألفة بالمرض، وعدم اليقين العلمي، وفقدان السيطرة الشخصية، وانعدام الثقة في المؤسسات تؤثر بشكل كبير في تشكيل الإدراك العام والاستجابة لاستراتيجيات التخفيف كالتباعد الاجتماعي وارتداء الكمامات. كما كشفت عن الدور المزدوج لوسائل التواصل الاجتماعي كأداة لنشر المعلومات الصحيحة بسرعة وكوسيلة لنشر المعلومات المضللة. وأوصت الدراسة بأن يتصدر الأطباء المتخصصون في الأمراض المعدية جهود اتصال المخاطر باعتبارهم مصادر موثوقة، مع ضرورة التخطيط المسبق لاستراتيجيات الاتصال والتحلي بالشفافية والصدق ومخاطبة الجمهور بتعاطف</w:t>
      </w:r>
      <w:r w:rsidRPr="003177F3">
        <w:rPr>
          <w:rFonts w:ascii="Sakkal Majalla" w:eastAsia="Times New Roman" w:hAnsi="Sakkal Majalla" w:cs="Sakkal Majalla"/>
          <w:color w:val="000000" w:themeColor="text1"/>
          <w:kern w:val="0"/>
          <w:sz w:val="28"/>
          <w:szCs w:val="28"/>
          <w14:ligatures w14:val="none"/>
        </w:rPr>
        <w:t>.</w:t>
      </w:r>
    </w:p>
    <w:p w14:paraId="6543507E" w14:textId="3A5B056F" w:rsidR="00D86537" w:rsidRPr="003177F3" w:rsidRDefault="00D86537" w:rsidP="009D6408">
      <w:pPr>
        <w:pStyle w:val="ListParagraph"/>
        <w:numPr>
          <w:ilvl w:val="0"/>
          <w:numId w:val="14"/>
        </w:numPr>
        <w:spacing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w:t>
      </w:r>
      <w:r w:rsidRPr="003177F3">
        <w:rPr>
          <w:rFonts w:ascii="Sakkal Majalla" w:eastAsia="Times New Roman" w:hAnsi="Sakkal Majalla" w:cs="Sakkal Majalla"/>
          <w:b/>
          <w:bCs/>
          <w:color w:val="000000" w:themeColor="text1"/>
          <w:kern w:val="0"/>
          <w:sz w:val="28"/>
          <w:szCs w:val="28"/>
          <w14:ligatures w14:val="none"/>
        </w:rPr>
        <w:t xml:space="preserve"> (Barasa, Mbau &amp; Gilson, 2018): "What Is Resilience and How Can It Be Nurtured? A Systematic Review of Empirical Literature on Organizational Resilience"</w:t>
      </w:r>
    </w:p>
    <w:p w14:paraId="142DFFF8" w14:textId="70DA82E6"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 xml:space="preserve">هدفت الدراسة إلى التعرف على مفهوم المرونة التنظيمية بأبعادها (الموارد المادية، التخطيط والاستعداد، إدارة المعلومات، المسارات البديلة والتكرار، عمليات الحوكمة، ممارسات القيادة، الثقافة التنظيمية، رأس المال البشري، الشبكات الاجتماعية والتعاون) وكيفية تعزيزها في الأنظمة الصحية. </w:t>
      </w:r>
      <w:r w:rsidRPr="003177F3">
        <w:rPr>
          <w:rFonts w:ascii="Sakkal Majalla" w:eastAsia="Times New Roman" w:hAnsi="Sakkal Majalla" w:cs="Sakkal Majalla"/>
          <w:color w:val="000000" w:themeColor="text1"/>
          <w:kern w:val="0"/>
          <w:sz w:val="28"/>
          <w:szCs w:val="28"/>
          <w:rtl/>
          <w14:ligatures w14:val="none"/>
        </w:rPr>
        <w:lastRenderedPageBreak/>
        <w:t>واستخدمت الدراسة منهج المراجعة المنهجية للأدبيات التجريبية، حيث تم البحث في قواعد بيانات</w:t>
      </w:r>
      <w:r w:rsidRPr="003177F3">
        <w:rPr>
          <w:rFonts w:ascii="Sakkal Majalla" w:eastAsia="Times New Roman" w:hAnsi="Sakkal Majalla" w:cs="Sakkal Majalla"/>
          <w:color w:val="000000" w:themeColor="text1"/>
          <w:kern w:val="0"/>
          <w:sz w:val="28"/>
          <w:szCs w:val="28"/>
          <w14:ligatures w14:val="none"/>
        </w:rPr>
        <w:t xml:space="preserve"> PubMed </w:t>
      </w:r>
      <w:r w:rsidRPr="003177F3">
        <w:rPr>
          <w:rFonts w:ascii="Sakkal Majalla" w:eastAsia="Times New Roman" w:hAnsi="Sakkal Majalla" w:cs="Sakkal Majalla"/>
          <w:color w:val="000000" w:themeColor="text1"/>
          <w:kern w:val="0"/>
          <w:sz w:val="28"/>
          <w:szCs w:val="28"/>
          <w:rtl/>
          <w14:ligatures w14:val="none"/>
        </w:rPr>
        <w:t>و</w:t>
      </w:r>
      <w:r w:rsidRPr="003177F3">
        <w:rPr>
          <w:rFonts w:ascii="Sakkal Majalla" w:eastAsia="Times New Roman" w:hAnsi="Sakkal Majalla" w:cs="Sakkal Majalla"/>
          <w:color w:val="000000" w:themeColor="text1"/>
          <w:kern w:val="0"/>
          <w:sz w:val="28"/>
          <w:szCs w:val="28"/>
          <w14:ligatures w14:val="none"/>
        </w:rPr>
        <w:t xml:space="preserve">Econlit </w:t>
      </w:r>
      <w:r w:rsidRPr="003177F3">
        <w:rPr>
          <w:rFonts w:ascii="Sakkal Majalla" w:eastAsia="Times New Roman" w:hAnsi="Sakkal Majalla" w:cs="Sakkal Majalla"/>
          <w:color w:val="000000" w:themeColor="text1"/>
          <w:kern w:val="0"/>
          <w:sz w:val="28"/>
          <w:szCs w:val="28"/>
          <w:rtl/>
          <w14:ligatures w14:val="none"/>
        </w:rPr>
        <w:t>و</w:t>
      </w:r>
      <w:r w:rsidRPr="003177F3">
        <w:rPr>
          <w:rFonts w:ascii="Sakkal Majalla" w:eastAsia="Times New Roman" w:hAnsi="Sakkal Majalla" w:cs="Sakkal Majalla"/>
          <w:color w:val="000000" w:themeColor="text1"/>
          <w:kern w:val="0"/>
          <w:sz w:val="28"/>
          <w:szCs w:val="28"/>
          <w14:ligatures w14:val="none"/>
        </w:rPr>
        <w:t xml:space="preserve">EBSCOHOST </w:t>
      </w:r>
      <w:r w:rsidRPr="003177F3">
        <w:rPr>
          <w:rFonts w:ascii="Sakkal Majalla" w:eastAsia="Times New Roman" w:hAnsi="Sakkal Majalla" w:cs="Sakkal Majalla"/>
          <w:color w:val="000000" w:themeColor="text1"/>
          <w:kern w:val="0"/>
          <w:sz w:val="28"/>
          <w:szCs w:val="28"/>
          <w:rtl/>
          <w14:ligatures w14:val="none"/>
        </w:rPr>
        <w:t>و</w:t>
      </w:r>
      <w:r w:rsidRPr="003177F3">
        <w:rPr>
          <w:rFonts w:ascii="Sakkal Majalla" w:eastAsia="Times New Roman" w:hAnsi="Sakkal Majalla" w:cs="Sakkal Majalla"/>
          <w:color w:val="000000" w:themeColor="text1"/>
          <w:kern w:val="0"/>
          <w:sz w:val="28"/>
          <w:szCs w:val="28"/>
          <w14:ligatures w14:val="none"/>
        </w:rPr>
        <w:t xml:space="preserve">Google Scholar. </w:t>
      </w:r>
      <w:r w:rsidRPr="003177F3">
        <w:rPr>
          <w:rFonts w:ascii="Sakkal Majalla" w:eastAsia="Times New Roman" w:hAnsi="Sakkal Majalla" w:cs="Sakkal Majalla"/>
          <w:color w:val="000000" w:themeColor="text1"/>
          <w:kern w:val="0"/>
          <w:sz w:val="28"/>
          <w:szCs w:val="28"/>
          <w:rtl/>
          <w14:ligatures w14:val="none"/>
        </w:rPr>
        <w:t xml:space="preserve">وتكونت العينة من (34) بحثاً ودراسة استوفت معايير الشمول. وتوصلت نتائج الدراسة إلى أن المرونة تُفهم عموماً بوصفها قدرة النظام على الاستمرار في تحقيق أهدافه في مواجهة التحديات، وأن مفهوم المرونة لا يقتصر على قدرة النظام على مقاومة الصدمات فحسب بل يشمل أيضاً القدرة على التكيف والتحول. كما أكدت أن المرونة خاصية ناشئة من الأنظمة التكيفية المعقدة، وأنها وظيفة مزدوجة تتضمن التخطيط للأزمات المستقبلية (المرونة المخططة) والتكيف مع الضغوط المزمنة والصدمات الحادة (المرونة التكيفية). وأوصت الدراسة بالاهتمام بالمرونة اليومية للأنظمة الصحية وليس فقط مرونتها أمام الصدمات الحادة، والتركيز على الجوانب البرمجية </w:t>
      </w:r>
      <w:r w:rsidRPr="003177F3">
        <w:rPr>
          <w:rFonts w:ascii="Sakkal Majalla" w:eastAsia="Times New Roman" w:hAnsi="Sakkal Majalla" w:cs="Sakkal Majalla"/>
          <w:color w:val="000000" w:themeColor="text1"/>
          <w:kern w:val="0"/>
          <w:sz w:val="28"/>
          <w:szCs w:val="28"/>
          <w14:ligatures w14:val="none"/>
        </w:rPr>
        <w:t xml:space="preserve">(Software) </w:t>
      </w:r>
      <w:r w:rsidRPr="003177F3">
        <w:rPr>
          <w:rFonts w:ascii="Sakkal Majalla" w:eastAsia="Times New Roman" w:hAnsi="Sakkal Majalla" w:cs="Sakkal Majalla"/>
          <w:color w:val="000000" w:themeColor="text1"/>
          <w:kern w:val="0"/>
          <w:sz w:val="28"/>
          <w:szCs w:val="28"/>
          <w:rtl/>
          <w14:ligatures w14:val="none"/>
        </w:rPr>
        <w:t>للنظام الصحي كالثقافة والقيادة بقدر التركيز على الجوانب المادية</w:t>
      </w:r>
      <w:r w:rsidRPr="003177F3">
        <w:rPr>
          <w:rFonts w:ascii="Sakkal Majalla" w:eastAsia="Times New Roman" w:hAnsi="Sakkal Majalla" w:cs="Sakkal Majalla"/>
          <w:color w:val="000000" w:themeColor="text1"/>
          <w:kern w:val="0"/>
          <w:sz w:val="28"/>
          <w:szCs w:val="28"/>
          <w14:ligatures w14:val="none"/>
        </w:rPr>
        <w:t xml:space="preserve"> (Hardware).</w:t>
      </w:r>
    </w:p>
    <w:p w14:paraId="43C19B05" w14:textId="77777777" w:rsidR="00D86537" w:rsidRPr="003177F3" w:rsidRDefault="00D86537" w:rsidP="009D6408">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دراسة</w:t>
      </w:r>
      <w:r w:rsidRPr="003177F3">
        <w:rPr>
          <w:rFonts w:ascii="Sakkal Majalla" w:eastAsia="Times New Roman" w:hAnsi="Sakkal Majalla" w:cs="Sakkal Majalla"/>
          <w:b/>
          <w:bCs/>
          <w:color w:val="000000" w:themeColor="text1"/>
          <w:kern w:val="0"/>
          <w:sz w:val="28"/>
          <w:szCs w:val="28"/>
          <w14:ligatures w14:val="none"/>
        </w:rPr>
        <w:t xml:space="preserve"> (Nuzzo et al., 2020): "Preparedness for a High-Impact Respiratory Pathogen Pandemic"</w:t>
      </w:r>
    </w:p>
    <w:p w14:paraId="7564E50E"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 xml:space="preserve">هدفت الدراسة إلى التعرف على مستوى الاستعداد العالمي لمواجهة جائحة ناتجة عن مسببات أمراض تنفسية عالية التأثير بأبعاده </w:t>
      </w:r>
      <w:r w:rsidRPr="003177F3">
        <w:rPr>
          <w:rFonts w:ascii="Sakkal Majalla" w:eastAsia="Times New Roman" w:hAnsi="Sakkal Majalla" w:cs="Sakkal Majalla"/>
          <w:color w:val="000000" w:themeColor="text1"/>
          <w:kern w:val="0"/>
          <w:sz w:val="28"/>
          <w:szCs w:val="28"/>
          <w14:ligatures w14:val="none"/>
        </w:rPr>
        <w:t>(</w:t>
      </w:r>
      <w:r w:rsidRPr="003177F3">
        <w:rPr>
          <w:rFonts w:ascii="Sakkal Majalla" w:eastAsia="Times New Roman" w:hAnsi="Sakkal Majalla" w:cs="Sakkal Majalla"/>
          <w:color w:val="000000" w:themeColor="text1"/>
          <w:kern w:val="0"/>
          <w:sz w:val="28"/>
          <w:szCs w:val="28"/>
          <w:rtl/>
          <w14:ligatures w14:val="none"/>
        </w:rPr>
        <w:t>قدرات الرصد والإنذار المبكر، قدرات الاستجابة الطبية، التواصل أثناء المخاطر، سلاسل الإمداد الصحي، التنسيق بين القطاعات) على مستوى الأنظمة الصحية العالمية. واستخدمت الدراسة المنهج الوصفي التحليلي القائم على مراجعة شاملة للسياسات والأدلة المتوفرة وتحليل الفجوات في الاستعداد</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وتوصلت نتائج الدراسة إلى وجود ثغرات كبيرة في الاستعداد العالمي لمواجهة الجوائح التنفسية عالية التأثير، بما في ذلك ضعف أنظمة الرصد المبكر وعدم كفاية الإمدادات الطبية الاستراتيجية وقصور في خطط التواصل أثناء الأزمات</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وأوصت الدراسة بضرورة الاستثمار في أنظمة الإنذار المبكر وتعزيز سلاسل الإمداد الطبي والعمل على بناء قدرات مستدامة للاستعداد والاستجابة على المستويين الوطني والدولي</w:t>
      </w:r>
      <w:r w:rsidRPr="003177F3">
        <w:rPr>
          <w:rFonts w:ascii="Sakkal Majalla" w:eastAsia="Times New Roman" w:hAnsi="Sakkal Majalla" w:cs="Sakkal Majalla"/>
          <w:color w:val="000000" w:themeColor="text1"/>
          <w:kern w:val="0"/>
          <w:sz w:val="28"/>
          <w:szCs w:val="28"/>
          <w14:ligatures w14:val="none"/>
        </w:rPr>
        <w:t>.</w:t>
      </w:r>
    </w:p>
    <w:p w14:paraId="485175E4" w14:textId="7F90342A" w:rsidR="009D6408" w:rsidRPr="003177F3" w:rsidRDefault="009D6408" w:rsidP="009D640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8" w:name="_Toc223814200"/>
      <w:r w:rsidRPr="003177F3">
        <w:rPr>
          <w:rFonts w:ascii="Sakkal Majalla" w:eastAsia="Times New Roman" w:hAnsi="Sakkal Majalla" w:cs="Sakkal Majalla"/>
          <w:b/>
          <w:bCs/>
          <w:color w:val="000000" w:themeColor="text1"/>
          <w:kern w:val="0"/>
          <w:sz w:val="36"/>
          <w:szCs w:val="36"/>
          <w:rtl/>
          <w14:ligatures w14:val="none"/>
        </w:rPr>
        <w:t>8.1 الفجوة البحثية</w:t>
      </w:r>
      <w:bookmarkEnd w:id="8"/>
    </w:p>
    <w:p w14:paraId="3B7A1B4C"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 xml:space="preserve">من خلال الاستعراض المعمّق للأدبيات والدراسات السابقة العربية والأجنبية ذات الصلة بموضوع إدارة مخاطر الكوارث الصحية والأوبئة وجاهزية واستدامة القطاع الصحي، يتضح أن الغالبية العظمى من هذه الدراسات تناولت أبعاد إدارة المخاطر الصحية بشكل مجزّأ ومنفصل، حيث ركّزت بعض الدراسات على بُعد التخطيط الاستباقي كدراسة داخل وجماعة وأبو زيد </w:t>
      </w:r>
      <w:r w:rsidRPr="003177F3">
        <w:rPr>
          <w:rFonts w:ascii="Sakkal Majalla" w:eastAsia="Times New Roman" w:hAnsi="Sakkal Majalla" w:cs="Sakkal Majalla"/>
          <w:color w:val="000000" w:themeColor="text1"/>
          <w:kern w:val="0"/>
          <w:sz w:val="28"/>
          <w:szCs w:val="28"/>
          <w14:ligatures w14:val="none"/>
        </w:rPr>
        <w:t xml:space="preserve">(2022) </w:t>
      </w:r>
      <w:r w:rsidRPr="003177F3">
        <w:rPr>
          <w:rFonts w:ascii="Sakkal Majalla" w:eastAsia="Times New Roman" w:hAnsi="Sakkal Majalla" w:cs="Sakkal Majalla"/>
          <w:color w:val="000000" w:themeColor="text1"/>
          <w:kern w:val="0"/>
          <w:sz w:val="28"/>
          <w:szCs w:val="28"/>
          <w:rtl/>
          <w14:ligatures w14:val="none"/>
        </w:rPr>
        <w:t>التي اقتصرت على علاقة التخطيط الاستراتيجي بإدارة الأزمات، بينما تناولت دراسات أخرى بُعد اتصال المخاطر بمعزل عن بقية الأبعاد كدراسة بن لعربي (2022) ودراسة</w:t>
      </w:r>
      <w:r w:rsidRPr="003177F3">
        <w:rPr>
          <w:rFonts w:ascii="Sakkal Majalla" w:eastAsia="Times New Roman" w:hAnsi="Sakkal Majalla" w:cs="Sakkal Majalla"/>
          <w:color w:val="000000" w:themeColor="text1"/>
          <w:kern w:val="0"/>
          <w:sz w:val="28"/>
          <w:szCs w:val="28"/>
          <w14:ligatures w14:val="none"/>
        </w:rPr>
        <w:t xml:space="preserve"> (Malecki, Keating &amp; Safdar, 2021)</w:t>
      </w:r>
      <w:r w:rsidRPr="003177F3">
        <w:rPr>
          <w:rFonts w:ascii="Sakkal Majalla" w:eastAsia="Times New Roman" w:hAnsi="Sakkal Majalla" w:cs="Sakkal Majalla"/>
          <w:color w:val="000000" w:themeColor="text1"/>
          <w:kern w:val="0"/>
          <w:sz w:val="28"/>
          <w:szCs w:val="28"/>
          <w:rtl/>
          <w14:ligatures w14:val="none"/>
        </w:rPr>
        <w:t xml:space="preserve">، في حين انصبّ اهتمام دراسات ثالثة على الجانب الرقمي والتقني كدراسة العنزي والنيف </w:t>
      </w:r>
      <w:r w:rsidRPr="003177F3">
        <w:rPr>
          <w:rFonts w:ascii="Sakkal Majalla" w:eastAsia="Times New Roman" w:hAnsi="Sakkal Majalla" w:cs="Sakkal Majalla"/>
          <w:color w:val="000000" w:themeColor="text1"/>
          <w:kern w:val="0"/>
          <w:sz w:val="28"/>
          <w:szCs w:val="28"/>
          <w14:ligatures w14:val="none"/>
        </w:rPr>
        <w:t xml:space="preserve">(2025) </w:t>
      </w:r>
      <w:r w:rsidRPr="003177F3">
        <w:rPr>
          <w:rFonts w:ascii="Sakkal Majalla" w:eastAsia="Times New Roman" w:hAnsi="Sakkal Majalla" w:cs="Sakkal Majalla"/>
          <w:color w:val="000000" w:themeColor="text1"/>
          <w:kern w:val="0"/>
          <w:sz w:val="28"/>
          <w:szCs w:val="28"/>
          <w:rtl/>
          <w14:ligatures w14:val="none"/>
        </w:rPr>
        <w:t>أو على ممارسات إدارة المخاطر وعلاقتها بجودة الخدمات الصحية كدراسة المطيري (2023). كما أن معظم الدراسات الأجنبية كدراسة</w:t>
      </w:r>
      <w:r w:rsidRPr="003177F3">
        <w:rPr>
          <w:rFonts w:ascii="Sakkal Majalla" w:eastAsia="Times New Roman" w:hAnsi="Sakkal Majalla" w:cs="Sakkal Majalla"/>
          <w:color w:val="000000" w:themeColor="text1"/>
          <w:kern w:val="0"/>
          <w:sz w:val="28"/>
          <w:szCs w:val="28"/>
          <w14:ligatures w14:val="none"/>
        </w:rPr>
        <w:t xml:space="preserve"> (Barasa, Mbau &amp; Gilson, 2018) </w:t>
      </w:r>
      <w:r w:rsidRPr="003177F3">
        <w:rPr>
          <w:rFonts w:ascii="Sakkal Majalla" w:eastAsia="Times New Roman" w:hAnsi="Sakkal Majalla" w:cs="Sakkal Majalla"/>
          <w:color w:val="000000" w:themeColor="text1"/>
          <w:kern w:val="0"/>
          <w:sz w:val="28"/>
          <w:szCs w:val="28"/>
          <w:rtl/>
          <w14:ligatures w14:val="none"/>
        </w:rPr>
        <w:t>قدّمت مراجعات منهجية نظرية للمرونة التنظيمية دون ربطها بإطار تطبيقي متكامل لإدارة مخاطر الكوارث الصحية والأوبئة. وهذا يعني أن الأدبيات الحالية تفتقر إلى دراسات تتبنى مقاربة شمولية تدمج بين الأبعاد الأربعة لإدارة المخاطر (التخطيط الاستباقي، الاستجابة والتنسيق المؤسسي، اتصال المخاطر والتوعية، التحول الرقمي) في نموذج بحثي واحد متكامل يقيس أثرها المشترك على جاهزية واستدامة القطاع الصحي</w:t>
      </w:r>
      <w:r w:rsidRPr="003177F3">
        <w:rPr>
          <w:rFonts w:ascii="Sakkal Majalla" w:eastAsia="Times New Roman" w:hAnsi="Sakkal Majalla" w:cs="Sakkal Majalla"/>
          <w:color w:val="000000" w:themeColor="text1"/>
          <w:kern w:val="0"/>
          <w:sz w:val="28"/>
          <w:szCs w:val="28"/>
          <w14:ligatures w14:val="none"/>
        </w:rPr>
        <w:t>.</w:t>
      </w:r>
    </w:p>
    <w:p w14:paraId="5675F8F7"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 xml:space="preserve">وتتعمّق هذه الفجوة البحثية حين يُنظر إليها في سياق البيئة العربية تحديداً، إذ أن الدراسات العربية التي تناولت إدارة الأزمات والكوارث الصحية ظلت في معظمها محصورة في سياقات مؤسسية محدودة كمستشفى بعينه أو إدارة صحية في منطقة جغرافية واحدة، دون أن تقدم إطاراً استراتيجياً قابلاً للتعميم والتطبيق على مستوى القطاع الصحي ككل. فضلاً عن ذلك، فإن أياً من الدراسات السابقة لم يتناول المتغير التابع (جاهزية واستدامة القطاع الصحي) بوصفه مفهوماً مركّباً يجمع بين الجاهزية بمعناها الاستعدادي والاستدامة بمعناها المؤسسي طويل المدى، بل اكتفت أغلب الدراسات بقياس جوانب جزئية كجودة الرعاية الصحية أو فاعلية الاستجابة للأزمات أو تجربة المستفيد كلٌّ على حدة. ومن هنا تأتي الدراسة الحالية لسد هذه الفجوة من خلال تقديم نموذج بحثي متكامل يدرس الأثر المشترك لأبعاد إدارة مخاطر الكوارث الصحية والأوبئة الأربعة مجتمعةً على تعزيز جاهزية واستدامة القطاع الصحي، مع تقديم </w:t>
      </w:r>
      <w:r w:rsidRPr="003177F3">
        <w:rPr>
          <w:rFonts w:ascii="Sakkal Majalla" w:eastAsia="Times New Roman" w:hAnsi="Sakkal Majalla" w:cs="Sakkal Majalla"/>
          <w:color w:val="000000" w:themeColor="text1"/>
          <w:kern w:val="0"/>
          <w:sz w:val="28"/>
          <w:szCs w:val="28"/>
          <w:rtl/>
          <w14:ligatures w14:val="none"/>
        </w:rPr>
        <w:lastRenderedPageBreak/>
        <w:t>إطار استراتيجي شامل يُسهم في توجيه المؤسسات الصحية نحو بناء منظومة إدارة مخاطر فعالة ومستدامة</w:t>
      </w:r>
      <w:r w:rsidRPr="003177F3">
        <w:rPr>
          <w:rFonts w:ascii="Sakkal Majalla" w:eastAsia="Times New Roman" w:hAnsi="Sakkal Majalla" w:cs="Sakkal Majalla"/>
          <w:color w:val="000000" w:themeColor="text1"/>
          <w:kern w:val="0"/>
          <w:sz w:val="28"/>
          <w:szCs w:val="28"/>
          <w14:ligatures w14:val="none"/>
        </w:rPr>
        <w:t>.</w:t>
      </w:r>
    </w:p>
    <w:p w14:paraId="38F7344D" w14:textId="77777777" w:rsidR="009D6408" w:rsidRPr="003177F3" w:rsidRDefault="009D6408" w:rsidP="009D640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9" w:name="_Toc223814201"/>
      <w:r w:rsidRPr="003177F3">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9"/>
    </w:p>
    <w:p w14:paraId="2A160741" w14:textId="7E9E365A" w:rsidR="009D6408" w:rsidRPr="003177F3" w:rsidRDefault="009D6408" w:rsidP="009D64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3177F3">
        <w:rPr>
          <w:rFonts w:ascii="Sakkal Majalla" w:eastAsia="Times New Roman" w:hAnsi="Sakkal Majalla" w:cs="Sakkal Majalla"/>
          <w:b/>
          <w:bCs/>
          <w:color w:val="000000" w:themeColor="text1"/>
          <w:kern w:val="0"/>
          <w:sz w:val="32"/>
          <w:szCs w:val="32"/>
          <w:rtl/>
          <w14:ligatures w14:val="none"/>
        </w:rPr>
        <w:t>أولاً: إدارة مخاطر الكوارث الصحية والأوبئة</w:t>
      </w:r>
    </w:p>
    <w:p w14:paraId="0D296D60"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شهد مفهوم إدارة المخاطر تطوراً ملحوظاً عبر العقود الماضية، إذ انتقل من كونه مجرد إجراءات تفاعلية تُتخذ بعد وقوع الأزمات إلى منظومة استراتيجية شاملة تستهدف التنبؤ بالمخاطر واستباقها والتعامل معها وفق أُطر منهجية مُحكمة. وتُعرَّف إدارة المخاطر وفقاً للمواصفة الدولية</w:t>
      </w:r>
      <w:r w:rsidRPr="003177F3">
        <w:rPr>
          <w:rFonts w:ascii="Sakkal Majalla" w:eastAsia="Times New Roman" w:hAnsi="Sakkal Majalla" w:cs="Sakkal Majalla"/>
          <w:color w:val="000000" w:themeColor="text1"/>
          <w:kern w:val="0"/>
          <w:sz w:val="28"/>
          <w:szCs w:val="28"/>
          <w14:ligatures w14:val="none"/>
        </w:rPr>
        <w:t xml:space="preserve"> (ISO 31000:2018) </w:t>
      </w:r>
      <w:r w:rsidRPr="003177F3">
        <w:rPr>
          <w:rFonts w:ascii="Sakkal Majalla" w:eastAsia="Times New Roman" w:hAnsi="Sakkal Majalla" w:cs="Sakkal Majalla"/>
          <w:color w:val="000000" w:themeColor="text1"/>
          <w:kern w:val="0"/>
          <w:sz w:val="28"/>
          <w:szCs w:val="28"/>
          <w:rtl/>
          <w14:ligatures w14:val="none"/>
        </w:rPr>
        <w:t>بأنها مجموعة الأنشطة المنسقة لتوجيه المنظمة والتحكم فيها فيما يتعلق بالمخاطر، وتتضمن عمليات تحديد المخاطر وتحليلها وتقييمها ومعالجتها ورصدها ومراجعتها بصورة مستمرة (موسى، 2025)</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وحين يُسقط هذا المفهوم على القطاع الصحي تحديداً، فإن إدارة مخاطر الكوارث الصحية والأوبئة تُشير إلى تلك المنظومة المتكاملة من السياسات والإجراءات والممارسات التي تتبناها المؤسسات الصحية بهدف التعرف على المخاطر الصحية المحتملة الناجمة عن الكوارث والأوبئة، وتقدير احتمالية حدوثها وحجم تأثيرها، ووضع الخطط والاستراتيجيات اللازمة للوقاية منها أو التخفيف من آثارها وضمان استمرارية الخدمات الصحية في أثنائها وبعدها (المطيري، 2023)</w:t>
      </w:r>
      <w:r w:rsidRPr="003177F3">
        <w:rPr>
          <w:rFonts w:ascii="Sakkal Majalla" w:eastAsia="Times New Roman" w:hAnsi="Sakkal Majalla" w:cs="Sakkal Majalla"/>
          <w:color w:val="000000" w:themeColor="text1"/>
          <w:kern w:val="0"/>
          <w:sz w:val="28"/>
          <w:szCs w:val="28"/>
          <w14:ligatures w14:val="none"/>
        </w:rPr>
        <w:t>.</w:t>
      </w:r>
    </w:p>
    <w:p w14:paraId="0955A803"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 xml:space="preserve">وتكتسب إدارة مخاطر الكوارث الصحية والأوبئة أهمية استثنائية نابعة من طبيعة التهديدات الصحية ذاتها، فالأوبئة تتميز بسرعة انتشارها وعدم القدرة على التنبؤ الكامل بمساراتها وتأثيراتها المتشعبة التي تتجاوز البُعد الصحي لتطال الأبعاد الاقتصادية والاجتماعية والنفسية. وقد أسهمت جائحة كوفيد-19 في تعميق الوعي العالمي بأن إدارة المخاطر الصحية ليست ترفاً إدارياً بل ضرورة وجودية لا غنى عنها لضمان صمود الأنظمة الصحية وقدرتها على أداء مهامها في أحلك الظروف (البقمي وشرقي، </w:t>
      </w:r>
      <w:r w:rsidRPr="003177F3">
        <w:rPr>
          <w:rFonts w:ascii="Sakkal Majalla" w:eastAsia="Times New Roman" w:hAnsi="Sakkal Majalla" w:cs="Sakkal Majalla"/>
          <w:color w:val="000000" w:themeColor="text1"/>
          <w:kern w:val="0"/>
          <w:sz w:val="28"/>
          <w:szCs w:val="28"/>
          <w14:ligatures w14:val="none"/>
        </w:rPr>
        <w:t xml:space="preserve">2025). </w:t>
      </w:r>
      <w:r w:rsidRPr="003177F3">
        <w:rPr>
          <w:rFonts w:ascii="Sakkal Majalla" w:eastAsia="Times New Roman" w:hAnsi="Sakkal Majalla" w:cs="Sakkal Majalla"/>
          <w:color w:val="000000" w:themeColor="text1"/>
          <w:kern w:val="0"/>
          <w:sz w:val="28"/>
          <w:szCs w:val="28"/>
          <w:rtl/>
          <w14:ligatures w14:val="none"/>
        </w:rPr>
        <w:t xml:space="preserve">وفي هذا السياق، تتعدد المقاربات النظرية التي تؤطر لإدارة المخاطر الصحية، من بينها نظرية الأنظمة المعقدة </w:t>
      </w:r>
      <w:r w:rsidRPr="003177F3">
        <w:rPr>
          <w:rFonts w:ascii="Sakkal Majalla" w:eastAsia="Times New Roman" w:hAnsi="Sakkal Majalla" w:cs="Sakkal Majalla"/>
          <w:color w:val="000000" w:themeColor="text1"/>
          <w:kern w:val="0"/>
          <w:sz w:val="28"/>
          <w:szCs w:val="28"/>
          <w:rtl/>
          <w14:ligatures w14:val="none"/>
        </w:rPr>
        <w:lastRenderedPageBreak/>
        <w:t>التكيفية التي تنظر إلى المؤسسات الصحية بوصفها أنظمة ديناميكية تتفاعل مكوناتها مع بيئتها بشكل مستمر وتحتاج إلى قدرات تكيفية عالية لمواجهة المتغيرات المفاجئة</w:t>
      </w:r>
      <w:r w:rsidRPr="003177F3">
        <w:rPr>
          <w:rFonts w:ascii="Sakkal Majalla" w:eastAsia="Times New Roman" w:hAnsi="Sakkal Majalla" w:cs="Sakkal Majalla"/>
          <w:color w:val="000000" w:themeColor="text1"/>
          <w:kern w:val="0"/>
          <w:sz w:val="28"/>
          <w:szCs w:val="28"/>
          <w14:ligatures w14:val="none"/>
        </w:rPr>
        <w:t xml:space="preserve"> (Barasa, Mbau &amp; Gilson, 2018).</w:t>
      </w:r>
    </w:p>
    <w:p w14:paraId="361B2E0B" w14:textId="77777777" w:rsidR="00D86537" w:rsidRPr="003177F3" w:rsidRDefault="00D86537" w:rsidP="009D640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ثانياً: أبعاد المتغير المستقل</w:t>
      </w:r>
    </w:p>
    <w:p w14:paraId="4BC22341" w14:textId="77777777" w:rsidR="00D86537" w:rsidRPr="003177F3" w:rsidRDefault="00D86537" w:rsidP="009D6408">
      <w:pPr>
        <w:pStyle w:val="ListParagraph"/>
        <w:numPr>
          <w:ilvl w:val="0"/>
          <w:numId w:val="1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التخطيط الاستباقي للمخاطر</w:t>
      </w:r>
    </w:p>
    <w:p w14:paraId="71CF447C"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 xml:space="preserve">يُقصد بالتخطيط الاستباقي للمخاطر تلك العملية المنهجية المنظمة التي تقوم بها المؤسسات الصحية لاستشراف المخاطر الصحية المحتملة قبل وقوعها، من خلال تحليل البيئة الداخلية والخارجية، ورصد المؤشرات والإشارات المبكرة، ووضع خطط طوارئ وسيناريوهات استجابة مسبقة، وتخصيص الموارد اللازمة، وإجراء تدريبات محاكاة دورية لاختبار جاهزية المنظومة الصحية. ويرتكز هذا البُعد على فلسفة الاستباق بدلاً من رد الفعل، حيث إن التخطيط المسبق يُقلّل من حالة الارتباك ويُسرّع عملية الاستجابة ويُخفّض التكاليف البشرية والمادية المترتبة على الأزمات الصحية (صادق، </w:t>
      </w:r>
      <w:r w:rsidRPr="003177F3">
        <w:rPr>
          <w:rFonts w:ascii="Sakkal Majalla" w:eastAsia="Times New Roman" w:hAnsi="Sakkal Majalla" w:cs="Sakkal Majalla"/>
          <w:color w:val="000000" w:themeColor="text1"/>
          <w:kern w:val="0"/>
          <w:sz w:val="28"/>
          <w:szCs w:val="28"/>
          <w14:ligatures w14:val="none"/>
        </w:rPr>
        <w:t>2022).</w:t>
      </w:r>
    </w:p>
    <w:p w14:paraId="37833B03" w14:textId="77777777" w:rsidR="00D86537" w:rsidRPr="003177F3" w:rsidRDefault="00D86537" w:rsidP="009D6408">
      <w:pPr>
        <w:pStyle w:val="ListParagraph"/>
        <w:numPr>
          <w:ilvl w:val="0"/>
          <w:numId w:val="1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الاستجابة السريعة والتنسيق المؤسسي</w:t>
      </w:r>
    </w:p>
    <w:p w14:paraId="407BC692"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يُشير هذا البُعد إلى قدرة المؤسسات الصحية على تفعيل خطط الطوارئ بسرعة وكفاءة عند وقوع الكوارث الصحية أو الأوبئة، مع ضمان تنسيق فعال بين مختلف الجهات والمستويات الإدارية المعنية بالاستجابة. ويتضمن ذلك وضوح الأدوار والمسؤوليات وسلاسل القيادة، وسرعة تعبئة الموارد البشرية والمادية، وتبادل المعلومات بين الجهات المعنية في الوقت الحقيقي، والتنسيق مع القطاعات الحكومية والخاصة والمجتمعية ذات العلاقة. ويُعدّ التنسيق المؤسسي عاملاً حاسماً في نجاح جهود المواجهة، إذ أن تشتت الجهود وازدواجية الأدوار يُضعفان فاعلية الاستجابة ويُهدران الموارد المحدودة (داخل وجماعة وأبو زيد، 2022)</w:t>
      </w:r>
      <w:r w:rsidRPr="003177F3">
        <w:rPr>
          <w:rFonts w:ascii="Sakkal Majalla" w:eastAsia="Times New Roman" w:hAnsi="Sakkal Majalla" w:cs="Sakkal Majalla"/>
          <w:color w:val="000000" w:themeColor="text1"/>
          <w:kern w:val="0"/>
          <w:sz w:val="28"/>
          <w:szCs w:val="28"/>
          <w14:ligatures w14:val="none"/>
        </w:rPr>
        <w:t>.</w:t>
      </w:r>
    </w:p>
    <w:p w14:paraId="677D98C4" w14:textId="77777777" w:rsidR="00D86537" w:rsidRPr="003177F3" w:rsidRDefault="00D86537" w:rsidP="009D6408">
      <w:pPr>
        <w:pStyle w:val="ListParagraph"/>
        <w:numPr>
          <w:ilvl w:val="0"/>
          <w:numId w:val="1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اتصال المخاطر والتوعية المجتمعية</w:t>
      </w:r>
    </w:p>
    <w:p w14:paraId="585A8D37"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يُعرَّف اتصال المخاطر بأنه عملية تبادل المعلومات والآراء والرسائل بين الجهات المسؤولة عن إدارة المخاطر والجمهور المعرض لها أو المتأثر بها، بهدف تمكين الأفراد والمجتمعات من اتخاذ قرارات مستنيرة لحماية صحتهم وسلامتهم. وقد طوّرت مراكز السيطرة على الأمراض والوقاية منها في الولايات المتحدة الأمريكية نموذج</w:t>
      </w:r>
      <w:r w:rsidRPr="003177F3">
        <w:rPr>
          <w:rFonts w:ascii="Sakkal Majalla" w:eastAsia="Times New Roman" w:hAnsi="Sakkal Majalla" w:cs="Sakkal Majalla"/>
          <w:color w:val="000000" w:themeColor="text1"/>
          <w:kern w:val="0"/>
          <w:sz w:val="28"/>
          <w:szCs w:val="28"/>
          <w14:ligatures w14:val="none"/>
        </w:rPr>
        <w:t xml:space="preserve"> (CERC) </w:t>
      </w:r>
      <w:r w:rsidRPr="003177F3">
        <w:rPr>
          <w:rFonts w:ascii="Sakkal Majalla" w:eastAsia="Times New Roman" w:hAnsi="Sakkal Majalla" w:cs="Sakkal Majalla"/>
          <w:color w:val="000000" w:themeColor="text1"/>
          <w:kern w:val="0"/>
          <w:sz w:val="28"/>
          <w:szCs w:val="28"/>
          <w:rtl/>
          <w14:ligatures w14:val="none"/>
        </w:rPr>
        <w:t>الذي يُوظّف تسع استراتيجيات اتصالية عبر المراحل الخمس لإدارة الأزمات، تشمل رسائل المخاطرة والتحذيرات وتخفيض الغموض وترويج السلوكيات الفعالة والطمأنة وتقديم التوصيات والتعاطف وتصحيح الشائعات (بن لعربي، 2022)</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ويتجاوز اتصال المخاطر مجرد نقل المعلومات ليشمل بناء الثقة مع الجمهور والحفاظ عليها، وهو ما يتطلب شفافية ومصداقية وتعاطفاً في الخطاب، لا سيما في عصر وسائل التواصل الاجتماعي الذي يتسم بسرعة انتشار المعلومات المضللة وتأثيرها العميق في تشكيل الإدراك العام للمخاطر</w:t>
      </w:r>
      <w:r w:rsidRPr="003177F3">
        <w:rPr>
          <w:rFonts w:ascii="Sakkal Majalla" w:eastAsia="Times New Roman" w:hAnsi="Sakkal Majalla" w:cs="Sakkal Majalla"/>
          <w:color w:val="000000" w:themeColor="text1"/>
          <w:kern w:val="0"/>
          <w:sz w:val="28"/>
          <w:szCs w:val="28"/>
          <w14:ligatures w14:val="none"/>
        </w:rPr>
        <w:t xml:space="preserve"> (Malecki, Keating &amp; Safdar, 2021).</w:t>
      </w:r>
    </w:p>
    <w:p w14:paraId="24E8540B" w14:textId="77777777" w:rsidR="00D86537" w:rsidRPr="003177F3" w:rsidRDefault="00D86537" w:rsidP="009D6408">
      <w:pPr>
        <w:pStyle w:val="ListParagraph"/>
        <w:numPr>
          <w:ilvl w:val="0"/>
          <w:numId w:val="14"/>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التحول الرقمي والبنية التحتية التقنية</w:t>
      </w:r>
    </w:p>
    <w:p w14:paraId="7FECF465"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يُقصد بالتحول الرقمي في سياق إدارة المخاطر الصحية توظيف التقنيات الرقمية الحديثة وأنظمة المعلومات والاتصالات في دعم عمليات الرصد والإنذار المبكر وتحليل البيانات الصحية واتخاذ القرارات المبنية على الأدلة وتنسيق جهود الاستجابة. ويشمل ذلك أنظمة الترصد الوبائي الإلكتروني وتطبيقات الهاتف المحمول الصحية والسجلات الصحية الإلكترونية ومنصات التطبيب عن بُعد وتقنيات الذكاء الاصطناعي وتحليل البيانات الضخمة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 xml:space="preserve">وقد أثبتت تجربة المملكة العربية السعودية خلال جائحة كوفيد-19 من خلال تطبيق "توكلنا" أن التحول الرقمي يمكن أن يكون أداة محورية في إدارة الأزمات الصحية ورصد انتشار الأوبئة والتواصل مع الجمهور (البقمي وشرقي، </w:t>
      </w:r>
      <w:r w:rsidRPr="003177F3">
        <w:rPr>
          <w:rFonts w:ascii="Sakkal Majalla" w:eastAsia="Times New Roman" w:hAnsi="Sakkal Majalla" w:cs="Sakkal Majalla"/>
          <w:color w:val="000000" w:themeColor="text1"/>
          <w:kern w:val="0"/>
          <w:sz w:val="28"/>
          <w:szCs w:val="28"/>
          <w14:ligatures w14:val="none"/>
        </w:rPr>
        <w:t>2025).</w:t>
      </w:r>
    </w:p>
    <w:p w14:paraId="4068D50E" w14:textId="50EC4C57" w:rsidR="00D86537" w:rsidRPr="003177F3" w:rsidRDefault="00D86537" w:rsidP="009D6408">
      <w:pPr>
        <w:spacing w:line="360" w:lineRule="auto"/>
        <w:rPr>
          <w:rFonts w:ascii="Sakkal Majalla" w:eastAsia="Times New Roman" w:hAnsi="Sakkal Majalla" w:cs="Sakkal Majalla"/>
          <w:b/>
          <w:bCs/>
          <w:color w:val="000000" w:themeColor="text1"/>
          <w:kern w:val="0"/>
          <w:sz w:val="32"/>
          <w:szCs w:val="32"/>
          <w14:ligatures w14:val="none"/>
        </w:rPr>
      </w:pPr>
      <w:r w:rsidRPr="003177F3">
        <w:rPr>
          <w:rFonts w:ascii="Sakkal Majalla" w:eastAsia="Times New Roman" w:hAnsi="Sakkal Majalla" w:cs="Sakkal Majalla"/>
          <w:b/>
          <w:bCs/>
          <w:color w:val="000000" w:themeColor="text1"/>
          <w:kern w:val="0"/>
          <w:sz w:val="32"/>
          <w:szCs w:val="32"/>
          <w:rtl/>
          <w14:ligatures w14:val="none"/>
        </w:rPr>
        <w:t>ثالثاً: تعزيز جاهزية واستدامة القطاع الصحي (المتغير التابع)</w:t>
      </w:r>
    </w:p>
    <w:p w14:paraId="10C2586D"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يُمثل تعزيز جاهزية واستدامة القطاع الصحي المحصلة النهائية المرجوة من تطبيق ممارسات إدارة المخاطر الفعالة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 xml:space="preserve">وتُعرَّف جاهزية القطاع الصحي بأنها حالة الاستعداد الشامل التي تكون عليها المؤسسات الصحية من حيث توافر الموارد البشرية المؤهلة والتجهيزات المادية والتقنية والخطط التشغيلية اللازمة </w:t>
      </w:r>
      <w:r w:rsidRPr="003177F3">
        <w:rPr>
          <w:rFonts w:ascii="Sakkal Majalla" w:eastAsia="Times New Roman" w:hAnsi="Sakkal Majalla" w:cs="Sakkal Majalla"/>
          <w:color w:val="000000" w:themeColor="text1"/>
          <w:kern w:val="0"/>
          <w:sz w:val="28"/>
          <w:szCs w:val="28"/>
          <w:rtl/>
          <w14:ligatures w14:val="none"/>
        </w:rPr>
        <w:lastRenderedPageBreak/>
        <w:t>للتعامل مع الكوارث الصحية والأوبئة بكفاءة وفاعلية فور وقوعها (العنزي والنيف، 2025). أما استدامة القطاع الصحي فتُشير إلى قدرة المؤسسات الصحية على المحافظة على مستوى أدائها وجودة خدماتها واستمرارية عملياتها على المدى البعيد، بصرف النظر عن الصدمات والضغوط المتكررة التي قد تتعرض لها، مع القدرة على التعلم من التجارب السابقة والتكيف والتحول نحو مستويات أداء أفضل. ويرتبط مفهوم الاستدامة ارتباطاً وثيقاً بمفهوم المرونة التنظيمية، التي تتجاوز مجرد امتصاص الصدمات لتشمل القدرة على التكيف مع الضغوط المزمنة والتحول نحو أنماط عمل أكثر كفاءة، وهو ما أشارت إليه الأدبيات بمصطلح "المرونة اليومية" التي تُعدّ بذات أهمية المرونة أمام الصدمات الحادة في ضمان استدامة الأنظمة الصحية</w:t>
      </w:r>
      <w:r w:rsidRPr="003177F3">
        <w:rPr>
          <w:rFonts w:ascii="Sakkal Majalla" w:eastAsia="Times New Roman" w:hAnsi="Sakkal Majalla" w:cs="Sakkal Majalla"/>
          <w:color w:val="000000" w:themeColor="text1"/>
          <w:kern w:val="0"/>
          <w:sz w:val="28"/>
          <w:szCs w:val="28"/>
          <w14:ligatures w14:val="none"/>
        </w:rPr>
        <w:t xml:space="preserve"> (Barasa, Mbau &amp; Gilson, 2018).</w:t>
      </w:r>
    </w:p>
    <w:p w14:paraId="0AC6F503"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وبناءً على ما سبق، فإن هذه الدراسة تنطلق من تأطير نظري يربط بين إدارة مخاطر الكوارث الصحية والأوبئة كمتغير مستقل بأبعاده الأربعة (التخطيط الاستباقي للمخاطر، الاستجابة السريعة والتنسيق المؤسسي، اتصال المخاطر والتوعية المجتمعية، التحول الرقمي والبنية التحتية التقنية) وبين تعزيز جاهزية واستدامة القطاع الصحي كمتغير تابع، على افتراض أن التطبيق المتكامل والفعال لهذه الأبعاد الأربعة سيُسهم بشكل جوهري في رفع مستوى جاهزية المؤسسات الصحية وضمان استدامتها المؤسسية في مواجهة الكوارث الصحية والأوبئة الحالية والمستقبلية (موسى، 2021)</w:t>
      </w:r>
      <w:r w:rsidRPr="003177F3">
        <w:rPr>
          <w:rFonts w:ascii="Sakkal Majalla" w:eastAsia="Times New Roman" w:hAnsi="Sakkal Majalla" w:cs="Sakkal Majalla"/>
          <w:color w:val="000000" w:themeColor="text1"/>
          <w:kern w:val="0"/>
          <w:sz w:val="28"/>
          <w:szCs w:val="28"/>
          <w14:ligatures w14:val="none"/>
        </w:rPr>
        <w:t>.</w:t>
      </w:r>
    </w:p>
    <w:p w14:paraId="66D69592" w14:textId="2CF829D1" w:rsidR="00AF2B09" w:rsidRPr="003177F3" w:rsidRDefault="009D6408" w:rsidP="00F85192">
      <w:pPr>
        <w:spacing w:before="100" w:beforeAutospacing="1" w:after="100" w:afterAutospacing="1" w:line="360" w:lineRule="auto"/>
        <w:jc w:val="both"/>
        <w:rPr>
          <w:rFonts w:ascii="Sakkal Majalla" w:hAnsi="Sakkal Majalla" w:cs="Sakkal Majalla"/>
          <w:b/>
          <w:bCs/>
          <w:color w:val="000000" w:themeColor="text1"/>
          <w:sz w:val="32"/>
          <w:szCs w:val="32"/>
        </w:rPr>
      </w:pPr>
      <w:r w:rsidRPr="003177F3">
        <w:rPr>
          <w:rFonts w:ascii="Sakkal Majalla" w:hAnsi="Sakkal Majalla" w:cs="Sakkal Majalla" w:hint="cs"/>
          <w:b/>
          <w:bCs/>
          <w:color w:val="000000" w:themeColor="text1"/>
          <w:sz w:val="32"/>
          <w:szCs w:val="32"/>
          <w:rtl/>
        </w:rPr>
        <w:t xml:space="preserve">رابعا: </w:t>
      </w:r>
      <w:r w:rsidR="00AF2B09" w:rsidRPr="003177F3">
        <w:rPr>
          <w:rFonts w:ascii="Sakkal Majalla" w:hAnsi="Sakkal Majalla" w:cs="Sakkal Majalla"/>
          <w:b/>
          <w:bCs/>
          <w:color w:val="000000" w:themeColor="text1"/>
          <w:sz w:val="32"/>
          <w:szCs w:val="32"/>
          <w:rtl/>
        </w:rPr>
        <w:t>التخطيط الاستباقي للمخاطر</w:t>
      </w:r>
    </w:p>
    <w:p w14:paraId="5134FA99" w14:textId="77777777" w:rsidR="00AF2B09" w:rsidRPr="003177F3" w:rsidRDefault="00AF2B09" w:rsidP="009D64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يُقصد بالتخطيط الاستباقي للمخاطر تلك العملية المنهجية المنظمة التي تقوم بها المؤسسات الصحية لاستشراف المخاطر الصحية المحتملة قبل وقوعها، من خلال تحليل البيئة الداخلية والخارجية، ورصد المؤشرات والإشارات المبكرة، ووضع خطط طوارئ وسيناريوهات استجابة مسبقة، وتخصيص الموارد اللازمة، وإجراء تدريبات محاكاة دورية لاختبار جاهزية المنظومة الصحية. ويرتكز هذا البُعد على فلسفة الاستباق بدلاً من رد الفعل، حيث إن التخطيط المسبق يُقلّل من حالة الارتباك ويُسرّع عملية الاستجابة ويُخفّض التكاليف البشرية والمادية المترتبة على الأزمات الصحية (صادق، </w:t>
      </w:r>
      <w:r w:rsidRPr="003177F3">
        <w:rPr>
          <w:rFonts w:ascii="Sakkal Majalla" w:hAnsi="Sakkal Majalla" w:cs="Sakkal Majalla"/>
          <w:color w:val="000000" w:themeColor="text1"/>
          <w:sz w:val="28"/>
          <w:szCs w:val="28"/>
        </w:rPr>
        <w:t>2022).</w:t>
      </w:r>
    </w:p>
    <w:p w14:paraId="787EA362" w14:textId="77777777" w:rsidR="00AF2B09" w:rsidRPr="003177F3" w:rsidRDefault="00AF2B09" w:rsidP="009D6408">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lastRenderedPageBreak/>
        <w:t>الاستجابة السريعة والتنسيق المؤسسي</w:t>
      </w:r>
    </w:p>
    <w:p w14:paraId="2D4EE4B5" w14:textId="77777777" w:rsidR="00AF2B09" w:rsidRPr="003177F3" w:rsidRDefault="00AF2B09" w:rsidP="009D64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يُشير هذا البُعد إلى قدرة المؤسسات الصحية على تفعيل خطط الطوارئ بسرعة وكفاءة عند وقوع الكوارث الصحية أو الأوبئة، مع ضمان تنسيق فعال بين مختلف الجهات والمستويات الإدارية المعنية بالاستجابة. ويتضمن ذلك وضوح الأدوار والمسؤوليات وسلاسل القيادة، وسرعة تعبئة الموارد البشرية والمادية، وتبادل المعلومات بين الجهات المعنية في الوقت الحقيقي، والتنسيق مع القطاعات الحكومية والخاصة والمجتمعية ذات العلاقة. ويُعدّ التنسيق المؤسسي عاملاً حاسماً في نجاح جهود المواجهة، إذ أن تشتت الجهود وازدواجية الأدوار يُضعفان فاعلية الاستجابة ويُهدران الموارد المحدودة (داخل وجماعة وأبو زيد، 2022)</w:t>
      </w:r>
      <w:r w:rsidRPr="003177F3">
        <w:rPr>
          <w:rFonts w:ascii="Sakkal Majalla" w:hAnsi="Sakkal Majalla" w:cs="Sakkal Majalla"/>
          <w:color w:val="000000" w:themeColor="text1"/>
          <w:sz w:val="28"/>
          <w:szCs w:val="28"/>
        </w:rPr>
        <w:t>.</w:t>
      </w:r>
    </w:p>
    <w:p w14:paraId="46A8C234" w14:textId="77777777" w:rsidR="00AF2B09" w:rsidRPr="003177F3" w:rsidRDefault="00AF2B09" w:rsidP="009D6408">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t>اتصال المخاطر والتوعية المجتمعية</w:t>
      </w:r>
    </w:p>
    <w:p w14:paraId="532F258C" w14:textId="77777777" w:rsidR="00AF2B09" w:rsidRPr="003177F3" w:rsidRDefault="00AF2B09" w:rsidP="009D64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يُعرَّف اتصال المخاطر بأنه عملية تبادل المعلومات والآراء والرسائل بين الجهات المسؤولة عن إدارة المخاطر والجمهور المعرض لها أو المتأثر بها، بهدف تمكين الأفراد والمجتمعات من اتخاذ قرارات مستنيرة لحماية صحتهم وسلامتهم. وقد طوّرت مراكز السيطرة على الأمراض والوقاية منها في الولايات المتحدة الأمريكية نموذج</w:t>
      </w:r>
      <w:r w:rsidRPr="003177F3">
        <w:rPr>
          <w:rFonts w:ascii="Sakkal Majalla" w:hAnsi="Sakkal Majalla" w:cs="Sakkal Majalla"/>
          <w:color w:val="000000" w:themeColor="text1"/>
          <w:sz w:val="28"/>
          <w:szCs w:val="28"/>
        </w:rPr>
        <w:t xml:space="preserve"> (CERC) </w:t>
      </w:r>
      <w:r w:rsidRPr="003177F3">
        <w:rPr>
          <w:rFonts w:ascii="Sakkal Majalla" w:hAnsi="Sakkal Majalla" w:cs="Sakkal Majalla"/>
          <w:color w:val="000000" w:themeColor="text1"/>
          <w:sz w:val="28"/>
          <w:szCs w:val="28"/>
          <w:rtl/>
        </w:rPr>
        <w:t>الذي يُوظّف تسع استراتيجيات اتصالية عبر المراحل الخمس لإدارة الأزمات، تشمل رسائل المخاطرة والتحذيرات وتخفيض الغموض وترويج السلوكيات الفعالة والطمأنة وتقديم التوصيات والتعاطف وتصحيح الشائعات (بن لعربي، 2022)</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ويتجاوز اتصال المخاطر مجرد نقل المعلومات ليشمل بناء الثقة مع الجمهور والحفاظ عليها، وهو ما يتطلب شفافية ومصداقية وتعاطفاً في الخطاب، لا سيما في عصر وسائل التواصل الاجتماعي الذي يتسم بسرعة انتشار المعلومات المضللة وتأثيرها العميق في تشكيل الإدراك العام للمخاطر</w:t>
      </w:r>
      <w:r w:rsidRPr="003177F3">
        <w:rPr>
          <w:rFonts w:ascii="Sakkal Majalla" w:hAnsi="Sakkal Majalla" w:cs="Sakkal Majalla"/>
          <w:color w:val="000000" w:themeColor="text1"/>
          <w:sz w:val="28"/>
          <w:szCs w:val="28"/>
        </w:rPr>
        <w:t xml:space="preserve"> (Malecki, Keating &amp; Safdar, 2021).</w:t>
      </w:r>
    </w:p>
    <w:p w14:paraId="52C051D6" w14:textId="77777777" w:rsidR="00AF2B09" w:rsidRPr="003177F3" w:rsidRDefault="00AF2B09" w:rsidP="009D6408">
      <w:pPr>
        <w:pStyle w:val="ListParagraph"/>
        <w:numPr>
          <w:ilvl w:val="0"/>
          <w:numId w:val="1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t>التحول الرقمي والبنية التحتية التقنية</w:t>
      </w:r>
    </w:p>
    <w:p w14:paraId="371060C0" w14:textId="77777777" w:rsidR="00AF2B09" w:rsidRPr="003177F3" w:rsidRDefault="00AF2B09" w:rsidP="009D64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يُقصد بالتحول الرقمي في سياق إدارة المخاطر الصحية توظيف التقنيات الرقمية الحديثة وأنظمة المعلومات والاتصالات في دعم عمليات الرصد والإنذار المبكر وتحليل البيانات الصحية واتخاذ </w:t>
      </w:r>
      <w:r w:rsidRPr="003177F3">
        <w:rPr>
          <w:rFonts w:ascii="Sakkal Majalla" w:hAnsi="Sakkal Majalla" w:cs="Sakkal Majalla"/>
          <w:color w:val="000000" w:themeColor="text1"/>
          <w:sz w:val="28"/>
          <w:szCs w:val="28"/>
          <w:rtl/>
        </w:rPr>
        <w:lastRenderedPageBreak/>
        <w:t>القرارات المبنية على الأدلة وتنسيق جهود الاستجابة. ويشمل ذلك أنظمة الترصد الوبائي الإلكتروني وتطبيقات الهاتف المحمول الصحية والسجلات الصحية الإلكترونية ومنصات التطبيب عن بُعد وتقنيات الذكاء الاصطناعي وتحليل البيانات الضخمة</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 xml:space="preserve">وقد أثبتت تجربة المملكة العربية السعودية خلال جائحة كوفيد-19 من خلال تطبيق "توكلنا" أن التحول الرقمي يمكن أن يكون أداة محورية في إدارة الأزمات الصحية ورصد انتشار الأوبئة والتواصل مع الجمهور (البقمي وشرقي، </w:t>
      </w:r>
      <w:r w:rsidRPr="003177F3">
        <w:rPr>
          <w:rFonts w:ascii="Sakkal Majalla" w:hAnsi="Sakkal Majalla" w:cs="Sakkal Majalla"/>
          <w:color w:val="000000" w:themeColor="text1"/>
          <w:sz w:val="28"/>
          <w:szCs w:val="28"/>
        </w:rPr>
        <w:t>2025).</w:t>
      </w:r>
    </w:p>
    <w:p w14:paraId="0A5C6FB5" w14:textId="79FC7C3E" w:rsidR="00AF2B09" w:rsidRPr="003177F3" w:rsidRDefault="009D6408" w:rsidP="00F85192">
      <w:pPr>
        <w:spacing w:before="100" w:beforeAutospacing="1" w:after="100" w:afterAutospacing="1" w:line="360" w:lineRule="auto"/>
        <w:jc w:val="both"/>
        <w:rPr>
          <w:rFonts w:ascii="Sakkal Majalla" w:hAnsi="Sakkal Majalla" w:cs="Sakkal Majalla"/>
          <w:b/>
          <w:bCs/>
          <w:color w:val="000000" w:themeColor="text1"/>
          <w:sz w:val="32"/>
          <w:szCs w:val="32"/>
        </w:rPr>
      </w:pPr>
      <w:r w:rsidRPr="003177F3">
        <w:rPr>
          <w:rFonts w:ascii="Sakkal Majalla" w:hAnsi="Sakkal Majalla" w:cs="Sakkal Majalla" w:hint="cs"/>
          <w:b/>
          <w:bCs/>
          <w:color w:val="000000" w:themeColor="text1"/>
          <w:sz w:val="32"/>
          <w:szCs w:val="32"/>
          <w:rtl/>
        </w:rPr>
        <w:t>خامسا</w:t>
      </w:r>
      <w:r w:rsidR="00AF2B09" w:rsidRPr="003177F3">
        <w:rPr>
          <w:rFonts w:ascii="Sakkal Majalla" w:hAnsi="Sakkal Majalla" w:cs="Sakkal Majalla"/>
          <w:b/>
          <w:bCs/>
          <w:color w:val="000000" w:themeColor="text1"/>
          <w:sz w:val="32"/>
          <w:szCs w:val="32"/>
          <w:rtl/>
        </w:rPr>
        <w:t>: تعزيز جاهزية واستدامة القطاع الصحي (المتغير التابع)</w:t>
      </w:r>
    </w:p>
    <w:p w14:paraId="173630F2" w14:textId="77777777" w:rsidR="00AF2B09" w:rsidRPr="003177F3" w:rsidRDefault="00AF2B09" w:rsidP="009D64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يُمثل تعزيز جاهزية واستدامة القطاع الصحي المحصلة النهائية المرجوة من تطبيق ممارسات إدارة المخاطر الفعالة</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وتُعرَّف جاهزية القطاع الصحي بأنها حالة الاستعداد الشامل التي تكون عليها المؤسسات الصحية من حيث توافر الموارد البشرية المؤهلة والتجهيزات المادية والتقنية والخطط التشغيلية اللازمة للتعامل مع الكوارث الصحية والأوبئة بكفاءة وفاعلية فور وقوعها (العنزي والنيف، 2025). أما استدامة القطاع الصحي فتُشير إلى قدرة المؤسسات الصحية على المحافظة على مستوى أدائها وجودة خدماتها واستمرارية عملياتها على المدى البعيد، بصرف النظر عن الصدمات والضغوط المتكررة التي قد تتعرض لها، مع القدرة على التعلم من التجارب السابقة والتكيف والتحول نحو مستويات أداء أفضل. ويرتبط مفهوم الاستدامة ارتباطاً وثيقاً بمفهوم المرونة التنظيمية، التي تتجاوز مجرد امتصاص الصدمات لتشمل القدرة على التكيف مع الضغوط المزمنة والتحول نحو أنماط عمل أكثر كفاءة، وهو ما أشارت إليه الأدبيات بمصطلح "المرونة اليومية" التي تُعدّ بذات أهمية المرونة أمام الصدمات الحادة في ضمان استدامة الأنظمة الصحية</w:t>
      </w:r>
      <w:r w:rsidRPr="003177F3">
        <w:rPr>
          <w:rFonts w:ascii="Sakkal Majalla" w:hAnsi="Sakkal Majalla" w:cs="Sakkal Majalla"/>
          <w:color w:val="000000" w:themeColor="text1"/>
          <w:sz w:val="28"/>
          <w:szCs w:val="28"/>
        </w:rPr>
        <w:t xml:space="preserve"> (Barasa, Mbau &amp; Gilson, 2018).</w:t>
      </w:r>
    </w:p>
    <w:p w14:paraId="1500849D" w14:textId="77777777" w:rsidR="00AF2B09" w:rsidRPr="003177F3" w:rsidRDefault="00AF2B09" w:rsidP="009D64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وبناءً على ما سبق، فإن هذه الدراسة تنطلق من تأطير نظري يربط بين إدارة مخاطر الكوارث الصحية والأوبئة كمتغير مستقل بأبعاده الأربعة (التخطيط الاستباقي للمخاطر، الاستجابة السريعة والتنسيق المؤسسي، اتصال المخاطر والتوعية المجتمعية، التحول الرقمي والبنية التحتية التقنية) وبين تعزيز جاهزية واستدامة القطاع الصحي كمتغير تابع، على افتراض أن التطبيق المتكامل والفعال لهذه </w:t>
      </w:r>
      <w:r w:rsidRPr="003177F3">
        <w:rPr>
          <w:rFonts w:ascii="Sakkal Majalla" w:hAnsi="Sakkal Majalla" w:cs="Sakkal Majalla"/>
          <w:color w:val="000000" w:themeColor="text1"/>
          <w:sz w:val="28"/>
          <w:szCs w:val="28"/>
          <w:rtl/>
        </w:rPr>
        <w:lastRenderedPageBreak/>
        <w:t>الأبعاد الأربعة سيُسهم بشكل جوهري في رفع مستوى جاهزية المؤسسات الصحية وضمان استدامتها المؤسسية في مواجهة الكوارث الصحية والأوبئة الحالية والمستقبلية (موسى، 2021)</w:t>
      </w:r>
      <w:r w:rsidRPr="003177F3">
        <w:rPr>
          <w:rFonts w:ascii="Sakkal Majalla" w:hAnsi="Sakkal Majalla" w:cs="Sakkal Majalla"/>
          <w:color w:val="000000" w:themeColor="text1"/>
          <w:sz w:val="28"/>
          <w:szCs w:val="28"/>
        </w:rPr>
        <w:t>.</w:t>
      </w:r>
    </w:p>
    <w:p w14:paraId="6816A0CC" w14:textId="37783822" w:rsidR="00A74F76" w:rsidRPr="003177F3" w:rsidRDefault="009D6408" w:rsidP="009D64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814202"/>
      <w:r w:rsidRPr="003177F3">
        <w:rPr>
          <w:rFonts w:ascii="Sakkal Majalla" w:hAnsi="Sakkal Majalla" w:cs="Sakkal Majalla"/>
          <w:b/>
          <w:bCs/>
          <w:color w:val="000000" w:themeColor="text1"/>
          <w:sz w:val="36"/>
          <w:szCs w:val="36"/>
          <w:rtl/>
        </w:rPr>
        <w:t>10.1 منهجية الدراسة</w:t>
      </w:r>
      <w:bookmarkEnd w:id="10"/>
    </w:p>
    <w:p w14:paraId="44F60008"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حيث يُتيح هذا المنهج وصف الظاهرة محل الدراسة وصفاً دقيقاً وتحليل العلاقات والأثر بين متغيراتها. وسيتم توظيف هذا المنهج للتعرف على أثر إدارة مخاطر الكوارث الصحية والأوبئة بأبعادها الأربعة (التخطيط الاستباقي للمخاطر، الاستجابة السريعة والتنسيق المؤسسي، اتصال المخاطر والتوعية المجتمعية، التحول الرقمي والبنية التحتية التقنية) على تعزيز جاهزية واستدامة القطاع الصحي في المؤسسات الصحية، وذلك من خلال جمع البيانات وتحليلها إحصائياً للوصول إلى نتائج قابلة للتعميم</w:t>
      </w:r>
      <w:r w:rsidRPr="003177F3">
        <w:rPr>
          <w:rFonts w:ascii="Sakkal Majalla" w:eastAsia="Times New Roman" w:hAnsi="Sakkal Majalla" w:cs="Sakkal Majalla"/>
          <w:color w:val="000000" w:themeColor="text1"/>
          <w:kern w:val="0"/>
          <w:sz w:val="28"/>
          <w:szCs w:val="28"/>
          <w14:ligatures w14:val="none"/>
        </w:rPr>
        <w:t>.</w:t>
      </w:r>
    </w:p>
    <w:p w14:paraId="4879A9D3" w14:textId="6D671145"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وسيتضمن التطبيق الميداني للدراسة مرحلتين أساسيتين: المرحلة الأولى ستشمل مراجعة الأدبيات والدراسات السابقة العربية والأجنبية ذات الصلة بموضوع الدراسة لبناء الإطار النظري وتصميم أداة الدراسة، أما المرحلة الثانية فستتضمن الجانب الميداني من خلال تصميم استبانة محكّمة وتوزيعها على عينة الدراسة وجمع البيانات الأولية وتحليلها باستخدام الأساليب الإحصائية المناسبة، ومن ثم تفسير النتائج والخروج بالتوصيات والمقترحات في ضوء ما ستسفر عنه التحليلات الإحصائية</w:t>
      </w:r>
      <w:r w:rsidRPr="003177F3">
        <w:rPr>
          <w:rFonts w:ascii="Sakkal Majalla" w:eastAsia="Times New Roman" w:hAnsi="Sakkal Majalla" w:cs="Sakkal Majalla"/>
          <w:color w:val="000000" w:themeColor="text1"/>
          <w:kern w:val="0"/>
          <w:sz w:val="28"/>
          <w:szCs w:val="28"/>
          <w14:ligatures w14:val="none"/>
        </w:rPr>
        <w:t>.</w:t>
      </w:r>
    </w:p>
    <w:p w14:paraId="142651B6" w14:textId="20376B7A" w:rsidR="009D6408" w:rsidRPr="003177F3" w:rsidRDefault="009D6408" w:rsidP="009D6408">
      <w:pPr>
        <w:spacing w:line="360" w:lineRule="auto"/>
        <w:outlineLvl w:val="1"/>
        <w:rPr>
          <w:rFonts w:ascii="Sakkal Majalla" w:eastAsia="Times New Roman" w:hAnsi="Sakkal Majalla" w:cs="Sakkal Majalla"/>
          <w:b/>
          <w:bCs/>
          <w:color w:val="000000" w:themeColor="text1"/>
          <w:kern w:val="0"/>
          <w:sz w:val="36"/>
          <w:szCs w:val="36"/>
          <w:rtl/>
          <w14:ligatures w14:val="none"/>
        </w:rPr>
      </w:pPr>
      <w:bookmarkStart w:id="11" w:name="_Toc223814203"/>
      <w:r w:rsidRPr="003177F3">
        <w:rPr>
          <w:rFonts w:ascii="Sakkal Majalla" w:eastAsia="Times New Roman" w:hAnsi="Sakkal Majalla" w:cs="Sakkal Majalla" w:hint="cs"/>
          <w:b/>
          <w:bCs/>
          <w:color w:val="000000" w:themeColor="text1"/>
          <w:kern w:val="0"/>
          <w:sz w:val="36"/>
          <w:szCs w:val="36"/>
          <w:rtl/>
          <w14:ligatures w14:val="none"/>
        </w:rPr>
        <w:t xml:space="preserve">11.1 </w:t>
      </w:r>
      <w:r w:rsidRPr="003177F3">
        <w:rPr>
          <w:rFonts w:ascii="Sakkal Majalla" w:eastAsia="Times New Roman" w:hAnsi="Sakkal Majalla" w:cs="Sakkal Majalla"/>
          <w:b/>
          <w:bCs/>
          <w:color w:val="000000" w:themeColor="text1"/>
          <w:kern w:val="0"/>
          <w:sz w:val="36"/>
          <w:szCs w:val="36"/>
          <w:rtl/>
          <w14:ligatures w14:val="none"/>
        </w:rPr>
        <w:t>مجتمع وعينة الدراسة</w:t>
      </w:r>
      <w:bookmarkEnd w:id="11"/>
    </w:p>
    <w:p w14:paraId="661F8866"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سيتكون مجتمع الدراسة من جميع العاملين في الوظائف الإدارية والإشرافية والطبية في المؤسسات الصحية، ويشمل ذلك مديري المستشفيات ورؤساء الأقسام الطبية والإدارية ومسؤولي الجودة وإدارة المخاطر ومنسقي الطوارئ والأزمات الصحية والأطباء والممرضين في المواقع القيادية، والذين يُقدّر عددهم الإجمالي بنحو (850) موظفاً وموظفة. ويُبرَّر اختيار هذا المجتمع بكونه يضم الفئات الأكثر ارتباطاً بعمليات إدارة المخاطر واتخاذ القرارات المتعلقة بالجاهزية والاستدامة في القطاع الصحي، مما يُتيح الحصول على بيانات ذات مصداقية عالية تعكس واقع الممارسات الفعلية</w:t>
      </w:r>
      <w:r w:rsidRPr="003177F3">
        <w:rPr>
          <w:rFonts w:ascii="Sakkal Majalla" w:eastAsia="Times New Roman" w:hAnsi="Sakkal Majalla" w:cs="Sakkal Majalla"/>
          <w:color w:val="000000" w:themeColor="text1"/>
          <w:kern w:val="0"/>
          <w:sz w:val="28"/>
          <w:szCs w:val="28"/>
          <w14:ligatures w14:val="none"/>
        </w:rPr>
        <w:t>.</w:t>
      </w:r>
    </w:p>
    <w:p w14:paraId="62C097EE"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lastRenderedPageBreak/>
        <w:t>وسيتم اختيار عينة الدراسة بأسلوب العينة العشوائية الطبقية لضمان تمثيل جميع المستويات الوظيفية والتخصصية في مجتمع الدراسة تمثيلاً متوازناً. وبناءً على جدول</w:t>
      </w:r>
      <w:r w:rsidRPr="003177F3">
        <w:rPr>
          <w:rFonts w:ascii="Sakkal Majalla" w:eastAsia="Times New Roman" w:hAnsi="Sakkal Majalla" w:cs="Sakkal Majalla"/>
          <w:color w:val="000000" w:themeColor="text1"/>
          <w:kern w:val="0"/>
          <w:sz w:val="28"/>
          <w:szCs w:val="28"/>
          <w14:ligatures w14:val="none"/>
        </w:rPr>
        <w:t xml:space="preserve"> (Krejcie &amp; Morgan, 1970) </w:t>
      </w:r>
      <w:r w:rsidRPr="003177F3">
        <w:rPr>
          <w:rFonts w:ascii="Sakkal Majalla" w:eastAsia="Times New Roman" w:hAnsi="Sakkal Majalla" w:cs="Sakkal Majalla"/>
          <w:color w:val="000000" w:themeColor="text1"/>
          <w:kern w:val="0"/>
          <w:sz w:val="28"/>
          <w:szCs w:val="28"/>
          <w:rtl/>
          <w14:ligatures w14:val="none"/>
        </w:rPr>
        <w:t>لتحديد حجم العينة المناسب، سيبلغ الحد الأدنى المطلوب للعينة (265) مفردة من مجتمع قوامه (850)، وسيتم توزيع (320) استبانة لتعويض الفاقد المتوقع من الاستبانات غير المكتملة أو غير الصالحة للتحليل الإحصائي. وسيتم توزيع العينة بشكل طبقي يشمل الإدارة العليا بنسبة تقريبية (15%)، والإدارة الوسطى بنسبة (35%)، والكوادر الطبية والتمريضية في المواقع الإشرافية بنسبة (50%)، وذلك لضمان شمولية التمثيل وموضوعية النتائج</w:t>
      </w:r>
      <w:r w:rsidRPr="003177F3">
        <w:rPr>
          <w:rFonts w:ascii="Sakkal Majalla" w:eastAsia="Times New Roman" w:hAnsi="Sakkal Majalla" w:cs="Sakkal Majalla"/>
          <w:color w:val="000000" w:themeColor="text1"/>
          <w:kern w:val="0"/>
          <w:sz w:val="28"/>
          <w:szCs w:val="28"/>
          <w14:ligatures w14:val="none"/>
        </w:rPr>
        <w:t>.</w:t>
      </w:r>
    </w:p>
    <w:p w14:paraId="11916E5D" w14:textId="72D08CA3" w:rsidR="00D86537" w:rsidRPr="003177F3" w:rsidRDefault="009D6408" w:rsidP="009D640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2" w:name="_Toc223814204"/>
      <w:r w:rsidRPr="003177F3">
        <w:rPr>
          <w:rFonts w:ascii="Sakkal Majalla" w:eastAsia="Times New Roman" w:hAnsi="Sakkal Majalla" w:cs="Sakkal Majalla"/>
          <w:b/>
          <w:bCs/>
          <w:color w:val="000000" w:themeColor="text1"/>
          <w:kern w:val="0"/>
          <w:sz w:val="36"/>
          <w:szCs w:val="36"/>
          <w:rtl/>
          <w14:ligatures w14:val="none"/>
        </w:rPr>
        <w:t>12.1 مصادر جمع البيانات</w:t>
      </w:r>
      <w:bookmarkEnd w:id="12"/>
    </w:p>
    <w:p w14:paraId="25105D5B" w14:textId="77777777" w:rsidR="00D86537" w:rsidRPr="003177F3" w:rsidRDefault="00D86537" w:rsidP="00F8519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سوف تعتمد الدراسة على مصدرين أساسيين لجمع البيانات</w:t>
      </w:r>
      <w:r w:rsidRPr="003177F3">
        <w:rPr>
          <w:rFonts w:ascii="Sakkal Majalla" w:eastAsia="Times New Roman" w:hAnsi="Sakkal Majalla" w:cs="Sakkal Majalla"/>
          <w:b/>
          <w:bCs/>
          <w:color w:val="000000" w:themeColor="text1"/>
          <w:kern w:val="0"/>
          <w:sz w:val="28"/>
          <w:szCs w:val="28"/>
          <w14:ligatures w14:val="none"/>
        </w:rPr>
        <w:t>:</w:t>
      </w:r>
    </w:p>
    <w:p w14:paraId="7FDA38DB" w14:textId="77777777" w:rsidR="00D86537" w:rsidRPr="003177F3" w:rsidRDefault="00D86537" w:rsidP="009D6408">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المصادر الثانوية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والوثائق الصادرة عن المنظمات الدولية كمنظمة الصحة العالمية، وقواعد البيانات الإلكترونية مثل</w:t>
      </w:r>
      <w:r w:rsidRPr="003177F3">
        <w:rPr>
          <w:rFonts w:ascii="Sakkal Majalla" w:eastAsia="Times New Roman" w:hAnsi="Sakkal Majalla" w:cs="Sakkal Majalla"/>
          <w:color w:val="000000" w:themeColor="text1"/>
          <w:kern w:val="0"/>
          <w:sz w:val="28"/>
          <w:szCs w:val="28"/>
          <w14:ligatures w14:val="none"/>
        </w:rPr>
        <w:t xml:space="preserve"> Scopus </w:t>
      </w:r>
      <w:r w:rsidRPr="003177F3">
        <w:rPr>
          <w:rFonts w:ascii="Sakkal Majalla" w:eastAsia="Times New Roman" w:hAnsi="Sakkal Majalla" w:cs="Sakkal Majalla"/>
          <w:color w:val="000000" w:themeColor="text1"/>
          <w:kern w:val="0"/>
          <w:sz w:val="28"/>
          <w:szCs w:val="28"/>
          <w:rtl/>
          <w14:ligatures w14:val="none"/>
        </w:rPr>
        <w:t>و</w:t>
      </w:r>
      <w:r w:rsidRPr="003177F3">
        <w:rPr>
          <w:rFonts w:ascii="Sakkal Majalla" w:eastAsia="Times New Roman" w:hAnsi="Sakkal Majalla" w:cs="Sakkal Majalla"/>
          <w:color w:val="000000" w:themeColor="text1"/>
          <w:kern w:val="0"/>
          <w:sz w:val="28"/>
          <w:szCs w:val="28"/>
          <w14:ligatures w14:val="none"/>
        </w:rPr>
        <w:t xml:space="preserve">Web of Science </w:t>
      </w:r>
      <w:r w:rsidRPr="003177F3">
        <w:rPr>
          <w:rFonts w:ascii="Sakkal Majalla" w:eastAsia="Times New Roman" w:hAnsi="Sakkal Majalla" w:cs="Sakkal Majalla"/>
          <w:color w:val="000000" w:themeColor="text1"/>
          <w:kern w:val="0"/>
          <w:sz w:val="28"/>
          <w:szCs w:val="28"/>
          <w:rtl/>
          <w14:ligatures w14:val="none"/>
        </w:rPr>
        <w:t>ودار المنظومة، وذلك لبناء الإطار النظري للدراسة وتحديد الأبعاد والمتغيرات وصياغة الفروض</w:t>
      </w:r>
      <w:r w:rsidRPr="003177F3">
        <w:rPr>
          <w:rFonts w:ascii="Sakkal Majalla" w:eastAsia="Times New Roman" w:hAnsi="Sakkal Majalla" w:cs="Sakkal Majalla"/>
          <w:color w:val="000000" w:themeColor="text1"/>
          <w:kern w:val="0"/>
          <w:sz w:val="28"/>
          <w:szCs w:val="28"/>
          <w14:ligatures w14:val="none"/>
        </w:rPr>
        <w:t>.</w:t>
      </w:r>
    </w:p>
    <w:p w14:paraId="71C430BA" w14:textId="77777777" w:rsidR="00D86537" w:rsidRPr="003177F3" w:rsidRDefault="00D86537" w:rsidP="009D6408">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المصادر الأولية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وتتمثل في البيانات الميدانية التي سيتم جمعها من خلال الاستبانة التي ستُصمم خصيصاً لأغراض هذه الدراسة، والتي سيتم توزيعها على أفراد عينة الدراسة للحصول على آرائهم وتقديراتهم حول واقع إدارة مخاطر الكوارث الصحية والأوبئة ومستوى جاهزية واستدامة القطاع الصحي</w:t>
      </w:r>
      <w:r w:rsidRPr="003177F3">
        <w:rPr>
          <w:rFonts w:ascii="Sakkal Majalla" w:eastAsia="Times New Roman" w:hAnsi="Sakkal Majalla" w:cs="Sakkal Majalla"/>
          <w:color w:val="000000" w:themeColor="text1"/>
          <w:kern w:val="0"/>
          <w:sz w:val="28"/>
          <w:szCs w:val="28"/>
          <w14:ligatures w14:val="none"/>
        </w:rPr>
        <w:t>.</w:t>
      </w:r>
    </w:p>
    <w:p w14:paraId="2F1166AE" w14:textId="25E34077" w:rsidR="009D6408" w:rsidRPr="003177F3" w:rsidRDefault="009D6408" w:rsidP="009D640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3" w:name="_Toc223814205"/>
      <w:r w:rsidRPr="003177F3">
        <w:rPr>
          <w:rFonts w:ascii="Sakkal Majalla" w:eastAsia="Times New Roman" w:hAnsi="Sakkal Majalla" w:cs="Sakkal Majalla"/>
          <w:b/>
          <w:bCs/>
          <w:color w:val="000000" w:themeColor="text1"/>
          <w:kern w:val="0"/>
          <w:sz w:val="36"/>
          <w:szCs w:val="36"/>
          <w:rtl/>
          <w14:ligatures w14:val="none"/>
        </w:rPr>
        <w:t>13.1 أداة الدراسة</w:t>
      </w:r>
      <w:bookmarkEnd w:id="13"/>
    </w:p>
    <w:p w14:paraId="12176724"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سيتم تصميم استبانة كأداة رئيسية لجمع البيانات الأولية، وستتكون من ثلاثة أقسام رئيسية</w:t>
      </w:r>
      <w:r w:rsidRPr="003177F3">
        <w:rPr>
          <w:rFonts w:ascii="Sakkal Majalla" w:eastAsia="Times New Roman" w:hAnsi="Sakkal Majalla" w:cs="Sakkal Majalla"/>
          <w:b/>
          <w:bCs/>
          <w:color w:val="000000" w:themeColor="text1"/>
          <w:kern w:val="0"/>
          <w:sz w:val="28"/>
          <w:szCs w:val="28"/>
          <w14:ligatures w14:val="none"/>
        </w:rPr>
        <w:t>:</w:t>
      </w:r>
    </w:p>
    <w:p w14:paraId="26DC831C" w14:textId="77777777" w:rsidR="00D86537" w:rsidRPr="003177F3" w:rsidRDefault="00D86537" w:rsidP="009D6408">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lastRenderedPageBreak/>
        <w:t>القسم الأول</w:t>
      </w:r>
      <w:r w:rsidRPr="003177F3">
        <w:rPr>
          <w:rFonts w:ascii="Sakkal Majalla" w:eastAsia="Times New Roman" w:hAnsi="Sakkal Majalla" w:cs="Sakkal Majalla"/>
          <w:color w:val="000000" w:themeColor="text1"/>
          <w:kern w:val="0"/>
          <w:sz w:val="28"/>
          <w:szCs w:val="28"/>
          <w:rtl/>
          <w14:ligatures w14:val="none"/>
        </w:rPr>
        <w:t>: البيانات الديموغرافية والوظيفية سيتضمن هذا القسم بيانات أفراد عينة الدراسة من حيث الجنس، والمؤهل العلمي، وسنوات الخبرة، والمستوى الوظيفي</w:t>
      </w:r>
      <w:r w:rsidRPr="003177F3">
        <w:rPr>
          <w:rFonts w:ascii="Sakkal Majalla" w:eastAsia="Times New Roman" w:hAnsi="Sakkal Majalla" w:cs="Sakkal Majalla"/>
          <w:color w:val="000000" w:themeColor="text1"/>
          <w:kern w:val="0"/>
          <w:sz w:val="28"/>
          <w:szCs w:val="28"/>
          <w14:ligatures w14:val="none"/>
        </w:rPr>
        <w:t>.</w:t>
      </w:r>
    </w:p>
    <w:p w14:paraId="749E8809" w14:textId="77777777" w:rsidR="00D86537" w:rsidRPr="003177F3" w:rsidRDefault="00D86537" w:rsidP="009D6408">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القسم الثاني</w:t>
      </w:r>
      <w:r w:rsidRPr="003177F3">
        <w:rPr>
          <w:rFonts w:ascii="Sakkal Majalla" w:eastAsia="Times New Roman" w:hAnsi="Sakkal Majalla" w:cs="Sakkal Majalla"/>
          <w:color w:val="000000" w:themeColor="text1"/>
          <w:kern w:val="0"/>
          <w:sz w:val="28"/>
          <w:szCs w:val="28"/>
          <w:rtl/>
          <w14:ligatures w14:val="none"/>
        </w:rPr>
        <w:t>: المتغير المستقل (إدارة مخاطر الكوارث الصحية والأوبئة) سيتكون هذا القسم من (16) فقرة موزعة على أربعة أبعاد، وذلك على النحو التالي</w:t>
      </w:r>
      <w:r w:rsidRPr="003177F3">
        <w:rPr>
          <w:rFonts w:ascii="Sakkal Majalla" w:eastAsia="Times New Roman" w:hAnsi="Sakkal Majalla" w:cs="Sakkal Majalla"/>
          <w:color w:val="000000" w:themeColor="text1"/>
          <w:kern w:val="0"/>
          <w:sz w:val="28"/>
          <w:szCs w:val="28"/>
          <w14:ligatures w14:val="none"/>
        </w:rPr>
        <w:t>:</w:t>
      </w:r>
    </w:p>
    <w:p w14:paraId="00D5AA53" w14:textId="77777777" w:rsidR="00D86537" w:rsidRPr="003177F3" w:rsidRDefault="00D86537" w:rsidP="009D6408">
      <w:pPr>
        <w:pStyle w:val="ListParagraph"/>
        <w:numPr>
          <w:ilvl w:val="0"/>
          <w:numId w:val="18"/>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البُعد الأول: التخطيط الاستباقي للمخاطر، ويتضمن (4) فقرات</w:t>
      </w:r>
      <w:r w:rsidRPr="003177F3">
        <w:rPr>
          <w:rFonts w:ascii="Sakkal Majalla" w:eastAsia="Times New Roman" w:hAnsi="Sakkal Majalla" w:cs="Sakkal Majalla"/>
          <w:color w:val="000000" w:themeColor="text1"/>
          <w:kern w:val="0"/>
          <w:sz w:val="28"/>
          <w:szCs w:val="28"/>
          <w14:ligatures w14:val="none"/>
        </w:rPr>
        <w:t>.</w:t>
      </w:r>
    </w:p>
    <w:p w14:paraId="1FF3D8BE" w14:textId="77777777" w:rsidR="00D86537" w:rsidRPr="003177F3" w:rsidRDefault="00D86537" w:rsidP="009D6408">
      <w:pPr>
        <w:pStyle w:val="ListParagraph"/>
        <w:numPr>
          <w:ilvl w:val="0"/>
          <w:numId w:val="18"/>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البُعد الثاني: الاستجابة السريعة والتنسيق المؤسسي، ويتضمن (4) فقرات</w:t>
      </w:r>
      <w:r w:rsidRPr="003177F3">
        <w:rPr>
          <w:rFonts w:ascii="Sakkal Majalla" w:eastAsia="Times New Roman" w:hAnsi="Sakkal Majalla" w:cs="Sakkal Majalla"/>
          <w:color w:val="000000" w:themeColor="text1"/>
          <w:kern w:val="0"/>
          <w:sz w:val="28"/>
          <w:szCs w:val="28"/>
          <w14:ligatures w14:val="none"/>
        </w:rPr>
        <w:t>.</w:t>
      </w:r>
    </w:p>
    <w:p w14:paraId="68CEB967" w14:textId="77777777" w:rsidR="00D86537" w:rsidRPr="003177F3" w:rsidRDefault="00D86537" w:rsidP="009D6408">
      <w:pPr>
        <w:pStyle w:val="ListParagraph"/>
        <w:numPr>
          <w:ilvl w:val="0"/>
          <w:numId w:val="18"/>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البُعد الثالث: اتصال المخاطر والتوعية المجتمعية، ويتضمن (4) فقرات</w:t>
      </w:r>
      <w:r w:rsidRPr="003177F3">
        <w:rPr>
          <w:rFonts w:ascii="Sakkal Majalla" w:eastAsia="Times New Roman" w:hAnsi="Sakkal Majalla" w:cs="Sakkal Majalla"/>
          <w:color w:val="000000" w:themeColor="text1"/>
          <w:kern w:val="0"/>
          <w:sz w:val="28"/>
          <w:szCs w:val="28"/>
          <w14:ligatures w14:val="none"/>
        </w:rPr>
        <w:t>.</w:t>
      </w:r>
    </w:p>
    <w:p w14:paraId="5DAB9B97" w14:textId="77777777" w:rsidR="00D86537" w:rsidRPr="003177F3" w:rsidRDefault="00D86537" w:rsidP="009D6408">
      <w:pPr>
        <w:pStyle w:val="ListParagraph"/>
        <w:numPr>
          <w:ilvl w:val="0"/>
          <w:numId w:val="18"/>
        </w:num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البُعد الرابع: التحول الرقمي والبنية التحتية التقنية، ويتضمن (4) فقرات</w:t>
      </w:r>
      <w:r w:rsidRPr="003177F3">
        <w:rPr>
          <w:rFonts w:ascii="Sakkal Majalla" w:eastAsia="Times New Roman" w:hAnsi="Sakkal Majalla" w:cs="Sakkal Majalla"/>
          <w:color w:val="000000" w:themeColor="text1"/>
          <w:kern w:val="0"/>
          <w:sz w:val="28"/>
          <w:szCs w:val="28"/>
          <w14:ligatures w14:val="none"/>
        </w:rPr>
        <w:t>.</w:t>
      </w:r>
    </w:p>
    <w:p w14:paraId="1B7CD90F" w14:textId="77777777" w:rsidR="00D86537" w:rsidRPr="003177F3" w:rsidRDefault="00D86537" w:rsidP="009D6408">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القسم الثالث</w:t>
      </w:r>
      <w:r w:rsidRPr="003177F3">
        <w:rPr>
          <w:rFonts w:ascii="Sakkal Majalla" w:eastAsia="Times New Roman" w:hAnsi="Sakkal Majalla" w:cs="Sakkal Majalla"/>
          <w:color w:val="000000" w:themeColor="text1"/>
          <w:kern w:val="0"/>
          <w:sz w:val="28"/>
          <w:szCs w:val="28"/>
          <w:rtl/>
          <w14:ligatures w14:val="none"/>
        </w:rPr>
        <w:t>: المتغير التابع (تعزيز جاهزية واستدامة القطاع الصحي) سيتكون هذا القسم من محور أحادي يتضمن (10) فقرات تقيس مستوى جاهزية واستدامة القطاع الصحي بشكل شامل</w:t>
      </w:r>
      <w:r w:rsidRPr="003177F3">
        <w:rPr>
          <w:rFonts w:ascii="Sakkal Majalla" w:eastAsia="Times New Roman" w:hAnsi="Sakkal Majalla" w:cs="Sakkal Majalla"/>
          <w:color w:val="000000" w:themeColor="text1"/>
          <w:kern w:val="0"/>
          <w:sz w:val="28"/>
          <w:szCs w:val="28"/>
          <w14:ligatures w14:val="none"/>
        </w:rPr>
        <w:t>.</w:t>
      </w:r>
    </w:p>
    <w:p w14:paraId="1F9FC8D4"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وبذلك سيبلغ إجمالي فقرات الاستبانة</w:t>
      </w:r>
      <w:r w:rsidRPr="003177F3">
        <w:rPr>
          <w:rFonts w:ascii="Sakkal Majalla" w:eastAsia="Times New Roman" w:hAnsi="Sakkal Majalla" w:cs="Sakkal Majalla"/>
          <w:color w:val="000000" w:themeColor="text1"/>
          <w:kern w:val="0"/>
          <w:sz w:val="28"/>
          <w:szCs w:val="28"/>
          <w14:ligatures w14:val="none"/>
        </w:rPr>
        <w:t xml:space="preserve"> (26) </w:t>
      </w:r>
      <w:r w:rsidRPr="003177F3">
        <w:rPr>
          <w:rFonts w:ascii="Sakkal Majalla" w:eastAsia="Times New Roman" w:hAnsi="Sakkal Majalla" w:cs="Sakkal Majalla"/>
          <w:color w:val="000000" w:themeColor="text1"/>
          <w:kern w:val="0"/>
          <w:sz w:val="28"/>
          <w:szCs w:val="28"/>
          <w:rtl/>
          <w14:ligatures w14:val="none"/>
        </w:rPr>
        <w:t xml:space="preserve">فقرة، وسيتم استخدام مقياس ليكرت الخماسي (موافق بشدة = 5، موافق = 4، محايد = 3، غير موافق = 2، غير موافق بشدة = 1) لقياس استجابات أفراد العينة. وسيتم التحقق من صدق الأداة من خلال الصدق الظاهري بعرضها على مجموعة من المحكّمين المتخصصين، والصدق البنائي باستخدام معامل ارتباط بيرسون، كما سيتم التحقق من ثبات الأداة باستخدام معامل ألفا كرونباخ </w:t>
      </w:r>
      <w:r w:rsidRPr="003177F3">
        <w:rPr>
          <w:rFonts w:ascii="Sakkal Majalla" w:eastAsia="Times New Roman" w:hAnsi="Sakkal Majalla" w:cs="Sakkal Majalla"/>
          <w:color w:val="000000" w:themeColor="text1"/>
          <w:kern w:val="0"/>
          <w:sz w:val="28"/>
          <w:szCs w:val="28"/>
          <w14:ligatures w14:val="none"/>
        </w:rPr>
        <w:t>(Cronbach's Alpha).</w:t>
      </w:r>
    </w:p>
    <w:p w14:paraId="4FE81F38" w14:textId="236D8472" w:rsidR="00D86537" w:rsidRPr="003177F3" w:rsidRDefault="009D6408" w:rsidP="009D640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4" w:name="_Toc223814206"/>
      <w:r w:rsidRPr="003177F3">
        <w:rPr>
          <w:rFonts w:ascii="Sakkal Majalla" w:eastAsia="Times New Roman" w:hAnsi="Sakkal Majalla" w:cs="Sakkal Majalla"/>
          <w:b/>
          <w:bCs/>
          <w:color w:val="000000" w:themeColor="text1"/>
          <w:kern w:val="0"/>
          <w:sz w:val="36"/>
          <w:szCs w:val="36"/>
          <w:rtl/>
          <w14:ligatures w14:val="none"/>
        </w:rPr>
        <w:t>14.1 الأساليب الإحصائية المستخدمة</w:t>
      </w:r>
      <w:bookmarkEnd w:id="14"/>
    </w:p>
    <w:p w14:paraId="54680DA9" w14:textId="77777777" w:rsidR="00D86537" w:rsidRPr="003177F3" w:rsidRDefault="00D86537" w:rsidP="009D640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color w:val="000000" w:themeColor="text1"/>
          <w:kern w:val="0"/>
          <w:sz w:val="28"/>
          <w:szCs w:val="28"/>
          <w:rtl/>
          <w14:ligatures w14:val="none"/>
        </w:rPr>
        <w:t>سوف تستعين الدراسة ببرنامج الحزم الإحصائية للعلوم الاجتماعية</w:t>
      </w:r>
      <w:r w:rsidRPr="003177F3">
        <w:rPr>
          <w:rFonts w:ascii="Sakkal Majalla" w:eastAsia="Times New Roman" w:hAnsi="Sakkal Majalla" w:cs="Sakkal Majalla"/>
          <w:color w:val="000000" w:themeColor="text1"/>
          <w:kern w:val="0"/>
          <w:sz w:val="28"/>
          <w:szCs w:val="28"/>
          <w14:ligatures w14:val="none"/>
        </w:rPr>
        <w:t xml:space="preserve"> (SPSS) </w:t>
      </w:r>
      <w:r w:rsidRPr="003177F3">
        <w:rPr>
          <w:rFonts w:ascii="Sakkal Majalla" w:eastAsia="Times New Roman" w:hAnsi="Sakkal Majalla" w:cs="Sakkal Majalla"/>
          <w:color w:val="000000" w:themeColor="text1"/>
          <w:kern w:val="0"/>
          <w:sz w:val="28"/>
          <w:szCs w:val="28"/>
          <w:rtl/>
          <w14:ligatures w14:val="none"/>
        </w:rPr>
        <w:t>لتحليل البيانات، وسيتم استخدام الأساليب الإحصائية التالية</w:t>
      </w:r>
      <w:r w:rsidRPr="003177F3">
        <w:rPr>
          <w:rFonts w:ascii="Sakkal Majalla" w:eastAsia="Times New Roman" w:hAnsi="Sakkal Majalla" w:cs="Sakkal Majalla"/>
          <w:color w:val="000000" w:themeColor="text1"/>
          <w:kern w:val="0"/>
          <w:sz w:val="28"/>
          <w:szCs w:val="28"/>
          <w14:ligatures w14:val="none"/>
        </w:rPr>
        <w:t>:</w:t>
      </w:r>
    </w:p>
    <w:p w14:paraId="36E0FA9D" w14:textId="77777777" w:rsidR="00D86537" w:rsidRPr="003177F3" w:rsidRDefault="00D86537" w:rsidP="009D6408">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الإحصاء الوصفي</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ويشمل التكرارات والنسب المئوية لوصف خصائص عينة الدراسة الديموغرافية، والمتوسطات الحسابية والانحرافات المعيارية لتحديد مستوى استجابات أفراد العينة على محاور الاستبانة وترتيب الفقرات والأبعاد حسب أهميتها النسبية</w:t>
      </w:r>
      <w:r w:rsidRPr="003177F3">
        <w:rPr>
          <w:rFonts w:ascii="Sakkal Majalla" w:eastAsia="Times New Roman" w:hAnsi="Sakkal Majalla" w:cs="Sakkal Majalla"/>
          <w:color w:val="000000" w:themeColor="text1"/>
          <w:kern w:val="0"/>
          <w:sz w:val="28"/>
          <w:szCs w:val="28"/>
          <w14:ligatures w14:val="none"/>
        </w:rPr>
        <w:t>.</w:t>
      </w:r>
    </w:p>
    <w:p w14:paraId="6FFB3A4A" w14:textId="77777777" w:rsidR="00D86537" w:rsidRPr="003177F3" w:rsidRDefault="00D86537" w:rsidP="009D6408">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lastRenderedPageBreak/>
        <w:t>الإحصاء الاستدلالي</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ويشمل معامل ارتباط بيرسون</w:t>
      </w:r>
      <w:r w:rsidRPr="003177F3">
        <w:rPr>
          <w:rFonts w:ascii="Sakkal Majalla" w:eastAsia="Times New Roman" w:hAnsi="Sakkal Majalla" w:cs="Sakkal Majalla"/>
          <w:color w:val="000000" w:themeColor="text1"/>
          <w:kern w:val="0"/>
          <w:sz w:val="28"/>
          <w:szCs w:val="28"/>
          <w14:ligatures w14:val="none"/>
        </w:rPr>
        <w:t xml:space="preserve"> (Pearson Correlation) </w:t>
      </w:r>
      <w:r w:rsidRPr="003177F3">
        <w:rPr>
          <w:rFonts w:ascii="Sakkal Majalla" w:eastAsia="Times New Roman" w:hAnsi="Sakkal Majalla" w:cs="Sakkal Majalla"/>
          <w:color w:val="000000" w:themeColor="text1"/>
          <w:kern w:val="0"/>
          <w:sz w:val="28"/>
          <w:szCs w:val="28"/>
          <w:rtl/>
          <w14:ligatures w14:val="none"/>
        </w:rPr>
        <w:t xml:space="preserve">للتحقق من صدق الاتساق الداخلي لأداة الدراسة ولقياس العلاقة بين المتغيرات، ومعامل ألفا كرونباخ </w:t>
      </w:r>
      <w:r w:rsidRPr="003177F3">
        <w:rPr>
          <w:rFonts w:ascii="Sakkal Majalla" w:eastAsia="Times New Roman" w:hAnsi="Sakkal Majalla" w:cs="Sakkal Majalla"/>
          <w:color w:val="000000" w:themeColor="text1"/>
          <w:kern w:val="0"/>
          <w:sz w:val="28"/>
          <w:szCs w:val="28"/>
          <w14:ligatures w14:val="none"/>
        </w:rPr>
        <w:t xml:space="preserve">(Cronbach's Alpha) </w:t>
      </w:r>
      <w:r w:rsidRPr="003177F3">
        <w:rPr>
          <w:rFonts w:ascii="Sakkal Majalla" w:eastAsia="Times New Roman" w:hAnsi="Sakkal Majalla" w:cs="Sakkal Majalla"/>
          <w:color w:val="000000" w:themeColor="text1"/>
          <w:kern w:val="0"/>
          <w:sz w:val="28"/>
          <w:szCs w:val="28"/>
          <w:rtl/>
          <w14:ligatures w14:val="none"/>
        </w:rPr>
        <w:t xml:space="preserve">للتحقق من ثبات أداة الدراسة، وتحليل الانحدار البسيط </w:t>
      </w:r>
      <w:r w:rsidRPr="003177F3">
        <w:rPr>
          <w:rFonts w:ascii="Sakkal Majalla" w:eastAsia="Times New Roman" w:hAnsi="Sakkal Majalla" w:cs="Sakkal Majalla"/>
          <w:color w:val="000000" w:themeColor="text1"/>
          <w:kern w:val="0"/>
          <w:sz w:val="28"/>
          <w:szCs w:val="28"/>
          <w14:ligatures w14:val="none"/>
        </w:rPr>
        <w:t xml:space="preserve">(Simple Linear Regression) </w:t>
      </w:r>
      <w:r w:rsidRPr="003177F3">
        <w:rPr>
          <w:rFonts w:ascii="Sakkal Majalla" w:eastAsia="Times New Roman" w:hAnsi="Sakkal Majalla" w:cs="Sakkal Majalla"/>
          <w:color w:val="000000" w:themeColor="text1"/>
          <w:kern w:val="0"/>
          <w:sz w:val="28"/>
          <w:szCs w:val="28"/>
          <w:rtl/>
          <w14:ligatures w14:val="none"/>
        </w:rPr>
        <w:t>لاختبار أثر كل بُعد من أبعاد المتغير المستقل على المتغير التابع، وتحليل الانحدار المتعدد</w:t>
      </w:r>
      <w:r w:rsidRPr="003177F3">
        <w:rPr>
          <w:rFonts w:ascii="Sakkal Majalla" w:eastAsia="Times New Roman" w:hAnsi="Sakkal Majalla" w:cs="Sakkal Majalla"/>
          <w:color w:val="000000" w:themeColor="text1"/>
          <w:kern w:val="0"/>
          <w:sz w:val="28"/>
          <w:szCs w:val="28"/>
          <w14:ligatures w14:val="none"/>
        </w:rPr>
        <w:t xml:space="preserve"> (Multiple Linear Regression) </w:t>
      </w:r>
      <w:r w:rsidRPr="003177F3">
        <w:rPr>
          <w:rFonts w:ascii="Sakkal Majalla" w:eastAsia="Times New Roman" w:hAnsi="Sakkal Majalla" w:cs="Sakkal Majalla"/>
          <w:color w:val="000000" w:themeColor="text1"/>
          <w:kern w:val="0"/>
          <w:sz w:val="28"/>
          <w:szCs w:val="28"/>
          <w:rtl/>
          <w14:ligatures w14:val="none"/>
        </w:rPr>
        <w:t>لاختبار الأثر المشترك لأبعاد المتغير المستقل مجتمعة على المتغير التابع، واختبار</w:t>
      </w:r>
      <w:r w:rsidRPr="003177F3">
        <w:rPr>
          <w:rFonts w:ascii="Sakkal Majalla" w:eastAsia="Times New Roman" w:hAnsi="Sakkal Majalla" w:cs="Sakkal Majalla"/>
          <w:color w:val="000000" w:themeColor="text1"/>
          <w:kern w:val="0"/>
          <w:sz w:val="28"/>
          <w:szCs w:val="28"/>
          <w14:ligatures w14:val="none"/>
        </w:rPr>
        <w:t xml:space="preserve"> (T-Test) </w:t>
      </w:r>
      <w:r w:rsidRPr="003177F3">
        <w:rPr>
          <w:rFonts w:ascii="Sakkal Majalla" w:eastAsia="Times New Roman" w:hAnsi="Sakkal Majalla" w:cs="Sakkal Majalla"/>
          <w:color w:val="000000" w:themeColor="text1"/>
          <w:kern w:val="0"/>
          <w:sz w:val="28"/>
          <w:szCs w:val="28"/>
          <w:rtl/>
          <w14:ligatures w14:val="none"/>
        </w:rPr>
        <w:t>للعينات المستقلة لاختبار الفروق تبعاً لمتغير الجنس، وتحليل التباين الأحادي</w:t>
      </w:r>
      <w:r w:rsidRPr="003177F3">
        <w:rPr>
          <w:rFonts w:ascii="Sakkal Majalla" w:eastAsia="Times New Roman" w:hAnsi="Sakkal Majalla" w:cs="Sakkal Majalla"/>
          <w:color w:val="000000" w:themeColor="text1"/>
          <w:kern w:val="0"/>
          <w:sz w:val="28"/>
          <w:szCs w:val="28"/>
          <w14:ligatures w14:val="none"/>
        </w:rPr>
        <w:t xml:space="preserve"> (One-Way ANOVA) </w:t>
      </w:r>
      <w:r w:rsidRPr="003177F3">
        <w:rPr>
          <w:rFonts w:ascii="Sakkal Majalla" w:eastAsia="Times New Roman" w:hAnsi="Sakkal Majalla" w:cs="Sakkal Majalla"/>
          <w:color w:val="000000" w:themeColor="text1"/>
          <w:kern w:val="0"/>
          <w:sz w:val="28"/>
          <w:szCs w:val="28"/>
          <w:rtl/>
          <w14:ligatures w14:val="none"/>
        </w:rPr>
        <w:t>لاختبار الفروق تبعاً للمتغيرات ذات المستويات الأكثر من اثنين كالمؤهل العلمي وسنوات الخبرة والمستوى الوظيفي، واختبار شيفيه</w:t>
      </w:r>
      <w:r w:rsidRPr="003177F3">
        <w:rPr>
          <w:rFonts w:ascii="Sakkal Majalla" w:eastAsia="Times New Roman" w:hAnsi="Sakkal Majalla" w:cs="Sakkal Majalla"/>
          <w:color w:val="000000" w:themeColor="text1"/>
          <w:kern w:val="0"/>
          <w:sz w:val="28"/>
          <w:szCs w:val="28"/>
          <w14:ligatures w14:val="none"/>
        </w:rPr>
        <w:t xml:space="preserve"> (Scheffé) </w:t>
      </w:r>
      <w:r w:rsidRPr="003177F3">
        <w:rPr>
          <w:rFonts w:ascii="Sakkal Majalla" w:eastAsia="Times New Roman" w:hAnsi="Sakkal Majalla" w:cs="Sakkal Majalla"/>
          <w:color w:val="000000" w:themeColor="text1"/>
          <w:kern w:val="0"/>
          <w:sz w:val="28"/>
          <w:szCs w:val="28"/>
          <w:rtl/>
          <w14:ligatures w14:val="none"/>
        </w:rPr>
        <w:t>للمقارنات البعدية في حال وجود فروق ذات دلالة إحصائية، ومعامل تضخم التباين</w:t>
      </w:r>
      <w:r w:rsidRPr="003177F3">
        <w:rPr>
          <w:rFonts w:ascii="Sakkal Majalla" w:eastAsia="Times New Roman" w:hAnsi="Sakkal Majalla" w:cs="Sakkal Majalla"/>
          <w:color w:val="000000" w:themeColor="text1"/>
          <w:kern w:val="0"/>
          <w:sz w:val="28"/>
          <w:szCs w:val="28"/>
          <w14:ligatures w14:val="none"/>
        </w:rPr>
        <w:t xml:space="preserve"> (VIF) </w:t>
      </w:r>
      <w:r w:rsidRPr="003177F3">
        <w:rPr>
          <w:rFonts w:ascii="Sakkal Majalla" w:eastAsia="Times New Roman" w:hAnsi="Sakkal Majalla" w:cs="Sakkal Majalla"/>
          <w:color w:val="000000" w:themeColor="text1"/>
          <w:kern w:val="0"/>
          <w:sz w:val="28"/>
          <w:szCs w:val="28"/>
          <w:rtl/>
          <w14:ligatures w14:val="none"/>
        </w:rPr>
        <w:t>واختبار التسامح</w:t>
      </w:r>
      <w:r w:rsidRPr="003177F3">
        <w:rPr>
          <w:rFonts w:ascii="Sakkal Majalla" w:eastAsia="Times New Roman" w:hAnsi="Sakkal Majalla" w:cs="Sakkal Majalla"/>
          <w:color w:val="000000" w:themeColor="text1"/>
          <w:kern w:val="0"/>
          <w:sz w:val="28"/>
          <w:szCs w:val="28"/>
          <w14:ligatures w14:val="none"/>
        </w:rPr>
        <w:t xml:space="preserve"> (Tolerance) </w:t>
      </w:r>
      <w:r w:rsidRPr="003177F3">
        <w:rPr>
          <w:rFonts w:ascii="Sakkal Majalla" w:eastAsia="Times New Roman" w:hAnsi="Sakkal Majalla" w:cs="Sakkal Majalla"/>
          <w:color w:val="000000" w:themeColor="text1"/>
          <w:kern w:val="0"/>
          <w:sz w:val="28"/>
          <w:szCs w:val="28"/>
          <w:rtl/>
          <w14:ligatures w14:val="none"/>
        </w:rPr>
        <w:t>للتأكد من عدم وجود مشكلة الارتباط المتعدد الخطي بين المتغيرات المستقلة</w:t>
      </w:r>
      <w:r w:rsidRPr="003177F3">
        <w:rPr>
          <w:rFonts w:ascii="Sakkal Majalla" w:eastAsia="Times New Roman" w:hAnsi="Sakkal Majalla" w:cs="Sakkal Majalla"/>
          <w:color w:val="000000" w:themeColor="text1"/>
          <w:kern w:val="0"/>
          <w:sz w:val="28"/>
          <w:szCs w:val="28"/>
          <w14:ligatures w14:val="none"/>
        </w:rPr>
        <w:t>.</w:t>
      </w:r>
    </w:p>
    <w:p w14:paraId="13F8203F" w14:textId="7981201E" w:rsidR="00D86537" w:rsidRPr="003177F3" w:rsidRDefault="009D6408" w:rsidP="009D640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5" w:name="_Toc223814207"/>
      <w:r w:rsidRPr="003177F3">
        <w:rPr>
          <w:rFonts w:ascii="Sakkal Majalla" w:eastAsia="Times New Roman" w:hAnsi="Sakkal Majalla" w:cs="Sakkal Majalla"/>
          <w:b/>
          <w:bCs/>
          <w:color w:val="000000" w:themeColor="text1"/>
          <w:kern w:val="0"/>
          <w:sz w:val="36"/>
          <w:szCs w:val="36"/>
          <w:rtl/>
          <w14:ligatures w14:val="none"/>
        </w:rPr>
        <w:t>15.1 حدود الدراسة</w:t>
      </w:r>
      <w:bookmarkEnd w:id="15"/>
    </w:p>
    <w:p w14:paraId="7AFA1DEB" w14:textId="77777777" w:rsidR="00D86537" w:rsidRPr="003177F3" w:rsidRDefault="00D86537" w:rsidP="009D6408">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الحدود الموضوعية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ستقتصر الدراسة على دراسة أثر إدارة مخاطر الكوارث الصحية والأوبئة بأبعادها الأربعة (التخطيط الاستباقي للمخاطر، الاستجابة السريعة والتنسيق المؤسسي، اتصال المخاطر والتوعية المجتمعية، التحول الرقمي والبنية التحتية التقنية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على تعزيز جاهزية واستدامة القطاع الصحي</w:t>
      </w:r>
      <w:r w:rsidRPr="003177F3">
        <w:rPr>
          <w:rFonts w:ascii="Sakkal Majalla" w:eastAsia="Times New Roman" w:hAnsi="Sakkal Majalla" w:cs="Sakkal Majalla"/>
          <w:color w:val="000000" w:themeColor="text1"/>
          <w:kern w:val="0"/>
          <w:sz w:val="28"/>
          <w:szCs w:val="28"/>
          <w14:ligatures w14:val="none"/>
        </w:rPr>
        <w:t>.</w:t>
      </w:r>
    </w:p>
    <w:p w14:paraId="685AAAFE" w14:textId="77777777" w:rsidR="00D86537" w:rsidRPr="003177F3" w:rsidRDefault="00D86537" w:rsidP="009D6408">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الحدود المكانية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ستُطبّق الدراسة على المؤسسات الصحية (المستشفيات الحكومية والخاصة) في نطاق جغرافي محدد يتم تحديده وفقاً لإمكانية الوصول الميداني للباحث</w:t>
      </w:r>
      <w:r w:rsidRPr="003177F3">
        <w:rPr>
          <w:rFonts w:ascii="Sakkal Majalla" w:eastAsia="Times New Roman" w:hAnsi="Sakkal Majalla" w:cs="Sakkal Majalla"/>
          <w:color w:val="000000" w:themeColor="text1"/>
          <w:kern w:val="0"/>
          <w:sz w:val="28"/>
          <w:szCs w:val="28"/>
          <w14:ligatures w14:val="none"/>
        </w:rPr>
        <w:t>.</w:t>
      </w:r>
    </w:p>
    <w:p w14:paraId="795EBE64" w14:textId="77777777" w:rsidR="00D86537" w:rsidRPr="003177F3" w:rsidRDefault="00D86537" w:rsidP="009D6408">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الحدود الزمانية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سيتم إجراء الدراسة الميدانية وجمع البيانات خلال العام الأكاديمي 2025/2026م</w:t>
      </w:r>
      <w:r w:rsidRPr="003177F3">
        <w:rPr>
          <w:rFonts w:ascii="Sakkal Majalla" w:eastAsia="Times New Roman" w:hAnsi="Sakkal Majalla" w:cs="Sakkal Majalla"/>
          <w:color w:val="000000" w:themeColor="text1"/>
          <w:kern w:val="0"/>
          <w:sz w:val="28"/>
          <w:szCs w:val="28"/>
          <w14:ligatures w14:val="none"/>
        </w:rPr>
        <w:t>.</w:t>
      </w:r>
    </w:p>
    <w:p w14:paraId="08AD5D8E" w14:textId="77777777" w:rsidR="00380018" w:rsidRDefault="00D86537" w:rsidP="00380018">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3177F3">
        <w:rPr>
          <w:rFonts w:ascii="Sakkal Majalla" w:eastAsia="Times New Roman" w:hAnsi="Sakkal Majalla" w:cs="Sakkal Majalla"/>
          <w:b/>
          <w:bCs/>
          <w:color w:val="000000" w:themeColor="text1"/>
          <w:kern w:val="0"/>
          <w:sz w:val="28"/>
          <w:szCs w:val="28"/>
          <w:rtl/>
          <w14:ligatures w14:val="none"/>
        </w:rPr>
        <w:t>الحدود البشرية</w:t>
      </w:r>
      <w:r w:rsidRPr="003177F3">
        <w:rPr>
          <w:rFonts w:ascii="Sakkal Majalla" w:eastAsia="Times New Roman" w:hAnsi="Sakkal Majalla" w:cs="Sakkal Majalla"/>
          <w:color w:val="000000" w:themeColor="text1"/>
          <w:kern w:val="0"/>
          <w:sz w:val="28"/>
          <w:szCs w:val="28"/>
          <w14:ligatures w14:val="none"/>
        </w:rPr>
        <w:t xml:space="preserve">: </w:t>
      </w:r>
      <w:r w:rsidRPr="003177F3">
        <w:rPr>
          <w:rFonts w:ascii="Sakkal Majalla" w:eastAsia="Times New Roman" w:hAnsi="Sakkal Majalla" w:cs="Sakkal Majalla"/>
          <w:color w:val="000000" w:themeColor="text1"/>
          <w:kern w:val="0"/>
          <w:sz w:val="28"/>
          <w:szCs w:val="28"/>
          <w:rtl/>
          <w14:ligatures w14:val="none"/>
        </w:rPr>
        <w:t>ستقتصر الدراسة على العاملين في الوظائف الإدارية والإشرافية والطبية في المؤسسات الصحية، والذين يشملون مديري المستشفيات ورؤساء الأقسام ومسؤولي الجودة وإدارة المخاطر ومنسقي الطوارئ والكوادر الطبية والتمريضية في المواقع القيادية</w:t>
      </w:r>
      <w:r w:rsidRPr="003177F3">
        <w:rPr>
          <w:rFonts w:ascii="Sakkal Majalla" w:eastAsia="Times New Roman" w:hAnsi="Sakkal Majalla" w:cs="Sakkal Majalla"/>
          <w:color w:val="000000" w:themeColor="text1"/>
          <w:kern w:val="0"/>
          <w:sz w:val="28"/>
          <w:szCs w:val="28"/>
          <w14:ligatures w14:val="none"/>
        </w:rPr>
        <w:t>.</w:t>
      </w:r>
      <w:bookmarkStart w:id="16" w:name="_Toc223814208"/>
    </w:p>
    <w:p w14:paraId="03B2B9CE" w14:textId="23441A55" w:rsidR="00A74F76" w:rsidRPr="003177F3" w:rsidRDefault="00380018" w:rsidP="00380018">
      <w:pPr>
        <w:spacing w:line="360" w:lineRule="auto"/>
        <w:jc w:val="center"/>
        <w:outlineLvl w:val="0"/>
        <w:rPr>
          <w:rFonts w:ascii="Sakkal Majalla" w:hAnsi="Sakkal Majalla" w:cs="Sakkal Majalla"/>
          <w:b/>
          <w:bCs/>
          <w:color w:val="000000" w:themeColor="text1"/>
          <w:sz w:val="40"/>
          <w:szCs w:val="40"/>
          <w:rtl/>
        </w:rPr>
      </w:pPr>
      <w:r>
        <w:rPr>
          <w:rFonts w:ascii="Sakkal Majalla" w:eastAsia="Times New Roman" w:hAnsi="Sakkal Majalla" w:cs="Sakkal Majalla"/>
          <w:color w:val="000000" w:themeColor="text1"/>
          <w:kern w:val="0"/>
          <w:sz w:val="28"/>
          <w:szCs w:val="28"/>
          <w14:ligatures w14:val="none"/>
        </w:rPr>
        <w:br w:type="page"/>
      </w:r>
      <w:r w:rsidR="009D6408" w:rsidRPr="003177F3">
        <w:rPr>
          <w:rFonts w:ascii="Sakkal Majalla" w:hAnsi="Sakkal Majalla" w:cs="Sakkal Majalla" w:hint="cs"/>
          <w:b/>
          <w:bCs/>
          <w:color w:val="000000" w:themeColor="text1"/>
          <w:sz w:val="40"/>
          <w:szCs w:val="40"/>
          <w:rtl/>
        </w:rPr>
        <w:lastRenderedPageBreak/>
        <w:t>الفصل الثاني: الإطار النظري</w:t>
      </w:r>
      <w:bookmarkEnd w:id="16"/>
    </w:p>
    <w:p w14:paraId="46505DA3" w14:textId="77777777" w:rsidR="00AF2B09" w:rsidRPr="003177F3" w:rsidRDefault="00AF2B09" w:rsidP="00F11D9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17" w:name="_Toc223814209"/>
      <w:r w:rsidRPr="003177F3">
        <w:rPr>
          <w:rFonts w:ascii="Sakkal Majalla" w:hAnsi="Sakkal Majalla" w:cs="Sakkal Majalla"/>
          <w:b/>
          <w:bCs/>
          <w:color w:val="000000" w:themeColor="text1"/>
          <w:sz w:val="36"/>
          <w:szCs w:val="36"/>
          <w:rtl/>
        </w:rPr>
        <w:t>المبحث الأول: إدارة مخاطر الكوارث الصحية والأوبئة (المتغير المستقل)</w:t>
      </w:r>
      <w:bookmarkEnd w:id="17"/>
    </w:p>
    <w:p w14:paraId="14251F44" w14:textId="09EFCAE4"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23814210"/>
      <w:r w:rsidRPr="003177F3">
        <w:rPr>
          <w:rFonts w:ascii="Sakkal Majalla" w:hAnsi="Sakkal Majalla" w:cs="Sakkal Majalla" w:hint="cs"/>
          <w:b/>
          <w:bCs/>
          <w:color w:val="000000" w:themeColor="text1"/>
          <w:sz w:val="32"/>
          <w:szCs w:val="32"/>
          <w:rtl/>
        </w:rPr>
        <w:t xml:space="preserve">1.1.2 </w:t>
      </w:r>
      <w:r w:rsidR="00AF2B09" w:rsidRPr="003177F3">
        <w:rPr>
          <w:rFonts w:ascii="Sakkal Majalla" w:hAnsi="Sakkal Majalla" w:cs="Sakkal Majalla"/>
          <w:b/>
          <w:bCs/>
          <w:color w:val="000000" w:themeColor="text1"/>
          <w:sz w:val="32"/>
          <w:szCs w:val="32"/>
          <w:rtl/>
        </w:rPr>
        <w:t>تمهيد</w:t>
      </w:r>
      <w:bookmarkEnd w:id="18"/>
    </w:p>
    <w:p w14:paraId="6F2D4081"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شكّلت الأوبئة والكوارث الصحية على مر التاريخ تهديداً وجودياً للمجتمعات البشرية، غير أن طبيعة هذه التهديدات وحجمها ونطاقها قد تغيرت تغيراً جذرياً في العقود الأخيرة بفعل عوامل متعددة منها العولمة وسهولة التنقل الدولي والتغيرات المناخية والتوسع العمراني وتطور مسببات الأمراض. وفي ظل هذا الواقع المعقد، برزت إدارة مخاطر الكوارث الصحية والأوبئة بوصفها حقلاً معرفياً وإدارياً متخصصاً يستمد أسسه من تقاطع عدة تخصصات تشمل الإدارة الاستراتيجية والصحة العامة وإدارة الأزمات وعلوم المخاطر. وقد فرضت جائحة كوفيد-19 واقعاً جديداً أعاد تشكيل المفاهيم التقليدية لإدارة المخاطر في القطاع الصحي، وأبرز الحاجة الماسة إلى تبني مقاربات شاملة ومتكاملة تتجاوز النماذج الجزئية والتفاعلية التي سادت في حقب سابقة. ومن هذا المنطلق، يسعى هذا المبحث إلى تأصيل مفهوم إدارة مخاطر الكوارث الصحية والأوبئة وتحليل أبعاده وأهميته وأهدافه واستراتيجياته، وصولاً إلى بناء إطار نظري متماسك يُوجّه الجانب الميداني من هذه الدراسة</w:t>
      </w:r>
      <w:r w:rsidRPr="003177F3">
        <w:rPr>
          <w:rFonts w:ascii="Sakkal Majalla" w:hAnsi="Sakkal Majalla" w:cs="Sakkal Majalla"/>
          <w:color w:val="000000" w:themeColor="text1"/>
          <w:sz w:val="28"/>
          <w:szCs w:val="28"/>
        </w:rPr>
        <w:t>.</w:t>
      </w:r>
    </w:p>
    <w:p w14:paraId="307F1509" w14:textId="098AA5CB"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23814211"/>
      <w:r w:rsidRPr="003177F3">
        <w:rPr>
          <w:rFonts w:ascii="Sakkal Majalla" w:hAnsi="Sakkal Majalla" w:cs="Sakkal Majalla" w:hint="cs"/>
          <w:b/>
          <w:bCs/>
          <w:color w:val="000000" w:themeColor="text1"/>
          <w:sz w:val="32"/>
          <w:szCs w:val="32"/>
          <w:rtl/>
        </w:rPr>
        <w:t xml:space="preserve">2.1.2 </w:t>
      </w:r>
      <w:r w:rsidR="00AF2B09" w:rsidRPr="003177F3">
        <w:rPr>
          <w:rFonts w:ascii="Sakkal Majalla" w:hAnsi="Sakkal Majalla" w:cs="Sakkal Majalla"/>
          <w:b/>
          <w:bCs/>
          <w:color w:val="000000" w:themeColor="text1"/>
          <w:sz w:val="32"/>
          <w:szCs w:val="32"/>
          <w:rtl/>
        </w:rPr>
        <w:t>مفهوم إدارة مخاطر الكوارث الصحية والأوبئة</w:t>
      </w:r>
      <w:bookmarkEnd w:id="19"/>
    </w:p>
    <w:p w14:paraId="1656D409"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يستند مفهوم إدارة مخاطر الكوارث الصحية والأوبئة إلى جذور معرفية متعددة المشارب، تتقاطع فيها أدبيات إدارة المخاطر العامة مع أدبيات الصحة العامة وإدارة الأزمات، مما أفرز تعريفات متنوعة تعكس الزوايا المختلفة التي نظر منها الباحثون إلى هذا المفهوم. وقد عرّف</w:t>
      </w:r>
      <w:r w:rsidRPr="003177F3">
        <w:rPr>
          <w:rFonts w:ascii="Sakkal Majalla" w:hAnsi="Sakkal Majalla" w:cs="Sakkal Majalla"/>
          <w:color w:val="000000" w:themeColor="text1"/>
          <w:sz w:val="28"/>
          <w:szCs w:val="28"/>
        </w:rPr>
        <w:t xml:space="preserve"> Aven (2021) </w:t>
      </w:r>
      <w:r w:rsidRPr="003177F3">
        <w:rPr>
          <w:rFonts w:ascii="Sakkal Majalla" w:hAnsi="Sakkal Majalla" w:cs="Sakkal Majalla"/>
          <w:color w:val="000000" w:themeColor="text1"/>
          <w:sz w:val="28"/>
          <w:szCs w:val="28"/>
          <w:rtl/>
        </w:rPr>
        <w:t xml:space="preserve">إدارة المخاطر بأنها مجموعة الأنشطة والعمليات المنسقة التي تهدف إلى توجيه المنظمة والسيطرة على حالات عدم اليقين التي قد تؤثر في تحقيق أهدافها، مشيراً إلى أن الأسس الحديثة لإدارة المخاطر تتجاوز الحسابات الاحتمالية </w:t>
      </w:r>
      <w:r w:rsidRPr="003177F3">
        <w:rPr>
          <w:rFonts w:ascii="Sakkal Majalla" w:hAnsi="Sakkal Majalla" w:cs="Sakkal Majalla"/>
          <w:color w:val="000000" w:themeColor="text1"/>
          <w:sz w:val="28"/>
          <w:szCs w:val="28"/>
          <w:rtl/>
        </w:rPr>
        <w:lastRenderedPageBreak/>
        <w:t>التقليدية لتشمل فهماً أعمق لطبيعة المخاطر وسياقاتها وتفاعلاتها المعقدة. وقد أسهم هذا التعريف في توسيع نطاق المفهوم ليتجاوز البُعد التقني والكمي نحو أبعاد استراتيجية وتنظيمية أشمل</w:t>
      </w:r>
      <w:r w:rsidRPr="003177F3">
        <w:rPr>
          <w:rFonts w:ascii="Sakkal Majalla" w:hAnsi="Sakkal Majalla" w:cs="Sakkal Majalla"/>
          <w:color w:val="000000" w:themeColor="text1"/>
          <w:sz w:val="28"/>
          <w:szCs w:val="28"/>
        </w:rPr>
        <w:t>.</w:t>
      </w:r>
    </w:p>
    <w:p w14:paraId="1C1127FA"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وفي سياق أكثر تخصصاً، تناول موسى</w:t>
      </w:r>
      <w:r w:rsidRPr="003177F3">
        <w:rPr>
          <w:rFonts w:ascii="Sakkal Majalla" w:hAnsi="Sakkal Majalla" w:cs="Sakkal Majalla"/>
          <w:color w:val="000000" w:themeColor="text1"/>
          <w:sz w:val="28"/>
          <w:szCs w:val="28"/>
        </w:rPr>
        <w:t xml:space="preserve"> (2025) </w:t>
      </w:r>
      <w:r w:rsidRPr="003177F3">
        <w:rPr>
          <w:rFonts w:ascii="Sakkal Majalla" w:hAnsi="Sakkal Majalla" w:cs="Sakkal Majalla"/>
          <w:color w:val="000000" w:themeColor="text1"/>
          <w:sz w:val="28"/>
          <w:szCs w:val="28"/>
          <w:rtl/>
        </w:rPr>
        <w:t>مفهوم إدارة المخاطر الصحية من منظور المواصفة الدولية</w:t>
      </w:r>
      <w:r w:rsidRPr="003177F3">
        <w:rPr>
          <w:rFonts w:ascii="Sakkal Majalla" w:hAnsi="Sakkal Majalla" w:cs="Sakkal Majalla"/>
          <w:color w:val="000000" w:themeColor="text1"/>
          <w:sz w:val="28"/>
          <w:szCs w:val="28"/>
        </w:rPr>
        <w:t xml:space="preserve"> (ISO 31000:2018) </w:t>
      </w:r>
      <w:r w:rsidRPr="003177F3">
        <w:rPr>
          <w:rFonts w:ascii="Sakkal Majalla" w:hAnsi="Sakkal Majalla" w:cs="Sakkal Majalla"/>
          <w:color w:val="000000" w:themeColor="text1"/>
          <w:sz w:val="28"/>
          <w:szCs w:val="28"/>
          <w:rtl/>
        </w:rPr>
        <w:t>بوصفها إطاراً منهجياً يتضمن عمليات تحديد المخاطر وتحليلها وتقييمها ومعالجتها ومتابعتها بصورة دورية ومنتظمة، مع التأكيد على أن تطبيق هذا الإطار في المؤسسات الصحية يتطلب مراعاة الخصوصية العالية لهذا القطاع من حيث حساسية الخدمات المقدمة وارتباطها المباشر بحياة الإنسان. ويتميز هذا التوجه بتركيزه على المعيارية والمنهجية في إدارة المخاطر، مما يوفر إطاراً قابلاً للقياس والمقارنة عبر المؤسسات المختلفة</w:t>
      </w:r>
      <w:r w:rsidRPr="003177F3">
        <w:rPr>
          <w:rFonts w:ascii="Sakkal Majalla" w:hAnsi="Sakkal Majalla" w:cs="Sakkal Majalla"/>
          <w:color w:val="000000" w:themeColor="text1"/>
          <w:sz w:val="28"/>
          <w:szCs w:val="28"/>
        </w:rPr>
        <w:t>.</w:t>
      </w:r>
    </w:p>
    <w:p w14:paraId="593758F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أما على صعيد المقاربة الميدانية، فقد تناول المطيري (2023) ممارسات إدارة المخاطر في القطاع الصحي من خلال ثلاثة أبعاد تشغيلية هي تحليل المخاطر وتقدير المخاطر ومعالجة المخاطر، مما يعكس توجهاً عملياً يُركّز على الجانب التطبيقي لإدارة المخاطر داخل المؤسسات الصحية. وفي السياق ذاته، نظر الرويلي والنيف (2025) إلى إدارة المخاطر في الإطار الصحي من زاوية تأثيرها في تحسين تجربة المستفيد من الخدمات الصحية، مما يُضيف بُعداً مهماً يربط بين إدارة المخاطر ورضا المتعاملين مع المنظومة الصحية</w:t>
      </w:r>
      <w:r w:rsidRPr="003177F3">
        <w:rPr>
          <w:rFonts w:ascii="Sakkal Majalla" w:hAnsi="Sakkal Majalla" w:cs="Sakkal Majalla"/>
          <w:color w:val="000000" w:themeColor="text1"/>
          <w:sz w:val="28"/>
          <w:szCs w:val="28"/>
        </w:rPr>
        <w:t>.</w:t>
      </w:r>
    </w:p>
    <w:p w14:paraId="3B5CEFF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ومن منظور مغاير، تناول برنو وشبوطي</w:t>
      </w:r>
      <w:r w:rsidRPr="003177F3">
        <w:rPr>
          <w:rFonts w:ascii="Sakkal Majalla" w:hAnsi="Sakkal Majalla" w:cs="Sakkal Majalla"/>
          <w:color w:val="000000" w:themeColor="text1"/>
          <w:sz w:val="28"/>
          <w:szCs w:val="28"/>
        </w:rPr>
        <w:t xml:space="preserve"> (2021) </w:t>
      </w:r>
      <w:r w:rsidRPr="003177F3">
        <w:rPr>
          <w:rFonts w:ascii="Sakkal Majalla" w:hAnsi="Sakkal Majalla" w:cs="Sakkal Majalla"/>
          <w:color w:val="000000" w:themeColor="text1"/>
          <w:sz w:val="28"/>
          <w:szCs w:val="28"/>
          <w:rtl/>
        </w:rPr>
        <w:t>إدارة المخاطر الصحية في ضوء علاقتها بالمخاطر الرقمية المصاحبة للأزمات الصحية، مشيرين إلى أن الأزمات الصحية الكبرى كجائحة كوفيد-19 لا تُفرز مخاطر صحية فحسب بل تُولّد أيضاً مخاطر رقمية وسيبرانية تستوجب إدارة متكاملة. أما على المستوى الدولي، فقد تناولت منظمة الصحة العالمية</w:t>
      </w:r>
      <w:r w:rsidRPr="003177F3">
        <w:rPr>
          <w:rFonts w:ascii="Sakkal Majalla" w:hAnsi="Sakkal Majalla" w:cs="Sakkal Majalla"/>
          <w:color w:val="000000" w:themeColor="text1"/>
          <w:sz w:val="28"/>
          <w:szCs w:val="28"/>
        </w:rPr>
        <w:t xml:space="preserve"> (WHO, 2022) </w:t>
      </w:r>
      <w:r w:rsidRPr="003177F3">
        <w:rPr>
          <w:rFonts w:ascii="Sakkal Majalla" w:hAnsi="Sakkal Majalla" w:cs="Sakkal Majalla"/>
          <w:color w:val="000000" w:themeColor="text1"/>
          <w:sz w:val="28"/>
          <w:szCs w:val="28"/>
          <w:rtl/>
        </w:rPr>
        <w:t>إدارة المخاطر الصحية من منظور الوقاية من العدوى ومكافحتها، بوصفها مكوناً جوهرياً في منظومة الاستعداد والاستجابة للأوبئة</w:t>
      </w:r>
      <w:r w:rsidRPr="003177F3">
        <w:rPr>
          <w:rFonts w:ascii="Sakkal Majalla" w:hAnsi="Sakkal Majalla" w:cs="Sakkal Majalla"/>
          <w:color w:val="000000" w:themeColor="text1"/>
          <w:sz w:val="28"/>
          <w:szCs w:val="28"/>
        </w:rPr>
        <w:t>.</w:t>
      </w:r>
    </w:p>
    <w:p w14:paraId="776DE62F"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وبالنظر إلى التعريفات السابقة وما تحمله من تنوع في الزوايا والمداخل، يرى الباحث أن إدارة مخاطر الكوارث الصحية والأوبئة يمكن تعريفها إجرائياً بأنها: منظومة متكاملة ومستمرة من السياسات والعمليات والممارسات الاستراتيجية والتشغيلية التي تتبناها المؤسسات الصحية بهدف استباق المخاطر الصحية الناجمة عن الكوارث والأوبئة وتحديدها وتقييمها والتعامل معها بكفاءة وفاعلية، من خلال </w:t>
      </w:r>
      <w:r w:rsidRPr="003177F3">
        <w:rPr>
          <w:rFonts w:ascii="Sakkal Majalla" w:hAnsi="Sakkal Majalla" w:cs="Sakkal Majalla"/>
          <w:color w:val="000000" w:themeColor="text1"/>
          <w:sz w:val="28"/>
          <w:szCs w:val="28"/>
          <w:rtl/>
        </w:rPr>
        <w:lastRenderedPageBreak/>
        <w:t>التخطيط الاستباقي والاستجابة المنسقة والتواصل الفعال مع المجتمع وتوظيف التقنيات الرقمية الحديثة، بما يضمن حماية الصحة العامة واستمرارية الخدمات الصحية والتعافي السريع من آثار الأزمات</w:t>
      </w:r>
      <w:r w:rsidRPr="003177F3">
        <w:rPr>
          <w:rFonts w:ascii="Sakkal Majalla" w:hAnsi="Sakkal Majalla" w:cs="Sakkal Majalla"/>
          <w:color w:val="000000" w:themeColor="text1"/>
          <w:sz w:val="28"/>
          <w:szCs w:val="28"/>
        </w:rPr>
        <w:t>.</w:t>
      </w:r>
    </w:p>
    <w:p w14:paraId="6E1BBEE6" w14:textId="43154A4B"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23814212"/>
      <w:r w:rsidRPr="003177F3">
        <w:rPr>
          <w:rFonts w:ascii="Sakkal Majalla" w:hAnsi="Sakkal Majalla" w:cs="Sakkal Majalla" w:hint="cs"/>
          <w:b/>
          <w:bCs/>
          <w:color w:val="000000" w:themeColor="text1"/>
          <w:sz w:val="32"/>
          <w:szCs w:val="32"/>
          <w:rtl/>
        </w:rPr>
        <w:t xml:space="preserve">3.1.2 </w:t>
      </w:r>
      <w:r w:rsidR="00AF2B09" w:rsidRPr="003177F3">
        <w:rPr>
          <w:rFonts w:ascii="Sakkal Majalla" w:hAnsi="Sakkal Majalla" w:cs="Sakkal Majalla"/>
          <w:b/>
          <w:bCs/>
          <w:color w:val="000000" w:themeColor="text1"/>
          <w:sz w:val="32"/>
          <w:szCs w:val="32"/>
          <w:rtl/>
        </w:rPr>
        <w:t>أهمية إدارة مخاطر الكوارث الصحية والأوبئة</w:t>
      </w:r>
      <w:bookmarkEnd w:id="20"/>
    </w:p>
    <w:p w14:paraId="39776AA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تكتسب إدارة مخاطر الكوارث الصحية والأوبئة أهميتها من طبيعة القطاع الصحي ذاته بوصفه القطاع المسؤول عن حماية أغلى ما يملكه الإنسان وهو صحته وحياته، فضلاً عن كون الكوارث الصحية والأوبئة تمتاز بخصائص تجعلها من أخطر أنواع الأزمات وأكثرها تعقيداً، إذ تتسم بسرعة الانتشار وصعوبة التنبؤ بمساراتها وتأثيراتها المتشعبة التي تتجاوز البُعد الصحي لتطال الأبعاد الاقتصادية والاجتماعية والنفسية والأمنية. وقد عمّقت جائحة كوفيد-19 الوعي العالمي بأن القطاع الصحي غير المستعد لإدارة المخاطر يصبح هو ذاته مصدراً للمخاطر بدلاً من أن يكون حصناً ضدها</w:t>
      </w:r>
      <w:r w:rsidRPr="003177F3">
        <w:rPr>
          <w:rFonts w:ascii="Sakkal Majalla" w:hAnsi="Sakkal Majalla" w:cs="Sakkal Majalla"/>
          <w:color w:val="000000" w:themeColor="text1"/>
          <w:sz w:val="28"/>
          <w:szCs w:val="28"/>
        </w:rPr>
        <w:t>.</w:t>
      </w:r>
    </w:p>
    <w:p w14:paraId="35434E21"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ويشير القضاة والسبحي وحوباني (2023) إلى أن أهمية إدارة مخاطر الكوارث الصحية والأوبئة تتجلى في عدة جوانب جوهرية</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أولاً، أنها تُمكّن المؤسسات الصحية من الانتقال من نمط الاستجابة التفاعلية إلى نمط الاستعداد الاستباقي، مما يُقلّص الفجوة الزمنية بين وقوع الأزمة وبدء الاستجابة الفعالة لها. ثانياً، أنها تُسهم في ترشيد الموارد الصحية المحدودة من خلال توجيهها نحو الأولويات الأكثر إلحاحاً وفق منهجية علمية بدلاً من التوزيع العشوائي الذي يسود عادةً في حالات الأزمات. ثالثاً، أنها تُعزز قدرة المنظومة الصحية على التعلم من التجارب السابقة وتحويل الدروس المستفادة إلى سياسات وإجراءات مؤسسية تُحصّن القطاع ضد التهديدات المستقبلية</w:t>
      </w:r>
      <w:r w:rsidRPr="003177F3">
        <w:rPr>
          <w:rFonts w:ascii="Sakkal Majalla" w:hAnsi="Sakkal Majalla" w:cs="Sakkal Majalla"/>
          <w:color w:val="000000" w:themeColor="text1"/>
          <w:sz w:val="28"/>
          <w:szCs w:val="28"/>
        </w:rPr>
        <w:t>.</w:t>
      </w:r>
    </w:p>
    <w:p w14:paraId="72190A1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ويرى</w:t>
      </w:r>
      <w:r w:rsidRPr="003177F3">
        <w:rPr>
          <w:rFonts w:ascii="Sakkal Majalla" w:hAnsi="Sakkal Majalla" w:cs="Sakkal Majalla"/>
          <w:color w:val="000000" w:themeColor="text1"/>
          <w:sz w:val="28"/>
          <w:szCs w:val="28"/>
        </w:rPr>
        <w:t xml:space="preserve"> Aven (2021) </w:t>
      </w:r>
      <w:r w:rsidRPr="003177F3">
        <w:rPr>
          <w:rFonts w:ascii="Sakkal Majalla" w:hAnsi="Sakkal Majalla" w:cs="Sakkal Majalla"/>
          <w:color w:val="000000" w:themeColor="text1"/>
          <w:sz w:val="28"/>
          <w:szCs w:val="28"/>
          <w:rtl/>
        </w:rPr>
        <w:t>أن أهمية إدارة المخاطر في المنظمات المعاصرة تنبع من كونها تُشكّل الأساس الذي تُبنى عليه القرارات الاستراتيجية في ظل حالات عدم اليقين المتزايدة، وأن تطور هذا الحقل المعرفي أصبح ضرورة ملحّة في ضوء التعقيد المتنامي للمخاطر وتشابك مصادرها وتداعياتها عبر القطاعات المختلفة. ويُضيف أن أهمية إدارة المخاطر تتعاظم في القطاعات ذات الحساسية العالية كالقطاع الصحي، حيث يترتب على الإخفاق في إدارة المخاطر خسائر بشرية لا يمكن تعويضها</w:t>
      </w:r>
      <w:r w:rsidRPr="003177F3">
        <w:rPr>
          <w:rFonts w:ascii="Sakkal Majalla" w:hAnsi="Sakkal Majalla" w:cs="Sakkal Majalla"/>
          <w:color w:val="000000" w:themeColor="text1"/>
          <w:sz w:val="28"/>
          <w:szCs w:val="28"/>
        </w:rPr>
        <w:t>.</w:t>
      </w:r>
    </w:p>
    <w:p w14:paraId="45A45CAF"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كما يرى صادق (2022) أن أهمية إدارة مخاطر الأوبئة الصحية تتجاوز الإطار المؤسسي للمنظمات الصحية لتشمل البُعد المجتمعي الأوسع، إذ أن فاعلية إدارة المخاطر تنعكس مباشرة على مستوى الثقافة الصحية في المجتمع وقدرة أفراده على حماية أنفسهم والمشاركة الإيجابية في جهود المواجهة. ويؤكد أن تطوير إدارة الأزمات للحد من مخاطر الأوبئة يُعدّ استثماراً مجتمعياً بعيد المدى يتجاوز عوائده المباشرة ليُسهم في بناء مجتمعات أكثر وعياً وقدرة على الصمود</w:t>
      </w:r>
      <w:r w:rsidRPr="003177F3">
        <w:rPr>
          <w:rFonts w:ascii="Sakkal Majalla" w:hAnsi="Sakkal Majalla" w:cs="Sakkal Majalla"/>
          <w:color w:val="000000" w:themeColor="text1"/>
          <w:sz w:val="28"/>
          <w:szCs w:val="28"/>
        </w:rPr>
        <w:t>.</w:t>
      </w:r>
    </w:p>
    <w:p w14:paraId="4D84811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وفي ذات الاتجاه، يُبرز عثمان وآل جحني</w:t>
      </w:r>
      <w:r w:rsidRPr="003177F3">
        <w:rPr>
          <w:rFonts w:ascii="Sakkal Majalla" w:hAnsi="Sakkal Majalla" w:cs="Sakkal Majalla"/>
          <w:color w:val="000000" w:themeColor="text1"/>
          <w:sz w:val="28"/>
          <w:szCs w:val="28"/>
        </w:rPr>
        <w:t xml:space="preserve"> (2023) </w:t>
      </w:r>
      <w:r w:rsidRPr="003177F3">
        <w:rPr>
          <w:rFonts w:ascii="Sakkal Majalla" w:hAnsi="Sakkal Majalla" w:cs="Sakkal Majalla"/>
          <w:color w:val="000000" w:themeColor="text1"/>
          <w:sz w:val="28"/>
          <w:szCs w:val="28"/>
          <w:rtl/>
        </w:rPr>
        <w:t>أهمية إدارة المخاطر الصحية من زاوية مختلفة تتعلق بالأحداث الكبرى والتجمعات الجماهيرية، حيث تتضاعف المخاطر الصحية بفعل الكثافة البشرية العالية وتنوع الخلفيات الجغرافية والصحية للمشاركين، مما يستوجب منظومة إدارة مخاطر عالية الكفاءة قادرة على التعامل مع سيناريوهات متعددة ومتزامنة. ويُعزز هذا المنظور أهمية إدارة المخاطر الصحية بوصفها وظيفة مستمرة لا تقتصر على أوقات الأوبئة بل تمتد لتشمل كافة الظروف والسياقات التي يعمل فيها القطاع الصحي</w:t>
      </w:r>
      <w:r w:rsidRPr="003177F3">
        <w:rPr>
          <w:rFonts w:ascii="Sakkal Majalla" w:hAnsi="Sakkal Majalla" w:cs="Sakkal Majalla"/>
          <w:color w:val="000000" w:themeColor="text1"/>
          <w:sz w:val="28"/>
          <w:szCs w:val="28"/>
        </w:rPr>
        <w:t>.</w:t>
      </w:r>
    </w:p>
    <w:p w14:paraId="2110F2B2" w14:textId="02BEB03F"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23814213"/>
      <w:r w:rsidRPr="003177F3">
        <w:rPr>
          <w:rFonts w:ascii="Sakkal Majalla" w:hAnsi="Sakkal Majalla" w:cs="Sakkal Majalla" w:hint="cs"/>
          <w:b/>
          <w:bCs/>
          <w:color w:val="000000" w:themeColor="text1"/>
          <w:sz w:val="32"/>
          <w:szCs w:val="32"/>
          <w:rtl/>
        </w:rPr>
        <w:t xml:space="preserve">4.1.2 </w:t>
      </w:r>
      <w:r w:rsidR="00AF2B09" w:rsidRPr="003177F3">
        <w:rPr>
          <w:rFonts w:ascii="Sakkal Majalla" w:hAnsi="Sakkal Majalla" w:cs="Sakkal Majalla"/>
          <w:b/>
          <w:bCs/>
          <w:color w:val="000000" w:themeColor="text1"/>
          <w:sz w:val="32"/>
          <w:szCs w:val="32"/>
          <w:rtl/>
        </w:rPr>
        <w:t>أهداف إدارة مخاطر الكوارث الصحية والأوبئة</w:t>
      </w:r>
      <w:bookmarkEnd w:id="21"/>
    </w:p>
    <w:p w14:paraId="223B6D35"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تتعدد أهداف إدارة مخاطر الكوارث الصحية والأوبئة وتتنوع وفقاً للمنظور الذي ينطلق منه كل باحث والسياق المؤسسي الذي يتناوله، غير أنها تتقاطع في مجملها حول غاية كبرى تتمثل في تعزيز قدرة المنظومة الصحية على حماية الصحة العامة وضمان استمرارية خدماتها في مواجهة التهديدات والأزمات. وفيما يلي عرض لأبرز الأهداف التي حددتها الأدبيات ذات الصلة</w:t>
      </w:r>
      <w:r w:rsidRPr="003177F3">
        <w:rPr>
          <w:rFonts w:ascii="Sakkal Majalla" w:hAnsi="Sakkal Majalla" w:cs="Sakkal Majalla"/>
          <w:color w:val="000000" w:themeColor="text1"/>
          <w:sz w:val="28"/>
          <w:szCs w:val="28"/>
        </w:rPr>
        <w:t>:</w:t>
      </w:r>
    </w:p>
    <w:p w14:paraId="5CD95C39"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يرى موسى (2025) أن أهداف إدارة المخاطر الصحية وفقاً لإطار المواصفة الدولية</w:t>
      </w:r>
      <w:r w:rsidRPr="003177F3">
        <w:rPr>
          <w:rFonts w:ascii="Sakkal Majalla" w:hAnsi="Sakkal Majalla" w:cs="Sakkal Majalla"/>
          <w:color w:val="000000" w:themeColor="text1"/>
          <w:sz w:val="28"/>
          <w:szCs w:val="28"/>
        </w:rPr>
        <w:t xml:space="preserve"> (ISO 31000:2018) </w:t>
      </w:r>
      <w:r w:rsidRPr="003177F3">
        <w:rPr>
          <w:rFonts w:ascii="Sakkal Majalla" w:hAnsi="Sakkal Majalla" w:cs="Sakkal Majalla"/>
          <w:color w:val="000000" w:themeColor="text1"/>
          <w:sz w:val="28"/>
          <w:szCs w:val="28"/>
          <w:rtl/>
        </w:rPr>
        <w:t>تتمحور حول ثلاثة أهداف رئيسية: أولاً، إنشاء منظومة مؤسسية منهجية لتحديد المخاطر وتصنيفها وتقييم مستوى خطورتها وفق معايير موحدة وقابلة للقياس. ثانياً، تطوير آليات معالجة المخاطر التي تتراوح بين تجنب المخاطر ونقلها وتخفيفها وقبولها وفقاً لطبيعة كل خطر ومستوى تأثيره. ثالثاً، ضمان المراجعة والتحسين المستمر لمنظومة إدارة المخاطر من خلال الرصد الدوري والتقييم المنتظم والتعلم من التجارب</w:t>
      </w:r>
      <w:r w:rsidRPr="003177F3">
        <w:rPr>
          <w:rFonts w:ascii="Sakkal Majalla" w:hAnsi="Sakkal Majalla" w:cs="Sakkal Majalla"/>
          <w:color w:val="000000" w:themeColor="text1"/>
          <w:sz w:val="28"/>
          <w:szCs w:val="28"/>
        </w:rPr>
        <w:t>.</w:t>
      </w:r>
    </w:p>
    <w:p w14:paraId="19B3EBF9"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ويُضيف الحسيب والنيف (2025) من خلال تناولهما لأثر الوعي الاستراتيجي في التعامل مع الأزمات والكوارث الصحية أهدافاً ترتبط بالبُعد المعرفي والإدراكي لإدارة المخاطر، تتمثل في: أولاً، تنمية الوعي الاستراتيجي لدى القيادات والكوادر الصحية بطبيعة المخاطر وديناميكياتها وسبل التعامل معها. ثانياً، بناء ثقافة مؤسسية داعمة لإدارة المخاطر تجعل من الاستعداد للأزمات سلوكاً مؤسسياً يومياً وليس مجرد استجابة طارئة. ثالثاً، تعزيز القدرة على اتخاذ القرارات الاستراتيجية السريعة والرشيدة في ظل ضغوط الأزمات وحالات عدم اليقين</w:t>
      </w:r>
      <w:r w:rsidRPr="003177F3">
        <w:rPr>
          <w:rFonts w:ascii="Sakkal Majalla" w:hAnsi="Sakkal Majalla" w:cs="Sakkal Majalla"/>
          <w:color w:val="000000" w:themeColor="text1"/>
          <w:sz w:val="28"/>
          <w:szCs w:val="28"/>
        </w:rPr>
        <w:t>.</w:t>
      </w:r>
    </w:p>
    <w:p w14:paraId="26706D3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يُحدد الحكيمي وأبو طالب (2025) أهدافاً تتصل بالبُعد التشغيلي لإدارة المخاطر الصحية في سياق تحسين جودة الخدمات الصحية المقدمة، وتشمل: أولاً، الحد من الأخطاء الطبية والمخاطر المرتبطة بسلامة المرضى من خلال إرساء نُظم رقابة ومتابعة فعالة. ثانياً، تحسين بيئة العمل الصحية وحماية الكوادر الطبية والتمريضية من المخاطر المهنية لا سيما أثناء التعامل مع الأوبئة. ثالثاً، ضمان استمرارية تقديم الخدمات الصحية بمستوى جودة مقبول حتى في أشد الظروف صعوبة</w:t>
      </w:r>
      <w:r w:rsidRPr="003177F3">
        <w:rPr>
          <w:rFonts w:ascii="Sakkal Majalla" w:hAnsi="Sakkal Majalla" w:cs="Sakkal Majalla"/>
          <w:color w:val="000000" w:themeColor="text1"/>
          <w:sz w:val="28"/>
          <w:szCs w:val="28"/>
        </w:rPr>
        <w:t>.</w:t>
      </w:r>
    </w:p>
    <w:p w14:paraId="421A0AC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ومن منظور أوسع، يُشير</w:t>
      </w:r>
      <w:r w:rsidRPr="003177F3">
        <w:rPr>
          <w:rFonts w:ascii="Sakkal Majalla" w:hAnsi="Sakkal Majalla" w:cs="Sakkal Majalla"/>
          <w:color w:val="000000" w:themeColor="text1"/>
          <w:sz w:val="28"/>
          <w:szCs w:val="28"/>
        </w:rPr>
        <w:t xml:space="preserve"> Nuzzo et al. (2020) </w:t>
      </w:r>
      <w:r w:rsidRPr="003177F3">
        <w:rPr>
          <w:rFonts w:ascii="Sakkal Majalla" w:hAnsi="Sakkal Majalla" w:cs="Sakkal Majalla"/>
          <w:color w:val="000000" w:themeColor="text1"/>
          <w:sz w:val="28"/>
          <w:szCs w:val="28"/>
          <w:rtl/>
        </w:rPr>
        <w:t>إلى أن أهداف الاستعداد لمواجهة الأوبئة عالية التأثير تتضمن: أولاً، بناء قدرات الرصد والإنذار المبكر القادرة على اكتشاف التهديدات الصحية في مراحلها الأولى. ثانياً، تطوير قدرات الاستجابة الطبية بما يشمل توفير الإمدادات الاستراتيجية والكوادر المدربة والمرافق المجهزة. ثالثاً، تعزيز التنسيق بين القطاعات والمستويات الإدارية المختلفة لضمان استجابة متكاملة ومنسقة</w:t>
      </w:r>
      <w:r w:rsidRPr="003177F3">
        <w:rPr>
          <w:rFonts w:ascii="Sakkal Majalla" w:hAnsi="Sakkal Majalla" w:cs="Sakkal Majalla"/>
          <w:color w:val="000000" w:themeColor="text1"/>
          <w:sz w:val="28"/>
          <w:szCs w:val="28"/>
        </w:rPr>
        <w:t>.</w:t>
      </w:r>
    </w:p>
    <w:p w14:paraId="667DCE0C" w14:textId="0825B191"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23814214"/>
      <w:r w:rsidRPr="003177F3">
        <w:rPr>
          <w:rFonts w:ascii="Sakkal Majalla" w:hAnsi="Sakkal Majalla" w:cs="Sakkal Majalla" w:hint="cs"/>
          <w:b/>
          <w:bCs/>
          <w:color w:val="000000" w:themeColor="text1"/>
          <w:sz w:val="32"/>
          <w:szCs w:val="32"/>
          <w:rtl/>
        </w:rPr>
        <w:t xml:space="preserve">5.1.2 </w:t>
      </w:r>
      <w:r w:rsidR="00AF2B09" w:rsidRPr="003177F3">
        <w:rPr>
          <w:rFonts w:ascii="Sakkal Majalla" w:hAnsi="Sakkal Majalla" w:cs="Sakkal Majalla"/>
          <w:b/>
          <w:bCs/>
          <w:color w:val="000000" w:themeColor="text1"/>
          <w:sz w:val="32"/>
          <w:szCs w:val="32"/>
          <w:rtl/>
        </w:rPr>
        <w:t>أبعاد إدارة مخاطر الكوارث الصحية والأوبئة</w:t>
      </w:r>
      <w:bookmarkEnd w:id="22"/>
    </w:p>
    <w:p w14:paraId="03567E7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تم تحديد أبعاد المتغير المستقل في هذه الدراسة بناءً على المراجعة المعمّقة للأدبيات والدراسات ذات الصلة، ولا سيما ما طرحته دراسة القضاة والسبحي وحوباني (2023) حول التغييرات الاستراتيجية المتبناة في المركز الوطني لإدارة الأزمات والكوارث الصحية السعودي، ودراسة البقمي وشرقي (2025) حول دور اليقظة الاستراتيجية في إدارة المخاطر، ودراسة العنزي والنيف (2025) حول أثر الجاهزية الإلكترونية في إدارة الأزمات والكوارث الصحية، فضلاً عن الإطار الذي قدمه</w:t>
      </w:r>
      <w:r w:rsidRPr="003177F3">
        <w:rPr>
          <w:rFonts w:ascii="Sakkal Majalla" w:hAnsi="Sakkal Majalla" w:cs="Sakkal Majalla"/>
          <w:color w:val="000000" w:themeColor="text1"/>
          <w:sz w:val="28"/>
          <w:szCs w:val="28"/>
        </w:rPr>
        <w:t xml:space="preserve"> Nuzzo et al. (2020) </w:t>
      </w:r>
      <w:r w:rsidRPr="003177F3">
        <w:rPr>
          <w:rFonts w:ascii="Sakkal Majalla" w:hAnsi="Sakkal Majalla" w:cs="Sakkal Majalla"/>
          <w:color w:val="000000" w:themeColor="text1"/>
          <w:sz w:val="28"/>
          <w:szCs w:val="28"/>
          <w:rtl/>
        </w:rPr>
        <w:t xml:space="preserve">حول الاستعداد </w:t>
      </w:r>
      <w:r w:rsidRPr="003177F3">
        <w:rPr>
          <w:rFonts w:ascii="Sakkal Majalla" w:hAnsi="Sakkal Majalla" w:cs="Sakkal Majalla"/>
          <w:color w:val="000000" w:themeColor="text1"/>
          <w:sz w:val="28"/>
          <w:szCs w:val="28"/>
          <w:rtl/>
        </w:rPr>
        <w:lastRenderedPageBreak/>
        <w:t>لمواجهة الأوبئة التنفسية عالية التأثير. وقد أفضت هذه المراجعة إلى تحديد أربعة أبعاد رئيسية تُشكّل في مجموعها منظومة متكاملة لإدارة مخاطر الكوارث الصحية والأوبئة، وفيما يلي عرض تفصيلي لكل بُعد</w:t>
      </w:r>
      <w:r w:rsidRPr="003177F3">
        <w:rPr>
          <w:rFonts w:ascii="Sakkal Majalla" w:hAnsi="Sakkal Majalla" w:cs="Sakkal Majalla"/>
          <w:color w:val="000000" w:themeColor="text1"/>
          <w:sz w:val="28"/>
          <w:szCs w:val="28"/>
        </w:rPr>
        <w:t>:</w:t>
      </w:r>
    </w:p>
    <w:p w14:paraId="283DBE52" w14:textId="77777777" w:rsidR="00AF2B09" w:rsidRPr="003177F3" w:rsidRDefault="00AF2B09" w:rsidP="00F85192">
      <w:pPr>
        <w:spacing w:before="100" w:beforeAutospacing="1" w:after="100" w:afterAutospacing="1" w:line="360" w:lineRule="auto"/>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t>البُعد الأول: التخطيط الاستباقي للمخاطر</w:t>
      </w:r>
    </w:p>
    <w:p w14:paraId="63BB20A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يُمثل التخطيط الاستباقي للمخاطر حجر الأساس في منظومة إدارة مخاطر الكوارث الصحية والأوبئة، إذ يعكس قدرة المؤسسة الصحية على استشراف التهديدات المحتملة قبل وقوعها والاستعداد لها بشكل منهجي ومنظم. ويتجاوز هذا البُعد المفهوم التقليدي للتخطيط الذي يقتصر على وضع خطط مكتوبة ليشمل عملية ديناميكية مستمرة تتضمن الرصد البيئي والتحليل الاستراتيجي وبناء السيناريوهات وتخصيص الموارد وإجراء التدريبات والمحاكاة. وقد تناول داخل وجماعة وأبو زيد (2022) العلاقة بين التخطيط الاستراتيجي وفاعلية إدارة الأزمات والمخاطر في المنظمات الصحية العراقية، مركّزين على أبعاد صياغة الرؤية والرسالة وتحديد الأهداف الاستراتيجية والتحليل البيئي كمكونات أساسية للتخطيط، وهو ما يُبرز أهمية ربط التخطيط لإدارة المخاطر بالتوجه الاستراتيجي العام للمؤسسة الصحية وعدم التعامل معه بمعزل عن السياق المؤسسي الأشمل</w:t>
      </w:r>
      <w:r w:rsidRPr="003177F3">
        <w:rPr>
          <w:rFonts w:ascii="Sakkal Majalla" w:hAnsi="Sakkal Majalla" w:cs="Sakkal Majalla"/>
          <w:color w:val="000000" w:themeColor="text1"/>
          <w:sz w:val="28"/>
          <w:szCs w:val="28"/>
        </w:rPr>
        <w:t>.</w:t>
      </w:r>
    </w:p>
    <w:p w14:paraId="1CDFE6AF"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ويتضمن التخطيط الاستباقي للمخاطر عدة مكونات فرعية مترابطة تبدأ بتحديد المخاطر الصحية المحتملة من خلال مسح شامل للبيئة الداخلية والخارجية للمؤسسة الصحية، ثم تحليل هذه المخاطر من حيث احتمالية حدوثها وحجم تأثيرها المتوقع، يعقبها تقييم المخاطر وترتيب أولوياتها وفقاً لمصفوفة المخاطر، وصولاً إلى وضع خطط استجابة مسبقة لكل مستوى من مستويات المخاطر. وقد أكد المطيري (2023) على أن ممارسات تحليل المخاطر وتقديرها تُشكّلان مرحلتين حاسمتين في عملية التخطيط لإدارة المخاطر، حيث يتوقف نجاح خطط المعالجة على دقة التحليل وموضوعية التقدير</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كما يشمل التخطيط الاستباقي وضع سيناريوهات متعددة للاستجابة تراعي تنوع المخاطر وتفاوت حدّتها، وإجراء تمارين محاكاة دورية لاختبار فاعلية هذه السيناريوهات وكشف الثغرات فيها قبل وقوع الأزمات الحقيقية</w:t>
      </w:r>
      <w:r w:rsidRPr="003177F3">
        <w:rPr>
          <w:rFonts w:ascii="Sakkal Majalla" w:hAnsi="Sakkal Majalla" w:cs="Sakkal Majalla"/>
          <w:color w:val="000000" w:themeColor="text1"/>
          <w:sz w:val="28"/>
          <w:szCs w:val="28"/>
        </w:rPr>
        <w:t>.</w:t>
      </w:r>
    </w:p>
    <w:p w14:paraId="54A1766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ولا يكتمل التخطيط الاستباقي دون إيلاء الاهتمام الكافي للموارد البشرية والمادية اللازمة للاستجابة، وهو ما يُعرف بتخطيط القدرات. ويتضمن ذلك تحديد الاحتياجات من الكوادر المتخصصة </w:t>
      </w:r>
      <w:r w:rsidRPr="003177F3">
        <w:rPr>
          <w:rFonts w:ascii="Sakkal Majalla" w:hAnsi="Sakkal Majalla" w:cs="Sakkal Majalla"/>
          <w:color w:val="000000" w:themeColor="text1"/>
          <w:sz w:val="28"/>
          <w:szCs w:val="28"/>
          <w:rtl/>
        </w:rPr>
        <w:lastRenderedPageBreak/>
        <w:t>والمعدات الطبية والأدوية والمستلزمات الضرورية، وبناء مخزون استراتيجي كافٍ لمواجهة الأزمات المحتملة، وإبرام اتفاقيات شراكة مسبقة مع الموردين والجهات الداعمة. وقد أشار موسى (2021) إلى أن توافر البنية التحتية والإمكانيات المادية والفنية يُعدّ شرطاً أساسياً لفعالية التنظيمات الطبية في مواجهة المخاطر الصحية، مما يؤكد أن التخطيط الاستباقي يجب أن يتضمن بُعداً لوجستياً متكاملاً إلى جانب البُعد الاستراتيجي</w:t>
      </w:r>
      <w:r w:rsidRPr="003177F3">
        <w:rPr>
          <w:rFonts w:ascii="Sakkal Majalla" w:hAnsi="Sakkal Majalla" w:cs="Sakkal Majalla"/>
          <w:color w:val="000000" w:themeColor="text1"/>
          <w:sz w:val="28"/>
          <w:szCs w:val="28"/>
        </w:rPr>
        <w:t>.</w:t>
      </w:r>
    </w:p>
    <w:p w14:paraId="51483B69" w14:textId="77777777" w:rsidR="00AF2B09" w:rsidRPr="003177F3" w:rsidRDefault="00AF2B09" w:rsidP="00F85192">
      <w:pPr>
        <w:spacing w:before="100" w:beforeAutospacing="1" w:after="100" w:afterAutospacing="1" w:line="360" w:lineRule="auto"/>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t>البُعد الثاني: الاستجابة السريعة والتنسيق المؤسسي</w:t>
      </w:r>
    </w:p>
    <w:p w14:paraId="5B1C1DDC"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يُعبّر بُعد الاستجابة السريعة والتنسيق المؤسسي عن قدرة المنظومة الصحية على تفعيل خطط الطوارئ بكفاءة عالية وفي أقصر وقت ممكن عند وقوع الكوارث الصحية أو اندلاع الأوبئة، مع ضمان تنسيق محكم بين جميع الأطراف والمستويات المعنية بالاستجابة. ويرتكز هذا البُعد على فرضية مفادها أن سرعة الاستجابة وجودة التنسيق في الساعات والأيام الأولى من الأزمة تُحدد إلى حد بعيد مسارها ونتائجها النهائية، وأن أي تأخر أو تشتت في الاستجابة يُفضي إلى تفاقم الأزمة وتضاعف تداعياتها</w:t>
      </w:r>
      <w:r w:rsidRPr="003177F3">
        <w:rPr>
          <w:rFonts w:ascii="Sakkal Majalla" w:hAnsi="Sakkal Majalla" w:cs="Sakkal Majalla"/>
          <w:color w:val="000000" w:themeColor="text1"/>
          <w:sz w:val="28"/>
          <w:szCs w:val="28"/>
        </w:rPr>
        <w:t>.</w:t>
      </w:r>
    </w:p>
    <w:p w14:paraId="60B25E48"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وتتضمن الاستجابة السريعة عدة مكونات تشغيلية متكاملة تشمل تفعيل غرف العمليات الطارئة وتنشيط بروتوكولات الاستجابة المعدة مسبقاً وتعبئة الموارد البشرية والمادية وتشكيل فرق الاستجابة المتخصصة وتأمين سلاسل الإمداد الطبي. وقد تناولت العجلة وأبو معمر</w:t>
      </w:r>
      <w:r w:rsidRPr="003177F3">
        <w:rPr>
          <w:rFonts w:ascii="Sakkal Majalla" w:hAnsi="Sakkal Majalla" w:cs="Sakkal Majalla"/>
          <w:color w:val="000000" w:themeColor="text1"/>
          <w:sz w:val="28"/>
          <w:szCs w:val="28"/>
        </w:rPr>
        <w:t xml:space="preserve"> (2022) </w:t>
      </w:r>
      <w:r w:rsidRPr="003177F3">
        <w:rPr>
          <w:rFonts w:ascii="Sakkal Majalla" w:hAnsi="Sakkal Majalla" w:cs="Sakkal Majalla"/>
          <w:color w:val="000000" w:themeColor="text1"/>
          <w:sz w:val="28"/>
          <w:szCs w:val="28"/>
          <w:rtl/>
        </w:rPr>
        <w:t>الاستراتيجيات الحديثة في إدارة الأزمات وأثرها على استمرارية الأعمال في المنظمات الصحية غير الحكومية في قطاع غزة، وهو سياق يتسم بتحديات استثنائية تفرض ضغوطاً هائلة على قدرات الاستجابة، مما يُبرز أن فاعلية الاستجابة لا ترتبط فقط بحجم الموارد المتاحة بل أيضاً بمستوى التنظيم والمرونة المؤسسية</w:t>
      </w:r>
      <w:r w:rsidRPr="003177F3">
        <w:rPr>
          <w:rFonts w:ascii="Sakkal Majalla" w:hAnsi="Sakkal Majalla" w:cs="Sakkal Majalla"/>
          <w:color w:val="000000" w:themeColor="text1"/>
          <w:sz w:val="28"/>
          <w:szCs w:val="28"/>
        </w:rPr>
        <w:t>.</w:t>
      </w:r>
    </w:p>
    <w:p w14:paraId="35D7D66F"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أما التنسيق المؤسسي فيُشير إلى آليات التواصل والتكامل بين مختلف الجهات والمستويات المشاركة في الاستجابة للكوارث الصحية، سواء داخل المؤسسة الصحية ذاتها بين أقسامها ووحداتها المختلفة، أو بينها وبين المؤسسات الصحية الأخرى والجهات الحكومية والقطاع الخاص ومنظمات المجتمع المدني. ويتطلب التنسيق الفعال وضوحاً في الأدوار والمسؤوليات وسلاسل القيادة والإبلاغ، وقنوات اتصال موثوقة ومتعددة، وبروتوكولات عمل مشتركة متفق عليها مسبقاً. وقد أشار</w:t>
      </w:r>
      <w:r w:rsidRPr="003177F3">
        <w:rPr>
          <w:rFonts w:ascii="Sakkal Majalla" w:hAnsi="Sakkal Majalla" w:cs="Sakkal Majalla"/>
          <w:color w:val="000000" w:themeColor="text1"/>
          <w:sz w:val="28"/>
          <w:szCs w:val="28"/>
        </w:rPr>
        <w:t xml:space="preserve"> Hughes et al. (2022) </w:t>
      </w:r>
      <w:r w:rsidRPr="003177F3">
        <w:rPr>
          <w:rFonts w:ascii="Sakkal Majalla" w:hAnsi="Sakkal Majalla" w:cs="Sakkal Majalla"/>
          <w:color w:val="000000" w:themeColor="text1"/>
          <w:sz w:val="28"/>
          <w:szCs w:val="28"/>
          <w:rtl/>
        </w:rPr>
        <w:t xml:space="preserve">إلى أن </w:t>
      </w:r>
      <w:r w:rsidRPr="003177F3">
        <w:rPr>
          <w:rFonts w:ascii="Sakkal Majalla" w:hAnsi="Sakkal Majalla" w:cs="Sakkal Majalla"/>
          <w:color w:val="000000" w:themeColor="text1"/>
          <w:sz w:val="28"/>
          <w:szCs w:val="28"/>
          <w:rtl/>
        </w:rPr>
        <w:lastRenderedPageBreak/>
        <w:t>تحديات التنسيق والاتصال تُعدّ من أبرز العوائق التي تواجه الاستجابة الفعالة لحالات الطوارئ الصحية العامة، وأن الدروس المستفادة من جائحة كوفيد-19 تؤكد ضرورة إعادة هندسة آليات التنسيق لتكون أكثر مرونة وفاعلية</w:t>
      </w:r>
      <w:r w:rsidRPr="003177F3">
        <w:rPr>
          <w:rFonts w:ascii="Sakkal Majalla" w:hAnsi="Sakkal Majalla" w:cs="Sakkal Majalla"/>
          <w:color w:val="000000" w:themeColor="text1"/>
          <w:sz w:val="28"/>
          <w:szCs w:val="28"/>
        </w:rPr>
        <w:t>.</w:t>
      </w:r>
    </w:p>
    <w:p w14:paraId="344A37D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ويتصل بالتنسيق المؤسسي مفهوم القيادة في الأزمات، حيث يتطلب التعامل مع الكوارث الصحية نمطاً قيادياً يجمع بين الحسم والمرونة وسرعة اتخاذ القرار والقدرة على إدارة فرق متعددة التخصصات تحت ضغوط شديدة. وقد أبرز القضاة والسبحي وحوباني (2023) أن التغييرات الاستراتيجية التي اعتمدها المركز الوطني السعودي لإدارة الأزمات والكوارث الصحية بعد جائحة كوفيد-19 تضمنت إعادة هيكلة لآليات التنسيق والقيادة بما يضمن سرعة الاستجابة وشمولية التغطية، وهو ما يعكس التطور في فهم العلاقة بين القيادة والتنسيق المؤسسي وفاعلية إدارة الأزمات الصحية</w:t>
      </w:r>
      <w:r w:rsidRPr="003177F3">
        <w:rPr>
          <w:rFonts w:ascii="Sakkal Majalla" w:hAnsi="Sakkal Majalla" w:cs="Sakkal Majalla"/>
          <w:color w:val="000000" w:themeColor="text1"/>
          <w:sz w:val="28"/>
          <w:szCs w:val="28"/>
        </w:rPr>
        <w:t>.</w:t>
      </w:r>
    </w:p>
    <w:p w14:paraId="1E4D12F1" w14:textId="77777777" w:rsidR="00AF2B09" w:rsidRPr="003177F3" w:rsidRDefault="00AF2B09" w:rsidP="00F85192">
      <w:pPr>
        <w:spacing w:before="100" w:beforeAutospacing="1" w:after="100" w:afterAutospacing="1" w:line="360" w:lineRule="auto"/>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t>البُعد الثالث: اتصال المخاطر والتوعية المجتمعية</w:t>
      </w:r>
    </w:p>
    <w:p w14:paraId="0DDC673E"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يُشكّل اتصال المخاطر والتوعية المجتمعية بُعداً محورياً في إدارة مخاطر الكوارث الصحية والأوبئة، ينطلق من حقيقة مفادها أن نجاح جهود المواجهة يتوقف بدرجة كبيرة على مدى وعي المجتمع بطبيعة المخاطر وثقته بالمؤسسات القائمة على إدارتها والتزامه بالإجراءات الوقائية والاحترازية. ويتجاوز اتصال المخاطر مفهوم الإعلام الصحي التقليدي ليشمل عملية تفاعلية ثنائية الاتجاه تتضمن الإنصات لمخاوف الجمهور والاستجابة لتساؤلاته وإشراكه في عملية صنع القرار المتعلق بصحته</w:t>
      </w:r>
      <w:r w:rsidRPr="003177F3">
        <w:rPr>
          <w:rFonts w:ascii="Sakkal Majalla" w:hAnsi="Sakkal Majalla" w:cs="Sakkal Majalla"/>
          <w:color w:val="000000" w:themeColor="text1"/>
          <w:sz w:val="28"/>
          <w:szCs w:val="28"/>
        </w:rPr>
        <w:t>.</w:t>
      </w:r>
    </w:p>
    <w:p w14:paraId="5B71782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وقد تناول بن لعربي (2022) استراتيجيات اتصال المخاطرات الصحية وفق نموذج</w:t>
      </w:r>
      <w:r w:rsidRPr="003177F3">
        <w:rPr>
          <w:rFonts w:ascii="Sakkal Majalla" w:hAnsi="Sakkal Majalla" w:cs="Sakkal Majalla"/>
          <w:color w:val="000000" w:themeColor="text1"/>
          <w:sz w:val="28"/>
          <w:szCs w:val="28"/>
        </w:rPr>
        <w:t xml:space="preserve"> (CERC) </w:t>
      </w:r>
      <w:r w:rsidRPr="003177F3">
        <w:rPr>
          <w:rFonts w:ascii="Sakkal Majalla" w:hAnsi="Sakkal Majalla" w:cs="Sakkal Majalla"/>
          <w:color w:val="000000" w:themeColor="text1"/>
          <w:sz w:val="28"/>
          <w:szCs w:val="28"/>
          <w:rtl/>
        </w:rPr>
        <w:t>الذي طورته مراكز السيطرة على الأمراض والوقاية منها في الولايات المتحدة الأمريكية، والذي يُقدم تسع استراتيجيات اتصالية متدرجة عبر خمس مراحل لإدارة الأزمات تبدأ بمرحلة ما قبل الأزمة وتمر بمرحلة الحدث الأولي ومرحلة الصيانة ومرحلة الحل وصولاً إلى مرحلة التقييم. ويُركّز هذا النموذج على أن الاتصال الفعال يجب أن يبدأ قبل وقت طويل من اندلاع الأزمة ويستمر بعد انحسار التهديد المباشر، مما يعني أن اتصال المخاطر هو عملية مستمرة وليس مجرد استجابة آنية</w:t>
      </w:r>
      <w:r w:rsidRPr="003177F3">
        <w:rPr>
          <w:rFonts w:ascii="Sakkal Majalla" w:hAnsi="Sakkal Majalla" w:cs="Sakkal Majalla"/>
          <w:color w:val="000000" w:themeColor="text1"/>
          <w:sz w:val="28"/>
          <w:szCs w:val="28"/>
        </w:rPr>
        <w:t>.</w:t>
      </w:r>
    </w:p>
    <w:p w14:paraId="2B1A9C8D"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وفي سياق التحولات التي أحدثتها وسائل التواصل الاجتماعي في ديناميكيات اتصال المخاطر، أشار</w:t>
      </w:r>
      <w:r w:rsidRPr="003177F3">
        <w:rPr>
          <w:rFonts w:ascii="Sakkal Majalla" w:hAnsi="Sakkal Majalla" w:cs="Sakkal Majalla"/>
          <w:color w:val="000000" w:themeColor="text1"/>
          <w:sz w:val="28"/>
          <w:szCs w:val="28"/>
        </w:rPr>
        <w:t xml:space="preserve"> Malecki et al. (2021) </w:t>
      </w:r>
      <w:r w:rsidRPr="003177F3">
        <w:rPr>
          <w:rFonts w:ascii="Sakkal Majalla" w:hAnsi="Sakkal Majalla" w:cs="Sakkal Majalla"/>
          <w:color w:val="000000" w:themeColor="text1"/>
          <w:sz w:val="28"/>
          <w:szCs w:val="28"/>
          <w:rtl/>
        </w:rPr>
        <w:t>إلى أن الإدراك العام للمخاطر الصحية يتشكل من تفاعل عاملين هما الخطر الفعلي ودرجة الغضب العام، وأن وسائل التواصل الاجتماعي تلعب دوراً مزدوجاً في هذا التفاعل حيث تُتيح من جهة نشر المعلومات الصحيحة بسرعة كبيرة ومن جهة أخرى تُسهّل انتشار المعلومات المضللة التي تُفاقم حالة الغضب والارتباك. وهذا يفرض على المؤسسات الصحية تطوير استراتيجيات اتصال مبتكرة تتلاءم مع البيئة الرقمية الجديدة وتستبق موجات المعلومات المضللة بدلاً من مجرد التفاعل معها</w:t>
      </w:r>
      <w:r w:rsidRPr="003177F3">
        <w:rPr>
          <w:rFonts w:ascii="Sakkal Majalla" w:hAnsi="Sakkal Majalla" w:cs="Sakkal Majalla"/>
          <w:color w:val="000000" w:themeColor="text1"/>
          <w:sz w:val="28"/>
          <w:szCs w:val="28"/>
        </w:rPr>
        <w:t>.</w:t>
      </w:r>
    </w:p>
    <w:p w14:paraId="36F48BCA"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تناول معياش وراشدي (2021) اتصال المخاطر ودوره في إدارة الأزمة الصحية العالمية من منظور إثنومتدولوجي، مستكشفين كيفية تلقي المجتمعات المحلية للرسائل الصحية وتأويلها والتفاعل معها في سياقاتها الثقافية والاجتماعية الخاصة. ويُسهم هذا المنظور في فهم أن اتصال المخاطر ليس عملية تقنية محايدة بل هو نشاط اجتماعي وثقافي يتأثر بالقيم والمعتقدات والبنى الاجتماعية السائدة، مما يستوجب تصميم رسائل توعوية مراعية للخصوصيات الثقافية والاجتماعية للمجتمعات المستهدفة</w:t>
      </w:r>
      <w:r w:rsidRPr="003177F3">
        <w:rPr>
          <w:rFonts w:ascii="Sakkal Majalla" w:hAnsi="Sakkal Majalla" w:cs="Sakkal Majalla"/>
          <w:color w:val="000000" w:themeColor="text1"/>
          <w:sz w:val="28"/>
          <w:szCs w:val="28"/>
        </w:rPr>
        <w:t>.</w:t>
      </w:r>
    </w:p>
    <w:p w14:paraId="5EA3918F"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أما التوعية المجتمعية فتمثل الوجه التطبيقي لاتصال المخاطر، وتتضمن مجموعة البرامج والأنشطة التي تستهدف رفع مستوى الثقافة الصحية لدى أفراد المجتمع وتمكينهم من فهم طبيعة المخاطر الصحية واتخاذ الإجراءات الوقائية المناسبة. وقد أكد صادق (2022) على أن تنمية الثقافة الصحية المجتمعية تُعدّ آلية محورية للحد من مخاطر الأوبئة الصحية، وأن إشراك المجتمع في جهود المواجهة من خلال تنظيم المجتمع يُعزز فاعلية الاستجابة ويُقلّل من الاعتماد الكلي على المؤسسات الرسمية</w:t>
      </w:r>
      <w:r w:rsidRPr="003177F3">
        <w:rPr>
          <w:rFonts w:ascii="Sakkal Majalla" w:hAnsi="Sakkal Majalla" w:cs="Sakkal Majalla"/>
          <w:color w:val="000000" w:themeColor="text1"/>
          <w:sz w:val="28"/>
          <w:szCs w:val="28"/>
        </w:rPr>
        <w:t>.</w:t>
      </w:r>
    </w:p>
    <w:p w14:paraId="4413F83C" w14:textId="77777777" w:rsidR="00AF2B09" w:rsidRPr="003177F3" w:rsidRDefault="00AF2B09" w:rsidP="00F85192">
      <w:pPr>
        <w:spacing w:before="100" w:beforeAutospacing="1" w:after="100" w:afterAutospacing="1" w:line="360" w:lineRule="auto"/>
        <w:jc w:val="both"/>
        <w:rPr>
          <w:rFonts w:ascii="Sakkal Majalla" w:hAnsi="Sakkal Majalla" w:cs="Sakkal Majalla"/>
          <w:b/>
          <w:bCs/>
          <w:color w:val="000000" w:themeColor="text1"/>
          <w:sz w:val="28"/>
          <w:szCs w:val="28"/>
        </w:rPr>
      </w:pPr>
      <w:r w:rsidRPr="003177F3">
        <w:rPr>
          <w:rFonts w:ascii="Sakkal Majalla" w:hAnsi="Sakkal Majalla" w:cs="Sakkal Majalla"/>
          <w:b/>
          <w:bCs/>
          <w:color w:val="000000" w:themeColor="text1"/>
          <w:sz w:val="28"/>
          <w:szCs w:val="28"/>
          <w:rtl/>
        </w:rPr>
        <w:t>البُعد الرابع: التحول الرقمي والبنية التحتية التقنية</w:t>
      </w:r>
    </w:p>
    <w:p w14:paraId="4D26F51B"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يُجسّد بُعد التحول الرقمي والبنية التحتية التقنية الامتداد التكنولوجي لإدارة مخاطر الكوارث الصحية والأوبئة، ويعكس التحول النوعي الذي شهده هذا المجال بفعل الثورة الرقمية وتطور تقنيات المعلومات والاتصالات. ويُقصد بالتحول الرقمي في هذا السياق توظيف التقنيات الرقمية الحديثة بشكل منهجي ومتكامل في دعم عمليات الرصد والإنذار المبكر وتحليل البيانات الصحية الضخمة واتخاذ القرارات المبنية على الأدلة وتنسيق جهود الاستجابة والتواصل مع الجمهور</w:t>
      </w:r>
      <w:r w:rsidRPr="003177F3">
        <w:rPr>
          <w:rFonts w:ascii="Sakkal Majalla" w:hAnsi="Sakkal Majalla" w:cs="Sakkal Majalla"/>
          <w:color w:val="000000" w:themeColor="text1"/>
          <w:sz w:val="28"/>
          <w:szCs w:val="28"/>
        </w:rPr>
        <w:t>.</w:t>
      </w:r>
    </w:p>
    <w:p w14:paraId="6A95E87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وقد تناول العنزي والنيف (2025) أثر الجاهزية الإلكترونية في إدارة الأزمات والكوارث الصحية من خلال أبعاد البنية التحتية التقنية والكفاءات البشرية الرقمية والأنظمة والتطبيقات الإلكترونية، مؤكدين على أن التحول الرقمي في القطاع الصحي ليس مجرد أتمتة للعمليات التقليدية بل هو إعادة تصميم جذرية لنماذج العمل بما يُمكّن المؤسسات الصحية من تحقيق مستويات أعلى من الكفاءة والفاعلية في إدارة المخاطر. وتتضمن البنية التحتية التقنية اللازمة لذلك شبكات الاتصال عالية السرعة ومراكز البيانات ونظم المعلومات الصحية المتكاملة والسجلات الصحية الإلكترونية ومنصات التطبيب عن بُعد وأنظمة الترصد الوبائي الإلكتروني</w:t>
      </w:r>
      <w:r w:rsidRPr="003177F3">
        <w:rPr>
          <w:rFonts w:ascii="Sakkal Majalla" w:hAnsi="Sakkal Majalla" w:cs="Sakkal Majalla"/>
          <w:color w:val="000000" w:themeColor="text1"/>
          <w:sz w:val="28"/>
          <w:szCs w:val="28"/>
        </w:rPr>
        <w:t>.</w:t>
      </w:r>
    </w:p>
    <w:p w14:paraId="14033CE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وقد أبرز البقمي وشرقي (2025) الدور المحوري للتحول الرقمي في إدارة المخاطر من خلال استعراض تجربة المملكة العربية السعودية أثناء أزمة كوفيد-19، حيث وُظّفت أنظمة الإنذار المبكر وتحليل البيانات الضخمة في التنبؤ بمسارات الوباء، كما شكّل تطبيق "توكلنا</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نموذجاً بارزاً لتوظيف التقنية في إدارة الأزمات الصحية من خلال تتبع الحالات وإدارة التصاريح وتنظيم التنقل وتسهيل التواصل مع المواطنين. ويعكس هذا النموذج كيف يمكن للتحول الرقمي أن يُحدث نقلة نوعية في قدرات الاستجابة والتنسيق واتصال المخاطر عند توظيفه بشكل استراتيجي ومتكامل</w:t>
      </w:r>
      <w:r w:rsidRPr="003177F3">
        <w:rPr>
          <w:rFonts w:ascii="Sakkal Majalla" w:hAnsi="Sakkal Majalla" w:cs="Sakkal Majalla"/>
          <w:color w:val="000000" w:themeColor="text1"/>
          <w:sz w:val="28"/>
          <w:szCs w:val="28"/>
        </w:rPr>
        <w:t>.</w:t>
      </w:r>
    </w:p>
    <w:p w14:paraId="3945F1B6" w14:textId="7BDE562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يتصل بهذا البُعد توظيف تقنيات الذكاء الاصطناعي والتعلم الآلي في تحليل الأنماط الوبائية والتنبؤ بمسارات انتشار الأمراض ودعم القرارات السريرية والإدارية. وقد أشار برنو وشبوطي</w:t>
      </w:r>
      <w:r w:rsidRPr="003177F3">
        <w:rPr>
          <w:rFonts w:ascii="Sakkal Majalla" w:hAnsi="Sakkal Majalla" w:cs="Sakkal Majalla"/>
          <w:color w:val="000000" w:themeColor="text1"/>
          <w:sz w:val="28"/>
          <w:szCs w:val="28"/>
        </w:rPr>
        <w:t xml:space="preserve"> (2021) </w:t>
      </w:r>
      <w:r w:rsidRPr="003177F3">
        <w:rPr>
          <w:rFonts w:ascii="Sakkal Majalla" w:hAnsi="Sakkal Majalla" w:cs="Sakkal Majalla"/>
          <w:color w:val="000000" w:themeColor="text1"/>
          <w:sz w:val="28"/>
          <w:szCs w:val="28"/>
          <w:rtl/>
        </w:rPr>
        <w:t>إلى أن الأزمات الصحية تُفرز في الوقت ذاته مخاطر رقمية تتعلق بأمن المعلومات وخصوصية البيانات الصحية، مما يعني أن التحول الرقمي في إدارة المخاطر الصحية يجب أن يتضمن بُعداً أمنياً سيبرانياً يحمي البنية التحتية الرقمية والبيانات الحساسة من الاختراق والتلاعب. ويُضاف إلى ذلك ضرورة ضمان الشمولية الرقمية بحيث لا يُفضي التحول الرقمي إلى تهميش الفئات الأقل قدرة على استخدام التقنية، وهو ما يتطلب تصميم حلول تقنية سهلة الاستخدام ومتاحة لجميع شرائح المجتمع</w:t>
      </w:r>
      <w:r w:rsidRPr="003177F3">
        <w:rPr>
          <w:rFonts w:ascii="Sakkal Majalla" w:hAnsi="Sakkal Majalla" w:cs="Sakkal Majalla"/>
          <w:color w:val="000000" w:themeColor="text1"/>
          <w:sz w:val="28"/>
          <w:szCs w:val="28"/>
        </w:rPr>
        <w:t>.</w:t>
      </w:r>
    </w:p>
    <w:p w14:paraId="4B569714" w14:textId="795EF4B1" w:rsidR="00AF2B09" w:rsidRPr="003177F3" w:rsidRDefault="00F11D9B" w:rsidP="00F11D9B">
      <w:pPr>
        <w:spacing w:line="360" w:lineRule="auto"/>
        <w:outlineLvl w:val="2"/>
        <w:rPr>
          <w:rFonts w:ascii="Sakkal Majalla" w:hAnsi="Sakkal Majalla" w:cs="Sakkal Majalla"/>
          <w:b/>
          <w:bCs/>
          <w:color w:val="000000" w:themeColor="text1"/>
          <w:sz w:val="32"/>
          <w:szCs w:val="32"/>
        </w:rPr>
      </w:pPr>
      <w:r w:rsidRPr="003177F3">
        <w:rPr>
          <w:rFonts w:ascii="Sakkal Majalla" w:hAnsi="Sakkal Majalla" w:cs="Sakkal Majalla"/>
          <w:b/>
          <w:bCs/>
          <w:color w:val="000000" w:themeColor="text1"/>
          <w:sz w:val="32"/>
          <w:szCs w:val="32"/>
          <w:rtl/>
        </w:rPr>
        <w:br w:type="page"/>
      </w:r>
      <w:bookmarkStart w:id="23" w:name="_Toc223814215"/>
      <w:r w:rsidRPr="003177F3">
        <w:rPr>
          <w:rFonts w:ascii="Sakkal Majalla" w:hAnsi="Sakkal Majalla" w:cs="Sakkal Majalla" w:hint="cs"/>
          <w:b/>
          <w:bCs/>
          <w:color w:val="000000" w:themeColor="text1"/>
          <w:sz w:val="32"/>
          <w:szCs w:val="32"/>
          <w:rtl/>
        </w:rPr>
        <w:lastRenderedPageBreak/>
        <w:t xml:space="preserve">6.1.2 </w:t>
      </w:r>
      <w:r w:rsidR="00AF2B09" w:rsidRPr="003177F3">
        <w:rPr>
          <w:rFonts w:ascii="Sakkal Majalla" w:hAnsi="Sakkal Majalla" w:cs="Sakkal Majalla"/>
          <w:b/>
          <w:bCs/>
          <w:color w:val="000000" w:themeColor="text1"/>
          <w:sz w:val="32"/>
          <w:szCs w:val="32"/>
          <w:rtl/>
        </w:rPr>
        <w:t>استراتيجيات إدارة مخاطر الكوارث الصحية والأوبئة</w:t>
      </w:r>
      <w:bookmarkEnd w:id="23"/>
    </w:p>
    <w:p w14:paraId="53EEAA7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تتنوع الاستراتيجيات المتاحة لإدارة مخاطر الكوارث الصحية والأوبئة تبعاً لطبيعة المخاطر ومستوى خطورتها ومرحلة الأزمة والسياق المؤسسي والجغرافي، غير أنه يمكن تصنيفها في إطارات رئيسية تعكس المقاربات المختلفة للتعامل مع المخاطر الصحية</w:t>
      </w:r>
      <w:r w:rsidRPr="003177F3">
        <w:rPr>
          <w:rFonts w:ascii="Sakkal Majalla" w:hAnsi="Sakkal Majalla" w:cs="Sakkal Majalla"/>
          <w:color w:val="000000" w:themeColor="text1"/>
          <w:sz w:val="28"/>
          <w:szCs w:val="28"/>
        </w:rPr>
        <w:t>.</w:t>
      </w:r>
    </w:p>
    <w:p w14:paraId="060D722B"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تتمثل الاستراتيجية الأولى في استراتيجية الاستباق والوقاية التي تهدف إلى منع حدوث المخاطر أو تقليل احتمالية وقوعها من الأساس. وتتضمن هذه الاستراتيجية برامج الترصد الوبائي المبكر والتطعيمات الوقائية ومعايير الوقاية من العدوى ومكافحتها وبرامج التثقيف الصحي المجتمعي. وقد أشار</w:t>
      </w:r>
      <w:r w:rsidRPr="003177F3">
        <w:rPr>
          <w:rFonts w:ascii="Sakkal Majalla" w:hAnsi="Sakkal Majalla" w:cs="Sakkal Majalla"/>
          <w:color w:val="000000" w:themeColor="text1"/>
          <w:sz w:val="28"/>
          <w:szCs w:val="28"/>
        </w:rPr>
        <w:t xml:space="preserve"> Houghton et al. (2020) </w:t>
      </w:r>
      <w:r w:rsidRPr="003177F3">
        <w:rPr>
          <w:rFonts w:ascii="Sakkal Majalla" w:hAnsi="Sakkal Majalla" w:cs="Sakkal Majalla"/>
          <w:color w:val="000000" w:themeColor="text1"/>
          <w:sz w:val="28"/>
          <w:szCs w:val="28"/>
          <w:rtl/>
        </w:rPr>
        <w:t>إلى أن إرشادات الوقاية من العدوى ومكافحتها تُمثل خط الدفاع الأول في مواجهة الأمراض التنفسية المعدية، مع التأكيد على أن فاعلية هذه الإرشادات ترتبط بمدى التزام العاملين الصحيين بها وبالعوامل المؤسسية والفردية المؤثرة في هذا الالتزام</w:t>
      </w:r>
      <w:r w:rsidRPr="003177F3">
        <w:rPr>
          <w:rFonts w:ascii="Sakkal Majalla" w:hAnsi="Sakkal Majalla" w:cs="Sakkal Majalla"/>
          <w:color w:val="000000" w:themeColor="text1"/>
          <w:sz w:val="28"/>
          <w:szCs w:val="28"/>
        </w:rPr>
        <w:t>.</w:t>
      </w:r>
    </w:p>
    <w:p w14:paraId="4CE1892D"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أما الاستراتيجية الثانية فتتمثل في استراتيجية التخفيف والاحتواء التي تُفعَّل عند وقوع الكارثة الصحية أو اندلاع الوباء بهدف تقليل آثاره وحصر انتشاره. وتشمل هذه الاستراتيجية إجراءات العزل والحجر الصحي وتقييد الحركة وإغلاق الحدود وتعزيز القدرات العلاجية وتوسيع الطاقة الاستيعابية للمرافق الصحية. وقد تناول القضاة والسبحي وحوباني (2023) التغييرات الاستراتيجية التي تبناها المركز الوطني السعودي لإدارة الأزمات والكوارث الصحية في إطار التخفيف والاحتواء، والتي شملت تحسين كفاءة الخدمات الصحية ورقمنة العمليات وتوسيع التغطية لتشمل جميع مناطق المملكة</w:t>
      </w:r>
      <w:r w:rsidRPr="003177F3">
        <w:rPr>
          <w:rFonts w:ascii="Sakkal Majalla" w:hAnsi="Sakkal Majalla" w:cs="Sakkal Majalla"/>
          <w:color w:val="000000" w:themeColor="text1"/>
          <w:sz w:val="28"/>
          <w:szCs w:val="28"/>
        </w:rPr>
        <w:t>.</w:t>
      </w:r>
    </w:p>
    <w:p w14:paraId="03586DFA"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وتبرز الاستراتيجية الثالثة في استراتيجية التكيف والمرونة التي تُركّز على بناء قدرة المنظومة الصحية على التكيف مع الظروف المتغيرة والتحول نحو أنماط عمل بديلة تضمن استمرارية الخدمات. وقد أشار</w:t>
      </w:r>
      <w:r w:rsidRPr="003177F3">
        <w:rPr>
          <w:rFonts w:ascii="Sakkal Majalla" w:hAnsi="Sakkal Majalla" w:cs="Sakkal Majalla"/>
          <w:color w:val="000000" w:themeColor="text1"/>
          <w:sz w:val="28"/>
          <w:szCs w:val="28"/>
        </w:rPr>
        <w:t xml:space="preserve"> Ivanov &amp; Dolgui (2020) </w:t>
      </w:r>
      <w:r w:rsidRPr="003177F3">
        <w:rPr>
          <w:rFonts w:ascii="Sakkal Majalla" w:hAnsi="Sakkal Majalla" w:cs="Sakkal Majalla"/>
          <w:color w:val="000000" w:themeColor="text1"/>
          <w:sz w:val="28"/>
          <w:szCs w:val="28"/>
          <w:rtl/>
        </w:rPr>
        <w:t xml:space="preserve">إلى مفهوم قابلية البقاء في شبكات الإمداد المتشابكة بوصفه امتداداً لمفهوم المرونة، حيث يتجاوز التكيف مع الصدمات المفردة ليشمل القدرة على البقاء والاستمرار في بيئات تتسم بتعدد الصدمات وتزامنها. وفي السياق الصحي، تتضمن هذه الاستراتيجية تطوير بدائل لتقديم </w:t>
      </w:r>
      <w:r w:rsidRPr="003177F3">
        <w:rPr>
          <w:rFonts w:ascii="Sakkal Majalla" w:hAnsi="Sakkal Majalla" w:cs="Sakkal Majalla"/>
          <w:color w:val="000000" w:themeColor="text1"/>
          <w:sz w:val="28"/>
          <w:szCs w:val="28"/>
          <w:rtl/>
        </w:rPr>
        <w:lastRenderedPageBreak/>
        <w:t>الخدمات الصحية كالتطبيب عن بُعد وإعادة توزيع الكوادر وتحويل المرافق وتعديل بروتوكولات العمل بما يتلاءم مع متطلبات الأزمة</w:t>
      </w:r>
      <w:r w:rsidRPr="003177F3">
        <w:rPr>
          <w:rFonts w:ascii="Sakkal Majalla" w:hAnsi="Sakkal Majalla" w:cs="Sakkal Majalla"/>
          <w:color w:val="000000" w:themeColor="text1"/>
          <w:sz w:val="28"/>
          <w:szCs w:val="28"/>
        </w:rPr>
        <w:t>.</w:t>
      </w:r>
    </w:p>
    <w:p w14:paraId="727FAF2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وتتمحور الاستراتيجية الرابعة حول استراتيجية التعافي والتعلم المؤسسي التي تُفعَّل في مرحلة ما بعد الأزمة بهدف استعادة الأداء الطبيعي للمنظومة الصحية مع استخلاص الدروس المستفادة وتحويلها إلى تحسينات مؤسسية دائمة. ويتضمن ذلك تقييم الاستجابة وتحديد نقاط القوة والضعف فيها ومراجعة الخطط والبروتوكولات وتحديثها وتعزيز القدرات التي أثبتت فاعليتها ومعالجة الثغرات التي كشفت عنها الأزمة. وقد تناولت الربيعي (2021) مسؤولية الإدارة تجاه مخاطر النفايات الصحية التي تتضاعف أثناء الأوبئة وبعدها، وهو ما يُبرز أن مرحلة التعافي تتضمن أبعاداً بيئية وصحية يجب مراعاتها ضمن الاستراتيجية الشاملة لإدارة المخاطر</w:t>
      </w:r>
      <w:r w:rsidRPr="003177F3">
        <w:rPr>
          <w:rFonts w:ascii="Sakkal Majalla" w:hAnsi="Sakkal Majalla" w:cs="Sakkal Majalla"/>
          <w:color w:val="000000" w:themeColor="text1"/>
          <w:sz w:val="28"/>
          <w:szCs w:val="28"/>
        </w:rPr>
        <w:t>.</w:t>
      </w:r>
    </w:p>
    <w:p w14:paraId="276ECF1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تبرز استراتيجية الشراكة والتكامل القطاعي بوصفها استراتيجية عابرة للمراحل تعمل عبر جميع أطوار إدارة المخاطر، وتقوم على مبدأ أن مواجهة الكوارث الصحية والأوبئة تتطلب تضافر جهود مختلف القطاعات والجهات وعدم حصرها في القطاع الصحي وحده. وقد أكد شحاتة وبدير (2021) على أن إدارة المخاطر الصحية والبيئية تستوجب تكاملاً بين المؤسسات الصحية والتعليمية والبيئية والمجتمعية، وأن انعزال أي قطاع عن منظومة الاستجابة الشاملة يُضعف فاعلية الجهود ويُفرز ثغرات قد تتسع في أوقات الأزمات</w:t>
      </w:r>
      <w:r w:rsidRPr="003177F3">
        <w:rPr>
          <w:rFonts w:ascii="Sakkal Majalla" w:hAnsi="Sakkal Majalla" w:cs="Sakkal Majalla"/>
          <w:color w:val="000000" w:themeColor="text1"/>
          <w:sz w:val="28"/>
          <w:szCs w:val="28"/>
        </w:rPr>
        <w:t>.</w:t>
      </w:r>
    </w:p>
    <w:p w14:paraId="73B60568" w14:textId="17938FC8"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814216"/>
      <w:r w:rsidRPr="003177F3">
        <w:rPr>
          <w:rFonts w:ascii="Sakkal Majalla" w:hAnsi="Sakkal Majalla" w:cs="Sakkal Majalla" w:hint="cs"/>
          <w:b/>
          <w:bCs/>
          <w:color w:val="000000" w:themeColor="text1"/>
          <w:sz w:val="32"/>
          <w:szCs w:val="32"/>
          <w:rtl/>
        </w:rPr>
        <w:t xml:space="preserve">7.1.2 </w:t>
      </w:r>
      <w:r w:rsidR="00AF2B09" w:rsidRPr="003177F3">
        <w:rPr>
          <w:rFonts w:ascii="Sakkal Majalla" w:hAnsi="Sakkal Majalla" w:cs="Sakkal Majalla"/>
          <w:b/>
          <w:bCs/>
          <w:color w:val="000000" w:themeColor="text1"/>
          <w:sz w:val="32"/>
          <w:szCs w:val="32"/>
          <w:rtl/>
        </w:rPr>
        <w:t>النظريات والنماذج المفسّرة لإدارة مخاطر الكوارث الصحية والأوبئة</w:t>
      </w:r>
      <w:bookmarkEnd w:id="24"/>
    </w:p>
    <w:p w14:paraId="28FA6F61"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تستند إدارة مخاطر الكوارث الصحية والأوبئة إلى عدة نظريات ونماذج تفسيرية أسهمت في تشكيل الفهم المعاصر لهذا المجال وتطوير ممارساته. ويُعدّ نموذج المواصفة الدولية</w:t>
      </w:r>
      <w:r w:rsidRPr="003177F3">
        <w:rPr>
          <w:rFonts w:ascii="Sakkal Majalla" w:hAnsi="Sakkal Majalla" w:cs="Sakkal Majalla"/>
          <w:color w:val="000000" w:themeColor="text1"/>
          <w:sz w:val="28"/>
          <w:szCs w:val="28"/>
        </w:rPr>
        <w:t xml:space="preserve"> (ISO 31000) </w:t>
      </w:r>
      <w:r w:rsidRPr="003177F3">
        <w:rPr>
          <w:rFonts w:ascii="Sakkal Majalla" w:hAnsi="Sakkal Majalla" w:cs="Sakkal Majalla"/>
          <w:color w:val="000000" w:themeColor="text1"/>
          <w:sz w:val="28"/>
          <w:szCs w:val="28"/>
          <w:rtl/>
        </w:rPr>
        <w:t>من أبرز الأُطر المرجعية التي وفرت منهجية موحدة لإدارة المخاطر تقوم على مبادئ الشمولية والتكامل والتحسين المستمر. وقد تناول موسى (2025) واقع تطبيق هذا الإطار في السياق الصحي من خلال تشخيص ممارسات إدارة المخاطر وفق متطلبات هذه المواصفة، مُبرزاً أنها توفر لغة مشتركة ومنهجية منظمة تُمكّن المؤسسات الصحية من بناء نظام إدارة مخاطر متكامل ومتسق مع المعايير الدولية</w:t>
      </w:r>
      <w:r w:rsidRPr="003177F3">
        <w:rPr>
          <w:rFonts w:ascii="Sakkal Majalla" w:hAnsi="Sakkal Majalla" w:cs="Sakkal Majalla"/>
          <w:color w:val="000000" w:themeColor="text1"/>
          <w:sz w:val="28"/>
          <w:szCs w:val="28"/>
        </w:rPr>
        <w:t>.</w:t>
      </w:r>
    </w:p>
    <w:p w14:paraId="2A8F94D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كما يُوظَّف نموذج اتصال الأزمات والطوارئ والمخاطر</w:t>
      </w:r>
      <w:r w:rsidRPr="003177F3">
        <w:rPr>
          <w:rFonts w:ascii="Sakkal Majalla" w:hAnsi="Sakkal Majalla" w:cs="Sakkal Majalla"/>
          <w:color w:val="000000" w:themeColor="text1"/>
          <w:sz w:val="28"/>
          <w:szCs w:val="28"/>
        </w:rPr>
        <w:t xml:space="preserve"> (CERC) </w:t>
      </w:r>
      <w:r w:rsidRPr="003177F3">
        <w:rPr>
          <w:rFonts w:ascii="Sakkal Majalla" w:hAnsi="Sakkal Majalla" w:cs="Sakkal Majalla"/>
          <w:color w:val="000000" w:themeColor="text1"/>
          <w:sz w:val="28"/>
          <w:szCs w:val="28"/>
          <w:rtl/>
        </w:rPr>
        <w:t>الذي طورته مراكز السيطرة على الأمراض والوقاية منها كإطار مرجعي لبُعد اتصال المخاطر والتوعية المجتمعية. ويقوم هذا النموذج على فرضية أن الاتصال الفعال في الأزمات الصحية يتطلب استراتيجيات مختلفة في كل مرحلة من مراحل الأزمة، وأن نجاح الاتصال يتوقف على قدرة المؤسسات الصحية على بناء الثقة والحفاظ عليها من خلال الشفافية والمصداقية والتعاطف (بن لعربي، 2022</w:t>
      </w:r>
      <w:r w:rsidRPr="003177F3">
        <w:rPr>
          <w:rFonts w:ascii="Sakkal Majalla" w:hAnsi="Sakkal Majalla" w:cs="Sakkal Majalla"/>
          <w:color w:val="000000" w:themeColor="text1"/>
          <w:sz w:val="28"/>
          <w:szCs w:val="28"/>
        </w:rPr>
        <w:t>).</w:t>
      </w:r>
    </w:p>
    <w:p w14:paraId="614CA85B"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ومن المداخل النظرية ذات الصلة أيضاً نظرية الأنظمة المعقدة التكيفية التي تنظر إلى المؤسسات الصحية بوصفها أنظمة ديناميكية تتكون من عناصر متعددة ومترابطة تتفاعل فيما بينها ومع بيئتها بطرق غير خطية وغير قابلة للتنبؤ الكامل. ويُشير</w:t>
      </w:r>
      <w:r w:rsidRPr="003177F3">
        <w:rPr>
          <w:rFonts w:ascii="Sakkal Majalla" w:hAnsi="Sakkal Majalla" w:cs="Sakkal Majalla"/>
          <w:color w:val="000000" w:themeColor="text1"/>
          <w:sz w:val="28"/>
          <w:szCs w:val="28"/>
        </w:rPr>
        <w:t xml:space="preserve"> Barasa et al. (2018) </w:t>
      </w:r>
      <w:r w:rsidRPr="003177F3">
        <w:rPr>
          <w:rFonts w:ascii="Sakkal Majalla" w:hAnsi="Sakkal Majalla" w:cs="Sakkal Majalla"/>
          <w:color w:val="000000" w:themeColor="text1"/>
          <w:sz w:val="28"/>
          <w:szCs w:val="28"/>
          <w:rtl/>
        </w:rPr>
        <w:t>إلى أن مفهوم المرونة التنظيمية يرتبط ارتباطاً وثيقاً بنظرية الأنظمة المعقدة، حيث تنشأ المرونة كخاصية ناتجة عن التفاعلات المعقدة بين مكونات النظام الصحي وليست مجرد مجموع خصائص مكوناته المنفردة. وهذا المنظور يُقدّم فهماً أعمق لسبب عجز المقاربات الخطية والميكانيكية عن تفسير سلوك المنظومات الصحية أثناء الأزمات، ويدعم التوجه نحو مقاربات أكثر شمولية ومرونة في إدارة المخاطر</w:t>
      </w:r>
      <w:r w:rsidRPr="003177F3">
        <w:rPr>
          <w:rFonts w:ascii="Sakkal Majalla" w:hAnsi="Sakkal Majalla" w:cs="Sakkal Majalla"/>
          <w:color w:val="000000" w:themeColor="text1"/>
          <w:sz w:val="28"/>
          <w:szCs w:val="28"/>
        </w:rPr>
        <w:t>.</w:t>
      </w:r>
    </w:p>
    <w:p w14:paraId="54E39F1F"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فضلاً عن ذلك، يُسهم نموذج إدراك المخاطر القائم على ثنائية الخطر والغضب</w:t>
      </w:r>
      <w:r w:rsidRPr="003177F3">
        <w:rPr>
          <w:rFonts w:ascii="Sakkal Majalla" w:hAnsi="Sakkal Majalla" w:cs="Sakkal Majalla"/>
          <w:color w:val="000000" w:themeColor="text1"/>
          <w:sz w:val="28"/>
          <w:szCs w:val="28"/>
        </w:rPr>
        <w:t xml:space="preserve"> (Hazard + Outrage) </w:t>
      </w:r>
      <w:r w:rsidRPr="003177F3">
        <w:rPr>
          <w:rFonts w:ascii="Sakkal Majalla" w:hAnsi="Sakkal Majalla" w:cs="Sakkal Majalla"/>
          <w:color w:val="000000" w:themeColor="text1"/>
          <w:sz w:val="28"/>
          <w:szCs w:val="28"/>
          <w:rtl/>
        </w:rPr>
        <w:t>الذي أسسه بيتر ساندمان في تفسير الفجوة بين التقييم الفني للمخاطر الصحية والإدراك الشعبي لها</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وقد وظّف</w:t>
      </w:r>
      <w:r w:rsidRPr="003177F3">
        <w:rPr>
          <w:rFonts w:ascii="Sakkal Majalla" w:hAnsi="Sakkal Majalla" w:cs="Sakkal Majalla"/>
          <w:color w:val="000000" w:themeColor="text1"/>
          <w:sz w:val="28"/>
          <w:szCs w:val="28"/>
        </w:rPr>
        <w:t xml:space="preserve"> Malecki et al. (2021) </w:t>
      </w:r>
      <w:r w:rsidRPr="003177F3">
        <w:rPr>
          <w:rFonts w:ascii="Sakkal Majalla" w:hAnsi="Sakkal Majalla" w:cs="Sakkal Majalla"/>
          <w:color w:val="000000" w:themeColor="text1"/>
          <w:sz w:val="28"/>
          <w:szCs w:val="28"/>
          <w:rtl/>
        </w:rPr>
        <w:t>هذا النموذج في تحليل إدراك الجمهور لمخاطر كوفيد-19، مُوضحين أن استجابة الجمهور للمخاطر الصحية لا تتحدد فقط بالحقائق العلمية المتعلقة بالخطر بل تتشكل أيضاً بعوامل نفسية واجتماعية وثقافية تؤثر في مستوى الغضب والقلق والثقة. ويُقدّم هذا النموذج إطاراً تفسيرياً مهماً لفهم أسباب تفاوت استجابة المجتمعات للأوبئة وتباين مستويات الالتزام بالإجراءات الوقائية</w:t>
      </w:r>
      <w:r w:rsidRPr="003177F3">
        <w:rPr>
          <w:rFonts w:ascii="Sakkal Majalla" w:hAnsi="Sakkal Majalla" w:cs="Sakkal Majalla"/>
          <w:color w:val="000000" w:themeColor="text1"/>
          <w:sz w:val="28"/>
          <w:szCs w:val="28"/>
        </w:rPr>
        <w:t>.</w:t>
      </w:r>
    </w:p>
    <w:p w14:paraId="3FBA5F30" w14:textId="3D152FE6" w:rsidR="00AF2B09" w:rsidRPr="003177F3" w:rsidRDefault="00AF2B09" w:rsidP="00F85192">
      <w:pPr>
        <w:spacing w:before="100" w:beforeAutospacing="1" w:after="100" w:afterAutospacing="1" w:line="360" w:lineRule="auto"/>
        <w:jc w:val="both"/>
        <w:rPr>
          <w:rFonts w:ascii="Sakkal Majalla" w:hAnsi="Sakkal Majalla" w:cs="Sakkal Majalla"/>
          <w:color w:val="000000" w:themeColor="text1"/>
          <w:sz w:val="28"/>
          <w:szCs w:val="28"/>
        </w:rPr>
      </w:pPr>
    </w:p>
    <w:p w14:paraId="6BE298C4" w14:textId="218C3499" w:rsidR="00AF2B09" w:rsidRPr="003177F3" w:rsidRDefault="00F11D9B" w:rsidP="00F11D9B">
      <w:pPr>
        <w:spacing w:line="360" w:lineRule="auto"/>
        <w:jc w:val="center"/>
        <w:outlineLvl w:val="1"/>
        <w:rPr>
          <w:rFonts w:ascii="Sakkal Majalla" w:hAnsi="Sakkal Majalla" w:cs="Sakkal Majalla"/>
          <w:b/>
          <w:bCs/>
          <w:color w:val="000000" w:themeColor="text1"/>
          <w:sz w:val="36"/>
          <w:szCs w:val="36"/>
        </w:rPr>
      </w:pPr>
      <w:r w:rsidRPr="003177F3">
        <w:rPr>
          <w:rFonts w:ascii="Sakkal Majalla" w:hAnsi="Sakkal Majalla" w:cs="Sakkal Majalla"/>
          <w:b/>
          <w:bCs/>
          <w:color w:val="000000" w:themeColor="text1"/>
          <w:sz w:val="36"/>
          <w:szCs w:val="36"/>
          <w:rtl/>
        </w:rPr>
        <w:br w:type="page"/>
      </w:r>
      <w:bookmarkStart w:id="25" w:name="_Toc223814217"/>
      <w:r w:rsidR="00AF2B09" w:rsidRPr="003177F3">
        <w:rPr>
          <w:rFonts w:ascii="Sakkal Majalla" w:hAnsi="Sakkal Majalla" w:cs="Sakkal Majalla"/>
          <w:b/>
          <w:bCs/>
          <w:color w:val="000000" w:themeColor="text1"/>
          <w:sz w:val="36"/>
          <w:szCs w:val="36"/>
          <w:rtl/>
        </w:rPr>
        <w:lastRenderedPageBreak/>
        <w:t>المبحث الثاني: تعزيز جاهزية واستدامة القطاع الصحي</w:t>
      </w:r>
      <w:bookmarkEnd w:id="25"/>
    </w:p>
    <w:p w14:paraId="6F0B795B" w14:textId="376362AB"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814218"/>
      <w:r w:rsidRPr="003177F3">
        <w:rPr>
          <w:rFonts w:ascii="Sakkal Majalla" w:hAnsi="Sakkal Majalla" w:cs="Sakkal Majalla" w:hint="cs"/>
          <w:b/>
          <w:bCs/>
          <w:color w:val="000000" w:themeColor="text1"/>
          <w:sz w:val="32"/>
          <w:szCs w:val="32"/>
          <w:rtl/>
        </w:rPr>
        <w:t xml:space="preserve">1.2.2 </w:t>
      </w:r>
      <w:r w:rsidR="00AF2B09" w:rsidRPr="003177F3">
        <w:rPr>
          <w:rFonts w:ascii="Sakkal Majalla" w:hAnsi="Sakkal Majalla" w:cs="Sakkal Majalla"/>
          <w:b/>
          <w:bCs/>
          <w:color w:val="000000" w:themeColor="text1"/>
          <w:sz w:val="32"/>
          <w:szCs w:val="32"/>
          <w:rtl/>
        </w:rPr>
        <w:t>تمهيد</w:t>
      </w:r>
      <w:bookmarkEnd w:id="26"/>
    </w:p>
    <w:p w14:paraId="263B967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أفرزت التحولات العميقة التي شهدها القطاع الصحي العالمي في أعقاب الأوبئة والكوارث الصحية المتعاقبة اهتماماً متزايداً بمفهومي الجاهزية والاستدامة بوصفهما ركيزتين أساسيتين لبناء أنظمة صحية قادرة على الصمود والتكيف والتطور. وقد كشفت جائحة كوفيد-19 أن كثيراً من الأنظمة الصحية التي كانت تُعدّ متقدمة ومتطورة لم تكن في حقيقة الأمر جاهزة بالقدر الكافي لمواجهة أزمة بهذا الحجم والتعقيد، كما أن بعض المنظمات الصحية التي نجحت في الاستجابة الأولية عانت لاحقاً من صعوبات في الحفاظ على استدامة خدماتها وأدائها على المدى المتوسط والبعيد. ومن هذا المنطلق، يتناول هذا المبحث مفهوم تعزيز جاهزية واستدامة القطاع الصحي بوصفه المتغير التابع في هذه الدراسة، من خلال تأصيل مفهومه وتحليل أهميته وأهدافه ومقوماته والعوامل المؤثرة فيه والمداخل النظرية المفسّرة له</w:t>
      </w:r>
      <w:r w:rsidRPr="003177F3">
        <w:rPr>
          <w:rFonts w:ascii="Sakkal Majalla" w:hAnsi="Sakkal Majalla" w:cs="Sakkal Majalla"/>
          <w:color w:val="000000" w:themeColor="text1"/>
          <w:sz w:val="28"/>
          <w:szCs w:val="28"/>
        </w:rPr>
        <w:t>.</w:t>
      </w:r>
    </w:p>
    <w:p w14:paraId="6C6E82F9" w14:textId="09D702DB"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814219"/>
      <w:r w:rsidRPr="003177F3">
        <w:rPr>
          <w:rFonts w:ascii="Sakkal Majalla" w:hAnsi="Sakkal Majalla" w:cs="Sakkal Majalla" w:hint="cs"/>
          <w:b/>
          <w:bCs/>
          <w:color w:val="000000" w:themeColor="text1"/>
          <w:sz w:val="32"/>
          <w:szCs w:val="32"/>
          <w:rtl/>
        </w:rPr>
        <w:t xml:space="preserve">2.2.2 </w:t>
      </w:r>
      <w:r w:rsidR="00AF2B09" w:rsidRPr="003177F3">
        <w:rPr>
          <w:rFonts w:ascii="Sakkal Majalla" w:hAnsi="Sakkal Majalla" w:cs="Sakkal Majalla"/>
          <w:b/>
          <w:bCs/>
          <w:color w:val="000000" w:themeColor="text1"/>
          <w:sz w:val="32"/>
          <w:szCs w:val="32"/>
          <w:rtl/>
        </w:rPr>
        <w:t>مفهوم جاهزية واستدامة القطاع الصحي</w:t>
      </w:r>
      <w:bookmarkEnd w:id="27"/>
    </w:p>
    <w:p w14:paraId="66A371EE"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يتألف مفهوم جاهزية واستدامة القطاع الصحي من مكونين مترابطين ومتكاملين يُشكّلان معاً رؤية شاملة لقدرة المنظومة الصحية على أداء مهامها في مختلف الظروف والأوقات. والمكون الأول هو الجاهزية الذي يُشير إلى حالة الاستعداد الشامل التي تكون عليها المؤسسات الصحية في زمن السلم والاستقرار تحسباً لوقوع الأزمات والكوارث الصحية. وقد تناول العنزي والنيف (2025) مفهوم الجاهزية من زاوية إلكترونية تقنية بوصفها مدى استعداد المؤسسة الصحية من حيث بنيتها التحتية التقنية وكفاءاتها البشرية الرقمية وأنظمتها وتطبيقاتها الإلكترونية للتعامل مع الأزمات والكوارث الصحية، وهو ما يعكس توجهاً حديثاً يربط بين مفهوم الجاهزية ومتطلبات العصر الرقمي</w:t>
      </w:r>
      <w:r w:rsidRPr="003177F3">
        <w:rPr>
          <w:rFonts w:ascii="Sakkal Majalla" w:hAnsi="Sakkal Majalla" w:cs="Sakkal Majalla"/>
          <w:color w:val="000000" w:themeColor="text1"/>
          <w:sz w:val="28"/>
          <w:szCs w:val="28"/>
        </w:rPr>
        <w:t>.</w:t>
      </w:r>
    </w:p>
    <w:p w14:paraId="2756B1D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ومن منظور أشمل، تناول</w:t>
      </w:r>
      <w:r w:rsidRPr="003177F3">
        <w:rPr>
          <w:rFonts w:ascii="Sakkal Majalla" w:hAnsi="Sakkal Majalla" w:cs="Sakkal Majalla"/>
          <w:color w:val="000000" w:themeColor="text1"/>
          <w:sz w:val="28"/>
          <w:szCs w:val="28"/>
        </w:rPr>
        <w:t xml:space="preserve"> Nuzzo et al. (2020) </w:t>
      </w:r>
      <w:r w:rsidRPr="003177F3">
        <w:rPr>
          <w:rFonts w:ascii="Sakkal Majalla" w:hAnsi="Sakkal Majalla" w:cs="Sakkal Majalla"/>
          <w:color w:val="000000" w:themeColor="text1"/>
          <w:sz w:val="28"/>
          <w:szCs w:val="28"/>
          <w:rtl/>
        </w:rPr>
        <w:t xml:space="preserve">مفهوم الاستعداد لمواجهة الأوبئة التنفسية عالية التأثير بوصفه حالة متعددة الأبعاد تشمل قدرات الرصد والإنذار المبكر وقدرات الاستجابة الطبية والتمريضية وكفاية الإمدادات الاستراتيجية وفاعلية آليات التنسيق والتواصل، مما يؤكد أن الجاهزية </w:t>
      </w:r>
      <w:r w:rsidRPr="003177F3">
        <w:rPr>
          <w:rFonts w:ascii="Sakkal Majalla" w:hAnsi="Sakkal Majalla" w:cs="Sakkal Majalla"/>
          <w:color w:val="000000" w:themeColor="text1"/>
          <w:sz w:val="28"/>
          <w:szCs w:val="28"/>
          <w:rtl/>
        </w:rPr>
        <w:lastRenderedPageBreak/>
        <w:t>الصحية ليست مفهوماً أحادياً بل هي بنية متعددة المكونات تتطلب توافراً متزامناً لعدة عناصر لكي تتحقق بشكل فعلي</w:t>
      </w:r>
      <w:r w:rsidRPr="003177F3">
        <w:rPr>
          <w:rFonts w:ascii="Sakkal Majalla" w:hAnsi="Sakkal Majalla" w:cs="Sakkal Majalla"/>
          <w:color w:val="000000" w:themeColor="text1"/>
          <w:sz w:val="28"/>
          <w:szCs w:val="28"/>
        </w:rPr>
        <w:t>.</w:t>
      </w:r>
    </w:p>
    <w:p w14:paraId="43F09084"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أما المكون الثاني فهو الاستدامة الذي يتجاوز مفهوم الجاهزية الآنية ليُركّز على قدرة المنظومة الصحية على المحافظة على مستوى أدائها وجودة خدماتها واستمرارية عملياتها على المدى البعيد بصرف النظر عن التقلبات والصدمات. وقد تناول</w:t>
      </w:r>
      <w:r w:rsidRPr="003177F3">
        <w:rPr>
          <w:rFonts w:ascii="Sakkal Majalla" w:hAnsi="Sakkal Majalla" w:cs="Sakkal Majalla"/>
          <w:color w:val="000000" w:themeColor="text1"/>
          <w:sz w:val="28"/>
          <w:szCs w:val="28"/>
        </w:rPr>
        <w:t xml:space="preserve"> Kruk et al. (2021) </w:t>
      </w:r>
      <w:r w:rsidRPr="003177F3">
        <w:rPr>
          <w:rFonts w:ascii="Sakkal Majalla" w:hAnsi="Sakkal Majalla" w:cs="Sakkal Majalla"/>
          <w:color w:val="000000" w:themeColor="text1"/>
          <w:sz w:val="28"/>
          <w:szCs w:val="28"/>
          <w:rtl/>
        </w:rPr>
        <w:t>مفهوم مرونة النظام الصحي بوصفها قدرة الفاعلين والمؤسسات الصحية والسكان على الاستعداد الفعال للأزمات والاستجابة لها بما يحافظ على الوظائف الجوهرية للنظام الصحي أثناء الأزمة ويُمكّنه من التعافي والتحسن بعدها، وهو مفهوم يتداخل بشكل كبير مع مفهوم الاستدامة ويُثريه</w:t>
      </w:r>
      <w:r w:rsidRPr="003177F3">
        <w:rPr>
          <w:rFonts w:ascii="Sakkal Majalla" w:hAnsi="Sakkal Majalla" w:cs="Sakkal Majalla"/>
          <w:color w:val="000000" w:themeColor="text1"/>
          <w:sz w:val="28"/>
          <w:szCs w:val="28"/>
        </w:rPr>
        <w:t>.</w:t>
      </w:r>
    </w:p>
    <w:p w14:paraId="7EE4FFE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تناولت العجلة وأبو معمر (2022) مفهوم استمرارية الأعمال في المنظمات الصحية من منظور إداري يُركّز على قدرة المنظمة الصحية على مواصلة تقديم خدماتها الحيوية في أثناء الأزمات وبعدها وفق مستويات مقبولة محددة مسبقاً، وهو ما يمثل الوجه التشغيلي لمفهوم الاستدامة. أما</w:t>
      </w:r>
      <w:r w:rsidRPr="003177F3">
        <w:rPr>
          <w:rFonts w:ascii="Sakkal Majalla" w:hAnsi="Sakkal Majalla" w:cs="Sakkal Majalla"/>
          <w:color w:val="000000" w:themeColor="text1"/>
          <w:sz w:val="28"/>
          <w:szCs w:val="28"/>
        </w:rPr>
        <w:t xml:space="preserve"> Barasa et al. (2018) </w:t>
      </w:r>
      <w:r w:rsidRPr="003177F3">
        <w:rPr>
          <w:rFonts w:ascii="Sakkal Majalla" w:hAnsi="Sakkal Majalla" w:cs="Sakkal Majalla"/>
          <w:color w:val="000000" w:themeColor="text1"/>
          <w:sz w:val="28"/>
          <w:szCs w:val="28"/>
          <w:rtl/>
        </w:rPr>
        <w:t>فقد قدّموا مفهوم المرونة التنظيمية بوصفه يتضمن ثلاثة مستويات متدرجة هي القدرة على الامتصاص أي مقاومة الصدمة واستمرار العمل، والقدرة على التكيف أي تعديل الممارسات والعمليات استجابة للتغيرات، والقدرة على التحول أي إعادة هيكلة النظام بشكل جذري عند الضرورة. ويتسق هذا التأطير الثلاثي مع مفهوم الاستدامة الذي يتطلب من المؤسسات الصحية ليس فقط القدرة على الصمود أمام الصدمات بل أيضاً القدرة على التطور والتحسن من خلالها</w:t>
      </w:r>
      <w:r w:rsidRPr="003177F3">
        <w:rPr>
          <w:rFonts w:ascii="Sakkal Majalla" w:hAnsi="Sakkal Majalla" w:cs="Sakkal Majalla"/>
          <w:color w:val="000000" w:themeColor="text1"/>
          <w:sz w:val="28"/>
          <w:szCs w:val="28"/>
        </w:rPr>
        <w:t>.</w:t>
      </w:r>
    </w:p>
    <w:p w14:paraId="574407DB" w14:textId="0FD1E8E9"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وبناءً على ما تقدم، يرى الباحث أن مفهوم تعزيز جاهزية واستدامة القطاع الصحي يمكن تعريفه إجرائياً بأنه: مجموعة الجهود والممارسات المنهجية المستمرة الرامية إلى بناء قدرات المؤسسات الصحية ورفع مستوى استعدادها البشري والمادي والتقني والتنظيمي لمواجهة الكوارث الصحية والأوبئة بكفاءة وفاعلية، مع ضمان قدرتها على المحافظة على استمرارية خدماتها وجودة أدائها والتكيف مع المتغيرات والتعلم من التجارب بما يُحقق تطوراً مؤسسياً مستداماً على المدى البعيد</w:t>
      </w:r>
      <w:r w:rsidRPr="003177F3">
        <w:rPr>
          <w:rFonts w:ascii="Sakkal Majalla" w:hAnsi="Sakkal Majalla" w:cs="Sakkal Majalla"/>
          <w:color w:val="000000" w:themeColor="text1"/>
          <w:sz w:val="28"/>
          <w:szCs w:val="28"/>
        </w:rPr>
        <w:t>.</w:t>
      </w:r>
    </w:p>
    <w:p w14:paraId="67EE326D" w14:textId="71E8254F" w:rsidR="00AF2B09" w:rsidRPr="003177F3" w:rsidRDefault="00F11D9B" w:rsidP="00F11D9B">
      <w:pPr>
        <w:spacing w:line="360" w:lineRule="auto"/>
        <w:outlineLvl w:val="2"/>
        <w:rPr>
          <w:rFonts w:ascii="Sakkal Majalla" w:hAnsi="Sakkal Majalla" w:cs="Sakkal Majalla"/>
          <w:b/>
          <w:bCs/>
          <w:color w:val="000000" w:themeColor="text1"/>
          <w:sz w:val="32"/>
          <w:szCs w:val="32"/>
        </w:rPr>
      </w:pPr>
      <w:r w:rsidRPr="003177F3">
        <w:rPr>
          <w:rFonts w:ascii="Sakkal Majalla" w:hAnsi="Sakkal Majalla" w:cs="Sakkal Majalla"/>
          <w:b/>
          <w:bCs/>
          <w:color w:val="000000" w:themeColor="text1"/>
          <w:sz w:val="32"/>
          <w:szCs w:val="32"/>
          <w:rtl/>
        </w:rPr>
        <w:br w:type="page"/>
      </w:r>
      <w:bookmarkStart w:id="28" w:name="_Toc223814220"/>
      <w:r w:rsidRPr="003177F3">
        <w:rPr>
          <w:rFonts w:ascii="Sakkal Majalla" w:hAnsi="Sakkal Majalla" w:cs="Sakkal Majalla" w:hint="cs"/>
          <w:b/>
          <w:bCs/>
          <w:color w:val="000000" w:themeColor="text1"/>
          <w:sz w:val="32"/>
          <w:szCs w:val="32"/>
          <w:rtl/>
        </w:rPr>
        <w:lastRenderedPageBreak/>
        <w:t xml:space="preserve">3.2.2 </w:t>
      </w:r>
      <w:r w:rsidR="00AF2B09" w:rsidRPr="003177F3">
        <w:rPr>
          <w:rFonts w:ascii="Sakkal Majalla" w:hAnsi="Sakkal Majalla" w:cs="Sakkal Majalla"/>
          <w:b/>
          <w:bCs/>
          <w:color w:val="000000" w:themeColor="text1"/>
          <w:sz w:val="32"/>
          <w:szCs w:val="32"/>
          <w:rtl/>
        </w:rPr>
        <w:t>أهمية تعزيز جاهزية واستدامة القطاع الصحي</w:t>
      </w:r>
      <w:bookmarkEnd w:id="28"/>
    </w:p>
    <w:p w14:paraId="38115F95"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تنبع أهمية تعزيز جاهزية واستدامة القطاع الصحي من مركزية هذا القطاع في حياة المجتمعات وارتباطه الوثيق بأمنها الصحي والاجتماعي والاقتصادي، فضلاً عن تصاعد وتيرة التهديدات الصحية وتعقّدها في ظل المتغيرات العالمية المعاصرة. وقد أعادت جائحة كوفيد-19 تعريف مفهوم الأمن القومي ليشمل البُعد الصحي بشكل صريح، مما رفع من أولوية الجاهزية والاستدامة الصحية على أجندات صانعي السياسات حول العالم</w:t>
      </w:r>
      <w:r w:rsidRPr="003177F3">
        <w:rPr>
          <w:rFonts w:ascii="Sakkal Majalla" w:hAnsi="Sakkal Majalla" w:cs="Sakkal Majalla"/>
          <w:color w:val="000000" w:themeColor="text1"/>
          <w:sz w:val="28"/>
          <w:szCs w:val="28"/>
        </w:rPr>
        <w:t>.</w:t>
      </w:r>
    </w:p>
    <w:p w14:paraId="0D8CA4C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ويشير</w:t>
      </w:r>
      <w:r w:rsidRPr="003177F3">
        <w:rPr>
          <w:rFonts w:ascii="Sakkal Majalla" w:hAnsi="Sakkal Majalla" w:cs="Sakkal Majalla"/>
          <w:color w:val="000000" w:themeColor="text1"/>
          <w:sz w:val="28"/>
          <w:szCs w:val="28"/>
        </w:rPr>
        <w:t xml:space="preserve"> Al-Mutair et al. (2021) </w:t>
      </w:r>
      <w:r w:rsidRPr="003177F3">
        <w:rPr>
          <w:rFonts w:ascii="Sakkal Majalla" w:hAnsi="Sakkal Majalla" w:cs="Sakkal Majalla"/>
          <w:color w:val="000000" w:themeColor="text1"/>
          <w:sz w:val="28"/>
          <w:szCs w:val="28"/>
          <w:rtl/>
        </w:rPr>
        <w:t>إلى أن أهمية تعزيز جاهزية القطاع الصحي واستدامته تتجلى في عدة جوانب محورية: أولاً، أنها تُمكّن المؤسسات الصحية من تقديم رعاية صحية آمنة وعالية الجودة في جميع الظروف بما في ذلك أوقات الأزمات والأوبئة، حيث إن المؤسسات غير الجاهزة تعجز عن الحفاظ على معايير السلامة والجودة تحت ضغط الأزمات</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ثانياً، أنها تُعزز ثقة المجتمع في المنظومة الصحية، إذ أن إدراك المواطنين بأن مؤسساتهم الصحية مستعدة وقادرة على حمايتهم يُقلل من حالة الهلع والقلق التي عادة ما تصاحب الأزمات الصحية. ثالثاً، أنها تُسهم في ترشيد الإنفاق الصحي على المدى البعيد، حيث إن تكاليف الاستعداد والوقاية أقل بكثير من تكاليف الاستجابة التفاعلية والتعافي من الكوارث</w:t>
      </w:r>
      <w:r w:rsidRPr="003177F3">
        <w:rPr>
          <w:rFonts w:ascii="Sakkal Majalla" w:hAnsi="Sakkal Majalla" w:cs="Sakkal Majalla"/>
          <w:color w:val="000000" w:themeColor="text1"/>
          <w:sz w:val="28"/>
          <w:szCs w:val="28"/>
        </w:rPr>
        <w:t>.</w:t>
      </w:r>
    </w:p>
    <w:p w14:paraId="679960D8"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ويرى</w:t>
      </w:r>
      <w:r w:rsidRPr="003177F3">
        <w:rPr>
          <w:rFonts w:ascii="Sakkal Majalla" w:hAnsi="Sakkal Majalla" w:cs="Sakkal Majalla"/>
          <w:color w:val="000000" w:themeColor="text1"/>
          <w:sz w:val="28"/>
          <w:szCs w:val="28"/>
        </w:rPr>
        <w:t xml:space="preserve"> Kruk et al. (2021) </w:t>
      </w:r>
      <w:r w:rsidRPr="003177F3">
        <w:rPr>
          <w:rFonts w:ascii="Sakkal Majalla" w:hAnsi="Sakkal Majalla" w:cs="Sakkal Majalla"/>
          <w:color w:val="000000" w:themeColor="text1"/>
          <w:sz w:val="28"/>
          <w:szCs w:val="28"/>
          <w:rtl/>
        </w:rPr>
        <w:t>أن أهمية مرونة الأنظمة الصحية واستدامتها تكمن في أنها تُحدد قدرة هذه الأنظمة على حماية المكاسب الصحية المتراكمة عبر عقود من التنمية الصحية، إذ أن الأوبئة والكوارث الصحية قد تُفضي في غياب المرونة والاستدامة إلى تراجع حاد في المؤشرات الصحية وانهيار البرامج الصحية الأساسية كبرامج التطعيم وصحة الأم والطفل ومكافحة الأمراض المزمنة. ويُضاف إلى ذلك أن الأنظمة الصحية المرنة والمستدامة تُسهم في تحقيق أهداف التنمية المستدامة ولا سيما الهدف الثالث المتعلق بالصحة الجيدة والرفاه والتغطية الصحية الشاملة</w:t>
      </w:r>
      <w:r w:rsidRPr="003177F3">
        <w:rPr>
          <w:rFonts w:ascii="Sakkal Majalla" w:hAnsi="Sakkal Majalla" w:cs="Sakkal Majalla"/>
          <w:color w:val="000000" w:themeColor="text1"/>
          <w:sz w:val="28"/>
          <w:szCs w:val="28"/>
        </w:rPr>
        <w:t>.</w:t>
      </w:r>
    </w:p>
    <w:p w14:paraId="02252B6B"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كما يُبرز بدير (2023) أهمية جاهزية المنظومة الصحية من زاوية مؤسسية تتعلق بإدارة المخاطر الصحية والبيئية في المؤسسات التعليمية، مشيراً إلى أن جاهزية القطاع الصحي لا تتأثر فقط بقدراته الذاتية بل ترتبط أيضاً بجاهزية القطاعات الأخرى المتصلة به كالتعليم والبيئة والخدمات الاجتماعية. وهذا </w:t>
      </w:r>
      <w:r w:rsidRPr="003177F3">
        <w:rPr>
          <w:rFonts w:ascii="Sakkal Majalla" w:hAnsi="Sakkal Majalla" w:cs="Sakkal Majalla"/>
          <w:color w:val="000000" w:themeColor="text1"/>
          <w:sz w:val="28"/>
          <w:szCs w:val="28"/>
          <w:rtl/>
        </w:rPr>
        <w:lastRenderedPageBreak/>
        <w:t>يُوسّع مفهوم الأهمية ليشمل البُعد التكاملي بين القطاعات، حيث إن تعزيز جاهزية القطاع الصحي يتطلب تعزيز الجاهزية الصحية في القطاعات المساندة الأخرى</w:t>
      </w:r>
      <w:r w:rsidRPr="003177F3">
        <w:rPr>
          <w:rFonts w:ascii="Sakkal Majalla" w:hAnsi="Sakkal Majalla" w:cs="Sakkal Majalla"/>
          <w:color w:val="000000" w:themeColor="text1"/>
          <w:sz w:val="28"/>
          <w:szCs w:val="28"/>
        </w:rPr>
        <w:t>.</w:t>
      </w:r>
    </w:p>
    <w:p w14:paraId="6DFB7005" w14:textId="25254A8F"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814221"/>
      <w:r w:rsidRPr="003177F3">
        <w:rPr>
          <w:rFonts w:ascii="Sakkal Majalla" w:hAnsi="Sakkal Majalla" w:cs="Sakkal Majalla" w:hint="cs"/>
          <w:b/>
          <w:bCs/>
          <w:color w:val="000000" w:themeColor="text1"/>
          <w:sz w:val="32"/>
          <w:szCs w:val="32"/>
          <w:rtl/>
        </w:rPr>
        <w:t xml:space="preserve">4.2.2 </w:t>
      </w:r>
      <w:r w:rsidR="00AF2B09" w:rsidRPr="003177F3">
        <w:rPr>
          <w:rFonts w:ascii="Sakkal Majalla" w:hAnsi="Sakkal Majalla" w:cs="Sakkal Majalla"/>
          <w:b/>
          <w:bCs/>
          <w:color w:val="000000" w:themeColor="text1"/>
          <w:sz w:val="32"/>
          <w:szCs w:val="32"/>
          <w:rtl/>
        </w:rPr>
        <w:t>أهداف تعزيز جاهزية واستدامة القطاع الصحي</w:t>
      </w:r>
      <w:bookmarkEnd w:id="29"/>
    </w:p>
    <w:p w14:paraId="620567DA"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تتعدد أهداف تعزيز جاهزية واستدامة القطاع الصحي وتتدرج من أهداف تشغيلية مباشرة إلى أهداف استراتيجية بعيدة المدى، ويمكن استعراض أبرزها وفقاً لما طرحته الأدبيات ذات الصلة</w:t>
      </w:r>
      <w:r w:rsidRPr="003177F3">
        <w:rPr>
          <w:rFonts w:ascii="Sakkal Majalla" w:hAnsi="Sakkal Majalla" w:cs="Sakkal Majalla"/>
          <w:color w:val="000000" w:themeColor="text1"/>
          <w:sz w:val="28"/>
          <w:szCs w:val="28"/>
        </w:rPr>
        <w:t>:</w:t>
      </w:r>
    </w:p>
    <w:p w14:paraId="046DEFBD"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يرى</w:t>
      </w:r>
      <w:r w:rsidRPr="003177F3">
        <w:rPr>
          <w:rFonts w:ascii="Sakkal Majalla" w:hAnsi="Sakkal Majalla" w:cs="Sakkal Majalla"/>
          <w:color w:val="000000" w:themeColor="text1"/>
          <w:sz w:val="28"/>
          <w:szCs w:val="28"/>
        </w:rPr>
        <w:t xml:space="preserve"> Barasa et al. (2018) </w:t>
      </w:r>
      <w:r w:rsidRPr="003177F3">
        <w:rPr>
          <w:rFonts w:ascii="Sakkal Majalla" w:hAnsi="Sakkal Majalla" w:cs="Sakkal Majalla"/>
          <w:color w:val="000000" w:themeColor="text1"/>
          <w:sz w:val="28"/>
          <w:szCs w:val="28"/>
          <w:rtl/>
        </w:rPr>
        <w:t>أن الهدف الجوهري من تعزيز مرونة الأنظمة الصحية واستدامتها يتمثل في بناء قدرة هذه الأنظمة على الاستمرار في تحقيق أهدافها الرئيسية في مواجهة التحديات والصدمات، ويتفرع عن هذا الهدف الشامل ثلاثة أهداف فرعية: أولاً، تعزيز القدرة الامتصاصية للنظام الصحي بحيث يتمكن من مقاومة الصدمات دون انهيار وظائفه الأساسية. ثانياً، تطوير القدرة التكيفية التي تُمكّن النظام من تعديل عملياته وهياكله استجابة للظروف المتغيرة. ثالثاً، بناء القدرة التحويلية التي تُتيح للنظام إعادة هيكلة نفسه بشكل جذري عندما تستدعي الضرورة ذلك</w:t>
      </w:r>
      <w:r w:rsidRPr="003177F3">
        <w:rPr>
          <w:rFonts w:ascii="Sakkal Majalla" w:hAnsi="Sakkal Majalla" w:cs="Sakkal Majalla"/>
          <w:color w:val="000000" w:themeColor="text1"/>
          <w:sz w:val="28"/>
          <w:szCs w:val="28"/>
        </w:rPr>
        <w:t>.</w:t>
      </w:r>
    </w:p>
    <w:p w14:paraId="0892DB76"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ويُضيف الرويلي والنيف (2025) بُعداً يتعلق بتحسين تجربة المستفيد من الخدمات الصحية كهدف محوري لتعزيز جاهزية القطاع الصحي، ويتضمن ذلك: أولاً، ضمان سهولة الوصول إلى الخدمات الصحية وعدم انقطاعها في أوقات الأزمات. ثانياً، المحافظة على جودة الخدمات المقدمة وسلامتها بصرف النظر عن الضغوط التي تواجهها المنظومة الصحية. ثالثاً، تعزيز رضا المستفيدين وثقتهم في المؤسسات الصحية من خلال استجابة فعالة وشفافة</w:t>
      </w:r>
      <w:r w:rsidRPr="003177F3">
        <w:rPr>
          <w:rFonts w:ascii="Sakkal Majalla" w:hAnsi="Sakkal Majalla" w:cs="Sakkal Majalla"/>
          <w:color w:val="000000" w:themeColor="text1"/>
          <w:sz w:val="28"/>
          <w:szCs w:val="28"/>
        </w:rPr>
        <w:t>.</w:t>
      </w:r>
    </w:p>
    <w:p w14:paraId="04FA0162"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يُحدد عودة والخشالي (2025) أهدافاً تتعلق بالعلاقة بين الرشاقة الاستراتيجية وجودة الرعاية الصحية، حيث يتضمن تعزيز الجاهزية والاستدامة: أولاً، تمكين المؤسسات الصحية من الاستجابة السريعة والمرنة للمتغيرات في بيئتها التشغيلية. ثانياً، تحقيق التميز في تقديم الرعاية الصحية من خلال التحسين المستمر للعمليات والممارسات</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ثالثاً، بناء ميزة تنافسية مستدامة للمؤسسات الصحية تُمكّنها من استقطاب الكفاءات والموارد اللازمة لتطوير أدائها</w:t>
      </w:r>
      <w:r w:rsidRPr="003177F3">
        <w:rPr>
          <w:rFonts w:ascii="Sakkal Majalla" w:hAnsi="Sakkal Majalla" w:cs="Sakkal Majalla"/>
          <w:color w:val="000000" w:themeColor="text1"/>
          <w:sz w:val="28"/>
          <w:szCs w:val="28"/>
        </w:rPr>
        <w:t>.</w:t>
      </w:r>
    </w:p>
    <w:p w14:paraId="3CC58792" w14:textId="299A7662"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814222"/>
      <w:r w:rsidRPr="003177F3">
        <w:rPr>
          <w:rFonts w:ascii="Sakkal Majalla" w:hAnsi="Sakkal Majalla" w:cs="Sakkal Majalla" w:hint="cs"/>
          <w:b/>
          <w:bCs/>
          <w:color w:val="000000" w:themeColor="text1"/>
          <w:sz w:val="32"/>
          <w:szCs w:val="32"/>
          <w:rtl/>
        </w:rPr>
        <w:lastRenderedPageBreak/>
        <w:t xml:space="preserve">5.2.2 </w:t>
      </w:r>
      <w:r w:rsidR="00AF2B09" w:rsidRPr="003177F3">
        <w:rPr>
          <w:rFonts w:ascii="Sakkal Majalla" w:hAnsi="Sakkal Majalla" w:cs="Sakkal Majalla"/>
          <w:b/>
          <w:bCs/>
          <w:color w:val="000000" w:themeColor="text1"/>
          <w:sz w:val="32"/>
          <w:szCs w:val="32"/>
          <w:rtl/>
        </w:rPr>
        <w:t>مقومات جاهزية واستدامة القطاع الصحي</w:t>
      </w:r>
      <w:bookmarkEnd w:id="30"/>
    </w:p>
    <w:p w14:paraId="00EEBDB7"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تتعدد المقومات اللازمة لتحقيق جاهزية واستدامة القطاع الصحي وتتشابك فيما بينها بشكل يعكس تعقّد المنظومة الصحية وتعدد أبعادها. ويمكن تصنيف هذه المقومات في عدة فئات رئيسية تُشكّل في مجموعها البنية التأسيسية للجاهزية والاستدامة</w:t>
      </w:r>
      <w:r w:rsidRPr="003177F3">
        <w:rPr>
          <w:rFonts w:ascii="Sakkal Majalla" w:hAnsi="Sakkal Majalla" w:cs="Sakkal Majalla"/>
          <w:color w:val="000000" w:themeColor="text1"/>
          <w:sz w:val="28"/>
          <w:szCs w:val="28"/>
        </w:rPr>
        <w:t>.</w:t>
      </w:r>
    </w:p>
    <w:p w14:paraId="61F0C881"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تتمثل الفئة الأولى في المقومات البشرية التي تُشكّل العمود الفقري للمنظومة الصحية، وتشمل توافر الكوادر الطبية والتمريضية والإدارية المؤهلة بأعداد كافية ومستويات تأهيل مناسبة. وقد أشار موسى (2021) إلى أن كفاءة الموارد البشرية تُعدّ عاملاً حاسماً في تعزيز الفعالية التنظيمية للمؤسسات الصحية وقدرتها على مواجهة المخاطر، وأن الاستثمار في التدريب المستمر ورفع الكفاءات البشرية يُشكّل ضرورة لا غنى عنها لضمان الجاهزية. ويتجاوز مفهوم المقومات البشرية مجرد التوافر العددي ليشمل مستوى التأهيل والتدريب ودرجة الالتزام والدافعية والقدرة على العمل تحت الضغوط والمرونة في التكيف مع الأدوار المتغيرة أثناء الأزمات</w:t>
      </w:r>
      <w:r w:rsidRPr="003177F3">
        <w:rPr>
          <w:rFonts w:ascii="Sakkal Majalla" w:hAnsi="Sakkal Majalla" w:cs="Sakkal Majalla"/>
          <w:color w:val="000000" w:themeColor="text1"/>
          <w:sz w:val="28"/>
          <w:szCs w:val="28"/>
        </w:rPr>
        <w:t>.</w:t>
      </w:r>
    </w:p>
    <w:p w14:paraId="6D48F17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أما الفئة الثانية فتتمثل في المقومات المادية والتقنية التي تشمل المرافق الصحية ومعداتها وأجهزتها والإمدادات الطبية والأدوية والبنية التحتية التقنية والرقمية. وقد أكد العنزي والنيف </w:t>
      </w:r>
      <w:r w:rsidRPr="003177F3">
        <w:rPr>
          <w:rFonts w:ascii="Sakkal Majalla" w:hAnsi="Sakkal Majalla" w:cs="Sakkal Majalla"/>
          <w:color w:val="000000" w:themeColor="text1"/>
          <w:sz w:val="28"/>
          <w:szCs w:val="28"/>
        </w:rPr>
        <w:t xml:space="preserve">(2025) </w:t>
      </w:r>
      <w:r w:rsidRPr="003177F3">
        <w:rPr>
          <w:rFonts w:ascii="Sakkal Majalla" w:hAnsi="Sakkal Majalla" w:cs="Sakkal Majalla"/>
          <w:color w:val="000000" w:themeColor="text1"/>
          <w:sz w:val="28"/>
          <w:szCs w:val="28"/>
          <w:rtl/>
        </w:rPr>
        <w:t>على أن الجاهزية الإلكترونية بوصفها مكوناً من مكونات البنية التحتية التقنية تلعب دوراً محورياً في تعزيز قدرة المؤسسات الصحية على إدارة الأزمات والكوارث بكفاءة. كما يتصل بهذه الفئة مفهوم المخزون الاستراتيجي من المستلزمات الطبية الحيوية الذي يضمن عدم انقطاع الإمدادات أثناء الأزمات، وهو ما أبرزت جائحة كوفيد-19 أهميته البالغة حين عانت دول كثيرة من نقص حاد في معدات الحماية الشخصية وأجهزة التنفس والأدوية الأساسية</w:t>
      </w:r>
      <w:r w:rsidRPr="003177F3">
        <w:rPr>
          <w:rFonts w:ascii="Sakkal Majalla" w:hAnsi="Sakkal Majalla" w:cs="Sakkal Majalla"/>
          <w:color w:val="000000" w:themeColor="text1"/>
          <w:sz w:val="28"/>
          <w:szCs w:val="28"/>
        </w:rPr>
        <w:t>.</w:t>
      </w:r>
    </w:p>
    <w:p w14:paraId="2263C65C"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وتتمثل الفئة الثالثة في المقومات التنظيمية والإدارية التي تشمل الهياكل التنظيمية والسياسات والإجراءات ونُظم الحوكمة وآليات صنع القرار وأنماط القيادة. وقد أشار الحسيب والنيف</w:t>
      </w:r>
      <w:r w:rsidRPr="003177F3">
        <w:rPr>
          <w:rFonts w:ascii="Sakkal Majalla" w:hAnsi="Sakkal Majalla" w:cs="Sakkal Majalla"/>
          <w:color w:val="000000" w:themeColor="text1"/>
          <w:sz w:val="28"/>
          <w:szCs w:val="28"/>
        </w:rPr>
        <w:t xml:space="preserve"> (2025) </w:t>
      </w:r>
      <w:r w:rsidRPr="003177F3">
        <w:rPr>
          <w:rFonts w:ascii="Sakkal Majalla" w:hAnsi="Sakkal Majalla" w:cs="Sakkal Majalla"/>
          <w:color w:val="000000" w:themeColor="text1"/>
          <w:sz w:val="28"/>
          <w:szCs w:val="28"/>
          <w:rtl/>
        </w:rPr>
        <w:t xml:space="preserve">إلى أن الوعي الاستراتيجي لدى القيادات الصحية يُعدّ مقوماً جوهرياً للتعامل الفعال مع الأزمات والكوارث الصحية، حيث إن القيادة الواعية استراتيجياً تكون أقدر على استشراف المخاطر واتخاذ القرارات الصائبة </w:t>
      </w:r>
      <w:r w:rsidRPr="003177F3">
        <w:rPr>
          <w:rFonts w:ascii="Sakkal Majalla" w:hAnsi="Sakkal Majalla" w:cs="Sakkal Majalla"/>
          <w:color w:val="000000" w:themeColor="text1"/>
          <w:sz w:val="28"/>
          <w:szCs w:val="28"/>
          <w:rtl/>
        </w:rPr>
        <w:lastRenderedPageBreak/>
        <w:t>تحت الضغوط وتوجيه الموارد نحو الأولويات الأكثر إلحاحاً. كما تتضمن المقومات التنظيمية وجود خطط طوارئ واستجابة محدّثة وبروتوكولات عمل واضحة ونُظم إدارة جودة فاعلة</w:t>
      </w:r>
      <w:r w:rsidRPr="003177F3">
        <w:rPr>
          <w:rFonts w:ascii="Sakkal Majalla" w:hAnsi="Sakkal Majalla" w:cs="Sakkal Majalla"/>
          <w:color w:val="000000" w:themeColor="text1"/>
          <w:sz w:val="28"/>
          <w:szCs w:val="28"/>
        </w:rPr>
        <w:t>.</w:t>
      </w:r>
    </w:p>
    <w:p w14:paraId="68BD7B61"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أما الفئة الرابعة فتتمثل في المقومات الثقافية والمعرفية التي تشمل الثقافة التنظيمية الداعمة لإدارة المخاطر والتعلم المؤسسي من التجارب السابقة ومشاركة المعرفة بين العاملين. وقد أكد </w:t>
      </w:r>
      <w:r w:rsidRPr="003177F3">
        <w:rPr>
          <w:rFonts w:ascii="Sakkal Majalla" w:hAnsi="Sakkal Majalla" w:cs="Sakkal Majalla"/>
          <w:color w:val="000000" w:themeColor="text1"/>
          <w:sz w:val="28"/>
          <w:szCs w:val="28"/>
        </w:rPr>
        <w:t xml:space="preserve">Barasa et al. (2018) </w:t>
      </w:r>
      <w:r w:rsidRPr="003177F3">
        <w:rPr>
          <w:rFonts w:ascii="Sakkal Majalla" w:hAnsi="Sakkal Majalla" w:cs="Sakkal Majalla"/>
          <w:color w:val="000000" w:themeColor="text1"/>
          <w:sz w:val="28"/>
          <w:szCs w:val="28"/>
          <w:rtl/>
        </w:rPr>
        <w:t>على أن البُعد البرمجي</w:t>
      </w:r>
      <w:r w:rsidRPr="003177F3">
        <w:rPr>
          <w:rFonts w:ascii="Sakkal Majalla" w:hAnsi="Sakkal Majalla" w:cs="Sakkal Majalla"/>
          <w:color w:val="000000" w:themeColor="text1"/>
          <w:sz w:val="28"/>
          <w:szCs w:val="28"/>
        </w:rPr>
        <w:t xml:space="preserve"> (Software) </w:t>
      </w:r>
      <w:r w:rsidRPr="003177F3">
        <w:rPr>
          <w:rFonts w:ascii="Sakkal Majalla" w:hAnsi="Sakkal Majalla" w:cs="Sakkal Majalla"/>
          <w:color w:val="000000" w:themeColor="text1"/>
          <w:sz w:val="28"/>
          <w:szCs w:val="28"/>
          <w:rtl/>
        </w:rPr>
        <w:t>للنظام الصحي الذي يتضمن الثقافة التنظيمية والقيم والعلاقات والمعارف الضمنية يُعدّ بذات أهمية بُعده المادي</w:t>
      </w:r>
      <w:r w:rsidRPr="003177F3">
        <w:rPr>
          <w:rFonts w:ascii="Sakkal Majalla" w:hAnsi="Sakkal Majalla" w:cs="Sakkal Majalla"/>
          <w:color w:val="000000" w:themeColor="text1"/>
          <w:sz w:val="28"/>
          <w:szCs w:val="28"/>
        </w:rPr>
        <w:t xml:space="preserve"> (Hardware) </w:t>
      </w:r>
      <w:r w:rsidRPr="003177F3">
        <w:rPr>
          <w:rFonts w:ascii="Sakkal Majalla" w:hAnsi="Sakkal Majalla" w:cs="Sakkal Majalla"/>
          <w:color w:val="000000" w:themeColor="text1"/>
          <w:sz w:val="28"/>
          <w:szCs w:val="28"/>
          <w:rtl/>
        </w:rPr>
        <w:t>إن لم يكن أكثر أهمية في تعزيز مرونة النظام الصحي واستدامته. وتتطلب هذه الثقافة بيئة مؤسسية تشجع على الإبلاغ عن المخاطر دون خوف وتتعامل مع الأخطاء بوصفها فرصاً للتعلم والتحسين وليس مبرراً للعقاب، مما يُعزز الاستجابة المبكرة للمخاطر ويمنع تفاقمها</w:t>
      </w:r>
      <w:r w:rsidRPr="003177F3">
        <w:rPr>
          <w:rFonts w:ascii="Sakkal Majalla" w:hAnsi="Sakkal Majalla" w:cs="Sakkal Majalla"/>
          <w:color w:val="000000" w:themeColor="text1"/>
          <w:sz w:val="28"/>
          <w:szCs w:val="28"/>
        </w:rPr>
        <w:t>.</w:t>
      </w:r>
    </w:p>
    <w:p w14:paraId="6E964967" w14:textId="631D961A"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814223"/>
      <w:r w:rsidRPr="003177F3">
        <w:rPr>
          <w:rFonts w:ascii="Sakkal Majalla" w:hAnsi="Sakkal Majalla" w:cs="Sakkal Majalla" w:hint="cs"/>
          <w:b/>
          <w:bCs/>
          <w:color w:val="000000" w:themeColor="text1"/>
          <w:sz w:val="32"/>
          <w:szCs w:val="32"/>
          <w:rtl/>
        </w:rPr>
        <w:t xml:space="preserve">6.2.2 </w:t>
      </w:r>
      <w:r w:rsidR="00AF2B09" w:rsidRPr="003177F3">
        <w:rPr>
          <w:rFonts w:ascii="Sakkal Majalla" w:hAnsi="Sakkal Majalla" w:cs="Sakkal Majalla"/>
          <w:b/>
          <w:bCs/>
          <w:color w:val="000000" w:themeColor="text1"/>
          <w:sz w:val="32"/>
          <w:szCs w:val="32"/>
          <w:rtl/>
        </w:rPr>
        <w:t>العوامل المؤثرة في جاهزية واستدامة القطاع الصحي</w:t>
      </w:r>
      <w:bookmarkEnd w:id="31"/>
    </w:p>
    <w:p w14:paraId="168AEEB4"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تتأثر جاهزية واستدامة القطاع الصحي بمجموعة واسعة من العوامل الداخلية والخارجية التي تتفاعل فيما بينها بشكل معقد</w:t>
      </w:r>
      <w:r w:rsidRPr="003177F3">
        <w:rPr>
          <w:rFonts w:ascii="Sakkal Majalla" w:hAnsi="Sakkal Majalla" w:cs="Sakkal Majalla"/>
          <w:color w:val="000000" w:themeColor="text1"/>
          <w:sz w:val="28"/>
          <w:szCs w:val="28"/>
        </w:rPr>
        <w:t xml:space="preserve">. </w:t>
      </w:r>
      <w:r w:rsidRPr="003177F3">
        <w:rPr>
          <w:rFonts w:ascii="Sakkal Majalla" w:hAnsi="Sakkal Majalla" w:cs="Sakkal Majalla"/>
          <w:color w:val="000000" w:themeColor="text1"/>
          <w:sz w:val="28"/>
          <w:szCs w:val="28"/>
          <w:rtl/>
        </w:rPr>
        <w:t>وعلى صعيد العوامل الداخلية، يُعدّ مستوى تطبيق ممارسات إدارة المخاطر من أبرز المحددات، حيث تناول الرويلي والنيف (2025) أثر ممارسات إدارة المخاطر في تحسين تجربة المستفيد من الخدمات الصحية، مما يُشير إلى أن جودة ممارسات إدارة المخاطر تنعكس مباشرة على مستوى الأداء المؤسسي ورضا المستفيدين وبالتالي على استدامة المؤسسة الصحية</w:t>
      </w:r>
      <w:r w:rsidRPr="003177F3">
        <w:rPr>
          <w:rFonts w:ascii="Sakkal Majalla" w:hAnsi="Sakkal Majalla" w:cs="Sakkal Majalla"/>
          <w:color w:val="000000" w:themeColor="text1"/>
          <w:sz w:val="28"/>
          <w:szCs w:val="28"/>
        </w:rPr>
        <w:t>.</w:t>
      </w:r>
    </w:p>
    <w:p w14:paraId="6AF433A6"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يؤثر مستوى التخطيط الاستراتيجي في جاهزية المؤسسات الصحية واستدامتها، حيث تناول داخل وجماعة وأبو زيد</w:t>
      </w:r>
      <w:r w:rsidRPr="003177F3">
        <w:rPr>
          <w:rFonts w:ascii="Sakkal Majalla" w:hAnsi="Sakkal Majalla" w:cs="Sakkal Majalla"/>
          <w:color w:val="000000" w:themeColor="text1"/>
          <w:sz w:val="28"/>
          <w:szCs w:val="28"/>
        </w:rPr>
        <w:t xml:space="preserve"> (2022) </w:t>
      </w:r>
      <w:r w:rsidRPr="003177F3">
        <w:rPr>
          <w:rFonts w:ascii="Sakkal Majalla" w:hAnsi="Sakkal Majalla" w:cs="Sakkal Majalla"/>
          <w:color w:val="000000" w:themeColor="text1"/>
          <w:sz w:val="28"/>
          <w:szCs w:val="28"/>
          <w:rtl/>
        </w:rPr>
        <w:t>العلاقة بين التخطيط الاستراتيجي وفاعلية إدارة الأزمات في المنظمات الصحية، مُبرزين أن المؤسسات التي تمتلك رؤية استراتيجية واضحة وأهدافاً محددة تكون أكثر قدرة على التعامل مع الأزمات والمحافظة على استمرارية خدماتها. ويتصل بذلك مستوى ثقافة السلامة والجودة السائدة في المؤسسة الصحية، حيث تناول</w:t>
      </w:r>
      <w:r w:rsidRPr="003177F3">
        <w:rPr>
          <w:rFonts w:ascii="Sakkal Majalla" w:hAnsi="Sakkal Majalla" w:cs="Sakkal Majalla"/>
          <w:color w:val="000000" w:themeColor="text1"/>
          <w:sz w:val="28"/>
          <w:szCs w:val="28"/>
        </w:rPr>
        <w:t xml:space="preserve"> Al-Mutair et al. (2021) </w:t>
      </w:r>
      <w:r w:rsidRPr="003177F3">
        <w:rPr>
          <w:rFonts w:ascii="Sakkal Majalla" w:hAnsi="Sakkal Majalla" w:cs="Sakkal Majalla"/>
          <w:color w:val="000000" w:themeColor="text1"/>
          <w:sz w:val="28"/>
          <w:szCs w:val="28"/>
          <w:rtl/>
        </w:rPr>
        <w:t>أثر إدارة المخاطر وثقافة السلامة على أداء الرعاية الصحية أثناء جائحة كوفيد-19 في المملكة العربية السعودية، مُوضحين أن ثقافة السلامة تُشكّل عاملاً وسيطاً مهماً بين ممارسات إدارة المخاطر ومستوى الأداء الصحي</w:t>
      </w:r>
      <w:r w:rsidRPr="003177F3">
        <w:rPr>
          <w:rFonts w:ascii="Sakkal Majalla" w:hAnsi="Sakkal Majalla" w:cs="Sakkal Majalla"/>
          <w:color w:val="000000" w:themeColor="text1"/>
          <w:sz w:val="28"/>
          <w:szCs w:val="28"/>
        </w:rPr>
        <w:t>.</w:t>
      </w:r>
    </w:p>
    <w:p w14:paraId="356E535A"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lastRenderedPageBreak/>
        <w:t xml:space="preserve">وعلى صعيد العوامل الخارجية، تؤثر البيئة التنظيمية والتشريعية في مستوى الجاهزية والاستدامة، إذ أن وجود تشريعات ومعايير إلزامية لإدارة المخاطر الصحية يُحفّز المؤسسات على تبني ممارسات أفضل. كما تلعب الشراكات القطاعية دوراً مهماً، حيث أشار شحاتة وبدير </w:t>
      </w:r>
      <w:r w:rsidRPr="003177F3">
        <w:rPr>
          <w:rFonts w:ascii="Sakkal Majalla" w:hAnsi="Sakkal Majalla" w:cs="Sakkal Majalla"/>
          <w:color w:val="000000" w:themeColor="text1"/>
          <w:sz w:val="28"/>
          <w:szCs w:val="28"/>
        </w:rPr>
        <w:t xml:space="preserve">(2021) </w:t>
      </w:r>
      <w:r w:rsidRPr="003177F3">
        <w:rPr>
          <w:rFonts w:ascii="Sakkal Majalla" w:hAnsi="Sakkal Majalla" w:cs="Sakkal Majalla"/>
          <w:color w:val="000000" w:themeColor="text1"/>
          <w:sz w:val="28"/>
          <w:szCs w:val="28"/>
          <w:rtl/>
        </w:rPr>
        <w:t>إلى أن إدارة المخاطر الصحية والبيئية تتطلب تعاوناً وثيقاً بين المؤسسات الصحية والتعليمية والبيئية، وأن هذا التكامل يُعزز الجاهزية الشاملة للمنظومة الصحية. فضلاً عن ذلك، يؤثر مستوى الدعم الحكومي والتمويل المتاح في قدرة المؤسسات الصحية على بناء مقومات الجاهزية والاستدامة والمحافظة عليها</w:t>
      </w:r>
      <w:r w:rsidRPr="003177F3">
        <w:rPr>
          <w:rFonts w:ascii="Sakkal Majalla" w:hAnsi="Sakkal Majalla" w:cs="Sakkal Majalla"/>
          <w:color w:val="000000" w:themeColor="text1"/>
          <w:sz w:val="28"/>
          <w:szCs w:val="28"/>
        </w:rPr>
        <w:t>.</w:t>
      </w:r>
    </w:p>
    <w:p w14:paraId="64807AD6"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ومن العوامل المؤثرة أيضاً مستوى الوعي المجتمعي والثقافة الصحية السائدة، حيث أكد صادق (2022) على أن تنمية الثقافة الصحية المجتمعية تُسهم بشكل مباشر في تعزيز قدرة المنظومة الصحية على مواجهة الأوبئة، إذ أن المجتمع الواعي صحياً يكون أكثر التزاماً بالإجراءات الوقائية وأقل عرضة للانجراف وراء المعلومات المضللة، مما يُخفف الضغط على المؤسسات الصحية ويُعزز فاعلية جهودها</w:t>
      </w:r>
      <w:r w:rsidRPr="003177F3">
        <w:rPr>
          <w:rFonts w:ascii="Sakkal Majalla" w:hAnsi="Sakkal Majalla" w:cs="Sakkal Majalla"/>
          <w:color w:val="000000" w:themeColor="text1"/>
          <w:sz w:val="28"/>
          <w:szCs w:val="28"/>
        </w:rPr>
        <w:t>.</w:t>
      </w:r>
    </w:p>
    <w:p w14:paraId="6FB55E60" w14:textId="16D04A60"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814224"/>
      <w:r w:rsidRPr="003177F3">
        <w:rPr>
          <w:rFonts w:ascii="Sakkal Majalla" w:hAnsi="Sakkal Majalla" w:cs="Sakkal Majalla" w:hint="cs"/>
          <w:b/>
          <w:bCs/>
          <w:color w:val="000000" w:themeColor="text1"/>
          <w:sz w:val="32"/>
          <w:szCs w:val="32"/>
          <w:rtl/>
        </w:rPr>
        <w:t xml:space="preserve">7.2.2 </w:t>
      </w:r>
      <w:r w:rsidR="00AF2B09" w:rsidRPr="003177F3">
        <w:rPr>
          <w:rFonts w:ascii="Sakkal Majalla" w:hAnsi="Sakkal Majalla" w:cs="Sakkal Majalla"/>
          <w:b/>
          <w:bCs/>
          <w:color w:val="000000" w:themeColor="text1"/>
          <w:sz w:val="32"/>
          <w:szCs w:val="32"/>
          <w:rtl/>
        </w:rPr>
        <w:t>المداخل النظرية لتعزيز جاهزية واستدامة القطاع الصحي</w:t>
      </w:r>
      <w:bookmarkEnd w:id="32"/>
    </w:p>
    <w:p w14:paraId="1BF26FFB"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تتعدد المداخل النظرية التي يمكن من خلالها فهم وتفسير جاهزية واستدامة القطاع الصحي وتحديد سبل تعزيزهما. ويُعدّ مدخل المرونة التنظيمية من أبرز هذه المداخل وأكثرها ملاءمة لموضوع هذه الدراسة، حيث ينظر إلى جاهزية واستدامة المؤسسات الصحية من منظور قدرتها على الصمود والتكيف والتحول في مواجهة الصدمات والضغوط. وقد ميّز</w:t>
      </w:r>
      <w:r w:rsidRPr="003177F3">
        <w:rPr>
          <w:rFonts w:ascii="Sakkal Majalla" w:hAnsi="Sakkal Majalla" w:cs="Sakkal Majalla"/>
          <w:color w:val="000000" w:themeColor="text1"/>
          <w:sz w:val="28"/>
          <w:szCs w:val="28"/>
        </w:rPr>
        <w:t xml:space="preserve"> Barasa et al. (2018) </w:t>
      </w:r>
      <w:r w:rsidRPr="003177F3">
        <w:rPr>
          <w:rFonts w:ascii="Sakkal Majalla" w:hAnsi="Sakkal Majalla" w:cs="Sakkal Majalla"/>
          <w:color w:val="000000" w:themeColor="text1"/>
          <w:sz w:val="28"/>
          <w:szCs w:val="28"/>
          <w:rtl/>
        </w:rPr>
        <w:t>بين نوعين من المرونة هما المرونة المخططة التي تنشأ من الاستعداد والتخطيط المسبق للأزمات، والمرونة التكيفية التي تنشأ من القدرة على التعامل مع الصدمات الفعلية والتكيف معها في الوقت الحقيقي. وأضافوا مفهوم المرونة اليومية التي تُشير إلى قدرة النظام الصحي على التعامل مع الضغوط الروتينية والمزمنة التي يواجهها في عمله اليومي، وهو مفهوم يُثري فهم الاستدامة بوصفها لا تتعلق فقط بالصمود أمام الصدمات الكبرى بل أيضاً بالأداء المتسق في الظروف العادية</w:t>
      </w:r>
      <w:r w:rsidRPr="003177F3">
        <w:rPr>
          <w:rFonts w:ascii="Sakkal Majalla" w:hAnsi="Sakkal Majalla" w:cs="Sakkal Majalla"/>
          <w:color w:val="000000" w:themeColor="text1"/>
          <w:sz w:val="28"/>
          <w:szCs w:val="28"/>
        </w:rPr>
        <w:t>.</w:t>
      </w:r>
    </w:p>
    <w:p w14:paraId="3EBEA143"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ويُقدّم مدخل إدارة الجودة الشاملة زاوية مختلفة لفهم جاهزية واستدامة القطاع الصحي من خلال التركيز على التحسين المستمر للعمليات والخدمات الصحية والوقاية من الأخطاء والمخاطر. وقد </w:t>
      </w:r>
      <w:r w:rsidRPr="003177F3">
        <w:rPr>
          <w:rFonts w:ascii="Sakkal Majalla" w:hAnsi="Sakkal Majalla" w:cs="Sakkal Majalla"/>
          <w:color w:val="000000" w:themeColor="text1"/>
          <w:sz w:val="28"/>
          <w:szCs w:val="28"/>
          <w:rtl/>
        </w:rPr>
        <w:lastRenderedPageBreak/>
        <w:t>تناول المطيري (2023) أثر ممارسات إدارة المخاطر على جودة الرعاية الصحية بأبعادها المتمثلة في الاعتمادية والملموسية والتعاطف والاستجابة، مما يُبرز التقاطع بين إدارة المخاطر ومنظومة الجودة في تعزيز استدامة الخدمات الصحية. ويرتكز هذا المدخل على فلسفة أن الجودة ليست حالة ثابتة بل عملية ديناميكية مستمرة تتطلب رصداً وتقييماً وتحسيناً دائمين</w:t>
      </w:r>
      <w:r w:rsidRPr="003177F3">
        <w:rPr>
          <w:rFonts w:ascii="Sakkal Majalla" w:hAnsi="Sakkal Majalla" w:cs="Sakkal Majalla"/>
          <w:color w:val="000000" w:themeColor="text1"/>
          <w:sz w:val="28"/>
          <w:szCs w:val="28"/>
        </w:rPr>
        <w:t>.</w:t>
      </w:r>
    </w:p>
    <w:p w14:paraId="323D6035"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كما يُسهم مدخل إدارة استمرارية الأعمال في فهم البُعد التشغيلي للجاهزية والاستدامة، حيث يُركّز على ضمان استمرار العمليات والخدمات الحيوية للمؤسسة الصحية في أثناء الأزمات وبعدها. وقد تناولت العجلة وأبو معمر (2022) الاستراتيجيات الحديثة في إدارة الأزمات وأثرها على استمرارية الأعمال في المنظمات الصحية، مما يُؤكد أهمية هذا المدخل في توفير أُطر عملية لضمان استدامة الخدمات الصحية تحت الضغوط الاستثنائية</w:t>
      </w:r>
      <w:r w:rsidRPr="003177F3">
        <w:rPr>
          <w:rFonts w:ascii="Sakkal Majalla" w:hAnsi="Sakkal Majalla" w:cs="Sakkal Majalla"/>
          <w:color w:val="000000" w:themeColor="text1"/>
          <w:sz w:val="28"/>
          <w:szCs w:val="28"/>
        </w:rPr>
        <w:t>.</w:t>
      </w:r>
    </w:p>
    <w:p w14:paraId="77A0951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ويتكامل مع المداخل السابقة مدخل الحوكمة الرشيدة الذي يُركّز على الأُطر المؤسسية والتنظيمية التي تضمن الشفافية والمساءلة وكفاءة صنع القرار في المؤسسات الصحية. وقد أشار القضاة والسبحي وحوباني (2023) إلى أن التغييرات الاستراتيجية في إدارة الأزمات والكوارث الصحية تتطلب حوكمة قوية تضمن التنسيق بين مختلف الجهات والمستويات وتُمكّن من اتخاذ قرارات سريعة ورشيدة في أوقات الأزمات، وهو ما يربط بين جودة الحوكمة ومستوى الجاهزية والاستدامة</w:t>
      </w:r>
      <w:r w:rsidRPr="003177F3">
        <w:rPr>
          <w:rFonts w:ascii="Sakkal Majalla" w:hAnsi="Sakkal Majalla" w:cs="Sakkal Majalla"/>
          <w:color w:val="000000" w:themeColor="text1"/>
          <w:sz w:val="28"/>
          <w:szCs w:val="28"/>
        </w:rPr>
        <w:t>.</w:t>
      </w:r>
    </w:p>
    <w:p w14:paraId="5B55FEDC" w14:textId="33D2F290" w:rsidR="00AF2B09" w:rsidRPr="003177F3" w:rsidRDefault="00F11D9B" w:rsidP="00F11D9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814225"/>
      <w:r w:rsidRPr="003177F3">
        <w:rPr>
          <w:rFonts w:ascii="Sakkal Majalla" w:hAnsi="Sakkal Majalla" w:cs="Sakkal Majalla" w:hint="cs"/>
          <w:b/>
          <w:bCs/>
          <w:color w:val="000000" w:themeColor="text1"/>
          <w:sz w:val="32"/>
          <w:szCs w:val="32"/>
          <w:rtl/>
        </w:rPr>
        <w:t xml:space="preserve">8.2.2 </w:t>
      </w:r>
      <w:r w:rsidR="00AF2B09" w:rsidRPr="003177F3">
        <w:rPr>
          <w:rFonts w:ascii="Sakkal Majalla" w:hAnsi="Sakkal Majalla" w:cs="Sakkal Majalla"/>
          <w:b/>
          <w:bCs/>
          <w:color w:val="000000" w:themeColor="text1"/>
          <w:sz w:val="32"/>
          <w:szCs w:val="32"/>
          <w:rtl/>
        </w:rPr>
        <w:t>مؤشرات قياس جاهزية واستدامة القطاع الصحي</w:t>
      </w:r>
      <w:bookmarkEnd w:id="33"/>
    </w:p>
    <w:p w14:paraId="0D1F3776"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يُعدّ قياس جاهزية واستدامة القطاع الصحي من التحديات المنهجية المهمة نظراً لتعدد أبعاد المفهوم وتداخلها</w:t>
      </w:r>
      <w:r w:rsidRPr="003177F3">
        <w:rPr>
          <w:rFonts w:ascii="Sakkal Majalla" w:hAnsi="Sakkal Majalla" w:cs="Sakkal Majalla"/>
          <w:color w:val="000000" w:themeColor="text1"/>
          <w:sz w:val="28"/>
          <w:szCs w:val="28"/>
          <w:u w:val="single"/>
          <w:rtl/>
        </w:rPr>
        <w:t>.</w:t>
      </w:r>
      <w:r w:rsidRPr="003177F3">
        <w:rPr>
          <w:rFonts w:ascii="Sakkal Majalla" w:hAnsi="Sakkal Majalla" w:cs="Sakkal Majalla"/>
          <w:color w:val="000000" w:themeColor="text1"/>
          <w:sz w:val="28"/>
          <w:szCs w:val="28"/>
          <w:rtl/>
        </w:rPr>
        <w:t xml:space="preserve"> وقد تعددت المؤشرات المستخدمة في الأدبيات لقياس هذين المكونين، ويمكن تصنيفها في عدة فئات</w:t>
      </w:r>
      <w:r w:rsidRPr="003177F3">
        <w:rPr>
          <w:rFonts w:ascii="Sakkal Majalla" w:hAnsi="Sakkal Majalla" w:cs="Sakkal Majalla"/>
          <w:color w:val="000000" w:themeColor="text1"/>
          <w:sz w:val="28"/>
          <w:szCs w:val="28"/>
        </w:rPr>
        <w:t>.</w:t>
      </w:r>
    </w:p>
    <w:p w14:paraId="019F4ED0"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 xml:space="preserve">تتضمن الفئة الأولى مؤشرات الجاهزية المادية والبشرية التي تقيس مدى توافر الموارد اللازمة للاستجابة، وتشمل نسبة الأسرّة إلى عدد السكان ومعدل الكوادر الصحية وكفاية المخزون الاستراتيجي من الإمدادات الطبية ومدى تحديث المعدات والأجهزة. وقد تناول عثمان وآل جحني (2023) إدارة المخاطر </w:t>
      </w:r>
      <w:r w:rsidRPr="003177F3">
        <w:rPr>
          <w:rFonts w:ascii="Sakkal Majalla" w:hAnsi="Sakkal Majalla" w:cs="Sakkal Majalla"/>
          <w:color w:val="000000" w:themeColor="text1"/>
          <w:sz w:val="28"/>
          <w:szCs w:val="28"/>
          <w:rtl/>
        </w:rPr>
        <w:lastRenderedPageBreak/>
        <w:t>الصحية أثناء الأحداث الرياضية الكبرى مع التركيز على مؤشرات الجاهزية اللازمة لتغطية التجمعات الكبيرة، مما يُقدّم نموذجاً لمؤشرات قياس جاهزية القطاع الصحي في سياقات محددة</w:t>
      </w:r>
      <w:r w:rsidRPr="003177F3">
        <w:rPr>
          <w:rFonts w:ascii="Sakkal Majalla" w:hAnsi="Sakkal Majalla" w:cs="Sakkal Majalla"/>
          <w:color w:val="000000" w:themeColor="text1"/>
          <w:sz w:val="28"/>
          <w:szCs w:val="28"/>
        </w:rPr>
        <w:t>.</w:t>
      </w:r>
    </w:p>
    <w:p w14:paraId="579F23BB" w14:textId="77777777" w:rsidR="00AF2B09" w:rsidRPr="003177F3" w:rsidRDefault="00AF2B09" w:rsidP="00F11D9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3177F3">
        <w:rPr>
          <w:rFonts w:ascii="Sakkal Majalla" w:hAnsi="Sakkal Majalla" w:cs="Sakkal Majalla"/>
          <w:color w:val="000000" w:themeColor="text1"/>
          <w:sz w:val="28"/>
          <w:szCs w:val="28"/>
          <w:rtl/>
        </w:rPr>
        <w:t>وتتضمن الفئة الثانية مؤشرات الجاهزية التنظيمية والإدارية التي تقيس مدى كفاءة الأُطر التنظيمية والإدارية الداعمة للاستجابة، وتشمل وجود خطط طوارئ محدّثة ومعتمدة ومدى إجراء تمارين المحاكاة ووضوح الأدوار والمسؤوليات ومستوى التنسيق بين الجهات. وتتضمن الفئة الثالثة مؤشرات الاستدامة التشغيلية التي تقيس قدرة المؤسسة الصحية على المحافظة على مستوى أدائها عبر الزمن، وتشمل معدلات استمرارية الخدمات أثناء الأزمات ومؤشرات جودة الرعاية الصحية ومعدلات رضا المستفيدين ومعدلات دوران العاملين. أما الفئة الرابعة فتتضمن مؤشرات القدرة التكيفية والتعلمية التي تقيس مدى قدرة المؤسسة الصحية على التعلم من تجاربها والتحسن المستمر، وتشمل معدل تحديث الخطط والبروتوكولات ومستوى التعلم المؤسسي من الأزمات السابقة ومدى تبني الابتكارات والممارسات الفضلى</w:t>
      </w:r>
      <w:r w:rsidRPr="003177F3">
        <w:rPr>
          <w:rFonts w:ascii="Sakkal Majalla" w:hAnsi="Sakkal Majalla" w:cs="Sakkal Majalla"/>
          <w:color w:val="000000" w:themeColor="text1"/>
          <w:sz w:val="28"/>
          <w:szCs w:val="28"/>
        </w:rPr>
        <w:t>.</w:t>
      </w:r>
    </w:p>
    <w:p w14:paraId="504FD1B7" w14:textId="0B8ACE86" w:rsidR="00F85192" w:rsidRPr="003177F3" w:rsidRDefault="00F11D9B" w:rsidP="0092621F">
      <w:pPr>
        <w:spacing w:line="360" w:lineRule="auto"/>
        <w:jc w:val="center"/>
        <w:outlineLvl w:val="0"/>
        <w:rPr>
          <w:rFonts w:cs="Sakkal Majalla"/>
          <w:b/>
          <w:bCs/>
          <w:color w:val="000000" w:themeColor="text1"/>
          <w:sz w:val="24"/>
          <w:szCs w:val="32"/>
          <w:rtl/>
        </w:rPr>
        <w:sectPr w:rsidR="00F85192" w:rsidRPr="003177F3" w:rsidSect="005839BE">
          <w:footerReference w:type="default" r:id="rId9"/>
          <w:pgSz w:w="11906" w:h="16838" w:code="9"/>
          <w:pgMar w:top="1440" w:right="1985" w:bottom="1440" w:left="1418" w:header="720" w:footer="720" w:gutter="567"/>
          <w:pgNumType w:start="1"/>
          <w:cols w:space="708"/>
          <w:bidi/>
          <w:rtlGutter/>
          <w:docGrid w:linePitch="360"/>
        </w:sectPr>
      </w:pPr>
      <w:r w:rsidRPr="003177F3">
        <w:rPr>
          <w:rFonts w:ascii="Sakkal Majalla" w:hAnsi="Sakkal Majalla" w:cs="Sakkal Majalla"/>
          <w:b/>
          <w:bCs/>
          <w:color w:val="000000" w:themeColor="text1"/>
          <w:sz w:val="40"/>
          <w:szCs w:val="40"/>
          <w:rtl/>
        </w:rPr>
        <w:br w:type="page"/>
      </w:r>
      <w:bookmarkStart w:id="34" w:name="_GoBack"/>
      <w:bookmarkEnd w:id="34"/>
    </w:p>
    <w:p w14:paraId="47EE408C" w14:textId="3646BC41" w:rsidR="003177F3" w:rsidRPr="003177F3" w:rsidRDefault="003177F3" w:rsidP="003177F3">
      <w:pPr>
        <w:bidi w:val="0"/>
        <w:spacing w:before="100" w:beforeAutospacing="1" w:after="100" w:afterAutospacing="1" w:line="360" w:lineRule="auto"/>
        <w:rPr>
          <w:rFonts w:ascii="Sakkal Majalla" w:hAnsi="Sakkal Majalla" w:cs="Sakkal Majalla"/>
          <w:b/>
          <w:bCs/>
          <w:color w:val="000000" w:themeColor="text1"/>
          <w:sz w:val="32"/>
          <w:szCs w:val="32"/>
        </w:rPr>
      </w:pPr>
      <w:r w:rsidRPr="003177F3">
        <w:rPr>
          <w:rFonts w:cs="Sakkal Majalla"/>
          <w:b/>
          <w:bCs/>
          <w:noProof/>
          <w:color w:val="000000" w:themeColor="text1"/>
          <w:szCs w:val="28"/>
        </w:rPr>
        <w:lastRenderedPageBreak/>
        <w:drawing>
          <wp:anchor distT="0" distB="0" distL="114300" distR="114300" simplePos="0" relativeHeight="251667456" behindDoc="0" locked="0" layoutInCell="1" allowOverlap="1" wp14:anchorId="30AD5C22" wp14:editId="5BE5275E">
            <wp:simplePos x="0" y="0"/>
            <wp:positionH relativeFrom="column">
              <wp:posOffset>2697480</wp:posOffset>
            </wp:positionH>
            <wp:positionV relativeFrom="paragraph">
              <wp:posOffset>0</wp:posOffset>
            </wp:positionV>
            <wp:extent cx="2231390" cy="762000"/>
            <wp:effectExtent l="0" t="0" r="0" b="0"/>
            <wp:wrapSquare wrapText="bothSides"/>
            <wp:docPr id="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177F3">
        <w:rPr>
          <w:rFonts w:ascii="Sakkal Majalla" w:hAnsi="Sakkal Majalla" w:cs="Sakkal Majalla"/>
          <w:b/>
          <w:bCs/>
          <w:color w:val="000000" w:themeColor="text1"/>
          <w:sz w:val="32"/>
          <w:szCs w:val="32"/>
        </w:rPr>
        <w:t>MidOcean University</w:t>
      </w:r>
    </w:p>
    <w:p w14:paraId="1A2F2017" w14:textId="0CE131F8" w:rsidR="003177F3" w:rsidRPr="003177F3" w:rsidRDefault="003177F3" w:rsidP="003177F3">
      <w:pPr>
        <w:bidi w:val="0"/>
        <w:spacing w:before="100" w:beforeAutospacing="1" w:after="100" w:afterAutospacing="1" w:line="360" w:lineRule="auto"/>
        <w:rPr>
          <w:rFonts w:ascii="Sakkal Majalla" w:hAnsi="Sakkal Majalla" w:cs="Sakkal Majalla"/>
          <w:b/>
          <w:bCs/>
          <w:color w:val="000000" w:themeColor="text1"/>
          <w:sz w:val="32"/>
          <w:szCs w:val="32"/>
        </w:rPr>
      </w:pPr>
      <w:r w:rsidRPr="003177F3">
        <w:rPr>
          <w:rFonts w:ascii="Sakkal Majalla" w:hAnsi="Sakkal Majalla" w:cs="Sakkal Majalla"/>
          <w:b/>
          <w:bCs/>
          <w:color w:val="000000" w:themeColor="text1"/>
          <w:sz w:val="32"/>
          <w:szCs w:val="32"/>
        </w:rPr>
        <w:t>College of Administration</w:t>
      </w:r>
    </w:p>
    <w:p w14:paraId="116FD3CD" w14:textId="356DA010" w:rsidR="003177F3" w:rsidRPr="003177F3" w:rsidRDefault="003177F3" w:rsidP="003177F3">
      <w:pPr>
        <w:bidi w:val="0"/>
        <w:spacing w:before="100" w:beforeAutospacing="1" w:after="100" w:afterAutospacing="1" w:line="360" w:lineRule="auto"/>
        <w:rPr>
          <w:rFonts w:ascii="Sakkal Majalla" w:hAnsi="Sakkal Majalla" w:cs="Sakkal Majalla"/>
          <w:b/>
          <w:bCs/>
          <w:color w:val="000000" w:themeColor="text1"/>
          <w:sz w:val="32"/>
          <w:szCs w:val="32"/>
          <w:rtl/>
        </w:rPr>
      </w:pPr>
      <w:r w:rsidRPr="003177F3">
        <w:rPr>
          <w:rFonts w:ascii="Sakkal Majalla" w:hAnsi="Sakkal Majalla" w:cs="Sakkal Majalla"/>
          <w:b/>
          <w:bCs/>
          <w:color w:val="000000" w:themeColor="text1"/>
          <w:sz w:val="32"/>
          <w:szCs w:val="32"/>
        </w:rPr>
        <w:t>Department / Major: Risk Management</w:t>
      </w:r>
    </w:p>
    <w:p w14:paraId="197819ED" w14:textId="63E3CE49" w:rsidR="003177F3" w:rsidRPr="003177F3" w:rsidRDefault="003177F3" w:rsidP="003177F3">
      <w:pPr>
        <w:bidi w:val="0"/>
        <w:spacing w:before="100" w:beforeAutospacing="1" w:after="100" w:afterAutospacing="1" w:line="276" w:lineRule="auto"/>
        <w:jc w:val="center"/>
        <w:rPr>
          <w:rFonts w:ascii="Sakkal Majalla" w:hAnsi="Sakkal Majalla" w:cs="Sakkal Majalla"/>
          <w:b/>
          <w:bCs/>
          <w:color w:val="000000" w:themeColor="text1"/>
          <w:sz w:val="40"/>
          <w:szCs w:val="40"/>
        </w:rPr>
      </w:pPr>
      <w:r w:rsidRPr="003177F3">
        <w:rPr>
          <w:rFonts w:ascii="Sakkal Majalla" w:hAnsi="Sakkal Majalla" w:cs="Sakkal Majalla"/>
          <w:b/>
          <w:bCs/>
          <w:color w:val="000000" w:themeColor="text1"/>
          <w:sz w:val="40"/>
          <w:szCs w:val="40"/>
        </w:rPr>
        <w:t>Disaster Risk Management of Health Crises and Epidemics</w:t>
      </w:r>
      <w:r w:rsidRPr="003177F3">
        <w:rPr>
          <w:rFonts w:ascii="Sakkal Majalla" w:hAnsi="Sakkal Majalla" w:cs="Sakkal Majalla"/>
          <w:b/>
          <w:bCs/>
          <w:color w:val="000000" w:themeColor="text1"/>
          <w:sz w:val="40"/>
          <w:szCs w:val="40"/>
          <w:rtl/>
        </w:rPr>
        <w:t>:</w:t>
      </w:r>
      <w:r w:rsidRPr="003177F3">
        <w:rPr>
          <w:rFonts w:ascii="Sakkal Majalla" w:hAnsi="Sakkal Majalla" w:cs="Sakkal Majalla" w:hint="cs"/>
          <w:b/>
          <w:bCs/>
          <w:color w:val="000000" w:themeColor="text1"/>
          <w:sz w:val="40"/>
          <w:szCs w:val="40"/>
          <w:rtl/>
        </w:rPr>
        <w:t xml:space="preserve"> </w:t>
      </w:r>
      <w:r w:rsidRPr="003177F3">
        <w:rPr>
          <w:rFonts w:ascii="Sakkal Majalla" w:hAnsi="Sakkal Majalla" w:cs="Sakkal Majalla"/>
          <w:b/>
          <w:bCs/>
          <w:color w:val="000000" w:themeColor="text1"/>
          <w:sz w:val="40"/>
          <w:szCs w:val="40"/>
        </w:rPr>
        <w:t>A Strategic Framework to Enhance the Preparedness and Sustainability of the Healthcare Sector</w:t>
      </w:r>
    </w:p>
    <w:p w14:paraId="1AFBE606" w14:textId="77777777" w:rsidR="003177F3" w:rsidRPr="003177F3" w:rsidRDefault="003177F3" w:rsidP="003177F3">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p>
    <w:p w14:paraId="748E9533" w14:textId="77777777" w:rsidR="003177F3" w:rsidRPr="003177F3" w:rsidRDefault="003177F3" w:rsidP="003177F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177F3">
        <w:rPr>
          <w:rFonts w:ascii="Sakkal Majalla" w:hAnsi="Sakkal Majalla" w:cs="Sakkal Majalla"/>
          <w:b/>
          <w:bCs/>
          <w:color w:val="000000" w:themeColor="text1"/>
          <w:sz w:val="36"/>
          <w:szCs w:val="36"/>
        </w:rPr>
        <w:t>Prepared by</w:t>
      </w:r>
      <w:r w:rsidRPr="003177F3">
        <w:rPr>
          <w:rFonts w:ascii="Sakkal Majalla" w:hAnsi="Sakkal Majalla" w:cs="Sakkal Majalla"/>
          <w:b/>
          <w:bCs/>
          <w:color w:val="000000" w:themeColor="text1"/>
          <w:sz w:val="36"/>
          <w:szCs w:val="36"/>
          <w:rtl/>
        </w:rPr>
        <w:t>:</w:t>
      </w:r>
    </w:p>
    <w:p w14:paraId="1CFEC967" w14:textId="77777777" w:rsidR="003177F3" w:rsidRPr="003177F3" w:rsidRDefault="003177F3" w:rsidP="003177F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3177F3">
        <w:rPr>
          <w:rFonts w:ascii="Sakkal Majalla" w:hAnsi="Sakkal Majalla" w:cs="Sakkal Majalla"/>
          <w:color w:val="000000" w:themeColor="text1"/>
          <w:sz w:val="36"/>
          <w:szCs w:val="36"/>
        </w:rPr>
        <w:t>Mohammed Saleh Al-Nakhli</w:t>
      </w:r>
    </w:p>
    <w:p w14:paraId="7AD82056" w14:textId="77777777" w:rsidR="003177F3" w:rsidRPr="003177F3" w:rsidRDefault="003177F3" w:rsidP="003177F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177F3">
        <w:rPr>
          <w:rFonts w:ascii="Sakkal Majalla" w:hAnsi="Sakkal Majalla" w:cs="Sakkal Majalla"/>
          <w:b/>
          <w:bCs/>
          <w:color w:val="000000" w:themeColor="text1"/>
          <w:sz w:val="36"/>
          <w:szCs w:val="36"/>
        </w:rPr>
        <w:t>Supervised by</w:t>
      </w:r>
      <w:r w:rsidRPr="003177F3">
        <w:rPr>
          <w:rFonts w:ascii="Sakkal Majalla" w:hAnsi="Sakkal Majalla" w:cs="Sakkal Majalla"/>
          <w:b/>
          <w:bCs/>
          <w:color w:val="000000" w:themeColor="text1"/>
          <w:sz w:val="36"/>
          <w:szCs w:val="36"/>
          <w:rtl/>
        </w:rPr>
        <w:t>:</w:t>
      </w:r>
    </w:p>
    <w:p w14:paraId="505D8A56" w14:textId="77777777" w:rsidR="003177F3" w:rsidRPr="003177F3" w:rsidRDefault="003177F3" w:rsidP="003177F3">
      <w:pPr>
        <w:bidi w:val="0"/>
        <w:spacing w:before="100" w:beforeAutospacing="1" w:after="100" w:afterAutospacing="1" w:line="360" w:lineRule="auto"/>
        <w:jc w:val="center"/>
        <w:rPr>
          <w:rFonts w:ascii="Sakkal Majalla" w:hAnsi="Sakkal Majalla" w:cs="Sakkal Majalla"/>
          <w:color w:val="000000" w:themeColor="text1"/>
          <w:sz w:val="36"/>
          <w:szCs w:val="36"/>
        </w:rPr>
      </w:pPr>
      <w:r w:rsidRPr="003177F3">
        <w:rPr>
          <w:rFonts w:ascii="Sakkal Majalla" w:hAnsi="Sakkal Majalla" w:cs="Sakkal Majalla"/>
          <w:color w:val="000000" w:themeColor="text1"/>
          <w:sz w:val="36"/>
          <w:szCs w:val="36"/>
        </w:rPr>
        <w:t>Dr. Al-Faisal Abdulhamid</w:t>
      </w:r>
    </w:p>
    <w:p w14:paraId="2F90F244" w14:textId="77777777" w:rsidR="003177F3" w:rsidRPr="003177F3" w:rsidRDefault="003177F3" w:rsidP="003177F3">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3177F3">
        <w:rPr>
          <w:rFonts w:ascii="Sakkal Majalla" w:hAnsi="Sakkal Majalla" w:cs="Sakkal Majalla"/>
          <w:color w:val="000000" w:themeColor="text1"/>
          <w:sz w:val="36"/>
          <w:szCs w:val="36"/>
        </w:rPr>
        <w:t>Dr. Fayez Jarad</w:t>
      </w:r>
    </w:p>
    <w:p w14:paraId="60DF2D18" w14:textId="58E9C373" w:rsidR="003177F3" w:rsidRPr="003177F3" w:rsidRDefault="003177F3" w:rsidP="003177F3">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3177F3">
        <w:rPr>
          <w:rFonts w:ascii="Sakkal Majalla" w:hAnsi="Sakkal Majalla" w:cs="Sakkal Majalla" w:hint="cs"/>
          <w:b/>
          <w:bCs/>
          <w:color w:val="000000" w:themeColor="text1"/>
          <w:sz w:val="36"/>
          <w:szCs w:val="36"/>
          <w:rtl/>
        </w:rPr>
        <w:t xml:space="preserve">1447 </w:t>
      </w:r>
      <w:r w:rsidRPr="003177F3">
        <w:rPr>
          <w:rFonts w:ascii="Sakkal Majalla" w:hAnsi="Sakkal Majalla" w:cs="Sakkal Majalla"/>
          <w:b/>
          <w:bCs/>
          <w:color w:val="000000" w:themeColor="text1"/>
          <w:sz w:val="36"/>
          <w:szCs w:val="36"/>
          <w:rtl/>
        </w:rPr>
        <w:t>–</w:t>
      </w:r>
      <w:r w:rsidRPr="003177F3">
        <w:rPr>
          <w:rFonts w:ascii="Sakkal Majalla" w:hAnsi="Sakkal Majalla" w:cs="Sakkal Majalla" w:hint="cs"/>
          <w:b/>
          <w:bCs/>
          <w:color w:val="000000" w:themeColor="text1"/>
          <w:sz w:val="36"/>
          <w:szCs w:val="36"/>
          <w:rtl/>
        </w:rPr>
        <w:t xml:space="preserve"> 2026</w:t>
      </w:r>
    </w:p>
    <w:p w14:paraId="087003BA" w14:textId="77777777" w:rsidR="00D22171" w:rsidRPr="003177F3" w:rsidRDefault="00D22171" w:rsidP="00F85192">
      <w:pPr>
        <w:spacing w:before="100" w:beforeAutospacing="1" w:after="100" w:afterAutospacing="1" w:line="360" w:lineRule="auto"/>
        <w:jc w:val="both"/>
        <w:rPr>
          <w:rFonts w:ascii="Sakkal Majalla" w:hAnsi="Sakkal Majalla" w:cs="Sakkal Majalla"/>
          <w:color w:val="000000" w:themeColor="text1"/>
          <w:sz w:val="28"/>
          <w:szCs w:val="28"/>
          <w:rtl/>
        </w:rPr>
      </w:pPr>
    </w:p>
    <w:p w14:paraId="6E52896B" w14:textId="6FA0895E" w:rsidR="009125CE" w:rsidRPr="003177F3" w:rsidRDefault="009125CE" w:rsidP="00F85192">
      <w:pPr>
        <w:spacing w:before="100" w:beforeAutospacing="1" w:after="100" w:afterAutospacing="1" w:line="360" w:lineRule="auto"/>
        <w:jc w:val="both"/>
        <w:rPr>
          <w:rFonts w:ascii="Sakkal Majalla" w:hAnsi="Sakkal Majalla" w:cs="Sakkal Majalla"/>
          <w:color w:val="000000" w:themeColor="text1"/>
          <w:sz w:val="28"/>
          <w:szCs w:val="28"/>
        </w:rPr>
      </w:pPr>
    </w:p>
    <w:sectPr w:rsidR="009125CE" w:rsidRPr="003177F3" w:rsidSect="005839BE">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7E6FE" w14:textId="77777777" w:rsidR="00402680" w:rsidRDefault="00402680" w:rsidP="009125CE">
      <w:pPr>
        <w:spacing w:after="0" w:line="240" w:lineRule="auto"/>
      </w:pPr>
      <w:r>
        <w:separator/>
      </w:r>
    </w:p>
  </w:endnote>
  <w:endnote w:type="continuationSeparator" w:id="0">
    <w:p w14:paraId="07E84D43" w14:textId="77777777" w:rsidR="00402680" w:rsidRDefault="0040268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838762825"/>
      <w:docPartObj>
        <w:docPartGallery w:val="Page Numbers (Bottom of Page)"/>
        <w:docPartUnique/>
      </w:docPartObj>
    </w:sdtPr>
    <w:sdtContent>
      <w:p w14:paraId="1CA10DB6" w14:textId="77777777" w:rsidR="00F00FED" w:rsidRDefault="00F00FED">
        <w:pPr>
          <w:pStyle w:val="Footer"/>
        </w:pPr>
        <w:r>
          <w:rPr>
            <w:noProof/>
          </w:rPr>
          <mc:AlternateContent>
            <mc:Choice Requires="wps">
              <w:drawing>
                <wp:anchor distT="0" distB="0" distL="114300" distR="114300" simplePos="0" relativeHeight="251666432" behindDoc="0" locked="0" layoutInCell="1" allowOverlap="1" wp14:anchorId="6997AE05" wp14:editId="7AFBEAC7">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B977646" w14:textId="77777777" w:rsidR="00F00FED" w:rsidRPr="005839BE" w:rsidRDefault="00F00FED">
                              <w:pPr>
                                <w:jc w:val="center"/>
                                <w:rPr>
                                  <w:rFonts w:ascii="Sakkal Majalla" w:hAnsi="Sakkal Majalla" w:cs="Sakkal Majalla"/>
                                  <w:b/>
                                  <w:bCs/>
                                  <w:sz w:val="24"/>
                                  <w:szCs w:val="24"/>
                                </w:rPr>
                              </w:pPr>
                              <w:r w:rsidRPr="005839BE">
                                <w:rPr>
                                  <w:rFonts w:ascii="Sakkal Majalla" w:hAnsi="Sakkal Majalla" w:cs="Sakkal Majalla"/>
                                  <w:b/>
                                  <w:bCs/>
                                  <w:sz w:val="24"/>
                                  <w:szCs w:val="24"/>
                                </w:rPr>
                                <w:fldChar w:fldCharType="begin"/>
                              </w:r>
                              <w:r w:rsidRPr="005839BE">
                                <w:rPr>
                                  <w:rFonts w:ascii="Sakkal Majalla" w:hAnsi="Sakkal Majalla" w:cs="Sakkal Majalla"/>
                                  <w:b/>
                                  <w:bCs/>
                                  <w:sz w:val="24"/>
                                  <w:szCs w:val="24"/>
                                </w:rPr>
                                <w:instrText xml:space="preserve"> PAGE    \* MERGEFORMAT </w:instrText>
                              </w:r>
                              <w:r w:rsidRPr="005839BE">
                                <w:rPr>
                                  <w:rFonts w:ascii="Sakkal Majalla" w:hAnsi="Sakkal Majalla" w:cs="Sakkal Majalla"/>
                                  <w:b/>
                                  <w:bCs/>
                                  <w:sz w:val="24"/>
                                  <w:szCs w:val="24"/>
                                </w:rPr>
                                <w:fldChar w:fldCharType="separate"/>
                              </w:r>
                              <w:r w:rsidR="0092621F">
                                <w:rPr>
                                  <w:rFonts w:ascii="Sakkal Majalla" w:hAnsi="Sakkal Majalla" w:cs="Sakkal Majalla"/>
                                  <w:b/>
                                  <w:bCs/>
                                  <w:noProof/>
                                  <w:sz w:val="24"/>
                                  <w:szCs w:val="24"/>
                                  <w:rtl/>
                                </w:rPr>
                                <w:t>47</w:t>
                              </w:r>
                              <w:r w:rsidRPr="005839BE">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997AE0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1B977646" w14:textId="77777777" w:rsidR="00F00FED" w:rsidRPr="005839BE" w:rsidRDefault="00F00FED">
                        <w:pPr>
                          <w:jc w:val="center"/>
                          <w:rPr>
                            <w:rFonts w:ascii="Sakkal Majalla" w:hAnsi="Sakkal Majalla" w:cs="Sakkal Majalla"/>
                            <w:b/>
                            <w:bCs/>
                            <w:sz w:val="24"/>
                            <w:szCs w:val="24"/>
                          </w:rPr>
                        </w:pPr>
                        <w:r w:rsidRPr="005839BE">
                          <w:rPr>
                            <w:rFonts w:ascii="Sakkal Majalla" w:hAnsi="Sakkal Majalla" w:cs="Sakkal Majalla"/>
                            <w:b/>
                            <w:bCs/>
                            <w:sz w:val="24"/>
                            <w:szCs w:val="24"/>
                          </w:rPr>
                          <w:fldChar w:fldCharType="begin"/>
                        </w:r>
                        <w:r w:rsidRPr="005839BE">
                          <w:rPr>
                            <w:rFonts w:ascii="Sakkal Majalla" w:hAnsi="Sakkal Majalla" w:cs="Sakkal Majalla"/>
                            <w:b/>
                            <w:bCs/>
                            <w:sz w:val="24"/>
                            <w:szCs w:val="24"/>
                          </w:rPr>
                          <w:instrText xml:space="preserve"> PAGE    \* MERGEFORMAT </w:instrText>
                        </w:r>
                        <w:r w:rsidRPr="005839BE">
                          <w:rPr>
                            <w:rFonts w:ascii="Sakkal Majalla" w:hAnsi="Sakkal Majalla" w:cs="Sakkal Majalla"/>
                            <w:b/>
                            <w:bCs/>
                            <w:sz w:val="24"/>
                            <w:szCs w:val="24"/>
                          </w:rPr>
                          <w:fldChar w:fldCharType="separate"/>
                        </w:r>
                        <w:r w:rsidR="0092621F">
                          <w:rPr>
                            <w:rFonts w:ascii="Sakkal Majalla" w:hAnsi="Sakkal Majalla" w:cs="Sakkal Majalla"/>
                            <w:b/>
                            <w:bCs/>
                            <w:noProof/>
                            <w:sz w:val="24"/>
                            <w:szCs w:val="24"/>
                            <w:rtl/>
                          </w:rPr>
                          <w:t>47</w:t>
                        </w:r>
                        <w:r w:rsidRPr="005839BE">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D6AC2E3" wp14:editId="73C35C33">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5D336AE"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E60E74" w14:textId="331B303F" w:rsidR="00F00FED" w:rsidRDefault="00F00F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572149" w14:textId="77777777" w:rsidR="00402680" w:rsidRDefault="00402680" w:rsidP="009125CE">
      <w:pPr>
        <w:spacing w:after="0" w:line="240" w:lineRule="auto"/>
      </w:pPr>
      <w:r>
        <w:separator/>
      </w:r>
    </w:p>
  </w:footnote>
  <w:footnote w:type="continuationSeparator" w:id="0">
    <w:p w14:paraId="291C7622" w14:textId="77777777" w:rsidR="00402680" w:rsidRDefault="0040268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330B8"/>
    <w:multiLevelType w:val="multilevel"/>
    <w:tmpl w:val="7A1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BD5B45"/>
    <w:multiLevelType w:val="multilevel"/>
    <w:tmpl w:val="6F06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76705F"/>
    <w:multiLevelType w:val="multilevel"/>
    <w:tmpl w:val="73702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A3B0465"/>
    <w:multiLevelType w:val="hybridMultilevel"/>
    <w:tmpl w:val="6DA86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FE2E4A"/>
    <w:multiLevelType w:val="hybridMultilevel"/>
    <w:tmpl w:val="094C29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D42243"/>
    <w:multiLevelType w:val="hybridMultilevel"/>
    <w:tmpl w:val="E12ABB7A"/>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1F5E90"/>
    <w:multiLevelType w:val="hybridMultilevel"/>
    <w:tmpl w:val="F4305C24"/>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DB0345"/>
    <w:multiLevelType w:val="hybridMultilevel"/>
    <w:tmpl w:val="162A86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2D533D6"/>
    <w:multiLevelType w:val="hybridMultilevel"/>
    <w:tmpl w:val="C4B010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36373FE"/>
    <w:multiLevelType w:val="multilevel"/>
    <w:tmpl w:val="499C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147232"/>
    <w:multiLevelType w:val="multilevel"/>
    <w:tmpl w:val="627A7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201E2E"/>
    <w:multiLevelType w:val="hybridMultilevel"/>
    <w:tmpl w:val="0E24FBA6"/>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3F2794"/>
    <w:multiLevelType w:val="hybridMultilevel"/>
    <w:tmpl w:val="2CE6CC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0F5CAC"/>
    <w:multiLevelType w:val="multilevel"/>
    <w:tmpl w:val="0D58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C380999"/>
    <w:multiLevelType w:val="hybridMultilevel"/>
    <w:tmpl w:val="E75C37A4"/>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3F4C0A"/>
    <w:multiLevelType w:val="hybridMultilevel"/>
    <w:tmpl w:val="9CDE8A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nsid w:val="6C9D1D28"/>
    <w:multiLevelType w:val="hybridMultilevel"/>
    <w:tmpl w:val="56D8FC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BF089F"/>
    <w:multiLevelType w:val="hybridMultilevel"/>
    <w:tmpl w:val="CAE42E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
  </w:num>
  <w:num w:numId="4">
    <w:abstractNumId w:val="0"/>
  </w:num>
  <w:num w:numId="5">
    <w:abstractNumId w:val="10"/>
  </w:num>
  <w:num w:numId="6">
    <w:abstractNumId w:val="14"/>
  </w:num>
  <w:num w:numId="7">
    <w:abstractNumId w:val="18"/>
  </w:num>
  <w:num w:numId="8">
    <w:abstractNumId w:val="3"/>
  </w:num>
  <w:num w:numId="9">
    <w:abstractNumId w:val="9"/>
  </w:num>
  <w:num w:numId="10">
    <w:abstractNumId w:val="8"/>
  </w:num>
  <w:num w:numId="11">
    <w:abstractNumId w:val="5"/>
  </w:num>
  <w:num w:numId="12">
    <w:abstractNumId w:val="17"/>
  </w:num>
  <w:num w:numId="13">
    <w:abstractNumId w:val="16"/>
  </w:num>
  <w:num w:numId="14">
    <w:abstractNumId w:val="6"/>
  </w:num>
  <w:num w:numId="15">
    <w:abstractNumId w:val="19"/>
  </w:num>
  <w:num w:numId="16">
    <w:abstractNumId w:val="4"/>
  </w:num>
  <w:num w:numId="17">
    <w:abstractNumId w:val="13"/>
  </w:num>
  <w:num w:numId="18">
    <w:abstractNumId w:val="7"/>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902DB"/>
    <w:rsid w:val="001C2162"/>
    <w:rsid w:val="00244894"/>
    <w:rsid w:val="003177F3"/>
    <w:rsid w:val="00380018"/>
    <w:rsid w:val="00402680"/>
    <w:rsid w:val="0040482E"/>
    <w:rsid w:val="005839BE"/>
    <w:rsid w:val="00590B27"/>
    <w:rsid w:val="00622AEC"/>
    <w:rsid w:val="0062761F"/>
    <w:rsid w:val="006948DE"/>
    <w:rsid w:val="00696E48"/>
    <w:rsid w:val="006B135C"/>
    <w:rsid w:val="00701283"/>
    <w:rsid w:val="007B0E54"/>
    <w:rsid w:val="007E3A20"/>
    <w:rsid w:val="00812EC8"/>
    <w:rsid w:val="00877AAC"/>
    <w:rsid w:val="008F1EAE"/>
    <w:rsid w:val="009125CE"/>
    <w:rsid w:val="0092621F"/>
    <w:rsid w:val="0095791C"/>
    <w:rsid w:val="0098720A"/>
    <w:rsid w:val="009B6888"/>
    <w:rsid w:val="009C0161"/>
    <w:rsid w:val="009D108D"/>
    <w:rsid w:val="009D6408"/>
    <w:rsid w:val="009E1436"/>
    <w:rsid w:val="009E5668"/>
    <w:rsid w:val="00A74F76"/>
    <w:rsid w:val="00AA79E9"/>
    <w:rsid w:val="00AB0A70"/>
    <w:rsid w:val="00AF2B09"/>
    <w:rsid w:val="00B55620"/>
    <w:rsid w:val="00B63B0F"/>
    <w:rsid w:val="00B7678A"/>
    <w:rsid w:val="00B97B00"/>
    <w:rsid w:val="00C04D0B"/>
    <w:rsid w:val="00C254AC"/>
    <w:rsid w:val="00C71E18"/>
    <w:rsid w:val="00D213BE"/>
    <w:rsid w:val="00D22171"/>
    <w:rsid w:val="00D86537"/>
    <w:rsid w:val="00DF3577"/>
    <w:rsid w:val="00E71C79"/>
    <w:rsid w:val="00E80FD9"/>
    <w:rsid w:val="00EA6B5D"/>
    <w:rsid w:val="00F00FED"/>
    <w:rsid w:val="00F11D9B"/>
    <w:rsid w:val="00F546CE"/>
    <w:rsid w:val="00F851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link w:val="Heading1Char"/>
    <w:uiPriority w:val="9"/>
    <w:qFormat/>
    <w:rsid w:val="00AF2B09"/>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AF2B09"/>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AF2B0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AF2B09"/>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DF3577"/>
    <w:rPr>
      <w:color w:val="0563C1" w:themeColor="hyperlink"/>
      <w:u w:val="single"/>
    </w:rPr>
  </w:style>
  <w:style w:type="character" w:customStyle="1" w:styleId="UnresolvedMention">
    <w:name w:val="Unresolved Mention"/>
    <w:basedOn w:val="DefaultParagraphFont"/>
    <w:uiPriority w:val="99"/>
    <w:semiHidden/>
    <w:unhideWhenUsed/>
    <w:rsid w:val="00DF3577"/>
    <w:rPr>
      <w:color w:val="605E5C"/>
      <w:shd w:val="clear" w:color="auto" w:fill="E1DFDD"/>
    </w:rPr>
  </w:style>
  <w:style w:type="paragraph" w:styleId="NormalWeb">
    <w:name w:val="Normal (Web)"/>
    <w:basedOn w:val="Normal"/>
    <w:uiPriority w:val="99"/>
    <w:semiHidden/>
    <w:unhideWhenUsed/>
    <w:rsid w:val="00D8653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86537"/>
    <w:rPr>
      <w:b/>
      <w:bCs/>
    </w:rPr>
  </w:style>
  <w:style w:type="character" w:customStyle="1" w:styleId="Heading1Char">
    <w:name w:val="Heading 1 Char"/>
    <w:basedOn w:val="DefaultParagraphFont"/>
    <w:link w:val="Heading1"/>
    <w:uiPriority w:val="9"/>
    <w:rsid w:val="00AF2B09"/>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AF2B0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AF2B09"/>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AF2B09"/>
    <w:rPr>
      <w:rFonts w:ascii="Times New Roman" w:eastAsia="Times New Roman" w:hAnsi="Times New Roman" w:cs="Times New Roman"/>
      <w:b/>
      <w:bCs/>
      <w:kern w:val="0"/>
      <w:sz w:val="24"/>
      <w:szCs w:val="24"/>
      <w14:ligatures w14:val="none"/>
    </w:rPr>
  </w:style>
  <w:style w:type="paragraph" w:customStyle="1" w:styleId="msonormal0">
    <w:name w:val="msonormal"/>
    <w:basedOn w:val="Normal"/>
    <w:rsid w:val="00AF2B0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5839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4">
    <w:name w:val="Grid Table 1 Light Accent 4"/>
    <w:basedOn w:val="TableNormal"/>
    <w:uiPriority w:val="46"/>
    <w:rsid w:val="005839B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5839BE"/>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5839BE"/>
  </w:style>
  <w:style w:type="table" w:styleId="GridTable6Colorful-Accent3">
    <w:name w:val="Grid Table 6 Colorful Accent 3"/>
    <w:basedOn w:val="TableNormal"/>
    <w:uiPriority w:val="51"/>
    <w:rsid w:val="005839B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3177F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3177F3"/>
    <w:pPr>
      <w:spacing w:after="100"/>
    </w:pPr>
  </w:style>
  <w:style w:type="paragraph" w:styleId="TOC2">
    <w:name w:val="toc 2"/>
    <w:basedOn w:val="Normal"/>
    <w:next w:val="Normal"/>
    <w:autoRedefine/>
    <w:uiPriority w:val="39"/>
    <w:unhideWhenUsed/>
    <w:rsid w:val="003177F3"/>
    <w:pPr>
      <w:spacing w:after="100"/>
      <w:ind w:left="220"/>
    </w:pPr>
  </w:style>
  <w:style w:type="paragraph" w:styleId="TOC3">
    <w:name w:val="toc 3"/>
    <w:basedOn w:val="Normal"/>
    <w:next w:val="Normal"/>
    <w:autoRedefine/>
    <w:uiPriority w:val="39"/>
    <w:unhideWhenUsed/>
    <w:rsid w:val="003177F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406103">
      <w:bodyDiv w:val="1"/>
      <w:marLeft w:val="0"/>
      <w:marRight w:val="0"/>
      <w:marTop w:val="0"/>
      <w:marBottom w:val="0"/>
      <w:divBdr>
        <w:top w:val="none" w:sz="0" w:space="0" w:color="auto"/>
        <w:left w:val="none" w:sz="0" w:space="0" w:color="auto"/>
        <w:bottom w:val="none" w:sz="0" w:space="0" w:color="auto"/>
        <w:right w:val="none" w:sz="0" w:space="0" w:color="auto"/>
      </w:divBdr>
    </w:div>
    <w:div w:id="465702941">
      <w:bodyDiv w:val="1"/>
      <w:marLeft w:val="0"/>
      <w:marRight w:val="0"/>
      <w:marTop w:val="0"/>
      <w:marBottom w:val="0"/>
      <w:divBdr>
        <w:top w:val="none" w:sz="0" w:space="0" w:color="auto"/>
        <w:left w:val="none" w:sz="0" w:space="0" w:color="auto"/>
        <w:bottom w:val="none" w:sz="0" w:space="0" w:color="auto"/>
        <w:right w:val="none" w:sz="0" w:space="0" w:color="auto"/>
      </w:divBdr>
    </w:div>
    <w:div w:id="530997476">
      <w:bodyDiv w:val="1"/>
      <w:marLeft w:val="0"/>
      <w:marRight w:val="0"/>
      <w:marTop w:val="0"/>
      <w:marBottom w:val="0"/>
      <w:divBdr>
        <w:top w:val="none" w:sz="0" w:space="0" w:color="auto"/>
        <w:left w:val="none" w:sz="0" w:space="0" w:color="auto"/>
        <w:bottom w:val="none" w:sz="0" w:space="0" w:color="auto"/>
        <w:right w:val="none" w:sz="0" w:space="0" w:color="auto"/>
      </w:divBdr>
    </w:div>
    <w:div w:id="574512072">
      <w:bodyDiv w:val="1"/>
      <w:marLeft w:val="0"/>
      <w:marRight w:val="0"/>
      <w:marTop w:val="0"/>
      <w:marBottom w:val="0"/>
      <w:divBdr>
        <w:top w:val="none" w:sz="0" w:space="0" w:color="auto"/>
        <w:left w:val="none" w:sz="0" w:space="0" w:color="auto"/>
        <w:bottom w:val="none" w:sz="0" w:space="0" w:color="auto"/>
        <w:right w:val="none" w:sz="0" w:space="0" w:color="auto"/>
      </w:divBdr>
    </w:div>
    <w:div w:id="712072097">
      <w:bodyDiv w:val="1"/>
      <w:marLeft w:val="0"/>
      <w:marRight w:val="0"/>
      <w:marTop w:val="0"/>
      <w:marBottom w:val="0"/>
      <w:divBdr>
        <w:top w:val="none" w:sz="0" w:space="0" w:color="auto"/>
        <w:left w:val="none" w:sz="0" w:space="0" w:color="auto"/>
        <w:bottom w:val="none" w:sz="0" w:space="0" w:color="auto"/>
        <w:right w:val="none" w:sz="0" w:space="0" w:color="auto"/>
      </w:divBdr>
    </w:div>
    <w:div w:id="750614772">
      <w:bodyDiv w:val="1"/>
      <w:marLeft w:val="0"/>
      <w:marRight w:val="0"/>
      <w:marTop w:val="0"/>
      <w:marBottom w:val="0"/>
      <w:divBdr>
        <w:top w:val="none" w:sz="0" w:space="0" w:color="auto"/>
        <w:left w:val="none" w:sz="0" w:space="0" w:color="auto"/>
        <w:bottom w:val="none" w:sz="0" w:space="0" w:color="auto"/>
        <w:right w:val="none" w:sz="0" w:space="0" w:color="auto"/>
      </w:divBdr>
    </w:div>
    <w:div w:id="864945957">
      <w:bodyDiv w:val="1"/>
      <w:marLeft w:val="0"/>
      <w:marRight w:val="0"/>
      <w:marTop w:val="0"/>
      <w:marBottom w:val="0"/>
      <w:divBdr>
        <w:top w:val="none" w:sz="0" w:space="0" w:color="auto"/>
        <w:left w:val="none" w:sz="0" w:space="0" w:color="auto"/>
        <w:bottom w:val="none" w:sz="0" w:space="0" w:color="auto"/>
        <w:right w:val="none" w:sz="0" w:space="0" w:color="auto"/>
      </w:divBdr>
    </w:div>
    <w:div w:id="1023434252">
      <w:bodyDiv w:val="1"/>
      <w:marLeft w:val="0"/>
      <w:marRight w:val="0"/>
      <w:marTop w:val="0"/>
      <w:marBottom w:val="0"/>
      <w:divBdr>
        <w:top w:val="none" w:sz="0" w:space="0" w:color="auto"/>
        <w:left w:val="none" w:sz="0" w:space="0" w:color="auto"/>
        <w:bottom w:val="none" w:sz="0" w:space="0" w:color="auto"/>
        <w:right w:val="none" w:sz="0" w:space="0" w:color="auto"/>
      </w:divBdr>
      <w:divsChild>
        <w:div w:id="585456687">
          <w:marLeft w:val="0"/>
          <w:marRight w:val="0"/>
          <w:marTop w:val="0"/>
          <w:marBottom w:val="0"/>
          <w:divBdr>
            <w:top w:val="none" w:sz="0" w:space="0" w:color="auto"/>
            <w:left w:val="none" w:sz="0" w:space="0" w:color="auto"/>
            <w:bottom w:val="none" w:sz="0" w:space="0" w:color="auto"/>
            <w:right w:val="none" w:sz="0" w:space="0" w:color="auto"/>
          </w:divBdr>
        </w:div>
        <w:div w:id="1959875949">
          <w:marLeft w:val="0"/>
          <w:marRight w:val="0"/>
          <w:marTop w:val="0"/>
          <w:marBottom w:val="0"/>
          <w:divBdr>
            <w:top w:val="none" w:sz="0" w:space="0" w:color="auto"/>
            <w:left w:val="none" w:sz="0" w:space="0" w:color="auto"/>
            <w:bottom w:val="none" w:sz="0" w:space="0" w:color="auto"/>
            <w:right w:val="none" w:sz="0" w:space="0" w:color="auto"/>
          </w:divBdr>
        </w:div>
        <w:div w:id="1311639532">
          <w:marLeft w:val="0"/>
          <w:marRight w:val="0"/>
          <w:marTop w:val="0"/>
          <w:marBottom w:val="0"/>
          <w:divBdr>
            <w:top w:val="none" w:sz="0" w:space="0" w:color="auto"/>
            <w:left w:val="none" w:sz="0" w:space="0" w:color="auto"/>
            <w:bottom w:val="none" w:sz="0" w:space="0" w:color="auto"/>
            <w:right w:val="none" w:sz="0" w:space="0" w:color="auto"/>
          </w:divBdr>
        </w:div>
        <w:div w:id="378213915">
          <w:marLeft w:val="0"/>
          <w:marRight w:val="0"/>
          <w:marTop w:val="0"/>
          <w:marBottom w:val="0"/>
          <w:divBdr>
            <w:top w:val="none" w:sz="0" w:space="0" w:color="auto"/>
            <w:left w:val="none" w:sz="0" w:space="0" w:color="auto"/>
            <w:bottom w:val="none" w:sz="0" w:space="0" w:color="auto"/>
            <w:right w:val="none" w:sz="0" w:space="0" w:color="auto"/>
          </w:divBdr>
        </w:div>
        <w:div w:id="1517110628">
          <w:marLeft w:val="0"/>
          <w:marRight w:val="0"/>
          <w:marTop w:val="0"/>
          <w:marBottom w:val="0"/>
          <w:divBdr>
            <w:top w:val="none" w:sz="0" w:space="0" w:color="auto"/>
            <w:left w:val="none" w:sz="0" w:space="0" w:color="auto"/>
            <w:bottom w:val="none" w:sz="0" w:space="0" w:color="auto"/>
            <w:right w:val="none" w:sz="0" w:space="0" w:color="auto"/>
          </w:divBdr>
        </w:div>
        <w:div w:id="87047534">
          <w:marLeft w:val="0"/>
          <w:marRight w:val="0"/>
          <w:marTop w:val="0"/>
          <w:marBottom w:val="0"/>
          <w:divBdr>
            <w:top w:val="none" w:sz="0" w:space="0" w:color="auto"/>
            <w:left w:val="none" w:sz="0" w:space="0" w:color="auto"/>
            <w:bottom w:val="none" w:sz="0" w:space="0" w:color="auto"/>
            <w:right w:val="none" w:sz="0" w:space="0" w:color="auto"/>
          </w:divBdr>
        </w:div>
        <w:div w:id="309017904">
          <w:marLeft w:val="0"/>
          <w:marRight w:val="0"/>
          <w:marTop w:val="0"/>
          <w:marBottom w:val="0"/>
          <w:divBdr>
            <w:top w:val="none" w:sz="0" w:space="0" w:color="auto"/>
            <w:left w:val="none" w:sz="0" w:space="0" w:color="auto"/>
            <w:bottom w:val="none" w:sz="0" w:space="0" w:color="auto"/>
            <w:right w:val="none" w:sz="0" w:space="0" w:color="auto"/>
          </w:divBdr>
        </w:div>
        <w:div w:id="948001702">
          <w:marLeft w:val="0"/>
          <w:marRight w:val="0"/>
          <w:marTop w:val="0"/>
          <w:marBottom w:val="0"/>
          <w:divBdr>
            <w:top w:val="none" w:sz="0" w:space="0" w:color="auto"/>
            <w:left w:val="none" w:sz="0" w:space="0" w:color="auto"/>
            <w:bottom w:val="none" w:sz="0" w:space="0" w:color="auto"/>
            <w:right w:val="none" w:sz="0" w:space="0" w:color="auto"/>
          </w:divBdr>
        </w:div>
        <w:div w:id="241526931">
          <w:marLeft w:val="0"/>
          <w:marRight w:val="0"/>
          <w:marTop w:val="0"/>
          <w:marBottom w:val="0"/>
          <w:divBdr>
            <w:top w:val="none" w:sz="0" w:space="0" w:color="auto"/>
            <w:left w:val="none" w:sz="0" w:space="0" w:color="auto"/>
            <w:bottom w:val="none" w:sz="0" w:space="0" w:color="auto"/>
            <w:right w:val="none" w:sz="0" w:space="0" w:color="auto"/>
          </w:divBdr>
        </w:div>
        <w:div w:id="1272972471">
          <w:marLeft w:val="0"/>
          <w:marRight w:val="0"/>
          <w:marTop w:val="0"/>
          <w:marBottom w:val="0"/>
          <w:divBdr>
            <w:top w:val="none" w:sz="0" w:space="0" w:color="auto"/>
            <w:left w:val="none" w:sz="0" w:space="0" w:color="auto"/>
            <w:bottom w:val="none" w:sz="0" w:space="0" w:color="auto"/>
            <w:right w:val="none" w:sz="0" w:space="0" w:color="auto"/>
          </w:divBdr>
        </w:div>
        <w:div w:id="1305307767">
          <w:marLeft w:val="0"/>
          <w:marRight w:val="0"/>
          <w:marTop w:val="0"/>
          <w:marBottom w:val="0"/>
          <w:divBdr>
            <w:top w:val="none" w:sz="0" w:space="0" w:color="auto"/>
            <w:left w:val="none" w:sz="0" w:space="0" w:color="auto"/>
            <w:bottom w:val="none" w:sz="0" w:space="0" w:color="auto"/>
            <w:right w:val="none" w:sz="0" w:space="0" w:color="auto"/>
          </w:divBdr>
        </w:div>
        <w:div w:id="1460949066">
          <w:marLeft w:val="0"/>
          <w:marRight w:val="0"/>
          <w:marTop w:val="0"/>
          <w:marBottom w:val="0"/>
          <w:divBdr>
            <w:top w:val="none" w:sz="0" w:space="0" w:color="auto"/>
            <w:left w:val="none" w:sz="0" w:space="0" w:color="auto"/>
            <w:bottom w:val="none" w:sz="0" w:space="0" w:color="auto"/>
            <w:right w:val="none" w:sz="0" w:space="0" w:color="auto"/>
          </w:divBdr>
        </w:div>
        <w:div w:id="60636531">
          <w:marLeft w:val="0"/>
          <w:marRight w:val="0"/>
          <w:marTop w:val="0"/>
          <w:marBottom w:val="0"/>
          <w:divBdr>
            <w:top w:val="none" w:sz="0" w:space="0" w:color="auto"/>
            <w:left w:val="none" w:sz="0" w:space="0" w:color="auto"/>
            <w:bottom w:val="none" w:sz="0" w:space="0" w:color="auto"/>
            <w:right w:val="none" w:sz="0" w:space="0" w:color="auto"/>
          </w:divBdr>
        </w:div>
        <w:div w:id="81687845">
          <w:marLeft w:val="0"/>
          <w:marRight w:val="0"/>
          <w:marTop w:val="0"/>
          <w:marBottom w:val="0"/>
          <w:divBdr>
            <w:top w:val="none" w:sz="0" w:space="0" w:color="auto"/>
            <w:left w:val="none" w:sz="0" w:space="0" w:color="auto"/>
            <w:bottom w:val="none" w:sz="0" w:space="0" w:color="auto"/>
            <w:right w:val="none" w:sz="0" w:space="0" w:color="auto"/>
          </w:divBdr>
        </w:div>
        <w:div w:id="1784836342">
          <w:marLeft w:val="0"/>
          <w:marRight w:val="0"/>
          <w:marTop w:val="0"/>
          <w:marBottom w:val="0"/>
          <w:divBdr>
            <w:top w:val="none" w:sz="0" w:space="0" w:color="auto"/>
            <w:left w:val="none" w:sz="0" w:space="0" w:color="auto"/>
            <w:bottom w:val="none" w:sz="0" w:space="0" w:color="auto"/>
            <w:right w:val="none" w:sz="0" w:space="0" w:color="auto"/>
          </w:divBdr>
        </w:div>
        <w:div w:id="1163935908">
          <w:marLeft w:val="0"/>
          <w:marRight w:val="0"/>
          <w:marTop w:val="0"/>
          <w:marBottom w:val="0"/>
          <w:divBdr>
            <w:top w:val="none" w:sz="0" w:space="0" w:color="auto"/>
            <w:left w:val="none" w:sz="0" w:space="0" w:color="auto"/>
            <w:bottom w:val="none" w:sz="0" w:space="0" w:color="auto"/>
            <w:right w:val="none" w:sz="0" w:space="0" w:color="auto"/>
          </w:divBdr>
        </w:div>
        <w:div w:id="2103602078">
          <w:marLeft w:val="0"/>
          <w:marRight w:val="0"/>
          <w:marTop w:val="0"/>
          <w:marBottom w:val="0"/>
          <w:divBdr>
            <w:top w:val="none" w:sz="0" w:space="0" w:color="auto"/>
            <w:left w:val="none" w:sz="0" w:space="0" w:color="auto"/>
            <w:bottom w:val="none" w:sz="0" w:space="0" w:color="auto"/>
            <w:right w:val="none" w:sz="0" w:space="0" w:color="auto"/>
          </w:divBdr>
        </w:div>
      </w:divsChild>
    </w:div>
    <w:div w:id="1093890453">
      <w:bodyDiv w:val="1"/>
      <w:marLeft w:val="0"/>
      <w:marRight w:val="0"/>
      <w:marTop w:val="0"/>
      <w:marBottom w:val="0"/>
      <w:divBdr>
        <w:top w:val="none" w:sz="0" w:space="0" w:color="auto"/>
        <w:left w:val="none" w:sz="0" w:space="0" w:color="auto"/>
        <w:bottom w:val="none" w:sz="0" w:space="0" w:color="auto"/>
        <w:right w:val="none" w:sz="0" w:space="0" w:color="auto"/>
      </w:divBdr>
      <w:divsChild>
        <w:div w:id="958222709">
          <w:marLeft w:val="0"/>
          <w:marRight w:val="0"/>
          <w:marTop w:val="0"/>
          <w:marBottom w:val="0"/>
          <w:divBdr>
            <w:top w:val="none" w:sz="0" w:space="0" w:color="auto"/>
            <w:left w:val="none" w:sz="0" w:space="0" w:color="auto"/>
            <w:bottom w:val="none" w:sz="0" w:space="0" w:color="auto"/>
            <w:right w:val="none" w:sz="0" w:space="0" w:color="auto"/>
          </w:divBdr>
        </w:div>
        <w:div w:id="908077104">
          <w:marLeft w:val="0"/>
          <w:marRight w:val="0"/>
          <w:marTop w:val="0"/>
          <w:marBottom w:val="0"/>
          <w:divBdr>
            <w:top w:val="none" w:sz="0" w:space="0" w:color="auto"/>
            <w:left w:val="none" w:sz="0" w:space="0" w:color="auto"/>
            <w:bottom w:val="none" w:sz="0" w:space="0" w:color="auto"/>
            <w:right w:val="none" w:sz="0" w:space="0" w:color="auto"/>
          </w:divBdr>
        </w:div>
        <w:div w:id="938176140">
          <w:marLeft w:val="0"/>
          <w:marRight w:val="0"/>
          <w:marTop w:val="0"/>
          <w:marBottom w:val="0"/>
          <w:divBdr>
            <w:top w:val="none" w:sz="0" w:space="0" w:color="auto"/>
            <w:left w:val="none" w:sz="0" w:space="0" w:color="auto"/>
            <w:bottom w:val="none" w:sz="0" w:space="0" w:color="auto"/>
            <w:right w:val="none" w:sz="0" w:space="0" w:color="auto"/>
          </w:divBdr>
        </w:div>
        <w:div w:id="1851598345">
          <w:marLeft w:val="0"/>
          <w:marRight w:val="0"/>
          <w:marTop w:val="0"/>
          <w:marBottom w:val="0"/>
          <w:divBdr>
            <w:top w:val="none" w:sz="0" w:space="0" w:color="auto"/>
            <w:left w:val="none" w:sz="0" w:space="0" w:color="auto"/>
            <w:bottom w:val="none" w:sz="0" w:space="0" w:color="auto"/>
            <w:right w:val="none" w:sz="0" w:space="0" w:color="auto"/>
          </w:divBdr>
        </w:div>
        <w:div w:id="1599753653">
          <w:marLeft w:val="0"/>
          <w:marRight w:val="0"/>
          <w:marTop w:val="0"/>
          <w:marBottom w:val="0"/>
          <w:divBdr>
            <w:top w:val="none" w:sz="0" w:space="0" w:color="auto"/>
            <w:left w:val="none" w:sz="0" w:space="0" w:color="auto"/>
            <w:bottom w:val="none" w:sz="0" w:space="0" w:color="auto"/>
            <w:right w:val="none" w:sz="0" w:space="0" w:color="auto"/>
          </w:divBdr>
        </w:div>
        <w:div w:id="549614847">
          <w:marLeft w:val="0"/>
          <w:marRight w:val="0"/>
          <w:marTop w:val="0"/>
          <w:marBottom w:val="0"/>
          <w:divBdr>
            <w:top w:val="none" w:sz="0" w:space="0" w:color="auto"/>
            <w:left w:val="none" w:sz="0" w:space="0" w:color="auto"/>
            <w:bottom w:val="none" w:sz="0" w:space="0" w:color="auto"/>
            <w:right w:val="none" w:sz="0" w:space="0" w:color="auto"/>
          </w:divBdr>
        </w:div>
        <w:div w:id="661205568">
          <w:marLeft w:val="0"/>
          <w:marRight w:val="0"/>
          <w:marTop w:val="0"/>
          <w:marBottom w:val="0"/>
          <w:divBdr>
            <w:top w:val="none" w:sz="0" w:space="0" w:color="auto"/>
            <w:left w:val="none" w:sz="0" w:space="0" w:color="auto"/>
            <w:bottom w:val="none" w:sz="0" w:space="0" w:color="auto"/>
            <w:right w:val="none" w:sz="0" w:space="0" w:color="auto"/>
          </w:divBdr>
        </w:div>
        <w:div w:id="1337807441">
          <w:marLeft w:val="0"/>
          <w:marRight w:val="0"/>
          <w:marTop w:val="0"/>
          <w:marBottom w:val="0"/>
          <w:divBdr>
            <w:top w:val="none" w:sz="0" w:space="0" w:color="auto"/>
            <w:left w:val="none" w:sz="0" w:space="0" w:color="auto"/>
            <w:bottom w:val="none" w:sz="0" w:space="0" w:color="auto"/>
            <w:right w:val="none" w:sz="0" w:space="0" w:color="auto"/>
          </w:divBdr>
        </w:div>
        <w:div w:id="1214316631">
          <w:marLeft w:val="0"/>
          <w:marRight w:val="0"/>
          <w:marTop w:val="0"/>
          <w:marBottom w:val="0"/>
          <w:divBdr>
            <w:top w:val="none" w:sz="0" w:space="0" w:color="auto"/>
            <w:left w:val="none" w:sz="0" w:space="0" w:color="auto"/>
            <w:bottom w:val="none" w:sz="0" w:space="0" w:color="auto"/>
            <w:right w:val="none" w:sz="0" w:space="0" w:color="auto"/>
          </w:divBdr>
        </w:div>
        <w:div w:id="1343434698">
          <w:marLeft w:val="0"/>
          <w:marRight w:val="0"/>
          <w:marTop w:val="0"/>
          <w:marBottom w:val="0"/>
          <w:divBdr>
            <w:top w:val="none" w:sz="0" w:space="0" w:color="auto"/>
            <w:left w:val="none" w:sz="0" w:space="0" w:color="auto"/>
            <w:bottom w:val="none" w:sz="0" w:space="0" w:color="auto"/>
            <w:right w:val="none" w:sz="0" w:space="0" w:color="auto"/>
          </w:divBdr>
        </w:div>
        <w:div w:id="290285981">
          <w:marLeft w:val="0"/>
          <w:marRight w:val="0"/>
          <w:marTop w:val="0"/>
          <w:marBottom w:val="0"/>
          <w:divBdr>
            <w:top w:val="none" w:sz="0" w:space="0" w:color="auto"/>
            <w:left w:val="none" w:sz="0" w:space="0" w:color="auto"/>
            <w:bottom w:val="none" w:sz="0" w:space="0" w:color="auto"/>
            <w:right w:val="none" w:sz="0" w:space="0" w:color="auto"/>
          </w:divBdr>
        </w:div>
        <w:div w:id="960264679">
          <w:marLeft w:val="0"/>
          <w:marRight w:val="0"/>
          <w:marTop w:val="0"/>
          <w:marBottom w:val="0"/>
          <w:divBdr>
            <w:top w:val="none" w:sz="0" w:space="0" w:color="auto"/>
            <w:left w:val="none" w:sz="0" w:space="0" w:color="auto"/>
            <w:bottom w:val="none" w:sz="0" w:space="0" w:color="auto"/>
            <w:right w:val="none" w:sz="0" w:space="0" w:color="auto"/>
          </w:divBdr>
        </w:div>
        <w:div w:id="1680037322">
          <w:marLeft w:val="0"/>
          <w:marRight w:val="0"/>
          <w:marTop w:val="0"/>
          <w:marBottom w:val="0"/>
          <w:divBdr>
            <w:top w:val="none" w:sz="0" w:space="0" w:color="auto"/>
            <w:left w:val="none" w:sz="0" w:space="0" w:color="auto"/>
            <w:bottom w:val="none" w:sz="0" w:space="0" w:color="auto"/>
            <w:right w:val="none" w:sz="0" w:space="0" w:color="auto"/>
          </w:divBdr>
        </w:div>
        <w:div w:id="434718097">
          <w:marLeft w:val="0"/>
          <w:marRight w:val="0"/>
          <w:marTop w:val="0"/>
          <w:marBottom w:val="0"/>
          <w:divBdr>
            <w:top w:val="none" w:sz="0" w:space="0" w:color="auto"/>
            <w:left w:val="none" w:sz="0" w:space="0" w:color="auto"/>
            <w:bottom w:val="none" w:sz="0" w:space="0" w:color="auto"/>
            <w:right w:val="none" w:sz="0" w:space="0" w:color="auto"/>
          </w:divBdr>
        </w:div>
        <w:div w:id="134295630">
          <w:marLeft w:val="0"/>
          <w:marRight w:val="0"/>
          <w:marTop w:val="0"/>
          <w:marBottom w:val="0"/>
          <w:divBdr>
            <w:top w:val="none" w:sz="0" w:space="0" w:color="auto"/>
            <w:left w:val="none" w:sz="0" w:space="0" w:color="auto"/>
            <w:bottom w:val="none" w:sz="0" w:space="0" w:color="auto"/>
            <w:right w:val="none" w:sz="0" w:space="0" w:color="auto"/>
          </w:divBdr>
        </w:div>
        <w:div w:id="1537230534">
          <w:marLeft w:val="0"/>
          <w:marRight w:val="0"/>
          <w:marTop w:val="0"/>
          <w:marBottom w:val="0"/>
          <w:divBdr>
            <w:top w:val="none" w:sz="0" w:space="0" w:color="auto"/>
            <w:left w:val="none" w:sz="0" w:space="0" w:color="auto"/>
            <w:bottom w:val="none" w:sz="0" w:space="0" w:color="auto"/>
            <w:right w:val="none" w:sz="0" w:space="0" w:color="auto"/>
          </w:divBdr>
        </w:div>
      </w:divsChild>
    </w:div>
    <w:div w:id="1415082809">
      <w:bodyDiv w:val="1"/>
      <w:marLeft w:val="0"/>
      <w:marRight w:val="0"/>
      <w:marTop w:val="0"/>
      <w:marBottom w:val="0"/>
      <w:divBdr>
        <w:top w:val="none" w:sz="0" w:space="0" w:color="auto"/>
        <w:left w:val="none" w:sz="0" w:space="0" w:color="auto"/>
        <w:bottom w:val="none" w:sz="0" w:space="0" w:color="auto"/>
        <w:right w:val="none" w:sz="0" w:space="0" w:color="auto"/>
      </w:divBdr>
    </w:div>
    <w:div w:id="1622761806">
      <w:bodyDiv w:val="1"/>
      <w:marLeft w:val="0"/>
      <w:marRight w:val="0"/>
      <w:marTop w:val="0"/>
      <w:marBottom w:val="0"/>
      <w:divBdr>
        <w:top w:val="none" w:sz="0" w:space="0" w:color="auto"/>
        <w:left w:val="none" w:sz="0" w:space="0" w:color="auto"/>
        <w:bottom w:val="none" w:sz="0" w:space="0" w:color="auto"/>
        <w:right w:val="none" w:sz="0" w:space="0" w:color="auto"/>
      </w:divBdr>
    </w:div>
    <w:div w:id="1716081872">
      <w:bodyDiv w:val="1"/>
      <w:marLeft w:val="0"/>
      <w:marRight w:val="0"/>
      <w:marTop w:val="0"/>
      <w:marBottom w:val="0"/>
      <w:divBdr>
        <w:top w:val="none" w:sz="0" w:space="0" w:color="auto"/>
        <w:left w:val="none" w:sz="0" w:space="0" w:color="auto"/>
        <w:bottom w:val="none" w:sz="0" w:space="0" w:color="auto"/>
        <w:right w:val="none" w:sz="0" w:space="0" w:color="auto"/>
      </w:divBdr>
    </w:div>
    <w:div w:id="1889993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665E7-415C-46A7-B3B2-FC818A78B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12082</Words>
  <Characters>68871</Characters>
  <Application>Microsoft Office Word</Application>
  <DocSecurity>0</DocSecurity>
  <Lines>573</Lines>
  <Paragraphs>161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2026-03-07T20:25:00Z</cp:lastPrinted>
  <dcterms:created xsi:type="dcterms:W3CDTF">2026-03-07T20:27:00Z</dcterms:created>
  <dcterms:modified xsi:type="dcterms:W3CDTF">2026-03-07T20:27:00Z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