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5EC2D" w14:textId="77777777" w:rsidR="00000000" w:rsidRPr="001D257A" w:rsidRDefault="00000000" w:rsidP="00A26521">
      <w:pPr>
        <w:pStyle w:val="Heading1"/>
        <w:pageBreakBefore/>
        <w:bidi/>
        <w:spacing w:after="360"/>
        <w:jc w:val="left"/>
        <w:rPr>
          <w:rFonts w:ascii="Simplified Arabic" w:hAnsi="Simplified Arabic" w:cs="Simplified Arabic" w:hint="eastAsia"/>
        </w:rPr>
      </w:pPr>
      <w:bookmarkStart w:id="0" w:name="_Toc225544135"/>
      <w:r w:rsidRPr="001D257A">
        <w:rPr>
          <w:rFonts w:ascii="Simplified Arabic" w:hAnsi="Simplified Arabic" w:cs="Simplified Arabic"/>
          <w:rtl/>
        </w:rPr>
        <w:t>الفصل الأول: الإطار العام للدراسة</w:t>
      </w:r>
      <w:bookmarkEnd w:id="0"/>
    </w:p>
    <w:p w14:paraId="5C225708" w14:textId="77777777" w:rsidR="00000000" w:rsidRPr="001D257A" w:rsidRDefault="00000000" w:rsidP="00A26521">
      <w:pPr>
        <w:pStyle w:val="Heading2"/>
        <w:bidi/>
        <w:spacing w:after="200"/>
        <w:jc w:val="left"/>
        <w:rPr>
          <w:rFonts w:ascii="Simplified Arabic" w:hAnsi="Simplified Arabic" w:cs="Simplified Arabic" w:hint="eastAsia"/>
        </w:rPr>
      </w:pPr>
      <w:bookmarkStart w:id="1" w:name="_Toc225544136"/>
      <w:r w:rsidRPr="001D257A">
        <w:rPr>
          <w:rFonts w:ascii="Simplified Arabic" w:hAnsi="Simplified Arabic" w:cs="Simplified Arabic"/>
          <w:rtl/>
        </w:rPr>
        <w:t>أولًا: المقدمة</w:t>
      </w:r>
      <w:bookmarkEnd w:id="1"/>
    </w:p>
    <w:p w14:paraId="2C71C232" w14:textId="77777777" w:rsidR="00000000" w:rsidRPr="001D257A" w:rsidRDefault="00000000" w:rsidP="00A26521">
      <w:pPr>
        <w:bidi/>
        <w:spacing w:after="120" w:line="276" w:lineRule="auto"/>
        <w:ind w:firstLine="284"/>
        <w:jc w:val="left"/>
        <w:rPr>
          <w:rFonts w:hint="eastAsia"/>
        </w:rPr>
      </w:pPr>
      <w:r w:rsidRPr="001D257A">
        <w:rPr>
          <w:rtl/>
        </w:rPr>
        <w:t>يشهد العالم في القرن الحادي والعشرين تحولات جذرية وغير مسبوقة في طبيعة الأعمال وأساليب الإدارة، مدفوعة بالتطور المتسارع في التقنيات الرقمية والذكاء الاصطناعي والحوسبة السحابية وإنترنت الأشياء وتحليلات البيانات الضخمة. وقد أسهمت هذه التقنيات في إعادة تشكيل المشهد الاقتصادي العالمي، حيث أصبح التحول الرقمي ضرورة استراتيجية لا خيارًا ثانويًا لأي مؤسسة تسعى للبقاء والنمو في بيئة تنافسية متغيرة. ويُعرّف التحول الرقمي بأنه عملية شاملة ومتكاملة لدمج التقنيات الرقمية في جميع جوانب العمل المؤسسي، بما يؤدي إلى تغييرات جوهرية في كيفية تشغيل المؤسسات وتقديمها للقيمة لعملائها وأصحاب المصلحة (Schwab, 2016; Westerman et al., 2014).</w:t>
      </w:r>
    </w:p>
    <w:p w14:paraId="2333CE69" w14:textId="77777777" w:rsidR="00000000" w:rsidRPr="001D257A" w:rsidRDefault="00000000" w:rsidP="00A26521">
      <w:pPr>
        <w:bidi/>
        <w:spacing w:after="120" w:line="276" w:lineRule="auto"/>
        <w:ind w:firstLine="284"/>
        <w:jc w:val="left"/>
        <w:rPr>
          <w:rFonts w:hint="eastAsia"/>
        </w:rPr>
      </w:pPr>
      <w:r w:rsidRPr="001D257A">
        <w:rPr>
          <w:rtl/>
        </w:rPr>
        <w:t>وفي هذا السياق العالمي، شهدت المملكة العربية السعودية خلال العقد الأخير تحولات جذرية وعميقة في منظومتها الاقتصادية والتقنية والإدارية، مستندة إلى رؤية المملكة 2030 التي أطلقها صاحب السمو الملكي الأمير محمد بن سلمان بن عبدالعزيز آل سعود ولي العهد رئيس مجلس الوزراء في عام 2016. وقد جعلت هذه الرؤية الطموحة من التحول الرقمي أحد أبرز ركائزها الاستراتيجية، حيث تهدف إلى بناء اقتصاد رقمي مزدهر ومتنوع يُسهم في تقليل الاعتماد على النفط وتعزيز مساهمة القطاعات غير النفطية في الناتج المحلي الإجمالي. وقد تجسّد هذا التوجه في إطلاق مبادرات وبرامج متعددة مثل برنامج التحول الوطني، وبرنامج الحكومة الرقمية، وبرنامج تطوير القطاع المالي، والاستراتيجية الوطنية للبيانات والذكاء الاصطناعي (هيئة الحكومة الرقمية السعودية، 2023).</w:t>
      </w:r>
    </w:p>
    <w:p w14:paraId="1582483F" w14:textId="77777777" w:rsidR="00000000" w:rsidRPr="001D257A" w:rsidRDefault="00000000" w:rsidP="00A26521">
      <w:pPr>
        <w:bidi/>
        <w:spacing w:after="120" w:line="276" w:lineRule="auto"/>
        <w:ind w:firstLine="284"/>
        <w:jc w:val="left"/>
        <w:rPr>
          <w:rFonts w:hint="eastAsia"/>
        </w:rPr>
      </w:pPr>
      <w:r w:rsidRPr="001D257A">
        <w:rPr>
          <w:rtl/>
        </w:rPr>
        <w:t>وتُشير الإحصائيات إلى أن المملكة العربية السعودية حققت قفزات نوعية في مؤشرات التحول الرقمي على المستوى العالمي، حيث احتلت مراتب متقدمة في مؤشر الأمم المتحدة للحكومة الإلكترونية، وتصدرت دول مجموعة العشرين في عدد من المؤشرات الرقمية. كما شهد قطاع التقنية والاتصالات نموًا لافتًا في السنوات الأخيرة، مع دخول كبرى الشركات التقنية العالمية مثل Google Cloud وAmazon Web Services وOracle إلى السوق السعودي بمراكز بيانات محلية، ما عزّز من البنية التحتية الرقمية للمملكة وأتاح فرصًا جديدة للشركات المحلية لتبنّي أحدث التقنيات (مركز المعلومات والأبحاث السياحية، 2024).</w:t>
      </w:r>
    </w:p>
    <w:p w14:paraId="421A51E8" w14:textId="77777777" w:rsidR="00000000" w:rsidRPr="001D257A" w:rsidRDefault="00000000" w:rsidP="00A26521">
      <w:pPr>
        <w:bidi/>
        <w:spacing w:after="120" w:line="276" w:lineRule="auto"/>
        <w:ind w:firstLine="284"/>
        <w:jc w:val="left"/>
        <w:rPr>
          <w:rFonts w:hint="eastAsia"/>
        </w:rPr>
      </w:pPr>
      <w:r w:rsidRPr="001D257A">
        <w:rPr>
          <w:rtl/>
        </w:rPr>
        <w:t>ومن أبرز القطاعات التي استفادت من هذا التوجه الرقمي قطاع الشركات الناشئة، الذي شهد نموًا لافتًا في السنوات الأخيرة مدعومًا ببرامج ومبادرات حكومية طموحة مثل برنامج "منشآت" وصندوق التنمية الصناعية ومنصة "فنتك السعودية" ومسرّعات الأعمال المتعددة مثل Flat6Labs وSTC Launchpad وMisk Innovation. وقد أسهمت هذه المبادرات في تمكين رواد الأعمال وتعزيز بيئة الابتكار في المملكة، حيث ارتفع عدد الشركات الناشئة المسجلة بشكل ملحوظ، وزادت قيمة الاستثمارات الموجهة لهذا القطاع لتصل إلى مليارات الريالات (هيئة الحكومة الرقمية، 2023؛ منشآت، 2024).</w:t>
      </w:r>
    </w:p>
    <w:p w14:paraId="06C513E4" w14:textId="77777777" w:rsidR="00000000" w:rsidRPr="001D257A" w:rsidRDefault="00000000" w:rsidP="00A26521">
      <w:pPr>
        <w:bidi/>
        <w:spacing w:after="120" w:line="276" w:lineRule="auto"/>
        <w:ind w:firstLine="284"/>
        <w:jc w:val="left"/>
        <w:rPr>
          <w:rFonts w:hint="eastAsia"/>
        </w:rPr>
      </w:pPr>
      <w:r w:rsidRPr="001D257A">
        <w:rPr>
          <w:rtl/>
        </w:rPr>
        <w:t>وفي هذا السياق التنموي المتسارع، برز التحول الرقمي بوصفه عاملًا محوريًا في إعادة تشكيل أساليب إدارة المشاريع داخل المؤسسات بمختلف أحجامها وقطاعاتها. فلم يعد التحول الرقمي مقتصرًا على استبدال الأدوات التقليدية بأخرى رقمية فحسب، بل امتدّ ليشمل إعادة هندسة العمليات الإدارية والتشغيلية بالكامل، وتحويل ثقافة العمل نحو مزيد من المرونة والشفافية والاعتماد على البيانات والتحليلات في صنع القرار. وقد أكدت دراسات أكاديمية عديدة أن المؤسسات التي تتبنّى التحول الرقمي بشكل فعّال ومدروس تحقق مستويات أعلى من الكفاءة التشغيلية وجودة المخرجات وسرعة الاستجابة للمتغيرات والقدرة على الابتكار (Chen et al., 2023; Jendi, 2024; Adeniran et al., 2024).</w:t>
      </w:r>
    </w:p>
    <w:p w14:paraId="5198C6CD" w14:textId="77777777" w:rsidR="00000000" w:rsidRPr="001D257A" w:rsidRDefault="00000000" w:rsidP="00A26521">
      <w:pPr>
        <w:bidi/>
        <w:spacing w:after="120" w:line="276" w:lineRule="auto"/>
        <w:ind w:firstLine="284"/>
        <w:jc w:val="left"/>
        <w:rPr>
          <w:rFonts w:hint="eastAsia"/>
        </w:rPr>
      </w:pPr>
      <w:r w:rsidRPr="001D257A">
        <w:rPr>
          <w:rtl/>
        </w:rPr>
        <w:lastRenderedPageBreak/>
        <w:t>وتكتسب إدارة المشاريع أهمية متزايدة ومتعاظمة في بيئة الشركات الخدمية الناشئة، التي تعتمد بطبيعتها على فرق عمل صغيرة نسبيًا وموارد مالية وبشرية محدودة وجداول زمنية ضيقة ومتطلبات عملاء متغيرة باستمرار. وفي ظل هذه الظروف، تصبح كفاءة إدارة المشاريع عاملًا حاسمًا ليس فقط في نجاح المشاريع الفردية، بل في بقاء الشركة الناشئة ذاتها ونموها واستدامتها في سوق تنافسي شديد. ومع تزايد حدة المنافسة وتسارع التغيرات التقنية والاقتصادية، أصبحت الشركات الناشئة مطالبة أكثر من أي وقت مضى بتبنّي أدوات ومنصات رقمية تساعدها على تحسين تخطيط مشاريعها وتنفيذها ومتابعتها وإغلاقها بكفاءة أعلى وتكلفة أقل وجودة أفضل (Hawsawi, 2024; SharkByte, 2025).</w:t>
      </w:r>
    </w:p>
    <w:p w14:paraId="6D0F906B" w14:textId="77777777" w:rsidR="00000000" w:rsidRPr="001D257A" w:rsidRDefault="00000000" w:rsidP="00A26521">
      <w:pPr>
        <w:bidi/>
        <w:spacing w:after="120" w:line="276" w:lineRule="auto"/>
        <w:ind w:firstLine="284"/>
        <w:jc w:val="left"/>
        <w:rPr>
          <w:rFonts w:hint="eastAsia"/>
        </w:rPr>
      </w:pPr>
      <w:r w:rsidRPr="001D257A">
        <w:rPr>
          <w:rtl/>
        </w:rPr>
        <w:t>وتتمثل أبرز التقنيات الرقمية التي باتت تشكّل العمود الفقري لإدارة المشاريع الحديثة في خمسة أبعاد رئيسة: أولًا، منصات إدارة المشاريع المتكاملة مثل Jira وAsana وTrello وMonday.com وMicrosoft Project التي توفر بيئة موحدة لتخطيط المهام وتوزيعها ومتابعتها وإصدار التقارير. ثانيًا، أدوات الأتمتة التي تتولى المهام الروتينية والمتكررة وتقلل الأخطاء البشرية وتوفر وقت فرق العمل. ثالثًا، الحلول السحابية التي تتيح الوصول إلى البيانات والوثائق من أي مكان وفي أي وقت وتعزز التعاون في الوقت الحقيقي. رابعًا، تحليلات البيانات والذكاء الاصطناعي التي تدعم اتخاذ القرارات المبنية على الأدلة وتساعد في التنبؤ بالمخاطر واكتشاف الانحرافات مبكرًا. وخامسًا، أنظمة التواصل الرقمي مثل Microsoft Teams وSlack وZoom التي تسهّل تبادل المعلومات والتنسيق بين أعضاء الفرق الموزعة جغرافيًا (Afridi et al., 2023; Abdelhameed, 2025; Rogers, 2016).</w:t>
      </w:r>
    </w:p>
    <w:p w14:paraId="092452EF" w14:textId="77777777" w:rsidR="00000000" w:rsidRPr="001D257A" w:rsidRDefault="00000000" w:rsidP="00A26521">
      <w:pPr>
        <w:bidi/>
        <w:spacing w:after="120" w:line="276" w:lineRule="auto"/>
        <w:ind w:firstLine="284"/>
        <w:jc w:val="left"/>
        <w:rPr>
          <w:rFonts w:hint="eastAsia"/>
        </w:rPr>
      </w:pPr>
      <w:r w:rsidRPr="001D257A">
        <w:rPr>
          <w:rtl/>
        </w:rPr>
        <w:t>وعلى الرغم من الانتشار المتزايد لهذه التقنيات في بيئة الأعمال السعودية، وعلى الرغم من الدعم الحكومي الكبير لمسيرة التحول الرقمي، إلا أن الأثر الفعلي لتبنّي هذه التقنيات على كفاءة عمليات إدارة المشاريع في الشركات الخدمية الناشئة تحديدًا لا يزال بحاجة إلى مزيد من البحث والدراسة المنهجية الدقيقة. فبعض الشركات نجحت في توظيف هذه الأدوات لتحقيق قفزات نوعية في أدائها التشغيلي وقدرتها التنافسية، بينما واجهت شركات أخرى تحديات جوهرية تتعلق بنقص المهارات الرقمية لدى العاملين، ومقاومة التغيير التنظيمي، وصعوبات التكامل بين الأنظمة المختلفة، وارتفاع تكاليف بعض الحلول التقنية مقارنة بموارد الشركات الناشئة المحدودة (منشآت، 2024).</w:t>
      </w:r>
    </w:p>
    <w:p w14:paraId="518E4A41" w14:textId="77777777" w:rsidR="00000000" w:rsidRPr="001D257A" w:rsidRDefault="00000000" w:rsidP="00A26521">
      <w:pPr>
        <w:bidi/>
        <w:spacing w:after="120" w:line="276" w:lineRule="auto"/>
        <w:ind w:firstLine="284"/>
        <w:jc w:val="left"/>
        <w:rPr>
          <w:rFonts w:hint="eastAsia"/>
        </w:rPr>
      </w:pPr>
      <w:r w:rsidRPr="001D257A">
        <w:rPr>
          <w:rtl/>
        </w:rPr>
        <w:t>من هنا تأتي هذه الدراسة لتسلّط الضوء على أثر تبنّي التحول الرقمي بأبعاده المختلفة على كفاءة عمليات إدارة المشاريع في الشركات الخدمية الناشئة في المملكة العربية السعودية، سعيًا إلى تقديم إسهام علمي يسد فجوة معرفية واضحة في الأدبيات العربية والسعودية، ويزوّد صناع القرار وروّاد الأعمال ومديري المشاريع بتوصيات عملية مبنية على بيانات ميدانية حقيقية ومنهجية علمية صارمة.</w:t>
      </w:r>
    </w:p>
    <w:p w14:paraId="5AC378A0" w14:textId="77777777" w:rsidR="00000000" w:rsidRPr="001D257A" w:rsidRDefault="00000000" w:rsidP="00A26521">
      <w:pPr>
        <w:pStyle w:val="Heading2"/>
        <w:bidi/>
        <w:spacing w:after="200"/>
        <w:jc w:val="left"/>
        <w:rPr>
          <w:rFonts w:ascii="Simplified Arabic" w:hAnsi="Simplified Arabic" w:cs="Simplified Arabic" w:hint="eastAsia"/>
        </w:rPr>
      </w:pPr>
      <w:bookmarkStart w:id="2" w:name="_Toc225544137"/>
      <w:r w:rsidRPr="001D257A">
        <w:rPr>
          <w:rFonts w:ascii="Simplified Arabic" w:hAnsi="Simplified Arabic" w:cs="Simplified Arabic"/>
          <w:rtl/>
        </w:rPr>
        <w:t>ثانيًا: مشكلة الدراسة</w:t>
      </w:r>
      <w:bookmarkEnd w:id="2"/>
    </w:p>
    <w:p w14:paraId="17F78A3D" w14:textId="77777777" w:rsidR="00000000" w:rsidRPr="001D257A" w:rsidRDefault="00000000" w:rsidP="00A26521">
      <w:pPr>
        <w:bidi/>
        <w:spacing w:after="120" w:line="276" w:lineRule="auto"/>
        <w:ind w:firstLine="284"/>
        <w:jc w:val="left"/>
        <w:rPr>
          <w:rFonts w:hint="eastAsia"/>
        </w:rPr>
      </w:pPr>
      <w:r w:rsidRPr="001D257A">
        <w:rPr>
          <w:rtl/>
        </w:rPr>
        <w:t>على الرغم من التوسع الكبير والملموس في تبنّي أدوات ومنصات التحول الرقمي داخل الشركات الخدمية الناشئة في المملكة العربية السعودية خلال السنوات الأخيرة، وعلى الرغم من التوجه الحكومي الواضح والداعم نحو تعزيز الرقمنة والابتكار ضمن رؤية 2030، إلا أن الواقع العملي يكشف عن وجود تفاوت ملحوظ وكبير بين هذه الشركات في مدى تحقيق فوائد ملموسة وقابلة للقياس من هذا التبنّي على صعيد كفاءة عمليات إدارة المشاريع. فالمتتبع لأداء الشركات الناشئة في المملكة يلحظ أن بعضها حقق نتائج استثنائية في تحسين عملياته الإدارية والتشغيلية بفضل التحول الرقمي، بينما لا تزال شركات أخرى تعاني من تحديات حقيقية في تحقيق العائد المتوقع من استثماراتها الرقمية (هيئة الحكومة الرقمية، 2023).</w:t>
      </w:r>
    </w:p>
    <w:p w14:paraId="0E7F0028" w14:textId="77777777" w:rsidR="00000000" w:rsidRPr="001D257A" w:rsidRDefault="00000000" w:rsidP="00A26521">
      <w:pPr>
        <w:bidi/>
        <w:spacing w:after="120" w:line="276" w:lineRule="auto"/>
        <w:ind w:firstLine="284"/>
        <w:jc w:val="left"/>
        <w:rPr>
          <w:rFonts w:hint="eastAsia"/>
        </w:rPr>
      </w:pPr>
      <w:r w:rsidRPr="001D257A">
        <w:rPr>
          <w:rtl/>
        </w:rPr>
        <w:t xml:space="preserve">وتتجلى مشكلة الدراسة بشكل أوضح عند النظر في عدة مؤشرات ميدانية: فوفقًا لتقارير هيئة المنشآت الصغيرة والمتوسطة (منشآت، 2024)، فإن نسبة كبيرة من الشركات الناشئة التي تبنّت أدوات رقمية لم تحقق بعد الاستفادة القصوى منها، ويعود ذلك إلى </w:t>
      </w:r>
      <w:r w:rsidRPr="001D257A">
        <w:rPr>
          <w:rtl/>
        </w:rPr>
        <w:lastRenderedPageBreak/>
        <w:t>أسباب متعددة أبرزها: عدم وضوح الرؤية الاستراتيجية للتحول الرقمي داخل هذه الشركات، ونقص الكفاءات الرقمية المؤهلة القادرة على توظيف هذه الأدوات بفاعلية، وضعف المواءمة بين الأدوات الرقمية المختارة وطبيعة العمليات التشغيلية الفعلية للشركة، إضافة إلى تحديات التغيير التنظيمي والثقافي التي تواجه الشركات عند الانتقال من الأساليب التقليدية إلى الأساليب الرقمية. كما أن ارتفاع تكاليف بعض الحلول التقنية المتقدمة يُشكّل عائقًا إضافيًا أمام الشركات الناشئة ذات الموارد المالية المحدودة (Afridi et al., 2023; Chen et al., 2023).</w:t>
      </w:r>
    </w:p>
    <w:p w14:paraId="3935C8A3" w14:textId="77777777" w:rsidR="00000000" w:rsidRPr="001D257A" w:rsidRDefault="00000000" w:rsidP="00A26521">
      <w:pPr>
        <w:bidi/>
        <w:spacing w:after="120" w:line="276" w:lineRule="auto"/>
        <w:ind w:firstLine="284"/>
        <w:jc w:val="left"/>
        <w:rPr>
          <w:rFonts w:hint="eastAsia"/>
        </w:rPr>
      </w:pPr>
      <w:r w:rsidRPr="001D257A">
        <w:rPr>
          <w:rtl/>
        </w:rPr>
        <w:t>وعلى الصعيد الأكاديمي، تشير مراجعة الأدبيات العلمية إلى وجود فجوة بحثية واضحة في هذا المجال. فمعظم الدراسات التي تناولت العلاقة بين التحول الرقمي وإدارة المشاريع قد ركزت بشكل رئيس على القطاعات الحكومية أو الصناعية أو قطاع البناء والتشييد والبنية التحتية، في حين لا تزال الدراسات المتخصصة في بيئة الشركات الخدمية الناشئة محدودة للغاية، خاصة في السياق السعودي الذي يتميز بخصوصيات اقتصادية وتنظيمية وثقافية واجتماعية فريدة (Hawsawi, 2024; Jendi, 2024). كما أن معظم الدراسات المتاحة تناولت التحول الرقمي بشكل عام ومجمل دون التفصيل الكافي في أبعاده المختلفة وأثر كل منها على جوانب محددة ومقاسة من كفاءة إدارة المشاريع.</w:t>
      </w:r>
    </w:p>
    <w:p w14:paraId="5F5EE157" w14:textId="77777777" w:rsidR="00000000" w:rsidRPr="001D257A" w:rsidRDefault="00000000" w:rsidP="00A26521">
      <w:pPr>
        <w:bidi/>
        <w:spacing w:after="120" w:line="276" w:lineRule="auto"/>
        <w:ind w:firstLine="284"/>
        <w:jc w:val="left"/>
        <w:rPr>
          <w:rFonts w:hint="eastAsia"/>
        </w:rPr>
      </w:pPr>
      <w:r w:rsidRPr="001D257A">
        <w:rPr>
          <w:rtl/>
        </w:rPr>
        <w:t>وتزداد أهمية سد هذه الفجوة البحثية في ظل التوجهات الاستراتيجية الوطنية التي تولي أهمية كبرى لقطاع الشركات الناشئة بوصفه أحد المحركات الرئيسة للتنويع الاقتصادي وخلق فرص العمل والابتكار في المملكة. فالحاجة ماسة لدراسات ميدانية دقيقة تقيس الأثر الفعلي للتحول الرقمي على كفاءة هذه الشركات، وتُحدّد الأبعاد الرقمية الأكثر تأثيرًا والتحديات الأكثر إلحاحًا، لتزويد صناع القرار وأصحاب المصلحة بمعلومات موثوقة تُبنى عليها السياسات والبرامج الداعمة.</w:t>
      </w:r>
    </w:p>
    <w:p w14:paraId="55F7B56C" w14:textId="77777777" w:rsidR="00000000" w:rsidRPr="001D257A" w:rsidRDefault="00000000" w:rsidP="00A26521">
      <w:pPr>
        <w:bidi/>
        <w:spacing w:after="120" w:line="276" w:lineRule="auto"/>
        <w:ind w:firstLine="284"/>
        <w:jc w:val="left"/>
        <w:rPr>
          <w:rFonts w:hint="eastAsia"/>
        </w:rPr>
      </w:pPr>
      <w:r w:rsidRPr="001D257A">
        <w:rPr>
          <w:rtl/>
        </w:rPr>
        <w:t>وعليه، يمكن صياغة مشكلة الدراسة في السؤال الرئيس التالي:</w:t>
      </w:r>
    </w:p>
    <w:p w14:paraId="1AF7E2E1" w14:textId="77777777" w:rsidR="00000000" w:rsidRPr="001D257A" w:rsidRDefault="00000000" w:rsidP="00A26521">
      <w:pPr>
        <w:bidi/>
        <w:spacing w:before="120" w:after="120"/>
        <w:jc w:val="left"/>
        <w:rPr>
          <w:rFonts w:hint="eastAsia"/>
        </w:rPr>
      </w:pPr>
      <w:r w:rsidRPr="001D257A">
        <w:rPr>
          <w:b/>
          <w:bCs/>
          <w:rtl/>
        </w:rPr>
        <w:t>ما أثر تبنّي التحول الرقمي على كفاءة عمليات إدارة المشاريع في الشركات الخدمية الناشئة في المملكة العربية السعودية؟</w:t>
      </w:r>
    </w:p>
    <w:p w14:paraId="32C781C5" w14:textId="77777777" w:rsidR="00000000" w:rsidRPr="001D257A" w:rsidRDefault="00000000" w:rsidP="00A26521">
      <w:pPr>
        <w:pStyle w:val="Heading2"/>
        <w:bidi/>
        <w:spacing w:after="200"/>
        <w:jc w:val="left"/>
        <w:rPr>
          <w:rFonts w:ascii="Simplified Arabic" w:hAnsi="Simplified Arabic" w:cs="Simplified Arabic" w:hint="eastAsia"/>
        </w:rPr>
      </w:pPr>
      <w:bookmarkStart w:id="3" w:name="_Toc225544138"/>
      <w:r w:rsidRPr="001D257A">
        <w:rPr>
          <w:rFonts w:ascii="Simplified Arabic" w:hAnsi="Simplified Arabic" w:cs="Simplified Arabic"/>
          <w:rtl/>
        </w:rPr>
        <w:t>ثالثًا: تساؤلات الدراسة</w:t>
      </w:r>
      <w:bookmarkEnd w:id="3"/>
    </w:p>
    <w:p w14:paraId="2ACA269A" w14:textId="77777777" w:rsidR="00000000" w:rsidRPr="001D257A" w:rsidRDefault="00000000" w:rsidP="00A26521">
      <w:pPr>
        <w:bidi/>
        <w:spacing w:after="120" w:line="276" w:lineRule="auto"/>
        <w:ind w:firstLine="284"/>
        <w:jc w:val="left"/>
        <w:rPr>
          <w:rFonts w:hint="eastAsia"/>
        </w:rPr>
      </w:pPr>
      <w:r w:rsidRPr="001D257A">
        <w:rPr>
          <w:rtl/>
        </w:rPr>
        <w:t>ينبثق عن السؤال الرئيس المذكور أعلاه مجموعة من التساؤلات الفرعية التي تسعى الدراسة إلى الإجابة عنها بشكل منهجي ومعمّق:</w:t>
      </w:r>
    </w:p>
    <w:p w14:paraId="2837B917" w14:textId="77777777" w:rsidR="00000000" w:rsidRPr="001D257A" w:rsidRDefault="00000000" w:rsidP="00A26521">
      <w:pPr>
        <w:bidi/>
        <w:spacing w:after="120" w:line="276" w:lineRule="auto"/>
        <w:ind w:firstLine="284"/>
        <w:jc w:val="left"/>
        <w:rPr>
          <w:rFonts w:hint="eastAsia"/>
        </w:rPr>
      </w:pPr>
      <w:r w:rsidRPr="001D257A">
        <w:rPr>
          <w:rtl/>
        </w:rPr>
        <w:t>1. ما مستوى تبنّي التحول الرقمي (منصات إدارة المشاريع، الأتمتة، الحلول السحابية، تحليلات البيانات، أنظمة التواصل الرقمي) داخل الشركات الخدمية الناشئة في المملكة العربية السعودية من وجهة نظر العاملين فيها؟</w:t>
      </w:r>
    </w:p>
    <w:p w14:paraId="7CC46458" w14:textId="77777777" w:rsidR="00000000" w:rsidRPr="001D257A" w:rsidRDefault="00000000" w:rsidP="00A26521">
      <w:pPr>
        <w:bidi/>
        <w:spacing w:after="120" w:line="276" w:lineRule="auto"/>
        <w:ind w:firstLine="284"/>
        <w:jc w:val="left"/>
        <w:rPr>
          <w:rFonts w:hint="eastAsia"/>
        </w:rPr>
      </w:pPr>
      <w:r w:rsidRPr="001D257A">
        <w:rPr>
          <w:rtl/>
        </w:rPr>
        <w:t>2. ما أثر استخدام منصات إدارة المشاريع الرقمية على سرعة إنجاز المشاريع في الشركات الخدمية الناشئة؟</w:t>
      </w:r>
    </w:p>
    <w:p w14:paraId="154A7EA1" w14:textId="77777777" w:rsidR="00000000" w:rsidRPr="001D257A" w:rsidRDefault="00000000" w:rsidP="00A26521">
      <w:pPr>
        <w:bidi/>
        <w:spacing w:after="120" w:line="276" w:lineRule="auto"/>
        <w:ind w:firstLine="284"/>
        <w:jc w:val="left"/>
        <w:rPr>
          <w:rFonts w:hint="eastAsia"/>
        </w:rPr>
      </w:pPr>
      <w:r w:rsidRPr="001D257A">
        <w:rPr>
          <w:rtl/>
        </w:rPr>
        <w:t>3. ما أثر مستوى الأتمتة في العمليات المرتبطة بالمشاريع على جودة تنفيذ المشاريع في هذه الشركات؟</w:t>
      </w:r>
    </w:p>
    <w:p w14:paraId="65E8A74D" w14:textId="77777777" w:rsidR="00000000" w:rsidRPr="001D257A" w:rsidRDefault="00000000" w:rsidP="00A26521">
      <w:pPr>
        <w:bidi/>
        <w:spacing w:after="120" w:line="276" w:lineRule="auto"/>
        <w:ind w:firstLine="284"/>
        <w:jc w:val="left"/>
        <w:rPr>
          <w:rFonts w:hint="eastAsia"/>
        </w:rPr>
      </w:pPr>
      <w:r w:rsidRPr="001D257A">
        <w:rPr>
          <w:rtl/>
        </w:rPr>
        <w:t>4. ما دور اعتماد الحلول السحابية في تقليل الأخطاء التشغيلية أثناء تنفيذ المشاريع؟</w:t>
      </w:r>
    </w:p>
    <w:p w14:paraId="29671362" w14:textId="77777777" w:rsidR="00000000" w:rsidRPr="001D257A" w:rsidRDefault="00000000" w:rsidP="00A26521">
      <w:pPr>
        <w:bidi/>
        <w:spacing w:after="120" w:line="276" w:lineRule="auto"/>
        <w:ind w:firstLine="284"/>
        <w:jc w:val="left"/>
        <w:rPr>
          <w:rFonts w:hint="eastAsia"/>
        </w:rPr>
      </w:pPr>
      <w:r w:rsidRPr="001D257A">
        <w:rPr>
          <w:rtl/>
        </w:rPr>
        <w:t>5. كيف يؤثر توظيف تحليلات البيانات والذكاء الاصطناعي في فعالية التواصل وإدارة المهام داخل فرق المشاريع؟</w:t>
      </w:r>
    </w:p>
    <w:p w14:paraId="725F6B58" w14:textId="77777777" w:rsidR="00000000" w:rsidRPr="001D257A" w:rsidRDefault="00000000" w:rsidP="00A26521">
      <w:pPr>
        <w:bidi/>
        <w:spacing w:after="120" w:line="276" w:lineRule="auto"/>
        <w:ind w:firstLine="284"/>
        <w:jc w:val="left"/>
        <w:rPr>
          <w:rFonts w:hint="eastAsia"/>
        </w:rPr>
      </w:pPr>
      <w:r w:rsidRPr="001D257A">
        <w:rPr>
          <w:rtl/>
        </w:rPr>
        <w:t>6. ما أثر فعالية أنظمة التواصل الرقمي على جودة اتخاذ القرار في عمليات إدارة المشاريع؟</w:t>
      </w:r>
    </w:p>
    <w:p w14:paraId="51A5F984" w14:textId="77777777" w:rsidR="00000000" w:rsidRPr="001D257A" w:rsidRDefault="00000000" w:rsidP="00A26521">
      <w:pPr>
        <w:pStyle w:val="Heading2"/>
        <w:bidi/>
        <w:spacing w:after="200"/>
        <w:jc w:val="left"/>
        <w:rPr>
          <w:rFonts w:ascii="Simplified Arabic" w:hAnsi="Simplified Arabic" w:cs="Simplified Arabic" w:hint="eastAsia"/>
        </w:rPr>
      </w:pPr>
      <w:bookmarkStart w:id="4" w:name="_Toc225544139"/>
      <w:r w:rsidRPr="001D257A">
        <w:rPr>
          <w:rFonts w:ascii="Simplified Arabic" w:hAnsi="Simplified Arabic" w:cs="Simplified Arabic"/>
          <w:rtl/>
        </w:rPr>
        <w:lastRenderedPageBreak/>
        <w:t>رابعًا: أهداف الدراسة</w:t>
      </w:r>
      <w:bookmarkEnd w:id="4"/>
    </w:p>
    <w:p w14:paraId="6762222E"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5" w:name="_Toc225544140"/>
      <w:r w:rsidRPr="001D257A">
        <w:rPr>
          <w:rFonts w:ascii="Simplified Arabic" w:hAnsi="Simplified Arabic" w:cs="Simplified Arabic"/>
          <w:rtl/>
        </w:rPr>
        <w:t>الهدف الرئيس</w:t>
      </w:r>
      <w:bookmarkEnd w:id="5"/>
    </w:p>
    <w:p w14:paraId="3AC627C3" w14:textId="77777777" w:rsidR="00000000" w:rsidRPr="001D257A" w:rsidRDefault="00000000" w:rsidP="00A26521">
      <w:pPr>
        <w:bidi/>
        <w:spacing w:after="120" w:line="276" w:lineRule="auto"/>
        <w:ind w:firstLine="284"/>
        <w:jc w:val="left"/>
        <w:rPr>
          <w:rFonts w:hint="eastAsia"/>
        </w:rPr>
      </w:pPr>
      <w:r w:rsidRPr="001D257A">
        <w:rPr>
          <w:rtl/>
        </w:rPr>
        <w:t>يتمثل الهدف الرئيس لهذه الدراسة في قياس أثر تبنّي التحول الرقمي بأبعاده الخمسة على كفاءة عمليات إدارة المشاريع في الشركات الخدمية الناشئة في المملكة العربية السعودية، والتعرف على الأبعاد الرقمية الأكثر تأثيرًا في مكونات هذه الكفاءة. ويسعى هذا الهدف إلى تقديم فهم شامل ومعمّق للعلاقة بين التحول الرقمي وكفاءة إدارة المشاريع في سياق بيئة الأعمال السعودية الناشئة التي تتميز بخصائص فريدة تميزها عن المؤسسات الكبيرة والقطاعات التقليدية.</w:t>
      </w:r>
    </w:p>
    <w:p w14:paraId="5EF030A4"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6" w:name="_Toc225544141"/>
      <w:r w:rsidRPr="001D257A">
        <w:rPr>
          <w:rFonts w:ascii="Simplified Arabic" w:hAnsi="Simplified Arabic" w:cs="Simplified Arabic"/>
          <w:rtl/>
        </w:rPr>
        <w:t>الأهداف الفرعية</w:t>
      </w:r>
      <w:bookmarkEnd w:id="6"/>
    </w:p>
    <w:p w14:paraId="3F86E463" w14:textId="77777777" w:rsidR="00000000" w:rsidRPr="001D257A" w:rsidRDefault="00000000" w:rsidP="00A26521">
      <w:pPr>
        <w:bidi/>
        <w:spacing w:after="120" w:line="276" w:lineRule="auto"/>
        <w:ind w:firstLine="284"/>
        <w:jc w:val="left"/>
        <w:rPr>
          <w:rFonts w:hint="eastAsia"/>
        </w:rPr>
      </w:pPr>
      <w:r w:rsidRPr="001D257A">
        <w:rPr>
          <w:rtl/>
        </w:rPr>
        <w:t>1. تحديد مستوى تبنّي التحول الرقمي في الشركات الخدمية الناشئة في المملكة العربية السعودية من خلال قياس مدى استخدام كل بُعد من أبعاده الخمسة (منصات إدارة المشاريع الرقمية، والحلول السحابية، وأدوات الأتمتة التشغيلية، وتحليلات البيانات والذكاء الاصطناعي، وأنظمة التواصل الرقمي). ويهدف هذا القياس إلى رسم صورة واقعية ومفصّلة عن الحالة الراهنة للتحول الرقمي في هذه الشركات، وتحديد نقاط القوة والضعف في مسيرة التحول الرقمي لديها.</w:t>
      </w:r>
    </w:p>
    <w:p w14:paraId="34F47784" w14:textId="77777777" w:rsidR="00000000" w:rsidRPr="001D257A" w:rsidRDefault="00000000" w:rsidP="00A26521">
      <w:pPr>
        <w:bidi/>
        <w:spacing w:after="120" w:line="276" w:lineRule="auto"/>
        <w:ind w:firstLine="284"/>
        <w:jc w:val="left"/>
        <w:rPr>
          <w:rFonts w:hint="eastAsia"/>
        </w:rPr>
      </w:pPr>
      <w:r w:rsidRPr="001D257A">
        <w:rPr>
          <w:rtl/>
        </w:rPr>
        <w:t>2. دراسة أثر استخدام منصات إدارة المشاريع الرقمية على سرعة إنجاز المشاريع داخل الشركات الخدمية الناشئة. ويركز هذا الهدف على تحليل مدى إسهام هذه المنصات في تحسين الالتزام بالجداول الزمنية واكتشاف التأخيرات مبكرًا وتسريع وتيرة تنفيذ المهام.</w:t>
      </w:r>
    </w:p>
    <w:p w14:paraId="2199DCB8" w14:textId="77777777" w:rsidR="00000000" w:rsidRPr="001D257A" w:rsidRDefault="00000000" w:rsidP="00A26521">
      <w:pPr>
        <w:bidi/>
        <w:spacing w:after="120" w:line="276" w:lineRule="auto"/>
        <w:ind w:firstLine="284"/>
        <w:jc w:val="left"/>
        <w:rPr>
          <w:rFonts w:hint="eastAsia"/>
        </w:rPr>
      </w:pPr>
      <w:r w:rsidRPr="001D257A">
        <w:rPr>
          <w:rtl/>
        </w:rPr>
        <w:t>3. تحليل أثر مستوى الأتمتة في العمليات المرتبطة بالمشاريع على جودة التنفيذ ومخرجات المشروع. ويسعى هذا الهدف إلى فهم كيف تُسهم أدوات الأتمتة في تحسين دقة التنفيذ وتقليل الحاجة لإعادة العمل والارتقاء بمستوى مخرجات المشاريع.</w:t>
      </w:r>
    </w:p>
    <w:p w14:paraId="26B5498D" w14:textId="77777777" w:rsidR="00000000" w:rsidRPr="001D257A" w:rsidRDefault="00000000" w:rsidP="00A26521">
      <w:pPr>
        <w:bidi/>
        <w:spacing w:after="120" w:line="276" w:lineRule="auto"/>
        <w:ind w:firstLine="284"/>
        <w:jc w:val="left"/>
        <w:rPr>
          <w:rFonts w:hint="eastAsia"/>
        </w:rPr>
      </w:pPr>
      <w:r w:rsidRPr="001D257A">
        <w:rPr>
          <w:rtl/>
        </w:rPr>
        <w:t>4. قياس دور اعتماد الحلول السحابية في تقليل الأخطاء التشغيلية أثناء مراحل تنفيذ المشاريع المختلفة. ويهتم هذا الهدف بفحص مدى إسهام التخزين السحابي والتعاون عبر الإنترنت في تحسين جودة المعلومات وتقليل التضارب والازدواجية وتعزيز الشفافية.</w:t>
      </w:r>
    </w:p>
    <w:p w14:paraId="13D35D5F" w14:textId="77777777" w:rsidR="00000000" w:rsidRPr="001D257A" w:rsidRDefault="00000000" w:rsidP="00A26521">
      <w:pPr>
        <w:bidi/>
        <w:spacing w:after="120" w:line="276" w:lineRule="auto"/>
        <w:ind w:firstLine="284"/>
        <w:jc w:val="left"/>
        <w:rPr>
          <w:rFonts w:hint="eastAsia"/>
        </w:rPr>
      </w:pPr>
      <w:r w:rsidRPr="001D257A">
        <w:rPr>
          <w:rtl/>
        </w:rPr>
        <w:t>5. تقييم أثر توظيف تحليلات البيانات والذكاء الاصطناعي على فعالية التواصل الداخلي وإدارة المهام بين أعضاء فرق المشاريع. ويركز هذا الهدف على فهم كيف تُسهم لوحات البيانات والتحليلات التنبؤية في تحسين تدفق المعلومات وتنسيق الجهود بين أعضاء الفريق.</w:t>
      </w:r>
    </w:p>
    <w:p w14:paraId="2EB1D35D" w14:textId="77777777" w:rsidR="00000000" w:rsidRPr="001D257A" w:rsidRDefault="00000000" w:rsidP="00A26521">
      <w:pPr>
        <w:bidi/>
        <w:spacing w:after="120" w:line="276" w:lineRule="auto"/>
        <w:ind w:firstLine="284"/>
        <w:jc w:val="left"/>
        <w:rPr>
          <w:rFonts w:hint="eastAsia"/>
        </w:rPr>
      </w:pPr>
      <w:r w:rsidRPr="001D257A">
        <w:rPr>
          <w:rtl/>
        </w:rPr>
        <w:t>6. قياس أثر فعالية أنظمة التواصل الرقمي على جودة اتخاذ القرار في إدارة المشاريع. ويسعى هذا الهدف إلى تحليل العلاقة بين استخدام أدوات التواصل الرقمي المتقدمة وبين قدرة صانعي القرار على اتخاذ قرارات مدروسة وسريعة ومبنية على معلومات دقيقة.</w:t>
      </w:r>
    </w:p>
    <w:p w14:paraId="7706660E" w14:textId="77777777" w:rsidR="00000000" w:rsidRPr="001D257A" w:rsidRDefault="00000000" w:rsidP="00A26521">
      <w:pPr>
        <w:bidi/>
        <w:spacing w:after="120" w:line="276" w:lineRule="auto"/>
        <w:ind w:firstLine="284"/>
        <w:jc w:val="left"/>
        <w:rPr>
          <w:rFonts w:hint="eastAsia"/>
        </w:rPr>
      </w:pPr>
      <w:r w:rsidRPr="001D257A">
        <w:rPr>
          <w:rtl/>
        </w:rPr>
        <w:t>7. تقديم توصيات عملية ومحددة مبنية على نتائج الدراسة الميدانية لمديري المشاريع وأصحاب القرار في الشركات الخدمية الناشئة والجهات الحكومية الداعمة لريادة الأعمال، بما يُسهم في تعزيز مسيرة التحول الرقمي وتحسين كفاءة إدارة المشاريع في هذا القطاع الحيوي.</w:t>
      </w:r>
    </w:p>
    <w:p w14:paraId="4B862E08" w14:textId="77777777" w:rsidR="00000000" w:rsidRPr="001D257A" w:rsidRDefault="00000000" w:rsidP="00A26521">
      <w:pPr>
        <w:pStyle w:val="Heading2"/>
        <w:bidi/>
        <w:spacing w:after="200"/>
        <w:jc w:val="left"/>
        <w:rPr>
          <w:rFonts w:ascii="Simplified Arabic" w:hAnsi="Simplified Arabic" w:cs="Simplified Arabic" w:hint="eastAsia"/>
        </w:rPr>
      </w:pPr>
      <w:bookmarkStart w:id="7" w:name="_Toc225544142"/>
      <w:r w:rsidRPr="001D257A">
        <w:rPr>
          <w:rFonts w:ascii="Simplified Arabic" w:hAnsi="Simplified Arabic" w:cs="Simplified Arabic"/>
          <w:rtl/>
        </w:rPr>
        <w:t>خامسًا: أهمية الدراسة</w:t>
      </w:r>
      <w:bookmarkEnd w:id="7"/>
    </w:p>
    <w:p w14:paraId="75A0C7FD"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8" w:name="_Toc225544143"/>
      <w:r w:rsidRPr="001D257A">
        <w:rPr>
          <w:rFonts w:ascii="Simplified Arabic" w:hAnsi="Simplified Arabic" w:cs="Simplified Arabic"/>
          <w:rtl/>
        </w:rPr>
        <w:t>الأهمية النظرية</w:t>
      </w:r>
      <w:bookmarkEnd w:id="8"/>
    </w:p>
    <w:p w14:paraId="34252202" w14:textId="77777777" w:rsidR="00000000" w:rsidRPr="001D257A" w:rsidRDefault="00000000" w:rsidP="00A26521">
      <w:pPr>
        <w:bidi/>
        <w:spacing w:after="120" w:line="276" w:lineRule="auto"/>
        <w:ind w:firstLine="284"/>
        <w:jc w:val="left"/>
        <w:rPr>
          <w:rFonts w:hint="eastAsia"/>
        </w:rPr>
      </w:pPr>
      <w:r w:rsidRPr="001D257A">
        <w:rPr>
          <w:rtl/>
        </w:rPr>
        <w:t>تتجلى الأهمية النظرية لهذه الدراسة في عدة جوانب جوهرية تُسهم في إثراء المعرفة الأكاديمية في مجال التحول الرقمي وإدارة المشاريع:</w:t>
      </w:r>
    </w:p>
    <w:p w14:paraId="0F966C30" w14:textId="77777777" w:rsidR="00000000" w:rsidRPr="001D257A" w:rsidRDefault="00000000" w:rsidP="00A26521">
      <w:pPr>
        <w:bidi/>
        <w:spacing w:after="120" w:line="276" w:lineRule="auto"/>
        <w:ind w:firstLine="284"/>
        <w:jc w:val="left"/>
        <w:rPr>
          <w:rFonts w:hint="eastAsia"/>
        </w:rPr>
      </w:pPr>
      <w:r w:rsidRPr="001D257A">
        <w:rPr>
          <w:rtl/>
        </w:rPr>
        <w:lastRenderedPageBreak/>
        <w:t>أولًا: تسهم الدراسة في سد فجوة معرفية واضحة وملموسة في الأدبيات العربية والسعودية التي لا تزال محدودة للغاية فيما يتعلق بدراسة العلاقة بين التحول الرقمي وكفاءة إدارة المشاريع في بيئة الشركات الخدمية الناشئة. فمعظم الدراسات المتاحة ركزت على القطاعات الحكومية والصناعية والإنشائية، في حين أن قطاع الشركات الخدمية الناشئة - الذي يمثل أحد أهم محركات النمو الاقتصادي في المملكة - لم يحظَ بالاهتمام البحثي الكافي. وبذلك تُقدّم هذه الدراسة إضافة نوعية للمعرفة الأكاديمية في هذا المجال الحيوي.</w:t>
      </w:r>
    </w:p>
    <w:p w14:paraId="18C12F87" w14:textId="77777777" w:rsidR="00000000" w:rsidRPr="001D257A" w:rsidRDefault="00000000" w:rsidP="00A26521">
      <w:pPr>
        <w:bidi/>
        <w:spacing w:after="120" w:line="276" w:lineRule="auto"/>
        <w:ind w:firstLine="284"/>
        <w:jc w:val="left"/>
        <w:rPr>
          <w:rFonts w:hint="eastAsia"/>
        </w:rPr>
      </w:pPr>
      <w:r w:rsidRPr="001D257A">
        <w:rPr>
          <w:rtl/>
        </w:rPr>
        <w:t>ثانيًا: تقدم الدراسة إطارًا نظريًا ومفاهيميًا متكاملًا يربط بين متغيرين حديثين وذوي أهمية متزايدة في أدبيات الإدارة المعاصرة، هما: تبنّي التحول الرقمي بأبعاده الخمسة (منصات إدارة المشاريع، الأتمتة، الحلول السحابية، تحليلات البيانات، أنظمة التواصل الرقمي)، وكفاءة عمليات إدارة المشاريع بأبعادها الخمسة (سرعة الإنجاز، جودة التنفيذ، تقليل الأخطاء التشغيلية، فعالية التواصل وإدارة المهام، جودة اتخاذ القرار). ويستند هذا الإطار إلى قاعدة واسعة ومتنوعة من الأدبيات والنظريات العلمية المعتبرة.</w:t>
      </w:r>
    </w:p>
    <w:p w14:paraId="46490976" w14:textId="77777777" w:rsidR="00000000" w:rsidRPr="001D257A" w:rsidRDefault="00000000" w:rsidP="00A26521">
      <w:pPr>
        <w:bidi/>
        <w:spacing w:after="120" w:line="276" w:lineRule="auto"/>
        <w:ind w:firstLine="284"/>
        <w:jc w:val="left"/>
        <w:rPr>
          <w:rFonts w:hint="eastAsia"/>
        </w:rPr>
      </w:pPr>
      <w:r w:rsidRPr="001D257A">
        <w:rPr>
          <w:rtl/>
        </w:rPr>
        <w:t>ثالثًا: تعزّز الدراسة الجانب الأكاديمي في مجال إدارة المشاريع الرقمية من خلال تقديم تحليل تفصيلي ومعمّق لأبعاد التحول الرقمي وتأثير كل منها على جوانب محددة ومحددة من كفاءة إدارة المشاريع، ما يُسهم في بناء فهم أعمق للآليات والمسارات التي يؤثر من خلالها التحول الرقمي على أداء المشاريع.</w:t>
      </w:r>
    </w:p>
    <w:p w14:paraId="7AFCCF47" w14:textId="77777777" w:rsidR="00000000" w:rsidRPr="001D257A" w:rsidRDefault="00000000" w:rsidP="00A26521">
      <w:pPr>
        <w:bidi/>
        <w:spacing w:after="120" w:line="276" w:lineRule="auto"/>
        <w:ind w:firstLine="284"/>
        <w:jc w:val="left"/>
        <w:rPr>
          <w:rFonts w:hint="eastAsia"/>
        </w:rPr>
      </w:pPr>
      <w:r w:rsidRPr="001D257A">
        <w:rPr>
          <w:rtl/>
        </w:rPr>
        <w:t>رابعًا: تثري الدراسة المكتبة العربية بمرجع علمي متخصص ومحكّم يمكن أن يكون أساسًا ونقطة انطلاق لدراسات مستقبلية في هذا المجال، سواء في السياق السعودي أو في سياقات عربية أخرى تشهد تحولات رقمية مماثلة.</w:t>
      </w:r>
    </w:p>
    <w:p w14:paraId="4FA8C7B6"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9" w:name="_Toc225544144"/>
      <w:r w:rsidRPr="001D257A">
        <w:rPr>
          <w:rFonts w:ascii="Simplified Arabic" w:hAnsi="Simplified Arabic" w:cs="Simplified Arabic"/>
          <w:rtl/>
        </w:rPr>
        <w:t>الأهمية التطبيقية</w:t>
      </w:r>
      <w:bookmarkEnd w:id="9"/>
    </w:p>
    <w:p w14:paraId="190260C5" w14:textId="77777777" w:rsidR="00000000" w:rsidRPr="001D257A" w:rsidRDefault="00000000" w:rsidP="00A26521">
      <w:pPr>
        <w:bidi/>
        <w:spacing w:after="120" w:line="276" w:lineRule="auto"/>
        <w:ind w:firstLine="284"/>
        <w:jc w:val="left"/>
        <w:rPr>
          <w:rFonts w:hint="eastAsia"/>
        </w:rPr>
      </w:pPr>
      <w:r w:rsidRPr="001D257A">
        <w:rPr>
          <w:rtl/>
        </w:rPr>
        <w:t>على الصعيد التطبيقي، تتجلى أهمية هذه الدراسة في عدة جوانب عملية ومباشرة:</w:t>
      </w:r>
    </w:p>
    <w:p w14:paraId="0B471C45" w14:textId="77777777" w:rsidR="00000000" w:rsidRPr="001D257A" w:rsidRDefault="00000000" w:rsidP="00A26521">
      <w:pPr>
        <w:bidi/>
        <w:spacing w:after="120" w:line="276" w:lineRule="auto"/>
        <w:ind w:firstLine="284"/>
        <w:jc w:val="left"/>
        <w:rPr>
          <w:rFonts w:hint="eastAsia"/>
        </w:rPr>
      </w:pPr>
      <w:r w:rsidRPr="001D257A">
        <w:rPr>
          <w:rtl/>
        </w:rPr>
        <w:t>أولًا: تزوّد الدراسة مديري المشاريع في الشركات الخدمية الناشئة بأداة تشخيصية علمية تساعدهم على تقييم مستوى التحول الرقمي في مؤسساتهم، ومعرفة أي الأبعاد الرقمية أكثر تأثيرًا على كفاءة إدارة مشاريعهم، وأين تكمن أولويات التطوير والاستثمار الرقمي.</w:t>
      </w:r>
    </w:p>
    <w:p w14:paraId="4214271B" w14:textId="77777777" w:rsidR="00000000" w:rsidRPr="001D257A" w:rsidRDefault="00000000" w:rsidP="00A26521">
      <w:pPr>
        <w:bidi/>
        <w:spacing w:after="120" w:line="276" w:lineRule="auto"/>
        <w:ind w:firstLine="284"/>
        <w:jc w:val="left"/>
        <w:rPr>
          <w:rFonts w:hint="eastAsia"/>
        </w:rPr>
      </w:pPr>
      <w:r w:rsidRPr="001D257A">
        <w:rPr>
          <w:rtl/>
        </w:rPr>
        <w:t>ثانيًا: توفر نتائج الدراسة بيانات ميدانية حقيقية وموثوقة يمكن أن يستفيد منها صُنّاع القرار في الشركات الناشئة لتحديد أولويات الاستثمار في التقنيات الرقمية الأكثر تأثيرًا على كفاءة المشاريع، بدلًا من الاعتماد على التخمين أو المحاكاة العشوائية لتجارب الآخرين.</w:t>
      </w:r>
    </w:p>
    <w:p w14:paraId="1A2D1ED0" w14:textId="77777777" w:rsidR="00000000" w:rsidRPr="001D257A" w:rsidRDefault="00000000" w:rsidP="00A26521">
      <w:pPr>
        <w:bidi/>
        <w:spacing w:after="120" w:line="276" w:lineRule="auto"/>
        <w:ind w:firstLine="284"/>
        <w:jc w:val="left"/>
        <w:rPr>
          <w:rFonts w:hint="eastAsia"/>
        </w:rPr>
      </w:pPr>
      <w:r w:rsidRPr="001D257A">
        <w:rPr>
          <w:rtl/>
        </w:rPr>
        <w:t>ثالثًا: تسهم الدراسة في تقديم توصيات عملية قابلة للتطبيق فيما يتعلق بتحسين عمليات التواصل والتنسيق، وتنظيم المهام وتوزيعها، وتقليل الأخطاء التشغيلية، وتعزيز جودة اتخاذ القرار داخل فرق المشاريع في بيئة الشركات الناشئة.</w:t>
      </w:r>
    </w:p>
    <w:p w14:paraId="5003C989" w14:textId="77777777" w:rsidR="00000000" w:rsidRPr="001D257A" w:rsidRDefault="00000000" w:rsidP="00A26521">
      <w:pPr>
        <w:bidi/>
        <w:spacing w:after="120" w:line="276" w:lineRule="auto"/>
        <w:ind w:firstLine="284"/>
        <w:jc w:val="left"/>
        <w:rPr>
          <w:rFonts w:hint="eastAsia"/>
        </w:rPr>
      </w:pPr>
      <w:r w:rsidRPr="001D257A">
        <w:rPr>
          <w:rtl/>
        </w:rPr>
        <w:t>رابعًا: تدعم الدراسة الجهات الحكومية والمُمكِّنة لريادة الأعمال والمنشآت الصغيرة والمتوسطة، مثل هيئة المنشآت الصغيرة والمتوسطة (منشآت) وهيئة الحكومة الرقمية والهيئة السعودية للبيانات والذكاء الاصطناعي (سدايا)، في تصميم مبادرات وبرامج مستنيرة تستهدف رفع الكفاءة التشغيلية للشركات الناشئة عبر التحول الرقمي المدروس والفعّال.</w:t>
      </w:r>
    </w:p>
    <w:p w14:paraId="3C575A8C" w14:textId="77777777" w:rsidR="00000000" w:rsidRPr="001D257A" w:rsidRDefault="00000000" w:rsidP="00A26521">
      <w:pPr>
        <w:bidi/>
        <w:spacing w:after="120" w:line="276" w:lineRule="auto"/>
        <w:ind w:firstLine="284"/>
        <w:jc w:val="left"/>
        <w:rPr>
          <w:rFonts w:hint="eastAsia"/>
        </w:rPr>
      </w:pPr>
      <w:r w:rsidRPr="001D257A">
        <w:rPr>
          <w:rtl/>
        </w:rPr>
        <w:t>خامسًا: تمثل الدراسة نموذجًا إرشاديًا وخارطة طريق للشركات الجديدة التي تستعد لدخول السوق وتحتاج إلى تصور واضح ومبني على أدلة لآثار الرقمنة على إدارة مشاريعها منذ مراحلها التأسيسية الأولى.</w:t>
      </w:r>
    </w:p>
    <w:p w14:paraId="7E397529" w14:textId="77777777" w:rsidR="00000000" w:rsidRPr="001D257A" w:rsidRDefault="00000000" w:rsidP="00A26521">
      <w:pPr>
        <w:pStyle w:val="Heading2"/>
        <w:bidi/>
        <w:spacing w:after="200"/>
        <w:jc w:val="left"/>
        <w:rPr>
          <w:rFonts w:ascii="Simplified Arabic" w:hAnsi="Simplified Arabic" w:cs="Simplified Arabic" w:hint="eastAsia"/>
        </w:rPr>
      </w:pPr>
      <w:bookmarkStart w:id="10" w:name="_Toc225544145"/>
      <w:r w:rsidRPr="001D257A">
        <w:rPr>
          <w:rFonts w:ascii="Simplified Arabic" w:hAnsi="Simplified Arabic" w:cs="Simplified Arabic"/>
          <w:rtl/>
        </w:rPr>
        <w:lastRenderedPageBreak/>
        <w:t>سادسًا: فروض الدراسة</w:t>
      </w:r>
      <w:bookmarkEnd w:id="10"/>
    </w:p>
    <w:p w14:paraId="7D50B0F5"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11" w:name="_Toc225544146"/>
      <w:r w:rsidRPr="001D257A">
        <w:rPr>
          <w:rFonts w:ascii="Simplified Arabic" w:hAnsi="Simplified Arabic" w:cs="Simplified Arabic"/>
          <w:rtl/>
        </w:rPr>
        <w:t>الفرضية الرئيسة</w:t>
      </w:r>
      <w:bookmarkEnd w:id="11"/>
    </w:p>
    <w:p w14:paraId="1BA1AC01" w14:textId="77777777" w:rsidR="00000000" w:rsidRPr="001D257A" w:rsidRDefault="00000000" w:rsidP="00A26521">
      <w:pPr>
        <w:bidi/>
        <w:spacing w:after="120" w:line="276" w:lineRule="auto"/>
        <w:ind w:firstLine="284"/>
        <w:jc w:val="left"/>
        <w:rPr>
          <w:rFonts w:hint="eastAsia"/>
        </w:rPr>
      </w:pPr>
      <w:r w:rsidRPr="001D257A">
        <w:rPr>
          <w:rtl/>
        </w:rPr>
        <w:t>يوجد أثر ذو دلالة إحصائية عند مستوى معنوية (</w:t>
      </w:r>
      <w:r w:rsidRPr="001D257A">
        <w:rPr>
          <w:rFonts w:ascii="Cambria" w:hAnsi="Cambria" w:hint="cs"/>
          <w:rtl/>
        </w:rPr>
        <w:t>α</w:t>
      </w:r>
      <w:r w:rsidRPr="001D257A">
        <w:rPr>
          <w:rtl/>
        </w:rPr>
        <w:t xml:space="preserve"> </w:t>
      </w:r>
      <w:r w:rsidRPr="001D257A">
        <w:rPr>
          <w:rFonts w:ascii="Cambria Math" w:hAnsi="Cambria Math" w:hint="cs"/>
          <w:rtl/>
        </w:rPr>
        <w:t>≤</w:t>
      </w:r>
      <w:r w:rsidRPr="001D257A">
        <w:rPr>
          <w:rtl/>
        </w:rPr>
        <w:t xml:space="preserve"> 0.05) </w:t>
      </w:r>
      <w:r w:rsidRPr="001D257A">
        <w:rPr>
          <w:rFonts w:hint="cs"/>
          <w:rtl/>
        </w:rPr>
        <w:t>لتبنّي</w:t>
      </w:r>
      <w:r w:rsidRPr="001D257A">
        <w:rPr>
          <w:rtl/>
        </w:rPr>
        <w:t xml:space="preserve"> </w:t>
      </w:r>
      <w:r w:rsidRPr="001D257A">
        <w:rPr>
          <w:rFonts w:hint="cs"/>
          <w:rtl/>
        </w:rPr>
        <w:t>التحول</w:t>
      </w:r>
      <w:r w:rsidRPr="001D257A">
        <w:rPr>
          <w:rtl/>
        </w:rPr>
        <w:t xml:space="preserve"> </w:t>
      </w:r>
      <w:r w:rsidRPr="001D257A">
        <w:rPr>
          <w:rFonts w:hint="cs"/>
          <w:rtl/>
        </w:rPr>
        <w:t>الرقمي</w:t>
      </w:r>
      <w:r w:rsidRPr="001D257A">
        <w:rPr>
          <w:rtl/>
        </w:rPr>
        <w:t xml:space="preserve"> </w:t>
      </w:r>
      <w:r w:rsidRPr="001D257A">
        <w:rPr>
          <w:rFonts w:hint="cs"/>
          <w:rtl/>
        </w:rPr>
        <w:t>على</w:t>
      </w:r>
      <w:r w:rsidRPr="001D257A">
        <w:rPr>
          <w:rtl/>
        </w:rPr>
        <w:t xml:space="preserve"> </w:t>
      </w:r>
      <w:r w:rsidRPr="001D257A">
        <w:rPr>
          <w:rFonts w:hint="cs"/>
          <w:rtl/>
        </w:rPr>
        <w:t>كفاءة</w:t>
      </w:r>
      <w:r w:rsidRPr="001D257A">
        <w:rPr>
          <w:rtl/>
        </w:rPr>
        <w:t xml:space="preserve"> </w:t>
      </w:r>
      <w:r w:rsidRPr="001D257A">
        <w:rPr>
          <w:rFonts w:hint="cs"/>
          <w:rtl/>
        </w:rPr>
        <w:t>عمليات</w:t>
      </w:r>
      <w:r w:rsidRPr="001D257A">
        <w:rPr>
          <w:rtl/>
        </w:rPr>
        <w:t xml:space="preserve"> </w:t>
      </w:r>
      <w:r w:rsidRPr="001D257A">
        <w:rPr>
          <w:rFonts w:hint="cs"/>
          <w:rtl/>
        </w:rPr>
        <w:t>إدارة</w:t>
      </w:r>
      <w:r w:rsidRPr="001D257A">
        <w:rPr>
          <w:rtl/>
        </w:rPr>
        <w:t xml:space="preserve"> </w:t>
      </w:r>
      <w:r w:rsidRPr="001D257A">
        <w:rPr>
          <w:rFonts w:hint="cs"/>
          <w:rtl/>
        </w:rPr>
        <w:t>المشاريع</w:t>
      </w:r>
      <w:r w:rsidRPr="001D257A">
        <w:rPr>
          <w:rtl/>
        </w:rPr>
        <w:t xml:space="preserve"> </w:t>
      </w:r>
      <w:r w:rsidRPr="001D257A">
        <w:rPr>
          <w:rFonts w:hint="cs"/>
          <w:rtl/>
        </w:rPr>
        <w:t>في</w:t>
      </w:r>
      <w:r w:rsidRPr="001D257A">
        <w:rPr>
          <w:rtl/>
        </w:rPr>
        <w:t xml:space="preserve"> </w:t>
      </w:r>
      <w:r w:rsidRPr="001D257A">
        <w:rPr>
          <w:rFonts w:hint="cs"/>
          <w:rtl/>
        </w:rPr>
        <w:t>الشركات</w:t>
      </w:r>
      <w:r w:rsidRPr="001D257A">
        <w:rPr>
          <w:rtl/>
        </w:rPr>
        <w:t xml:space="preserve"> </w:t>
      </w:r>
      <w:r w:rsidRPr="001D257A">
        <w:rPr>
          <w:rFonts w:hint="cs"/>
          <w:rtl/>
        </w:rPr>
        <w:t>الخدمية</w:t>
      </w:r>
      <w:r w:rsidRPr="001D257A">
        <w:rPr>
          <w:rtl/>
        </w:rPr>
        <w:t xml:space="preserve"> </w:t>
      </w:r>
      <w:r w:rsidRPr="001D257A">
        <w:rPr>
          <w:rFonts w:hint="cs"/>
          <w:rtl/>
        </w:rPr>
        <w:t>الناشئة</w:t>
      </w:r>
      <w:r w:rsidRPr="001D257A">
        <w:rPr>
          <w:rtl/>
        </w:rPr>
        <w:t xml:space="preserve"> </w:t>
      </w:r>
      <w:r w:rsidRPr="001D257A">
        <w:rPr>
          <w:rFonts w:hint="cs"/>
          <w:rtl/>
        </w:rPr>
        <w:t>في</w:t>
      </w:r>
      <w:r w:rsidRPr="001D257A">
        <w:rPr>
          <w:rtl/>
        </w:rPr>
        <w:t xml:space="preserve"> </w:t>
      </w:r>
      <w:r w:rsidRPr="001D257A">
        <w:rPr>
          <w:rFonts w:hint="cs"/>
          <w:rtl/>
        </w:rPr>
        <w:t>المملكة</w:t>
      </w:r>
      <w:r w:rsidRPr="001D257A">
        <w:rPr>
          <w:rtl/>
        </w:rPr>
        <w:t xml:space="preserve"> </w:t>
      </w:r>
      <w:r w:rsidRPr="001D257A">
        <w:rPr>
          <w:rFonts w:hint="cs"/>
          <w:rtl/>
        </w:rPr>
        <w:t>العربية</w:t>
      </w:r>
      <w:r w:rsidRPr="001D257A">
        <w:rPr>
          <w:rtl/>
        </w:rPr>
        <w:t xml:space="preserve"> </w:t>
      </w:r>
      <w:r w:rsidRPr="001D257A">
        <w:rPr>
          <w:rFonts w:hint="cs"/>
          <w:rtl/>
        </w:rPr>
        <w:t>السعودية</w:t>
      </w:r>
      <w:r w:rsidRPr="001D257A">
        <w:rPr>
          <w:rtl/>
        </w:rPr>
        <w:t>.</w:t>
      </w:r>
    </w:p>
    <w:p w14:paraId="245065BA"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12" w:name="_Toc225544147"/>
      <w:r w:rsidRPr="001D257A">
        <w:rPr>
          <w:rFonts w:ascii="Simplified Arabic" w:hAnsi="Simplified Arabic" w:cs="Simplified Arabic"/>
          <w:rtl/>
        </w:rPr>
        <w:t>الفرضيات الفرعية</w:t>
      </w:r>
      <w:bookmarkEnd w:id="12"/>
    </w:p>
    <w:p w14:paraId="3B5B4F5C" w14:textId="77777777" w:rsidR="00000000" w:rsidRPr="001D257A" w:rsidRDefault="00000000" w:rsidP="00A26521">
      <w:pPr>
        <w:bidi/>
        <w:spacing w:after="120" w:line="276" w:lineRule="auto"/>
        <w:ind w:firstLine="284"/>
        <w:jc w:val="left"/>
        <w:rPr>
          <w:rFonts w:hint="eastAsia"/>
        </w:rPr>
      </w:pPr>
      <w:r w:rsidRPr="001D257A">
        <w:rPr>
          <w:rtl/>
        </w:rPr>
        <w:t>الفرضية الفرعية الأولى (H1a): يوجد أثر ذو دلالة إحصائية عند مستوى معنوية (</w:t>
      </w:r>
      <w:r w:rsidRPr="001D257A">
        <w:rPr>
          <w:rFonts w:ascii="Cambria" w:hAnsi="Cambria" w:hint="cs"/>
          <w:rtl/>
        </w:rPr>
        <w:t>α</w:t>
      </w:r>
      <w:r w:rsidRPr="001D257A">
        <w:rPr>
          <w:rtl/>
        </w:rPr>
        <w:t xml:space="preserve"> </w:t>
      </w:r>
      <w:r w:rsidRPr="001D257A">
        <w:rPr>
          <w:rFonts w:ascii="Cambria Math" w:hAnsi="Cambria Math" w:hint="cs"/>
          <w:rtl/>
        </w:rPr>
        <w:t>≤</w:t>
      </w:r>
      <w:r w:rsidRPr="001D257A">
        <w:rPr>
          <w:rtl/>
        </w:rPr>
        <w:t xml:space="preserve"> 0.05) </w:t>
      </w:r>
      <w:r w:rsidRPr="001D257A">
        <w:rPr>
          <w:rFonts w:hint="cs"/>
          <w:rtl/>
        </w:rPr>
        <w:t>لاستخدام</w:t>
      </w:r>
      <w:r w:rsidRPr="001D257A">
        <w:rPr>
          <w:rtl/>
        </w:rPr>
        <w:t xml:space="preserve"> </w:t>
      </w:r>
      <w:r w:rsidRPr="001D257A">
        <w:rPr>
          <w:rFonts w:hint="cs"/>
          <w:rtl/>
        </w:rPr>
        <w:t>منصات</w:t>
      </w:r>
      <w:r w:rsidRPr="001D257A">
        <w:rPr>
          <w:rtl/>
        </w:rPr>
        <w:t xml:space="preserve"> </w:t>
      </w:r>
      <w:r w:rsidRPr="001D257A">
        <w:rPr>
          <w:rFonts w:hint="cs"/>
          <w:rtl/>
        </w:rPr>
        <w:t>إدارة</w:t>
      </w:r>
      <w:r w:rsidRPr="001D257A">
        <w:rPr>
          <w:rtl/>
        </w:rPr>
        <w:t xml:space="preserve"> </w:t>
      </w:r>
      <w:r w:rsidRPr="001D257A">
        <w:rPr>
          <w:rFonts w:hint="cs"/>
          <w:rtl/>
        </w:rPr>
        <w:t>المشاريع</w:t>
      </w:r>
      <w:r w:rsidRPr="001D257A">
        <w:rPr>
          <w:rtl/>
        </w:rPr>
        <w:t xml:space="preserve"> </w:t>
      </w:r>
      <w:r w:rsidRPr="001D257A">
        <w:rPr>
          <w:rFonts w:hint="cs"/>
          <w:rtl/>
        </w:rPr>
        <w:t>الرقمية</w:t>
      </w:r>
      <w:r w:rsidRPr="001D257A">
        <w:rPr>
          <w:rtl/>
        </w:rPr>
        <w:t xml:space="preserve"> </w:t>
      </w:r>
      <w:r w:rsidRPr="001D257A">
        <w:rPr>
          <w:rFonts w:hint="cs"/>
          <w:rtl/>
        </w:rPr>
        <w:t>على</w:t>
      </w:r>
      <w:r w:rsidRPr="001D257A">
        <w:rPr>
          <w:rtl/>
        </w:rPr>
        <w:t xml:space="preserve"> </w:t>
      </w:r>
      <w:r w:rsidRPr="001D257A">
        <w:rPr>
          <w:rFonts w:hint="cs"/>
          <w:rtl/>
        </w:rPr>
        <w:t>سرعة</w:t>
      </w:r>
      <w:r w:rsidRPr="001D257A">
        <w:rPr>
          <w:rtl/>
        </w:rPr>
        <w:t xml:space="preserve"> </w:t>
      </w:r>
      <w:r w:rsidRPr="001D257A">
        <w:rPr>
          <w:rFonts w:hint="cs"/>
          <w:rtl/>
        </w:rPr>
        <w:t>إنجاز</w:t>
      </w:r>
      <w:r w:rsidRPr="001D257A">
        <w:rPr>
          <w:rtl/>
        </w:rPr>
        <w:t xml:space="preserve"> </w:t>
      </w:r>
      <w:r w:rsidRPr="001D257A">
        <w:rPr>
          <w:rFonts w:hint="cs"/>
          <w:rtl/>
        </w:rPr>
        <w:t>المشاريع</w:t>
      </w:r>
      <w:r w:rsidRPr="001D257A">
        <w:rPr>
          <w:rtl/>
        </w:rPr>
        <w:t xml:space="preserve"> </w:t>
      </w:r>
      <w:r w:rsidRPr="001D257A">
        <w:rPr>
          <w:rFonts w:hint="cs"/>
          <w:rtl/>
        </w:rPr>
        <w:t>في</w:t>
      </w:r>
      <w:r w:rsidRPr="001D257A">
        <w:rPr>
          <w:rtl/>
        </w:rPr>
        <w:t xml:space="preserve"> </w:t>
      </w:r>
      <w:r w:rsidRPr="001D257A">
        <w:rPr>
          <w:rFonts w:hint="cs"/>
          <w:rtl/>
        </w:rPr>
        <w:t>الشركات</w:t>
      </w:r>
      <w:r w:rsidRPr="001D257A">
        <w:rPr>
          <w:rtl/>
        </w:rPr>
        <w:t xml:space="preserve"> </w:t>
      </w:r>
      <w:r w:rsidRPr="001D257A">
        <w:rPr>
          <w:rFonts w:hint="cs"/>
          <w:rtl/>
        </w:rPr>
        <w:t>الخدمية</w:t>
      </w:r>
      <w:r w:rsidRPr="001D257A">
        <w:rPr>
          <w:rtl/>
        </w:rPr>
        <w:t xml:space="preserve"> </w:t>
      </w:r>
      <w:r w:rsidRPr="001D257A">
        <w:rPr>
          <w:rFonts w:hint="cs"/>
          <w:rtl/>
        </w:rPr>
        <w:t>الناشئة</w:t>
      </w:r>
      <w:r w:rsidRPr="001D257A">
        <w:rPr>
          <w:rtl/>
        </w:rPr>
        <w:t xml:space="preserve">. </w:t>
      </w:r>
      <w:r w:rsidRPr="001D257A">
        <w:rPr>
          <w:rFonts w:hint="cs"/>
          <w:rtl/>
        </w:rPr>
        <w:t>وتستند</w:t>
      </w:r>
      <w:r w:rsidRPr="001D257A">
        <w:rPr>
          <w:rtl/>
        </w:rPr>
        <w:t xml:space="preserve"> </w:t>
      </w:r>
      <w:r w:rsidRPr="001D257A">
        <w:rPr>
          <w:rFonts w:hint="cs"/>
          <w:rtl/>
        </w:rPr>
        <w:t>هذه</w:t>
      </w:r>
      <w:r w:rsidRPr="001D257A">
        <w:rPr>
          <w:rtl/>
        </w:rPr>
        <w:t xml:space="preserve"> </w:t>
      </w:r>
      <w:r w:rsidRPr="001D257A">
        <w:rPr>
          <w:rFonts w:hint="cs"/>
          <w:rtl/>
        </w:rPr>
        <w:t>الفرضية</w:t>
      </w:r>
      <w:r w:rsidRPr="001D257A">
        <w:rPr>
          <w:rtl/>
        </w:rPr>
        <w:t xml:space="preserve"> </w:t>
      </w:r>
      <w:r w:rsidRPr="001D257A">
        <w:rPr>
          <w:rFonts w:hint="cs"/>
          <w:rtl/>
        </w:rPr>
        <w:t>إلى</w:t>
      </w:r>
      <w:r w:rsidRPr="001D257A">
        <w:rPr>
          <w:rtl/>
        </w:rPr>
        <w:t xml:space="preserve"> </w:t>
      </w:r>
      <w:r w:rsidRPr="001D257A">
        <w:rPr>
          <w:rFonts w:hint="cs"/>
          <w:rtl/>
        </w:rPr>
        <w:t>الافتراض</w:t>
      </w:r>
      <w:r w:rsidRPr="001D257A">
        <w:rPr>
          <w:rtl/>
        </w:rPr>
        <w:t xml:space="preserve"> </w:t>
      </w:r>
      <w:r w:rsidRPr="001D257A">
        <w:rPr>
          <w:rFonts w:hint="cs"/>
          <w:rtl/>
        </w:rPr>
        <w:t>النظري</w:t>
      </w:r>
      <w:r w:rsidRPr="001D257A">
        <w:rPr>
          <w:rtl/>
        </w:rPr>
        <w:t xml:space="preserve"> </w:t>
      </w:r>
      <w:r w:rsidRPr="001D257A">
        <w:rPr>
          <w:rFonts w:hint="cs"/>
          <w:rtl/>
        </w:rPr>
        <w:t>القائل</w:t>
      </w:r>
      <w:r w:rsidRPr="001D257A">
        <w:rPr>
          <w:rtl/>
        </w:rPr>
        <w:t xml:space="preserve"> </w:t>
      </w:r>
      <w:r w:rsidRPr="001D257A">
        <w:rPr>
          <w:rFonts w:hint="cs"/>
          <w:rtl/>
        </w:rPr>
        <w:t>بأن</w:t>
      </w:r>
      <w:r w:rsidRPr="001D257A">
        <w:rPr>
          <w:rtl/>
        </w:rPr>
        <w:t xml:space="preserve"> </w:t>
      </w:r>
      <w:r w:rsidRPr="001D257A">
        <w:rPr>
          <w:rFonts w:hint="cs"/>
          <w:rtl/>
        </w:rPr>
        <w:t>منصات</w:t>
      </w:r>
      <w:r w:rsidRPr="001D257A">
        <w:rPr>
          <w:rtl/>
        </w:rPr>
        <w:t xml:space="preserve"> </w:t>
      </w:r>
      <w:r w:rsidRPr="001D257A">
        <w:rPr>
          <w:rFonts w:hint="cs"/>
          <w:rtl/>
        </w:rPr>
        <w:t>إدارة</w:t>
      </w:r>
      <w:r w:rsidRPr="001D257A">
        <w:rPr>
          <w:rtl/>
        </w:rPr>
        <w:t xml:space="preserve"> </w:t>
      </w:r>
      <w:r w:rsidRPr="001D257A">
        <w:rPr>
          <w:rFonts w:hint="cs"/>
          <w:rtl/>
        </w:rPr>
        <w:t>المشاريع</w:t>
      </w:r>
      <w:r w:rsidRPr="001D257A">
        <w:rPr>
          <w:rtl/>
        </w:rPr>
        <w:t xml:space="preserve"> </w:t>
      </w:r>
      <w:r w:rsidRPr="001D257A">
        <w:rPr>
          <w:rFonts w:hint="cs"/>
          <w:rtl/>
        </w:rPr>
        <w:t>المتكاملة</w:t>
      </w:r>
      <w:r w:rsidRPr="001D257A">
        <w:rPr>
          <w:rtl/>
        </w:rPr>
        <w:t xml:space="preserve"> </w:t>
      </w:r>
      <w:r w:rsidRPr="001D257A">
        <w:rPr>
          <w:rFonts w:hint="cs"/>
          <w:rtl/>
        </w:rPr>
        <w:t>تُسهم</w:t>
      </w:r>
      <w:r w:rsidRPr="001D257A">
        <w:rPr>
          <w:rtl/>
        </w:rPr>
        <w:t xml:space="preserve"> </w:t>
      </w:r>
      <w:r w:rsidRPr="001D257A">
        <w:rPr>
          <w:rFonts w:hint="cs"/>
          <w:rtl/>
        </w:rPr>
        <w:t>في</w:t>
      </w:r>
      <w:r w:rsidRPr="001D257A">
        <w:rPr>
          <w:rtl/>
        </w:rPr>
        <w:t xml:space="preserve"> </w:t>
      </w:r>
      <w:r w:rsidRPr="001D257A">
        <w:rPr>
          <w:rFonts w:hint="cs"/>
          <w:rtl/>
        </w:rPr>
        <w:t>تحسين</w:t>
      </w:r>
      <w:r w:rsidRPr="001D257A">
        <w:rPr>
          <w:rtl/>
        </w:rPr>
        <w:t xml:space="preserve"> </w:t>
      </w:r>
      <w:r w:rsidRPr="001D257A">
        <w:rPr>
          <w:rFonts w:hint="cs"/>
          <w:rtl/>
        </w:rPr>
        <w:t>التخطيط</w:t>
      </w:r>
      <w:r w:rsidRPr="001D257A">
        <w:rPr>
          <w:rtl/>
        </w:rPr>
        <w:t xml:space="preserve"> </w:t>
      </w:r>
      <w:r w:rsidRPr="001D257A">
        <w:rPr>
          <w:rFonts w:hint="cs"/>
          <w:rtl/>
        </w:rPr>
        <w:t>والجدولة</w:t>
      </w:r>
      <w:r w:rsidRPr="001D257A">
        <w:rPr>
          <w:rtl/>
        </w:rPr>
        <w:t xml:space="preserve"> </w:t>
      </w:r>
      <w:r w:rsidRPr="001D257A">
        <w:rPr>
          <w:rFonts w:hint="cs"/>
          <w:rtl/>
        </w:rPr>
        <w:t>والمتابعة،</w:t>
      </w:r>
      <w:r w:rsidRPr="001D257A">
        <w:rPr>
          <w:rtl/>
        </w:rPr>
        <w:t xml:space="preserve"> </w:t>
      </w:r>
      <w:r w:rsidRPr="001D257A">
        <w:rPr>
          <w:rFonts w:hint="cs"/>
          <w:rtl/>
        </w:rPr>
        <w:t>ما</w:t>
      </w:r>
      <w:r w:rsidRPr="001D257A">
        <w:rPr>
          <w:rtl/>
        </w:rPr>
        <w:t xml:space="preserve"> </w:t>
      </w:r>
      <w:r w:rsidRPr="001D257A">
        <w:rPr>
          <w:rFonts w:hint="cs"/>
          <w:rtl/>
        </w:rPr>
        <w:t>ينعكس</w:t>
      </w:r>
      <w:r w:rsidRPr="001D257A">
        <w:rPr>
          <w:rtl/>
        </w:rPr>
        <w:t xml:space="preserve"> </w:t>
      </w:r>
      <w:r w:rsidRPr="001D257A">
        <w:rPr>
          <w:rFonts w:hint="cs"/>
          <w:rtl/>
        </w:rPr>
        <w:t>إيجابًا</w:t>
      </w:r>
      <w:r w:rsidRPr="001D257A">
        <w:rPr>
          <w:rtl/>
        </w:rPr>
        <w:t xml:space="preserve"> </w:t>
      </w:r>
      <w:r w:rsidRPr="001D257A">
        <w:rPr>
          <w:rFonts w:hint="cs"/>
          <w:rtl/>
        </w:rPr>
        <w:t>على</w:t>
      </w:r>
      <w:r w:rsidRPr="001D257A">
        <w:rPr>
          <w:rtl/>
        </w:rPr>
        <w:t xml:space="preserve"> </w:t>
      </w:r>
      <w:r w:rsidRPr="001D257A">
        <w:rPr>
          <w:rFonts w:hint="cs"/>
          <w:rtl/>
        </w:rPr>
        <w:t>سرعة</w:t>
      </w:r>
      <w:r w:rsidRPr="001D257A">
        <w:rPr>
          <w:rtl/>
        </w:rPr>
        <w:t xml:space="preserve"> </w:t>
      </w:r>
      <w:r w:rsidRPr="001D257A">
        <w:rPr>
          <w:rFonts w:hint="cs"/>
          <w:rtl/>
        </w:rPr>
        <w:t>تنفيذ</w:t>
      </w:r>
      <w:r w:rsidRPr="001D257A">
        <w:rPr>
          <w:rtl/>
        </w:rPr>
        <w:t xml:space="preserve"> </w:t>
      </w:r>
      <w:r w:rsidRPr="001D257A">
        <w:rPr>
          <w:rFonts w:hint="cs"/>
          <w:rtl/>
        </w:rPr>
        <w:t>المشاريع</w:t>
      </w:r>
      <w:r w:rsidRPr="001D257A">
        <w:rPr>
          <w:rtl/>
        </w:rPr>
        <w:t xml:space="preserve"> </w:t>
      </w:r>
      <w:r w:rsidRPr="001D257A">
        <w:rPr>
          <w:rFonts w:hint="cs"/>
          <w:rtl/>
        </w:rPr>
        <w:t>وتسليمها</w:t>
      </w:r>
      <w:r w:rsidRPr="001D257A">
        <w:rPr>
          <w:rtl/>
        </w:rPr>
        <w:t>.</w:t>
      </w:r>
    </w:p>
    <w:p w14:paraId="39005E81" w14:textId="77777777" w:rsidR="00000000" w:rsidRPr="001D257A" w:rsidRDefault="00000000" w:rsidP="00A26521">
      <w:pPr>
        <w:bidi/>
        <w:spacing w:after="120" w:line="276" w:lineRule="auto"/>
        <w:ind w:firstLine="284"/>
        <w:jc w:val="left"/>
        <w:rPr>
          <w:rFonts w:hint="eastAsia"/>
        </w:rPr>
      </w:pPr>
      <w:r w:rsidRPr="001D257A">
        <w:rPr>
          <w:rtl/>
        </w:rPr>
        <w:t>الفرضية الفرعية الثانية (H1b): يوجد أثر ذو دلالة إحصائية عند مستوى معنوية (</w:t>
      </w:r>
      <w:r w:rsidRPr="001D257A">
        <w:rPr>
          <w:rFonts w:ascii="Cambria" w:hAnsi="Cambria" w:hint="cs"/>
          <w:rtl/>
        </w:rPr>
        <w:t>α</w:t>
      </w:r>
      <w:r w:rsidRPr="001D257A">
        <w:rPr>
          <w:rtl/>
        </w:rPr>
        <w:t xml:space="preserve"> </w:t>
      </w:r>
      <w:r w:rsidRPr="001D257A">
        <w:rPr>
          <w:rFonts w:ascii="Cambria Math" w:hAnsi="Cambria Math" w:hint="cs"/>
          <w:rtl/>
        </w:rPr>
        <w:t>≤</w:t>
      </w:r>
      <w:r w:rsidRPr="001D257A">
        <w:rPr>
          <w:rtl/>
        </w:rPr>
        <w:t xml:space="preserve"> 0.05) </w:t>
      </w:r>
      <w:r w:rsidRPr="001D257A">
        <w:rPr>
          <w:rFonts w:hint="cs"/>
          <w:rtl/>
        </w:rPr>
        <w:t>لمستوى</w:t>
      </w:r>
      <w:r w:rsidRPr="001D257A">
        <w:rPr>
          <w:rtl/>
        </w:rPr>
        <w:t xml:space="preserve"> </w:t>
      </w:r>
      <w:r w:rsidRPr="001D257A">
        <w:rPr>
          <w:rFonts w:hint="cs"/>
          <w:rtl/>
        </w:rPr>
        <w:t>الأتمتة</w:t>
      </w:r>
      <w:r w:rsidRPr="001D257A">
        <w:rPr>
          <w:rtl/>
        </w:rPr>
        <w:t xml:space="preserve"> </w:t>
      </w:r>
      <w:r w:rsidRPr="001D257A">
        <w:rPr>
          <w:rFonts w:hint="cs"/>
          <w:rtl/>
        </w:rPr>
        <w:t>في</w:t>
      </w:r>
      <w:r w:rsidRPr="001D257A">
        <w:rPr>
          <w:rtl/>
        </w:rPr>
        <w:t xml:space="preserve"> </w:t>
      </w:r>
      <w:r w:rsidRPr="001D257A">
        <w:rPr>
          <w:rFonts w:hint="cs"/>
          <w:rtl/>
        </w:rPr>
        <w:t>العمليات</w:t>
      </w:r>
      <w:r w:rsidRPr="001D257A">
        <w:rPr>
          <w:rtl/>
        </w:rPr>
        <w:t xml:space="preserve"> </w:t>
      </w:r>
      <w:r w:rsidRPr="001D257A">
        <w:rPr>
          <w:rFonts w:hint="cs"/>
          <w:rtl/>
        </w:rPr>
        <w:t>على</w:t>
      </w:r>
      <w:r w:rsidRPr="001D257A">
        <w:rPr>
          <w:rtl/>
        </w:rPr>
        <w:t xml:space="preserve"> </w:t>
      </w:r>
      <w:r w:rsidRPr="001D257A">
        <w:rPr>
          <w:rFonts w:hint="cs"/>
          <w:rtl/>
        </w:rPr>
        <w:t>جودة</w:t>
      </w:r>
      <w:r w:rsidRPr="001D257A">
        <w:rPr>
          <w:rtl/>
        </w:rPr>
        <w:t xml:space="preserve"> </w:t>
      </w:r>
      <w:r w:rsidRPr="001D257A">
        <w:rPr>
          <w:rFonts w:hint="cs"/>
          <w:rtl/>
        </w:rPr>
        <w:t>تنفيذ</w:t>
      </w:r>
      <w:r w:rsidRPr="001D257A">
        <w:rPr>
          <w:rtl/>
        </w:rPr>
        <w:t xml:space="preserve"> </w:t>
      </w:r>
      <w:r w:rsidRPr="001D257A">
        <w:rPr>
          <w:rFonts w:hint="cs"/>
          <w:rtl/>
        </w:rPr>
        <w:t>المشاريع</w:t>
      </w:r>
      <w:r w:rsidRPr="001D257A">
        <w:rPr>
          <w:rtl/>
        </w:rPr>
        <w:t xml:space="preserve">. </w:t>
      </w:r>
      <w:r w:rsidRPr="001D257A">
        <w:rPr>
          <w:rFonts w:hint="cs"/>
          <w:rtl/>
        </w:rPr>
        <w:t>وتنطلق</w:t>
      </w:r>
      <w:r w:rsidRPr="001D257A">
        <w:rPr>
          <w:rtl/>
        </w:rPr>
        <w:t xml:space="preserve"> </w:t>
      </w:r>
      <w:r w:rsidRPr="001D257A">
        <w:rPr>
          <w:rFonts w:hint="cs"/>
          <w:rtl/>
        </w:rPr>
        <w:t>هذه</w:t>
      </w:r>
      <w:r w:rsidRPr="001D257A">
        <w:rPr>
          <w:rtl/>
        </w:rPr>
        <w:t xml:space="preserve"> </w:t>
      </w:r>
      <w:r w:rsidRPr="001D257A">
        <w:rPr>
          <w:rFonts w:hint="cs"/>
          <w:rtl/>
        </w:rPr>
        <w:t>الفرضية</w:t>
      </w:r>
      <w:r w:rsidRPr="001D257A">
        <w:rPr>
          <w:rtl/>
        </w:rPr>
        <w:t xml:space="preserve"> </w:t>
      </w:r>
      <w:r w:rsidRPr="001D257A">
        <w:rPr>
          <w:rFonts w:hint="cs"/>
          <w:rtl/>
        </w:rPr>
        <w:t>من</w:t>
      </w:r>
      <w:r w:rsidRPr="001D257A">
        <w:rPr>
          <w:rtl/>
        </w:rPr>
        <w:t xml:space="preserve"> </w:t>
      </w:r>
      <w:r w:rsidRPr="001D257A">
        <w:rPr>
          <w:rFonts w:hint="cs"/>
          <w:rtl/>
        </w:rPr>
        <w:t>المنطق</w:t>
      </w:r>
      <w:r w:rsidRPr="001D257A">
        <w:rPr>
          <w:rtl/>
        </w:rPr>
        <w:t xml:space="preserve"> </w:t>
      </w:r>
      <w:r w:rsidRPr="001D257A">
        <w:rPr>
          <w:rFonts w:hint="cs"/>
          <w:rtl/>
        </w:rPr>
        <w:t>النظري</w:t>
      </w:r>
      <w:r w:rsidRPr="001D257A">
        <w:rPr>
          <w:rtl/>
        </w:rPr>
        <w:t xml:space="preserve"> </w:t>
      </w:r>
      <w:r w:rsidRPr="001D257A">
        <w:rPr>
          <w:rFonts w:hint="cs"/>
          <w:rtl/>
        </w:rPr>
        <w:t>القائل</w:t>
      </w:r>
      <w:r w:rsidRPr="001D257A">
        <w:rPr>
          <w:rtl/>
        </w:rPr>
        <w:t xml:space="preserve"> </w:t>
      </w:r>
      <w:r w:rsidRPr="001D257A">
        <w:rPr>
          <w:rFonts w:hint="cs"/>
          <w:rtl/>
        </w:rPr>
        <w:t>بأن</w:t>
      </w:r>
      <w:r w:rsidRPr="001D257A">
        <w:rPr>
          <w:rtl/>
        </w:rPr>
        <w:t xml:space="preserve"> </w:t>
      </w:r>
      <w:r w:rsidRPr="001D257A">
        <w:rPr>
          <w:rFonts w:hint="cs"/>
          <w:rtl/>
        </w:rPr>
        <w:t>أتمتة</w:t>
      </w:r>
      <w:r w:rsidRPr="001D257A">
        <w:rPr>
          <w:rtl/>
        </w:rPr>
        <w:t xml:space="preserve"> </w:t>
      </w:r>
      <w:r w:rsidRPr="001D257A">
        <w:rPr>
          <w:rFonts w:hint="cs"/>
          <w:rtl/>
        </w:rPr>
        <w:t>المهام</w:t>
      </w:r>
      <w:r w:rsidRPr="001D257A">
        <w:rPr>
          <w:rtl/>
        </w:rPr>
        <w:t xml:space="preserve"> </w:t>
      </w:r>
      <w:r w:rsidRPr="001D257A">
        <w:rPr>
          <w:rFonts w:hint="cs"/>
          <w:rtl/>
        </w:rPr>
        <w:t>الروتينية</w:t>
      </w:r>
      <w:r w:rsidRPr="001D257A">
        <w:rPr>
          <w:rtl/>
        </w:rPr>
        <w:t xml:space="preserve"> </w:t>
      </w:r>
      <w:r w:rsidRPr="001D257A">
        <w:rPr>
          <w:rFonts w:hint="cs"/>
          <w:rtl/>
        </w:rPr>
        <w:t>تُقلّل</w:t>
      </w:r>
      <w:r w:rsidRPr="001D257A">
        <w:rPr>
          <w:rtl/>
        </w:rPr>
        <w:t xml:space="preserve"> </w:t>
      </w:r>
      <w:r w:rsidRPr="001D257A">
        <w:rPr>
          <w:rFonts w:hint="cs"/>
          <w:rtl/>
        </w:rPr>
        <w:t>الأخطاء</w:t>
      </w:r>
      <w:r w:rsidRPr="001D257A">
        <w:rPr>
          <w:rtl/>
        </w:rPr>
        <w:t xml:space="preserve"> </w:t>
      </w:r>
      <w:r w:rsidRPr="001D257A">
        <w:rPr>
          <w:rFonts w:hint="cs"/>
          <w:rtl/>
        </w:rPr>
        <w:t>البشرية</w:t>
      </w:r>
      <w:r w:rsidRPr="001D257A">
        <w:rPr>
          <w:rtl/>
        </w:rPr>
        <w:t xml:space="preserve"> </w:t>
      </w:r>
      <w:r w:rsidRPr="001D257A">
        <w:rPr>
          <w:rFonts w:hint="cs"/>
          <w:rtl/>
        </w:rPr>
        <w:t>وتُحسّن</w:t>
      </w:r>
      <w:r w:rsidRPr="001D257A">
        <w:rPr>
          <w:rtl/>
        </w:rPr>
        <w:t xml:space="preserve"> </w:t>
      </w:r>
      <w:r w:rsidRPr="001D257A">
        <w:rPr>
          <w:rFonts w:hint="cs"/>
          <w:rtl/>
        </w:rPr>
        <w:t>دقة</w:t>
      </w:r>
      <w:r w:rsidRPr="001D257A">
        <w:rPr>
          <w:rtl/>
        </w:rPr>
        <w:t xml:space="preserve"> </w:t>
      </w:r>
      <w:r w:rsidRPr="001D257A">
        <w:rPr>
          <w:rFonts w:hint="cs"/>
          <w:rtl/>
        </w:rPr>
        <w:t>التنفيذ</w:t>
      </w:r>
      <w:r w:rsidRPr="001D257A">
        <w:rPr>
          <w:rtl/>
        </w:rPr>
        <w:t xml:space="preserve"> </w:t>
      </w:r>
      <w:r w:rsidRPr="001D257A">
        <w:rPr>
          <w:rFonts w:hint="cs"/>
          <w:rtl/>
        </w:rPr>
        <w:t>وتُتيح</w:t>
      </w:r>
      <w:r w:rsidRPr="001D257A">
        <w:rPr>
          <w:rtl/>
        </w:rPr>
        <w:t xml:space="preserve"> </w:t>
      </w:r>
      <w:r w:rsidRPr="001D257A">
        <w:rPr>
          <w:rFonts w:hint="cs"/>
          <w:rtl/>
        </w:rPr>
        <w:t>لفرق</w:t>
      </w:r>
      <w:r w:rsidRPr="001D257A">
        <w:rPr>
          <w:rtl/>
        </w:rPr>
        <w:t xml:space="preserve"> </w:t>
      </w:r>
      <w:r w:rsidRPr="001D257A">
        <w:rPr>
          <w:rFonts w:hint="cs"/>
          <w:rtl/>
        </w:rPr>
        <w:t>العمل</w:t>
      </w:r>
      <w:r w:rsidRPr="001D257A">
        <w:rPr>
          <w:rtl/>
        </w:rPr>
        <w:t xml:space="preserve"> </w:t>
      </w:r>
      <w:r w:rsidRPr="001D257A">
        <w:rPr>
          <w:rFonts w:hint="cs"/>
          <w:rtl/>
        </w:rPr>
        <w:t>التركيز</w:t>
      </w:r>
      <w:r w:rsidRPr="001D257A">
        <w:rPr>
          <w:rtl/>
        </w:rPr>
        <w:t xml:space="preserve"> </w:t>
      </w:r>
      <w:r w:rsidRPr="001D257A">
        <w:rPr>
          <w:rFonts w:hint="cs"/>
          <w:rtl/>
        </w:rPr>
        <w:t>على</w:t>
      </w:r>
      <w:r w:rsidRPr="001D257A">
        <w:rPr>
          <w:rtl/>
        </w:rPr>
        <w:t xml:space="preserve"> </w:t>
      </w:r>
      <w:r w:rsidRPr="001D257A">
        <w:rPr>
          <w:rFonts w:hint="cs"/>
          <w:rtl/>
        </w:rPr>
        <w:t>المهام</w:t>
      </w:r>
      <w:r w:rsidRPr="001D257A">
        <w:rPr>
          <w:rtl/>
        </w:rPr>
        <w:t xml:space="preserve"> </w:t>
      </w:r>
      <w:r w:rsidRPr="001D257A">
        <w:rPr>
          <w:rFonts w:hint="cs"/>
          <w:rtl/>
        </w:rPr>
        <w:t>ذات</w:t>
      </w:r>
      <w:r w:rsidRPr="001D257A">
        <w:rPr>
          <w:rtl/>
        </w:rPr>
        <w:t xml:space="preserve"> </w:t>
      </w:r>
      <w:r w:rsidRPr="001D257A">
        <w:rPr>
          <w:rFonts w:hint="cs"/>
          <w:rtl/>
        </w:rPr>
        <w:t>القيمة</w:t>
      </w:r>
      <w:r w:rsidRPr="001D257A">
        <w:rPr>
          <w:rtl/>
        </w:rPr>
        <w:t xml:space="preserve"> </w:t>
      </w:r>
      <w:r w:rsidRPr="001D257A">
        <w:rPr>
          <w:rFonts w:hint="cs"/>
          <w:rtl/>
        </w:rPr>
        <w:t>المضافة</w:t>
      </w:r>
      <w:r w:rsidRPr="001D257A">
        <w:rPr>
          <w:rtl/>
        </w:rPr>
        <w:t xml:space="preserve"> </w:t>
      </w:r>
      <w:r w:rsidRPr="001D257A">
        <w:rPr>
          <w:rFonts w:hint="cs"/>
          <w:rtl/>
        </w:rPr>
        <w:t>العالية</w:t>
      </w:r>
      <w:r w:rsidRPr="001D257A">
        <w:rPr>
          <w:rtl/>
        </w:rPr>
        <w:t>.</w:t>
      </w:r>
    </w:p>
    <w:p w14:paraId="5E364BC9" w14:textId="77777777" w:rsidR="00000000" w:rsidRPr="001D257A" w:rsidRDefault="00000000" w:rsidP="00A26521">
      <w:pPr>
        <w:bidi/>
        <w:spacing w:after="120" w:line="276" w:lineRule="auto"/>
        <w:ind w:firstLine="284"/>
        <w:jc w:val="left"/>
        <w:rPr>
          <w:rFonts w:hint="eastAsia"/>
        </w:rPr>
      </w:pPr>
      <w:r w:rsidRPr="001D257A">
        <w:rPr>
          <w:rtl/>
        </w:rPr>
        <w:t>الفرضية الفرعية الثالثة (H1c): يوجد أثر ذو دلالة إحصائية عند مستوى معنوية (</w:t>
      </w:r>
      <w:r w:rsidRPr="001D257A">
        <w:rPr>
          <w:rFonts w:ascii="Cambria" w:hAnsi="Cambria" w:hint="cs"/>
          <w:rtl/>
        </w:rPr>
        <w:t>α</w:t>
      </w:r>
      <w:r w:rsidRPr="001D257A">
        <w:rPr>
          <w:rtl/>
        </w:rPr>
        <w:t xml:space="preserve"> </w:t>
      </w:r>
      <w:r w:rsidRPr="001D257A">
        <w:rPr>
          <w:rFonts w:ascii="Cambria Math" w:hAnsi="Cambria Math" w:hint="cs"/>
          <w:rtl/>
        </w:rPr>
        <w:t>≤</w:t>
      </w:r>
      <w:r w:rsidRPr="001D257A">
        <w:rPr>
          <w:rtl/>
        </w:rPr>
        <w:t xml:space="preserve"> 0.05) </w:t>
      </w:r>
      <w:r w:rsidRPr="001D257A">
        <w:rPr>
          <w:rFonts w:hint="cs"/>
          <w:rtl/>
        </w:rPr>
        <w:t>لاعتماد</w:t>
      </w:r>
      <w:r w:rsidRPr="001D257A">
        <w:rPr>
          <w:rtl/>
        </w:rPr>
        <w:t xml:space="preserve"> </w:t>
      </w:r>
      <w:r w:rsidRPr="001D257A">
        <w:rPr>
          <w:rFonts w:hint="cs"/>
          <w:rtl/>
        </w:rPr>
        <w:t>الحلول</w:t>
      </w:r>
      <w:r w:rsidRPr="001D257A">
        <w:rPr>
          <w:rtl/>
        </w:rPr>
        <w:t xml:space="preserve"> </w:t>
      </w:r>
      <w:r w:rsidRPr="001D257A">
        <w:rPr>
          <w:rFonts w:hint="cs"/>
          <w:rtl/>
        </w:rPr>
        <w:t>السحابية</w:t>
      </w:r>
      <w:r w:rsidRPr="001D257A">
        <w:rPr>
          <w:rtl/>
        </w:rPr>
        <w:t xml:space="preserve"> </w:t>
      </w:r>
      <w:r w:rsidRPr="001D257A">
        <w:rPr>
          <w:rFonts w:hint="cs"/>
          <w:rtl/>
        </w:rPr>
        <w:t>على</w:t>
      </w:r>
      <w:r w:rsidRPr="001D257A">
        <w:rPr>
          <w:rtl/>
        </w:rPr>
        <w:t xml:space="preserve"> </w:t>
      </w:r>
      <w:r w:rsidRPr="001D257A">
        <w:rPr>
          <w:rFonts w:hint="cs"/>
          <w:rtl/>
        </w:rPr>
        <w:t>تقليل</w:t>
      </w:r>
      <w:r w:rsidRPr="001D257A">
        <w:rPr>
          <w:rtl/>
        </w:rPr>
        <w:t xml:space="preserve"> </w:t>
      </w:r>
      <w:r w:rsidRPr="001D257A">
        <w:rPr>
          <w:rFonts w:hint="cs"/>
          <w:rtl/>
        </w:rPr>
        <w:t>الأخطاء</w:t>
      </w:r>
      <w:r w:rsidRPr="001D257A">
        <w:rPr>
          <w:rtl/>
        </w:rPr>
        <w:t xml:space="preserve"> </w:t>
      </w:r>
      <w:r w:rsidRPr="001D257A">
        <w:rPr>
          <w:rFonts w:hint="cs"/>
          <w:rtl/>
        </w:rPr>
        <w:t>التشغيلية</w:t>
      </w:r>
      <w:r w:rsidRPr="001D257A">
        <w:rPr>
          <w:rtl/>
        </w:rPr>
        <w:t xml:space="preserve"> </w:t>
      </w:r>
      <w:r w:rsidRPr="001D257A">
        <w:rPr>
          <w:rFonts w:hint="cs"/>
          <w:rtl/>
        </w:rPr>
        <w:t>في</w:t>
      </w:r>
      <w:r w:rsidRPr="001D257A">
        <w:rPr>
          <w:rtl/>
        </w:rPr>
        <w:t xml:space="preserve"> </w:t>
      </w:r>
      <w:r w:rsidRPr="001D257A">
        <w:rPr>
          <w:rFonts w:hint="cs"/>
          <w:rtl/>
        </w:rPr>
        <w:t>تنفيذ</w:t>
      </w:r>
      <w:r w:rsidRPr="001D257A">
        <w:rPr>
          <w:rtl/>
        </w:rPr>
        <w:t xml:space="preserve"> </w:t>
      </w:r>
      <w:r w:rsidRPr="001D257A">
        <w:rPr>
          <w:rFonts w:hint="cs"/>
          <w:rtl/>
        </w:rPr>
        <w:t>المشاريع</w:t>
      </w:r>
      <w:r w:rsidRPr="001D257A">
        <w:rPr>
          <w:rtl/>
        </w:rPr>
        <w:t xml:space="preserve">. </w:t>
      </w:r>
      <w:r w:rsidRPr="001D257A">
        <w:rPr>
          <w:rFonts w:hint="cs"/>
          <w:rtl/>
        </w:rPr>
        <w:t>وتستند</w:t>
      </w:r>
      <w:r w:rsidRPr="001D257A">
        <w:rPr>
          <w:rtl/>
        </w:rPr>
        <w:t xml:space="preserve"> </w:t>
      </w:r>
      <w:r w:rsidRPr="001D257A">
        <w:rPr>
          <w:rFonts w:hint="cs"/>
          <w:rtl/>
        </w:rPr>
        <w:t>هذه</w:t>
      </w:r>
      <w:r w:rsidRPr="001D257A">
        <w:rPr>
          <w:rtl/>
        </w:rPr>
        <w:t xml:space="preserve"> </w:t>
      </w:r>
      <w:r w:rsidRPr="001D257A">
        <w:rPr>
          <w:rFonts w:hint="cs"/>
          <w:rtl/>
        </w:rPr>
        <w:t>الفرضية</w:t>
      </w:r>
      <w:r w:rsidRPr="001D257A">
        <w:rPr>
          <w:rtl/>
        </w:rPr>
        <w:t xml:space="preserve"> </w:t>
      </w:r>
      <w:r w:rsidRPr="001D257A">
        <w:rPr>
          <w:rFonts w:hint="cs"/>
          <w:rtl/>
        </w:rPr>
        <w:t>إلى</w:t>
      </w:r>
      <w:r w:rsidRPr="001D257A">
        <w:rPr>
          <w:rtl/>
        </w:rPr>
        <w:t xml:space="preserve"> </w:t>
      </w:r>
      <w:r w:rsidRPr="001D257A">
        <w:rPr>
          <w:rFonts w:hint="cs"/>
          <w:rtl/>
        </w:rPr>
        <w:t>أن</w:t>
      </w:r>
      <w:r w:rsidRPr="001D257A">
        <w:rPr>
          <w:rtl/>
        </w:rPr>
        <w:t xml:space="preserve"> </w:t>
      </w:r>
      <w:r w:rsidRPr="001D257A">
        <w:rPr>
          <w:rFonts w:hint="cs"/>
          <w:rtl/>
        </w:rPr>
        <w:t>الحلول</w:t>
      </w:r>
      <w:r w:rsidRPr="001D257A">
        <w:rPr>
          <w:rtl/>
        </w:rPr>
        <w:t xml:space="preserve"> </w:t>
      </w:r>
      <w:r w:rsidRPr="001D257A">
        <w:rPr>
          <w:rFonts w:hint="cs"/>
          <w:rtl/>
        </w:rPr>
        <w:t>السحابية</w:t>
      </w:r>
      <w:r w:rsidRPr="001D257A">
        <w:rPr>
          <w:rtl/>
        </w:rPr>
        <w:t xml:space="preserve"> </w:t>
      </w:r>
      <w:r w:rsidRPr="001D257A">
        <w:rPr>
          <w:rFonts w:hint="cs"/>
          <w:rtl/>
        </w:rPr>
        <w:t>توفر</w:t>
      </w:r>
      <w:r w:rsidRPr="001D257A">
        <w:rPr>
          <w:rtl/>
        </w:rPr>
        <w:t xml:space="preserve"> </w:t>
      </w:r>
      <w:r w:rsidRPr="001D257A">
        <w:rPr>
          <w:rFonts w:hint="cs"/>
          <w:rtl/>
        </w:rPr>
        <w:t>بيئة</w:t>
      </w:r>
      <w:r w:rsidRPr="001D257A">
        <w:rPr>
          <w:rtl/>
        </w:rPr>
        <w:t xml:space="preserve"> </w:t>
      </w:r>
      <w:r w:rsidRPr="001D257A">
        <w:rPr>
          <w:rFonts w:hint="cs"/>
          <w:rtl/>
        </w:rPr>
        <w:t>مركزية</w:t>
      </w:r>
      <w:r w:rsidRPr="001D257A">
        <w:rPr>
          <w:rtl/>
        </w:rPr>
        <w:t xml:space="preserve"> </w:t>
      </w:r>
      <w:r w:rsidRPr="001D257A">
        <w:rPr>
          <w:rFonts w:hint="cs"/>
          <w:rtl/>
        </w:rPr>
        <w:t>ومحدّثة</w:t>
      </w:r>
      <w:r w:rsidRPr="001D257A">
        <w:rPr>
          <w:rtl/>
        </w:rPr>
        <w:t xml:space="preserve"> </w:t>
      </w:r>
      <w:r w:rsidRPr="001D257A">
        <w:rPr>
          <w:rFonts w:hint="cs"/>
          <w:rtl/>
        </w:rPr>
        <w:t>للمعلومات</w:t>
      </w:r>
      <w:r w:rsidRPr="001D257A">
        <w:rPr>
          <w:rtl/>
        </w:rPr>
        <w:t xml:space="preserve"> </w:t>
      </w:r>
      <w:r w:rsidRPr="001D257A">
        <w:rPr>
          <w:rFonts w:hint="cs"/>
          <w:rtl/>
        </w:rPr>
        <w:t>تمنع</w:t>
      </w:r>
      <w:r w:rsidRPr="001D257A">
        <w:rPr>
          <w:rtl/>
        </w:rPr>
        <w:t xml:space="preserve"> </w:t>
      </w:r>
      <w:r w:rsidRPr="001D257A">
        <w:rPr>
          <w:rFonts w:hint="cs"/>
          <w:rtl/>
        </w:rPr>
        <w:t>التضارب</w:t>
      </w:r>
      <w:r w:rsidRPr="001D257A">
        <w:rPr>
          <w:rtl/>
        </w:rPr>
        <w:t xml:space="preserve"> </w:t>
      </w:r>
      <w:r w:rsidRPr="001D257A">
        <w:rPr>
          <w:rFonts w:hint="cs"/>
          <w:rtl/>
        </w:rPr>
        <w:t>والازدواجية</w:t>
      </w:r>
      <w:r w:rsidRPr="001D257A">
        <w:rPr>
          <w:rtl/>
        </w:rPr>
        <w:t xml:space="preserve"> </w:t>
      </w:r>
      <w:r w:rsidRPr="001D257A">
        <w:rPr>
          <w:rFonts w:hint="cs"/>
          <w:rtl/>
        </w:rPr>
        <w:t>وتُحسّن</w:t>
      </w:r>
      <w:r w:rsidRPr="001D257A">
        <w:rPr>
          <w:rtl/>
        </w:rPr>
        <w:t xml:space="preserve"> </w:t>
      </w:r>
      <w:r w:rsidRPr="001D257A">
        <w:rPr>
          <w:rFonts w:hint="cs"/>
          <w:rtl/>
        </w:rPr>
        <w:t>جودة</w:t>
      </w:r>
      <w:r w:rsidRPr="001D257A">
        <w:rPr>
          <w:rtl/>
        </w:rPr>
        <w:t xml:space="preserve"> </w:t>
      </w:r>
      <w:r w:rsidRPr="001D257A">
        <w:rPr>
          <w:rFonts w:hint="cs"/>
          <w:rtl/>
        </w:rPr>
        <w:t>البيانات</w:t>
      </w:r>
      <w:r w:rsidRPr="001D257A">
        <w:rPr>
          <w:rtl/>
        </w:rPr>
        <w:t xml:space="preserve"> </w:t>
      </w:r>
      <w:r w:rsidRPr="001D257A">
        <w:rPr>
          <w:rFonts w:hint="cs"/>
          <w:rtl/>
        </w:rPr>
        <w:t>المتاحة</w:t>
      </w:r>
      <w:r w:rsidRPr="001D257A">
        <w:rPr>
          <w:rtl/>
        </w:rPr>
        <w:t xml:space="preserve"> </w:t>
      </w:r>
      <w:r w:rsidRPr="001D257A">
        <w:rPr>
          <w:rFonts w:hint="cs"/>
          <w:rtl/>
        </w:rPr>
        <w:t>لفرق</w:t>
      </w:r>
      <w:r w:rsidRPr="001D257A">
        <w:rPr>
          <w:rtl/>
        </w:rPr>
        <w:t xml:space="preserve"> </w:t>
      </w:r>
      <w:r w:rsidRPr="001D257A">
        <w:rPr>
          <w:rFonts w:hint="cs"/>
          <w:rtl/>
        </w:rPr>
        <w:t>العمل</w:t>
      </w:r>
      <w:r w:rsidRPr="001D257A">
        <w:rPr>
          <w:rtl/>
        </w:rPr>
        <w:t>.</w:t>
      </w:r>
    </w:p>
    <w:p w14:paraId="64063E73" w14:textId="77777777" w:rsidR="00000000" w:rsidRPr="001D257A" w:rsidRDefault="00000000" w:rsidP="00A26521">
      <w:pPr>
        <w:bidi/>
        <w:spacing w:after="120" w:line="276" w:lineRule="auto"/>
        <w:ind w:firstLine="284"/>
        <w:jc w:val="left"/>
        <w:rPr>
          <w:rFonts w:hint="eastAsia"/>
        </w:rPr>
      </w:pPr>
      <w:r w:rsidRPr="001D257A">
        <w:rPr>
          <w:rtl/>
        </w:rPr>
        <w:t>الفرضية الفرعية الرابعة (H1d): يوجد أثر ذو دلالة إحصائية عند مستوى معنوية (</w:t>
      </w:r>
      <w:r w:rsidRPr="001D257A">
        <w:rPr>
          <w:rFonts w:ascii="Cambria" w:hAnsi="Cambria" w:hint="cs"/>
          <w:rtl/>
        </w:rPr>
        <w:t>α</w:t>
      </w:r>
      <w:r w:rsidRPr="001D257A">
        <w:rPr>
          <w:rtl/>
        </w:rPr>
        <w:t xml:space="preserve"> </w:t>
      </w:r>
      <w:r w:rsidRPr="001D257A">
        <w:rPr>
          <w:rFonts w:ascii="Cambria Math" w:hAnsi="Cambria Math" w:hint="cs"/>
          <w:rtl/>
        </w:rPr>
        <w:t>≤</w:t>
      </w:r>
      <w:r w:rsidRPr="001D257A">
        <w:rPr>
          <w:rtl/>
        </w:rPr>
        <w:t xml:space="preserve"> 0.05) </w:t>
      </w:r>
      <w:r w:rsidRPr="001D257A">
        <w:rPr>
          <w:rFonts w:hint="cs"/>
          <w:rtl/>
        </w:rPr>
        <w:t>لتوظيف</w:t>
      </w:r>
      <w:r w:rsidRPr="001D257A">
        <w:rPr>
          <w:rtl/>
        </w:rPr>
        <w:t xml:space="preserve"> </w:t>
      </w:r>
      <w:r w:rsidRPr="001D257A">
        <w:rPr>
          <w:rFonts w:hint="cs"/>
          <w:rtl/>
        </w:rPr>
        <w:t>تحليلات</w:t>
      </w:r>
      <w:r w:rsidRPr="001D257A">
        <w:rPr>
          <w:rtl/>
        </w:rPr>
        <w:t xml:space="preserve"> </w:t>
      </w:r>
      <w:r w:rsidRPr="001D257A">
        <w:rPr>
          <w:rFonts w:hint="cs"/>
          <w:rtl/>
        </w:rPr>
        <w:t>البيانات</w:t>
      </w:r>
      <w:r w:rsidRPr="001D257A">
        <w:rPr>
          <w:rtl/>
        </w:rPr>
        <w:t xml:space="preserve"> </w:t>
      </w:r>
      <w:r w:rsidRPr="001D257A">
        <w:rPr>
          <w:rFonts w:hint="cs"/>
          <w:rtl/>
        </w:rPr>
        <w:t>على</w:t>
      </w:r>
      <w:r w:rsidRPr="001D257A">
        <w:rPr>
          <w:rtl/>
        </w:rPr>
        <w:t xml:space="preserve"> </w:t>
      </w:r>
      <w:r w:rsidRPr="001D257A">
        <w:rPr>
          <w:rFonts w:hint="cs"/>
          <w:rtl/>
        </w:rPr>
        <w:t>فعالية</w:t>
      </w:r>
      <w:r w:rsidRPr="001D257A">
        <w:rPr>
          <w:rtl/>
        </w:rPr>
        <w:t xml:space="preserve"> </w:t>
      </w:r>
      <w:r w:rsidRPr="001D257A">
        <w:rPr>
          <w:rFonts w:hint="cs"/>
          <w:rtl/>
        </w:rPr>
        <w:t>التواصل</w:t>
      </w:r>
      <w:r w:rsidRPr="001D257A">
        <w:rPr>
          <w:rtl/>
        </w:rPr>
        <w:t xml:space="preserve"> </w:t>
      </w:r>
      <w:r w:rsidRPr="001D257A">
        <w:rPr>
          <w:rFonts w:hint="cs"/>
          <w:rtl/>
        </w:rPr>
        <w:t>وإدارة</w:t>
      </w:r>
      <w:r w:rsidRPr="001D257A">
        <w:rPr>
          <w:rtl/>
        </w:rPr>
        <w:t xml:space="preserve"> </w:t>
      </w:r>
      <w:r w:rsidRPr="001D257A">
        <w:rPr>
          <w:rFonts w:hint="cs"/>
          <w:rtl/>
        </w:rPr>
        <w:t>المهام</w:t>
      </w:r>
      <w:r w:rsidRPr="001D257A">
        <w:rPr>
          <w:rtl/>
        </w:rPr>
        <w:t xml:space="preserve"> </w:t>
      </w:r>
      <w:r w:rsidRPr="001D257A">
        <w:rPr>
          <w:rFonts w:hint="cs"/>
          <w:rtl/>
        </w:rPr>
        <w:t>داخل</w:t>
      </w:r>
      <w:r w:rsidRPr="001D257A">
        <w:rPr>
          <w:rtl/>
        </w:rPr>
        <w:t xml:space="preserve"> </w:t>
      </w:r>
      <w:r w:rsidRPr="001D257A">
        <w:rPr>
          <w:rFonts w:hint="cs"/>
          <w:rtl/>
        </w:rPr>
        <w:t>فرق</w:t>
      </w:r>
      <w:r w:rsidRPr="001D257A">
        <w:rPr>
          <w:rtl/>
        </w:rPr>
        <w:t xml:space="preserve"> </w:t>
      </w:r>
      <w:r w:rsidRPr="001D257A">
        <w:rPr>
          <w:rFonts w:hint="cs"/>
          <w:rtl/>
        </w:rPr>
        <w:t>المشاريع</w:t>
      </w:r>
      <w:r w:rsidRPr="001D257A">
        <w:rPr>
          <w:rtl/>
        </w:rPr>
        <w:t xml:space="preserve">. </w:t>
      </w:r>
      <w:r w:rsidRPr="001D257A">
        <w:rPr>
          <w:rFonts w:hint="cs"/>
          <w:rtl/>
        </w:rPr>
        <w:t>وتنبني</w:t>
      </w:r>
      <w:r w:rsidRPr="001D257A">
        <w:rPr>
          <w:rtl/>
        </w:rPr>
        <w:t xml:space="preserve"> </w:t>
      </w:r>
      <w:r w:rsidRPr="001D257A">
        <w:rPr>
          <w:rFonts w:hint="cs"/>
          <w:rtl/>
        </w:rPr>
        <w:t>هذه</w:t>
      </w:r>
      <w:r w:rsidRPr="001D257A">
        <w:rPr>
          <w:rtl/>
        </w:rPr>
        <w:t xml:space="preserve"> </w:t>
      </w:r>
      <w:r w:rsidRPr="001D257A">
        <w:rPr>
          <w:rFonts w:hint="cs"/>
          <w:rtl/>
        </w:rPr>
        <w:t>الفرضية</w:t>
      </w:r>
      <w:r w:rsidRPr="001D257A">
        <w:rPr>
          <w:rtl/>
        </w:rPr>
        <w:t xml:space="preserve"> </w:t>
      </w:r>
      <w:r w:rsidRPr="001D257A">
        <w:rPr>
          <w:rFonts w:hint="cs"/>
          <w:rtl/>
        </w:rPr>
        <w:t>على</w:t>
      </w:r>
      <w:r w:rsidRPr="001D257A">
        <w:rPr>
          <w:rtl/>
        </w:rPr>
        <w:t xml:space="preserve"> </w:t>
      </w:r>
      <w:r w:rsidRPr="001D257A">
        <w:rPr>
          <w:rFonts w:hint="cs"/>
          <w:rtl/>
        </w:rPr>
        <w:t>أن</w:t>
      </w:r>
      <w:r w:rsidRPr="001D257A">
        <w:rPr>
          <w:rtl/>
        </w:rPr>
        <w:t xml:space="preserve"> </w:t>
      </w:r>
      <w:r w:rsidRPr="001D257A">
        <w:rPr>
          <w:rFonts w:hint="cs"/>
          <w:rtl/>
        </w:rPr>
        <w:t>تحليلات</w:t>
      </w:r>
      <w:r w:rsidRPr="001D257A">
        <w:rPr>
          <w:rtl/>
        </w:rPr>
        <w:t xml:space="preserve"> </w:t>
      </w:r>
      <w:r w:rsidRPr="001D257A">
        <w:rPr>
          <w:rFonts w:hint="cs"/>
          <w:rtl/>
        </w:rPr>
        <w:t>البيانات</w:t>
      </w:r>
      <w:r w:rsidRPr="001D257A">
        <w:rPr>
          <w:rtl/>
        </w:rPr>
        <w:t xml:space="preserve"> </w:t>
      </w:r>
      <w:r w:rsidRPr="001D257A">
        <w:rPr>
          <w:rFonts w:hint="cs"/>
          <w:rtl/>
        </w:rPr>
        <w:t>ولوحات</w:t>
      </w:r>
      <w:r w:rsidRPr="001D257A">
        <w:rPr>
          <w:rtl/>
        </w:rPr>
        <w:t xml:space="preserve"> </w:t>
      </w:r>
      <w:r w:rsidRPr="001D257A">
        <w:rPr>
          <w:rFonts w:hint="cs"/>
          <w:rtl/>
        </w:rPr>
        <w:t>المعلومات</w:t>
      </w:r>
      <w:r w:rsidRPr="001D257A">
        <w:rPr>
          <w:rtl/>
        </w:rPr>
        <w:t xml:space="preserve"> </w:t>
      </w:r>
      <w:r w:rsidRPr="001D257A">
        <w:rPr>
          <w:rFonts w:hint="cs"/>
          <w:rtl/>
        </w:rPr>
        <w:t>التفاعلية</w:t>
      </w:r>
      <w:r w:rsidRPr="001D257A">
        <w:rPr>
          <w:rtl/>
        </w:rPr>
        <w:t xml:space="preserve"> </w:t>
      </w:r>
      <w:r w:rsidRPr="001D257A">
        <w:rPr>
          <w:rFonts w:hint="cs"/>
          <w:rtl/>
        </w:rPr>
        <w:t>تُعزّز</w:t>
      </w:r>
      <w:r w:rsidRPr="001D257A">
        <w:rPr>
          <w:rtl/>
        </w:rPr>
        <w:t xml:space="preserve"> </w:t>
      </w:r>
      <w:r w:rsidRPr="001D257A">
        <w:rPr>
          <w:rFonts w:hint="cs"/>
          <w:rtl/>
        </w:rPr>
        <w:t>شفافية</w:t>
      </w:r>
      <w:r w:rsidRPr="001D257A">
        <w:rPr>
          <w:rtl/>
        </w:rPr>
        <w:t xml:space="preserve"> </w:t>
      </w:r>
      <w:r w:rsidRPr="001D257A">
        <w:rPr>
          <w:rFonts w:hint="cs"/>
          <w:rtl/>
        </w:rPr>
        <w:t>المعلومات</w:t>
      </w:r>
      <w:r w:rsidRPr="001D257A">
        <w:rPr>
          <w:rtl/>
        </w:rPr>
        <w:t xml:space="preserve"> </w:t>
      </w:r>
      <w:r w:rsidRPr="001D257A">
        <w:rPr>
          <w:rFonts w:hint="cs"/>
          <w:rtl/>
        </w:rPr>
        <w:t>وتُسهّل</w:t>
      </w:r>
      <w:r w:rsidRPr="001D257A">
        <w:rPr>
          <w:rtl/>
        </w:rPr>
        <w:t xml:space="preserve"> </w:t>
      </w:r>
      <w:r w:rsidRPr="001D257A">
        <w:rPr>
          <w:rFonts w:hint="cs"/>
          <w:rtl/>
        </w:rPr>
        <w:t>تبادلها</w:t>
      </w:r>
      <w:r w:rsidRPr="001D257A">
        <w:rPr>
          <w:rtl/>
        </w:rPr>
        <w:t xml:space="preserve"> </w:t>
      </w:r>
      <w:r w:rsidRPr="001D257A">
        <w:rPr>
          <w:rFonts w:hint="cs"/>
          <w:rtl/>
        </w:rPr>
        <w:t>بين</w:t>
      </w:r>
      <w:r w:rsidRPr="001D257A">
        <w:rPr>
          <w:rtl/>
        </w:rPr>
        <w:t xml:space="preserve"> </w:t>
      </w:r>
      <w:r w:rsidRPr="001D257A">
        <w:rPr>
          <w:rFonts w:hint="cs"/>
          <w:rtl/>
        </w:rPr>
        <w:t>أعضاء</w:t>
      </w:r>
      <w:r w:rsidRPr="001D257A">
        <w:rPr>
          <w:rtl/>
        </w:rPr>
        <w:t xml:space="preserve"> </w:t>
      </w:r>
      <w:r w:rsidRPr="001D257A">
        <w:rPr>
          <w:rFonts w:hint="cs"/>
          <w:rtl/>
        </w:rPr>
        <w:t>الفريق</w:t>
      </w:r>
      <w:r w:rsidRPr="001D257A">
        <w:rPr>
          <w:rtl/>
        </w:rPr>
        <w:t xml:space="preserve"> </w:t>
      </w:r>
      <w:r w:rsidRPr="001D257A">
        <w:rPr>
          <w:rFonts w:hint="cs"/>
          <w:rtl/>
        </w:rPr>
        <w:t>بشكل</w:t>
      </w:r>
      <w:r w:rsidRPr="001D257A">
        <w:rPr>
          <w:rtl/>
        </w:rPr>
        <w:t xml:space="preserve"> </w:t>
      </w:r>
      <w:r w:rsidRPr="001D257A">
        <w:rPr>
          <w:rFonts w:hint="cs"/>
          <w:rtl/>
        </w:rPr>
        <w:t>منظم</w:t>
      </w:r>
      <w:r w:rsidRPr="001D257A">
        <w:rPr>
          <w:rtl/>
        </w:rPr>
        <w:t xml:space="preserve"> </w:t>
      </w:r>
      <w:r w:rsidRPr="001D257A">
        <w:rPr>
          <w:rFonts w:hint="cs"/>
          <w:rtl/>
        </w:rPr>
        <w:t>وفعّال</w:t>
      </w:r>
      <w:r w:rsidRPr="001D257A">
        <w:rPr>
          <w:rtl/>
        </w:rPr>
        <w:t>.</w:t>
      </w:r>
    </w:p>
    <w:p w14:paraId="5E96B936" w14:textId="77777777" w:rsidR="00000000" w:rsidRPr="001D257A" w:rsidRDefault="00000000" w:rsidP="00A26521">
      <w:pPr>
        <w:bidi/>
        <w:spacing w:after="120" w:line="276" w:lineRule="auto"/>
        <w:ind w:firstLine="284"/>
        <w:jc w:val="left"/>
        <w:rPr>
          <w:rFonts w:hint="eastAsia"/>
        </w:rPr>
      </w:pPr>
      <w:r w:rsidRPr="001D257A">
        <w:rPr>
          <w:rtl/>
        </w:rPr>
        <w:t>الفرضية الفرعية الخامسة (H1e): يوجد أثر ذو دلالة إحصائية عند مستوى معنوية (</w:t>
      </w:r>
      <w:r w:rsidRPr="001D257A">
        <w:rPr>
          <w:rFonts w:ascii="Cambria" w:hAnsi="Cambria" w:hint="cs"/>
          <w:rtl/>
        </w:rPr>
        <w:t>α</w:t>
      </w:r>
      <w:r w:rsidRPr="001D257A">
        <w:rPr>
          <w:rtl/>
        </w:rPr>
        <w:t xml:space="preserve"> </w:t>
      </w:r>
      <w:r w:rsidRPr="001D257A">
        <w:rPr>
          <w:rFonts w:ascii="Cambria Math" w:hAnsi="Cambria Math" w:hint="cs"/>
          <w:rtl/>
        </w:rPr>
        <w:t>≤</w:t>
      </w:r>
      <w:r w:rsidRPr="001D257A">
        <w:rPr>
          <w:rtl/>
        </w:rPr>
        <w:t xml:space="preserve"> 0.05) </w:t>
      </w:r>
      <w:r w:rsidRPr="001D257A">
        <w:rPr>
          <w:rFonts w:hint="cs"/>
          <w:rtl/>
        </w:rPr>
        <w:t>لفعالية</w:t>
      </w:r>
      <w:r w:rsidRPr="001D257A">
        <w:rPr>
          <w:rtl/>
        </w:rPr>
        <w:t xml:space="preserve"> </w:t>
      </w:r>
      <w:r w:rsidRPr="001D257A">
        <w:rPr>
          <w:rFonts w:hint="cs"/>
          <w:rtl/>
        </w:rPr>
        <w:t>أنظمة</w:t>
      </w:r>
      <w:r w:rsidRPr="001D257A">
        <w:rPr>
          <w:rtl/>
        </w:rPr>
        <w:t xml:space="preserve"> </w:t>
      </w:r>
      <w:r w:rsidRPr="001D257A">
        <w:rPr>
          <w:rFonts w:hint="cs"/>
          <w:rtl/>
        </w:rPr>
        <w:t>التواصل</w:t>
      </w:r>
      <w:r w:rsidRPr="001D257A">
        <w:rPr>
          <w:rtl/>
        </w:rPr>
        <w:t xml:space="preserve"> </w:t>
      </w:r>
      <w:r w:rsidRPr="001D257A">
        <w:rPr>
          <w:rFonts w:hint="cs"/>
          <w:rtl/>
        </w:rPr>
        <w:t>الرقمي</w:t>
      </w:r>
      <w:r w:rsidRPr="001D257A">
        <w:rPr>
          <w:rtl/>
        </w:rPr>
        <w:t xml:space="preserve"> </w:t>
      </w:r>
      <w:r w:rsidRPr="001D257A">
        <w:rPr>
          <w:rFonts w:hint="cs"/>
          <w:rtl/>
        </w:rPr>
        <w:t>على</w:t>
      </w:r>
      <w:r w:rsidRPr="001D257A">
        <w:rPr>
          <w:rtl/>
        </w:rPr>
        <w:t xml:space="preserve"> </w:t>
      </w:r>
      <w:r w:rsidRPr="001D257A">
        <w:rPr>
          <w:rFonts w:hint="cs"/>
          <w:rtl/>
        </w:rPr>
        <w:t>جودة</w:t>
      </w:r>
      <w:r w:rsidRPr="001D257A">
        <w:rPr>
          <w:rtl/>
        </w:rPr>
        <w:t xml:space="preserve"> </w:t>
      </w:r>
      <w:r w:rsidRPr="001D257A">
        <w:rPr>
          <w:rFonts w:hint="cs"/>
          <w:rtl/>
        </w:rPr>
        <w:t>اتخاذ</w:t>
      </w:r>
      <w:r w:rsidRPr="001D257A">
        <w:rPr>
          <w:rtl/>
        </w:rPr>
        <w:t xml:space="preserve"> </w:t>
      </w:r>
      <w:r w:rsidRPr="001D257A">
        <w:rPr>
          <w:rFonts w:hint="cs"/>
          <w:rtl/>
        </w:rPr>
        <w:t>القرار</w:t>
      </w:r>
      <w:r w:rsidRPr="001D257A">
        <w:rPr>
          <w:rtl/>
        </w:rPr>
        <w:t xml:space="preserve"> </w:t>
      </w:r>
      <w:r w:rsidRPr="001D257A">
        <w:rPr>
          <w:rFonts w:hint="cs"/>
          <w:rtl/>
        </w:rPr>
        <w:t>في</w:t>
      </w:r>
      <w:r w:rsidRPr="001D257A">
        <w:rPr>
          <w:rtl/>
        </w:rPr>
        <w:t xml:space="preserve"> </w:t>
      </w:r>
      <w:r w:rsidRPr="001D257A">
        <w:rPr>
          <w:rFonts w:hint="cs"/>
          <w:rtl/>
        </w:rPr>
        <w:t>إدارة</w:t>
      </w:r>
      <w:r w:rsidRPr="001D257A">
        <w:rPr>
          <w:rtl/>
        </w:rPr>
        <w:t xml:space="preserve"> </w:t>
      </w:r>
      <w:r w:rsidRPr="001D257A">
        <w:rPr>
          <w:rFonts w:hint="cs"/>
          <w:rtl/>
        </w:rPr>
        <w:t>المشاريع</w:t>
      </w:r>
      <w:r w:rsidRPr="001D257A">
        <w:rPr>
          <w:rtl/>
        </w:rPr>
        <w:t xml:space="preserve">. </w:t>
      </w:r>
      <w:r w:rsidRPr="001D257A">
        <w:rPr>
          <w:rFonts w:hint="cs"/>
          <w:rtl/>
        </w:rPr>
        <w:t>وتستند</w:t>
      </w:r>
      <w:r w:rsidRPr="001D257A">
        <w:rPr>
          <w:rtl/>
        </w:rPr>
        <w:t xml:space="preserve"> </w:t>
      </w:r>
      <w:r w:rsidRPr="001D257A">
        <w:rPr>
          <w:rFonts w:hint="cs"/>
          <w:rtl/>
        </w:rPr>
        <w:t>هذه</w:t>
      </w:r>
      <w:r w:rsidRPr="001D257A">
        <w:rPr>
          <w:rtl/>
        </w:rPr>
        <w:t xml:space="preserve"> </w:t>
      </w:r>
      <w:r w:rsidRPr="001D257A">
        <w:rPr>
          <w:rFonts w:hint="cs"/>
          <w:rtl/>
        </w:rPr>
        <w:t>الفرضية</w:t>
      </w:r>
      <w:r w:rsidRPr="001D257A">
        <w:rPr>
          <w:rtl/>
        </w:rPr>
        <w:t xml:space="preserve"> </w:t>
      </w:r>
      <w:r w:rsidRPr="001D257A">
        <w:rPr>
          <w:rFonts w:hint="cs"/>
          <w:rtl/>
        </w:rPr>
        <w:t>إلى</w:t>
      </w:r>
      <w:r w:rsidRPr="001D257A">
        <w:rPr>
          <w:rtl/>
        </w:rPr>
        <w:t xml:space="preserve"> </w:t>
      </w:r>
      <w:r w:rsidRPr="001D257A">
        <w:rPr>
          <w:rFonts w:hint="cs"/>
          <w:rtl/>
        </w:rPr>
        <w:t>أن</w:t>
      </w:r>
      <w:r w:rsidRPr="001D257A">
        <w:rPr>
          <w:rtl/>
        </w:rPr>
        <w:t xml:space="preserve"> </w:t>
      </w:r>
      <w:r w:rsidRPr="001D257A">
        <w:rPr>
          <w:rFonts w:hint="cs"/>
          <w:rtl/>
        </w:rPr>
        <w:t>أنظمة</w:t>
      </w:r>
      <w:r w:rsidRPr="001D257A">
        <w:rPr>
          <w:rtl/>
        </w:rPr>
        <w:t xml:space="preserve"> </w:t>
      </w:r>
      <w:r w:rsidRPr="001D257A">
        <w:rPr>
          <w:rFonts w:hint="cs"/>
          <w:rtl/>
        </w:rPr>
        <w:t>التواصل</w:t>
      </w:r>
      <w:r w:rsidRPr="001D257A">
        <w:rPr>
          <w:rtl/>
        </w:rPr>
        <w:t xml:space="preserve"> </w:t>
      </w:r>
      <w:r w:rsidRPr="001D257A">
        <w:rPr>
          <w:rFonts w:hint="cs"/>
          <w:rtl/>
        </w:rPr>
        <w:t>الرقمي</w:t>
      </w:r>
      <w:r w:rsidRPr="001D257A">
        <w:rPr>
          <w:rtl/>
        </w:rPr>
        <w:t xml:space="preserve"> </w:t>
      </w:r>
      <w:r w:rsidRPr="001D257A">
        <w:rPr>
          <w:rFonts w:hint="cs"/>
          <w:rtl/>
        </w:rPr>
        <w:t>الفعّالة</w:t>
      </w:r>
      <w:r w:rsidRPr="001D257A">
        <w:rPr>
          <w:rtl/>
        </w:rPr>
        <w:t xml:space="preserve"> </w:t>
      </w:r>
      <w:r w:rsidRPr="001D257A">
        <w:rPr>
          <w:rFonts w:hint="cs"/>
          <w:rtl/>
        </w:rPr>
        <w:t>تُمكّن</w:t>
      </w:r>
      <w:r w:rsidRPr="001D257A">
        <w:rPr>
          <w:rtl/>
        </w:rPr>
        <w:t xml:space="preserve"> </w:t>
      </w:r>
      <w:r w:rsidRPr="001D257A">
        <w:rPr>
          <w:rFonts w:hint="cs"/>
          <w:rtl/>
        </w:rPr>
        <w:t>صانعي</w:t>
      </w:r>
      <w:r w:rsidRPr="001D257A">
        <w:rPr>
          <w:rtl/>
        </w:rPr>
        <w:t xml:space="preserve"> </w:t>
      </w:r>
      <w:r w:rsidRPr="001D257A">
        <w:rPr>
          <w:rFonts w:hint="cs"/>
          <w:rtl/>
        </w:rPr>
        <w:t>القرار</w:t>
      </w:r>
      <w:r w:rsidRPr="001D257A">
        <w:rPr>
          <w:rtl/>
        </w:rPr>
        <w:t xml:space="preserve"> </w:t>
      </w:r>
      <w:r w:rsidRPr="001D257A">
        <w:rPr>
          <w:rFonts w:hint="cs"/>
          <w:rtl/>
        </w:rPr>
        <w:t>من</w:t>
      </w:r>
      <w:r w:rsidRPr="001D257A">
        <w:rPr>
          <w:rtl/>
        </w:rPr>
        <w:t xml:space="preserve"> </w:t>
      </w:r>
      <w:r w:rsidRPr="001D257A">
        <w:rPr>
          <w:rFonts w:hint="cs"/>
          <w:rtl/>
        </w:rPr>
        <w:t>الحصول</w:t>
      </w:r>
      <w:r w:rsidRPr="001D257A">
        <w:rPr>
          <w:rtl/>
        </w:rPr>
        <w:t xml:space="preserve"> </w:t>
      </w:r>
      <w:r w:rsidRPr="001D257A">
        <w:rPr>
          <w:rFonts w:hint="cs"/>
          <w:rtl/>
        </w:rPr>
        <w:t>على</w:t>
      </w:r>
      <w:r w:rsidRPr="001D257A">
        <w:rPr>
          <w:rtl/>
        </w:rPr>
        <w:t xml:space="preserve"> </w:t>
      </w:r>
      <w:r w:rsidRPr="001D257A">
        <w:rPr>
          <w:rFonts w:hint="cs"/>
          <w:rtl/>
        </w:rPr>
        <w:t>المعلومات</w:t>
      </w:r>
      <w:r w:rsidRPr="001D257A">
        <w:rPr>
          <w:rtl/>
        </w:rPr>
        <w:t xml:space="preserve"> </w:t>
      </w:r>
      <w:r w:rsidRPr="001D257A">
        <w:rPr>
          <w:rFonts w:hint="cs"/>
          <w:rtl/>
        </w:rPr>
        <w:t>اللازمة</w:t>
      </w:r>
      <w:r w:rsidRPr="001D257A">
        <w:rPr>
          <w:rtl/>
        </w:rPr>
        <w:t xml:space="preserve"> </w:t>
      </w:r>
      <w:r w:rsidRPr="001D257A">
        <w:rPr>
          <w:rFonts w:hint="cs"/>
          <w:rtl/>
        </w:rPr>
        <w:t>في</w:t>
      </w:r>
      <w:r w:rsidRPr="001D257A">
        <w:rPr>
          <w:rtl/>
        </w:rPr>
        <w:t xml:space="preserve"> </w:t>
      </w:r>
      <w:r w:rsidRPr="001D257A">
        <w:rPr>
          <w:rFonts w:hint="cs"/>
          <w:rtl/>
        </w:rPr>
        <w:t>الوقت</w:t>
      </w:r>
      <w:r w:rsidRPr="001D257A">
        <w:rPr>
          <w:rtl/>
        </w:rPr>
        <w:t xml:space="preserve"> </w:t>
      </w:r>
      <w:r w:rsidRPr="001D257A">
        <w:rPr>
          <w:rFonts w:hint="cs"/>
          <w:rtl/>
        </w:rPr>
        <w:t>المناسب</w:t>
      </w:r>
      <w:r w:rsidRPr="001D257A">
        <w:rPr>
          <w:rtl/>
        </w:rPr>
        <w:t xml:space="preserve"> </w:t>
      </w:r>
      <w:r w:rsidRPr="001D257A">
        <w:rPr>
          <w:rFonts w:hint="cs"/>
          <w:rtl/>
        </w:rPr>
        <w:t>وإشراك</w:t>
      </w:r>
      <w:r w:rsidRPr="001D257A">
        <w:rPr>
          <w:rtl/>
        </w:rPr>
        <w:t xml:space="preserve"> </w:t>
      </w:r>
      <w:r w:rsidRPr="001D257A">
        <w:rPr>
          <w:rFonts w:hint="cs"/>
          <w:rtl/>
        </w:rPr>
        <w:t>أصحاب</w:t>
      </w:r>
      <w:r w:rsidRPr="001D257A">
        <w:rPr>
          <w:rtl/>
        </w:rPr>
        <w:t xml:space="preserve"> </w:t>
      </w:r>
      <w:r w:rsidRPr="001D257A">
        <w:rPr>
          <w:rFonts w:hint="cs"/>
          <w:rtl/>
        </w:rPr>
        <w:t>العلاقة</w:t>
      </w:r>
      <w:r w:rsidRPr="001D257A">
        <w:rPr>
          <w:rtl/>
        </w:rPr>
        <w:t xml:space="preserve"> </w:t>
      </w:r>
      <w:r w:rsidRPr="001D257A">
        <w:rPr>
          <w:rFonts w:hint="cs"/>
          <w:rtl/>
        </w:rPr>
        <w:t>في</w:t>
      </w:r>
      <w:r w:rsidRPr="001D257A">
        <w:rPr>
          <w:rtl/>
        </w:rPr>
        <w:t xml:space="preserve"> </w:t>
      </w:r>
      <w:r w:rsidRPr="001D257A">
        <w:rPr>
          <w:rFonts w:hint="cs"/>
          <w:rtl/>
        </w:rPr>
        <w:t>القرارات</w:t>
      </w:r>
      <w:r w:rsidRPr="001D257A">
        <w:rPr>
          <w:rtl/>
        </w:rPr>
        <w:t xml:space="preserve"> </w:t>
      </w:r>
      <w:r w:rsidRPr="001D257A">
        <w:rPr>
          <w:rFonts w:hint="cs"/>
          <w:rtl/>
        </w:rPr>
        <w:t>الجوهرية</w:t>
      </w:r>
      <w:r w:rsidRPr="001D257A">
        <w:rPr>
          <w:rtl/>
        </w:rPr>
        <w:t xml:space="preserve"> </w:t>
      </w:r>
      <w:r w:rsidRPr="001D257A">
        <w:rPr>
          <w:rFonts w:hint="cs"/>
          <w:rtl/>
        </w:rPr>
        <w:t>بسرعة</w:t>
      </w:r>
      <w:r w:rsidRPr="001D257A">
        <w:rPr>
          <w:rtl/>
        </w:rPr>
        <w:t xml:space="preserve"> </w:t>
      </w:r>
      <w:r w:rsidRPr="001D257A">
        <w:rPr>
          <w:rFonts w:hint="cs"/>
          <w:rtl/>
        </w:rPr>
        <w:t>وكفاءة</w:t>
      </w:r>
      <w:r w:rsidRPr="001D257A">
        <w:rPr>
          <w:rtl/>
        </w:rPr>
        <w:t>.</w:t>
      </w:r>
    </w:p>
    <w:p w14:paraId="574C3AFC" w14:textId="77777777" w:rsidR="00000000" w:rsidRPr="001D257A" w:rsidRDefault="00000000" w:rsidP="00A26521">
      <w:pPr>
        <w:pStyle w:val="Heading2"/>
        <w:bidi/>
        <w:spacing w:after="200"/>
        <w:jc w:val="left"/>
        <w:rPr>
          <w:rFonts w:ascii="Simplified Arabic" w:hAnsi="Simplified Arabic" w:cs="Simplified Arabic" w:hint="eastAsia"/>
        </w:rPr>
      </w:pPr>
      <w:bookmarkStart w:id="13" w:name="_Toc225544148"/>
      <w:r w:rsidRPr="001D257A">
        <w:rPr>
          <w:rFonts w:ascii="Simplified Arabic" w:hAnsi="Simplified Arabic" w:cs="Simplified Arabic"/>
          <w:rtl/>
        </w:rPr>
        <w:t>سابعًا: النظرية العلمية المتبعة لإعداد البحث</w:t>
      </w:r>
      <w:bookmarkEnd w:id="13"/>
    </w:p>
    <w:p w14:paraId="227FC4BE" w14:textId="77777777" w:rsidR="00000000" w:rsidRPr="001D257A" w:rsidRDefault="00000000" w:rsidP="00A26521">
      <w:pPr>
        <w:bidi/>
        <w:spacing w:after="120" w:line="276" w:lineRule="auto"/>
        <w:ind w:firstLine="284"/>
        <w:jc w:val="left"/>
        <w:rPr>
          <w:rFonts w:hint="eastAsia"/>
        </w:rPr>
      </w:pPr>
      <w:r w:rsidRPr="001D257A">
        <w:rPr>
          <w:rtl/>
        </w:rPr>
        <w:t>تستند هذه الدراسة إلى مجموعة من الأسس النظرية والمفاهيمية الراسخة التي تُشكّل الإطار التفسيري للعلاقة بين تبنّي التحول الرقمي وكفاءة عمليات إدارة المشاريع. وقد تم اختيار هذه النظريات بعناية لتغطي الجوانب المختلفة لظاهرة التحول الرقمي من منظور الموارد المؤسسية والقدرات الديناميكية وعوامل قبول التكنولوجيا وانتشار الابتكارات وإدارة التغيير:</w:t>
      </w:r>
    </w:p>
    <w:p w14:paraId="1AAB75C8"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14" w:name="_Toc225544149"/>
      <w:r w:rsidRPr="001D257A">
        <w:rPr>
          <w:rFonts w:ascii="Simplified Arabic" w:hAnsi="Simplified Arabic" w:cs="Simplified Arabic"/>
          <w:rtl/>
        </w:rPr>
        <w:t>1. نظرية الموارد والقدرات (Resource-Based View - RBV)</w:t>
      </w:r>
      <w:bookmarkEnd w:id="14"/>
    </w:p>
    <w:p w14:paraId="3ED23B72" w14:textId="77777777" w:rsidR="00000000" w:rsidRPr="001D257A" w:rsidRDefault="00000000" w:rsidP="00A26521">
      <w:pPr>
        <w:bidi/>
        <w:spacing w:after="120" w:line="276" w:lineRule="auto"/>
        <w:ind w:firstLine="284"/>
        <w:jc w:val="left"/>
        <w:rPr>
          <w:rFonts w:hint="eastAsia"/>
        </w:rPr>
      </w:pPr>
      <w:r w:rsidRPr="001D257A">
        <w:rPr>
          <w:rtl/>
        </w:rPr>
        <w:t xml:space="preserve">تُعدّ نظرية الموارد والقدرات التي طوّرها Barney (1991) من أبرز الأطر النظرية المستخدمة في تفسير أثر التحول الرقمي على أداء المؤسسات وميزتها التنافسية. وتنطلق هذه النظرية من فرضية أساسية مفادها أن المؤسسات تحقق ميزة تنافسية مستدامة من خلال امتلاك وتوظيف موارد وقدرات نادرة وقيّمة وصعبة التقليد وغير قابلة للاستبدال. وفي سياق هذه الدراسة، تُعتبر التقنيات الرقمية ومنصات إدارة المشاريع والحلول السحابية وأدوات التحليلات والأتمتة وأنظمة التواصل موارد استراتيجية يمكن أن تمنح الشركة الناشئة ميزة تنافسية مستدامة إذا تم توظيفها بفاعلية وتكاملها مع العمليات التنظيمية الأخرى. وفي بيئة الشركات الناشئة ذات الموارد البشرية </w:t>
      </w:r>
      <w:r w:rsidRPr="001D257A">
        <w:rPr>
          <w:rtl/>
        </w:rPr>
        <w:lastRenderedPageBreak/>
        <w:t>والمالية المحدودة، تمثل هذه الموارد الرقمية أداة استراتيجية لتعويض محدودية الموارد التقليدية من خلال رفع كفاءة العمليات وتقليل الهدر وتعظيم الإنتاجية بموارد أقل (Chen et al., 2023; Westerman et al., 2014).</w:t>
      </w:r>
    </w:p>
    <w:p w14:paraId="223F4A53"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15" w:name="_Toc225544150"/>
      <w:r w:rsidRPr="001D257A">
        <w:rPr>
          <w:rFonts w:ascii="Simplified Arabic" w:hAnsi="Simplified Arabic" w:cs="Simplified Arabic"/>
          <w:rtl/>
        </w:rPr>
        <w:t>2. نظرية القدرات الديناميكية (Dynamic Capabilities Framework)</w:t>
      </w:r>
      <w:bookmarkEnd w:id="15"/>
    </w:p>
    <w:p w14:paraId="711317AF" w14:textId="77777777" w:rsidR="00000000" w:rsidRPr="001D257A" w:rsidRDefault="00000000" w:rsidP="00A26521">
      <w:pPr>
        <w:bidi/>
        <w:spacing w:after="120" w:line="276" w:lineRule="auto"/>
        <w:ind w:firstLine="284"/>
        <w:jc w:val="left"/>
        <w:rPr>
          <w:rFonts w:hint="eastAsia"/>
        </w:rPr>
      </w:pPr>
      <w:r w:rsidRPr="001D257A">
        <w:rPr>
          <w:rtl/>
        </w:rPr>
        <w:t>تركز هذه النظرية التي طوّرها Teece وآخرون (1997) على قدرة المؤسسات على إعادة تشكيل وتجديد مواردها وقدراتها الداخلية استجابة للتغيرات المتسارعة في البيئة المحيطة. ويُعتبر التحول الرقمي أحد أبرز تجليات القدرات الديناميكية في العصر الحديث، حيث يتطلب من المؤسسات تطوير قدرات جديدة ومبتكرة في مجالات التخطيط الرقمي والتحليل المتقدم والتواصل الافتراضي واتخاذ القرار المبني على البيانات. وفي سياق الشركات الناشئة، تكتسب هذه النظرية أهمية خاصة لأن هذه الشركات تعمل في بيئات عالية الديناميكية وسريعة التغيّر، ما يجعل قدرتها على التكيف الرقمي السريع عاملًا حاسمًا في نجاحها واستمرارها. وقد أشارت دراسة IBIMA Publishing (2022) إلى أن نجاح مشاريع التحول الرقمي يرتبط ارتباطًا وثيقًا بقدرة المؤسسة على تطوير قدرات إدارية وتنظيمية جديدة تتناسب مع المتطلبات الرقمية المتطورة.</w:t>
      </w:r>
    </w:p>
    <w:p w14:paraId="048083FF"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16" w:name="_Toc225544151"/>
      <w:r w:rsidRPr="001D257A">
        <w:rPr>
          <w:rFonts w:ascii="Simplified Arabic" w:hAnsi="Simplified Arabic" w:cs="Simplified Arabic"/>
          <w:rtl/>
        </w:rPr>
        <w:t>3. نموذج قبول التكنولوجيا (Technology Acceptance Model - TAM)</w:t>
      </w:r>
      <w:bookmarkEnd w:id="16"/>
    </w:p>
    <w:p w14:paraId="51548502" w14:textId="77777777" w:rsidR="00000000" w:rsidRPr="001D257A" w:rsidRDefault="00000000" w:rsidP="00A26521">
      <w:pPr>
        <w:bidi/>
        <w:spacing w:after="120" w:line="276" w:lineRule="auto"/>
        <w:ind w:firstLine="284"/>
        <w:jc w:val="left"/>
        <w:rPr>
          <w:rFonts w:hint="eastAsia"/>
        </w:rPr>
      </w:pPr>
      <w:r w:rsidRPr="001D257A">
        <w:rPr>
          <w:rtl/>
        </w:rPr>
        <w:t>يُفسر نموذج قبول التكنولوجيا الذي طوّره Davis (1989) العوامل المؤثرة في تبنّي الأفراد والمؤسسات للتقنيات الجديدة، ويركز على بُعدين رئيسيين هما: الفائدة المُدركة (Perceived Usefulness) أي مدى اعتقاد المستخدم بأن التقنية ستحسّن أداءه الوظيفي، وسهولة الاستخدام المُدركة (Perceived Ease of Use) أي مدى اعتقاد المستخدم بأن استخدام التقنية سيكون خاليًا من الجهد والتعقيد. ويُعد هذا النموذج مناسبًا لهذه الدراسة لأنه يُفسّر لماذا تنجح بعض الشركات الناشئة في تبنّي الأدوات الرقمية بينما تتعثر أخرى، إذ أن مستوى إدراك العاملين لفائدة وسهولة استخدام هذه الأدوات يؤثر بشكل مباشر في مدى تبنّيهم لها وانعكاس ذلك على كفاءة العمليات. وقد استُخدم هذا النموذج في دراسة Afridi وآخرين (2023) لتفسير أثر أدوات التواصل الرقمي على كفاءة المشاريع، حيث أظهرت النتائج أن سهولة استخدام الأدوات الرقمية ودعم الإدارة العليا يعززان من تأثيرها الإيجابي على أداء المشاريع.</w:t>
      </w:r>
    </w:p>
    <w:p w14:paraId="327F807C"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17" w:name="_Toc225544152"/>
      <w:r w:rsidRPr="001D257A">
        <w:rPr>
          <w:rFonts w:ascii="Simplified Arabic" w:hAnsi="Simplified Arabic" w:cs="Simplified Arabic"/>
          <w:rtl/>
        </w:rPr>
        <w:t>4. نظرية انتشار الابتكارات (Diffusion of Innovations - DOI)</w:t>
      </w:r>
      <w:bookmarkEnd w:id="17"/>
    </w:p>
    <w:p w14:paraId="6070D7F5" w14:textId="77777777" w:rsidR="00000000" w:rsidRPr="001D257A" w:rsidRDefault="00000000" w:rsidP="00A26521">
      <w:pPr>
        <w:bidi/>
        <w:spacing w:after="120" w:line="276" w:lineRule="auto"/>
        <w:ind w:firstLine="284"/>
        <w:jc w:val="left"/>
        <w:rPr>
          <w:rFonts w:hint="eastAsia"/>
        </w:rPr>
      </w:pPr>
      <w:r w:rsidRPr="001D257A">
        <w:rPr>
          <w:rtl/>
        </w:rPr>
        <w:t>تُقدّم نظرية انتشار الابتكارات التي طوّرها Rogers (1962) إطارًا نظريًا لفهم كيفية انتشار الابتكارات التكنولوجية الجديدة عبر المجتمعات والمؤسسات بمرور الوقت. وتحدد النظرية خمس فئات من المتبنّين: المبتكرون، والمتبنّون الأوائل، والأغلبية المبكرة، والأغلبية المتأخرة، والمتأخرون. كما تحدد خمس خصائص للابتكار تؤثر في سرعة انتشاره وتبنّيه: الميزة النسبية، والتوافق مع القيم والممارسات القائمة، ودرجة التعقيد، وقابلية التجريب، وقابلية الملاحظة. وفي سياق هذه الدراسة، تُساعد نظرية انتشار الابتكارات في فهم تفاوت مستويات تبنّي التحول الرقمي بين الشركات الناشئة، وتُفسّر لماذا تتبنّى بعض الشركات الأدوات الرقمية المتقدمة بسرعة بينما تتأخر أخرى، وكيف تؤثر خصائص التقنيات الرقمية ذاتها في سرعة وعمق تبنّيها في بيئة المشاريع (Rogers, 2016).</w:t>
      </w:r>
    </w:p>
    <w:p w14:paraId="6419B3B5"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18" w:name="_Toc225544153"/>
      <w:r w:rsidRPr="001D257A">
        <w:rPr>
          <w:rFonts w:ascii="Simplified Arabic" w:hAnsi="Simplified Arabic" w:cs="Simplified Arabic"/>
          <w:rtl/>
        </w:rPr>
        <w:t>5. إطار إدارة التغيير (Change Management Framework)</w:t>
      </w:r>
      <w:bookmarkEnd w:id="18"/>
    </w:p>
    <w:p w14:paraId="49102190" w14:textId="77777777" w:rsidR="00000000" w:rsidRPr="001D257A" w:rsidRDefault="00000000" w:rsidP="00A26521">
      <w:pPr>
        <w:bidi/>
        <w:spacing w:after="120" w:line="276" w:lineRule="auto"/>
        <w:ind w:firstLine="284"/>
        <w:jc w:val="left"/>
        <w:rPr>
          <w:rFonts w:hint="eastAsia"/>
        </w:rPr>
      </w:pPr>
      <w:r w:rsidRPr="001D257A">
        <w:rPr>
          <w:rtl/>
        </w:rPr>
        <w:t xml:space="preserve">نظرًا لأن التحول الرقمي يتضمن تغييرات جوهرية وعميقة في أساليب العمل والعمليات التنظيمية والثقافة المؤسسية، فإن إطار إدارة التغيير يمثل ركيزة نظرية مهمة وضرورية لفهم نجاح أو إخفاق مشاريع التحول الرقمي في بيئة الشركات الناشئة. ويؤكد هذا الإطار على أن التغيير التنظيمي الناجح يتطلب إعدادًا مسبقًا يشمل تهيئة العاملين وتدريبهم وتوفير الدعم الإداري والفني اللازم وإدارة المقاومة للتغيير بشكل استباقي. وقد أكدت دراسة Change Management and DT (2023) أن إدارة التغيير الفعالة تعمل </w:t>
      </w:r>
      <w:r w:rsidRPr="001D257A">
        <w:rPr>
          <w:rtl/>
        </w:rPr>
        <w:lastRenderedPageBreak/>
        <w:t>بوصفها متغيرًا وسيطًا يعزز العلاقة بين التحول الرقمي وكفاءة إدارة المشاريع، وأن غياب إدارة التغيير المدروسة قد يُبطل الفوائد المتوقعة من التحول الرقمي أو يُقلّلها بشكل كبير.</w:t>
      </w:r>
    </w:p>
    <w:p w14:paraId="0AE45FFE" w14:textId="77777777" w:rsidR="00000000" w:rsidRPr="001D257A" w:rsidRDefault="00000000" w:rsidP="00A26521">
      <w:pPr>
        <w:pStyle w:val="Heading2"/>
        <w:bidi/>
        <w:spacing w:after="200"/>
        <w:jc w:val="left"/>
        <w:rPr>
          <w:rFonts w:ascii="Simplified Arabic" w:hAnsi="Simplified Arabic" w:cs="Simplified Arabic" w:hint="eastAsia"/>
        </w:rPr>
      </w:pPr>
      <w:bookmarkStart w:id="19" w:name="_Toc225544154"/>
      <w:r w:rsidRPr="001D257A">
        <w:rPr>
          <w:rFonts w:ascii="Simplified Arabic" w:hAnsi="Simplified Arabic" w:cs="Simplified Arabic"/>
          <w:rtl/>
        </w:rPr>
        <w:t>ثامنًا: نموذج الدراسة المفاهيمي</w:t>
      </w:r>
      <w:bookmarkEnd w:id="19"/>
    </w:p>
    <w:p w14:paraId="76433C1B" w14:textId="77777777" w:rsidR="00000000" w:rsidRPr="001D257A" w:rsidRDefault="00000000" w:rsidP="00A26521">
      <w:pPr>
        <w:bidi/>
        <w:spacing w:after="120" w:line="276" w:lineRule="auto"/>
        <w:ind w:firstLine="284"/>
        <w:jc w:val="left"/>
        <w:rPr>
          <w:rFonts w:hint="eastAsia"/>
        </w:rPr>
      </w:pPr>
      <w:r w:rsidRPr="001D257A">
        <w:rPr>
          <w:rtl/>
        </w:rPr>
        <w:t>بناءً على الإطار النظري المتعدد الأبعاد والمراجعة الشاملة للأدبيات والدراسات السابقة، تم بناء النموذج المفاهيمي لهذه الدراسة الذي يُحدّد العلاقة المفترضة بين المتغير المستقل (تبنّي التحول الرقمي) بأبعاده الخمسة والمتغير التابع (كفاءة عمليات إدارة المشاريع) بأبعاده الخمسة. ويفترض هذا النموذج وجود أثر مباشر وإيجابي لتبنّي التحول الرقمي على كفاءة عمليات إدارة المشاريع، حيث يُتوقع أن يؤثر كل بُعد من أبعاد التحول الرقمي في البُعد المقابل له من أبعاد الكفاءة، إضافة إلى وجود تأثير كلي للتحول الرقمي ككل على كفاءة إدارة المشاريع ككل.</w:t>
      </w:r>
    </w:p>
    <w:p w14:paraId="0C65D7CA" w14:textId="77777777" w:rsidR="00000000" w:rsidRPr="001D257A" w:rsidRDefault="00000000" w:rsidP="00A26521">
      <w:pPr>
        <w:bidi/>
        <w:spacing w:after="120" w:line="276" w:lineRule="auto"/>
        <w:ind w:firstLine="284"/>
        <w:jc w:val="left"/>
        <w:rPr>
          <w:rFonts w:hint="eastAsia"/>
        </w:rPr>
      </w:pPr>
      <w:r w:rsidRPr="001D257A">
        <w:rPr>
          <w:rtl/>
        </w:rPr>
        <w:t>ويتضمن الجدول التالي توضيحًا لعناصر النموذج والعلاقات المفترضة بين الأبعاد:</w:t>
      </w:r>
    </w:p>
    <w:p w14:paraId="3A141D26" w14:textId="77777777" w:rsidR="00000000" w:rsidRPr="001D257A" w:rsidRDefault="00000000" w:rsidP="00A26521">
      <w:pPr>
        <w:bidi/>
        <w:spacing w:before="200" w:after="120"/>
        <w:jc w:val="left"/>
        <w:rPr>
          <w:rFonts w:hint="eastAsia"/>
        </w:rPr>
      </w:pPr>
      <w:r w:rsidRPr="001D257A">
        <w:rPr>
          <w:b/>
          <w:bCs/>
          <w:sz w:val="26"/>
          <w:szCs w:val="26"/>
          <w:rtl/>
        </w:rPr>
        <w:t>جدول 1-1: الإطار المفاهيمي للمتغيرات والأبعاد</w:t>
      </w:r>
    </w:p>
    <w:tbl>
      <w:tblPr>
        <w:bidiVisual/>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3000"/>
        <w:gridCol w:w="3000"/>
        <w:gridCol w:w="1571"/>
      </w:tblGrid>
      <w:tr w:rsidR="003D0797" w:rsidRPr="001D257A" w14:paraId="4D985026" w14:textId="77777777" w:rsidTr="004321CC">
        <w:tc>
          <w:tcPr>
            <w:tcW w:w="1500" w:type="dxa"/>
            <w:tcBorders>
              <w:top w:val="single" w:sz="1" w:space="0" w:color="000000"/>
              <w:left w:val="single" w:sz="1" w:space="0" w:color="000000"/>
              <w:bottom w:val="single" w:sz="1" w:space="0" w:color="000000"/>
              <w:right w:val="single" w:sz="1" w:space="0" w:color="000000"/>
            </w:tcBorders>
            <w:shd w:val="clear" w:color="auto" w:fill="D9E2F3"/>
            <w:tcMar>
              <w:top w:w="40" w:type="dxa"/>
              <w:left w:w="60" w:type="dxa"/>
              <w:bottom w:w="40" w:type="dxa"/>
              <w:right w:w="60" w:type="dxa"/>
            </w:tcMar>
            <w:vAlign w:val="center"/>
          </w:tcPr>
          <w:p w14:paraId="30AF208F" w14:textId="77777777" w:rsidR="00000000" w:rsidRPr="001D257A" w:rsidRDefault="00000000" w:rsidP="00A26521">
            <w:pPr>
              <w:bidi/>
              <w:jc w:val="left"/>
              <w:rPr>
                <w:rFonts w:hint="eastAsia"/>
              </w:rPr>
            </w:pPr>
            <w:r w:rsidRPr="001D257A">
              <w:rPr>
                <w:b/>
                <w:bCs/>
                <w:sz w:val="24"/>
                <w:szCs w:val="24"/>
                <w:rtl/>
              </w:rPr>
              <w:t>الفرضية</w:t>
            </w:r>
          </w:p>
        </w:tc>
        <w:tc>
          <w:tcPr>
            <w:tcW w:w="3000" w:type="dxa"/>
            <w:tcBorders>
              <w:top w:val="single" w:sz="1" w:space="0" w:color="000000"/>
              <w:left w:val="single" w:sz="1" w:space="0" w:color="000000"/>
              <w:bottom w:val="single" w:sz="1" w:space="0" w:color="000000"/>
              <w:right w:val="single" w:sz="1" w:space="0" w:color="000000"/>
            </w:tcBorders>
            <w:shd w:val="clear" w:color="auto" w:fill="D9E2F3"/>
            <w:tcMar>
              <w:top w:w="40" w:type="dxa"/>
              <w:left w:w="60" w:type="dxa"/>
              <w:bottom w:w="40" w:type="dxa"/>
              <w:right w:w="60" w:type="dxa"/>
            </w:tcMar>
            <w:vAlign w:val="center"/>
          </w:tcPr>
          <w:p w14:paraId="4980DB0D" w14:textId="77777777" w:rsidR="00000000" w:rsidRPr="001D257A" w:rsidRDefault="00000000" w:rsidP="00A26521">
            <w:pPr>
              <w:bidi/>
              <w:jc w:val="left"/>
              <w:rPr>
                <w:rFonts w:hint="eastAsia"/>
              </w:rPr>
            </w:pPr>
            <w:r w:rsidRPr="001D257A">
              <w:rPr>
                <w:b/>
                <w:bCs/>
                <w:sz w:val="24"/>
                <w:szCs w:val="24"/>
                <w:rtl/>
              </w:rPr>
              <w:t>بُعد التحول الرقمي (المستقل)</w:t>
            </w:r>
          </w:p>
        </w:tc>
        <w:tc>
          <w:tcPr>
            <w:tcW w:w="3000" w:type="dxa"/>
            <w:tcBorders>
              <w:top w:val="single" w:sz="1" w:space="0" w:color="000000"/>
              <w:left w:val="single" w:sz="1" w:space="0" w:color="000000"/>
              <w:bottom w:val="single" w:sz="1" w:space="0" w:color="000000"/>
              <w:right w:val="single" w:sz="1" w:space="0" w:color="000000"/>
            </w:tcBorders>
            <w:shd w:val="clear" w:color="auto" w:fill="D9E2F3"/>
            <w:tcMar>
              <w:top w:w="40" w:type="dxa"/>
              <w:left w:w="60" w:type="dxa"/>
              <w:bottom w:w="40" w:type="dxa"/>
              <w:right w:w="60" w:type="dxa"/>
            </w:tcMar>
            <w:vAlign w:val="center"/>
          </w:tcPr>
          <w:p w14:paraId="6F60580A" w14:textId="77777777" w:rsidR="00000000" w:rsidRPr="001D257A" w:rsidRDefault="00000000" w:rsidP="00A26521">
            <w:pPr>
              <w:bidi/>
              <w:jc w:val="left"/>
              <w:rPr>
                <w:rFonts w:hint="eastAsia"/>
              </w:rPr>
            </w:pPr>
            <w:r w:rsidRPr="001D257A">
              <w:rPr>
                <w:b/>
                <w:bCs/>
                <w:sz w:val="24"/>
                <w:szCs w:val="24"/>
                <w:rtl/>
              </w:rPr>
              <w:t>بُعد الكفاءة (التابع)</w:t>
            </w:r>
          </w:p>
        </w:tc>
        <w:tc>
          <w:tcPr>
            <w:tcW w:w="1571" w:type="dxa"/>
            <w:tcBorders>
              <w:top w:val="single" w:sz="1" w:space="0" w:color="000000"/>
              <w:left w:val="single" w:sz="1" w:space="0" w:color="000000"/>
              <w:bottom w:val="single" w:sz="1" w:space="0" w:color="000000"/>
              <w:right w:val="single" w:sz="1" w:space="0" w:color="000000"/>
            </w:tcBorders>
            <w:shd w:val="clear" w:color="auto" w:fill="D9E2F3"/>
            <w:tcMar>
              <w:top w:w="40" w:type="dxa"/>
              <w:left w:w="60" w:type="dxa"/>
              <w:bottom w:w="40" w:type="dxa"/>
              <w:right w:w="60" w:type="dxa"/>
            </w:tcMar>
            <w:vAlign w:val="center"/>
          </w:tcPr>
          <w:p w14:paraId="5E1E5B10" w14:textId="77777777" w:rsidR="00000000" w:rsidRPr="001D257A" w:rsidRDefault="00000000" w:rsidP="00A26521">
            <w:pPr>
              <w:bidi/>
              <w:jc w:val="left"/>
              <w:rPr>
                <w:rFonts w:hint="eastAsia"/>
              </w:rPr>
            </w:pPr>
            <w:r w:rsidRPr="001D257A">
              <w:rPr>
                <w:b/>
                <w:bCs/>
                <w:sz w:val="24"/>
                <w:szCs w:val="24"/>
                <w:rtl/>
              </w:rPr>
              <w:t>العلاقة</w:t>
            </w:r>
          </w:p>
        </w:tc>
      </w:tr>
      <w:tr w:rsidR="003D0797" w:rsidRPr="001D257A" w14:paraId="119EA3BE" w14:textId="77777777" w:rsidTr="004321C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747ABC0" w14:textId="77777777" w:rsidR="00000000" w:rsidRPr="001D257A" w:rsidRDefault="00000000" w:rsidP="00A26521">
            <w:pPr>
              <w:bidi/>
              <w:jc w:val="left"/>
              <w:rPr>
                <w:rFonts w:hint="eastAsia"/>
              </w:rPr>
            </w:pPr>
            <w:r w:rsidRPr="001D257A">
              <w:rPr>
                <w:sz w:val="24"/>
                <w:szCs w:val="24"/>
                <w:rtl/>
              </w:rPr>
              <w:t>H1a</w:t>
            </w:r>
          </w:p>
        </w:tc>
        <w:tc>
          <w:tcPr>
            <w:tcW w:w="3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394DECF" w14:textId="77777777" w:rsidR="00000000" w:rsidRPr="001D257A" w:rsidRDefault="00000000" w:rsidP="00A26521">
            <w:pPr>
              <w:bidi/>
              <w:jc w:val="left"/>
              <w:rPr>
                <w:rFonts w:hint="eastAsia"/>
              </w:rPr>
            </w:pPr>
            <w:r w:rsidRPr="001D257A">
              <w:rPr>
                <w:sz w:val="24"/>
                <w:szCs w:val="24"/>
                <w:rtl/>
              </w:rPr>
              <w:t>منصات إدارة المشاريع الرقمية</w:t>
            </w:r>
          </w:p>
        </w:tc>
        <w:tc>
          <w:tcPr>
            <w:tcW w:w="3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13480EB" w14:textId="77777777" w:rsidR="00000000" w:rsidRPr="001D257A" w:rsidRDefault="00000000" w:rsidP="00A26521">
            <w:pPr>
              <w:bidi/>
              <w:jc w:val="left"/>
              <w:rPr>
                <w:rFonts w:hint="eastAsia"/>
              </w:rPr>
            </w:pPr>
            <w:r w:rsidRPr="001D257A">
              <w:rPr>
                <w:sz w:val="24"/>
                <w:szCs w:val="24"/>
                <w:rtl/>
              </w:rPr>
              <w:t>سرعة إنجاز المشاريع</w:t>
            </w:r>
          </w:p>
        </w:tc>
        <w:tc>
          <w:tcPr>
            <w:tcW w:w="15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642896C" w14:textId="77777777" w:rsidR="00000000" w:rsidRPr="001D257A" w:rsidRDefault="00000000" w:rsidP="00A26521">
            <w:pPr>
              <w:bidi/>
              <w:jc w:val="left"/>
              <w:rPr>
                <w:rFonts w:hint="eastAsia"/>
              </w:rPr>
            </w:pPr>
            <w:r w:rsidRPr="001D257A">
              <w:rPr>
                <w:sz w:val="24"/>
                <w:szCs w:val="24"/>
                <w:rtl/>
              </w:rPr>
              <w:t>أثر إيجابي</w:t>
            </w:r>
          </w:p>
        </w:tc>
      </w:tr>
      <w:tr w:rsidR="003D0797" w:rsidRPr="001D257A" w14:paraId="66EF0674" w14:textId="77777777" w:rsidTr="004321C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DFC69A6" w14:textId="77777777" w:rsidR="00000000" w:rsidRPr="001D257A" w:rsidRDefault="00000000" w:rsidP="00A26521">
            <w:pPr>
              <w:bidi/>
              <w:jc w:val="left"/>
              <w:rPr>
                <w:rFonts w:hint="eastAsia"/>
              </w:rPr>
            </w:pPr>
            <w:r w:rsidRPr="001D257A">
              <w:rPr>
                <w:sz w:val="24"/>
                <w:szCs w:val="24"/>
                <w:rtl/>
              </w:rPr>
              <w:t>H1b</w:t>
            </w:r>
          </w:p>
        </w:tc>
        <w:tc>
          <w:tcPr>
            <w:tcW w:w="3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76DAC92" w14:textId="77777777" w:rsidR="00000000" w:rsidRPr="001D257A" w:rsidRDefault="00000000" w:rsidP="00A26521">
            <w:pPr>
              <w:bidi/>
              <w:jc w:val="left"/>
              <w:rPr>
                <w:rFonts w:hint="eastAsia"/>
              </w:rPr>
            </w:pPr>
            <w:r w:rsidRPr="001D257A">
              <w:rPr>
                <w:sz w:val="24"/>
                <w:szCs w:val="24"/>
                <w:rtl/>
              </w:rPr>
              <w:t>الأتمتة في العمليات</w:t>
            </w:r>
          </w:p>
        </w:tc>
        <w:tc>
          <w:tcPr>
            <w:tcW w:w="3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5821769" w14:textId="77777777" w:rsidR="00000000" w:rsidRPr="001D257A" w:rsidRDefault="00000000" w:rsidP="00A26521">
            <w:pPr>
              <w:bidi/>
              <w:jc w:val="left"/>
              <w:rPr>
                <w:rFonts w:hint="eastAsia"/>
              </w:rPr>
            </w:pPr>
            <w:r w:rsidRPr="001D257A">
              <w:rPr>
                <w:sz w:val="24"/>
                <w:szCs w:val="24"/>
                <w:rtl/>
              </w:rPr>
              <w:t>جودة تنفيذ المشاريع</w:t>
            </w:r>
          </w:p>
        </w:tc>
        <w:tc>
          <w:tcPr>
            <w:tcW w:w="15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AC8DDBA" w14:textId="77777777" w:rsidR="00000000" w:rsidRPr="001D257A" w:rsidRDefault="00000000" w:rsidP="00A26521">
            <w:pPr>
              <w:bidi/>
              <w:jc w:val="left"/>
              <w:rPr>
                <w:rFonts w:hint="eastAsia"/>
              </w:rPr>
            </w:pPr>
            <w:r w:rsidRPr="001D257A">
              <w:rPr>
                <w:sz w:val="24"/>
                <w:szCs w:val="24"/>
                <w:rtl/>
              </w:rPr>
              <w:t>أثر إيجابي</w:t>
            </w:r>
          </w:p>
        </w:tc>
      </w:tr>
      <w:tr w:rsidR="003D0797" w:rsidRPr="001D257A" w14:paraId="2E9CD30D" w14:textId="77777777" w:rsidTr="004321C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7AD780D4" w14:textId="77777777" w:rsidR="00000000" w:rsidRPr="001D257A" w:rsidRDefault="00000000" w:rsidP="00A26521">
            <w:pPr>
              <w:bidi/>
              <w:jc w:val="left"/>
              <w:rPr>
                <w:rFonts w:hint="eastAsia"/>
              </w:rPr>
            </w:pPr>
            <w:r w:rsidRPr="001D257A">
              <w:rPr>
                <w:sz w:val="24"/>
                <w:szCs w:val="24"/>
                <w:rtl/>
              </w:rPr>
              <w:t>H1c</w:t>
            </w:r>
          </w:p>
        </w:tc>
        <w:tc>
          <w:tcPr>
            <w:tcW w:w="3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8764C69" w14:textId="77777777" w:rsidR="00000000" w:rsidRPr="001D257A" w:rsidRDefault="00000000" w:rsidP="00A26521">
            <w:pPr>
              <w:bidi/>
              <w:jc w:val="left"/>
              <w:rPr>
                <w:rFonts w:hint="eastAsia"/>
              </w:rPr>
            </w:pPr>
            <w:r w:rsidRPr="001D257A">
              <w:rPr>
                <w:sz w:val="24"/>
                <w:szCs w:val="24"/>
                <w:rtl/>
              </w:rPr>
              <w:t>الحلول السحابية</w:t>
            </w:r>
          </w:p>
        </w:tc>
        <w:tc>
          <w:tcPr>
            <w:tcW w:w="3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D5E3AAD" w14:textId="77777777" w:rsidR="00000000" w:rsidRPr="001D257A" w:rsidRDefault="00000000" w:rsidP="00A26521">
            <w:pPr>
              <w:bidi/>
              <w:jc w:val="left"/>
              <w:rPr>
                <w:rFonts w:hint="eastAsia"/>
              </w:rPr>
            </w:pPr>
            <w:r w:rsidRPr="001D257A">
              <w:rPr>
                <w:sz w:val="24"/>
                <w:szCs w:val="24"/>
                <w:rtl/>
              </w:rPr>
              <w:t>تقليل الأخطاء التشغيلية</w:t>
            </w:r>
          </w:p>
        </w:tc>
        <w:tc>
          <w:tcPr>
            <w:tcW w:w="15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2FDD338" w14:textId="77777777" w:rsidR="00000000" w:rsidRPr="001D257A" w:rsidRDefault="00000000" w:rsidP="00A26521">
            <w:pPr>
              <w:bidi/>
              <w:jc w:val="left"/>
              <w:rPr>
                <w:rFonts w:hint="eastAsia"/>
              </w:rPr>
            </w:pPr>
            <w:r w:rsidRPr="001D257A">
              <w:rPr>
                <w:sz w:val="24"/>
                <w:szCs w:val="24"/>
                <w:rtl/>
              </w:rPr>
              <w:t>أثر إيجابي</w:t>
            </w:r>
          </w:p>
        </w:tc>
      </w:tr>
      <w:tr w:rsidR="003D0797" w:rsidRPr="001D257A" w14:paraId="013725E7" w14:textId="77777777" w:rsidTr="004321C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1596D0B" w14:textId="77777777" w:rsidR="00000000" w:rsidRPr="001D257A" w:rsidRDefault="00000000" w:rsidP="00A26521">
            <w:pPr>
              <w:bidi/>
              <w:jc w:val="left"/>
              <w:rPr>
                <w:rFonts w:hint="eastAsia"/>
              </w:rPr>
            </w:pPr>
            <w:r w:rsidRPr="001D257A">
              <w:rPr>
                <w:sz w:val="24"/>
                <w:szCs w:val="24"/>
                <w:rtl/>
              </w:rPr>
              <w:t>H1d</w:t>
            </w:r>
          </w:p>
        </w:tc>
        <w:tc>
          <w:tcPr>
            <w:tcW w:w="3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EB9183C" w14:textId="77777777" w:rsidR="00000000" w:rsidRPr="001D257A" w:rsidRDefault="00000000" w:rsidP="00A26521">
            <w:pPr>
              <w:bidi/>
              <w:jc w:val="left"/>
              <w:rPr>
                <w:rFonts w:hint="eastAsia"/>
              </w:rPr>
            </w:pPr>
            <w:r w:rsidRPr="001D257A">
              <w:rPr>
                <w:sz w:val="24"/>
                <w:szCs w:val="24"/>
                <w:rtl/>
              </w:rPr>
              <w:t>تحليلات البيانات والذكاء الاصطناعي</w:t>
            </w:r>
          </w:p>
        </w:tc>
        <w:tc>
          <w:tcPr>
            <w:tcW w:w="3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DE39C73" w14:textId="77777777" w:rsidR="00000000" w:rsidRPr="001D257A" w:rsidRDefault="00000000" w:rsidP="00A26521">
            <w:pPr>
              <w:bidi/>
              <w:jc w:val="left"/>
              <w:rPr>
                <w:rFonts w:hint="eastAsia"/>
              </w:rPr>
            </w:pPr>
            <w:r w:rsidRPr="001D257A">
              <w:rPr>
                <w:sz w:val="24"/>
                <w:szCs w:val="24"/>
                <w:rtl/>
              </w:rPr>
              <w:t>فعالية التواصل وإدارة المهام</w:t>
            </w:r>
          </w:p>
        </w:tc>
        <w:tc>
          <w:tcPr>
            <w:tcW w:w="15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FF5BBEC" w14:textId="77777777" w:rsidR="00000000" w:rsidRPr="001D257A" w:rsidRDefault="00000000" w:rsidP="00A26521">
            <w:pPr>
              <w:bidi/>
              <w:jc w:val="left"/>
              <w:rPr>
                <w:rFonts w:hint="eastAsia"/>
              </w:rPr>
            </w:pPr>
            <w:r w:rsidRPr="001D257A">
              <w:rPr>
                <w:sz w:val="24"/>
                <w:szCs w:val="24"/>
                <w:rtl/>
              </w:rPr>
              <w:t>أثر إيجابي</w:t>
            </w:r>
          </w:p>
        </w:tc>
      </w:tr>
      <w:tr w:rsidR="003D0797" w:rsidRPr="001D257A" w14:paraId="65258E35" w14:textId="77777777" w:rsidTr="004321C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BB5C83D" w14:textId="77777777" w:rsidR="00000000" w:rsidRPr="001D257A" w:rsidRDefault="00000000" w:rsidP="00A26521">
            <w:pPr>
              <w:bidi/>
              <w:jc w:val="left"/>
              <w:rPr>
                <w:rFonts w:hint="eastAsia"/>
              </w:rPr>
            </w:pPr>
            <w:r w:rsidRPr="001D257A">
              <w:rPr>
                <w:sz w:val="24"/>
                <w:szCs w:val="24"/>
                <w:rtl/>
              </w:rPr>
              <w:t>H1e</w:t>
            </w:r>
          </w:p>
        </w:tc>
        <w:tc>
          <w:tcPr>
            <w:tcW w:w="3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7CFA447" w14:textId="77777777" w:rsidR="00000000" w:rsidRPr="001D257A" w:rsidRDefault="00000000" w:rsidP="00A26521">
            <w:pPr>
              <w:bidi/>
              <w:jc w:val="left"/>
              <w:rPr>
                <w:rFonts w:hint="eastAsia"/>
              </w:rPr>
            </w:pPr>
            <w:r w:rsidRPr="001D257A">
              <w:rPr>
                <w:sz w:val="24"/>
                <w:szCs w:val="24"/>
                <w:rtl/>
              </w:rPr>
              <w:t>أنظمة التواصل الرقمي</w:t>
            </w:r>
          </w:p>
        </w:tc>
        <w:tc>
          <w:tcPr>
            <w:tcW w:w="3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3DE0E1D" w14:textId="77777777" w:rsidR="00000000" w:rsidRPr="001D257A" w:rsidRDefault="00000000" w:rsidP="00A26521">
            <w:pPr>
              <w:bidi/>
              <w:jc w:val="left"/>
              <w:rPr>
                <w:rFonts w:hint="eastAsia"/>
              </w:rPr>
            </w:pPr>
            <w:r w:rsidRPr="001D257A">
              <w:rPr>
                <w:sz w:val="24"/>
                <w:szCs w:val="24"/>
                <w:rtl/>
              </w:rPr>
              <w:t>جودة اتخاذ القرار</w:t>
            </w:r>
          </w:p>
        </w:tc>
        <w:tc>
          <w:tcPr>
            <w:tcW w:w="15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78D02B99" w14:textId="77777777" w:rsidR="00000000" w:rsidRPr="001D257A" w:rsidRDefault="00000000" w:rsidP="00A26521">
            <w:pPr>
              <w:bidi/>
              <w:jc w:val="left"/>
              <w:rPr>
                <w:rFonts w:hint="eastAsia"/>
              </w:rPr>
            </w:pPr>
            <w:r w:rsidRPr="001D257A">
              <w:rPr>
                <w:sz w:val="24"/>
                <w:szCs w:val="24"/>
                <w:rtl/>
              </w:rPr>
              <w:t>أثر إيجابي</w:t>
            </w:r>
          </w:p>
        </w:tc>
      </w:tr>
    </w:tbl>
    <w:p w14:paraId="6CCD6A62" w14:textId="77777777" w:rsidR="00000000" w:rsidRPr="001D257A" w:rsidRDefault="00000000" w:rsidP="00A26521">
      <w:pPr>
        <w:pStyle w:val="Heading2"/>
        <w:bidi/>
        <w:spacing w:after="200"/>
        <w:jc w:val="left"/>
        <w:rPr>
          <w:rFonts w:ascii="Simplified Arabic" w:hAnsi="Simplified Arabic" w:cs="Simplified Arabic" w:hint="eastAsia"/>
        </w:rPr>
      </w:pPr>
      <w:bookmarkStart w:id="20" w:name="_Toc225544155"/>
      <w:r w:rsidRPr="001D257A">
        <w:rPr>
          <w:rFonts w:ascii="Simplified Arabic" w:hAnsi="Simplified Arabic" w:cs="Simplified Arabic"/>
          <w:rtl/>
        </w:rPr>
        <w:t>تاسعًا: حدود الدراسة</w:t>
      </w:r>
      <w:bookmarkEnd w:id="20"/>
    </w:p>
    <w:p w14:paraId="1F77175B" w14:textId="77777777" w:rsidR="00000000" w:rsidRPr="001D257A" w:rsidRDefault="00000000" w:rsidP="00A26521">
      <w:pPr>
        <w:bidi/>
        <w:spacing w:after="120" w:line="276" w:lineRule="auto"/>
        <w:ind w:firstLine="284"/>
        <w:jc w:val="left"/>
        <w:rPr>
          <w:rFonts w:hint="eastAsia"/>
        </w:rPr>
      </w:pPr>
      <w:r w:rsidRPr="001D257A">
        <w:rPr>
          <w:rtl/>
        </w:rPr>
        <w:t>الحدود الموضوعية: تتركز الدراسة على تحليل أثر تبنّي التحول الرقمي بأبعاده الخمسة (منصات إدارة المشاريع الرقمية، الأتمتة، الحلول السحابية، تحليلات البيانات والذكاء الاصطناعي، أنظمة التواصل الرقمي) على كفاءة عمليات إدارة المشاريع بأبعادها الخمسة (سرعة الإنجاز، جودة التنفيذ، تقليل الأخطاء التشغيلية، فعالية التواصل وإدارة المهام، جودة اتخاذ القرار). ولا تمتد الدراسة إلى دراسة الجوانب المالية التفصيلية مثل تحليل التكلفة والعائد للتحول الرقمي، أو الجوانب القانونية والتنظيمية، أو التأثيرات الاستراتيجية طويلة الأمد للمشاريع.</w:t>
      </w:r>
    </w:p>
    <w:p w14:paraId="36C7CB50" w14:textId="77777777" w:rsidR="00000000" w:rsidRPr="001D257A" w:rsidRDefault="00000000" w:rsidP="00A26521">
      <w:pPr>
        <w:bidi/>
        <w:spacing w:after="120" w:line="276" w:lineRule="auto"/>
        <w:ind w:firstLine="284"/>
        <w:jc w:val="left"/>
        <w:rPr>
          <w:rFonts w:hint="eastAsia"/>
        </w:rPr>
      </w:pPr>
      <w:r w:rsidRPr="001D257A">
        <w:rPr>
          <w:rtl/>
        </w:rPr>
        <w:t>الحدود المكانية: تقتصر الدراسة على الشركات الخدمية الناشئة العاملة في المملكة العربية السعودية والتي تدير مشاريع خدمية (تشغيلية، استشارية، تقنية أو رقمية) عبر فرق عمل داخلية. وبالتالي قد لا تكون نتائجها قابلة للتعميم بشكل كامل على شركات في قطاعات أخرى مثل الصناعة أو البناء والتشييد أو في سياقات جغرافية مختلفة.</w:t>
      </w:r>
    </w:p>
    <w:p w14:paraId="29CF79F4" w14:textId="77777777" w:rsidR="00000000" w:rsidRPr="001D257A" w:rsidRDefault="00000000" w:rsidP="00A26521">
      <w:pPr>
        <w:bidi/>
        <w:spacing w:after="120" w:line="276" w:lineRule="auto"/>
        <w:ind w:firstLine="284"/>
        <w:jc w:val="left"/>
        <w:rPr>
          <w:rFonts w:hint="eastAsia"/>
        </w:rPr>
      </w:pPr>
      <w:r w:rsidRPr="001D257A">
        <w:rPr>
          <w:rtl/>
        </w:rPr>
        <w:t>الحدود الزمانية: تم تنفيذ الدراسة وجمع بياناتها الميدانية خلال الفترة 2025، بما يعكس واقع التحول الرقمي في هذه المرحلة الزمنية المحددة. ونظرًا للتطور السريع والمتسارع في مجال التقنيات الرقمية، فإن النتائج تعبّر عن حالة معينة في لحظة زمنية محددة وقد تتغير مع مرور الوقت.</w:t>
      </w:r>
    </w:p>
    <w:p w14:paraId="178660D5" w14:textId="77777777" w:rsidR="00000000" w:rsidRPr="001D257A" w:rsidRDefault="00000000" w:rsidP="00A26521">
      <w:pPr>
        <w:bidi/>
        <w:spacing w:after="120" w:line="276" w:lineRule="auto"/>
        <w:ind w:firstLine="284"/>
        <w:jc w:val="left"/>
        <w:rPr>
          <w:rFonts w:hint="eastAsia"/>
        </w:rPr>
      </w:pPr>
      <w:r w:rsidRPr="001D257A">
        <w:rPr>
          <w:rtl/>
        </w:rPr>
        <w:lastRenderedPageBreak/>
        <w:t>الحدود البشرية: تنحصر عينة الدراسة في مديري المشاريع، وموظفي مكاتب إدارة المشاريع (PMO)، ومنسّقي المشاريع، وأفراد الفرق التشغيلية الذين يتعاملون مباشرة مع الأنظمة الرقمية داخل الشركات الخدمية الناشئة. ولا تشمل العينة العملاء أو الموردين أو أصحاب المصلحة الخارجيين.</w:t>
      </w:r>
    </w:p>
    <w:p w14:paraId="193D8108" w14:textId="77777777" w:rsidR="00000000" w:rsidRPr="001D257A" w:rsidRDefault="00000000" w:rsidP="00A26521">
      <w:pPr>
        <w:bidi/>
        <w:spacing w:after="120" w:line="276" w:lineRule="auto"/>
        <w:ind w:firstLine="284"/>
        <w:jc w:val="left"/>
        <w:rPr>
          <w:rFonts w:hint="eastAsia"/>
        </w:rPr>
      </w:pPr>
      <w:r w:rsidRPr="001D257A">
        <w:rPr>
          <w:rtl/>
        </w:rPr>
        <w:t>حدود الأداة: تعتمد الدراسة على الاستبانة الإلكترونية أداةً رئيسة لجمع البيانات، مما يعني أن النتائج تتأثر بمستوى صدق ودقة استجابات المشاركين وبتقديراتهم الذاتية لمستوى التحول الرقمي وكفاءة إدارة المشاريع في شركاتهم، وقد لا تعكس الواقع الفعلي بشكل كامل.</w:t>
      </w:r>
    </w:p>
    <w:p w14:paraId="678BC57A" w14:textId="77777777" w:rsidR="00000000" w:rsidRPr="001D257A" w:rsidRDefault="00000000" w:rsidP="00A26521">
      <w:pPr>
        <w:pStyle w:val="Heading2"/>
        <w:bidi/>
        <w:spacing w:after="200"/>
        <w:jc w:val="left"/>
        <w:rPr>
          <w:rFonts w:ascii="Simplified Arabic" w:hAnsi="Simplified Arabic" w:cs="Simplified Arabic" w:hint="eastAsia"/>
        </w:rPr>
      </w:pPr>
      <w:bookmarkStart w:id="21" w:name="_Toc225544156"/>
      <w:r w:rsidRPr="001D257A">
        <w:rPr>
          <w:rFonts w:ascii="Simplified Arabic" w:hAnsi="Simplified Arabic" w:cs="Simplified Arabic"/>
          <w:rtl/>
        </w:rPr>
        <w:t>عاشرًا: مصطلحات الدراسة الإجرائية</w:t>
      </w:r>
      <w:bookmarkEnd w:id="21"/>
    </w:p>
    <w:p w14:paraId="7823D4A6" w14:textId="77777777" w:rsidR="00000000" w:rsidRPr="001D257A" w:rsidRDefault="00000000" w:rsidP="00A26521">
      <w:pPr>
        <w:bidi/>
        <w:spacing w:after="120" w:line="276" w:lineRule="auto"/>
        <w:ind w:firstLine="284"/>
        <w:jc w:val="left"/>
        <w:rPr>
          <w:rFonts w:hint="eastAsia"/>
        </w:rPr>
      </w:pPr>
      <w:r w:rsidRPr="001D257A">
        <w:rPr>
          <w:b/>
          <w:bCs/>
          <w:rtl/>
        </w:rPr>
        <w:t xml:space="preserve">التحول الرقمي (Digital Transformation): </w:t>
      </w:r>
      <w:r w:rsidRPr="001D257A">
        <w:rPr>
          <w:rtl/>
        </w:rPr>
        <w:t>يُقصد به في هذه الدراسة عملية دمج واستخدام مجموعة متكاملة من التقنيات والأدوات الرقمية في عمليات إدارة المشاريع داخل الشركات الخدمية الناشئة في المملكة العربية السعودية، بما يشمل منصات إدارة المشاريع الرقمية وأدوات الأتمتة والحلول السحابية وتحليلات البيانات والذكاء الاصطناعي وأنظمة التواصل الرقمي. ويتضمن هذا التحول إعادة تصميم العمليات الإدارية والتشغيلية وتغيير طريقة العمل وآليات التخطيط والمتابعة واتخاذ القرار بما يتوافق مع متطلبات العصر الرقمي (Chen et al., 2023; Jendi, 2024; Schwab, 2016).</w:t>
      </w:r>
    </w:p>
    <w:p w14:paraId="11A1E3C3" w14:textId="77777777" w:rsidR="00000000" w:rsidRPr="001D257A" w:rsidRDefault="00000000" w:rsidP="00A26521">
      <w:pPr>
        <w:bidi/>
        <w:spacing w:after="120" w:line="276" w:lineRule="auto"/>
        <w:ind w:firstLine="284"/>
        <w:jc w:val="left"/>
        <w:rPr>
          <w:rFonts w:hint="eastAsia"/>
        </w:rPr>
      </w:pPr>
      <w:r w:rsidRPr="001D257A">
        <w:rPr>
          <w:b/>
          <w:bCs/>
          <w:rtl/>
        </w:rPr>
        <w:t xml:space="preserve">كفاءة عمليات إدارة المشاريع (Project Management Process Efficiency): </w:t>
      </w:r>
      <w:r w:rsidRPr="001D257A">
        <w:rPr>
          <w:rtl/>
        </w:rPr>
        <w:t>يُقصد بها قدرة الشركة الناشئة على تنفيذ مشاريعها ضمن الأُطر الزمنية والتكلفة المحددة وبجودة تلبي توقعات العملاء أو تفوقها، مع تقليل الأخطاء التشغيلية والهدر وتعزيز فعالية التواصل بين أعضاء الفريق وتحسين جودة اتخاذ القرار. ويُقاس هذا المتغير إجرائيًا من خلال خمسة أبعاد: سرعة الإنجاز، وجودة التنفيذ، وتقليل الأخطاء التشغيلية، وفعالية التواصل وإدارة المهام، وجودة اتخاذ القرار (PMI, 2021).</w:t>
      </w:r>
    </w:p>
    <w:p w14:paraId="0AAB6245" w14:textId="77777777" w:rsidR="00000000" w:rsidRPr="001D257A" w:rsidRDefault="00000000" w:rsidP="00A26521">
      <w:pPr>
        <w:bidi/>
        <w:spacing w:after="120" w:line="276" w:lineRule="auto"/>
        <w:ind w:firstLine="284"/>
        <w:jc w:val="left"/>
        <w:rPr>
          <w:rFonts w:hint="eastAsia"/>
        </w:rPr>
      </w:pPr>
      <w:r w:rsidRPr="001D257A">
        <w:rPr>
          <w:b/>
          <w:bCs/>
          <w:rtl/>
        </w:rPr>
        <w:t xml:space="preserve">الشركات الخدمية الناشئة (Service-Based Startups): </w:t>
      </w:r>
      <w:r w:rsidRPr="001D257A">
        <w:rPr>
          <w:rtl/>
        </w:rPr>
        <w:t>يُقصد بها الشركات التي تقدّم خدمات (تشغيلية أو استشارية أو تقنية أو رقمية أو غيرها) وتعتمد على نماذج أعمال ناشئة ومبتكرة وفرق عمل صغيرة نسبيًا، وتعمل في مراحل نمو مبكرة أو متوسطة ضمن السوق السعودي. وتشمل الشركات التي يقل عمرها التشغيلي عادة عن عشر سنوات ويتراوح حجم موظفيها بين أقل من عشرة إلى 250 موظفًا.</w:t>
      </w:r>
    </w:p>
    <w:p w14:paraId="6BE5ADE8" w14:textId="77777777" w:rsidR="00000000" w:rsidRPr="001D257A" w:rsidRDefault="00000000" w:rsidP="00A26521">
      <w:pPr>
        <w:bidi/>
        <w:spacing w:after="120" w:line="276" w:lineRule="auto"/>
        <w:ind w:firstLine="284"/>
        <w:jc w:val="left"/>
        <w:rPr>
          <w:rFonts w:hint="eastAsia"/>
        </w:rPr>
      </w:pPr>
      <w:r w:rsidRPr="001D257A">
        <w:rPr>
          <w:b/>
          <w:bCs/>
          <w:rtl/>
        </w:rPr>
        <w:t xml:space="preserve">منصات إدارة المشاريع الرقمية (Digital PM Platforms): </w:t>
      </w:r>
      <w:r w:rsidRPr="001D257A">
        <w:rPr>
          <w:rtl/>
        </w:rPr>
        <w:t>يُقصد بها الأنظمة والتطبيقات البرمجية المتكاملة التي تُستخدم في تخطيط المشاريع وتوزيع المهام وجدولتها ومتابعة تقدمها وإدارة المخاطر والموارد وإصدار التقارير الدورية، مثل Jira وAsana وTrello وMonday.com وMicrosoft Project وBasecamp وغيرها.</w:t>
      </w:r>
    </w:p>
    <w:p w14:paraId="654D8A00" w14:textId="77777777" w:rsidR="00000000" w:rsidRPr="001D257A" w:rsidRDefault="00000000" w:rsidP="00A26521">
      <w:pPr>
        <w:bidi/>
        <w:spacing w:after="120" w:line="276" w:lineRule="auto"/>
        <w:ind w:firstLine="284"/>
        <w:jc w:val="left"/>
        <w:rPr>
          <w:rFonts w:hint="eastAsia"/>
        </w:rPr>
      </w:pPr>
      <w:r w:rsidRPr="001D257A">
        <w:rPr>
          <w:b/>
          <w:bCs/>
          <w:rtl/>
        </w:rPr>
        <w:t xml:space="preserve">الأتمتة (Automation): </w:t>
      </w:r>
      <w:r w:rsidRPr="001D257A">
        <w:rPr>
          <w:rtl/>
        </w:rPr>
        <w:t>يُقصد بها استخدام التقنيات الرقمية لتنفيذ المهام الروتينية والمتكررة المرتبطة بإدارة المشاريع بشكل آلي أو شبه آلي، بما يشمل التذكير بالمواعيد وتحديث حالة المهام وتوليد التقارير الدورية وإرسال الإشعارات وأتمتة سير العمل (Workflow Automation).</w:t>
      </w:r>
    </w:p>
    <w:p w14:paraId="6AB4116B" w14:textId="77777777" w:rsidR="00000000" w:rsidRPr="001D257A" w:rsidRDefault="00000000" w:rsidP="00A26521">
      <w:pPr>
        <w:bidi/>
        <w:spacing w:after="120" w:line="276" w:lineRule="auto"/>
        <w:ind w:firstLine="284"/>
        <w:jc w:val="left"/>
        <w:rPr>
          <w:rFonts w:hint="eastAsia"/>
        </w:rPr>
      </w:pPr>
      <w:r w:rsidRPr="001D257A">
        <w:rPr>
          <w:b/>
          <w:bCs/>
          <w:rtl/>
        </w:rPr>
        <w:t xml:space="preserve">الحلول السحابية (Cloud Solutions): </w:t>
      </w:r>
      <w:r w:rsidRPr="001D257A">
        <w:rPr>
          <w:rtl/>
        </w:rPr>
        <w:t>يُقصد بها الخدمات والمنصات القائمة على الحوسبة السحابية التي تتيح تخزين بيانات المشاريع والوصول إليها ومشاركتها عبر الإنترنت من أي مكان وفي أي وقت، وتشمل نماذج التقديم الثلاثة: البنية التحتية كخدمة (IaaS) والمنصة كخدمة (PaaS) والبرمجية كخدمة (SaaS).</w:t>
      </w:r>
    </w:p>
    <w:p w14:paraId="190D1389" w14:textId="77777777" w:rsidR="00000000" w:rsidRPr="001D257A" w:rsidRDefault="00000000" w:rsidP="00A26521">
      <w:pPr>
        <w:bidi/>
        <w:spacing w:after="120" w:line="276" w:lineRule="auto"/>
        <w:ind w:firstLine="284"/>
        <w:jc w:val="left"/>
        <w:rPr>
          <w:rFonts w:hint="eastAsia"/>
        </w:rPr>
      </w:pPr>
      <w:r w:rsidRPr="001D257A">
        <w:rPr>
          <w:b/>
          <w:bCs/>
          <w:rtl/>
        </w:rPr>
        <w:lastRenderedPageBreak/>
        <w:t xml:space="preserve">تحليلات البيانات والذكاء الاصطناعي (Data Analytics &amp; AI): </w:t>
      </w:r>
      <w:r w:rsidRPr="001D257A">
        <w:rPr>
          <w:rtl/>
        </w:rPr>
        <w:t>يُقصد بها توظيف الأدوات والتقنيات الرقمية لجمع وتحليل بيانات المشاريع (مدد التنفيذ، التكاليف، الأخطاء، مؤشرات الأداء) واستخلاص أنماط ورؤى تدعم اتخاذ القرارات المبنية على الأدلة، باستخدام لوحات البيانات التفاعلية وأدوات التحليل الوصفي والتنبؤي.</w:t>
      </w:r>
    </w:p>
    <w:p w14:paraId="25B32432" w14:textId="77777777" w:rsidR="00000000" w:rsidRPr="001D257A" w:rsidRDefault="00000000" w:rsidP="00A26521">
      <w:pPr>
        <w:bidi/>
        <w:spacing w:after="120" w:line="276" w:lineRule="auto"/>
        <w:ind w:firstLine="284"/>
        <w:jc w:val="left"/>
        <w:rPr>
          <w:rFonts w:hint="eastAsia"/>
        </w:rPr>
      </w:pPr>
      <w:r w:rsidRPr="001D257A">
        <w:rPr>
          <w:b/>
          <w:bCs/>
          <w:rtl/>
        </w:rPr>
        <w:t xml:space="preserve">أنظمة التواصل الرقمي (Digital Communication Systems): </w:t>
      </w:r>
      <w:r w:rsidRPr="001D257A">
        <w:rPr>
          <w:rtl/>
        </w:rPr>
        <w:t>يُقصد بها المنصات والأدوات الرقمية المستخدمة في التواصل المتزامن وغير المتزامن والتنسيق بين أعضاء فرق المشاريع، مثل Microsoft Teams وSlack وZoom وGoogle Meet وغيرها من أدوات الاجتماعات الافتراضية والمراسلة الفورية ومشاركة الملفات.</w:t>
      </w:r>
    </w:p>
    <w:p w14:paraId="64805932" w14:textId="77777777" w:rsidR="00000000" w:rsidRPr="001D257A" w:rsidRDefault="00000000" w:rsidP="00A26521">
      <w:pPr>
        <w:pStyle w:val="Heading1"/>
        <w:pageBreakBefore/>
        <w:bidi/>
        <w:spacing w:after="360"/>
        <w:jc w:val="left"/>
        <w:rPr>
          <w:rFonts w:ascii="Simplified Arabic" w:hAnsi="Simplified Arabic" w:cs="Simplified Arabic" w:hint="eastAsia"/>
        </w:rPr>
      </w:pPr>
      <w:bookmarkStart w:id="22" w:name="_Toc225544157"/>
      <w:r w:rsidRPr="001D257A">
        <w:rPr>
          <w:rFonts w:ascii="Simplified Arabic" w:hAnsi="Simplified Arabic" w:cs="Simplified Arabic"/>
          <w:rtl/>
        </w:rPr>
        <w:lastRenderedPageBreak/>
        <w:t>الفصل الثاني: الإطار النظري والدراسات السابقة</w:t>
      </w:r>
      <w:bookmarkEnd w:id="22"/>
    </w:p>
    <w:p w14:paraId="2AEAB47F" w14:textId="77777777" w:rsidR="00000000" w:rsidRPr="001D257A" w:rsidRDefault="00000000" w:rsidP="00A26521">
      <w:pPr>
        <w:pStyle w:val="Heading2"/>
        <w:bidi/>
        <w:spacing w:after="200"/>
        <w:jc w:val="left"/>
        <w:rPr>
          <w:rFonts w:ascii="Simplified Arabic" w:hAnsi="Simplified Arabic" w:cs="Simplified Arabic" w:hint="eastAsia"/>
        </w:rPr>
      </w:pPr>
      <w:bookmarkStart w:id="23" w:name="_Toc225544158"/>
      <w:r w:rsidRPr="001D257A">
        <w:rPr>
          <w:rFonts w:ascii="Simplified Arabic" w:hAnsi="Simplified Arabic" w:cs="Simplified Arabic"/>
          <w:rtl/>
        </w:rPr>
        <w:t>مقدمة</w:t>
      </w:r>
      <w:bookmarkEnd w:id="23"/>
    </w:p>
    <w:p w14:paraId="091B441B" w14:textId="77777777" w:rsidR="00000000" w:rsidRPr="001D257A" w:rsidRDefault="00000000" w:rsidP="00A26521">
      <w:pPr>
        <w:bidi/>
        <w:spacing w:after="120" w:line="276" w:lineRule="auto"/>
        <w:ind w:firstLine="284"/>
        <w:jc w:val="left"/>
        <w:rPr>
          <w:rFonts w:hint="eastAsia"/>
        </w:rPr>
      </w:pPr>
      <w:r w:rsidRPr="001D257A">
        <w:rPr>
          <w:rtl/>
        </w:rPr>
        <w:t>يتناول هذا الفصل الإطار النظري للدراسة من خلال استعراض شامل ومعمّق للأدبيات والمفاهيم المرتبطة بمتغيري الدراسة الرئيسيين: التحول الرقمي بوصفه متغيرًا مستقلًا، وكفاءة عمليات إدارة المشاريع بوصفها متغيرًا تابعًا. كما يتضمن الفصل عرضًا تفصيليًا ومنظمًا للدراسات السابقة ذات الصلة المباشرة والوثيقة بموضوع الدراسة، سواء على المستوى الدولي أو الإقليمي أو المحلي، مع مناقشة تحليلية للفجوة البحثية التي تسعى هذه الدراسة إلى سدّها، وتقديم النموذج المفاهيمي الذي يربط بين المتغيرات والأبعاد المختلفة.</w:t>
      </w:r>
    </w:p>
    <w:p w14:paraId="76107CB9" w14:textId="77777777" w:rsidR="00000000" w:rsidRPr="001D257A" w:rsidRDefault="00000000" w:rsidP="00A26521">
      <w:pPr>
        <w:pStyle w:val="Heading2"/>
        <w:bidi/>
        <w:spacing w:after="200"/>
        <w:jc w:val="left"/>
        <w:rPr>
          <w:rFonts w:ascii="Simplified Arabic" w:hAnsi="Simplified Arabic" w:cs="Simplified Arabic" w:hint="eastAsia"/>
        </w:rPr>
      </w:pPr>
      <w:bookmarkStart w:id="24" w:name="_Toc225544159"/>
      <w:r w:rsidRPr="001D257A">
        <w:rPr>
          <w:rFonts w:ascii="Simplified Arabic" w:hAnsi="Simplified Arabic" w:cs="Simplified Arabic"/>
          <w:rtl/>
        </w:rPr>
        <w:t>المبحث الأول: المتغير المستقل - التحول الرقمي</w:t>
      </w:r>
      <w:bookmarkEnd w:id="24"/>
    </w:p>
    <w:p w14:paraId="718DB8E5"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25" w:name="_Toc225544160"/>
      <w:r w:rsidRPr="001D257A">
        <w:rPr>
          <w:rFonts w:ascii="Simplified Arabic" w:hAnsi="Simplified Arabic" w:cs="Simplified Arabic"/>
          <w:rtl/>
        </w:rPr>
        <w:t>أولًا: تعريف التحول الرقمي ومفهومه</w:t>
      </w:r>
      <w:bookmarkEnd w:id="25"/>
    </w:p>
    <w:p w14:paraId="64FB1469" w14:textId="77777777" w:rsidR="00000000" w:rsidRPr="001D257A" w:rsidRDefault="00000000" w:rsidP="00A26521">
      <w:pPr>
        <w:bidi/>
        <w:spacing w:after="120" w:line="276" w:lineRule="auto"/>
        <w:ind w:firstLine="284"/>
        <w:jc w:val="left"/>
        <w:rPr>
          <w:rFonts w:hint="eastAsia"/>
        </w:rPr>
      </w:pPr>
      <w:r w:rsidRPr="001D257A">
        <w:rPr>
          <w:rtl/>
        </w:rPr>
        <w:t>يُعدّ مفهوم التحول الرقمي (Digital Transformation) من أكثر المفاهيم تداولًا وبحثًا في أدبيات الإدارة والتقنية المعاصرة، وقد تعددت تعريفاته واختلفت وجهات النظر حوله وفقًا للزوايا والمنظورات المختلفة التي تناوله بها الباحثون والممارسون. ويُلاحظ أن هذا المفهوم قد شهد تطورًا ملحوظًا في معناه ونطاقه عبر السنوات، انتقالًا من التركيز على الجوانب التقنية البحتة إلى نظرة أشمل تتضمن الأبعاد الإدارية والثقافية والاستراتيجية.</w:t>
      </w:r>
    </w:p>
    <w:p w14:paraId="0F4AFDA7" w14:textId="77777777" w:rsidR="00000000" w:rsidRPr="001D257A" w:rsidRDefault="00000000" w:rsidP="00A26521">
      <w:pPr>
        <w:bidi/>
        <w:spacing w:after="120" w:line="276" w:lineRule="auto"/>
        <w:ind w:firstLine="284"/>
        <w:jc w:val="left"/>
        <w:rPr>
          <w:rFonts w:hint="eastAsia"/>
        </w:rPr>
      </w:pPr>
      <w:r w:rsidRPr="001D257A">
        <w:rPr>
          <w:rtl/>
        </w:rPr>
        <w:t>ويُعرّف Westerman وآخرون (2014) التحول الرقمي بأنه "استخدام التكنولوجيا لتحسين أداء المؤسسة أو نطاق عملها بشكل جذري"، مؤكدين أنه يتجاوز مجرد رقمنة العمليات القائمة ليشمل إعادة تصور نماذج الأعمال والعمليات والتجارب بأكملها. وتُبرز هذه الرؤية البُعد الاستراتيجي للتحول الرقمي بوصفه عملية تغيير شاملة وليس مجرد تبنٍّ لتقنيات جديدة.</w:t>
      </w:r>
    </w:p>
    <w:p w14:paraId="4AF1ACA9" w14:textId="77777777" w:rsidR="00000000" w:rsidRPr="001D257A" w:rsidRDefault="00000000" w:rsidP="00A26521">
      <w:pPr>
        <w:bidi/>
        <w:spacing w:after="120" w:line="276" w:lineRule="auto"/>
        <w:ind w:firstLine="284"/>
        <w:jc w:val="left"/>
        <w:rPr>
          <w:rFonts w:hint="eastAsia"/>
        </w:rPr>
      </w:pPr>
      <w:r w:rsidRPr="001D257A">
        <w:rPr>
          <w:rtl/>
        </w:rPr>
        <w:t>أما Schwab (2016) فيضع التحول الرقمي في إطار أوسع يرتبط بالثورة الصناعية الرابعة، حيث يُعرّفه بأنه "دمج التقنيات الرقمية والمادية والبيولوجية بطرق تُحدث تحولًا جذريًا في طبيعة المؤسسات وأنماط عملها وتفاعلها مع البيئة المحيطة". ويؤكد Schwab أن التحول الرقمي في سياق الثورة الصناعية الرابعة يختلف نوعيًا عن التحولات التقنية السابقة من حيث سرعته ونطاقه وعمق تأثيره على جميع القطاعات والأنشطة البشرية.</w:t>
      </w:r>
    </w:p>
    <w:p w14:paraId="3479A3B1" w14:textId="77777777" w:rsidR="00000000" w:rsidRPr="001D257A" w:rsidRDefault="00000000" w:rsidP="00A26521">
      <w:pPr>
        <w:bidi/>
        <w:spacing w:after="120" w:line="276" w:lineRule="auto"/>
        <w:ind w:firstLine="284"/>
        <w:jc w:val="left"/>
        <w:rPr>
          <w:rFonts w:hint="eastAsia"/>
        </w:rPr>
      </w:pPr>
      <w:r w:rsidRPr="001D257A">
        <w:rPr>
          <w:rtl/>
        </w:rPr>
        <w:t>ويُقدّم Rogers (2016) في كتابه "The Digital Transformation Playbook" تعريفًا يركز على الجانب الاستراتيجي، حيث يرى أن التحول الرقمي هو "إعادة تشكيل استراتيجية المؤسسة بالكامل في ضوء الإمكانات التي تتيحها التقنيات الرقمية"، مشيرًا إلى أنه يشمل خمسة مجالات رئيسة: العملاء، والمنافسة، والبيانات، والابتكار، وخلق القيمة.</w:t>
      </w:r>
    </w:p>
    <w:p w14:paraId="39897E0A" w14:textId="77777777" w:rsidR="00000000" w:rsidRPr="001D257A" w:rsidRDefault="00000000" w:rsidP="00A26521">
      <w:pPr>
        <w:bidi/>
        <w:spacing w:after="120" w:line="276" w:lineRule="auto"/>
        <w:ind w:firstLine="284"/>
        <w:jc w:val="left"/>
        <w:rPr>
          <w:rFonts w:hint="eastAsia"/>
        </w:rPr>
      </w:pPr>
      <w:r w:rsidRPr="001D257A">
        <w:rPr>
          <w:rtl/>
        </w:rPr>
        <w:t>كما يُعرّف Chen وآخرون (2023) التحول الرقمي في سياق إدارة المشاريع بأنه "عملية شاملة تتضمن دمج التقنيات الرقمية في مختلف جوانب العمل داخل المنظمة، بما يؤدي إلى تغيير جذري في طريقة تشغيل العمليات الداخلية وتقديم القيمة للعملاء وصنع القرار الإداري والاستراتيجي". ويتجاوز هذا التعريف مجرد رقمنة الوثائق أو استخدام الحاسب الآلي في العمليات اليومية ليشمل إعادة تصميم نماذج الأعمال والعمليات والثقافة التنظيمية بما يتوافق مع متطلبات العصر الرقمي.</w:t>
      </w:r>
    </w:p>
    <w:p w14:paraId="6AB51D12" w14:textId="77777777" w:rsidR="00000000" w:rsidRPr="001D257A" w:rsidRDefault="00000000" w:rsidP="00A26521">
      <w:pPr>
        <w:bidi/>
        <w:spacing w:after="120" w:line="276" w:lineRule="auto"/>
        <w:ind w:firstLine="284"/>
        <w:jc w:val="left"/>
        <w:rPr>
          <w:rFonts w:hint="eastAsia"/>
        </w:rPr>
      </w:pPr>
      <w:r w:rsidRPr="001D257A">
        <w:rPr>
          <w:rtl/>
        </w:rPr>
        <w:t>ويُضيف Jendi (2024) بُعدًا عمليًا للتعريف حيث يشير إلى أن التحول الرقمي يمثل "انتقالًا نوعيًا من الأنماط التقليدية في إدارة العمليات إلى أنماط جديدة تعتمد على التكنولوجيا في جميع مراحل سلسلة القيمة، بدءًا من التخطيط الاستراتيجي مرورًا بالتنفيذ التشغيلي وانتهاءً بتقييم الأداء والتحسين المستمر".</w:t>
      </w:r>
    </w:p>
    <w:p w14:paraId="41293AC4" w14:textId="77777777" w:rsidR="00000000" w:rsidRPr="001D257A" w:rsidRDefault="00000000" w:rsidP="00A26521">
      <w:pPr>
        <w:bidi/>
        <w:spacing w:after="120" w:line="276" w:lineRule="auto"/>
        <w:ind w:firstLine="284"/>
        <w:jc w:val="left"/>
        <w:rPr>
          <w:rFonts w:hint="eastAsia"/>
        </w:rPr>
      </w:pPr>
      <w:r w:rsidRPr="001D257A">
        <w:rPr>
          <w:rtl/>
        </w:rPr>
        <w:lastRenderedPageBreak/>
        <w:t>ويُلاحظ من استعراض هذه التعريفات المتعددة أنها تتفق على عدة عناصر مشتركة وجوهرية: أولًا، أن التحول الرقمي عملية شاملة تتجاوز مجرد تبنّي أدوات تقنية. ثانيًا، أنه يستهدف إحداث تغيير جذري في العمليات والأداء وليس تحسينات سطحية. ثالثًا، أنه يتضمن أبعادًا تقنية وتنظيمية وثقافية واستراتيجية متشابكة ومتكاملة. رابعًا، أنه عملية مستمرة ومتطورة وليس حدثًا لمرة واحدة. ويمكن تلخيص هذه التعريفات في الجدول التالي:</w:t>
      </w:r>
    </w:p>
    <w:p w14:paraId="65C05B60" w14:textId="77777777" w:rsidR="00000000" w:rsidRPr="001D257A" w:rsidRDefault="00000000" w:rsidP="00A26521">
      <w:pPr>
        <w:bidi/>
        <w:spacing w:before="200" w:after="120"/>
        <w:jc w:val="left"/>
        <w:rPr>
          <w:rFonts w:hint="eastAsia"/>
        </w:rPr>
      </w:pPr>
      <w:r w:rsidRPr="001D257A">
        <w:rPr>
          <w:b/>
          <w:bCs/>
          <w:sz w:val="26"/>
          <w:szCs w:val="26"/>
          <w:rtl/>
        </w:rPr>
        <w:t>جدول 2-1: مقارنة تعريفات التحول الرقمي في الأدبيات</w:t>
      </w:r>
    </w:p>
    <w:tbl>
      <w:tblPr>
        <w:bidiVisual/>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1200"/>
        <w:gridCol w:w="5371"/>
      </w:tblGrid>
      <w:tr w:rsidR="003D0797" w:rsidRPr="001D257A" w14:paraId="245A661F" w14:textId="77777777" w:rsidTr="004321CC">
        <w:tc>
          <w:tcPr>
            <w:tcW w:w="2500" w:type="dxa"/>
            <w:tcBorders>
              <w:top w:val="single" w:sz="1" w:space="0" w:color="000000"/>
              <w:left w:val="single" w:sz="1" w:space="0" w:color="000000"/>
              <w:bottom w:val="single" w:sz="1" w:space="0" w:color="000000"/>
              <w:right w:val="single" w:sz="1" w:space="0" w:color="000000"/>
            </w:tcBorders>
            <w:shd w:val="clear" w:color="auto" w:fill="D9E2F3"/>
            <w:tcMar>
              <w:top w:w="40" w:type="dxa"/>
              <w:left w:w="60" w:type="dxa"/>
              <w:bottom w:w="40" w:type="dxa"/>
              <w:right w:w="60" w:type="dxa"/>
            </w:tcMar>
            <w:vAlign w:val="center"/>
          </w:tcPr>
          <w:p w14:paraId="1F7E5A7A" w14:textId="77777777" w:rsidR="00000000" w:rsidRPr="001D257A" w:rsidRDefault="00000000" w:rsidP="00A26521">
            <w:pPr>
              <w:bidi/>
              <w:jc w:val="left"/>
              <w:rPr>
                <w:rFonts w:hint="eastAsia"/>
              </w:rPr>
            </w:pPr>
            <w:r w:rsidRPr="001D257A">
              <w:rPr>
                <w:b/>
                <w:bCs/>
                <w:sz w:val="24"/>
                <w:szCs w:val="24"/>
                <w:rtl/>
              </w:rPr>
              <w:t>الباحث/المصدر</w:t>
            </w:r>
          </w:p>
        </w:tc>
        <w:tc>
          <w:tcPr>
            <w:tcW w:w="1200" w:type="dxa"/>
            <w:tcBorders>
              <w:top w:val="single" w:sz="1" w:space="0" w:color="000000"/>
              <w:left w:val="single" w:sz="1" w:space="0" w:color="000000"/>
              <w:bottom w:val="single" w:sz="1" w:space="0" w:color="000000"/>
              <w:right w:val="single" w:sz="1" w:space="0" w:color="000000"/>
            </w:tcBorders>
            <w:shd w:val="clear" w:color="auto" w:fill="D9E2F3"/>
            <w:tcMar>
              <w:top w:w="40" w:type="dxa"/>
              <w:left w:w="60" w:type="dxa"/>
              <w:bottom w:w="40" w:type="dxa"/>
              <w:right w:w="60" w:type="dxa"/>
            </w:tcMar>
            <w:vAlign w:val="center"/>
          </w:tcPr>
          <w:p w14:paraId="4D61C3AD" w14:textId="77777777" w:rsidR="00000000" w:rsidRPr="001D257A" w:rsidRDefault="00000000" w:rsidP="00A26521">
            <w:pPr>
              <w:bidi/>
              <w:jc w:val="left"/>
              <w:rPr>
                <w:rFonts w:hint="eastAsia"/>
              </w:rPr>
            </w:pPr>
            <w:r w:rsidRPr="001D257A">
              <w:rPr>
                <w:b/>
                <w:bCs/>
                <w:sz w:val="24"/>
                <w:szCs w:val="24"/>
                <w:rtl/>
              </w:rPr>
              <w:t>السنة</w:t>
            </w:r>
          </w:p>
        </w:tc>
        <w:tc>
          <w:tcPr>
            <w:tcW w:w="5371" w:type="dxa"/>
            <w:tcBorders>
              <w:top w:val="single" w:sz="1" w:space="0" w:color="000000"/>
              <w:left w:val="single" w:sz="1" w:space="0" w:color="000000"/>
              <w:bottom w:val="single" w:sz="1" w:space="0" w:color="000000"/>
              <w:right w:val="single" w:sz="1" w:space="0" w:color="000000"/>
            </w:tcBorders>
            <w:shd w:val="clear" w:color="auto" w:fill="D9E2F3"/>
            <w:tcMar>
              <w:top w:w="40" w:type="dxa"/>
              <w:left w:w="60" w:type="dxa"/>
              <w:bottom w:w="40" w:type="dxa"/>
              <w:right w:w="60" w:type="dxa"/>
            </w:tcMar>
            <w:vAlign w:val="center"/>
          </w:tcPr>
          <w:p w14:paraId="3A9C9705" w14:textId="77777777" w:rsidR="00000000" w:rsidRPr="001D257A" w:rsidRDefault="00000000" w:rsidP="00A26521">
            <w:pPr>
              <w:bidi/>
              <w:jc w:val="left"/>
              <w:rPr>
                <w:rFonts w:hint="eastAsia"/>
              </w:rPr>
            </w:pPr>
            <w:r w:rsidRPr="001D257A">
              <w:rPr>
                <w:b/>
                <w:bCs/>
                <w:sz w:val="24"/>
                <w:szCs w:val="24"/>
                <w:rtl/>
              </w:rPr>
              <w:t>التركيز الرئيس للتعريف</w:t>
            </w:r>
          </w:p>
        </w:tc>
      </w:tr>
      <w:tr w:rsidR="003D0797" w:rsidRPr="001D257A" w14:paraId="5639EE45" w14:textId="77777777" w:rsidTr="004321CC">
        <w:tc>
          <w:tcPr>
            <w:tcW w:w="2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B0C7BCB" w14:textId="77777777" w:rsidR="00000000" w:rsidRPr="001D257A" w:rsidRDefault="00000000" w:rsidP="00A26521">
            <w:pPr>
              <w:bidi/>
              <w:jc w:val="left"/>
              <w:rPr>
                <w:rFonts w:hint="eastAsia"/>
              </w:rPr>
            </w:pPr>
            <w:r w:rsidRPr="001D257A">
              <w:rPr>
                <w:sz w:val="24"/>
                <w:szCs w:val="24"/>
                <w:rtl/>
              </w:rPr>
              <w:t>Westerman et al.</w:t>
            </w:r>
          </w:p>
        </w:tc>
        <w:tc>
          <w:tcPr>
            <w:tcW w:w="12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8F5EDFD" w14:textId="77777777" w:rsidR="00000000" w:rsidRPr="001D257A" w:rsidRDefault="00000000" w:rsidP="00A26521">
            <w:pPr>
              <w:bidi/>
              <w:jc w:val="left"/>
              <w:rPr>
                <w:rFonts w:hint="eastAsia"/>
              </w:rPr>
            </w:pPr>
            <w:r w:rsidRPr="001D257A">
              <w:rPr>
                <w:sz w:val="24"/>
                <w:szCs w:val="24"/>
                <w:rtl/>
              </w:rPr>
              <w:t>2014</w:t>
            </w:r>
          </w:p>
        </w:tc>
        <w:tc>
          <w:tcPr>
            <w:tcW w:w="53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DB7FB8C" w14:textId="77777777" w:rsidR="00000000" w:rsidRPr="001D257A" w:rsidRDefault="00000000" w:rsidP="00A26521">
            <w:pPr>
              <w:bidi/>
              <w:jc w:val="left"/>
              <w:rPr>
                <w:rFonts w:hint="eastAsia"/>
              </w:rPr>
            </w:pPr>
            <w:r w:rsidRPr="001D257A">
              <w:rPr>
                <w:sz w:val="24"/>
                <w:szCs w:val="24"/>
                <w:rtl/>
              </w:rPr>
              <w:t>تحسين جذري للأداء ونطاق العمل عبر التكنولوجيا</w:t>
            </w:r>
          </w:p>
        </w:tc>
      </w:tr>
      <w:tr w:rsidR="003D0797" w:rsidRPr="001D257A" w14:paraId="0D5DBD74" w14:textId="77777777" w:rsidTr="004321CC">
        <w:tc>
          <w:tcPr>
            <w:tcW w:w="2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776A0B1" w14:textId="77777777" w:rsidR="00000000" w:rsidRPr="001D257A" w:rsidRDefault="00000000" w:rsidP="00A26521">
            <w:pPr>
              <w:bidi/>
              <w:jc w:val="left"/>
              <w:rPr>
                <w:rFonts w:hint="eastAsia"/>
              </w:rPr>
            </w:pPr>
            <w:r w:rsidRPr="001D257A">
              <w:rPr>
                <w:sz w:val="24"/>
                <w:szCs w:val="24"/>
                <w:rtl/>
              </w:rPr>
              <w:t>Schwab</w:t>
            </w:r>
          </w:p>
        </w:tc>
        <w:tc>
          <w:tcPr>
            <w:tcW w:w="12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CFF4EAF" w14:textId="77777777" w:rsidR="00000000" w:rsidRPr="001D257A" w:rsidRDefault="00000000" w:rsidP="00A26521">
            <w:pPr>
              <w:bidi/>
              <w:jc w:val="left"/>
              <w:rPr>
                <w:rFonts w:hint="eastAsia"/>
              </w:rPr>
            </w:pPr>
            <w:r w:rsidRPr="001D257A">
              <w:rPr>
                <w:sz w:val="24"/>
                <w:szCs w:val="24"/>
                <w:rtl/>
              </w:rPr>
              <w:t>2016</w:t>
            </w:r>
          </w:p>
        </w:tc>
        <w:tc>
          <w:tcPr>
            <w:tcW w:w="53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97A8C1C" w14:textId="77777777" w:rsidR="00000000" w:rsidRPr="001D257A" w:rsidRDefault="00000000" w:rsidP="00A26521">
            <w:pPr>
              <w:bidi/>
              <w:jc w:val="left"/>
              <w:rPr>
                <w:rFonts w:hint="eastAsia"/>
              </w:rPr>
            </w:pPr>
            <w:r w:rsidRPr="001D257A">
              <w:rPr>
                <w:sz w:val="24"/>
                <w:szCs w:val="24"/>
                <w:rtl/>
              </w:rPr>
              <w:t>دمج التقنيات في إطار الثورة الصناعية الرابعة</w:t>
            </w:r>
          </w:p>
        </w:tc>
      </w:tr>
      <w:tr w:rsidR="003D0797" w:rsidRPr="001D257A" w14:paraId="675A148E" w14:textId="77777777" w:rsidTr="004321CC">
        <w:tc>
          <w:tcPr>
            <w:tcW w:w="2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039D638" w14:textId="77777777" w:rsidR="00000000" w:rsidRPr="001D257A" w:rsidRDefault="00000000" w:rsidP="00A26521">
            <w:pPr>
              <w:bidi/>
              <w:jc w:val="left"/>
              <w:rPr>
                <w:rFonts w:hint="eastAsia"/>
              </w:rPr>
            </w:pPr>
            <w:r w:rsidRPr="001D257A">
              <w:rPr>
                <w:sz w:val="24"/>
                <w:szCs w:val="24"/>
                <w:rtl/>
              </w:rPr>
              <w:t>Rogers</w:t>
            </w:r>
          </w:p>
        </w:tc>
        <w:tc>
          <w:tcPr>
            <w:tcW w:w="12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5DBFC56" w14:textId="77777777" w:rsidR="00000000" w:rsidRPr="001D257A" w:rsidRDefault="00000000" w:rsidP="00A26521">
            <w:pPr>
              <w:bidi/>
              <w:jc w:val="left"/>
              <w:rPr>
                <w:rFonts w:hint="eastAsia"/>
              </w:rPr>
            </w:pPr>
            <w:r w:rsidRPr="001D257A">
              <w:rPr>
                <w:sz w:val="24"/>
                <w:szCs w:val="24"/>
                <w:rtl/>
              </w:rPr>
              <w:t>2016</w:t>
            </w:r>
          </w:p>
        </w:tc>
        <w:tc>
          <w:tcPr>
            <w:tcW w:w="53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36C287E" w14:textId="77777777" w:rsidR="00000000" w:rsidRPr="001D257A" w:rsidRDefault="00000000" w:rsidP="00A26521">
            <w:pPr>
              <w:bidi/>
              <w:jc w:val="left"/>
              <w:rPr>
                <w:rFonts w:hint="eastAsia"/>
              </w:rPr>
            </w:pPr>
            <w:r w:rsidRPr="001D257A">
              <w:rPr>
                <w:sz w:val="24"/>
                <w:szCs w:val="24"/>
                <w:rtl/>
              </w:rPr>
              <w:t>إعادة تشكيل الاستراتيجية المؤسسية بالكامل</w:t>
            </w:r>
          </w:p>
        </w:tc>
      </w:tr>
      <w:tr w:rsidR="003D0797" w:rsidRPr="001D257A" w14:paraId="09C95926" w14:textId="77777777" w:rsidTr="004321CC">
        <w:tc>
          <w:tcPr>
            <w:tcW w:w="2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5D380ED" w14:textId="77777777" w:rsidR="00000000" w:rsidRPr="001D257A" w:rsidRDefault="00000000" w:rsidP="00A26521">
            <w:pPr>
              <w:bidi/>
              <w:jc w:val="left"/>
              <w:rPr>
                <w:rFonts w:hint="eastAsia"/>
              </w:rPr>
            </w:pPr>
            <w:r w:rsidRPr="001D257A">
              <w:rPr>
                <w:sz w:val="24"/>
                <w:szCs w:val="24"/>
                <w:rtl/>
              </w:rPr>
              <w:t>Chen et al.</w:t>
            </w:r>
          </w:p>
        </w:tc>
        <w:tc>
          <w:tcPr>
            <w:tcW w:w="12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E05C8CF" w14:textId="77777777" w:rsidR="00000000" w:rsidRPr="001D257A" w:rsidRDefault="00000000" w:rsidP="00A26521">
            <w:pPr>
              <w:bidi/>
              <w:jc w:val="left"/>
              <w:rPr>
                <w:rFonts w:hint="eastAsia"/>
              </w:rPr>
            </w:pPr>
            <w:r w:rsidRPr="001D257A">
              <w:rPr>
                <w:sz w:val="24"/>
                <w:szCs w:val="24"/>
                <w:rtl/>
              </w:rPr>
              <w:t>2023</w:t>
            </w:r>
          </w:p>
        </w:tc>
        <w:tc>
          <w:tcPr>
            <w:tcW w:w="53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EF57654" w14:textId="77777777" w:rsidR="00000000" w:rsidRPr="001D257A" w:rsidRDefault="00000000" w:rsidP="00A26521">
            <w:pPr>
              <w:bidi/>
              <w:jc w:val="left"/>
              <w:rPr>
                <w:rFonts w:hint="eastAsia"/>
              </w:rPr>
            </w:pPr>
            <w:r w:rsidRPr="001D257A">
              <w:rPr>
                <w:sz w:val="24"/>
                <w:szCs w:val="24"/>
                <w:rtl/>
              </w:rPr>
              <w:t>تغيير جذري في العمليات والقرارات وتقديم القيمة</w:t>
            </w:r>
          </w:p>
        </w:tc>
      </w:tr>
      <w:tr w:rsidR="003D0797" w:rsidRPr="001D257A" w14:paraId="578D0920" w14:textId="77777777" w:rsidTr="004321CC">
        <w:tc>
          <w:tcPr>
            <w:tcW w:w="2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C6DB81C" w14:textId="77777777" w:rsidR="00000000" w:rsidRPr="001D257A" w:rsidRDefault="00000000" w:rsidP="00A26521">
            <w:pPr>
              <w:bidi/>
              <w:jc w:val="left"/>
              <w:rPr>
                <w:rFonts w:hint="eastAsia"/>
              </w:rPr>
            </w:pPr>
            <w:r w:rsidRPr="001D257A">
              <w:rPr>
                <w:sz w:val="24"/>
                <w:szCs w:val="24"/>
                <w:rtl/>
              </w:rPr>
              <w:t>Jendi</w:t>
            </w:r>
          </w:p>
        </w:tc>
        <w:tc>
          <w:tcPr>
            <w:tcW w:w="12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83CD194" w14:textId="77777777" w:rsidR="00000000" w:rsidRPr="001D257A" w:rsidRDefault="00000000" w:rsidP="00A26521">
            <w:pPr>
              <w:bidi/>
              <w:jc w:val="left"/>
              <w:rPr>
                <w:rFonts w:hint="eastAsia"/>
              </w:rPr>
            </w:pPr>
            <w:r w:rsidRPr="001D257A">
              <w:rPr>
                <w:sz w:val="24"/>
                <w:szCs w:val="24"/>
                <w:rtl/>
              </w:rPr>
              <w:t>2024</w:t>
            </w:r>
          </w:p>
        </w:tc>
        <w:tc>
          <w:tcPr>
            <w:tcW w:w="53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040F894" w14:textId="77777777" w:rsidR="00000000" w:rsidRPr="001D257A" w:rsidRDefault="00000000" w:rsidP="00A26521">
            <w:pPr>
              <w:bidi/>
              <w:jc w:val="left"/>
              <w:rPr>
                <w:rFonts w:hint="eastAsia"/>
              </w:rPr>
            </w:pPr>
            <w:r w:rsidRPr="001D257A">
              <w:rPr>
                <w:sz w:val="24"/>
                <w:szCs w:val="24"/>
                <w:rtl/>
              </w:rPr>
              <w:t>انتقال نوعي عبر سلسلة القيمة بأكملها</w:t>
            </w:r>
          </w:p>
        </w:tc>
      </w:tr>
      <w:tr w:rsidR="003D0797" w:rsidRPr="001D257A" w14:paraId="1B75818D" w14:textId="77777777" w:rsidTr="004321CC">
        <w:tc>
          <w:tcPr>
            <w:tcW w:w="2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8A3F5C7" w14:textId="77777777" w:rsidR="00000000" w:rsidRPr="001D257A" w:rsidRDefault="00000000" w:rsidP="00A26521">
            <w:pPr>
              <w:bidi/>
              <w:jc w:val="left"/>
              <w:rPr>
                <w:rFonts w:hint="eastAsia"/>
              </w:rPr>
            </w:pPr>
            <w:r w:rsidRPr="001D257A">
              <w:rPr>
                <w:sz w:val="24"/>
                <w:szCs w:val="24"/>
                <w:rtl/>
              </w:rPr>
              <w:t>Adeniran et al.</w:t>
            </w:r>
          </w:p>
        </w:tc>
        <w:tc>
          <w:tcPr>
            <w:tcW w:w="12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518C3C3" w14:textId="77777777" w:rsidR="00000000" w:rsidRPr="001D257A" w:rsidRDefault="00000000" w:rsidP="00A26521">
            <w:pPr>
              <w:bidi/>
              <w:jc w:val="left"/>
              <w:rPr>
                <w:rFonts w:hint="eastAsia"/>
              </w:rPr>
            </w:pPr>
            <w:r w:rsidRPr="001D257A">
              <w:rPr>
                <w:sz w:val="24"/>
                <w:szCs w:val="24"/>
                <w:rtl/>
              </w:rPr>
              <w:t>2024</w:t>
            </w:r>
          </w:p>
        </w:tc>
        <w:tc>
          <w:tcPr>
            <w:tcW w:w="53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21ADBF8" w14:textId="77777777" w:rsidR="00000000" w:rsidRPr="001D257A" w:rsidRDefault="00000000" w:rsidP="00A26521">
            <w:pPr>
              <w:bidi/>
              <w:jc w:val="left"/>
              <w:rPr>
                <w:rFonts w:hint="eastAsia"/>
              </w:rPr>
            </w:pPr>
            <w:r w:rsidRPr="001D257A">
              <w:rPr>
                <w:sz w:val="24"/>
                <w:szCs w:val="24"/>
                <w:rtl/>
              </w:rPr>
              <w:t>مجموعة متكاملة من التقنيات لتحسين الكفاءة والجودة</w:t>
            </w:r>
          </w:p>
        </w:tc>
      </w:tr>
    </w:tbl>
    <w:p w14:paraId="05F7CA81" w14:textId="77777777" w:rsidR="00000000" w:rsidRPr="001D257A" w:rsidRDefault="00000000" w:rsidP="00A26521">
      <w:pPr>
        <w:bidi/>
        <w:spacing w:after="120" w:line="276" w:lineRule="auto"/>
        <w:ind w:firstLine="284"/>
        <w:jc w:val="left"/>
        <w:rPr>
          <w:rFonts w:hint="eastAsia"/>
        </w:rPr>
      </w:pPr>
      <w:r w:rsidRPr="001D257A">
        <w:rPr>
          <w:rtl/>
        </w:rPr>
        <w:t>ويمكن تعريف التحول الرقمي إجرائيًا في هذه الدراسة بأنه عملية دمج واستخدام مجموعة متكاملة من التقنيات والأدوات الرقمية في عمليات إدارة المشاريع داخل الشركات الخدمية الناشئة في المملكة العربية السعودية، بما يشمل منصات إدارة المشاريع الرقمية وأدوات الأتمتة والحلول السحابية وتحليلات البيانات والذكاء الاصطناعي وأنظمة التواصل الرقمي، بهدف تحسين كفاءة هذه العمليات وجودة مخرجاتها.</w:t>
      </w:r>
    </w:p>
    <w:p w14:paraId="0E2066E5"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26" w:name="_Toc225544161"/>
      <w:r w:rsidRPr="001D257A">
        <w:rPr>
          <w:rFonts w:ascii="Simplified Arabic" w:hAnsi="Simplified Arabic" w:cs="Simplified Arabic"/>
          <w:rtl/>
        </w:rPr>
        <w:t>ثانيًا: تطور مفهوم التحول الرقمي</w:t>
      </w:r>
      <w:bookmarkEnd w:id="26"/>
    </w:p>
    <w:p w14:paraId="0C18233B" w14:textId="77777777" w:rsidR="00000000" w:rsidRPr="001D257A" w:rsidRDefault="00000000" w:rsidP="00A26521">
      <w:pPr>
        <w:bidi/>
        <w:spacing w:after="120" w:line="276" w:lineRule="auto"/>
        <w:ind w:firstLine="284"/>
        <w:jc w:val="left"/>
        <w:rPr>
          <w:rFonts w:hint="eastAsia"/>
        </w:rPr>
      </w:pPr>
      <w:r w:rsidRPr="001D257A">
        <w:rPr>
          <w:rtl/>
        </w:rPr>
        <w:t>شهد مفهوم التحول الرقمي تطورًا تدريجيًا ومتسارعًا عبر عدة مراحل تاريخية مترابطة، يمكن تلخيصها في ثلاث موجات رئيسة تعكس التطور في فهم المؤسسات لدور التكنولوجيا في أعمالها:</w:t>
      </w:r>
    </w:p>
    <w:p w14:paraId="150C3F37" w14:textId="77777777" w:rsidR="00000000" w:rsidRPr="001D257A" w:rsidRDefault="00000000" w:rsidP="00A26521">
      <w:pPr>
        <w:bidi/>
        <w:spacing w:after="120" w:line="276" w:lineRule="auto"/>
        <w:ind w:firstLine="284"/>
        <w:jc w:val="left"/>
        <w:rPr>
          <w:rFonts w:hint="eastAsia"/>
        </w:rPr>
      </w:pPr>
      <w:r w:rsidRPr="001D257A">
        <w:rPr>
          <w:rtl/>
        </w:rPr>
        <w:t>المرحلة الأولى - الرقمنة (Digitization): بدأت هذه المرحلة في الستينيات والسبعينيات من القرن العشرين مع ظهور الحواسيب المركزية، وتمثلت في تحويل المعلومات والبيانات من صيغتها المادية (الورقية) إلى صيغة رقمية إلكترونية. وفي هذه المرحلة، كان التركيز منصبًا على حفظ السجلات والبيانات إلكترونيًا دون تغيير جوهري في طبيعة العمليات أو أساليب العمل. وقد أسهمت هذه المرحلة في تحسين سرعة الوصول إلى المعلومات وتقليل المساحات المطلوبة للتخزين المادي، لكنها لم تُحدث تحولًا حقيقيًا في نماذج الأعمال أو طرق تقديم الخدمات.</w:t>
      </w:r>
    </w:p>
    <w:p w14:paraId="11E1DDFA" w14:textId="77777777" w:rsidR="00000000" w:rsidRPr="001D257A" w:rsidRDefault="00000000" w:rsidP="00A26521">
      <w:pPr>
        <w:bidi/>
        <w:spacing w:after="120" w:line="276" w:lineRule="auto"/>
        <w:ind w:firstLine="284"/>
        <w:jc w:val="left"/>
        <w:rPr>
          <w:rFonts w:hint="eastAsia"/>
        </w:rPr>
      </w:pPr>
      <w:r w:rsidRPr="001D257A">
        <w:rPr>
          <w:rtl/>
        </w:rPr>
        <w:t>المرحلة الثانية - الرقمنة المؤسسية (Digitalization): ظهرت هذه المرحلة مع انتشار الإنترنت في التسعينيات وبداية الألفية الثالثة، وتمثلت في توظيف التقنيات الرقمية لتحسين العمليات المؤسسية القائمة وأتمتة بعض المهام الروتينية. وفي هذه المرحلة، بدأت المؤسسات في استخدام أنظمة تخطيط الموارد المؤسسية (ERP) وأنظمة إدارة علاقات العملاء (CRM) والبريد الإلكتروني والمواقع الإلكترونية لتحسين كفاءة عملياتها الداخلية وتوسيع نطاق وصولها إلى العملاء. وقد أسهمت هذه المرحلة في تحسين الإنتاجية وتقليل التكاليف التشغيلية، لكن التغيير ظل محصورًا في تحسين العمليات القائمة دون إعادة ابتكارها.</w:t>
      </w:r>
    </w:p>
    <w:p w14:paraId="210D6DC1" w14:textId="77777777" w:rsidR="00000000" w:rsidRDefault="00000000" w:rsidP="00A26521">
      <w:pPr>
        <w:bidi/>
        <w:spacing w:after="120" w:line="276" w:lineRule="auto"/>
        <w:ind w:firstLine="284"/>
        <w:jc w:val="left"/>
        <w:rPr>
          <w:rFonts w:hint="eastAsia"/>
          <w:rtl/>
        </w:rPr>
      </w:pPr>
      <w:r w:rsidRPr="001D257A">
        <w:rPr>
          <w:rtl/>
        </w:rPr>
        <w:t xml:space="preserve">المرحلة الثالثة - التحول الرقمي الشامل (Digital Transformation): تمثل هذه المرحلة الموجة الحالية التي بدأت في العقد الثاني من الألفية الثالثة ولا تزال مستمرة ومتسارعة، وتتميز بإعادة تصميم نماذج الأعمال والعمليات والتجارب بالكامل باستخدام </w:t>
      </w:r>
      <w:r w:rsidRPr="001D257A">
        <w:rPr>
          <w:rtl/>
        </w:rPr>
        <w:lastRenderedPageBreak/>
        <w:t>التقنيات الرقمية المتقدمة مثل الذكاء الاصطناعي والحوسبة السحابية وتحليلات البيانات الضخمة وإنترنت الأشياء والبلوكتشين والواقع المعزز. وفي هذه المرحلة، لم يعد السؤال هو "كيف نرقمن عملياتنا القائمة؟" بل أصبح "كيف نعيد ابتكار أعمالنا بالكامل في ضوء الإمكانات التي تتيحها التقنيات الرقمية؟" (Schwab, 2016; Rogers, 2016; Westerman et al., 2014).</w:t>
      </w:r>
    </w:p>
    <w:p w14:paraId="1B3845DB" w14:textId="77777777" w:rsidR="00000000" w:rsidRDefault="00000000" w:rsidP="00A26521">
      <w:pPr>
        <w:bidi/>
        <w:spacing w:after="120" w:line="276" w:lineRule="auto"/>
        <w:ind w:firstLine="284"/>
        <w:jc w:val="left"/>
        <w:rPr>
          <w:rFonts w:hint="eastAsia"/>
          <w:rtl/>
        </w:rPr>
      </w:pPr>
    </w:p>
    <w:p w14:paraId="58DC93A3" w14:textId="77777777" w:rsidR="00000000" w:rsidRPr="001D257A" w:rsidRDefault="00000000" w:rsidP="00A26521">
      <w:pPr>
        <w:bidi/>
        <w:spacing w:after="120" w:line="276" w:lineRule="auto"/>
        <w:ind w:firstLine="284"/>
        <w:jc w:val="left"/>
        <w:rPr>
          <w:rFonts w:hint="eastAsia"/>
        </w:rPr>
      </w:pPr>
    </w:p>
    <w:p w14:paraId="2118AD15"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27" w:name="_Toc225544162"/>
      <w:r w:rsidRPr="001D257A">
        <w:rPr>
          <w:rFonts w:ascii="Simplified Arabic" w:hAnsi="Simplified Arabic" w:cs="Simplified Arabic"/>
          <w:rtl/>
        </w:rPr>
        <w:t>ثالثًا: أبعاد التحول الرقمي في سياق إدارة المشاريع</w:t>
      </w:r>
      <w:bookmarkEnd w:id="27"/>
    </w:p>
    <w:p w14:paraId="4AB4C270" w14:textId="77777777" w:rsidR="00000000" w:rsidRPr="001D257A" w:rsidRDefault="00000000" w:rsidP="00A26521">
      <w:pPr>
        <w:bidi/>
        <w:spacing w:after="120" w:line="276" w:lineRule="auto"/>
        <w:ind w:firstLine="284"/>
        <w:jc w:val="left"/>
        <w:rPr>
          <w:rFonts w:hint="eastAsia"/>
        </w:rPr>
      </w:pPr>
      <w:r w:rsidRPr="001D257A">
        <w:rPr>
          <w:rtl/>
        </w:rPr>
        <w:t>استنادًا إلى مراجعة شاملة ومعمّقة للأدبيات ذات الصلة، حددت هذه الدراسة خمسة أبعاد رئيسة للتحول الرقمي في مجال إدارة المشاريع تعكس التطبيقات التقنية الأكثر شيوعًا وتأثيرًا في بيئة الشركات الخدمية الناشئة. ويتم استعراض كل بُعد بالتفصيل فيما يلي:</w:t>
      </w:r>
    </w:p>
    <w:p w14:paraId="13942B4A"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28" w:name="_Toc225544163"/>
      <w:r w:rsidRPr="001D257A">
        <w:rPr>
          <w:rFonts w:ascii="Simplified Arabic" w:hAnsi="Simplified Arabic" w:cs="Simplified Arabic"/>
          <w:rtl/>
        </w:rPr>
        <w:t>1. منصات إدارة المشاريع الرقمية (Digital Project Management Platforms)</w:t>
      </w:r>
      <w:bookmarkEnd w:id="28"/>
    </w:p>
    <w:p w14:paraId="364D7F3D" w14:textId="77777777" w:rsidR="00000000" w:rsidRPr="001D257A" w:rsidRDefault="00000000" w:rsidP="00A26521">
      <w:pPr>
        <w:bidi/>
        <w:spacing w:after="120" w:line="276" w:lineRule="auto"/>
        <w:ind w:firstLine="284"/>
        <w:jc w:val="left"/>
        <w:rPr>
          <w:rFonts w:hint="eastAsia"/>
        </w:rPr>
      </w:pPr>
      <w:r w:rsidRPr="001D257A">
        <w:rPr>
          <w:rtl/>
        </w:rPr>
        <w:t>تمثل منصات إدارة المشاريع الرقمية أحد أبرز وأهم تجليات التحول الرقمي في مجال إدارة المشاريع المعاصرة. وتُعرَّف بأنها أنظمة وتطبيقات برمجية متكاملة ومتعددة الوظائف تُستخدم في تخطيط المشاريع وتوزيع المهام وجدولتها ومتابعة تقدمها وإدارة المخاطر والموارد وتوثيق مستندات المشروع وإصدار التقارير الدورية والتفاعلية. وقد شهدت هذه المنصات تطورًا هائلًا في العقد الأخير، حيث تحولت من أدوات بسيطة لإدارة القوائم والمهام إلى أنظمة بيئية رقمية متكاملة تدعم جميع مراحل دورة حياة المشروع من البداية إلى الإغلاق (SharkByte, 2025; PMI, 2021).</w:t>
      </w:r>
    </w:p>
    <w:p w14:paraId="56171A54" w14:textId="77777777" w:rsidR="00000000" w:rsidRPr="001D257A" w:rsidRDefault="00000000" w:rsidP="00A26521">
      <w:pPr>
        <w:bidi/>
        <w:spacing w:after="120" w:line="276" w:lineRule="auto"/>
        <w:ind w:firstLine="284"/>
        <w:jc w:val="left"/>
        <w:rPr>
          <w:rFonts w:hint="eastAsia"/>
        </w:rPr>
      </w:pPr>
      <w:r w:rsidRPr="001D257A">
        <w:rPr>
          <w:rtl/>
        </w:rPr>
        <w:t>ومن أبرز منصات إدارة المشاريع المستخدمة على نطاق واسع في بيئة الأعمال العالمية والمحلية: منصة Jira التي تُعد الخيار الأول لفرق التطوير البرمجي وإدارة المشاريع التقنية بفضل دعمها القوي لمنهجيات Agile وScrum وKanban؛ ومنصة Asana التي تتميز بواجهة استخدام بديهية ومرنة وتدعم مختلف أساليب تنظيم المشاريع والمهام؛ ومنصة Trello التي تعتمد على نظام اللوحات والبطاقات المرئية وتناسب الفرق الصغيرة والمشاريع البسيطة والمتوسطة؛ ومنصة Monday.com التي تقدم بيئة عمل مرنة وقابلة للتخصيص بشكل كبير لإدارة أنواع مختلفة من المشاريع والعمليات؛ ومنصة Microsoft Project التي تُعد من أقدم وأقوى أدوات إدارة المشاريع وتتكامل مع منظومة Microsoft 365 بشكل كامل؛ ومنصة Basecamp التي تركز على بساطة التواصل والتعاون بين أعضاء الفريق.</w:t>
      </w:r>
    </w:p>
    <w:p w14:paraId="4F59FA2E" w14:textId="77777777" w:rsidR="00000000" w:rsidRPr="001D257A" w:rsidRDefault="00000000" w:rsidP="00A26521">
      <w:pPr>
        <w:bidi/>
        <w:spacing w:after="120" w:line="276" w:lineRule="auto"/>
        <w:ind w:firstLine="284"/>
        <w:jc w:val="left"/>
        <w:rPr>
          <w:rFonts w:hint="eastAsia"/>
        </w:rPr>
      </w:pPr>
      <w:r w:rsidRPr="001D257A">
        <w:rPr>
          <w:rtl/>
        </w:rPr>
        <w:t>وقد أشارت دراسة Chen وآخرين (2023) في مراجعتهم المنهجية الشاملة إلى أن استخدام منصات إدارة المشاريع الرقمية يُسهم بشكل مباشر وقابل للقياس في تحسين الشفافية والوضوح حول حالة المشروع في أي وقت، ويسهّل التنسيق اليومي بين أعضاء الفريق ويقلل الاعتماد على الاجتماعات غير الضرورية التي تستهلك وقت الفريق دون إنتاجية حقيقية، ما ينعكس إيجابًا على سرعة الإنجاز وجودة التنفيذ. كما أكدت دراسة Abdelhameed (2025) أن الشركات السعودية التي تتبنى برمجيات إدارة المشاريع المتكاملة تحقق نتائج أفضل بشكل ملموس في الالتزام بالجداول الزمنية المحددة وتحسين جودة مخرجات المشاريع وتقليل نسب التأخير والتجاوز في التكاليف.</w:t>
      </w:r>
    </w:p>
    <w:p w14:paraId="49DFA59B" w14:textId="77777777" w:rsidR="00000000" w:rsidRPr="001D257A" w:rsidRDefault="00000000" w:rsidP="00A26521">
      <w:pPr>
        <w:bidi/>
        <w:spacing w:after="120" w:line="276" w:lineRule="auto"/>
        <w:ind w:firstLine="284"/>
        <w:jc w:val="left"/>
        <w:rPr>
          <w:rFonts w:hint="eastAsia"/>
        </w:rPr>
      </w:pPr>
      <w:r w:rsidRPr="001D257A">
        <w:rPr>
          <w:rtl/>
        </w:rPr>
        <w:t xml:space="preserve">وتوفر منصات إدارة المشاريع الرقمية مجموعة واسعة ومتنوعة من المزايا للشركات الناشئة تشمل: توحيد مصادر المعلومات في بيئة واحدة يمكن لجميع أعضاء الفريق الوصول إليها، وتسهيل تتبّع المهام وتحديثاتها في الوقت الحقيقي دون الحاجة للاستفسار المتكرر، وتوفير لوحات بيانات تفاعلية ومرئية لمتابعة أداء المشروع واتخاذ القرارات المبنية على بيانات محدّثة، ودعم إدارة الموارد والمخاطر والميزانيات بشكل منظم وشفاف. كما تتيح هذه المنصات إمكانية التكامل مع أدوات وأنظمة أخرى مثل أنظمة إدارة العلاقات </w:t>
      </w:r>
      <w:r w:rsidRPr="001D257A">
        <w:rPr>
          <w:rtl/>
        </w:rPr>
        <w:lastRenderedPageBreak/>
        <w:t>مع العملاء (CRM) وأنظمة المحاسبة وأدوات التواصل مثل Slack وMicrosoft Teams، ما يعزز من كفاءة النظام البيئي الرقمي للشركة ويُقلّل من الحاجة للتنقل بين تطبيقات متعددة.</w:t>
      </w:r>
    </w:p>
    <w:p w14:paraId="23E0FE8E" w14:textId="77777777" w:rsidR="00000000" w:rsidRPr="001D257A" w:rsidRDefault="00000000" w:rsidP="00A26521">
      <w:pPr>
        <w:bidi/>
        <w:spacing w:after="120" w:line="276" w:lineRule="auto"/>
        <w:ind w:firstLine="284"/>
        <w:jc w:val="left"/>
        <w:rPr>
          <w:rFonts w:hint="eastAsia"/>
        </w:rPr>
      </w:pPr>
      <w:r w:rsidRPr="001D257A">
        <w:rPr>
          <w:rtl/>
        </w:rPr>
        <w:t>وتُشير التقارير الصناعية إلى أن معدلات تبنّي منصات إدارة المشاريع الرقمية تشهد نموًا مطّردًا على المستوى العالمي، حيث أصبحت هذه المنصات معيارًا أساسيًا في الشركات من مختلف الأحجام والقطاعات. وفي بيئة الشركات الناشئة، تكتسب هذه المنصات أهمية مضاعفة لأنها توفر بديلًا فعّالًا من حيث التكلفة عن توظيف كوادر إدارية إضافية، وتُمكّن الفرق الصغيرة من إدارة مشاريع متعددة بكفاءة عالية. وقد أوضح دليل PMBOK في إصداره السابع (PMI, 2021) أن التقنيات الرقمية في إدارة المشاريع أصبحت جزءًا لا يتجزأ من الممارسات الفضلى المعتمدة عالميًا.</w:t>
      </w:r>
    </w:p>
    <w:p w14:paraId="09925FDC"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29" w:name="_Toc225544164"/>
      <w:r w:rsidRPr="001D257A">
        <w:rPr>
          <w:rFonts w:ascii="Simplified Arabic" w:hAnsi="Simplified Arabic" w:cs="Simplified Arabic"/>
          <w:rtl/>
        </w:rPr>
        <w:t>2. الأتمتة في العمليات المرتبطة بالمشاريع (Automation in Project Operations)</w:t>
      </w:r>
      <w:bookmarkEnd w:id="29"/>
    </w:p>
    <w:p w14:paraId="4F743F55" w14:textId="77777777" w:rsidR="00000000" w:rsidRPr="001D257A" w:rsidRDefault="00000000" w:rsidP="00A26521">
      <w:pPr>
        <w:bidi/>
        <w:spacing w:after="120" w:line="276" w:lineRule="auto"/>
        <w:ind w:firstLine="284"/>
        <w:jc w:val="left"/>
        <w:rPr>
          <w:rFonts w:hint="eastAsia"/>
        </w:rPr>
      </w:pPr>
      <w:r w:rsidRPr="001D257A">
        <w:rPr>
          <w:rtl/>
        </w:rPr>
        <w:t>يُقصد بالأتمتة في سياق إدارة المشاريع استخدام التقنيات الرقمية والبرمجيات المتخصصة لتنفيذ المهام الروتينية والمتكررة بشكل آلي أو شبه آلي، بما يشمل مجموعة واسعة من التطبيقات مثل: التذكير الآلي بالمواعيد النهائية والمعالم الرئيسة للمشروع، وتحديث حالة المهام تلقائيًا عند اكتمالها أو تغيّر حالتها، وتوليد التقارير الدورية بشكل آلي، وإرسال الإشعارات والتنبيهات للمعنيين عند حدوث تغييرات أو تأخيرات، وتتبّع مؤشرات الأداء الرئيسة (KPIs) بشكل مستمر ودون تدخل بشري (Adeniran et al., 2024).</w:t>
      </w:r>
    </w:p>
    <w:p w14:paraId="39AE7380" w14:textId="77777777" w:rsidR="00000000" w:rsidRPr="001D257A" w:rsidRDefault="00000000" w:rsidP="00A26521">
      <w:pPr>
        <w:bidi/>
        <w:spacing w:after="120" w:line="276" w:lineRule="auto"/>
        <w:ind w:firstLine="284"/>
        <w:jc w:val="left"/>
        <w:rPr>
          <w:rFonts w:hint="eastAsia"/>
        </w:rPr>
      </w:pPr>
      <w:r w:rsidRPr="001D257A">
        <w:rPr>
          <w:rtl/>
        </w:rPr>
        <w:t>وتتنوع مستويات الأتمتة في إدارة المشاريع بين عدة مستويات متدرجة: المستوى الأول هو أتمتة المهام البسيطة (Task Automation) مثل إرسال الإشعارات والتذكيرات تلقائيًا، وتحديث حقول البيانات بناءً على قواعد محددة مسبقًا. والمستوى الثاني هو أتمتة سير العمل (Workflow Automation) الذي يتضمن أتمتة تسلسل مهام كامل، بحيث تنتقل المهمة تلقائيًا من مرحلة إلى أخرى وفق قواعد أعمال محددة. والمستوى الثالث هو أتمتة العمليات الروبوتية (Robotic Process Automation - RPA) التي تتضمن استخدام برمجيات ذكية لتقليد الإجراءات البشرية في تنفيذ عمليات معقدة عبر أنظمة متعددة. والمستوى الرابع هو الأتمتة الذكية (Intelligent Automation) التي تجمع بين أتمتة العمليات والذكاء الاصطناعي والتعلم الآلي لاتخاذ قرارات وتنفيذ مهام معقدة بشكل مستقل.</w:t>
      </w:r>
    </w:p>
    <w:p w14:paraId="7491C43F" w14:textId="77777777" w:rsidR="00000000" w:rsidRPr="001D257A" w:rsidRDefault="00000000" w:rsidP="00A26521">
      <w:pPr>
        <w:bidi/>
        <w:spacing w:after="120" w:line="276" w:lineRule="auto"/>
        <w:ind w:firstLine="284"/>
        <w:jc w:val="left"/>
        <w:rPr>
          <w:rFonts w:hint="eastAsia"/>
        </w:rPr>
      </w:pPr>
      <w:r w:rsidRPr="001D257A">
        <w:rPr>
          <w:rtl/>
        </w:rPr>
        <w:t>وقد بيّنت دراسة Digital Transformation as Tool for Effective PM (2024) أن تبنّي الأتمتة في العمليات المرتبطة بإدارة المشاريع في المنشآت الصغيرة والمتوسطة يُسهم في تقليل الوقت المستغرق في الأعمال الإدارية الروتينية بنسب كبيرة قد تصل إلى 40% في بعض الحالات، ما يتيح لفرق العمل التركيز على المهام ذات القيمة المضافة العالية مثل التحليل الاستراتيجي وحل المشكلات المعقدة والتواصل مع العملاء وتطوير الحلول الإبداعية. كما أشارت دراسة Jahanger وآخرين (2021) إلى أن الأتمتة تُسهم بشكل قابل للقياس في خفض الأخطاء الناتجة عن الإدخال اليدوي للبيانات وتحسين دقة التوثيق والتقارير وزيادة اتساق المخرجات عبر المشاريع المختلفة.</w:t>
      </w:r>
    </w:p>
    <w:p w14:paraId="1722A16C" w14:textId="77777777" w:rsidR="00000000" w:rsidRPr="001D257A" w:rsidRDefault="00000000" w:rsidP="00A26521">
      <w:pPr>
        <w:bidi/>
        <w:spacing w:after="120" w:line="276" w:lineRule="auto"/>
        <w:ind w:firstLine="284"/>
        <w:jc w:val="left"/>
        <w:rPr>
          <w:rFonts w:hint="eastAsia"/>
        </w:rPr>
      </w:pPr>
      <w:r w:rsidRPr="001D257A">
        <w:rPr>
          <w:rtl/>
        </w:rPr>
        <w:t>وتتنوع أدوات الأتمتة المستخدمة في إدارة المشاريع بين أدوات بسيطة مضمّنة في منصات إدارة المشاريع ذاتها (مثل قواعد الأتمتة في Jira وAsana وMonday.com) وأدوات متخصصة أكثر تقدمًا مثل Zapier وMicrosoft Power Automate وMake (Integromat سابقًا) التي تتيح ربط تطبيقات متعددة وأتمتة عمليات معقدة عبر أنظمة مختلفة دون الحاجة لمعرفة برمجية متعمقة. وفي بيئة الشركات الناشئة التي تعاني عادة من محدودية الكوادر البشرية وضيق الوقت، تُعد الأتمتة أداة حيوية واستراتيجية لتعظيم الإنتاجية بموارد محدودة والحفاظ على مستوى عالٍ من الجودة والاتساق في العمليات والمخرجات.</w:t>
      </w:r>
    </w:p>
    <w:p w14:paraId="26975B84"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30" w:name="_Toc225544165"/>
      <w:r w:rsidRPr="001D257A">
        <w:rPr>
          <w:rFonts w:ascii="Simplified Arabic" w:hAnsi="Simplified Arabic" w:cs="Simplified Arabic"/>
          <w:rtl/>
        </w:rPr>
        <w:lastRenderedPageBreak/>
        <w:t>3. الحلول السحابية (Cloud Solutions)</w:t>
      </w:r>
      <w:bookmarkEnd w:id="30"/>
    </w:p>
    <w:p w14:paraId="179EA209" w14:textId="77777777" w:rsidR="00000000" w:rsidRPr="001D257A" w:rsidRDefault="00000000" w:rsidP="00A26521">
      <w:pPr>
        <w:bidi/>
        <w:spacing w:after="120" w:line="276" w:lineRule="auto"/>
        <w:ind w:firstLine="284"/>
        <w:jc w:val="left"/>
        <w:rPr>
          <w:rFonts w:hint="eastAsia"/>
        </w:rPr>
      </w:pPr>
      <w:r w:rsidRPr="001D257A">
        <w:rPr>
          <w:rtl/>
        </w:rPr>
        <w:t>تُشكّل الحلول السحابية أحد الأبعاد الجوهرية والأساسية للتحول الرقمي في إدارة المشاريع، حيث توفر بنية تحتية مرنة وقابلة للتوسع ومنخفضة التكلفة النسبية لتخزين بيانات المشاريع وأصولها الرقمية والوصول إليها ومشاركتها من أي مكان وفي أي وقت عبر الإنترنت. وقد أصبحت الحوسبة السحابية خلال العقد الأخير البنية التحتية الافتراضية لمعظم الأدوات والتطبيقات الرقمية المستخدمة في إدارة الأعمال والمشاريع.</w:t>
      </w:r>
    </w:p>
    <w:p w14:paraId="3BBAE6E5" w14:textId="77777777" w:rsidR="00000000" w:rsidRPr="001D257A" w:rsidRDefault="00000000" w:rsidP="00A26521">
      <w:pPr>
        <w:bidi/>
        <w:spacing w:after="120" w:line="276" w:lineRule="auto"/>
        <w:ind w:firstLine="284"/>
        <w:jc w:val="left"/>
        <w:rPr>
          <w:rFonts w:hint="eastAsia"/>
        </w:rPr>
      </w:pPr>
      <w:r w:rsidRPr="001D257A">
        <w:rPr>
          <w:rtl/>
        </w:rPr>
        <w:t>وتتوفر الحلول السحابية في ثلاثة نماذج رئيسة للتقديم: أولًا، نموذج البنية التحتية كخدمة (Infrastructure as a Service - IaaS) الذي يوفر موارد حوسبية وتخزينية وشبكية عبر الإنترنت، مثل Amazon Web Services (AWS) وMicrosoft Azure وGoogle Cloud Platform، حيث تستأجر المؤسسة موارد الحوسبة حسب الحاجة بدلًا من الاستثمار في بنية تحتية مادية مكلفة. ثانيًا، نموذج المنصة كخدمة (Platform as a Service - PaaS) الذي يوفر بيئة تطوير ونشر جاهزة للتطبيقات، مثل Google App Engine وHeroku. وثالثًا، نموذج البرمجية كخدمة (Software as a Service - SaaS) الذي يوفر تطبيقات جاهزة للاستخدام عبر الإنترنت مقابل اشتراك شهري أو سنوي، وهو النموذج الأكثر شيوعًا في بيئة الشركات الناشئة حيث تُستخدم تطبيقات مثل Google Workspace وMicrosoft 365 وSlack وAsana وغيرها (Fostering Digitalization, 2023).</w:t>
      </w:r>
    </w:p>
    <w:p w14:paraId="0C38BECE" w14:textId="77777777" w:rsidR="00000000" w:rsidRPr="001D257A" w:rsidRDefault="00000000" w:rsidP="00A26521">
      <w:pPr>
        <w:bidi/>
        <w:spacing w:after="120" w:line="276" w:lineRule="auto"/>
        <w:ind w:firstLine="284"/>
        <w:jc w:val="left"/>
        <w:rPr>
          <w:rFonts w:hint="eastAsia"/>
        </w:rPr>
      </w:pPr>
      <w:r w:rsidRPr="001D257A">
        <w:rPr>
          <w:rtl/>
        </w:rPr>
        <w:t>وقد أشارت دراسة Driving Sustainable Growth in SME (2024) إلى أن اعتماد الحلول السحابية في المنشآت الصغيرة والمتوسطة يُسهم بشكل ملموس في تحسين مستوى التعاون والتنسيق بين أعضاء فرق المشاريع، خاصة في بيئات العمل عن بُعد أو الهجينة التي انتشرت بشكل واسع بعد جائحة كوفيد-19. كما تُتيح الحلول السحابية إمكانية العمل التشاركي على نفس الوثائق والملفات بشكل متزامن دون مشكلات تضارب النسخ أو ازدواجية البيانات التي كانت شائعة في بيئات العمل التقليدية المعتمدة على مشاركة الملفات عبر البريد الإلكتروني أو وسائط التخزين المادية.</w:t>
      </w:r>
    </w:p>
    <w:p w14:paraId="77FC8F9E" w14:textId="77777777" w:rsidR="00000000" w:rsidRPr="001D257A" w:rsidRDefault="00000000" w:rsidP="00A26521">
      <w:pPr>
        <w:bidi/>
        <w:spacing w:after="120" w:line="276" w:lineRule="auto"/>
        <w:ind w:firstLine="284"/>
        <w:jc w:val="left"/>
        <w:rPr>
          <w:rFonts w:hint="eastAsia"/>
        </w:rPr>
      </w:pPr>
      <w:r w:rsidRPr="001D257A">
        <w:rPr>
          <w:rtl/>
        </w:rPr>
        <w:t>وفي السياق السعودي، تشهد المملكة العربية السعودية استثمارات ضخمة ومتسارعة في البنية التحتية السحابية، حيث أطلقت الحكومة سياسة "السحابة أولًا" (Cloud-First Policy) التي تشجع الجهات الحكومية والقطاع الخاص على تبنّي الحلول السحابية بدلًا من البنى التحتية التقليدية. وقد دخل كبار مزودي الخدمات السحابية العالميين مثل Oracle وAmazon Web Services وGoogle Cloud وAlibaba Cloud إلى السوق السعودي بمراكز بيانات محلية، ما يوفر للشركات الناشئة السعودية إمكانية الاستفادة من أحدث الخدمات السحابية مع ضمان بقاء البيانات داخل حدود المملكة وفقًا للمتطلبات التنظيمية والسيادية (مركز المعلومات والأبحاث السياحية، 2024).</w:t>
      </w:r>
    </w:p>
    <w:p w14:paraId="2F1E95BD" w14:textId="77777777" w:rsidR="00000000" w:rsidRPr="001D257A" w:rsidRDefault="00000000" w:rsidP="00A26521">
      <w:pPr>
        <w:bidi/>
        <w:spacing w:after="120" w:line="276" w:lineRule="auto"/>
        <w:ind w:firstLine="284"/>
        <w:jc w:val="left"/>
        <w:rPr>
          <w:rFonts w:hint="eastAsia"/>
        </w:rPr>
      </w:pPr>
      <w:r w:rsidRPr="001D257A">
        <w:rPr>
          <w:rtl/>
        </w:rPr>
        <w:t>وتجدر الإشارة إلى أن تحديات تبنّي الحلول السحابية في بيئة الشركات الناشئة السعودية لا تقتصر على الجوانب التقنية فحسب، بل تمتد لتشمل تحديات تنظيمية وثقافية وأمنية. فمن الناحية التنظيمية، قد تواجه بعض الشركات صعوبات في الامتثال للأنظمة واللوائح المتعلقة بحماية البيانات وسيادتها، خاصة عند التعامل مع بيانات حساسة للعملاء أو بيانات مالية تخضع لرقابة الجهات التنظيمية. ومن الناحية الثقافية، لا يزال بعض أصحاب القرار في الشركات الناشئة يفضلون الاحتفاظ ببياناتهم في خوادم محلية داخلية بسبب مخاوف أمنية قد لا تكون مبررة تقنيًا في ظل المستويات العالية من الأمان التي توفرها منصات السحابة العامة الكبرى. ومن الناحية العملية، يتطلب الانتقال إلى بيئة سحابية بالكامل تخطيطًا دقيقًا لعملية الترحيل وتدريب العاملين على الأدوات الجديدة وضمان استمرارية الأعمال أثناء فترة الانتقال.</w:t>
      </w:r>
    </w:p>
    <w:p w14:paraId="43633885" w14:textId="77777777" w:rsidR="00000000" w:rsidRPr="001D257A" w:rsidRDefault="00000000" w:rsidP="00A26521">
      <w:pPr>
        <w:bidi/>
        <w:spacing w:after="120" w:line="276" w:lineRule="auto"/>
        <w:ind w:firstLine="284"/>
        <w:jc w:val="left"/>
        <w:rPr>
          <w:rFonts w:hint="eastAsia"/>
        </w:rPr>
      </w:pPr>
      <w:r w:rsidRPr="001D257A">
        <w:rPr>
          <w:rtl/>
        </w:rPr>
        <w:t xml:space="preserve">وعلى الرغم من هذه التحديات، فإن المزايا الاستراتيجية للحلول السحابية تجعلها خيارًا لا غنى عنه للشركات الناشئة الطامحة للنمو والتوسع. فالحلول السحابية تُمكّن الشركة الناشئة من التوسع الجغرافي بسهولة من خلال إتاحة الوصول إلى البيانات والأنظمة من أي مكان في العالم، كما تُقلّل بشكل كبير من التكاليف الرأسمالية المطلوبة للبنية التحتية التقنية التي قد تُشكّل عبئًا ماليًا كبيرًا </w:t>
      </w:r>
      <w:r w:rsidRPr="001D257A">
        <w:rPr>
          <w:rtl/>
        </w:rPr>
        <w:lastRenderedPageBreak/>
        <w:t>على الشركات في مراحلها المبكرة. إضافة إلى ذلك، توفر الحلول السحابية مستويات أمان وحماية متقدمة قد يكون من الصعب على شركة ناشئة صغيرة توفيرها بمفردها من خلال بنية تحتية داخلية. كما تُتيح القدرة على الاستجابة السريعة للتغيرات في حجم العمل من خلال التوسع أو التقليص المرن للموارد الحوسبية حسب الحاجة الفعلية.</w:t>
      </w:r>
    </w:p>
    <w:p w14:paraId="507C1D62" w14:textId="77777777" w:rsidR="00000000" w:rsidRPr="001D257A" w:rsidRDefault="00000000" w:rsidP="00A26521">
      <w:pPr>
        <w:bidi/>
        <w:spacing w:after="120" w:line="276" w:lineRule="auto"/>
        <w:ind w:firstLine="284"/>
        <w:jc w:val="left"/>
        <w:rPr>
          <w:rFonts w:hint="eastAsia"/>
        </w:rPr>
      </w:pPr>
      <w:r w:rsidRPr="001D257A">
        <w:rPr>
          <w:rtl/>
        </w:rPr>
        <w:t>وتتميز الحلول السحابية بمزايا متعددة تجعلها مناسبة بشكل خاص للشركات الناشئة، أبرزها: انخفاض التكلفة الأولية مقارنة بالبنى التحتية التقليدية، حيث يمكن للشركة البدء باشتراكات شهرية منخفضة وزيادتها تدريجيًا مع نمو أعمالها؛ وقابلية التوسع المرنة والسريعة وفقًا لاحتياجات الشركة المتغيرة؛ وتوفير مستويات أمان متقدمة لحماية بيانات المشاريع والعملاء؛ وسهولة التحديث والصيانة المستمرة دون الحاجة لموارد تقنية متخصصة داخلية كبيرة.</w:t>
      </w:r>
    </w:p>
    <w:p w14:paraId="448014FD"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31" w:name="_Toc225544166"/>
      <w:r w:rsidRPr="001D257A">
        <w:rPr>
          <w:rFonts w:ascii="Simplified Arabic" w:hAnsi="Simplified Arabic" w:cs="Simplified Arabic"/>
          <w:rtl/>
        </w:rPr>
        <w:t>4. تحليلات البيانات والذكاء الاصطناعي (Data Analytics and AI)</w:t>
      </w:r>
      <w:bookmarkEnd w:id="31"/>
    </w:p>
    <w:p w14:paraId="00B20654" w14:textId="77777777" w:rsidR="00000000" w:rsidRPr="001D257A" w:rsidRDefault="00000000" w:rsidP="00A26521">
      <w:pPr>
        <w:bidi/>
        <w:spacing w:after="120" w:line="276" w:lineRule="auto"/>
        <w:ind w:firstLine="284"/>
        <w:jc w:val="left"/>
        <w:rPr>
          <w:rFonts w:hint="eastAsia"/>
        </w:rPr>
      </w:pPr>
      <w:r w:rsidRPr="001D257A">
        <w:rPr>
          <w:rtl/>
        </w:rPr>
        <w:t>يمثل بُعد تحليلات البيانات والذكاء الاصطناعي أحد أكثر أبعاد التحول الرقمي تطورًا وتأثيرًا وإثارة في مجال إدارة المشاريع المعاصرة. ويُقصد به استخدام مجموعة متنوعة من الأدوات والتقنيات الرقمية المتقدمة لجمع وتنظيم وتحليل بيانات المشاريع بأنواعها المختلفة (مدد التنفيذ الفعلية مقابل المخطط لها، التكاليف الفعلية والمتوقعة، معدلات الأخطاء والعيوب، مؤشرات الأداء الرئيسة، درجات رضا العملاء، وغيرها) واستخلاص أنماط ورؤى وتوصيات تدعم اتخاذ القرارات الإدارية والتشغيلية بشكل أكثر دقة وسرعة (AI-Enabled PM, 2024).</w:t>
      </w:r>
    </w:p>
    <w:p w14:paraId="48A984E1" w14:textId="77777777" w:rsidR="00000000" w:rsidRPr="001D257A" w:rsidRDefault="00000000" w:rsidP="00A26521">
      <w:pPr>
        <w:bidi/>
        <w:spacing w:after="120" w:line="276" w:lineRule="auto"/>
        <w:ind w:firstLine="284"/>
        <w:jc w:val="left"/>
        <w:rPr>
          <w:rFonts w:hint="eastAsia"/>
        </w:rPr>
      </w:pPr>
      <w:r w:rsidRPr="001D257A">
        <w:rPr>
          <w:rtl/>
        </w:rPr>
        <w:t>وتتدرج تطبيقات تحليلات البيانات في إدارة المشاريع عبر أربعة مستويات متصاعدة من التعقيد والقيمة: المستوى الأول هو التحليل الوصفي (Descriptive Analytics) الذي يجيب عن سؤال "ماذا حدث؟" من خلال تلخيص البيانات التاريخية وعرضها في لوحات بيانات تفاعلية (Dashboards) ومخططات بيانية واضحة. والمستوى الثاني هو التحليل التشخيصي (Diagnostic Analytics) الذي يجيب عن سؤال "لماذا حدث؟" من خلال تحليل الأسباب الجذرية للمشكلات والانحرافات. والمستوى الثالث هو التحليل التنبؤي (Predictive Analytics) الذي يجيب عن سؤال "ماذا سيحدث؟" من خلال استخدام النماذج الإحصائية وتقنيات التعلم الآلي للتنبؤ بالمخاطر والتأخيرات والتكاليف المستقبلية. والمستوى الرابع هو التحليل الإرشادي (Prescriptive Analytics) الذي يجيب عن سؤال "ماذا يجب أن نفعل؟" من خلال تقديم توصيات وخيارات محددة لصناع القرار بناءً على تحليل شامل للبيانات والسيناريوهات المختلفة.</w:t>
      </w:r>
    </w:p>
    <w:p w14:paraId="2A5B86B4" w14:textId="77777777" w:rsidR="00000000" w:rsidRPr="001D257A" w:rsidRDefault="00000000" w:rsidP="00A26521">
      <w:pPr>
        <w:bidi/>
        <w:spacing w:after="120" w:line="276" w:lineRule="auto"/>
        <w:ind w:firstLine="284"/>
        <w:jc w:val="left"/>
        <w:rPr>
          <w:rFonts w:hint="eastAsia"/>
        </w:rPr>
      </w:pPr>
      <w:r w:rsidRPr="001D257A">
        <w:rPr>
          <w:rtl/>
        </w:rPr>
        <w:t>وقد أشارت دراسة Assessing Outcomes of DT (2023) إلى أن توظيف تحليلات البيانات في مشاريع التحول الرقمي يُسهم بشكل واضح في تحسين جودة اتخاذ القرار من خلال توفير رؤى مبنية على بيانات حقيقية ومحدّثة بدلًا من الاعتماد على الحدس الشخصي أو الخبرة السابقة فقط. كما أكدت دراسة AI-Enabled PM (2024) أن دمج تقنيات الذكاء الاصطناعي في أنظمة إدارة المشاريع يفتح آفاقًا جديدة وواعدة لتحسين الكفاءة من خلال التنبؤ المبكر بالمخاطر واكتشاف الانحرافات قبل تفاقمها وتحسين تخصيص الموارد بناءً على أنماط الأداء التاريخية والتقديرات المستقبلية.</w:t>
      </w:r>
    </w:p>
    <w:p w14:paraId="144B79F7" w14:textId="77777777" w:rsidR="00000000" w:rsidRPr="001D257A" w:rsidRDefault="00000000" w:rsidP="00A26521">
      <w:pPr>
        <w:bidi/>
        <w:spacing w:after="120" w:line="276" w:lineRule="auto"/>
        <w:ind w:firstLine="284"/>
        <w:jc w:val="left"/>
        <w:rPr>
          <w:rFonts w:hint="eastAsia"/>
        </w:rPr>
      </w:pPr>
      <w:r w:rsidRPr="001D257A">
        <w:rPr>
          <w:rtl/>
        </w:rPr>
        <w:t>وتشمل الأدوات المستخدمة في تحليلات البيانات في إدارة المشاريع: أدوات ذكاء الأعمال (Business Intelligence - BI) مثل Microsoft Power BI وTableau وLooker التي توفر لوحات بيانات تفاعلية ومخططات بصرية متقدمة؛ وأدوات التحليل الإحصائي مثل SPSS وR وPython المستخدمة في التحليلات المتقدمة والنمذجة التنبؤية؛ وأدوات التحليل المدمجة في منصات إدارة المشاريع ذاتها مثل تقارير Jira وAsana الآلية. وفي بيئة الشركات الناشئة التي تكون فيها الموارد محدودة والقرارات حاسمة ومصيرية، يمكن أن تُحدث تحليلات البيانات فارقًا كبيرًا وملموسًا في جودة القرارات الإدارية وسرعة الاستجابة للتحديات والفرص (Strategies for Improving Efficiency, 2024).</w:t>
      </w:r>
    </w:p>
    <w:p w14:paraId="2E92B2A7"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32" w:name="_Toc225544167"/>
      <w:r w:rsidRPr="001D257A">
        <w:rPr>
          <w:rFonts w:ascii="Simplified Arabic" w:hAnsi="Simplified Arabic" w:cs="Simplified Arabic"/>
          <w:rtl/>
        </w:rPr>
        <w:lastRenderedPageBreak/>
        <w:t>5. أنظمة التواصل الرقمي (Digital Communication Systems)</w:t>
      </w:r>
      <w:bookmarkEnd w:id="32"/>
    </w:p>
    <w:p w14:paraId="4CDC73CE" w14:textId="77777777" w:rsidR="00000000" w:rsidRPr="001D257A" w:rsidRDefault="00000000" w:rsidP="00A26521">
      <w:pPr>
        <w:bidi/>
        <w:spacing w:after="120" w:line="276" w:lineRule="auto"/>
        <w:ind w:firstLine="284"/>
        <w:jc w:val="left"/>
        <w:rPr>
          <w:rFonts w:hint="eastAsia"/>
        </w:rPr>
      </w:pPr>
      <w:r w:rsidRPr="001D257A">
        <w:rPr>
          <w:rtl/>
        </w:rPr>
        <w:t>تُعد أنظمة التواصل الرقمي البُعد الخامس والأخير من أبعاد التحول الرقمي في هذه الدراسة، وتشمل مجموعة واسعة ومتنوعة من المنصات والأدوات الرقمية المستخدمة في التواصل والتنسيق بين أعضاء فرق المشاريع بأشكاله المختلفة: المتزامن (Synchronous) مثل الاجتماعات الافتراضية والمكالمات الصوتية والمرئية، وغير المتزامن (Asynchronous) مثل المراسلات الفورية والقنوات المخصصة ومشاركة الوثائق والتعليقات.</w:t>
      </w:r>
    </w:p>
    <w:p w14:paraId="40537616" w14:textId="77777777" w:rsidR="00000000" w:rsidRPr="001D257A" w:rsidRDefault="00000000" w:rsidP="00A26521">
      <w:pPr>
        <w:bidi/>
        <w:spacing w:after="120" w:line="276" w:lineRule="auto"/>
        <w:ind w:firstLine="284"/>
        <w:jc w:val="left"/>
        <w:rPr>
          <w:rFonts w:hint="eastAsia"/>
        </w:rPr>
      </w:pPr>
      <w:r w:rsidRPr="001D257A">
        <w:rPr>
          <w:rtl/>
        </w:rPr>
        <w:t>ومن أبرز أنظمة التواصل الرقمي المستخدمة في بيئة إدارة المشاريع: منصة Microsoft Teams التي تُعد الأوسع انتشارًا في بيئة الأعمال بفضل تكاملها مع منظومة Microsoft 365 وتوفيرها لخدمات الاجتماعات المرئية والمراسلة ومشاركة الملفات والتعاون على الوثائق في بيئة واحدة متكاملة؛ ومنصة Slack التي تتميز بنظام القنوات المنظمة والتكامل مع مئات التطبيقات الخارجية وتُستخدم على نطاق واسع في الشركات الناشئة وشركات التقنية؛ ومنصة Zoom التي أصبحت المعيار العالمي للاجتماعات المرئية خاصة بعد جائحة كوفيد-19؛ ومنصة Google Meet المتكاملة مع Google Workspace؛ إضافة إلى أدوات التواصل المدمجة في منصات إدارة المشاريع ذاتها مثل التعليقات على المهام والإشعارات الفورية (Afridi et al., 2023).</w:t>
      </w:r>
    </w:p>
    <w:p w14:paraId="5CE5F212" w14:textId="77777777" w:rsidR="00000000" w:rsidRPr="001D257A" w:rsidRDefault="00000000" w:rsidP="00A26521">
      <w:pPr>
        <w:bidi/>
        <w:spacing w:after="120" w:line="276" w:lineRule="auto"/>
        <w:ind w:firstLine="284"/>
        <w:jc w:val="left"/>
        <w:rPr>
          <w:rFonts w:hint="eastAsia"/>
        </w:rPr>
      </w:pPr>
      <w:r w:rsidRPr="001D257A">
        <w:rPr>
          <w:rtl/>
        </w:rPr>
        <w:t>وقد أظهرت دراسة Afridi وآخرين (2023) المنشورة في مجلة Heliyon أن تبنّي أدوات التواصل الرقمي يُحسّن كفاءة المشاريع بشكل دال إحصائيًا من خلال عدة مسارات: تسهيل تبادل المعلومات والتحديثات بين أعضاء الفريق في الوقت الحقيقي، وتقليل سوء الفهم والتواصل الناتج عن قنوات التواصل التقليدية المحدودة، وتمكين الفرق الموزعة جغرافيًا من العمل بفاعلية مماثلة للفرق المتواجدة في نفس المكان. كما أكدت الدراسة أن سهولة استخدام هذه الأدوات ودعم الإدارة العليا لتبنّيها يمثلان عاملين حاسمين في تعزيز تأثيرها الإيجابي على أداء المشاريع.</w:t>
      </w:r>
    </w:p>
    <w:p w14:paraId="7C8492B3" w14:textId="77777777" w:rsidR="00000000" w:rsidRPr="001D257A" w:rsidRDefault="00000000" w:rsidP="00A26521">
      <w:pPr>
        <w:bidi/>
        <w:spacing w:after="120" w:line="276" w:lineRule="auto"/>
        <w:ind w:firstLine="284"/>
        <w:jc w:val="left"/>
        <w:rPr>
          <w:rFonts w:hint="eastAsia"/>
        </w:rPr>
      </w:pPr>
      <w:r w:rsidRPr="001D257A">
        <w:rPr>
          <w:rtl/>
        </w:rPr>
        <w:t>ويمكن التمييز بين نوعين رئيسين من التواصل الرقمي في إدارة المشاريع: التواصل المتزامن (Synchronous Communication) الذي يحدث في الوقت الحقيقي ويتضمن الاجتماعات المرئية والمكالمات الصوتية والمحادثات الفورية، ويُناسب المواقف التي تتطلب نقاشًا فوريًا واتخاذ قرارات سريعة؛ والتواصل غير المتزامن (Asynchronous Communication) الذي يحدث في أوقات مختلفة ويتضمن الرسائل في القنوات والتعليقات على المهام ومشاركة الوثائق، ويُناسب المواقف التي تتطلب تفكيرًا معمّقًا أو توثيقًا مكتوبًا أو عندما يعمل أعضاء الفريق في مناطق زمنية مختلفة. والتوازن الفعّال بين هذين النوعين يُعد مهارة إدارية مهمة تُسهم في تحسين إنتاجية الفريق ورفاهية أعضائه (SharkByte, 2025).</w:t>
      </w:r>
    </w:p>
    <w:p w14:paraId="04FCC807"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33" w:name="_Toc225544168"/>
      <w:r w:rsidRPr="001D257A">
        <w:rPr>
          <w:rFonts w:ascii="Simplified Arabic" w:hAnsi="Simplified Arabic" w:cs="Simplified Arabic"/>
          <w:rtl/>
        </w:rPr>
        <w:t>رابعًا: التحول الرقمي في المملكة العربية السعودية</w:t>
      </w:r>
      <w:bookmarkEnd w:id="33"/>
    </w:p>
    <w:p w14:paraId="709276B4" w14:textId="77777777" w:rsidR="00000000" w:rsidRPr="001D257A" w:rsidRDefault="00000000" w:rsidP="00A26521">
      <w:pPr>
        <w:bidi/>
        <w:spacing w:after="120" w:line="276" w:lineRule="auto"/>
        <w:ind w:firstLine="284"/>
        <w:jc w:val="left"/>
        <w:rPr>
          <w:rFonts w:hint="eastAsia"/>
        </w:rPr>
      </w:pPr>
      <w:r w:rsidRPr="001D257A">
        <w:rPr>
          <w:rtl/>
        </w:rPr>
        <w:t>تحتل المملكة العربية السعودية مكانة متقدمة ومتميزة على خارطة التحول الرقمي في منطقة الشرق الأوسط وشمال أفريقيا والعالم، مدفوعة برؤية 2030 الطموحة التي جعلت من التحول الرقمي ركيزة استراتيجية أساسية. وقد تجسّد هذا التوجه في إنشاء عدد من الجهات والهيئات المتخصصة التي تقود جهود التحول الرقمي على المستوى الوطني، أبرزها: هيئة الحكومة الرقمية التي تتولى قيادة التحول الرقمي في القطاع الحكومي وتطوير الخدمات الحكومية الإلكترونية؛ والهيئة السعودية للبيانات والذكاء الاصطناعي (سدايا) التي تقود جهود المملكة في مجال البيانات والذكاء الاصطناعي؛ وهيئة الاتصالات والفضاء والتقنية التي تنظم وتطور قطاع الاتصالات وتقنية المعلومات في المملكة (هيئة الحكومة الرقمية السعودية، 2023).</w:t>
      </w:r>
    </w:p>
    <w:p w14:paraId="3DE0C024" w14:textId="77777777" w:rsidR="00000000" w:rsidRPr="001D257A" w:rsidRDefault="00000000" w:rsidP="00A26521">
      <w:pPr>
        <w:bidi/>
        <w:spacing w:after="120" w:line="276" w:lineRule="auto"/>
        <w:ind w:firstLine="284"/>
        <w:jc w:val="left"/>
        <w:rPr>
          <w:rFonts w:hint="eastAsia"/>
        </w:rPr>
      </w:pPr>
      <w:r w:rsidRPr="001D257A">
        <w:rPr>
          <w:rtl/>
        </w:rPr>
        <w:t xml:space="preserve">وقد أطلقت المملكة عددًا من المبادرات والاستراتيجيات الرقمية الطموحة، من أبرزها: الاستراتيجية الوطنية للتحول الرقمي التي تستهدف تحويل جميع الخدمات الحكومية إلى خدمات رقمية متكاملة؛ والاستراتيجية الوطنية للبيانات والذكاء الاصطناعي التي تهدف إلى جعل المملكة مركزًا عالميًا في هذا المجال؛ وسياسة "السحابة أولًا" التي تشجع الجهات الحكومية والخاصة على تبنّي الحلول </w:t>
      </w:r>
      <w:r w:rsidRPr="001D257A">
        <w:rPr>
          <w:rtl/>
        </w:rPr>
        <w:lastRenderedPageBreak/>
        <w:t>السحابية؛ وبرنامج التحول الوطني الذي يتضمن مئات المبادرات الرقمية عبر مختلف القطاعات. وقد أسفرت هذه الجهود عن تحقيق المملكة لمراتب متقدمة في مؤشرات التحول الرقمي العالمية، بما في ذلك مؤشر الأمم المتحدة للحكومة الإلكترونية ومؤشر نضج الخدمات الحكومية الرقمية (مركز المعلومات والأبحاث السياحية، 2024).</w:t>
      </w:r>
    </w:p>
    <w:p w14:paraId="7237FC84" w14:textId="77777777" w:rsidR="00000000" w:rsidRPr="001D257A" w:rsidRDefault="00000000" w:rsidP="00A26521">
      <w:pPr>
        <w:bidi/>
        <w:spacing w:after="120" w:line="276" w:lineRule="auto"/>
        <w:ind w:firstLine="284"/>
        <w:jc w:val="left"/>
        <w:rPr>
          <w:rFonts w:hint="eastAsia"/>
        </w:rPr>
      </w:pPr>
      <w:r w:rsidRPr="001D257A">
        <w:rPr>
          <w:rtl/>
        </w:rPr>
        <w:t>وفي مجال دعم الشركات الناشئة والمنشآت الصغيرة والمتوسطة، أطلقت هيئة المنشآت الصغيرة والمتوسطة (منشآت) عددًا من البرامج والمبادرات التي تستهدف تمكين التحول الرقمي في هذه المنشآت، بما في ذلك توفير حلول رقمية مدعومة بأسعار تفضيلية، وبرامج تدريبية متخصصة في المهارات الرقمية، ومنصات استشارية لمساعدة الشركات الناشئة في رحلة تحولها الرقمي. كما أسهمت مسرّعات الأعمال وحاضنات الابتكار المنتشرة في المملكة في تعزيز تبنّي الشركات الناشئة للتقنيات الرقمية الحديثة في عملياتها وإدارة مشاريعها (منشآت، 2024).</w:t>
      </w:r>
    </w:p>
    <w:p w14:paraId="68DF532E" w14:textId="77777777" w:rsidR="00000000" w:rsidRPr="001D257A" w:rsidRDefault="00000000" w:rsidP="00A26521">
      <w:pPr>
        <w:pStyle w:val="Heading2"/>
        <w:bidi/>
        <w:spacing w:after="200"/>
        <w:jc w:val="left"/>
        <w:rPr>
          <w:rFonts w:ascii="Simplified Arabic" w:hAnsi="Simplified Arabic" w:cs="Simplified Arabic" w:hint="eastAsia"/>
        </w:rPr>
      </w:pPr>
      <w:bookmarkStart w:id="34" w:name="_Toc225544169"/>
      <w:r w:rsidRPr="001D257A">
        <w:rPr>
          <w:rFonts w:ascii="Simplified Arabic" w:hAnsi="Simplified Arabic" w:cs="Simplified Arabic"/>
          <w:rtl/>
        </w:rPr>
        <w:t>المبحث الثاني: المتغير التابع - كفاءة عمليات إدارة المشاريع</w:t>
      </w:r>
      <w:bookmarkEnd w:id="34"/>
    </w:p>
    <w:p w14:paraId="5A86F608"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35" w:name="_Toc225544170"/>
      <w:r w:rsidRPr="001D257A">
        <w:rPr>
          <w:rFonts w:ascii="Simplified Arabic" w:hAnsi="Simplified Arabic" w:cs="Simplified Arabic"/>
          <w:rtl/>
        </w:rPr>
        <w:t>أولًا: مفهوم إدارة المشاريع</w:t>
      </w:r>
      <w:bookmarkEnd w:id="35"/>
    </w:p>
    <w:p w14:paraId="06998772" w14:textId="77777777" w:rsidR="00000000" w:rsidRPr="001D257A" w:rsidRDefault="00000000" w:rsidP="00A26521">
      <w:pPr>
        <w:bidi/>
        <w:spacing w:after="120" w:line="276" w:lineRule="auto"/>
        <w:ind w:firstLine="284"/>
        <w:jc w:val="left"/>
        <w:rPr>
          <w:rFonts w:hint="eastAsia"/>
        </w:rPr>
      </w:pPr>
      <w:r w:rsidRPr="001D257A">
        <w:rPr>
          <w:rtl/>
        </w:rPr>
        <w:t>تُعرّف إدارة المشاريع وفقًا لمعهد إدارة المشاريع الأمريكي (PMI) في دليل PMBOK الإصدار السابع (2021) بأنها "تطبيق المعارف والمهارات والأدوات والتقنيات على أنشطة المشروع لتحقيق متطلباته". ويتجاوز هذا التعريف الحديث النظرة التقليدية التي كانت تركز على القيد الثلاثي (النطاق والوقت والتكلفة) ليتبنى نظرة أوسع تركز على تقديم القيمة لأصحاب المصلحة وتحقيق النتائج المرجوة من المشروع. أما منهجية PRINCE2 فتُعرّف إدارة المشاريع بأنها "التخطيط والتفويض والمراقبة والسيطرة على جميع جوانب المشروع، وتحفيز المشاركين فيه، لتحقيق أهداف المشروع ضمن معايير الأداء المتوقعة". وتؤكد المنهجيات الرشيقة (Agile) على أهمية المرونة والتكيف والتعاون المستمر مع العملاء وتقديم القيمة بشكل تكراري وتزايدي.</w:t>
      </w:r>
    </w:p>
    <w:p w14:paraId="4AEDE187"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36" w:name="_Toc225544171"/>
      <w:r w:rsidRPr="001D257A">
        <w:rPr>
          <w:rFonts w:ascii="Simplified Arabic" w:hAnsi="Simplified Arabic" w:cs="Simplified Arabic"/>
          <w:rtl/>
        </w:rPr>
        <w:t>ثانيًا: مفهوم الكفاءة التشغيلية في إدارة المشاريع</w:t>
      </w:r>
      <w:bookmarkEnd w:id="36"/>
    </w:p>
    <w:p w14:paraId="22F1CBF7" w14:textId="77777777" w:rsidR="00000000" w:rsidRPr="001D257A" w:rsidRDefault="00000000" w:rsidP="00A26521">
      <w:pPr>
        <w:bidi/>
        <w:spacing w:after="120" w:line="276" w:lineRule="auto"/>
        <w:ind w:firstLine="284"/>
        <w:jc w:val="left"/>
        <w:rPr>
          <w:rFonts w:hint="eastAsia"/>
        </w:rPr>
      </w:pPr>
      <w:r w:rsidRPr="001D257A">
        <w:rPr>
          <w:rtl/>
        </w:rPr>
        <w:t>تُعرَّف الكفاءة التشغيلية في سياق إدارة المشاريع بأنها القدرة على تحقيق أهداف المشروع (النطاق، الزمن، التكلفة، الجودة) باستخدام الموارد المتاحة بأعلى درجة من الفاعلية والأمثلية، مع تقليل الهدر والأخطاء والتأخيرات إلى أدنى حد ممكن وتحقيق رضا جميع الأطراف المعنية. ويتجاوز هذا المفهوم النظرة التقليدية لنجاح المشاريع التي كانت تركز على إتمام المشروع في الوقت المحدد وضمن الميزانية، ليشمل أبعادًا أوسع وأعمق تتعلق بجودة العمليات الداخلية وفعالية التواصل ومستوى اتخاذ القرار ومدى تحقيق القيمة لأصحاب المصلحة (Change Management and DT, 2023; PMI, 2021).</w:t>
      </w:r>
    </w:p>
    <w:p w14:paraId="312A86FE" w14:textId="77777777" w:rsidR="00000000" w:rsidRPr="001D257A" w:rsidRDefault="00000000" w:rsidP="00A26521">
      <w:pPr>
        <w:bidi/>
        <w:spacing w:after="120" w:line="276" w:lineRule="auto"/>
        <w:ind w:firstLine="284"/>
        <w:jc w:val="left"/>
        <w:rPr>
          <w:rFonts w:hint="eastAsia"/>
        </w:rPr>
      </w:pPr>
      <w:r w:rsidRPr="001D257A">
        <w:rPr>
          <w:rtl/>
        </w:rPr>
        <w:t>وتُشير الأدبيات المتخصصة إلى أن كفاءة إدارة المشاريع لا تعني فقط إتمام المشروع في الوقت المحدد وضمن الميزانية، بل تعني أيضًا القدرة على تنفيذه بأقل قدر ممكن من الهدر والأخطاء والتأخيرات والجهد غير الضروري، مع تعظيم القيمة المُقدَّمة لأصحاب المصلحة والعملاء. وفي بيئة الشركات الناشئة، تكتسب كفاءة إدارة المشاريع أهمية مضاعفة ومتعاظمة نظرًا لمحدودية الموارد المالية والبشرية وضيق الهوامش الزمنية والمالية المتاحة، حيث أن أي إهدار في الموارد أو تأخير في التنفيذ قد يُهدّد بقاء الشركة واستمرارها (Strategies for Improving Efficiency, 2024).</w:t>
      </w:r>
    </w:p>
    <w:p w14:paraId="478983F5"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37" w:name="_Toc225544172"/>
      <w:r w:rsidRPr="001D257A">
        <w:rPr>
          <w:rFonts w:ascii="Simplified Arabic" w:hAnsi="Simplified Arabic" w:cs="Simplified Arabic"/>
          <w:rtl/>
        </w:rPr>
        <w:t>ثالثًا: أبعاد كفاءة عمليات إدارة المشاريع</w:t>
      </w:r>
      <w:bookmarkEnd w:id="37"/>
    </w:p>
    <w:p w14:paraId="01982500" w14:textId="77777777" w:rsidR="00000000" w:rsidRPr="001D257A" w:rsidRDefault="00000000" w:rsidP="00A26521">
      <w:pPr>
        <w:bidi/>
        <w:spacing w:after="120" w:line="276" w:lineRule="auto"/>
        <w:ind w:firstLine="284"/>
        <w:jc w:val="left"/>
        <w:rPr>
          <w:rFonts w:hint="eastAsia"/>
        </w:rPr>
      </w:pPr>
      <w:r w:rsidRPr="001D257A">
        <w:rPr>
          <w:rtl/>
        </w:rPr>
        <w:t>اعتمدت هذه الدراسة على خمسة أبعاد رئيسة لقياس كفاءة عمليات إدارة المشاريع، تم اشتقاقها من مراجعة شاملة للأدبيات والنماذج المعتمدة في هذا المجال. ويتم استعراض كل بُعد بالتفصيل فيما يلي:</w:t>
      </w:r>
    </w:p>
    <w:p w14:paraId="44D0200E"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38" w:name="_Toc225544173"/>
      <w:r w:rsidRPr="001D257A">
        <w:rPr>
          <w:rFonts w:ascii="Simplified Arabic" w:hAnsi="Simplified Arabic" w:cs="Simplified Arabic"/>
          <w:rtl/>
        </w:rPr>
        <w:lastRenderedPageBreak/>
        <w:t>1. سرعة إنجاز المشاريع (Project Completion Speed)</w:t>
      </w:r>
      <w:bookmarkEnd w:id="38"/>
    </w:p>
    <w:p w14:paraId="7F6A959F" w14:textId="77777777" w:rsidR="00000000" w:rsidRPr="001D257A" w:rsidRDefault="00000000" w:rsidP="00A26521">
      <w:pPr>
        <w:bidi/>
        <w:spacing w:after="120" w:line="276" w:lineRule="auto"/>
        <w:ind w:firstLine="284"/>
        <w:jc w:val="left"/>
        <w:rPr>
          <w:rFonts w:hint="eastAsia"/>
        </w:rPr>
      </w:pPr>
      <w:r w:rsidRPr="001D257A">
        <w:rPr>
          <w:rtl/>
        </w:rPr>
        <w:t>يُعدّ بُعد سرعة الإنجاز من أهم وأبرز مؤشرات كفاءة إدارة المشاريع في أي بيئة تنظيمية، ويُقاس بمدى التزام المشروع بالجداول الزمنية المخطط لها ومدى قدرة فريق العمل على اكتشاف التأخيرات مبكرًا والتعامل معها بسرعة وفعالية. وتُعد إدارة الوقت أحد المجالات المعرفية العشرة الأساسية في دليل PMBOK (PMI, 2021)، وتشمل عمليات تعريف الأنشطة وتسلسلها وتقدير مددها ووضع الجدول الزمني ومراقبته والتحكم فيه.</w:t>
      </w:r>
    </w:p>
    <w:p w14:paraId="36FAE694" w14:textId="77777777" w:rsidR="00000000" w:rsidRPr="001D257A" w:rsidRDefault="00000000" w:rsidP="00A26521">
      <w:pPr>
        <w:bidi/>
        <w:spacing w:after="120" w:line="276" w:lineRule="auto"/>
        <w:ind w:firstLine="284"/>
        <w:jc w:val="left"/>
        <w:rPr>
          <w:rFonts w:hint="eastAsia"/>
        </w:rPr>
      </w:pPr>
      <w:r w:rsidRPr="001D257A">
        <w:rPr>
          <w:rtl/>
        </w:rPr>
        <w:t>ومن أبرز المؤشرات المستخدمة لقياس سرعة الإنجاز في المشاريع: مؤشر أداء الجدول الزمني (Schedule Performance Index - SPI) الذي يقيس نسبة العمل المنجز فعليًا إلى العمل المخطط إنجازه في فترة زمنية محددة؛ وأسلوب المسار الحرج (Critical Path Method - CPM) الذي يُحدّد أطول مسار في شبكة أنشطة المشروع ويُحدّد بالتالي أقصر مدة ممكنة لإنجاز المشروع؛ ومعدل الانحراف عن الجدول الزمني الذي يقيس الفرق بين المدة الفعلية والمدة المخطط لها. وتزداد أهمية هذا البُعد في بيئة الشركات الناشئة التي تعمل تحت ضغوط زمنية مستمرة وتحتاج إلى تسليم مشاريعها بسرعة للحفاظ على ميزتها التنافسية ورضا عملائها والوفاء بالتزاماتها التعاقدية (Driving Sustainable Growth in SME, 2024; Jendi, 2024).</w:t>
      </w:r>
    </w:p>
    <w:p w14:paraId="526C924F"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39" w:name="_Toc225544174"/>
      <w:r w:rsidRPr="001D257A">
        <w:rPr>
          <w:rFonts w:ascii="Simplified Arabic" w:hAnsi="Simplified Arabic" w:cs="Simplified Arabic"/>
          <w:rtl/>
        </w:rPr>
        <w:t>2. جودة تنفيذ المشاريع (Project Execution Quality)</w:t>
      </w:r>
      <w:bookmarkEnd w:id="39"/>
    </w:p>
    <w:p w14:paraId="2A35B2AC" w14:textId="77777777" w:rsidR="00000000" w:rsidRPr="001D257A" w:rsidRDefault="00000000" w:rsidP="00A26521">
      <w:pPr>
        <w:bidi/>
        <w:spacing w:after="120" w:line="276" w:lineRule="auto"/>
        <w:ind w:firstLine="284"/>
        <w:jc w:val="left"/>
        <w:rPr>
          <w:rFonts w:hint="eastAsia"/>
        </w:rPr>
      </w:pPr>
      <w:r w:rsidRPr="001D257A">
        <w:rPr>
          <w:rtl/>
        </w:rPr>
        <w:t>يعكس بُعد جودة التنفيذ مدى مطابقة مخرجات المشروع للمواصفات والمتطلبات والمعايير المتفق عليها مع العملاء وأصحاب المصلحة، ومدى خلوّ العمل من الأخطاء والعيوب التي تستدعي إعادة التنفيذ. ويرتبط هذا البُعد ارتباطًا وثيقًا بمفاهيم إدارة الجودة الشاملة (Total Quality Management - TQM) التي تؤكد على أن الجودة يجب أن تكون مسؤولية الجميع وأن تُبنى في العمليات وليس أن تُفحص بعد الانتهاء، وكذلك بمنهجية ستة سيجما (Six Sigma) التي تسعى إلى تقليل العيوب والانحرافات في العمليات إلى مستويات شبه صفرية.</w:t>
      </w:r>
    </w:p>
    <w:p w14:paraId="69143F62" w14:textId="77777777" w:rsidR="00000000" w:rsidRPr="001D257A" w:rsidRDefault="00000000" w:rsidP="00A26521">
      <w:pPr>
        <w:bidi/>
        <w:spacing w:after="120" w:line="276" w:lineRule="auto"/>
        <w:ind w:firstLine="284"/>
        <w:jc w:val="left"/>
        <w:rPr>
          <w:rFonts w:hint="eastAsia"/>
        </w:rPr>
      </w:pPr>
      <w:r w:rsidRPr="001D257A">
        <w:rPr>
          <w:rtl/>
        </w:rPr>
        <w:t>ويُقاس هذا البُعد من خلال عدة مؤشرات مهمة مثل: معدل الالتزام بالمواصفات الفنية والوظيفية المحددة؛ ونسبة إعادة العمل (Rework Rate) التي تعكس حجم الجهد المبذول في تصحيح الأخطاء بعد اكتشافها؛ ومستوى رضا العملاء عن مخرجات المشروع ومدى تلبيتها لتوقعاتهم أو تجاوزها. وتسهم التقنيات الرقمية في تحسين جودة التنفيذ من خلال عدة آليات تشمل: توفير معايير واضحة ومحددة وقابلة للقياس لكل مهمة، وتمكين عمليات المراجعة والتدقيق الآلية في مراحل مبكرة، وتوفير قنوات تواصل فعّالة بين الفريق والعميل لضمان المواءمة المستمرة بين المخرجات والتوقعات (Assessing Outcomes of DT, 2023; Fostering Digitalization, 2023).</w:t>
      </w:r>
    </w:p>
    <w:p w14:paraId="48D076B5"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40" w:name="_Toc225544175"/>
      <w:r w:rsidRPr="001D257A">
        <w:rPr>
          <w:rFonts w:ascii="Simplified Arabic" w:hAnsi="Simplified Arabic" w:cs="Simplified Arabic"/>
          <w:rtl/>
        </w:rPr>
        <w:t>3. تقليل الأخطاء التشغيلية (Operational Error Reduction)</w:t>
      </w:r>
      <w:bookmarkEnd w:id="40"/>
    </w:p>
    <w:p w14:paraId="0066CB02" w14:textId="77777777" w:rsidR="00000000" w:rsidRPr="001D257A" w:rsidRDefault="00000000" w:rsidP="00A26521">
      <w:pPr>
        <w:bidi/>
        <w:spacing w:after="120" w:line="276" w:lineRule="auto"/>
        <w:ind w:firstLine="284"/>
        <w:jc w:val="left"/>
        <w:rPr>
          <w:rFonts w:hint="eastAsia"/>
        </w:rPr>
      </w:pPr>
      <w:r w:rsidRPr="001D257A">
        <w:rPr>
          <w:rtl/>
        </w:rPr>
        <w:t>يتعلق بُعد تقليل الأخطاء التشغيلية بفعالية الإجراءات والأنظمة والآليات المعتمدة في الحد من الأخطاء البشرية والإجرائية أثناء تنفيذ مراحل المشروع المختلفة. ويشمل هذا البُعد عدة جوانب مترابطة: وجود آليات واضحة ومنظمة لتوثيق الأخطاء التشغيلية عند حدوثها، وتحليل أسبابها الجذرية باستخدام أدوات مثل تحليل الأسباب الجذرية (Root Cause Analysis - RCA) وتحليل أنماط الإخفاق وآثاره (Failure Mode and Effects Analysis - FMEA)، واستخلاص دروس مستفادة منها لمنع تكرارها في المشاريع الحالية والمستقبلية.</w:t>
      </w:r>
    </w:p>
    <w:p w14:paraId="0286C99F" w14:textId="77777777" w:rsidR="00000000" w:rsidRPr="001D257A" w:rsidRDefault="00000000" w:rsidP="00A26521">
      <w:pPr>
        <w:bidi/>
        <w:spacing w:after="120" w:line="276" w:lineRule="auto"/>
        <w:ind w:firstLine="284"/>
        <w:jc w:val="left"/>
        <w:rPr>
          <w:rFonts w:hint="eastAsia"/>
        </w:rPr>
      </w:pPr>
      <w:r w:rsidRPr="001D257A">
        <w:rPr>
          <w:rtl/>
        </w:rPr>
        <w:t xml:space="preserve">وقد أكدت الأدبيات أن الأنظمة الرقمية تُسهم بشكل كبير وقابل للقياس في تقليل الأخطاء التشغيلية من خلال عدة آليات متكاملة، أبرزها: الأتمتة التي تُلغي الأخطاء الناتجة عن الإدخال اليدوي للبيانات وتضمن اتساق العمليات؛ وأنظمة التنبيه المبكر والإنذار التي تكتشف الانحرافات عن المعايير المحددة قبل تفاقمها وتحولها إلى مشكلات كبيرة؛ وقواعد البيانات المركزية التي تمنع ازدواجية </w:t>
      </w:r>
      <w:r w:rsidRPr="001D257A">
        <w:rPr>
          <w:rtl/>
        </w:rPr>
        <w:lastRenderedPageBreak/>
        <w:t>المعلومات وتضاربها بين أعضاء الفريق؛ وأنظمة المراجعة والموافقة الآلية التي تضمن مرور كل مخرج عبر مراحل فحص الجودة المطلوبة قبل تسليمه (Jahanger et al., 2021; Digital Transformation as Tool, 2024).</w:t>
      </w:r>
    </w:p>
    <w:p w14:paraId="07F18D97"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41" w:name="_Toc225544176"/>
      <w:r w:rsidRPr="001D257A">
        <w:rPr>
          <w:rFonts w:ascii="Simplified Arabic" w:hAnsi="Simplified Arabic" w:cs="Simplified Arabic"/>
          <w:rtl/>
        </w:rPr>
        <w:t>4. فعالية التواصل وإدارة المهام (Communication Effectiveness and Task Management)</w:t>
      </w:r>
      <w:bookmarkEnd w:id="41"/>
    </w:p>
    <w:p w14:paraId="58D19DE1" w14:textId="77777777" w:rsidR="00000000" w:rsidRPr="001D257A" w:rsidRDefault="00000000" w:rsidP="00A26521">
      <w:pPr>
        <w:bidi/>
        <w:spacing w:after="120" w:line="276" w:lineRule="auto"/>
        <w:ind w:firstLine="284"/>
        <w:jc w:val="left"/>
        <w:rPr>
          <w:rFonts w:hint="eastAsia"/>
        </w:rPr>
      </w:pPr>
      <w:r w:rsidRPr="001D257A">
        <w:rPr>
          <w:rtl/>
        </w:rPr>
        <w:t>يقيس هذا البُعد مدى وضوح تدفق المعلومات داخل فريق المشروع وسهولة الوصول إلى البيانات والوثائق المطلوبة ومستوى التنسيق والتعاون بين أعضاء الفريق وعدالة توزيع المهام وتناسبها مع خبرات وقدرات كل فرد. ويُعد التواصل الفعّال أحد أبرز وأهم عوامل نجاح المشاريع بإجماع الأدبيات والممارسين، حيث تُشير الدراسات إلى أن نسبة كبيرة تتجاوز 50% من إخفاقات المشاريع تعود بشكل مباشر أو غير مباشر إلى ضعف التواصل وسوء تنسيق المهام بين أعضاء الفريق وأصحاب المصلحة.</w:t>
      </w:r>
    </w:p>
    <w:p w14:paraId="7CA297FD" w14:textId="77777777" w:rsidR="00000000" w:rsidRPr="001D257A" w:rsidRDefault="00000000" w:rsidP="00A26521">
      <w:pPr>
        <w:bidi/>
        <w:spacing w:after="120" w:line="276" w:lineRule="auto"/>
        <w:ind w:firstLine="284"/>
        <w:jc w:val="left"/>
        <w:rPr>
          <w:rFonts w:hint="eastAsia"/>
        </w:rPr>
      </w:pPr>
      <w:r w:rsidRPr="001D257A">
        <w:rPr>
          <w:rtl/>
        </w:rPr>
        <w:t>ومن الأدوات والأطر المستخدمة في تحسين التواصل وإدارة المهام: مصفوفة RACI (المسؤول، المُحاسَب، المُستشار، المُبلَّغ) التي تُوضّح أدوار ومسؤوليات كل فرد في المشروع بشكل لا يقبل اللبس؛ وخطة إدارة أصحاب المصلحة (Stakeholder Management Plan) التي تُحدّد متطلبات التواصل مع كل طرف معني؛ وخطة التواصل (Communication Plan) التي تُحدّد قنوات ووتيرة ومحتوى التواصل المطلوب. وتلعب التقنيات الرقمية دورًا محوريًا في تعزيز فعالية التواصل من خلال توفير قنوات متعددة ومتنوعة للتواصل المتزامن وغير المتزامن، وتمكين مشاركة المعلومات في الوقت الحقيقي، وتقليل الحاجة للاجتماعات الطويلة غير الضرورية التي تستهلك وقت الفريق (Afridi et al., 2023; Chen et al., 2023).</w:t>
      </w:r>
    </w:p>
    <w:p w14:paraId="04ADC5F1"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42" w:name="_Toc225544177"/>
      <w:r w:rsidRPr="001D257A">
        <w:rPr>
          <w:rFonts w:ascii="Simplified Arabic" w:hAnsi="Simplified Arabic" w:cs="Simplified Arabic"/>
          <w:rtl/>
        </w:rPr>
        <w:t>5. جودة اتخاذ القرار في إدارة المشاريع (Decision-Making Quality)</w:t>
      </w:r>
      <w:bookmarkEnd w:id="42"/>
    </w:p>
    <w:p w14:paraId="198F59F0" w14:textId="77777777" w:rsidR="00000000" w:rsidRPr="001D257A" w:rsidRDefault="00000000" w:rsidP="00A26521">
      <w:pPr>
        <w:bidi/>
        <w:spacing w:after="120" w:line="276" w:lineRule="auto"/>
        <w:ind w:firstLine="284"/>
        <w:jc w:val="left"/>
        <w:rPr>
          <w:rFonts w:hint="eastAsia"/>
        </w:rPr>
      </w:pPr>
      <w:r w:rsidRPr="001D257A">
        <w:rPr>
          <w:rtl/>
        </w:rPr>
        <w:t>يرتبط بُعد جودة اتخاذ القرار بمدى توفر معلومات دقيقة وشاملة وحديثة لصانعي القرار في المشروع، ومدى اعتماد القرارات على تحليل واضح ومنهجي للبيانات والمعلومات المتاحة بدلًا من الاعتماد الحصري على الاجتهاد الشخصي والحدس، وسرعة اتخاذ القرارات في الوقت المناسب دون تأخير يؤثر سلبًا في سير المشروع وأدائه، وإشراك أصحاب العلاقة الرئيسيين في مناقشة القرارات الجوهرية والاستراتيجية للمشروع.</w:t>
      </w:r>
    </w:p>
    <w:p w14:paraId="2B7A062F" w14:textId="77777777" w:rsidR="00000000" w:rsidRPr="001D257A" w:rsidRDefault="00000000" w:rsidP="00A26521">
      <w:pPr>
        <w:bidi/>
        <w:spacing w:after="120" w:line="276" w:lineRule="auto"/>
        <w:ind w:firstLine="284"/>
        <w:jc w:val="left"/>
        <w:rPr>
          <w:rFonts w:hint="eastAsia"/>
        </w:rPr>
      </w:pPr>
      <w:r w:rsidRPr="001D257A">
        <w:rPr>
          <w:rtl/>
        </w:rPr>
        <w:t>وتتعدد نماذج اتخاذ القرار المستخدمة في إدارة المشاريع، من أبرزها: نموذج اتخاذ القرار العقلاني (Rational Decision-Making Model) الذي يفترض أن صانع القرار يمتلك معلومات كاملة ويختار البديل الأمثل؛ ونموذج العقلانية المحدودة (Bounded Rationality) الذي طوّره Herbert Simon والذي يعترف بأن صانع القرار يعمل في ظل قيود زمنية ومعلوماتية ومعرفية تجعله يختار البديل "المُرضي" وليس بالضرورة "الأمثل"؛ ونموذج اتخاذ القرار المبني على البيانات (Data-Driven Decision Making) الذي أصبح النموذج السائد في العصر الرقمي. وتُسهم تقنيات التحول الرقمي في تحسين جودة اتخاذ القرار من خلال توفير لوحات بيانات تفاعلية ومحدّثة، وأدوات تحليل تنبؤي تساعد في توقع المخاطر والسيناريوهات المختلفة، ونظم رقمية تُمكّن من إشراك أصحاب المصلحة بسرعة وكفاءة (AI-Enabled PM, 2024; Change Management and DT, 2023).</w:t>
      </w:r>
    </w:p>
    <w:p w14:paraId="034C032F" w14:textId="77777777" w:rsidR="00000000" w:rsidRPr="001D257A" w:rsidRDefault="00000000" w:rsidP="00A26521">
      <w:pPr>
        <w:pStyle w:val="Heading2"/>
        <w:bidi/>
        <w:spacing w:after="200"/>
        <w:jc w:val="left"/>
        <w:rPr>
          <w:rFonts w:ascii="Simplified Arabic" w:hAnsi="Simplified Arabic" w:cs="Simplified Arabic" w:hint="eastAsia"/>
        </w:rPr>
      </w:pPr>
      <w:bookmarkStart w:id="43" w:name="_Toc225544178"/>
      <w:r w:rsidRPr="001D257A">
        <w:rPr>
          <w:rFonts w:ascii="Simplified Arabic" w:hAnsi="Simplified Arabic" w:cs="Simplified Arabic"/>
          <w:rtl/>
        </w:rPr>
        <w:t>المبحث الثالث: العلاقة المفاهيمية بين التحول الرقمي وكفاءة إدارة المشاريع</w:t>
      </w:r>
      <w:bookmarkEnd w:id="43"/>
    </w:p>
    <w:p w14:paraId="1622C7D7" w14:textId="77777777" w:rsidR="00000000" w:rsidRPr="001D257A" w:rsidRDefault="00000000" w:rsidP="00A26521">
      <w:pPr>
        <w:bidi/>
        <w:spacing w:after="120" w:line="276" w:lineRule="auto"/>
        <w:ind w:firstLine="284"/>
        <w:jc w:val="left"/>
        <w:rPr>
          <w:rFonts w:hint="eastAsia"/>
        </w:rPr>
      </w:pPr>
      <w:r w:rsidRPr="001D257A">
        <w:rPr>
          <w:rtl/>
        </w:rPr>
        <w:t>تُشير الأدبيات الأكاديمية والممارسات العملية إلى وجود علاقة إيجابية وثيقة ومتعددة المسارات بين مستوى تبنّي التحول الرقمي في المؤسسات وبين تحسين كفاءة عمليات إدارة المشاريع فيها. وتعمل هذه العلاقة من خلال عدة مسارات ومسارات فرعية يمكن تلخيصها فيما يلي:</w:t>
      </w:r>
    </w:p>
    <w:p w14:paraId="4F594B90" w14:textId="77777777" w:rsidR="00000000" w:rsidRPr="001D257A" w:rsidRDefault="00000000" w:rsidP="00A26521">
      <w:pPr>
        <w:bidi/>
        <w:spacing w:after="120" w:line="276" w:lineRule="auto"/>
        <w:ind w:firstLine="284"/>
        <w:jc w:val="left"/>
        <w:rPr>
          <w:rFonts w:hint="eastAsia"/>
        </w:rPr>
      </w:pPr>
      <w:r w:rsidRPr="001D257A">
        <w:rPr>
          <w:rtl/>
        </w:rPr>
        <w:t xml:space="preserve">المسار الأول - تبسيط الإجراءات والأتمتة: يُسهم التحول الرقمي في تبسيط الإجراءات الإدارية والتشغيلية المعقدة وأتمتة المهام الروتينية والمتكررة، ما يوفر وقت وجهد فرق العمل بشكل كبير ويمكّنهم من التركيز على المهام ذات القيمة المضافة العالية مثل </w:t>
      </w:r>
      <w:r w:rsidRPr="001D257A">
        <w:rPr>
          <w:rtl/>
        </w:rPr>
        <w:lastRenderedPageBreak/>
        <w:t>التفكير الاستراتيجي وحل المشكلات المعقدة والتواصل مع العملاء وتطوير الحلول الإبداعية. وينعكس هذا المسار بشكل مباشر على سرعة الإنجاز وتحسين الإنتاجية الكلية للفريق (Jendi, 2024; Digital Transformation as Tool, 2024).</w:t>
      </w:r>
    </w:p>
    <w:p w14:paraId="2FB4B698" w14:textId="77777777" w:rsidR="00000000" w:rsidRPr="001D257A" w:rsidRDefault="00000000" w:rsidP="00A26521">
      <w:pPr>
        <w:bidi/>
        <w:spacing w:after="120" w:line="276" w:lineRule="auto"/>
        <w:ind w:firstLine="284"/>
        <w:jc w:val="left"/>
        <w:rPr>
          <w:rFonts w:hint="eastAsia"/>
        </w:rPr>
      </w:pPr>
      <w:r w:rsidRPr="001D257A">
        <w:rPr>
          <w:rtl/>
        </w:rPr>
        <w:t>المسار الثاني - تعزيز الشفافية والمتابعة اللحظية: تعمل المنصات والأدوات الرقمية على تحسين شفافية المعلومات بشكل جذري وتمكين المتابعة اللحظية والمستمرة لحالة المشروع وتقدمه عبر لوحات بيانات تفاعلية وتقارير آلية، ما يساعد في اكتشاف الانحرافات والمشكلات والتأخيرات مبكرًا واتخاذ إجراءات تصحيحية سريعة وفعّالة قبل تفاقم المشكلات. وينعكس هذا المسار على تقليل الأخطاء التشغيلية وتحسين جودة التنفيذ (Chen et al., 2023; Jahanger et al., 2021).</w:t>
      </w:r>
    </w:p>
    <w:p w14:paraId="42CDB28B" w14:textId="77777777" w:rsidR="00000000" w:rsidRPr="001D257A" w:rsidRDefault="00000000" w:rsidP="00A26521">
      <w:pPr>
        <w:bidi/>
        <w:spacing w:after="120" w:line="276" w:lineRule="auto"/>
        <w:ind w:firstLine="284"/>
        <w:jc w:val="left"/>
        <w:rPr>
          <w:rFonts w:hint="eastAsia"/>
        </w:rPr>
      </w:pPr>
      <w:r w:rsidRPr="001D257A">
        <w:rPr>
          <w:rtl/>
        </w:rPr>
        <w:t>المسار الثالث - دعم اتخاذ القرار المبني على البيانات: توفر تحليلات البيانات والذكاء الاصطناعي رؤى مبنية على الأدلة والبيانات الحقيقية والمحدّثة تدعم اتخاذ قرارات أكثر دقة وسرعة وموضوعية، ما ينعكس مباشرة على جودة اتخاذ القرار في إدارة المشاريع وتقليل القرارات الخاطئة أو المتأخرة (Assessing Outcomes of DT, 2023; AI-Enabled PM, 2024).</w:t>
      </w:r>
    </w:p>
    <w:p w14:paraId="684769B7" w14:textId="77777777" w:rsidR="00000000" w:rsidRPr="001D257A" w:rsidRDefault="00000000" w:rsidP="00A26521">
      <w:pPr>
        <w:bidi/>
        <w:spacing w:after="120" w:line="276" w:lineRule="auto"/>
        <w:ind w:firstLine="284"/>
        <w:jc w:val="left"/>
        <w:rPr>
          <w:rFonts w:hint="eastAsia"/>
        </w:rPr>
      </w:pPr>
      <w:r w:rsidRPr="001D257A">
        <w:rPr>
          <w:rtl/>
        </w:rPr>
        <w:t>المسار الرابع - تحسين التواصل والتنسيق: تعزز أنظمة التواصل الرقمي سرعة وفاعلية ونوعية تبادل المعلومات بين أعضاء فرق المشاريع، سواء كانوا متواجدين في نفس المكان أو موزعين جغرافيًا، ما يحسّن من فعالية التواصل وإدارة المهام ويقلل من سوء الفهم والتنسيق الذي يُعد من أبرز أسباب إخفاق المشاريع (Afridi et al., 2023; SharkByte, 2025).</w:t>
      </w:r>
    </w:p>
    <w:p w14:paraId="16AF8EEA" w14:textId="77777777" w:rsidR="00000000" w:rsidRPr="001D257A" w:rsidRDefault="00000000" w:rsidP="00A26521">
      <w:pPr>
        <w:bidi/>
        <w:spacing w:after="120" w:line="276" w:lineRule="auto"/>
        <w:ind w:firstLine="284"/>
        <w:jc w:val="left"/>
        <w:rPr>
          <w:rFonts w:hint="eastAsia"/>
        </w:rPr>
      </w:pPr>
      <w:r w:rsidRPr="001D257A">
        <w:rPr>
          <w:rtl/>
        </w:rPr>
        <w:t>وفي سياق الشركات الناشئة، تتضاعف أهمية هذه العلاقة نظرًا للخصائص الفريدة لهذه الشركات المتمثلة في محدودية الموارد البشرية والمالية، والحاجة الماسة لتحقيق كفاءة عالية جدًا في إدارة المشاريع للبقاء والنمو في بيئة تنافسية شديدة ومتغيرة. كما أن الشركات الناشئة عادة ما تكون أكثر مرونة وانفتاحًا وسرعة في تبنّي التقنيات الجديدة مقارنة بالشركات الكبيرة المثقلة بالإرث التنظيمي والتقني، ما يجعلها بيئة خصبة ومثالية لدراسة أثر التحول الرقمي على كفاءة إدارة المشاريع (Driving Sustainable Growth in SME, 2024; منشآت, 2024).</w:t>
      </w:r>
    </w:p>
    <w:p w14:paraId="680A5D07" w14:textId="77777777" w:rsidR="00000000" w:rsidRPr="001D257A" w:rsidRDefault="00000000" w:rsidP="00A26521">
      <w:pPr>
        <w:pStyle w:val="Heading2"/>
        <w:bidi/>
        <w:spacing w:after="200"/>
        <w:jc w:val="left"/>
        <w:rPr>
          <w:rFonts w:ascii="Simplified Arabic" w:hAnsi="Simplified Arabic" w:cs="Simplified Arabic" w:hint="eastAsia"/>
        </w:rPr>
      </w:pPr>
      <w:bookmarkStart w:id="44" w:name="_Toc225544179"/>
      <w:r w:rsidRPr="001D257A">
        <w:rPr>
          <w:rFonts w:ascii="Simplified Arabic" w:hAnsi="Simplified Arabic" w:cs="Simplified Arabic"/>
          <w:rtl/>
        </w:rPr>
        <w:t>المبحث الرابع: الدراسات السابقة</w:t>
      </w:r>
      <w:bookmarkEnd w:id="44"/>
    </w:p>
    <w:p w14:paraId="709FD452" w14:textId="77777777" w:rsidR="00000000" w:rsidRPr="001D257A" w:rsidRDefault="00000000" w:rsidP="00A26521">
      <w:pPr>
        <w:bidi/>
        <w:spacing w:after="120" w:line="276" w:lineRule="auto"/>
        <w:ind w:firstLine="284"/>
        <w:jc w:val="left"/>
        <w:rPr>
          <w:rFonts w:hint="eastAsia"/>
        </w:rPr>
      </w:pPr>
      <w:r w:rsidRPr="001D257A">
        <w:rPr>
          <w:rtl/>
        </w:rPr>
        <w:t>يتناول هذا المبحث عرضًا تفصيليًا ومنظمًا للدراسات السابقة ذات الصلة الوثيقة بموضوع الدراسة الحالية، مع تصنيفها إلى ثلاث فئات: الدراسات الدولية، والدراسات الإقليمية، والدراسات السعودية والمحلية. ويتضمن العرض لكل دراسة: اسم الباحث والسنة وعنوان الدراسة وهدفها ومنهجيتها وأبرز نتائجها وعلاقتها بالدراسة الحالية.</w:t>
      </w:r>
    </w:p>
    <w:p w14:paraId="3EA13484"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45" w:name="_Toc225544180"/>
      <w:r w:rsidRPr="001D257A">
        <w:rPr>
          <w:rFonts w:ascii="Simplified Arabic" w:hAnsi="Simplified Arabic" w:cs="Simplified Arabic"/>
          <w:rtl/>
        </w:rPr>
        <w:t>أولًا: الدراسات الدولية</w:t>
      </w:r>
      <w:bookmarkEnd w:id="45"/>
    </w:p>
    <w:p w14:paraId="496886FE" w14:textId="77777777" w:rsidR="00000000" w:rsidRPr="001D257A" w:rsidRDefault="00000000" w:rsidP="00A26521">
      <w:pPr>
        <w:bidi/>
        <w:spacing w:after="120" w:line="276" w:lineRule="auto"/>
        <w:ind w:firstLine="284"/>
        <w:jc w:val="left"/>
        <w:rPr>
          <w:rFonts w:hint="eastAsia"/>
        </w:rPr>
      </w:pPr>
      <w:r w:rsidRPr="001D257A">
        <w:rPr>
          <w:rtl/>
        </w:rPr>
        <w:t>1. دراسة Chen وآخرين (2023) بعنوان "Digital Transformation in Project Management: A Systematic Review": هدفت هذه الدراسة إلى تقديم مراجعة منهجية شاملة ومعمّقة للعلاقة بين التحول الرقمي وإدارة المشاريع من خلال تحليل الأدبيات المنشورة في قواعد البيانات الأكاديمية الرئيسة. واستخدمت الدراسة منهج المراجعة المنهجية للأدبيات (Systematic Literature Review) وفقًا لبروتوكول PRISMA، حيث تم تحليل عشرات الدراسات المحكّمة المنشورة في الفترة 2015-2023. وقد أظهرت النتائج أن التحول الرقمي يؤثر إيجابًا على جميع مراحل دورة حياة المشروع بدءًا من التخطيط والبدء وحتى التنفيذ والمراقبة والإغلاق، وأن منصات إدارة المشاريع وأدوات التحليلات تُسهم في تحسين الشفافية وسرعة الإنجاز وجودة اتخاذ القرار. وتتصل هذه الدراسة بالدراسة الحالية من حيث تأكيدها على الأثر الإيجابي الشامل للتحول الرقمي على كفاءة إدارة المشاريع، وتوصيتها بضرورة إجراء مزيد من الدراسات الميدانية في سياقات تنظيمية وجغرافية مختلفة.</w:t>
      </w:r>
    </w:p>
    <w:p w14:paraId="4A0F8C59" w14:textId="77777777" w:rsidR="00000000" w:rsidRPr="001D257A" w:rsidRDefault="00000000" w:rsidP="00A26521">
      <w:pPr>
        <w:bidi/>
        <w:spacing w:after="120" w:line="276" w:lineRule="auto"/>
        <w:ind w:firstLine="284"/>
        <w:jc w:val="left"/>
        <w:rPr>
          <w:rFonts w:hint="eastAsia"/>
        </w:rPr>
      </w:pPr>
      <w:r w:rsidRPr="001D257A">
        <w:rPr>
          <w:rtl/>
        </w:rPr>
        <w:lastRenderedPageBreak/>
        <w:t>2. دراسة Jendi (2024) بعنوان "The Impact of Digital Transformation on Project Management Practices": تناولت هذه الدراسة أثر التحول الرقمي على ممارسات إدارة المشاريع من خلال تحليل الفوائد والتحديات والمتطلبات المرتبطة بدمج التكنولوجيا في تنفيذ المشاريع. واعتمدت على منهج المراجعة التحليلية للأدبيات مع تحليل حالات عملية من قطاعات مختلفة. وقد أظهرت النتائج أن الرقمنة تعزز سرعة التنفيذ وفعالية التواصل بين فرق العمل وجودة التخطيط والمتابعة، لكنها تتطلب في المقابل جاهزية تنظيمية متكاملة وتغييرًا حقيقيًا في ثقافة العمل ومهارات العاملين. كما حذّرت الدراسة من أن التحول الرقمي غير المدروس أو المتسرع قد يؤدي إلى تعقيد العمليات بدلًا من تبسيطها إذا لم يُصاحَب بتخطيط سليم وتدريب كافٍ وإدارة تغيير فعّالة.</w:t>
      </w:r>
    </w:p>
    <w:p w14:paraId="51881683" w14:textId="77777777" w:rsidR="00000000" w:rsidRPr="001D257A" w:rsidRDefault="00000000" w:rsidP="00A26521">
      <w:pPr>
        <w:bidi/>
        <w:spacing w:after="120" w:line="276" w:lineRule="auto"/>
        <w:ind w:firstLine="284"/>
        <w:jc w:val="left"/>
        <w:rPr>
          <w:rFonts w:hint="eastAsia"/>
        </w:rPr>
      </w:pPr>
      <w:r w:rsidRPr="001D257A">
        <w:rPr>
          <w:rtl/>
        </w:rPr>
        <w:t>3. دراسة Afridi وآخرين (2023) بعنوان "Impact of Digital Communications on Project Efficiency through Ease of Use and Top Management Support" المنشورة في مجلة Heliyon: هدفت إلى دراسة أثر أدوات التواصل الرقمي على كفاءة المشاريع مع التركيز على دور سهولة الاستخدام ودعم الإدارة العليا كمتغيرات وسيطة. واعتمدت على المنهج الكمي وجمعت بيانات من 278 مشاركًا من قطاعات مختلفة باستخدام استبانة إلكترونية. أظهرت النتائج وجود أثر إيجابي دال إحصائيًا لتبنّي أدوات التواصل الرقمي على كفاءة المشروع، وأن سهولة الاستخدام ودعم الإدارة العليا يعززان هذا الأثر بشكل كبير. وتتصل بالدراسة الحالية في تأكيدها على أهمية أنظمة التواصل الرقمي كأحد أبعاد التحول الرقمي المؤثرة في كفاءة المشاريع.</w:t>
      </w:r>
    </w:p>
    <w:p w14:paraId="6CD473CF" w14:textId="77777777" w:rsidR="00000000" w:rsidRPr="001D257A" w:rsidRDefault="00000000" w:rsidP="00A26521">
      <w:pPr>
        <w:bidi/>
        <w:spacing w:after="120" w:line="276" w:lineRule="auto"/>
        <w:ind w:firstLine="284"/>
        <w:jc w:val="left"/>
        <w:rPr>
          <w:rFonts w:hint="eastAsia"/>
        </w:rPr>
      </w:pPr>
      <w:r w:rsidRPr="001D257A">
        <w:rPr>
          <w:rtl/>
        </w:rPr>
        <w:t>4. دراسة Change Management as Mediating Variable (2023) المنشورة في Journal of Business and Management Studies: تناولت أثر التحول الرقمي على كفاءة إدارة المشاريع في قطاع الكهرباء الخاص في مصر، مع إدخال إدارة التغيير بوصفها متغيرًا وسيطًا. اعتمدت على المنهج الوصفي التحليلي وعينة من العاملين في شركات الكهرباء. أثبتت النتائج وجود علاقة إيجابية دالة إحصائيًا بين التحول الرقمي وكفاءة إدارة المشاريع، وأن إدارة التغيير الفعالة تعزز هذه العلاقة بشكل كبير وتعمل كمتغير وسيط مهم.</w:t>
      </w:r>
    </w:p>
    <w:p w14:paraId="2D6BAC55" w14:textId="77777777" w:rsidR="00000000" w:rsidRPr="001D257A" w:rsidRDefault="00000000" w:rsidP="00A26521">
      <w:pPr>
        <w:bidi/>
        <w:spacing w:after="120" w:line="276" w:lineRule="auto"/>
        <w:ind w:firstLine="284"/>
        <w:jc w:val="left"/>
        <w:rPr>
          <w:rFonts w:hint="eastAsia"/>
        </w:rPr>
      </w:pPr>
      <w:r w:rsidRPr="001D257A">
        <w:rPr>
          <w:rtl/>
        </w:rPr>
        <w:t>5. دراسة Adeniran وآخرين (2024) بعنوان "The Future of Project Management in the Digital Age": تناولت مستقبل إدارة المشاريع في العصر الرقمي من خلال تحليل الاتجاهات الناشئة والتقنيات المتقدمة مثل الذكاء الاصطناعي وتحليلات البيانات والأتمتة والواقع المعزز. أكدت الدراسة أن المؤسسات التي تتبنى التحول الرقمي في إدارة مشاريعها تحقق مستويات أعلى من الكفاءة والابتكار والاستجابة للتغيرات.</w:t>
      </w:r>
    </w:p>
    <w:p w14:paraId="16BF1485" w14:textId="77777777" w:rsidR="00000000" w:rsidRPr="001D257A" w:rsidRDefault="00000000" w:rsidP="00A26521">
      <w:pPr>
        <w:bidi/>
        <w:spacing w:after="120" w:line="276" w:lineRule="auto"/>
        <w:ind w:firstLine="284"/>
        <w:jc w:val="left"/>
        <w:rPr>
          <w:rFonts w:hint="eastAsia"/>
        </w:rPr>
      </w:pPr>
      <w:r w:rsidRPr="001D257A">
        <w:rPr>
          <w:rtl/>
        </w:rPr>
        <w:t>6. دراسة Driving Sustainable Growth in SME Manufacturing (2024) المنشورة في International Journal of Science and Research Archives: تناولت دور التحول الرقمي وإدارة المشاريع في تحقيق النمو المستدام في المنشآت الصغيرة والمتوسطة الصناعية. أظهرت أن تبنّي التقنيات الرقمية مثل الحوسبة السحابية وأنظمة إدارة المشاريع والأتمتة يدعم النمو المستدام من خلال تحسين الكفاءة التشغيلية وتقليل الهدر.</w:t>
      </w:r>
    </w:p>
    <w:p w14:paraId="3B82EB6A" w14:textId="77777777" w:rsidR="00000000" w:rsidRPr="001D257A" w:rsidRDefault="00000000" w:rsidP="00A26521">
      <w:pPr>
        <w:bidi/>
        <w:spacing w:after="120" w:line="276" w:lineRule="auto"/>
        <w:ind w:firstLine="284"/>
        <w:jc w:val="left"/>
        <w:rPr>
          <w:rFonts w:hint="eastAsia"/>
        </w:rPr>
      </w:pPr>
      <w:r w:rsidRPr="001D257A">
        <w:rPr>
          <w:rtl/>
        </w:rPr>
        <w:t>7. دراسة Digital Transformation as Tool for Effective PM in SMEs (2024) المنشورة في مجلة Economic Space: هدفت إلى تحليل التحديات والفرص المرتبطة بالتحول الرقمي في إدارة المشاريع داخل المنشآت الصغيرة والمتوسطة. أظهرت أن الأتمتة والمنصات الرقمية تُسهم في تقليل الوقت والتكلفة المرتبطين بالمهام الإدارية الروتينية بنسب كبيرة.</w:t>
      </w:r>
    </w:p>
    <w:p w14:paraId="288E04B8" w14:textId="77777777" w:rsidR="00000000" w:rsidRPr="001D257A" w:rsidRDefault="00000000" w:rsidP="00A26521">
      <w:pPr>
        <w:bidi/>
        <w:spacing w:after="120" w:line="276" w:lineRule="auto"/>
        <w:ind w:firstLine="284"/>
        <w:jc w:val="left"/>
        <w:rPr>
          <w:rFonts w:hint="eastAsia"/>
        </w:rPr>
      </w:pPr>
      <w:r w:rsidRPr="001D257A">
        <w:rPr>
          <w:rtl/>
        </w:rPr>
        <w:t>8. دراسة Fostering Digitalization of Construction Projects (2023) المنشورة في مجلة Buildings: تناولت دور الرقمنة في تعزيز كفاءة إدارة المشاريع الإنشائية من خلال التكامل بين الأنظمة الرقمية ونماذج حوكمة المشاريع. أظهرت أن التكامل الرقمي على المستويات المؤسسية والتنظيمية والسلوكية يُسهم في تحسين أداء المشاريع وتقليل التأخيرات.</w:t>
      </w:r>
    </w:p>
    <w:p w14:paraId="6B57DE0F" w14:textId="77777777" w:rsidR="00000000" w:rsidRPr="001D257A" w:rsidRDefault="00000000" w:rsidP="00A26521">
      <w:pPr>
        <w:bidi/>
        <w:spacing w:after="120" w:line="276" w:lineRule="auto"/>
        <w:ind w:firstLine="284"/>
        <w:jc w:val="left"/>
        <w:rPr>
          <w:rFonts w:hint="eastAsia"/>
        </w:rPr>
      </w:pPr>
      <w:r w:rsidRPr="001D257A">
        <w:rPr>
          <w:rtl/>
        </w:rPr>
        <w:lastRenderedPageBreak/>
        <w:t>9. دراسة Assessing Outcomes of Digital Transformation (2023) المنشورة في مجلة Sustainability: هدفت إلى تقييم نتائج مشاريع التحول الرقمي في المؤسسات الصناعية وتطوير نموذج لتمكين الاستدامة. أثبتت أن التحول الرقمي يؤثر إيجابًا على كفاءة العمليات وجودة المخرجات واتخاذ القرار عندما يُصاحَب بإدارة تغيير فعالة.</w:t>
      </w:r>
    </w:p>
    <w:p w14:paraId="24EECFC6" w14:textId="77777777" w:rsidR="00000000" w:rsidRPr="001D257A" w:rsidRDefault="00000000" w:rsidP="00A26521">
      <w:pPr>
        <w:bidi/>
        <w:spacing w:after="120" w:line="276" w:lineRule="auto"/>
        <w:ind w:firstLine="284"/>
        <w:jc w:val="left"/>
        <w:rPr>
          <w:rFonts w:hint="eastAsia"/>
        </w:rPr>
      </w:pPr>
      <w:r w:rsidRPr="001D257A">
        <w:rPr>
          <w:rtl/>
        </w:rPr>
        <w:t>10. دراسة AI-Enabled PM (2024) المنشورة في مجلة PJAEI: تناولت دور الذكاء الاصطناعي والتحليلات التنبؤية ومنهجيات Agile 4.0 في تحسين إدارة المشاريع. أظهرت أن دمج تقنيات الذكاء الاصطناعي يفتح آفاقًا جديدة لتحسين التخطيط والتنبؤ وإدارة المخاطر وتخصيص الموارد.</w:t>
      </w:r>
    </w:p>
    <w:p w14:paraId="78A5AF2D" w14:textId="77777777" w:rsidR="00000000" w:rsidRPr="001D257A" w:rsidRDefault="00000000" w:rsidP="00A26521">
      <w:pPr>
        <w:bidi/>
        <w:spacing w:after="120" w:line="276" w:lineRule="auto"/>
        <w:ind w:firstLine="284"/>
        <w:jc w:val="left"/>
        <w:rPr>
          <w:rFonts w:hint="eastAsia"/>
        </w:rPr>
      </w:pPr>
      <w:r w:rsidRPr="001D257A">
        <w:rPr>
          <w:rtl/>
        </w:rPr>
        <w:t>11. دراسة Jahanger وآخرين (2021) المنشورة في مجلة ITcon بعنوان "Potential Positive Impacts of Digitalization of Construction-Phase Information Management": هدفت إلى تحديد الآثار الإيجابية لرقمنة إدارة معلومات مرحلة التنفيذ في المشاريع الإنشائية. أظهرت اتفاقًا قويًا بين المشاركين على أن الرقمنة تُسهم في تحسين جودة المعلومات وتقليل الأخطاء وتسريع عمليات اتخاذ القرار.</w:t>
      </w:r>
    </w:p>
    <w:p w14:paraId="073E3FCC" w14:textId="77777777" w:rsidR="00000000" w:rsidRPr="001D257A" w:rsidRDefault="00000000" w:rsidP="00A26521">
      <w:pPr>
        <w:bidi/>
        <w:spacing w:after="120" w:line="276" w:lineRule="auto"/>
        <w:ind w:firstLine="284"/>
        <w:jc w:val="left"/>
        <w:rPr>
          <w:rFonts w:hint="eastAsia"/>
        </w:rPr>
      </w:pPr>
      <w:r w:rsidRPr="001D257A">
        <w:rPr>
          <w:rtl/>
        </w:rPr>
        <w:t>12. دراسة Transformation Management Capabilities (2022) المنشورة عبر IBIMA Publishing: تناولت القدرات الإدارية اللازمة لنجاح مبادرات التحول الرقمي في إطار نظرية القدرات الديناميكية. أكدت أن نجاح التحول الرقمي لا يعتمد فقط على التقنيات المتبناة بل يتطلب قدرات إدارية وتنظيمية محددة تشمل إدارة التغيير والتخطيط الاستراتيجي والقيادة الرقمية.</w:t>
      </w:r>
    </w:p>
    <w:p w14:paraId="7A221EB1" w14:textId="77777777" w:rsidR="00000000" w:rsidRPr="001D257A" w:rsidRDefault="00000000" w:rsidP="00A26521">
      <w:pPr>
        <w:bidi/>
        <w:spacing w:after="120" w:line="276" w:lineRule="auto"/>
        <w:ind w:firstLine="284"/>
        <w:jc w:val="left"/>
        <w:rPr>
          <w:rFonts w:hint="eastAsia"/>
        </w:rPr>
      </w:pPr>
      <w:r w:rsidRPr="001D257A">
        <w:rPr>
          <w:rtl/>
        </w:rPr>
        <w:t>13. دراسة Strategies for Improving Organizational Efficiency (2024) المنشورة في مجلة JMAP: هدفت إلى تحليل استراتيجيات تحسين الكفاءة التنظيمية والإنتاجية من خلال تبنّي التكنولوجيا. أظهرت أن استراتيجيات إدارة التغيير الفعالة تُعد عاملًا حاسمًا في نجاح تبنّي التقنيات الرقمية وتحقيق الفوائد المرجوة منها.</w:t>
      </w:r>
    </w:p>
    <w:p w14:paraId="0A00653D"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46" w:name="_Toc225544181"/>
      <w:r w:rsidRPr="001D257A">
        <w:rPr>
          <w:rFonts w:ascii="Simplified Arabic" w:hAnsi="Simplified Arabic" w:cs="Simplified Arabic"/>
          <w:rtl/>
        </w:rPr>
        <w:t>ثانيًا: الدراسات السعودية والمحلية والإقليمية</w:t>
      </w:r>
      <w:bookmarkEnd w:id="46"/>
    </w:p>
    <w:p w14:paraId="4C388F3B" w14:textId="77777777" w:rsidR="00000000" w:rsidRPr="001D257A" w:rsidRDefault="00000000" w:rsidP="00A26521">
      <w:pPr>
        <w:bidi/>
        <w:spacing w:after="120" w:line="276" w:lineRule="auto"/>
        <w:ind w:firstLine="284"/>
        <w:jc w:val="left"/>
        <w:rPr>
          <w:rFonts w:hint="eastAsia"/>
        </w:rPr>
      </w:pPr>
      <w:r w:rsidRPr="001D257A">
        <w:rPr>
          <w:rtl/>
        </w:rPr>
        <w:t>14. دراسة Hawsawi (2024) بعنوان "The Impact of Applying Digital Transformation Techniques on Quality of Project Management in KSA": تُعد هذه الدراسة من أقرب الدراسات للدراسة الحالية من حيث السياق الجغرافي والموضوعي. تناولت أثر تطبيق تقنيات التحول الرقمي على جودة إدارة المشاريع في المملكة العربية السعودية. أظهرت النتائج تحسنًا ملموسًا في جودة المخرجات وإدارة الوقت في المشاريع التي تبنّت أدوات رقمية متقدمة، وأشارت إلى أن مستوى التحول الرقمي يتفاوت بين المؤسسات السعودية وفقًا لعدة عوامل تشمل الحجم والقطاع ومستوى الدعم الإداري ونضج البنية التحتية الرقمية.</w:t>
      </w:r>
    </w:p>
    <w:p w14:paraId="30DB9B82" w14:textId="77777777" w:rsidR="00000000" w:rsidRPr="001D257A" w:rsidRDefault="00000000" w:rsidP="00A26521">
      <w:pPr>
        <w:bidi/>
        <w:spacing w:after="120" w:line="276" w:lineRule="auto"/>
        <w:ind w:firstLine="284"/>
        <w:jc w:val="left"/>
        <w:rPr>
          <w:rFonts w:hint="eastAsia"/>
        </w:rPr>
      </w:pPr>
      <w:r w:rsidRPr="001D257A">
        <w:rPr>
          <w:rtl/>
        </w:rPr>
        <w:t>15. دراسة Abdelhameed (2025) بعنوان "The Impact of Using Project Management Software on the Success of Saudi Projects": تناولت أثر استخدام برمجيات إدارة المشاريع على نجاح المشاريع في السياق السعودي. أظهرت النتائج أن الشركات السعودية التي تتبنّى برمجيات إدارة المشاريع المتكاملة تحقق نتائج أفضل في الالتزام بالجداول الزمنية وتحسين جودة المخرجات، وأن مستوى التبنّي يرتبط بعوامل تنظيمية وثقافية وتقنية متعددة.</w:t>
      </w:r>
    </w:p>
    <w:p w14:paraId="73E9923B" w14:textId="77777777" w:rsidR="00000000" w:rsidRPr="001D257A" w:rsidRDefault="00000000" w:rsidP="00A26521">
      <w:pPr>
        <w:bidi/>
        <w:spacing w:after="120" w:line="276" w:lineRule="auto"/>
        <w:ind w:firstLine="284"/>
        <w:jc w:val="left"/>
        <w:rPr>
          <w:rFonts w:hint="eastAsia"/>
        </w:rPr>
      </w:pPr>
      <w:r w:rsidRPr="001D257A">
        <w:rPr>
          <w:rtl/>
        </w:rPr>
        <w:t>16. تقرير هيئة المنشآت الصغيرة والمتوسطة - منشآت (2024): أصدرت هيئة المنشآت الصغيرة والمتوسطة تقريرًا شاملًا حول التحول الرقمي للمنشآت الصغيرة والمتوسطة في المملكة. أكد التقرير أن التحول الرقمي أصبح ضرورة استراتيجية لهذه المنشآت في ظل رؤية 2030، وأنه يُسهم في تعزيز الكفاءة التشغيلية والمرونة والامتثال للمتطلبات التنظيمية. واستعرض التقرير البرامج والمبادرات الحكومية الداعمة للتحول الرقمي والتحديات التي تواجه المنشآت في هذا المسار.</w:t>
      </w:r>
    </w:p>
    <w:p w14:paraId="629BD0A0" w14:textId="77777777" w:rsidR="00000000" w:rsidRPr="001D257A" w:rsidRDefault="00000000" w:rsidP="00A26521">
      <w:pPr>
        <w:bidi/>
        <w:spacing w:after="120" w:line="276" w:lineRule="auto"/>
        <w:ind w:firstLine="284"/>
        <w:jc w:val="left"/>
        <w:rPr>
          <w:rFonts w:hint="eastAsia"/>
        </w:rPr>
      </w:pPr>
      <w:r w:rsidRPr="001D257A">
        <w:rPr>
          <w:rtl/>
        </w:rPr>
        <w:t xml:space="preserve">17. الزهراني، محمد (2022) بعنوان "دور التحول الرقمي في تعزيز كفاءة إدارة المشاريع" المنشورة في مجلة الإدارة والاقتصاد: هدفت هذه الدراسة إلى استكشاف دور التحول الرقمي في تعزيز كفاءة إدارة المشاريع في المؤسسات السعودية. واعتمدت على المنهج </w:t>
      </w:r>
      <w:r w:rsidRPr="001D257A">
        <w:rPr>
          <w:rtl/>
        </w:rPr>
        <w:lastRenderedPageBreak/>
        <w:t>الوصفي التحليلي وعينة من العاملين في مؤسسات حكومية وخاصة. أظهرت النتائج وجود علاقة إيجابية بين مستوى تبنّي التقنيات الرقمية وكفاءة إدارة المشاريع، مع تأكيد أهمية التدريب والدعم الإداري في تعزيز هذه العلاقة.</w:t>
      </w:r>
    </w:p>
    <w:p w14:paraId="0E9F793F" w14:textId="77777777" w:rsidR="00000000" w:rsidRPr="001D257A" w:rsidRDefault="00000000" w:rsidP="00A26521">
      <w:pPr>
        <w:bidi/>
        <w:spacing w:after="120" w:line="276" w:lineRule="auto"/>
        <w:ind w:firstLine="284"/>
        <w:jc w:val="left"/>
        <w:rPr>
          <w:rFonts w:hint="eastAsia"/>
        </w:rPr>
      </w:pPr>
      <w:r w:rsidRPr="001D257A">
        <w:rPr>
          <w:rtl/>
        </w:rPr>
        <w:t>18. السعيد، أحمد (2023) بعنوان "واقع استخدام الأدوات الرقمية في الشركات الناشئة السعودية" المنشورة في المجلة العربية للإدارة: تناولت هذه الدراسة واقع استخدام الأدوات الرقمية في الشركات الناشئة السعودية وتأثيرها على الأداء التشغيلي. أظهرت النتائج أن مستوى تبنّي الأدوات الرقمية يتفاوت بشكل كبير بين الشركات الناشئة، وأن العوامل الأكثر تأثيرًا في مستوى التبنّي تشمل: حجم الشركة، ونوع الخدمة المقدمة، ومستوى الوعي الرقمي لدى الإدارة، وتوفر الموارد المالية اللازمة للاستثمار في التقنيات الرقمية.</w:t>
      </w:r>
    </w:p>
    <w:p w14:paraId="16FB27AD" w14:textId="77777777" w:rsidR="00000000" w:rsidRPr="001D257A" w:rsidRDefault="00000000" w:rsidP="00A26521">
      <w:pPr>
        <w:bidi/>
        <w:spacing w:after="120" w:line="276" w:lineRule="auto"/>
        <w:ind w:firstLine="284"/>
        <w:jc w:val="left"/>
        <w:rPr>
          <w:rFonts w:hint="eastAsia"/>
        </w:rPr>
      </w:pPr>
      <w:r w:rsidRPr="001D257A">
        <w:rPr>
          <w:rtl/>
        </w:rPr>
        <w:t>19. تقرير مركز المعلومات والأبحاث السياحية (2024) حول التحول الرقمي في المملكة العربية السعودية: استعرض هذا التقرير الشامل واقع التحول الرقمي في المملكة ومؤشراته ومبادراته والإنجازات المتحققة والتحديات المتبقية. وأشار إلى النمو المتسارع في الاستثمارات الرقمية الحكومية والخاصة وتحسن ترتيب المملكة في المؤشرات الدولية للتحول الرقمي.</w:t>
      </w:r>
    </w:p>
    <w:p w14:paraId="3C2DDDC2" w14:textId="77777777" w:rsidR="00000000" w:rsidRPr="001D257A" w:rsidRDefault="00000000" w:rsidP="00A26521">
      <w:pPr>
        <w:bidi/>
        <w:spacing w:after="120" w:line="276" w:lineRule="auto"/>
        <w:ind w:firstLine="284"/>
        <w:jc w:val="left"/>
        <w:rPr>
          <w:rFonts w:hint="eastAsia"/>
        </w:rPr>
      </w:pPr>
      <w:r w:rsidRPr="001D257A">
        <w:rPr>
          <w:rtl/>
        </w:rPr>
        <w:t>20. تقرير هيئة الحكومة الرقمية السعودية (2023) حول استراتيجية التحول الرقمي: قدم هذا التقرير رؤية شاملة لاستراتيجية التحول الرقمي الحكومي في المملكة وأهدافها ومبادراتها والإنجازات المتحققة. وأكد على أهمية التحول الرقمي كركيزة أساسية لتحقيق أهداف رؤية 2030 في مختلف القطاعات.</w:t>
      </w:r>
    </w:p>
    <w:p w14:paraId="46A12103" w14:textId="77777777" w:rsidR="00000000" w:rsidRPr="001D257A" w:rsidRDefault="00000000" w:rsidP="00A26521">
      <w:pPr>
        <w:pStyle w:val="Heading3"/>
        <w:bidi/>
        <w:spacing w:before="200" w:after="160"/>
        <w:jc w:val="left"/>
        <w:rPr>
          <w:rFonts w:ascii="Simplified Arabic" w:hAnsi="Simplified Arabic" w:cs="Simplified Arabic" w:hint="eastAsia"/>
        </w:rPr>
      </w:pPr>
      <w:bookmarkStart w:id="47" w:name="_Toc225544182"/>
      <w:r w:rsidRPr="001D257A">
        <w:rPr>
          <w:rFonts w:ascii="Simplified Arabic" w:hAnsi="Simplified Arabic" w:cs="Simplified Arabic"/>
          <w:rtl/>
        </w:rPr>
        <w:t>ثالثًا: مقارنة شاملة للدراسات السابقة</w:t>
      </w:r>
      <w:bookmarkEnd w:id="47"/>
    </w:p>
    <w:p w14:paraId="2E7C3925" w14:textId="77777777" w:rsidR="00000000" w:rsidRPr="001D257A" w:rsidRDefault="00000000" w:rsidP="00A26521">
      <w:pPr>
        <w:bidi/>
        <w:spacing w:before="200" w:after="120"/>
        <w:jc w:val="left"/>
        <w:rPr>
          <w:rFonts w:hint="eastAsia"/>
        </w:rPr>
      </w:pPr>
      <w:r w:rsidRPr="001D257A">
        <w:rPr>
          <w:b/>
          <w:bCs/>
          <w:sz w:val="26"/>
          <w:szCs w:val="26"/>
          <w:rtl/>
        </w:rPr>
        <w:t>جدول 2-2: مقارنة الدراسات السابقة</w:t>
      </w:r>
    </w:p>
    <w:tbl>
      <w:tblPr>
        <w:bidiVisual/>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000"/>
        <w:gridCol w:w="1500"/>
        <w:gridCol w:w="1500"/>
        <w:gridCol w:w="3071"/>
      </w:tblGrid>
      <w:tr w:rsidR="003D0797" w:rsidRPr="001D257A" w14:paraId="13D1CE18" w14:textId="77777777" w:rsidTr="004321CC">
        <w:tc>
          <w:tcPr>
            <w:tcW w:w="2000" w:type="dxa"/>
            <w:tcBorders>
              <w:top w:val="single" w:sz="1" w:space="0" w:color="000000"/>
              <w:left w:val="single" w:sz="1" w:space="0" w:color="000000"/>
              <w:bottom w:val="single" w:sz="1" w:space="0" w:color="000000"/>
              <w:right w:val="single" w:sz="1" w:space="0" w:color="000000"/>
            </w:tcBorders>
            <w:shd w:val="clear" w:color="auto" w:fill="D9E2F3"/>
            <w:tcMar>
              <w:top w:w="40" w:type="dxa"/>
              <w:left w:w="60" w:type="dxa"/>
              <w:bottom w:w="40" w:type="dxa"/>
              <w:right w:w="60" w:type="dxa"/>
            </w:tcMar>
            <w:vAlign w:val="center"/>
          </w:tcPr>
          <w:p w14:paraId="6EA91E19" w14:textId="77777777" w:rsidR="00000000" w:rsidRPr="001D257A" w:rsidRDefault="00000000" w:rsidP="00A26521">
            <w:pPr>
              <w:bidi/>
              <w:jc w:val="left"/>
              <w:rPr>
                <w:rFonts w:hint="eastAsia"/>
              </w:rPr>
            </w:pPr>
            <w:r w:rsidRPr="001D257A">
              <w:rPr>
                <w:b/>
                <w:bCs/>
                <w:sz w:val="24"/>
                <w:szCs w:val="24"/>
                <w:rtl/>
              </w:rPr>
              <w:t>الباحث</w:t>
            </w:r>
          </w:p>
        </w:tc>
        <w:tc>
          <w:tcPr>
            <w:tcW w:w="1000" w:type="dxa"/>
            <w:tcBorders>
              <w:top w:val="single" w:sz="1" w:space="0" w:color="000000"/>
              <w:left w:val="single" w:sz="1" w:space="0" w:color="000000"/>
              <w:bottom w:val="single" w:sz="1" w:space="0" w:color="000000"/>
              <w:right w:val="single" w:sz="1" w:space="0" w:color="000000"/>
            </w:tcBorders>
            <w:shd w:val="clear" w:color="auto" w:fill="D9E2F3"/>
            <w:tcMar>
              <w:top w:w="40" w:type="dxa"/>
              <w:left w:w="60" w:type="dxa"/>
              <w:bottom w:w="40" w:type="dxa"/>
              <w:right w:w="60" w:type="dxa"/>
            </w:tcMar>
            <w:vAlign w:val="center"/>
          </w:tcPr>
          <w:p w14:paraId="68F4A73B" w14:textId="77777777" w:rsidR="00000000" w:rsidRPr="001D257A" w:rsidRDefault="00000000" w:rsidP="00A26521">
            <w:pPr>
              <w:bidi/>
              <w:jc w:val="left"/>
              <w:rPr>
                <w:rFonts w:hint="eastAsia"/>
              </w:rPr>
            </w:pPr>
            <w:r w:rsidRPr="001D257A">
              <w:rPr>
                <w:b/>
                <w:bCs/>
                <w:sz w:val="24"/>
                <w:szCs w:val="24"/>
                <w:rtl/>
              </w:rPr>
              <w:t>السنة</w:t>
            </w:r>
          </w:p>
        </w:tc>
        <w:tc>
          <w:tcPr>
            <w:tcW w:w="1500" w:type="dxa"/>
            <w:tcBorders>
              <w:top w:val="single" w:sz="1" w:space="0" w:color="000000"/>
              <w:left w:val="single" w:sz="1" w:space="0" w:color="000000"/>
              <w:bottom w:val="single" w:sz="1" w:space="0" w:color="000000"/>
              <w:right w:val="single" w:sz="1" w:space="0" w:color="000000"/>
            </w:tcBorders>
            <w:shd w:val="clear" w:color="auto" w:fill="D9E2F3"/>
            <w:tcMar>
              <w:top w:w="40" w:type="dxa"/>
              <w:left w:w="60" w:type="dxa"/>
              <w:bottom w:w="40" w:type="dxa"/>
              <w:right w:w="60" w:type="dxa"/>
            </w:tcMar>
            <w:vAlign w:val="center"/>
          </w:tcPr>
          <w:p w14:paraId="0CC06FE8" w14:textId="77777777" w:rsidR="00000000" w:rsidRPr="001D257A" w:rsidRDefault="00000000" w:rsidP="00A26521">
            <w:pPr>
              <w:bidi/>
              <w:jc w:val="left"/>
              <w:rPr>
                <w:rFonts w:hint="eastAsia"/>
              </w:rPr>
            </w:pPr>
            <w:r w:rsidRPr="001D257A">
              <w:rPr>
                <w:b/>
                <w:bCs/>
                <w:sz w:val="24"/>
                <w:szCs w:val="24"/>
                <w:rtl/>
              </w:rPr>
              <w:t>المنهج</w:t>
            </w:r>
          </w:p>
        </w:tc>
        <w:tc>
          <w:tcPr>
            <w:tcW w:w="1500" w:type="dxa"/>
            <w:tcBorders>
              <w:top w:val="single" w:sz="1" w:space="0" w:color="000000"/>
              <w:left w:val="single" w:sz="1" w:space="0" w:color="000000"/>
              <w:bottom w:val="single" w:sz="1" w:space="0" w:color="000000"/>
              <w:right w:val="single" w:sz="1" w:space="0" w:color="000000"/>
            </w:tcBorders>
            <w:shd w:val="clear" w:color="auto" w:fill="D9E2F3"/>
            <w:tcMar>
              <w:top w:w="40" w:type="dxa"/>
              <w:left w:w="60" w:type="dxa"/>
              <w:bottom w:w="40" w:type="dxa"/>
              <w:right w:w="60" w:type="dxa"/>
            </w:tcMar>
            <w:vAlign w:val="center"/>
          </w:tcPr>
          <w:p w14:paraId="4D91D938" w14:textId="77777777" w:rsidR="00000000" w:rsidRPr="001D257A" w:rsidRDefault="00000000" w:rsidP="00A26521">
            <w:pPr>
              <w:bidi/>
              <w:jc w:val="left"/>
              <w:rPr>
                <w:rFonts w:hint="eastAsia"/>
              </w:rPr>
            </w:pPr>
            <w:r w:rsidRPr="001D257A">
              <w:rPr>
                <w:b/>
                <w:bCs/>
                <w:sz w:val="24"/>
                <w:szCs w:val="24"/>
                <w:rtl/>
              </w:rPr>
              <w:t>العينة/السياق</w:t>
            </w:r>
          </w:p>
        </w:tc>
        <w:tc>
          <w:tcPr>
            <w:tcW w:w="3071" w:type="dxa"/>
            <w:tcBorders>
              <w:top w:val="single" w:sz="1" w:space="0" w:color="000000"/>
              <w:left w:val="single" w:sz="1" w:space="0" w:color="000000"/>
              <w:bottom w:val="single" w:sz="1" w:space="0" w:color="000000"/>
              <w:right w:val="single" w:sz="1" w:space="0" w:color="000000"/>
            </w:tcBorders>
            <w:shd w:val="clear" w:color="auto" w:fill="D9E2F3"/>
            <w:tcMar>
              <w:top w:w="40" w:type="dxa"/>
              <w:left w:w="60" w:type="dxa"/>
              <w:bottom w:w="40" w:type="dxa"/>
              <w:right w:w="60" w:type="dxa"/>
            </w:tcMar>
            <w:vAlign w:val="center"/>
          </w:tcPr>
          <w:p w14:paraId="6F470D30" w14:textId="77777777" w:rsidR="00000000" w:rsidRPr="001D257A" w:rsidRDefault="00000000" w:rsidP="00A26521">
            <w:pPr>
              <w:bidi/>
              <w:jc w:val="left"/>
              <w:rPr>
                <w:rFonts w:hint="eastAsia"/>
              </w:rPr>
            </w:pPr>
            <w:r w:rsidRPr="001D257A">
              <w:rPr>
                <w:b/>
                <w:bCs/>
                <w:sz w:val="24"/>
                <w:szCs w:val="24"/>
                <w:rtl/>
              </w:rPr>
              <w:t>أبرز النتائج</w:t>
            </w:r>
          </w:p>
        </w:tc>
      </w:tr>
      <w:tr w:rsidR="003D0797" w:rsidRPr="001D257A" w14:paraId="2AAF5DB5"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72DC38AC" w14:textId="77777777" w:rsidR="00000000" w:rsidRPr="001D257A" w:rsidRDefault="00000000" w:rsidP="00A26521">
            <w:pPr>
              <w:bidi/>
              <w:jc w:val="left"/>
              <w:rPr>
                <w:rFonts w:hint="eastAsia"/>
              </w:rPr>
            </w:pPr>
            <w:r w:rsidRPr="001D257A">
              <w:rPr>
                <w:sz w:val="24"/>
                <w:szCs w:val="24"/>
                <w:rtl/>
              </w:rPr>
              <w:t>Chen et al.</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577030B" w14:textId="77777777" w:rsidR="00000000" w:rsidRPr="001D257A" w:rsidRDefault="00000000" w:rsidP="00A26521">
            <w:pPr>
              <w:bidi/>
              <w:jc w:val="left"/>
              <w:rPr>
                <w:rFonts w:hint="eastAsia"/>
              </w:rPr>
            </w:pPr>
            <w:r w:rsidRPr="001D257A">
              <w:rPr>
                <w:sz w:val="24"/>
                <w:szCs w:val="24"/>
                <w:rtl/>
              </w:rPr>
              <w:t>2023</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1BC677B" w14:textId="77777777" w:rsidR="00000000" w:rsidRPr="001D257A" w:rsidRDefault="00000000" w:rsidP="00A26521">
            <w:pPr>
              <w:bidi/>
              <w:jc w:val="left"/>
              <w:rPr>
                <w:rFonts w:hint="eastAsia"/>
              </w:rPr>
            </w:pPr>
            <w:r w:rsidRPr="001D257A">
              <w:rPr>
                <w:sz w:val="24"/>
                <w:szCs w:val="24"/>
                <w:rtl/>
              </w:rPr>
              <w:t>مراجعة منهجية</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73DAB325" w14:textId="77777777" w:rsidR="00000000" w:rsidRPr="001D257A" w:rsidRDefault="00000000" w:rsidP="00A26521">
            <w:pPr>
              <w:bidi/>
              <w:jc w:val="left"/>
              <w:rPr>
                <w:rFonts w:hint="eastAsia"/>
              </w:rPr>
            </w:pPr>
            <w:r w:rsidRPr="001D257A">
              <w:rPr>
                <w:sz w:val="24"/>
                <w:szCs w:val="24"/>
                <w:rtl/>
              </w:rPr>
              <w:t>أدبيات دولية</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8178E00" w14:textId="77777777" w:rsidR="00000000" w:rsidRPr="001D257A" w:rsidRDefault="00000000" w:rsidP="00A26521">
            <w:pPr>
              <w:bidi/>
              <w:jc w:val="left"/>
              <w:rPr>
                <w:rFonts w:hint="eastAsia"/>
              </w:rPr>
            </w:pPr>
            <w:r w:rsidRPr="001D257A">
              <w:rPr>
                <w:sz w:val="24"/>
                <w:szCs w:val="24"/>
                <w:rtl/>
              </w:rPr>
              <w:t>التحول الرقمي يؤثر إيجابًا على جميع مراحل المشروع</w:t>
            </w:r>
          </w:p>
        </w:tc>
      </w:tr>
      <w:tr w:rsidR="003D0797" w:rsidRPr="001D257A" w14:paraId="76E8FEDC"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4AABC13" w14:textId="77777777" w:rsidR="00000000" w:rsidRPr="001D257A" w:rsidRDefault="00000000" w:rsidP="00A26521">
            <w:pPr>
              <w:bidi/>
              <w:jc w:val="left"/>
              <w:rPr>
                <w:rFonts w:hint="eastAsia"/>
              </w:rPr>
            </w:pPr>
            <w:r w:rsidRPr="001D257A">
              <w:rPr>
                <w:sz w:val="24"/>
                <w:szCs w:val="24"/>
                <w:rtl/>
              </w:rPr>
              <w:t>Jendi</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4FDFE24" w14:textId="77777777" w:rsidR="00000000" w:rsidRPr="001D257A" w:rsidRDefault="00000000" w:rsidP="00A26521">
            <w:pPr>
              <w:bidi/>
              <w:jc w:val="left"/>
              <w:rPr>
                <w:rFonts w:hint="eastAsia"/>
              </w:rPr>
            </w:pPr>
            <w:r w:rsidRPr="001D257A">
              <w:rPr>
                <w:sz w:val="24"/>
                <w:szCs w:val="24"/>
                <w:rtl/>
              </w:rPr>
              <w:t>2024</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F0B91BA" w14:textId="77777777" w:rsidR="00000000" w:rsidRPr="001D257A" w:rsidRDefault="00000000" w:rsidP="00A26521">
            <w:pPr>
              <w:bidi/>
              <w:jc w:val="left"/>
              <w:rPr>
                <w:rFonts w:hint="eastAsia"/>
              </w:rPr>
            </w:pPr>
            <w:r w:rsidRPr="001D257A">
              <w:rPr>
                <w:sz w:val="24"/>
                <w:szCs w:val="24"/>
                <w:rtl/>
              </w:rPr>
              <w:t>تحليلي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9E286ED" w14:textId="77777777" w:rsidR="00000000" w:rsidRPr="001D257A" w:rsidRDefault="00000000" w:rsidP="00A26521">
            <w:pPr>
              <w:bidi/>
              <w:jc w:val="left"/>
              <w:rPr>
                <w:rFonts w:hint="eastAsia"/>
              </w:rPr>
            </w:pPr>
            <w:r w:rsidRPr="001D257A">
              <w:rPr>
                <w:sz w:val="24"/>
                <w:szCs w:val="24"/>
                <w:rtl/>
              </w:rPr>
              <w:t>قطاعات متعددة</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25F23B0" w14:textId="77777777" w:rsidR="00000000" w:rsidRPr="001D257A" w:rsidRDefault="00000000" w:rsidP="00A26521">
            <w:pPr>
              <w:bidi/>
              <w:jc w:val="left"/>
              <w:rPr>
                <w:rFonts w:hint="eastAsia"/>
              </w:rPr>
            </w:pPr>
            <w:r w:rsidRPr="001D257A">
              <w:rPr>
                <w:sz w:val="24"/>
                <w:szCs w:val="24"/>
                <w:rtl/>
              </w:rPr>
              <w:t>الرقمنة تعزز السرعة والتواصل لكن تتطلب جاهزية</w:t>
            </w:r>
          </w:p>
        </w:tc>
      </w:tr>
      <w:tr w:rsidR="003D0797" w:rsidRPr="001D257A" w14:paraId="28160775"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3863BA6" w14:textId="77777777" w:rsidR="00000000" w:rsidRPr="001D257A" w:rsidRDefault="00000000" w:rsidP="00A26521">
            <w:pPr>
              <w:bidi/>
              <w:jc w:val="left"/>
              <w:rPr>
                <w:rFonts w:hint="eastAsia"/>
              </w:rPr>
            </w:pPr>
            <w:r w:rsidRPr="001D257A">
              <w:rPr>
                <w:sz w:val="24"/>
                <w:szCs w:val="24"/>
                <w:rtl/>
              </w:rPr>
              <w:t>Afridi et al.</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FAB47B7" w14:textId="77777777" w:rsidR="00000000" w:rsidRPr="001D257A" w:rsidRDefault="00000000" w:rsidP="00A26521">
            <w:pPr>
              <w:bidi/>
              <w:jc w:val="left"/>
              <w:rPr>
                <w:rFonts w:hint="eastAsia"/>
              </w:rPr>
            </w:pPr>
            <w:r w:rsidRPr="001D257A">
              <w:rPr>
                <w:sz w:val="24"/>
                <w:szCs w:val="24"/>
                <w:rtl/>
              </w:rPr>
              <w:t>2023</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8EB0D59" w14:textId="77777777" w:rsidR="00000000" w:rsidRPr="001D257A" w:rsidRDefault="00000000" w:rsidP="00A26521">
            <w:pPr>
              <w:bidi/>
              <w:jc w:val="left"/>
              <w:rPr>
                <w:rFonts w:hint="eastAsia"/>
              </w:rPr>
            </w:pPr>
            <w:r w:rsidRPr="001D257A">
              <w:rPr>
                <w:sz w:val="24"/>
                <w:szCs w:val="24"/>
                <w:rtl/>
              </w:rPr>
              <w:t>كمي (278)</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C6BEF51" w14:textId="77777777" w:rsidR="00000000" w:rsidRPr="001D257A" w:rsidRDefault="00000000" w:rsidP="00A26521">
            <w:pPr>
              <w:bidi/>
              <w:jc w:val="left"/>
              <w:rPr>
                <w:rFonts w:hint="eastAsia"/>
              </w:rPr>
            </w:pPr>
            <w:r w:rsidRPr="001D257A">
              <w:rPr>
                <w:sz w:val="24"/>
                <w:szCs w:val="24"/>
                <w:rtl/>
              </w:rPr>
              <w:t>قطاعات متعددة</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3C8C40D" w14:textId="77777777" w:rsidR="00000000" w:rsidRPr="001D257A" w:rsidRDefault="00000000" w:rsidP="00A26521">
            <w:pPr>
              <w:bidi/>
              <w:jc w:val="left"/>
              <w:rPr>
                <w:rFonts w:hint="eastAsia"/>
              </w:rPr>
            </w:pPr>
            <w:r w:rsidRPr="001D257A">
              <w:rPr>
                <w:sz w:val="24"/>
                <w:szCs w:val="24"/>
                <w:rtl/>
              </w:rPr>
              <w:t>التواصل الرقمي يحسّن كفاءة المشاريع بدعم الإدارة</w:t>
            </w:r>
          </w:p>
        </w:tc>
      </w:tr>
      <w:tr w:rsidR="003D0797" w:rsidRPr="001D257A" w14:paraId="3FFF74CC"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7028DA15" w14:textId="77777777" w:rsidR="00000000" w:rsidRPr="001D257A" w:rsidRDefault="00000000" w:rsidP="00A26521">
            <w:pPr>
              <w:bidi/>
              <w:jc w:val="left"/>
              <w:rPr>
                <w:rFonts w:hint="eastAsia"/>
              </w:rPr>
            </w:pPr>
            <w:r w:rsidRPr="001D257A">
              <w:rPr>
                <w:sz w:val="24"/>
                <w:szCs w:val="24"/>
                <w:rtl/>
              </w:rPr>
              <w:t>JBMS</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A435BE0" w14:textId="77777777" w:rsidR="00000000" w:rsidRPr="001D257A" w:rsidRDefault="00000000" w:rsidP="00A26521">
            <w:pPr>
              <w:bidi/>
              <w:jc w:val="left"/>
              <w:rPr>
                <w:rFonts w:hint="eastAsia"/>
              </w:rPr>
            </w:pPr>
            <w:r w:rsidRPr="001D257A">
              <w:rPr>
                <w:sz w:val="24"/>
                <w:szCs w:val="24"/>
                <w:rtl/>
              </w:rPr>
              <w:t>2023</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5289125" w14:textId="77777777" w:rsidR="00000000" w:rsidRPr="001D257A" w:rsidRDefault="00000000" w:rsidP="00A26521">
            <w:pPr>
              <w:bidi/>
              <w:jc w:val="left"/>
              <w:rPr>
                <w:rFonts w:hint="eastAsia"/>
              </w:rPr>
            </w:pPr>
            <w:r w:rsidRPr="001D257A">
              <w:rPr>
                <w:sz w:val="24"/>
                <w:szCs w:val="24"/>
                <w:rtl/>
              </w:rPr>
              <w:t>وصفي تحليلي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7054FA13" w14:textId="77777777" w:rsidR="00000000" w:rsidRPr="001D257A" w:rsidRDefault="00000000" w:rsidP="00A26521">
            <w:pPr>
              <w:bidi/>
              <w:jc w:val="left"/>
              <w:rPr>
                <w:rFonts w:hint="eastAsia"/>
              </w:rPr>
            </w:pPr>
            <w:r w:rsidRPr="001D257A">
              <w:rPr>
                <w:sz w:val="24"/>
                <w:szCs w:val="24"/>
                <w:rtl/>
              </w:rPr>
              <w:t>كهرباء مصر</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70AAF9B" w14:textId="77777777" w:rsidR="00000000" w:rsidRPr="001D257A" w:rsidRDefault="00000000" w:rsidP="00A26521">
            <w:pPr>
              <w:bidi/>
              <w:jc w:val="left"/>
              <w:rPr>
                <w:rFonts w:hint="eastAsia"/>
              </w:rPr>
            </w:pPr>
            <w:r w:rsidRPr="001D257A">
              <w:rPr>
                <w:sz w:val="24"/>
                <w:szCs w:val="24"/>
                <w:rtl/>
              </w:rPr>
              <w:t>إدارة التغيير تعزز علاقة DT بالكفاءة</w:t>
            </w:r>
          </w:p>
        </w:tc>
      </w:tr>
      <w:tr w:rsidR="003D0797" w:rsidRPr="001D257A" w14:paraId="2BDED32A"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6308562" w14:textId="77777777" w:rsidR="00000000" w:rsidRPr="001D257A" w:rsidRDefault="00000000" w:rsidP="00A26521">
            <w:pPr>
              <w:bidi/>
              <w:jc w:val="left"/>
              <w:rPr>
                <w:rFonts w:hint="eastAsia"/>
              </w:rPr>
            </w:pPr>
            <w:r w:rsidRPr="001D257A">
              <w:rPr>
                <w:sz w:val="24"/>
                <w:szCs w:val="24"/>
                <w:rtl/>
              </w:rPr>
              <w:t>Adeniran et al.</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E79E12F" w14:textId="77777777" w:rsidR="00000000" w:rsidRPr="001D257A" w:rsidRDefault="00000000" w:rsidP="00A26521">
            <w:pPr>
              <w:bidi/>
              <w:jc w:val="left"/>
              <w:rPr>
                <w:rFonts w:hint="eastAsia"/>
              </w:rPr>
            </w:pPr>
            <w:r w:rsidRPr="001D257A">
              <w:rPr>
                <w:sz w:val="24"/>
                <w:szCs w:val="24"/>
                <w:rtl/>
              </w:rPr>
              <w:t>2024</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4C0A716" w14:textId="77777777" w:rsidR="00000000" w:rsidRPr="001D257A" w:rsidRDefault="00000000" w:rsidP="00A26521">
            <w:pPr>
              <w:bidi/>
              <w:jc w:val="left"/>
              <w:rPr>
                <w:rFonts w:hint="eastAsia"/>
              </w:rPr>
            </w:pPr>
            <w:r w:rsidRPr="001D257A">
              <w:rPr>
                <w:sz w:val="24"/>
                <w:szCs w:val="24"/>
                <w:rtl/>
              </w:rPr>
              <w:t>تحليلي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DD6B6C1" w14:textId="77777777" w:rsidR="00000000" w:rsidRPr="001D257A" w:rsidRDefault="00000000" w:rsidP="00A26521">
            <w:pPr>
              <w:bidi/>
              <w:jc w:val="left"/>
              <w:rPr>
                <w:rFonts w:hint="eastAsia"/>
              </w:rPr>
            </w:pPr>
            <w:r w:rsidRPr="001D257A">
              <w:rPr>
                <w:sz w:val="24"/>
                <w:szCs w:val="24"/>
                <w:rtl/>
              </w:rPr>
              <w:t>دولي</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12DFA0F" w14:textId="77777777" w:rsidR="00000000" w:rsidRPr="001D257A" w:rsidRDefault="00000000" w:rsidP="00A26521">
            <w:pPr>
              <w:bidi/>
              <w:jc w:val="left"/>
              <w:rPr>
                <w:rFonts w:hint="eastAsia"/>
              </w:rPr>
            </w:pPr>
            <w:r w:rsidRPr="001D257A">
              <w:rPr>
                <w:sz w:val="24"/>
                <w:szCs w:val="24"/>
                <w:rtl/>
              </w:rPr>
              <w:t>التحول الرقمي يرفع الكفاءة والابتكار</w:t>
            </w:r>
          </w:p>
        </w:tc>
      </w:tr>
      <w:tr w:rsidR="003D0797" w:rsidRPr="001D257A" w14:paraId="791C70BC"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E57B133" w14:textId="77777777" w:rsidR="00000000" w:rsidRPr="001D257A" w:rsidRDefault="00000000" w:rsidP="00A26521">
            <w:pPr>
              <w:bidi/>
              <w:jc w:val="left"/>
              <w:rPr>
                <w:rFonts w:hint="eastAsia"/>
              </w:rPr>
            </w:pPr>
            <w:r w:rsidRPr="001D257A">
              <w:rPr>
                <w:sz w:val="24"/>
                <w:szCs w:val="24"/>
                <w:rtl/>
              </w:rPr>
              <w:t>IJSRA</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535BB2F" w14:textId="77777777" w:rsidR="00000000" w:rsidRPr="001D257A" w:rsidRDefault="00000000" w:rsidP="00A26521">
            <w:pPr>
              <w:bidi/>
              <w:jc w:val="left"/>
              <w:rPr>
                <w:rFonts w:hint="eastAsia"/>
              </w:rPr>
            </w:pPr>
            <w:r w:rsidRPr="001D257A">
              <w:rPr>
                <w:sz w:val="24"/>
                <w:szCs w:val="24"/>
                <w:rtl/>
              </w:rPr>
              <w:t>2024</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95AC2C2" w14:textId="77777777" w:rsidR="00000000" w:rsidRPr="001D257A" w:rsidRDefault="00000000" w:rsidP="00A26521">
            <w:pPr>
              <w:bidi/>
              <w:jc w:val="left"/>
              <w:rPr>
                <w:rFonts w:hint="eastAsia"/>
              </w:rPr>
            </w:pPr>
            <w:r w:rsidRPr="001D257A">
              <w:rPr>
                <w:sz w:val="24"/>
                <w:szCs w:val="24"/>
                <w:rtl/>
              </w:rPr>
              <w:t>كمي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9EE474C" w14:textId="77777777" w:rsidR="00000000" w:rsidRPr="001D257A" w:rsidRDefault="00000000" w:rsidP="00A26521">
            <w:pPr>
              <w:bidi/>
              <w:jc w:val="left"/>
              <w:rPr>
                <w:rFonts w:hint="eastAsia"/>
              </w:rPr>
            </w:pPr>
            <w:r w:rsidRPr="001D257A">
              <w:rPr>
                <w:sz w:val="24"/>
                <w:szCs w:val="24"/>
                <w:rtl/>
              </w:rPr>
              <w:t>صناعة SME</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531F8A3" w14:textId="77777777" w:rsidR="00000000" w:rsidRPr="001D257A" w:rsidRDefault="00000000" w:rsidP="00A26521">
            <w:pPr>
              <w:bidi/>
              <w:jc w:val="left"/>
              <w:rPr>
                <w:rFonts w:hint="eastAsia"/>
              </w:rPr>
            </w:pPr>
            <w:r w:rsidRPr="001D257A">
              <w:rPr>
                <w:sz w:val="24"/>
                <w:szCs w:val="24"/>
                <w:rtl/>
              </w:rPr>
              <w:t>السحابية والأتمتة تدعم النمو المستدام</w:t>
            </w:r>
          </w:p>
        </w:tc>
      </w:tr>
      <w:tr w:rsidR="003D0797" w:rsidRPr="001D257A" w14:paraId="1B7C83CE"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31DCF3C" w14:textId="77777777" w:rsidR="00000000" w:rsidRPr="001D257A" w:rsidRDefault="00000000" w:rsidP="00A26521">
            <w:pPr>
              <w:bidi/>
              <w:jc w:val="left"/>
              <w:rPr>
                <w:rFonts w:hint="eastAsia"/>
              </w:rPr>
            </w:pPr>
            <w:r w:rsidRPr="001D257A">
              <w:rPr>
                <w:sz w:val="24"/>
                <w:szCs w:val="24"/>
                <w:rtl/>
              </w:rPr>
              <w:t>Economic Space</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9A42337" w14:textId="77777777" w:rsidR="00000000" w:rsidRPr="001D257A" w:rsidRDefault="00000000" w:rsidP="00A26521">
            <w:pPr>
              <w:bidi/>
              <w:jc w:val="left"/>
              <w:rPr>
                <w:rFonts w:hint="eastAsia"/>
              </w:rPr>
            </w:pPr>
            <w:r w:rsidRPr="001D257A">
              <w:rPr>
                <w:sz w:val="24"/>
                <w:szCs w:val="24"/>
                <w:rtl/>
              </w:rPr>
              <w:t>2024</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8E7B677" w14:textId="77777777" w:rsidR="00000000" w:rsidRPr="001D257A" w:rsidRDefault="00000000" w:rsidP="00A26521">
            <w:pPr>
              <w:bidi/>
              <w:jc w:val="left"/>
              <w:rPr>
                <w:rFonts w:hint="eastAsia"/>
              </w:rPr>
            </w:pPr>
            <w:r w:rsidRPr="001D257A">
              <w:rPr>
                <w:sz w:val="24"/>
                <w:szCs w:val="24"/>
                <w:rtl/>
              </w:rPr>
              <w:t>تحليلي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C4FE9FF" w14:textId="77777777" w:rsidR="00000000" w:rsidRPr="001D257A" w:rsidRDefault="00000000" w:rsidP="00A26521">
            <w:pPr>
              <w:bidi/>
              <w:jc w:val="left"/>
              <w:rPr>
                <w:rFonts w:hint="eastAsia"/>
              </w:rPr>
            </w:pPr>
            <w:r w:rsidRPr="001D257A">
              <w:rPr>
                <w:sz w:val="24"/>
                <w:szCs w:val="24"/>
                <w:rtl/>
              </w:rPr>
              <w:t>SME</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0D08B4B" w14:textId="77777777" w:rsidR="00000000" w:rsidRPr="001D257A" w:rsidRDefault="00000000" w:rsidP="00A26521">
            <w:pPr>
              <w:bidi/>
              <w:jc w:val="left"/>
              <w:rPr>
                <w:rFonts w:hint="eastAsia"/>
              </w:rPr>
            </w:pPr>
            <w:r w:rsidRPr="001D257A">
              <w:rPr>
                <w:sz w:val="24"/>
                <w:szCs w:val="24"/>
                <w:rtl/>
              </w:rPr>
              <w:t>الأتمتة تقلل الوقت والتكلفة الإدارية</w:t>
            </w:r>
          </w:p>
        </w:tc>
      </w:tr>
      <w:tr w:rsidR="003D0797" w:rsidRPr="001D257A" w14:paraId="46966AB5"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2D93B39" w14:textId="77777777" w:rsidR="00000000" w:rsidRPr="001D257A" w:rsidRDefault="00000000" w:rsidP="00A26521">
            <w:pPr>
              <w:bidi/>
              <w:jc w:val="left"/>
              <w:rPr>
                <w:rFonts w:hint="eastAsia"/>
              </w:rPr>
            </w:pPr>
            <w:r w:rsidRPr="001D257A">
              <w:rPr>
                <w:sz w:val="24"/>
                <w:szCs w:val="24"/>
                <w:rtl/>
              </w:rPr>
              <w:t>Buildings</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2C1B4D4" w14:textId="77777777" w:rsidR="00000000" w:rsidRPr="001D257A" w:rsidRDefault="00000000" w:rsidP="00A26521">
            <w:pPr>
              <w:bidi/>
              <w:jc w:val="left"/>
              <w:rPr>
                <w:rFonts w:hint="eastAsia"/>
              </w:rPr>
            </w:pPr>
            <w:r w:rsidRPr="001D257A">
              <w:rPr>
                <w:sz w:val="24"/>
                <w:szCs w:val="24"/>
                <w:rtl/>
              </w:rPr>
              <w:t>2023</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C42E88E" w14:textId="77777777" w:rsidR="00000000" w:rsidRPr="001D257A" w:rsidRDefault="00000000" w:rsidP="00A26521">
            <w:pPr>
              <w:bidi/>
              <w:jc w:val="left"/>
              <w:rPr>
                <w:rFonts w:hint="eastAsia"/>
              </w:rPr>
            </w:pPr>
            <w:r w:rsidRPr="001D257A">
              <w:rPr>
                <w:sz w:val="24"/>
                <w:szCs w:val="24"/>
                <w:rtl/>
              </w:rPr>
              <w:t>كمي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DE06AA0" w14:textId="77777777" w:rsidR="00000000" w:rsidRPr="001D257A" w:rsidRDefault="00000000" w:rsidP="00A26521">
            <w:pPr>
              <w:bidi/>
              <w:jc w:val="left"/>
              <w:rPr>
                <w:rFonts w:hint="eastAsia"/>
              </w:rPr>
            </w:pPr>
            <w:r w:rsidRPr="001D257A">
              <w:rPr>
                <w:sz w:val="24"/>
                <w:szCs w:val="24"/>
                <w:rtl/>
              </w:rPr>
              <w:t>إنشاءات</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5674A33" w14:textId="77777777" w:rsidR="00000000" w:rsidRPr="001D257A" w:rsidRDefault="00000000" w:rsidP="00A26521">
            <w:pPr>
              <w:bidi/>
              <w:jc w:val="left"/>
              <w:rPr>
                <w:rFonts w:hint="eastAsia"/>
              </w:rPr>
            </w:pPr>
            <w:r w:rsidRPr="001D257A">
              <w:rPr>
                <w:sz w:val="24"/>
                <w:szCs w:val="24"/>
                <w:rtl/>
              </w:rPr>
              <w:t>التكامل الرقمي يحسّن أداء المشاريع</w:t>
            </w:r>
          </w:p>
        </w:tc>
      </w:tr>
      <w:tr w:rsidR="003D0797" w:rsidRPr="001D257A" w14:paraId="6D613A85"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38875FA" w14:textId="77777777" w:rsidR="00000000" w:rsidRPr="001D257A" w:rsidRDefault="00000000" w:rsidP="00A26521">
            <w:pPr>
              <w:bidi/>
              <w:jc w:val="left"/>
              <w:rPr>
                <w:rFonts w:hint="eastAsia"/>
              </w:rPr>
            </w:pPr>
            <w:r w:rsidRPr="001D257A">
              <w:rPr>
                <w:sz w:val="24"/>
                <w:szCs w:val="24"/>
                <w:rtl/>
              </w:rPr>
              <w:t>Sustainability</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7522B196" w14:textId="77777777" w:rsidR="00000000" w:rsidRPr="001D257A" w:rsidRDefault="00000000" w:rsidP="00A26521">
            <w:pPr>
              <w:bidi/>
              <w:jc w:val="left"/>
              <w:rPr>
                <w:rFonts w:hint="eastAsia"/>
              </w:rPr>
            </w:pPr>
            <w:r w:rsidRPr="001D257A">
              <w:rPr>
                <w:sz w:val="24"/>
                <w:szCs w:val="24"/>
                <w:rtl/>
              </w:rPr>
              <w:t>2023</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F03C96B" w14:textId="77777777" w:rsidR="00000000" w:rsidRPr="001D257A" w:rsidRDefault="00000000" w:rsidP="00A26521">
            <w:pPr>
              <w:bidi/>
              <w:jc w:val="left"/>
              <w:rPr>
                <w:rFonts w:hint="eastAsia"/>
              </w:rPr>
            </w:pPr>
            <w:r w:rsidRPr="001D257A">
              <w:rPr>
                <w:sz w:val="24"/>
                <w:szCs w:val="24"/>
                <w:rtl/>
              </w:rPr>
              <w:t>كمي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F52E682" w14:textId="77777777" w:rsidR="00000000" w:rsidRPr="001D257A" w:rsidRDefault="00000000" w:rsidP="00A26521">
            <w:pPr>
              <w:bidi/>
              <w:jc w:val="left"/>
              <w:rPr>
                <w:rFonts w:hint="eastAsia"/>
              </w:rPr>
            </w:pPr>
            <w:r w:rsidRPr="001D257A">
              <w:rPr>
                <w:sz w:val="24"/>
                <w:szCs w:val="24"/>
                <w:rtl/>
              </w:rPr>
              <w:t>صناعة</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A6204DD" w14:textId="77777777" w:rsidR="00000000" w:rsidRPr="001D257A" w:rsidRDefault="00000000" w:rsidP="00A26521">
            <w:pPr>
              <w:bidi/>
              <w:jc w:val="left"/>
              <w:rPr>
                <w:rFonts w:hint="eastAsia"/>
              </w:rPr>
            </w:pPr>
            <w:r w:rsidRPr="001D257A">
              <w:rPr>
                <w:sz w:val="24"/>
                <w:szCs w:val="24"/>
                <w:rtl/>
              </w:rPr>
              <w:t>DT يؤثر إيجابًا مع إدارة التغيير</w:t>
            </w:r>
          </w:p>
        </w:tc>
      </w:tr>
      <w:tr w:rsidR="003D0797" w:rsidRPr="001D257A" w14:paraId="6727B11E"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60EEEE9" w14:textId="77777777" w:rsidR="00000000" w:rsidRPr="001D257A" w:rsidRDefault="00000000" w:rsidP="00A26521">
            <w:pPr>
              <w:bidi/>
              <w:jc w:val="left"/>
              <w:rPr>
                <w:rFonts w:hint="eastAsia"/>
              </w:rPr>
            </w:pPr>
            <w:r w:rsidRPr="001D257A">
              <w:rPr>
                <w:sz w:val="24"/>
                <w:szCs w:val="24"/>
                <w:rtl/>
              </w:rPr>
              <w:t>PJAEI</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5F03E61" w14:textId="77777777" w:rsidR="00000000" w:rsidRPr="001D257A" w:rsidRDefault="00000000" w:rsidP="00A26521">
            <w:pPr>
              <w:bidi/>
              <w:jc w:val="left"/>
              <w:rPr>
                <w:rFonts w:hint="eastAsia"/>
              </w:rPr>
            </w:pPr>
            <w:r w:rsidRPr="001D257A">
              <w:rPr>
                <w:sz w:val="24"/>
                <w:szCs w:val="24"/>
                <w:rtl/>
              </w:rPr>
              <w:t>2024</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C95F1FF" w14:textId="77777777" w:rsidR="00000000" w:rsidRPr="001D257A" w:rsidRDefault="00000000" w:rsidP="00A26521">
            <w:pPr>
              <w:bidi/>
              <w:jc w:val="left"/>
              <w:rPr>
                <w:rFonts w:hint="eastAsia"/>
              </w:rPr>
            </w:pPr>
            <w:r w:rsidRPr="001D257A">
              <w:rPr>
                <w:sz w:val="24"/>
                <w:szCs w:val="24"/>
                <w:rtl/>
              </w:rPr>
              <w:t>تحليلي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F71868D" w14:textId="77777777" w:rsidR="00000000" w:rsidRPr="001D257A" w:rsidRDefault="00000000" w:rsidP="00A26521">
            <w:pPr>
              <w:bidi/>
              <w:jc w:val="left"/>
              <w:rPr>
                <w:rFonts w:hint="eastAsia"/>
              </w:rPr>
            </w:pPr>
            <w:r w:rsidRPr="001D257A">
              <w:rPr>
                <w:sz w:val="24"/>
                <w:szCs w:val="24"/>
                <w:rtl/>
              </w:rPr>
              <w:t>دولي</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1438A92" w14:textId="77777777" w:rsidR="00000000" w:rsidRPr="001D257A" w:rsidRDefault="00000000" w:rsidP="00A26521">
            <w:pPr>
              <w:bidi/>
              <w:jc w:val="left"/>
              <w:rPr>
                <w:rFonts w:hint="eastAsia"/>
              </w:rPr>
            </w:pPr>
            <w:r w:rsidRPr="001D257A">
              <w:rPr>
                <w:sz w:val="24"/>
                <w:szCs w:val="24"/>
                <w:rtl/>
              </w:rPr>
              <w:t>الذكاء الاصطناعي يفتح آفاقًا جديدة لإدارة PM</w:t>
            </w:r>
          </w:p>
        </w:tc>
      </w:tr>
      <w:tr w:rsidR="003D0797" w:rsidRPr="001D257A" w14:paraId="6B096037"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78C2C0EF" w14:textId="77777777" w:rsidR="00000000" w:rsidRPr="001D257A" w:rsidRDefault="00000000" w:rsidP="00A26521">
            <w:pPr>
              <w:bidi/>
              <w:jc w:val="left"/>
              <w:rPr>
                <w:rFonts w:hint="eastAsia"/>
              </w:rPr>
            </w:pPr>
            <w:r w:rsidRPr="001D257A">
              <w:rPr>
                <w:sz w:val="24"/>
                <w:szCs w:val="24"/>
                <w:rtl/>
              </w:rPr>
              <w:t>Jahanger et al.</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2708663" w14:textId="77777777" w:rsidR="00000000" w:rsidRPr="001D257A" w:rsidRDefault="00000000" w:rsidP="00A26521">
            <w:pPr>
              <w:bidi/>
              <w:jc w:val="left"/>
              <w:rPr>
                <w:rFonts w:hint="eastAsia"/>
              </w:rPr>
            </w:pPr>
            <w:r w:rsidRPr="001D257A">
              <w:rPr>
                <w:sz w:val="24"/>
                <w:szCs w:val="24"/>
                <w:rtl/>
              </w:rPr>
              <w:t>2021</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1E05DA8" w14:textId="77777777" w:rsidR="00000000" w:rsidRPr="001D257A" w:rsidRDefault="00000000" w:rsidP="00A26521">
            <w:pPr>
              <w:bidi/>
              <w:jc w:val="left"/>
              <w:rPr>
                <w:rFonts w:hint="eastAsia"/>
              </w:rPr>
            </w:pPr>
            <w:r w:rsidRPr="001D257A">
              <w:rPr>
                <w:sz w:val="24"/>
                <w:szCs w:val="24"/>
                <w:rtl/>
              </w:rPr>
              <w:t>كمي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775B9C4" w14:textId="77777777" w:rsidR="00000000" w:rsidRPr="001D257A" w:rsidRDefault="00000000" w:rsidP="00A26521">
            <w:pPr>
              <w:bidi/>
              <w:jc w:val="left"/>
              <w:rPr>
                <w:rFonts w:hint="eastAsia"/>
              </w:rPr>
            </w:pPr>
            <w:r w:rsidRPr="001D257A">
              <w:rPr>
                <w:sz w:val="24"/>
                <w:szCs w:val="24"/>
                <w:rtl/>
              </w:rPr>
              <w:t>إنشاءات</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A6475D6" w14:textId="77777777" w:rsidR="00000000" w:rsidRPr="001D257A" w:rsidRDefault="00000000" w:rsidP="00A26521">
            <w:pPr>
              <w:bidi/>
              <w:jc w:val="left"/>
              <w:rPr>
                <w:rFonts w:hint="eastAsia"/>
              </w:rPr>
            </w:pPr>
            <w:r w:rsidRPr="001D257A">
              <w:rPr>
                <w:sz w:val="24"/>
                <w:szCs w:val="24"/>
                <w:rtl/>
              </w:rPr>
              <w:t>الرقمنة تحسّن جودة المعلومات وتقلل الأخطاء</w:t>
            </w:r>
          </w:p>
        </w:tc>
      </w:tr>
      <w:tr w:rsidR="003D0797" w:rsidRPr="001D257A" w14:paraId="1FA1B0AF"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1BD1723" w14:textId="77777777" w:rsidR="00000000" w:rsidRPr="001D257A" w:rsidRDefault="00000000" w:rsidP="00A26521">
            <w:pPr>
              <w:bidi/>
              <w:jc w:val="left"/>
              <w:rPr>
                <w:rFonts w:hint="eastAsia"/>
              </w:rPr>
            </w:pPr>
            <w:r w:rsidRPr="001D257A">
              <w:rPr>
                <w:sz w:val="24"/>
                <w:szCs w:val="24"/>
                <w:rtl/>
              </w:rPr>
              <w:lastRenderedPageBreak/>
              <w:t>IBIMA</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E2D8EFB" w14:textId="77777777" w:rsidR="00000000" w:rsidRPr="001D257A" w:rsidRDefault="00000000" w:rsidP="00A26521">
            <w:pPr>
              <w:bidi/>
              <w:jc w:val="left"/>
              <w:rPr>
                <w:rFonts w:hint="eastAsia"/>
              </w:rPr>
            </w:pPr>
            <w:r w:rsidRPr="001D257A">
              <w:rPr>
                <w:sz w:val="24"/>
                <w:szCs w:val="24"/>
                <w:rtl/>
              </w:rPr>
              <w:t>2022</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4D2F0ED" w14:textId="77777777" w:rsidR="00000000" w:rsidRPr="001D257A" w:rsidRDefault="00000000" w:rsidP="00A26521">
            <w:pPr>
              <w:bidi/>
              <w:jc w:val="left"/>
              <w:rPr>
                <w:rFonts w:hint="eastAsia"/>
              </w:rPr>
            </w:pPr>
            <w:r w:rsidRPr="001D257A">
              <w:rPr>
                <w:sz w:val="24"/>
                <w:szCs w:val="24"/>
                <w:rtl/>
              </w:rPr>
              <w:t>تحليلي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B718159" w14:textId="77777777" w:rsidR="00000000" w:rsidRPr="001D257A" w:rsidRDefault="00000000" w:rsidP="00A26521">
            <w:pPr>
              <w:bidi/>
              <w:jc w:val="left"/>
              <w:rPr>
                <w:rFonts w:hint="eastAsia"/>
              </w:rPr>
            </w:pPr>
            <w:r w:rsidRPr="001D257A">
              <w:rPr>
                <w:sz w:val="24"/>
                <w:szCs w:val="24"/>
                <w:rtl/>
              </w:rPr>
              <w:t>دولي</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C7C1796" w14:textId="77777777" w:rsidR="00000000" w:rsidRPr="001D257A" w:rsidRDefault="00000000" w:rsidP="00A26521">
            <w:pPr>
              <w:bidi/>
              <w:jc w:val="left"/>
              <w:rPr>
                <w:rFonts w:hint="eastAsia"/>
              </w:rPr>
            </w:pPr>
            <w:r w:rsidRPr="001D257A">
              <w:rPr>
                <w:sz w:val="24"/>
                <w:szCs w:val="24"/>
                <w:rtl/>
              </w:rPr>
              <w:t>نجاح DT يتطلب قدرات إدارية وتنظيمية</w:t>
            </w:r>
          </w:p>
        </w:tc>
      </w:tr>
      <w:tr w:rsidR="003D0797" w:rsidRPr="001D257A" w14:paraId="1BB39A33"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903DF3A" w14:textId="77777777" w:rsidR="00000000" w:rsidRPr="001D257A" w:rsidRDefault="00000000" w:rsidP="00A26521">
            <w:pPr>
              <w:bidi/>
              <w:jc w:val="left"/>
              <w:rPr>
                <w:rFonts w:hint="eastAsia"/>
              </w:rPr>
            </w:pPr>
            <w:r w:rsidRPr="001D257A">
              <w:rPr>
                <w:sz w:val="24"/>
                <w:szCs w:val="24"/>
                <w:rtl/>
              </w:rPr>
              <w:t>JMAP</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49769A5" w14:textId="77777777" w:rsidR="00000000" w:rsidRPr="001D257A" w:rsidRDefault="00000000" w:rsidP="00A26521">
            <w:pPr>
              <w:bidi/>
              <w:jc w:val="left"/>
              <w:rPr>
                <w:rFonts w:hint="eastAsia"/>
              </w:rPr>
            </w:pPr>
            <w:r w:rsidRPr="001D257A">
              <w:rPr>
                <w:sz w:val="24"/>
                <w:szCs w:val="24"/>
                <w:rtl/>
              </w:rPr>
              <w:t>2024</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7FBCB3E8" w14:textId="77777777" w:rsidR="00000000" w:rsidRPr="001D257A" w:rsidRDefault="00000000" w:rsidP="00A26521">
            <w:pPr>
              <w:bidi/>
              <w:jc w:val="left"/>
              <w:rPr>
                <w:rFonts w:hint="eastAsia"/>
              </w:rPr>
            </w:pPr>
            <w:r w:rsidRPr="001D257A">
              <w:rPr>
                <w:sz w:val="24"/>
                <w:szCs w:val="24"/>
                <w:rtl/>
              </w:rPr>
              <w:t>تحليلي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54ECABD" w14:textId="77777777" w:rsidR="00000000" w:rsidRPr="001D257A" w:rsidRDefault="00000000" w:rsidP="00A26521">
            <w:pPr>
              <w:bidi/>
              <w:jc w:val="left"/>
              <w:rPr>
                <w:rFonts w:hint="eastAsia"/>
              </w:rPr>
            </w:pPr>
            <w:r w:rsidRPr="001D257A">
              <w:rPr>
                <w:sz w:val="24"/>
                <w:szCs w:val="24"/>
                <w:rtl/>
              </w:rPr>
              <w:t>دولي</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AC46716" w14:textId="77777777" w:rsidR="00000000" w:rsidRPr="001D257A" w:rsidRDefault="00000000" w:rsidP="00A26521">
            <w:pPr>
              <w:bidi/>
              <w:jc w:val="left"/>
              <w:rPr>
                <w:rFonts w:hint="eastAsia"/>
              </w:rPr>
            </w:pPr>
            <w:r w:rsidRPr="001D257A">
              <w:rPr>
                <w:sz w:val="24"/>
                <w:szCs w:val="24"/>
                <w:rtl/>
              </w:rPr>
              <w:t>إدارة التغيير حاسمة لنجاح التبنّي التقني</w:t>
            </w:r>
          </w:p>
        </w:tc>
      </w:tr>
      <w:tr w:rsidR="003D0797" w:rsidRPr="001D257A" w14:paraId="59D4105A"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42F5CE2" w14:textId="77777777" w:rsidR="00000000" w:rsidRPr="001D257A" w:rsidRDefault="00000000" w:rsidP="00A26521">
            <w:pPr>
              <w:bidi/>
              <w:jc w:val="left"/>
              <w:rPr>
                <w:rFonts w:hint="eastAsia"/>
              </w:rPr>
            </w:pPr>
            <w:r w:rsidRPr="001D257A">
              <w:rPr>
                <w:sz w:val="24"/>
                <w:szCs w:val="24"/>
                <w:rtl/>
              </w:rPr>
              <w:t>Hawsawi</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80B3972" w14:textId="77777777" w:rsidR="00000000" w:rsidRPr="001D257A" w:rsidRDefault="00000000" w:rsidP="00A26521">
            <w:pPr>
              <w:bidi/>
              <w:jc w:val="left"/>
              <w:rPr>
                <w:rFonts w:hint="eastAsia"/>
              </w:rPr>
            </w:pPr>
            <w:r w:rsidRPr="001D257A">
              <w:rPr>
                <w:sz w:val="24"/>
                <w:szCs w:val="24"/>
                <w:rtl/>
              </w:rPr>
              <w:t>2024</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1A7A11C" w14:textId="77777777" w:rsidR="00000000" w:rsidRPr="001D257A" w:rsidRDefault="00000000" w:rsidP="00A26521">
            <w:pPr>
              <w:bidi/>
              <w:jc w:val="left"/>
              <w:rPr>
                <w:rFonts w:hint="eastAsia"/>
              </w:rPr>
            </w:pPr>
            <w:r w:rsidRPr="001D257A">
              <w:rPr>
                <w:sz w:val="24"/>
                <w:szCs w:val="24"/>
                <w:rtl/>
              </w:rPr>
              <w:t>كمي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6DC68B8" w14:textId="77777777" w:rsidR="00000000" w:rsidRPr="001D257A" w:rsidRDefault="00000000" w:rsidP="00A26521">
            <w:pPr>
              <w:bidi/>
              <w:jc w:val="left"/>
              <w:rPr>
                <w:rFonts w:hint="eastAsia"/>
              </w:rPr>
            </w:pPr>
            <w:r w:rsidRPr="001D257A">
              <w:rPr>
                <w:sz w:val="24"/>
                <w:szCs w:val="24"/>
                <w:rtl/>
              </w:rPr>
              <w:t>السعودية</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0AA2180" w14:textId="77777777" w:rsidR="00000000" w:rsidRPr="001D257A" w:rsidRDefault="00000000" w:rsidP="00A26521">
            <w:pPr>
              <w:bidi/>
              <w:jc w:val="left"/>
              <w:rPr>
                <w:rFonts w:hint="eastAsia"/>
              </w:rPr>
            </w:pPr>
            <w:r w:rsidRPr="001D257A">
              <w:rPr>
                <w:sz w:val="24"/>
                <w:szCs w:val="24"/>
                <w:rtl/>
              </w:rPr>
              <w:t>DT يحسّن جودة PM في المملكة</w:t>
            </w:r>
          </w:p>
        </w:tc>
      </w:tr>
      <w:tr w:rsidR="003D0797" w:rsidRPr="001D257A" w14:paraId="7CFB9472"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7843944" w14:textId="77777777" w:rsidR="00000000" w:rsidRPr="001D257A" w:rsidRDefault="00000000" w:rsidP="00A26521">
            <w:pPr>
              <w:bidi/>
              <w:jc w:val="left"/>
              <w:rPr>
                <w:rFonts w:hint="eastAsia"/>
              </w:rPr>
            </w:pPr>
            <w:r w:rsidRPr="001D257A">
              <w:rPr>
                <w:sz w:val="24"/>
                <w:szCs w:val="24"/>
                <w:rtl/>
              </w:rPr>
              <w:t>Abdelhameed</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695C71C" w14:textId="77777777" w:rsidR="00000000" w:rsidRPr="001D257A" w:rsidRDefault="00000000" w:rsidP="00A26521">
            <w:pPr>
              <w:bidi/>
              <w:jc w:val="left"/>
              <w:rPr>
                <w:rFonts w:hint="eastAsia"/>
              </w:rPr>
            </w:pPr>
            <w:r w:rsidRPr="001D257A">
              <w:rPr>
                <w:sz w:val="24"/>
                <w:szCs w:val="24"/>
                <w:rtl/>
              </w:rPr>
              <w:t>2025</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B045C1C" w14:textId="77777777" w:rsidR="00000000" w:rsidRPr="001D257A" w:rsidRDefault="00000000" w:rsidP="00A26521">
            <w:pPr>
              <w:bidi/>
              <w:jc w:val="left"/>
              <w:rPr>
                <w:rFonts w:hint="eastAsia"/>
              </w:rPr>
            </w:pPr>
            <w:r w:rsidRPr="001D257A">
              <w:rPr>
                <w:sz w:val="24"/>
                <w:szCs w:val="24"/>
                <w:rtl/>
              </w:rPr>
              <w:t>كمي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14E56F8" w14:textId="77777777" w:rsidR="00000000" w:rsidRPr="001D257A" w:rsidRDefault="00000000" w:rsidP="00A26521">
            <w:pPr>
              <w:bidi/>
              <w:jc w:val="left"/>
              <w:rPr>
                <w:rFonts w:hint="eastAsia"/>
              </w:rPr>
            </w:pPr>
            <w:r w:rsidRPr="001D257A">
              <w:rPr>
                <w:sz w:val="24"/>
                <w:szCs w:val="24"/>
                <w:rtl/>
              </w:rPr>
              <w:t>السعودية</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56B35CC" w14:textId="77777777" w:rsidR="00000000" w:rsidRPr="001D257A" w:rsidRDefault="00000000" w:rsidP="00A26521">
            <w:pPr>
              <w:bidi/>
              <w:jc w:val="left"/>
              <w:rPr>
                <w:rFonts w:hint="eastAsia"/>
              </w:rPr>
            </w:pPr>
            <w:r w:rsidRPr="001D257A">
              <w:rPr>
                <w:sz w:val="24"/>
                <w:szCs w:val="24"/>
                <w:rtl/>
              </w:rPr>
              <w:t>برمجيات PM تحسّن الالتزام والجودة</w:t>
            </w:r>
          </w:p>
        </w:tc>
      </w:tr>
      <w:tr w:rsidR="003D0797" w:rsidRPr="001D257A" w14:paraId="2A4AC0D7"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A7AC23D" w14:textId="77777777" w:rsidR="00000000" w:rsidRPr="001D257A" w:rsidRDefault="00000000" w:rsidP="00A26521">
            <w:pPr>
              <w:bidi/>
              <w:jc w:val="left"/>
              <w:rPr>
                <w:rFonts w:hint="eastAsia"/>
              </w:rPr>
            </w:pPr>
            <w:r w:rsidRPr="001D257A">
              <w:rPr>
                <w:sz w:val="24"/>
                <w:szCs w:val="24"/>
                <w:rtl/>
              </w:rPr>
              <w:t>منشآت</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27A7C7F" w14:textId="77777777" w:rsidR="00000000" w:rsidRPr="001D257A" w:rsidRDefault="00000000" w:rsidP="00A26521">
            <w:pPr>
              <w:bidi/>
              <w:jc w:val="left"/>
              <w:rPr>
                <w:rFonts w:hint="eastAsia"/>
              </w:rPr>
            </w:pPr>
            <w:r w:rsidRPr="001D257A">
              <w:rPr>
                <w:sz w:val="24"/>
                <w:szCs w:val="24"/>
                <w:rtl/>
              </w:rPr>
              <w:t>2024</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006E1EA" w14:textId="77777777" w:rsidR="00000000" w:rsidRPr="001D257A" w:rsidRDefault="00000000" w:rsidP="00A26521">
            <w:pPr>
              <w:bidi/>
              <w:jc w:val="left"/>
              <w:rPr>
                <w:rFonts w:hint="eastAsia"/>
              </w:rPr>
            </w:pPr>
            <w:r w:rsidRPr="001D257A">
              <w:rPr>
                <w:sz w:val="24"/>
                <w:szCs w:val="24"/>
                <w:rtl/>
              </w:rPr>
              <w:t>تقرير</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3159650" w14:textId="77777777" w:rsidR="00000000" w:rsidRPr="001D257A" w:rsidRDefault="00000000" w:rsidP="00A26521">
            <w:pPr>
              <w:bidi/>
              <w:jc w:val="left"/>
              <w:rPr>
                <w:rFonts w:hint="eastAsia"/>
              </w:rPr>
            </w:pPr>
            <w:r w:rsidRPr="001D257A">
              <w:rPr>
                <w:sz w:val="24"/>
                <w:szCs w:val="24"/>
                <w:rtl/>
              </w:rPr>
              <w:t>السعودية</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E345FC4" w14:textId="77777777" w:rsidR="00000000" w:rsidRPr="001D257A" w:rsidRDefault="00000000" w:rsidP="00A26521">
            <w:pPr>
              <w:bidi/>
              <w:jc w:val="left"/>
              <w:rPr>
                <w:rFonts w:hint="eastAsia"/>
              </w:rPr>
            </w:pPr>
            <w:r w:rsidRPr="001D257A">
              <w:rPr>
                <w:sz w:val="24"/>
                <w:szCs w:val="24"/>
                <w:rtl/>
              </w:rPr>
              <w:t>DT ضرورة استراتيجية للمنشآت الناشئة</w:t>
            </w:r>
          </w:p>
        </w:tc>
      </w:tr>
      <w:tr w:rsidR="003D0797" w:rsidRPr="001D257A" w14:paraId="40CF5F5B"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0D4BB65" w14:textId="77777777" w:rsidR="00000000" w:rsidRPr="001D257A" w:rsidRDefault="00000000" w:rsidP="00A26521">
            <w:pPr>
              <w:bidi/>
              <w:jc w:val="left"/>
              <w:rPr>
                <w:rFonts w:hint="eastAsia"/>
              </w:rPr>
            </w:pPr>
            <w:r w:rsidRPr="001D257A">
              <w:rPr>
                <w:sz w:val="24"/>
                <w:szCs w:val="24"/>
                <w:rtl/>
              </w:rPr>
              <w:t>الزهراني</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C25C983" w14:textId="77777777" w:rsidR="00000000" w:rsidRPr="001D257A" w:rsidRDefault="00000000" w:rsidP="00A26521">
            <w:pPr>
              <w:bidi/>
              <w:jc w:val="left"/>
              <w:rPr>
                <w:rFonts w:hint="eastAsia"/>
              </w:rPr>
            </w:pPr>
            <w:r w:rsidRPr="001D257A">
              <w:rPr>
                <w:sz w:val="24"/>
                <w:szCs w:val="24"/>
                <w:rtl/>
              </w:rPr>
              <w:t>2022</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0B08CCA" w14:textId="77777777" w:rsidR="00000000" w:rsidRPr="001D257A" w:rsidRDefault="00000000" w:rsidP="00A26521">
            <w:pPr>
              <w:bidi/>
              <w:jc w:val="left"/>
              <w:rPr>
                <w:rFonts w:hint="eastAsia"/>
              </w:rPr>
            </w:pPr>
            <w:r w:rsidRPr="001D257A">
              <w:rPr>
                <w:sz w:val="24"/>
                <w:szCs w:val="24"/>
                <w:rtl/>
              </w:rPr>
              <w:t>وصفي تحليلي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7016184B" w14:textId="77777777" w:rsidR="00000000" w:rsidRPr="001D257A" w:rsidRDefault="00000000" w:rsidP="00A26521">
            <w:pPr>
              <w:bidi/>
              <w:jc w:val="left"/>
              <w:rPr>
                <w:rFonts w:hint="eastAsia"/>
              </w:rPr>
            </w:pPr>
            <w:r w:rsidRPr="001D257A">
              <w:rPr>
                <w:sz w:val="24"/>
                <w:szCs w:val="24"/>
                <w:rtl/>
              </w:rPr>
              <w:t>السعودية</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AAED934" w14:textId="77777777" w:rsidR="00000000" w:rsidRPr="001D257A" w:rsidRDefault="00000000" w:rsidP="00A26521">
            <w:pPr>
              <w:bidi/>
              <w:jc w:val="left"/>
              <w:rPr>
                <w:rFonts w:hint="eastAsia"/>
              </w:rPr>
            </w:pPr>
            <w:r w:rsidRPr="001D257A">
              <w:rPr>
                <w:sz w:val="24"/>
                <w:szCs w:val="24"/>
                <w:rtl/>
              </w:rPr>
              <w:t>علاقة إيجابية بين DT وكفاءة PM</w:t>
            </w:r>
          </w:p>
        </w:tc>
      </w:tr>
      <w:tr w:rsidR="003D0797" w:rsidRPr="001D257A" w14:paraId="1BE8F558" w14:textId="77777777" w:rsidTr="004321CC">
        <w:tc>
          <w:tcPr>
            <w:tcW w:w="2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E89FA20" w14:textId="77777777" w:rsidR="00000000" w:rsidRPr="001D257A" w:rsidRDefault="00000000" w:rsidP="00A26521">
            <w:pPr>
              <w:bidi/>
              <w:jc w:val="left"/>
              <w:rPr>
                <w:rFonts w:hint="eastAsia"/>
              </w:rPr>
            </w:pPr>
            <w:r w:rsidRPr="001D257A">
              <w:rPr>
                <w:sz w:val="24"/>
                <w:szCs w:val="24"/>
                <w:rtl/>
              </w:rPr>
              <w:t>السعيد</w:t>
            </w:r>
          </w:p>
        </w:tc>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E4D962F" w14:textId="77777777" w:rsidR="00000000" w:rsidRPr="001D257A" w:rsidRDefault="00000000" w:rsidP="00A26521">
            <w:pPr>
              <w:bidi/>
              <w:jc w:val="left"/>
              <w:rPr>
                <w:rFonts w:hint="eastAsia"/>
              </w:rPr>
            </w:pPr>
            <w:r w:rsidRPr="001D257A">
              <w:rPr>
                <w:sz w:val="24"/>
                <w:szCs w:val="24"/>
                <w:rtl/>
              </w:rPr>
              <w:t>2023</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41876CF4" w14:textId="77777777" w:rsidR="00000000" w:rsidRPr="001D257A" w:rsidRDefault="00000000" w:rsidP="00A26521">
            <w:pPr>
              <w:bidi/>
              <w:jc w:val="left"/>
              <w:rPr>
                <w:rFonts w:hint="eastAsia"/>
              </w:rPr>
            </w:pPr>
            <w:r w:rsidRPr="001D257A">
              <w:rPr>
                <w:sz w:val="24"/>
                <w:szCs w:val="24"/>
                <w:rtl/>
              </w:rPr>
              <w:t>وصفي تحليلي</w:t>
            </w:r>
          </w:p>
        </w:tc>
        <w:tc>
          <w:tcPr>
            <w:tcW w:w="15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036BAB5B" w14:textId="77777777" w:rsidR="00000000" w:rsidRPr="001D257A" w:rsidRDefault="00000000" w:rsidP="00A26521">
            <w:pPr>
              <w:bidi/>
              <w:jc w:val="left"/>
              <w:rPr>
                <w:rFonts w:hint="eastAsia"/>
              </w:rPr>
            </w:pPr>
            <w:r w:rsidRPr="001D257A">
              <w:rPr>
                <w:sz w:val="24"/>
                <w:szCs w:val="24"/>
                <w:rtl/>
              </w:rPr>
              <w:t>ناشئة سعودية</w:t>
            </w:r>
          </w:p>
        </w:tc>
        <w:tc>
          <w:tcPr>
            <w:tcW w:w="307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49965F3" w14:textId="77777777" w:rsidR="00000000" w:rsidRPr="001D257A" w:rsidRDefault="00000000" w:rsidP="00A26521">
            <w:pPr>
              <w:bidi/>
              <w:jc w:val="left"/>
              <w:rPr>
                <w:rFonts w:hint="eastAsia"/>
              </w:rPr>
            </w:pPr>
            <w:r w:rsidRPr="001D257A">
              <w:rPr>
                <w:sz w:val="24"/>
                <w:szCs w:val="24"/>
                <w:rtl/>
              </w:rPr>
              <w:t>تفاوت كبير في تبنّي الأدوات الرقمية</w:t>
            </w:r>
          </w:p>
        </w:tc>
      </w:tr>
    </w:tbl>
    <w:p w14:paraId="5318F12E" w14:textId="77777777" w:rsidR="00000000" w:rsidRPr="001D257A" w:rsidRDefault="00000000" w:rsidP="00A26521">
      <w:pPr>
        <w:pStyle w:val="Heading2"/>
        <w:bidi/>
        <w:spacing w:after="200"/>
        <w:jc w:val="left"/>
        <w:rPr>
          <w:rFonts w:ascii="Simplified Arabic" w:hAnsi="Simplified Arabic" w:cs="Simplified Arabic" w:hint="eastAsia"/>
        </w:rPr>
      </w:pPr>
      <w:bookmarkStart w:id="48" w:name="_Toc225544183"/>
      <w:r w:rsidRPr="001D257A">
        <w:rPr>
          <w:rFonts w:ascii="Simplified Arabic" w:hAnsi="Simplified Arabic" w:cs="Simplified Arabic"/>
          <w:rtl/>
        </w:rPr>
        <w:t>المبحث الخامس: مناقشة الدراسات السابقة والفجوة البحثية</w:t>
      </w:r>
      <w:bookmarkEnd w:id="48"/>
    </w:p>
    <w:p w14:paraId="7EE96519" w14:textId="77777777" w:rsidR="00000000" w:rsidRPr="001D257A" w:rsidRDefault="00000000" w:rsidP="00A26521">
      <w:pPr>
        <w:bidi/>
        <w:spacing w:after="120" w:line="276" w:lineRule="auto"/>
        <w:ind w:firstLine="284"/>
        <w:jc w:val="left"/>
        <w:rPr>
          <w:rFonts w:hint="eastAsia"/>
        </w:rPr>
      </w:pPr>
      <w:r w:rsidRPr="001D257A">
        <w:rPr>
          <w:rtl/>
        </w:rPr>
        <w:t>من خلال الاستعراض الشامل والمعمّق للدراسات السابقة المحلية والدولية والإقليمية، يمكن استخلاص عدد من الملاحظات الجوهرية والمهمة التي تحدد بوضوح موقع هذه الدراسة من الأدبيات القائمة وتُبرز القيمة المضافة التي تقدمها:</w:t>
      </w:r>
    </w:p>
    <w:p w14:paraId="5AD865CB" w14:textId="77777777" w:rsidR="00000000" w:rsidRPr="001D257A" w:rsidRDefault="00000000" w:rsidP="00A26521">
      <w:pPr>
        <w:bidi/>
        <w:spacing w:after="120" w:line="276" w:lineRule="auto"/>
        <w:ind w:firstLine="284"/>
        <w:jc w:val="left"/>
        <w:rPr>
          <w:rFonts w:hint="eastAsia"/>
        </w:rPr>
      </w:pPr>
      <w:r w:rsidRPr="001D257A">
        <w:rPr>
          <w:rtl/>
        </w:rPr>
        <w:t>أولًا: أجمعت الدراسات السابقة بشكل شبه تام على وجود علاقة إيجابية بين التحول الرقمي وتحسين أداء وكفاءة إدارة المشاريع، إلا أن طبيعة هذه العلاقة وقوتها وآلياتها تتفاوت وتختلف وفقًا لعدة عوامل سياقية تشمل القطاع الصناعي وحجم المؤسسة ومستوى النضج الرقمي والسياق الثقافي والتنظيمي والجغرافي. وهذا يؤكد أهمية إجراء دراسات في سياقات محددة ومتميزة بدلًا من الاعتماد على نتائج عامة.</w:t>
      </w:r>
    </w:p>
    <w:p w14:paraId="3AC6045F" w14:textId="77777777" w:rsidR="00000000" w:rsidRPr="001D257A" w:rsidRDefault="00000000" w:rsidP="00A26521">
      <w:pPr>
        <w:bidi/>
        <w:spacing w:after="120" w:line="276" w:lineRule="auto"/>
        <w:ind w:firstLine="284"/>
        <w:jc w:val="left"/>
        <w:rPr>
          <w:rFonts w:hint="eastAsia"/>
        </w:rPr>
      </w:pPr>
      <w:r w:rsidRPr="001D257A">
        <w:rPr>
          <w:rtl/>
        </w:rPr>
        <w:t>ثانيًا: ركزت غالبية الدراسات المتاحة على قطاعات محددة ومعروفة مثل القطاع الحكومي وقطاع البناء والتشييد والقطاع الصناعي وقطاع الطاقة، في حين لا تزال الدراسات المتخصصة في قطاع الشركات الخدمية الناشئة - الذي يمثل أحد أهم محركات النمو والابتكار في الاقتصادات الحديثة - محدودة للغاية وتكاد تكون نادرة.</w:t>
      </w:r>
    </w:p>
    <w:p w14:paraId="59A2925E" w14:textId="77777777" w:rsidR="00000000" w:rsidRPr="001D257A" w:rsidRDefault="00000000" w:rsidP="00A26521">
      <w:pPr>
        <w:bidi/>
        <w:spacing w:after="120" w:line="276" w:lineRule="auto"/>
        <w:ind w:firstLine="284"/>
        <w:jc w:val="left"/>
        <w:rPr>
          <w:rFonts w:hint="eastAsia"/>
        </w:rPr>
      </w:pPr>
      <w:r w:rsidRPr="001D257A">
        <w:rPr>
          <w:rtl/>
        </w:rPr>
        <w:t>ثالثًا: تناولت معظم الدراسات السابقة التحول الرقمي بشكل عام وإجمالي كمتغير أحادي البُعد، دون التفصيل الكافي في أبعاده المختلفة (المنصات، الأتمتة، السحابية، التحليلات، التواصل) وأثر كل منها بشكل منفرد ومحدد على جوانب معينة من كفاءة إدارة المشاريع. والدراسة الحالية تتميز بهذا التفصيل الدقيق الذي يُمكّن صناع القرار من تحديد أولويات الاستثمار الرقمي بدقة.</w:t>
      </w:r>
    </w:p>
    <w:p w14:paraId="4CD60287" w14:textId="77777777" w:rsidR="00000000" w:rsidRPr="001D257A" w:rsidRDefault="00000000" w:rsidP="00A26521">
      <w:pPr>
        <w:bidi/>
        <w:spacing w:after="120" w:line="276" w:lineRule="auto"/>
        <w:ind w:firstLine="284"/>
        <w:jc w:val="left"/>
        <w:rPr>
          <w:rFonts w:hint="eastAsia"/>
        </w:rPr>
      </w:pPr>
      <w:r w:rsidRPr="001D257A">
        <w:rPr>
          <w:rtl/>
        </w:rPr>
        <w:t>رابعًا: لا تزال الدراسات العربية والسعودية بالتحديد التي تتناول العلاقة بين التحول الرقمي وكفاءة إدارة المشاريع في بيئة الشركات الناشئة محدودة جدًا، رغم الأهمية الاستراتيجية المتزايدة لهذا القطاع في رؤية 2030 والتحولات الاقتصادية الكبرى التي تشهدها المملكة.</w:t>
      </w:r>
    </w:p>
    <w:p w14:paraId="492BE1D7" w14:textId="77777777" w:rsidR="00000000" w:rsidRPr="001D257A" w:rsidRDefault="00000000" w:rsidP="00A26521">
      <w:pPr>
        <w:bidi/>
        <w:spacing w:after="120" w:line="276" w:lineRule="auto"/>
        <w:ind w:firstLine="284"/>
        <w:jc w:val="left"/>
        <w:rPr>
          <w:rFonts w:hint="eastAsia"/>
        </w:rPr>
      </w:pPr>
      <w:r w:rsidRPr="001D257A">
        <w:rPr>
          <w:rtl/>
        </w:rPr>
        <w:t>خامسًا: أكدت عدة دراسات على أهمية البُعد البشري والتنظيمي في نجاح مشاريع التحول الرقمي، بما في ذلك إدارة التغيير ومقاومة التغيير والتدريب والتأهيل والدعم الإداري، وهو ما يتسق مع ما تسعى هذه الدراسة لاستكشافه في سياق الشركات الناشئة السعودية.</w:t>
      </w:r>
    </w:p>
    <w:p w14:paraId="3383C50E" w14:textId="77777777" w:rsidR="00000000" w:rsidRPr="001D257A" w:rsidRDefault="00000000" w:rsidP="00A26521">
      <w:pPr>
        <w:bidi/>
        <w:spacing w:after="120" w:line="276" w:lineRule="auto"/>
        <w:ind w:firstLine="284"/>
        <w:jc w:val="left"/>
        <w:rPr>
          <w:rFonts w:hint="eastAsia"/>
        </w:rPr>
      </w:pPr>
      <w:r w:rsidRPr="001D257A">
        <w:rPr>
          <w:rtl/>
        </w:rPr>
        <w:t xml:space="preserve">وعليه، تتمايز هذه الدراسة عن الدراسات السابقة وتُضيف إليها في عدة نقاط جوهرية ومحورية: أولًا، تركيزها الحصري والمتعمق على الشركات الخدمية الناشئة في المملكة العربية السعودية بوصفها بيئة بحثية متميزة لم تحظَ باهتمام كافٍ في الأدبيات السابقة. ثانيًا، تناولها التفصيلي والدقيق لخمسة أبعاد محددة وقابلة للقياس للتحول الرقمي وقياس أثر كل منها على خمسة أبعاد محددة لكفاءة إدارة المشاريع، ما يُتيح فهمًا أعمق وأدق للعلاقة بين المتغيرين. ثالثًا، اعتمادها على بيانات ميدانية حقيقية ومحدّثة جُمعت من عينة </w:t>
      </w:r>
      <w:r w:rsidRPr="001D257A">
        <w:rPr>
          <w:rtl/>
        </w:rPr>
        <w:lastRenderedPageBreak/>
        <w:t>من العاملين في هذه الشركات خلال الفترة 2024-2025. رابعًا، تقديمها لتوصيات عملية ومحددة مبنية على نتائج إحصائية دقيقة يمكن أن يستفيد منها صناع القرار والممارسون في هذا القطاع.</w:t>
      </w:r>
    </w:p>
    <w:p w14:paraId="612B7CA8" w14:textId="77777777" w:rsidR="00000000" w:rsidRPr="001D257A" w:rsidRDefault="00000000" w:rsidP="00A26521">
      <w:pPr>
        <w:pStyle w:val="Heading2"/>
        <w:bidi/>
        <w:spacing w:after="200"/>
        <w:jc w:val="left"/>
        <w:rPr>
          <w:rFonts w:ascii="Simplified Arabic" w:hAnsi="Simplified Arabic" w:cs="Simplified Arabic" w:hint="eastAsia"/>
        </w:rPr>
      </w:pPr>
      <w:bookmarkStart w:id="49" w:name="_Toc225544184"/>
      <w:r w:rsidRPr="001D257A">
        <w:rPr>
          <w:rFonts w:ascii="Simplified Arabic" w:hAnsi="Simplified Arabic" w:cs="Simplified Arabic"/>
          <w:rtl/>
        </w:rPr>
        <w:t>المبحث السادس: نموذج الدراسة (الإطار المفاهيمي)</w:t>
      </w:r>
      <w:bookmarkEnd w:id="49"/>
    </w:p>
    <w:p w14:paraId="5C5A1950" w14:textId="77777777" w:rsidR="00000000" w:rsidRPr="001D257A" w:rsidRDefault="00000000" w:rsidP="00A26521">
      <w:pPr>
        <w:bidi/>
        <w:spacing w:after="120" w:line="276" w:lineRule="auto"/>
        <w:ind w:firstLine="284"/>
        <w:jc w:val="left"/>
        <w:rPr>
          <w:rFonts w:hint="eastAsia"/>
        </w:rPr>
      </w:pPr>
      <w:r w:rsidRPr="001D257A">
        <w:rPr>
          <w:rtl/>
        </w:rPr>
        <w:t>بناءً على الإطار النظري المتعدد الأبعاد والمراجعة الشاملة والمعمّقة للدراسات السابقة المستعرضة في هذا الفصل، تم بناء النموذج المفاهيمي لهذه الدراسة الذي يوضح بشكل منهجي العلاقة المفترضة بين المتغير المستقل (تبنّي التحول الرقمي) بأبعاده الخمسة والمتغير التابع (كفاءة عمليات إدارة المشاريع) بأبعاده الخمسة.</w:t>
      </w:r>
    </w:p>
    <w:p w14:paraId="0789FB91" w14:textId="77777777" w:rsidR="00000000" w:rsidRPr="001D257A" w:rsidRDefault="00000000" w:rsidP="00A26521">
      <w:pPr>
        <w:bidi/>
        <w:spacing w:after="120" w:line="276" w:lineRule="auto"/>
        <w:ind w:firstLine="284"/>
        <w:jc w:val="left"/>
        <w:rPr>
          <w:rFonts w:hint="eastAsia"/>
        </w:rPr>
      </w:pPr>
      <w:r w:rsidRPr="001D257A">
        <w:rPr>
          <w:rtl/>
        </w:rPr>
        <w:t>ويفترض هذا النموذج وجود أثر مباشر وإيجابي لتبنّي التحول الرقمي على كفاءة عمليات إدارة المشاريع في الشركات الخدمية الناشئة في المملكة العربية السعودية، حيث يُتوقع أن يؤثر كل بُعد من أبعاد التحول الرقمي تأثيرًا ذا دلالة إحصائية في البُعد المقابل له من أبعاد كفاءة إدارة المشاريع. كما يفترض النموذج وجود تأثير كلي إيجابي للتحول الرقمي بأبعاده مجتمعة على كفاءة عمليات إدارة المشاريع بأبعادها مجتمعة. وسيتم اختبار هذا النموذج إحصائيًا في الفصل الرابع من هذه الدراسة باستخدام معاملات ارتباط بيرسون وتحليل الانحدار الخطي البسيط والمتعدد.</w:t>
      </w:r>
    </w:p>
    <w:sectPr w:rsidR="003D0797" w:rsidRPr="001D257A" w:rsidSect="00034616">
      <w:footerReference w:type="default" r:id="rId8"/>
      <w:pgSz w:w="11906" w:h="16838"/>
      <w:pgMar w:top="1134" w:right="1701"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C21C4" w14:textId="77777777" w:rsidR="001B002B" w:rsidRDefault="001B002B">
      <w:pPr>
        <w:rPr>
          <w:rFonts w:hint="eastAsia"/>
        </w:rPr>
      </w:pPr>
      <w:r>
        <w:separator/>
      </w:r>
    </w:p>
  </w:endnote>
  <w:endnote w:type="continuationSeparator" w:id="0">
    <w:p w14:paraId="2449D137" w14:textId="77777777" w:rsidR="001B002B" w:rsidRDefault="001B002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4FBF2" w14:textId="77777777" w:rsidR="00F174F2" w:rsidRDefault="00000000">
    <w:pPr>
      <w:pStyle w:val="Footer"/>
      <w:jc w:val="center"/>
      <w:rPr>
        <w:rFonts w:hint="eastAsia"/>
      </w:rPr>
    </w:pPr>
    <w:r>
      <w:rPr>
        <w:sz w:val="24"/>
      </w:rPr>
      <w:fldChar w:fldCharType="begin"/>
    </w:r>
    <w:r>
      <w:rPr>
        <w:sz w:val="24"/>
      </w:rPr>
      <w:instrText xml:space="preserve"> PAGE </w:instrText>
    </w:r>
    <w:r w:rsidR="00A26521">
      <w:rPr>
        <w:sz w:val="24"/>
      </w:rPr>
      <w:fldChar w:fldCharType="separate"/>
    </w:r>
    <w:r w:rsidR="00A26521">
      <w:rPr>
        <w:noProof/>
        <w:sz w:val="24"/>
      </w:rPr>
      <w:t>1</w:t>
    </w:r>
    <w:r>
      <w:rPr>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7E595" w14:textId="77777777" w:rsidR="001B002B" w:rsidRDefault="001B002B">
      <w:pPr>
        <w:rPr>
          <w:rFonts w:hint="eastAsia"/>
        </w:rPr>
      </w:pPr>
      <w:r>
        <w:separator/>
      </w:r>
    </w:p>
  </w:footnote>
  <w:footnote w:type="continuationSeparator" w:id="0">
    <w:p w14:paraId="7F1182F9" w14:textId="77777777" w:rsidR="001B002B" w:rsidRDefault="001B002B">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02503809">
    <w:abstractNumId w:val="8"/>
  </w:num>
  <w:num w:numId="2" w16cid:durableId="1114979687">
    <w:abstractNumId w:val="6"/>
  </w:num>
  <w:num w:numId="3" w16cid:durableId="864367516">
    <w:abstractNumId w:val="5"/>
  </w:num>
  <w:num w:numId="4" w16cid:durableId="215431989">
    <w:abstractNumId w:val="4"/>
  </w:num>
  <w:num w:numId="5" w16cid:durableId="17506328">
    <w:abstractNumId w:val="7"/>
  </w:num>
  <w:num w:numId="6" w16cid:durableId="73167750">
    <w:abstractNumId w:val="3"/>
  </w:num>
  <w:num w:numId="7" w16cid:durableId="1253271520">
    <w:abstractNumId w:val="2"/>
  </w:num>
  <w:num w:numId="8" w16cid:durableId="1249077960">
    <w:abstractNumId w:val="1"/>
  </w:num>
  <w:num w:numId="9" w16cid:durableId="918952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B002B"/>
    <w:rsid w:val="0029639D"/>
    <w:rsid w:val="00326F90"/>
    <w:rsid w:val="00912774"/>
    <w:rsid w:val="00A26521"/>
    <w:rsid w:val="00AA1D8D"/>
    <w:rsid w:val="00B47730"/>
    <w:rsid w:val="00CB0664"/>
    <w:rsid w:val="00F174F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3BC4DC"/>
  <w14:defaultImageDpi w14:val="300"/>
  <w15:docId w15:val="{69E89A0A-A7CE-4667-B81B-3EA4CAC4E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40" w:lineRule="auto"/>
      <w:jc w:val="both"/>
    </w:pPr>
    <w:rPr>
      <w:rFonts w:ascii="Simplified Arabic" w:hAnsi="Simplified Arabic" w:cs="Simplified Arabic"/>
      <w:sz w:val="28"/>
    </w:rPr>
  </w:style>
  <w:style w:type="paragraph" w:styleId="Heading1">
    <w:name w:val="heading 1"/>
    <w:basedOn w:val="Normal"/>
    <w:next w:val="Normal"/>
    <w:link w:val="Heading1Char"/>
    <w:uiPriority w:val="9"/>
    <w:qFormat/>
    <w:rsid w:val="00FC693F"/>
    <w:pPr>
      <w:keepNext/>
      <w:keepLines/>
      <w:spacing w:before="360" w:after="120"/>
      <w:jc w:val="right"/>
      <w:outlineLvl w:val="0"/>
    </w:pPr>
    <w:rPr>
      <w:rFonts w:asciiTheme="majorHAnsi" w:eastAsiaTheme="majorEastAsia" w:hAnsiTheme="majorHAnsi" w:cstheme="majorBidi"/>
      <w:b/>
      <w:bCs/>
      <w:color w:val="000000"/>
      <w:sz w:val="40"/>
      <w:szCs w:val="28"/>
    </w:rPr>
  </w:style>
  <w:style w:type="paragraph" w:styleId="Heading2">
    <w:name w:val="heading 2"/>
    <w:basedOn w:val="Normal"/>
    <w:next w:val="Normal"/>
    <w:link w:val="Heading2Char"/>
    <w:uiPriority w:val="9"/>
    <w:unhideWhenUsed/>
    <w:qFormat/>
    <w:rsid w:val="00FC693F"/>
    <w:pPr>
      <w:keepNext/>
      <w:keepLines/>
      <w:spacing w:before="240" w:after="120"/>
      <w:jc w:val="right"/>
      <w:outlineLvl w:val="1"/>
    </w:pPr>
    <w:rPr>
      <w:rFonts w:asciiTheme="majorHAnsi" w:eastAsiaTheme="majorEastAsia" w:hAnsiTheme="majorHAnsi" w:cstheme="majorBidi"/>
      <w:b/>
      <w:bCs/>
      <w:color w:val="000000"/>
      <w:sz w:val="36"/>
      <w:szCs w:val="26"/>
    </w:rPr>
  </w:style>
  <w:style w:type="paragraph" w:styleId="Heading3">
    <w:name w:val="heading 3"/>
    <w:basedOn w:val="Normal"/>
    <w:next w:val="Normal"/>
    <w:link w:val="Heading3Char"/>
    <w:uiPriority w:val="9"/>
    <w:unhideWhenUsed/>
    <w:qFormat/>
    <w:rsid w:val="00FC693F"/>
    <w:pPr>
      <w:keepNext/>
      <w:keepLines/>
      <w:spacing w:before="240" w:after="120"/>
      <w:jc w:val="right"/>
      <w:outlineLvl w:val="2"/>
    </w:pPr>
    <w:rPr>
      <w:rFonts w:asciiTheme="majorHAnsi" w:eastAsiaTheme="majorEastAsia" w:hAnsiTheme="majorHAnsi" w:cstheme="majorBidi"/>
      <w:b/>
      <w:bCs/>
      <w:color w:val="000000"/>
      <w:sz w:val="32"/>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10858</Words>
  <Characters>61897</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72610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Marwan Alsahli</cp:lastModifiedBy>
  <cp:revision>3</cp:revision>
  <dcterms:created xsi:type="dcterms:W3CDTF">2013-12-23T23:15:00Z</dcterms:created>
  <dcterms:modified xsi:type="dcterms:W3CDTF">2026-03-27T20:30:00Z</dcterms:modified>
  <cp:category/>
</cp:coreProperties>
</file>