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27FB8" w14:textId="77777777" w:rsidR="00236A9A" w:rsidRDefault="00236A9A" w:rsidP="00236A9A">
      <w:pPr>
        <w:bidi w:val="0"/>
        <w:jc w:val="center"/>
      </w:pPr>
    </w:p>
    <w:p w14:paraId="2B53A1E5" w14:textId="77777777" w:rsidR="001670AC" w:rsidRDefault="001670AC" w:rsidP="001670AC">
      <w:pPr>
        <w:bidi w:val="0"/>
        <w:jc w:val="center"/>
      </w:pPr>
    </w:p>
    <w:p w14:paraId="593C3911" w14:textId="77777777" w:rsidR="001670AC" w:rsidRDefault="001670AC" w:rsidP="001670AC">
      <w:pPr>
        <w:bidi w:val="0"/>
        <w:jc w:val="center"/>
      </w:pPr>
    </w:p>
    <w:p w14:paraId="51DB4C8C" w14:textId="77777777" w:rsidR="001670AC" w:rsidRDefault="001670AC" w:rsidP="001670AC">
      <w:pPr>
        <w:bidi w:val="0"/>
        <w:jc w:val="center"/>
      </w:pPr>
    </w:p>
    <w:p w14:paraId="731E2C63" w14:textId="77777777" w:rsidR="001670AC" w:rsidRDefault="001670AC" w:rsidP="001670AC">
      <w:pPr>
        <w:bidi w:val="0"/>
        <w:jc w:val="center"/>
      </w:pPr>
    </w:p>
    <w:p w14:paraId="0EBE3409" w14:textId="77777777" w:rsidR="001670AC" w:rsidRDefault="001670AC" w:rsidP="001670AC">
      <w:pPr>
        <w:bidi w:val="0"/>
        <w:jc w:val="center"/>
      </w:pPr>
    </w:p>
    <w:p w14:paraId="0D188654" w14:textId="77777777" w:rsidR="001670AC" w:rsidRDefault="001670AC" w:rsidP="001670AC">
      <w:pPr>
        <w:bidi w:val="0"/>
        <w:jc w:val="center"/>
      </w:pPr>
    </w:p>
    <w:p w14:paraId="09B19546" w14:textId="77777777" w:rsidR="001670AC" w:rsidRDefault="001670AC" w:rsidP="001670AC">
      <w:pPr>
        <w:bidi w:val="0"/>
        <w:jc w:val="center"/>
      </w:pPr>
    </w:p>
    <w:p w14:paraId="64FBA594" w14:textId="77777777" w:rsidR="001670AC" w:rsidRDefault="001670AC" w:rsidP="001670AC">
      <w:pPr>
        <w:bidi w:val="0"/>
        <w:jc w:val="center"/>
      </w:pPr>
    </w:p>
    <w:p w14:paraId="017E57B1" w14:textId="77777777" w:rsidR="001670AC" w:rsidRDefault="001670AC" w:rsidP="001670AC">
      <w:pPr>
        <w:bidi w:val="0"/>
        <w:jc w:val="center"/>
      </w:pPr>
    </w:p>
    <w:p w14:paraId="172BAF95" w14:textId="77777777" w:rsidR="001670AC" w:rsidRDefault="001670AC" w:rsidP="001670AC">
      <w:pPr>
        <w:bidi w:val="0"/>
        <w:jc w:val="center"/>
      </w:pPr>
    </w:p>
    <w:p w14:paraId="17B5EAD7" w14:textId="77777777" w:rsidR="001670AC" w:rsidRDefault="001670AC" w:rsidP="001670AC">
      <w:pPr>
        <w:bidi w:val="0"/>
        <w:jc w:val="center"/>
      </w:pPr>
    </w:p>
    <w:p w14:paraId="727A009A" w14:textId="77777777" w:rsidR="001670AC" w:rsidRDefault="001670AC" w:rsidP="001670AC">
      <w:pPr>
        <w:bidi w:val="0"/>
        <w:jc w:val="center"/>
      </w:pPr>
    </w:p>
    <w:p w14:paraId="7B5CD730" w14:textId="77777777" w:rsidR="001670AC" w:rsidRDefault="001670AC" w:rsidP="001670AC">
      <w:pPr>
        <w:bidi w:val="0"/>
        <w:jc w:val="center"/>
      </w:pPr>
    </w:p>
    <w:p w14:paraId="2F7F2FBC" w14:textId="77777777" w:rsidR="001670AC" w:rsidRDefault="001670AC" w:rsidP="001670AC">
      <w:pPr>
        <w:bidi w:val="0"/>
        <w:jc w:val="center"/>
      </w:pPr>
    </w:p>
    <w:p w14:paraId="7C9FDF69" w14:textId="77777777" w:rsidR="001670AC" w:rsidRDefault="001670AC" w:rsidP="001670AC">
      <w:pPr>
        <w:bidi w:val="0"/>
        <w:jc w:val="center"/>
      </w:pPr>
    </w:p>
    <w:p w14:paraId="61A66E6C" w14:textId="77777777" w:rsidR="001670AC" w:rsidRDefault="001670AC" w:rsidP="001670AC">
      <w:pPr>
        <w:bidi w:val="0"/>
        <w:jc w:val="center"/>
      </w:pPr>
    </w:p>
    <w:p w14:paraId="05B001E8" w14:textId="77777777" w:rsidR="001670AC" w:rsidRDefault="001670AC" w:rsidP="001670AC">
      <w:pPr>
        <w:bidi w:val="0"/>
        <w:jc w:val="center"/>
      </w:pPr>
    </w:p>
    <w:p w14:paraId="6DCB5230" w14:textId="77777777" w:rsidR="001670AC" w:rsidRDefault="001670AC" w:rsidP="001670AC">
      <w:pPr>
        <w:bidi w:val="0"/>
        <w:jc w:val="center"/>
      </w:pPr>
    </w:p>
    <w:p w14:paraId="21C81651" w14:textId="77777777" w:rsidR="001670AC" w:rsidRDefault="001670AC" w:rsidP="001670AC">
      <w:pPr>
        <w:bidi w:val="0"/>
        <w:jc w:val="center"/>
      </w:pPr>
    </w:p>
    <w:p w14:paraId="629B88FE" w14:textId="77777777" w:rsidR="001670AC" w:rsidRDefault="001670AC" w:rsidP="001670AC">
      <w:pPr>
        <w:bidi w:val="0"/>
        <w:jc w:val="center"/>
      </w:pPr>
    </w:p>
    <w:p w14:paraId="0F0F2560" w14:textId="77777777" w:rsidR="001670AC" w:rsidRDefault="001670AC" w:rsidP="001670AC">
      <w:pPr>
        <w:bidi w:val="0"/>
        <w:jc w:val="center"/>
      </w:pPr>
    </w:p>
    <w:p w14:paraId="5FDEFF53" w14:textId="77777777" w:rsidR="001670AC" w:rsidRDefault="001670AC" w:rsidP="001670AC">
      <w:pPr>
        <w:bidi w:val="0"/>
        <w:jc w:val="center"/>
      </w:pPr>
    </w:p>
    <w:p w14:paraId="7E161016" w14:textId="77777777" w:rsidR="001670AC" w:rsidRDefault="001670AC" w:rsidP="001670AC">
      <w:pPr>
        <w:bidi w:val="0"/>
        <w:jc w:val="center"/>
      </w:pPr>
    </w:p>
    <w:p w14:paraId="5695DD8B" w14:textId="77777777" w:rsidR="001670AC" w:rsidRDefault="001670AC" w:rsidP="001670AC">
      <w:pPr>
        <w:bidi w:val="0"/>
        <w:jc w:val="center"/>
      </w:pPr>
    </w:p>
    <w:p w14:paraId="1773A5E3" w14:textId="77777777" w:rsidR="001670AC" w:rsidRDefault="001670AC" w:rsidP="001670AC">
      <w:pPr>
        <w:bidi w:val="0"/>
        <w:jc w:val="center"/>
      </w:pPr>
    </w:p>
    <w:p w14:paraId="5E1D6F92" w14:textId="77777777" w:rsidR="001670AC" w:rsidRDefault="001670AC" w:rsidP="001670AC">
      <w:pPr>
        <w:bidi w:val="0"/>
        <w:jc w:val="center"/>
      </w:pPr>
    </w:p>
    <w:p w14:paraId="6CDEBE14" w14:textId="77777777" w:rsidR="001670AC" w:rsidRDefault="001670AC" w:rsidP="001670AC">
      <w:pPr>
        <w:bidi w:val="0"/>
        <w:jc w:val="center"/>
      </w:pPr>
    </w:p>
    <w:p w14:paraId="1372C6F4" w14:textId="77777777" w:rsidR="001670AC" w:rsidRDefault="001670AC" w:rsidP="001670AC">
      <w:pPr>
        <w:bidi w:val="0"/>
        <w:jc w:val="center"/>
      </w:pPr>
    </w:p>
    <w:p w14:paraId="4154FB32" w14:textId="77777777" w:rsidR="001670AC" w:rsidRDefault="001670AC" w:rsidP="001670AC">
      <w:pPr>
        <w:bidi w:val="0"/>
        <w:jc w:val="center"/>
      </w:pPr>
    </w:p>
    <w:p w14:paraId="797DF680" w14:textId="77777777" w:rsidR="001670AC" w:rsidRDefault="001670AC" w:rsidP="001670AC">
      <w:pPr>
        <w:bidi w:val="0"/>
        <w:jc w:val="center"/>
      </w:pPr>
    </w:p>
    <w:p w14:paraId="3CE6FCDF" w14:textId="77777777" w:rsidR="001670AC" w:rsidRDefault="001670AC" w:rsidP="001670AC">
      <w:pPr>
        <w:bidi w:val="0"/>
        <w:jc w:val="center"/>
      </w:pPr>
    </w:p>
    <w:p w14:paraId="0E3E48FF" w14:textId="77777777" w:rsidR="001670AC" w:rsidRDefault="001670AC" w:rsidP="001670AC">
      <w:pPr>
        <w:bidi w:val="0"/>
        <w:jc w:val="center"/>
      </w:pPr>
    </w:p>
    <w:p w14:paraId="3190FACC" w14:textId="77777777" w:rsidR="001670AC" w:rsidRDefault="001670AC" w:rsidP="001670AC">
      <w:pPr>
        <w:bidi w:val="0"/>
        <w:jc w:val="center"/>
      </w:pPr>
    </w:p>
    <w:p w14:paraId="1D74E11D" w14:textId="61329ABE" w:rsidR="001670AC" w:rsidRDefault="001670AC" w:rsidP="001670AC">
      <w:pPr>
        <w:bidi w:val="0"/>
        <w:jc w:val="center"/>
        <w:rPr>
          <w:rFonts w:ascii="Simplified Arabic" w:hAnsi="Simplified Arabic" w:cs="Simplified Arabic"/>
          <w:sz w:val="28"/>
          <w:szCs w:val="28"/>
          <w:rtl/>
        </w:rPr>
      </w:pPr>
      <w:r w:rsidRPr="001670AC">
        <w:rPr>
          <w:rFonts w:ascii="Simplified Arabic" w:hAnsi="Simplified Arabic" w:cs="Simplified Arabic"/>
          <w:sz w:val="28"/>
          <w:szCs w:val="28"/>
          <w:rtl/>
        </w:rPr>
        <w:t>{رَبِّ أَدْخِلْنِي مُدْخَلَ صِدْقٍ وَأَخْرِجْنِي مُخْرَجَ صِدْقٍ وَاجْعَلْ لِي مِنْ لَدُنْكَ سُلْطَانًا نَصِيرًا} (سورة الإسراء: 80)</w:t>
      </w:r>
    </w:p>
    <w:p w14:paraId="1761AFB3" w14:textId="77777777" w:rsidR="001670AC" w:rsidRDefault="001670AC" w:rsidP="001670AC">
      <w:pPr>
        <w:bidi w:val="0"/>
        <w:jc w:val="center"/>
        <w:rPr>
          <w:rFonts w:ascii="Simplified Arabic" w:hAnsi="Simplified Arabic" w:cs="Simplified Arabic"/>
          <w:sz w:val="28"/>
          <w:szCs w:val="28"/>
          <w:rtl/>
        </w:rPr>
      </w:pPr>
    </w:p>
    <w:p w14:paraId="1205BC8F" w14:textId="77777777" w:rsidR="001670AC" w:rsidRDefault="001670AC" w:rsidP="001670AC">
      <w:pPr>
        <w:bidi w:val="0"/>
        <w:jc w:val="center"/>
        <w:rPr>
          <w:rFonts w:ascii="Simplified Arabic" w:hAnsi="Simplified Arabic" w:cs="Simplified Arabic"/>
          <w:sz w:val="28"/>
          <w:szCs w:val="28"/>
          <w:rtl/>
        </w:rPr>
      </w:pPr>
    </w:p>
    <w:p w14:paraId="0482CE03" w14:textId="77777777" w:rsidR="001670AC" w:rsidRDefault="001670AC" w:rsidP="001670AC">
      <w:pPr>
        <w:bidi w:val="0"/>
        <w:jc w:val="center"/>
        <w:rPr>
          <w:rFonts w:ascii="Simplified Arabic" w:hAnsi="Simplified Arabic" w:cs="Simplified Arabic"/>
          <w:sz w:val="28"/>
          <w:szCs w:val="28"/>
          <w:rtl/>
        </w:rPr>
      </w:pPr>
    </w:p>
    <w:p w14:paraId="6BBAC845" w14:textId="77777777" w:rsidR="001670AC" w:rsidRDefault="001670AC" w:rsidP="001670AC">
      <w:pPr>
        <w:bidi w:val="0"/>
        <w:jc w:val="center"/>
        <w:rPr>
          <w:rFonts w:ascii="Simplified Arabic" w:hAnsi="Simplified Arabic" w:cs="Simplified Arabic"/>
          <w:sz w:val="28"/>
          <w:szCs w:val="28"/>
          <w:rtl/>
        </w:rPr>
      </w:pPr>
    </w:p>
    <w:p w14:paraId="58FE6B82" w14:textId="77777777" w:rsidR="001670AC" w:rsidRDefault="001670AC" w:rsidP="001670AC">
      <w:pPr>
        <w:bidi w:val="0"/>
        <w:jc w:val="center"/>
        <w:rPr>
          <w:rFonts w:ascii="Simplified Arabic" w:hAnsi="Simplified Arabic" w:cs="Simplified Arabic"/>
          <w:sz w:val="28"/>
          <w:szCs w:val="28"/>
          <w:rtl/>
        </w:rPr>
      </w:pPr>
    </w:p>
    <w:p w14:paraId="1072DD70" w14:textId="77777777" w:rsidR="001670AC" w:rsidRDefault="001670AC" w:rsidP="001670AC">
      <w:pPr>
        <w:bidi w:val="0"/>
        <w:jc w:val="center"/>
        <w:rPr>
          <w:rFonts w:ascii="Simplified Arabic" w:hAnsi="Simplified Arabic" w:cs="Simplified Arabic"/>
          <w:sz w:val="28"/>
          <w:szCs w:val="28"/>
          <w:rtl/>
        </w:rPr>
      </w:pPr>
    </w:p>
    <w:p w14:paraId="27E20076" w14:textId="77777777" w:rsidR="001670AC" w:rsidRDefault="001670AC" w:rsidP="001670AC">
      <w:pPr>
        <w:bidi w:val="0"/>
        <w:jc w:val="center"/>
        <w:rPr>
          <w:rFonts w:ascii="Simplified Arabic" w:hAnsi="Simplified Arabic" w:cs="Simplified Arabic"/>
          <w:sz w:val="28"/>
          <w:szCs w:val="28"/>
          <w:rtl/>
        </w:rPr>
      </w:pPr>
    </w:p>
    <w:p w14:paraId="6DAE792F" w14:textId="77777777" w:rsidR="001670AC" w:rsidRDefault="001670AC" w:rsidP="001670AC">
      <w:pPr>
        <w:bidi w:val="0"/>
        <w:jc w:val="center"/>
        <w:rPr>
          <w:rFonts w:ascii="Simplified Arabic" w:hAnsi="Simplified Arabic" w:cs="Simplified Arabic"/>
          <w:sz w:val="28"/>
          <w:szCs w:val="28"/>
          <w:rtl/>
        </w:rPr>
      </w:pPr>
    </w:p>
    <w:p w14:paraId="180FD294" w14:textId="77777777" w:rsidR="001670AC" w:rsidRDefault="001670AC" w:rsidP="001670AC">
      <w:pPr>
        <w:bidi w:val="0"/>
        <w:jc w:val="center"/>
        <w:rPr>
          <w:rFonts w:ascii="Simplified Arabic" w:hAnsi="Simplified Arabic" w:cs="Simplified Arabic"/>
          <w:sz w:val="28"/>
          <w:szCs w:val="28"/>
          <w:rtl/>
        </w:rPr>
      </w:pPr>
    </w:p>
    <w:p w14:paraId="47FCD5B2" w14:textId="77777777" w:rsidR="001670AC" w:rsidRDefault="001670AC" w:rsidP="001670AC">
      <w:pPr>
        <w:bidi w:val="0"/>
        <w:jc w:val="center"/>
        <w:rPr>
          <w:rFonts w:ascii="Simplified Arabic" w:hAnsi="Simplified Arabic" w:cs="Simplified Arabic"/>
          <w:sz w:val="28"/>
          <w:szCs w:val="28"/>
          <w:rtl/>
        </w:rPr>
      </w:pPr>
    </w:p>
    <w:p w14:paraId="4E3C2EA6" w14:textId="77777777" w:rsidR="001670AC" w:rsidRDefault="001670AC" w:rsidP="001670AC">
      <w:pPr>
        <w:bidi w:val="0"/>
        <w:jc w:val="center"/>
        <w:rPr>
          <w:rFonts w:ascii="Simplified Arabic" w:hAnsi="Simplified Arabic" w:cs="Simplified Arabic"/>
          <w:sz w:val="28"/>
          <w:szCs w:val="28"/>
          <w:rtl/>
        </w:rPr>
      </w:pPr>
    </w:p>
    <w:p w14:paraId="3E63A858" w14:textId="77777777" w:rsidR="001670AC" w:rsidRDefault="001670AC" w:rsidP="001670AC">
      <w:pPr>
        <w:bidi w:val="0"/>
        <w:jc w:val="center"/>
        <w:rPr>
          <w:rFonts w:ascii="Simplified Arabic" w:hAnsi="Simplified Arabic" w:cs="Simplified Arabic"/>
          <w:sz w:val="28"/>
          <w:szCs w:val="28"/>
          <w:rtl/>
        </w:rPr>
      </w:pPr>
    </w:p>
    <w:p w14:paraId="3FD7C7B8" w14:textId="77777777" w:rsidR="001670AC" w:rsidRDefault="001670AC" w:rsidP="001670AC">
      <w:pPr>
        <w:bidi w:val="0"/>
        <w:jc w:val="center"/>
        <w:rPr>
          <w:rFonts w:ascii="Simplified Arabic" w:hAnsi="Simplified Arabic" w:cs="Simplified Arabic"/>
          <w:sz w:val="28"/>
          <w:szCs w:val="28"/>
          <w:rtl/>
        </w:rPr>
      </w:pPr>
    </w:p>
    <w:p w14:paraId="6BA10667" w14:textId="77777777" w:rsidR="001670AC" w:rsidRPr="001670AC" w:rsidRDefault="001670AC" w:rsidP="002462E8">
      <w:pPr>
        <w:bidi w:val="0"/>
        <w:rPr>
          <w:rFonts w:ascii="Simplified Arabic" w:hAnsi="Simplified Arabic" w:cs="Simplified Arabic"/>
          <w:sz w:val="28"/>
          <w:szCs w:val="28"/>
          <w:rtl/>
        </w:rPr>
      </w:pPr>
    </w:p>
    <w:p w14:paraId="773C6F3F" w14:textId="77777777" w:rsidR="00D94EE8" w:rsidRDefault="00D94EE8" w:rsidP="00D94EE8">
      <w:pPr>
        <w:pStyle w:val="Heading1"/>
        <w:bidi w:val="0"/>
      </w:pPr>
      <w:bookmarkStart w:id="0" w:name="_Toc237539688"/>
      <w:r>
        <w:lastRenderedPageBreak/>
        <w:t>Title Page:</w:t>
      </w:r>
      <w:bookmarkEnd w:id="0"/>
    </w:p>
    <w:p w14:paraId="0CFCB268" w14:textId="3949B427" w:rsidR="00BA4E8D" w:rsidRPr="00946C99" w:rsidRDefault="00EA0DC8" w:rsidP="00D94EE8">
      <w:pPr>
        <w:bidi w:val="0"/>
        <w:jc w:val="center"/>
        <w:rPr>
          <w:rFonts w:ascii="Simplified Arabic" w:hAnsi="Simplified Arabic" w:cs="Simplified Arabic"/>
          <w:b/>
          <w:bCs/>
          <w:sz w:val="32"/>
          <w:szCs w:val="32"/>
          <w:rtl/>
        </w:rPr>
      </w:pPr>
      <w:r w:rsidRPr="00EA0DC8">
        <w:rPr>
          <w:rFonts w:ascii="Simplified Arabic" w:hAnsi="Simplified Arabic" w:cs="Simplified Arabic"/>
          <w:b/>
          <w:bCs/>
          <w:sz w:val="32"/>
          <w:szCs w:val="32"/>
        </w:rPr>
        <w:t xml:space="preserve">Developing an Organizational Framework for Participatory Inventory Management in Educational Laboratories: A Feasibility and Risk Assessment Approach </w:t>
      </w:r>
      <w:r w:rsidR="00EB7891" w:rsidRPr="00EA0DC8">
        <w:rPr>
          <w:rFonts w:ascii="Simplified Arabic" w:hAnsi="Simplified Arabic" w:cs="Simplified Arabic"/>
          <w:b/>
          <w:bCs/>
          <w:sz w:val="32"/>
          <w:szCs w:val="32"/>
        </w:rPr>
        <w:t>to</w:t>
      </w:r>
      <w:r w:rsidRPr="00EA0DC8">
        <w:rPr>
          <w:rFonts w:ascii="Simplified Arabic" w:hAnsi="Simplified Arabic" w:cs="Simplified Arabic"/>
          <w:b/>
          <w:bCs/>
          <w:sz w:val="32"/>
          <w:szCs w:val="32"/>
        </w:rPr>
        <w:t xml:space="preserve"> Operational and Environmental Sustainability</w:t>
      </w:r>
    </w:p>
    <w:p w14:paraId="3DA15952" w14:textId="77777777" w:rsidR="00906737" w:rsidRPr="00946C99" w:rsidRDefault="00906737" w:rsidP="00906737">
      <w:pPr>
        <w:bidi w:val="0"/>
        <w:jc w:val="center"/>
        <w:rPr>
          <w:rFonts w:ascii="Simplified Arabic" w:hAnsi="Simplified Arabic" w:cs="Simplified Arabic"/>
          <w:sz w:val="32"/>
          <w:szCs w:val="32"/>
          <w:rtl/>
        </w:rPr>
      </w:pPr>
    </w:p>
    <w:p w14:paraId="194F597B" w14:textId="10E7A947" w:rsidR="00906737" w:rsidRPr="00946C99" w:rsidRDefault="00906737" w:rsidP="00906737">
      <w:pPr>
        <w:bidi w:val="0"/>
        <w:jc w:val="center"/>
        <w:rPr>
          <w:rFonts w:ascii="Simplified Arabic" w:hAnsi="Simplified Arabic" w:cs="Simplified Arabic"/>
          <w:b/>
          <w:bCs/>
          <w:sz w:val="32"/>
          <w:szCs w:val="32"/>
        </w:rPr>
      </w:pPr>
      <w:r w:rsidRPr="00946C99">
        <w:rPr>
          <w:rFonts w:ascii="Simplified Arabic" w:hAnsi="Simplified Arabic" w:cs="Simplified Arabic"/>
          <w:b/>
          <w:bCs/>
          <w:sz w:val="32"/>
          <w:szCs w:val="32"/>
        </w:rPr>
        <w:t>Submitted By:</w:t>
      </w:r>
    </w:p>
    <w:p w14:paraId="4C5B694D" w14:textId="5F294ED6" w:rsidR="00906737" w:rsidRDefault="00906737" w:rsidP="00906737">
      <w:pPr>
        <w:bidi w:val="0"/>
        <w:jc w:val="center"/>
        <w:rPr>
          <w:rFonts w:ascii="Simplified Arabic" w:hAnsi="Simplified Arabic" w:cs="Simplified Arabic"/>
          <w:b/>
          <w:bCs/>
          <w:sz w:val="32"/>
          <w:szCs w:val="32"/>
        </w:rPr>
      </w:pPr>
      <w:r w:rsidRPr="00946C99">
        <w:rPr>
          <w:rFonts w:ascii="Simplified Arabic" w:hAnsi="Simplified Arabic" w:cs="Simplified Arabic"/>
          <w:b/>
          <w:bCs/>
          <w:sz w:val="32"/>
          <w:szCs w:val="32"/>
        </w:rPr>
        <w:t>Manar Hamad Jarallah Alsahli</w:t>
      </w:r>
    </w:p>
    <w:p w14:paraId="6D0F58D9" w14:textId="65BF774F" w:rsidR="00946C99" w:rsidRDefault="00946C99" w:rsidP="00946C99">
      <w:pPr>
        <w:bidi w:val="0"/>
        <w:jc w:val="center"/>
        <w:rPr>
          <w:rFonts w:ascii="Simplified Arabic" w:hAnsi="Simplified Arabic" w:cs="Simplified Arabic"/>
          <w:b/>
          <w:bCs/>
          <w:sz w:val="32"/>
          <w:szCs w:val="32"/>
        </w:rPr>
      </w:pPr>
      <w:r w:rsidRPr="00946C99">
        <w:rPr>
          <w:rFonts w:ascii="Simplified Arabic" w:hAnsi="Simplified Arabic" w:cs="Simplified Arabic"/>
          <w:b/>
          <w:bCs/>
          <w:sz w:val="32"/>
          <w:szCs w:val="32"/>
        </w:rPr>
        <w:t>Student ID</w:t>
      </w:r>
    </w:p>
    <w:p w14:paraId="263D69BA" w14:textId="2066763D" w:rsidR="00946C99" w:rsidRPr="00946C99" w:rsidRDefault="00946C99" w:rsidP="00946C99">
      <w:pPr>
        <w:bidi w:val="0"/>
        <w:jc w:val="center"/>
        <w:rPr>
          <w:rFonts w:ascii="Simplified Arabic" w:hAnsi="Simplified Arabic" w:cs="Simplified Arabic"/>
          <w:b/>
          <w:bCs/>
          <w:sz w:val="32"/>
          <w:szCs w:val="32"/>
        </w:rPr>
      </w:pPr>
      <w:r>
        <w:rPr>
          <w:rFonts w:ascii="Simplified Arabic" w:hAnsi="Simplified Arabic" w:cs="Simplified Arabic"/>
          <w:b/>
          <w:bCs/>
          <w:sz w:val="32"/>
          <w:szCs w:val="32"/>
        </w:rPr>
        <w:t>242000780</w:t>
      </w:r>
    </w:p>
    <w:p w14:paraId="0EA6C3E8" w14:textId="77777777" w:rsidR="00906737" w:rsidRPr="00946C99" w:rsidRDefault="00906737" w:rsidP="00906737">
      <w:pPr>
        <w:bidi w:val="0"/>
        <w:jc w:val="center"/>
        <w:rPr>
          <w:rFonts w:ascii="Simplified Arabic" w:hAnsi="Simplified Arabic" w:cs="Simplified Arabic"/>
          <w:sz w:val="32"/>
          <w:szCs w:val="32"/>
        </w:rPr>
      </w:pPr>
    </w:p>
    <w:p w14:paraId="369201D3" w14:textId="7E94B50E" w:rsidR="00BA4E8D" w:rsidRPr="00946C99" w:rsidRDefault="00906737" w:rsidP="00BA4E8D">
      <w:pPr>
        <w:jc w:val="center"/>
        <w:rPr>
          <w:rFonts w:ascii="Simplified Arabic" w:hAnsi="Simplified Arabic" w:cs="Simplified Arabic"/>
          <w:sz w:val="32"/>
          <w:szCs w:val="32"/>
        </w:rPr>
      </w:pPr>
      <w:r w:rsidRPr="00946C99">
        <w:rPr>
          <w:rFonts w:ascii="Simplified Arabic" w:hAnsi="Simplified Arabic" w:cs="Simplified Arabic"/>
          <w:sz w:val="32"/>
          <w:szCs w:val="32"/>
        </w:rPr>
        <w:t>A Thesis Submitted in Partial Fulfillment of the Requirements for the Master’s Degree in Project Management</w:t>
      </w:r>
    </w:p>
    <w:p w14:paraId="18EA4FE2" w14:textId="77777777" w:rsidR="00946C99" w:rsidRPr="00946C99" w:rsidRDefault="00946C99" w:rsidP="00BA4E8D">
      <w:pPr>
        <w:jc w:val="center"/>
        <w:rPr>
          <w:rFonts w:ascii="Simplified Arabic" w:hAnsi="Simplified Arabic" w:cs="Simplified Arabic"/>
          <w:sz w:val="32"/>
          <w:szCs w:val="32"/>
        </w:rPr>
      </w:pPr>
    </w:p>
    <w:p w14:paraId="7388F651" w14:textId="3A6941C5" w:rsidR="00946C99" w:rsidRPr="00946C99" w:rsidRDefault="00946C99" w:rsidP="00946C99">
      <w:pPr>
        <w:pStyle w:val="BodyText"/>
        <w:jc w:val="center"/>
        <w:rPr>
          <w:rFonts w:ascii="Simplified Arabic" w:eastAsiaTheme="minorHAnsi" w:hAnsi="Simplified Arabic" w:cs="Simplified Arabic"/>
          <w:b/>
          <w:bCs/>
          <w:color w:val="auto"/>
          <w:sz w:val="32"/>
          <w:szCs w:val="32"/>
          <w14:ligatures w14:val="standardContextual"/>
        </w:rPr>
      </w:pPr>
      <w:r w:rsidRPr="00946C99">
        <w:rPr>
          <w:rFonts w:ascii="Simplified Arabic" w:eastAsiaTheme="minorHAnsi" w:hAnsi="Simplified Arabic" w:cs="Simplified Arabic"/>
          <w:b/>
          <w:bCs/>
          <w:noProof/>
          <w:color w:val="auto"/>
          <w:sz w:val="32"/>
          <w:szCs w:val="32"/>
          <w14:ligatures w14:val="standardContextual"/>
        </w:rPr>
        <mc:AlternateContent>
          <mc:Choice Requires="wps">
            <w:drawing>
              <wp:anchor distT="0" distB="0" distL="114300" distR="114300" simplePos="0" relativeHeight="251666432" behindDoc="0" locked="0" layoutInCell="1" allowOverlap="1" wp14:anchorId="4316781B" wp14:editId="6C952725">
                <wp:simplePos x="0" y="0"/>
                <wp:positionH relativeFrom="column">
                  <wp:posOffset>5067300</wp:posOffset>
                </wp:positionH>
                <wp:positionV relativeFrom="paragraph">
                  <wp:posOffset>377190</wp:posOffset>
                </wp:positionV>
                <wp:extent cx="1828800" cy="1828800"/>
                <wp:effectExtent l="0" t="0" r="0" b="0"/>
                <wp:wrapSquare wrapText="bothSides"/>
                <wp:docPr id="158411933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13430A1" w14:textId="77777777" w:rsidR="00946C99" w:rsidRPr="00946C99" w:rsidRDefault="00946C99" w:rsidP="003D42AB">
                            <w:pPr>
                              <w:pStyle w:val="BodyText"/>
                              <w:jc w:val="center"/>
                              <w:rPr>
                                <w:rFonts w:ascii="Simplified Arabic" w:eastAsiaTheme="minorHAnsi" w:hAnsi="Simplified Arabic" w:cs="Simplified Arabic"/>
                                <w:color w:val="auto"/>
                                <w:sz w:val="32"/>
                                <w:szCs w:val="32"/>
                                <w14:ligatures w14:val="standardContextual"/>
                              </w:rPr>
                            </w:pPr>
                            <w:r w:rsidRPr="00946C99">
                              <w:rPr>
                                <w:rFonts w:ascii="Simplified Arabic" w:eastAsiaTheme="minorHAnsi" w:hAnsi="Simplified Arabic" w:cs="Simplified Arabic"/>
                                <w:color w:val="auto"/>
                                <w:sz w:val="32"/>
                                <w:szCs w:val="32"/>
                                <w14:ligatures w14:val="standardContextual"/>
                              </w:rPr>
                              <w:t>Dr. Fayez Jarad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316781B" id="_x0000_t202" coordsize="21600,21600" o:spt="202" path="m,l,21600r21600,l21600,xe">
                <v:stroke joinstyle="miter"/>
                <v:path gradientshapeok="t" o:connecttype="rect"/>
              </v:shapetype>
              <v:shape id="Text Box 1" o:spid="_x0000_s1026" type="#_x0000_t202" style="position:absolute;left:0;text-align:left;margin-left:399pt;margin-top:29.7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" filled="f" stroked="f" strokeweight=".5pt">
                <v:textbox style="mso-fit-shape-to-text:t">
                  <w:txbxContent>
                    <w:p w14:paraId="413430A1" w14:textId="77777777" w:rsidR="00946C99" w:rsidRPr="00946C99" w:rsidRDefault="00946C99" w:rsidP="003D42AB">
                      <w:pPr>
                        <w:pStyle w:val="BodyText"/>
                        <w:jc w:val="center"/>
                        <w:rPr>
                          <w:rFonts w:ascii="Simplified Arabic" w:eastAsiaTheme="minorHAnsi" w:hAnsi="Simplified Arabic" w:cs="Simplified Arabic"/>
                          <w:color w:val="auto"/>
                          <w:sz w:val="32"/>
                          <w:szCs w:val="32"/>
                          <w14:ligatures w14:val="standardContextual"/>
                        </w:rPr>
                      </w:pPr>
                      <w:r w:rsidRPr="00946C99">
                        <w:rPr>
                          <w:rFonts w:ascii="Simplified Arabic" w:eastAsiaTheme="minorHAnsi" w:hAnsi="Simplified Arabic" w:cs="Simplified Arabic"/>
                          <w:color w:val="auto"/>
                          <w:sz w:val="32"/>
                          <w:szCs w:val="32"/>
                          <w14:ligatures w14:val="standardContextual"/>
                        </w:rPr>
                        <w:t>Dr. Fayez Jarad</w:t>
                      </w:r>
                    </w:p>
                  </w:txbxContent>
                </v:textbox>
                <w10:wrap type="square"/>
              </v:shape>
            </w:pict>
          </mc:Fallback>
        </mc:AlternateContent>
      </w:r>
      <w:r w:rsidRPr="00946C99">
        <w:rPr>
          <w:rFonts w:ascii="Simplified Arabic" w:eastAsiaTheme="minorHAnsi" w:hAnsi="Simplified Arabic" w:cs="Simplified Arabic"/>
          <w:b/>
          <w:bCs/>
          <w:color w:val="auto"/>
          <w:sz w:val="32"/>
          <w:szCs w:val="32"/>
          <w14:ligatures w14:val="standardContextual"/>
        </w:rPr>
        <w:t>Supervised by:</w:t>
      </w:r>
    </w:p>
    <w:p w14:paraId="434415DA" w14:textId="3F7C7D10" w:rsidR="00906737" w:rsidRPr="00D170D0" w:rsidRDefault="00946C99" w:rsidP="00D170D0">
      <w:pPr>
        <w:pStyle w:val="BodyText"/>
        <w:jc w:val="center"/>
        <w:rPr>
          <w:rFonts w:ascii="Simplified Arabic" w:eastAsiaTheme="minorHAnsi" w:hAnsi="Simplified Arabic" w:cs="Simplified Arabic"/>
          <w:color w:val="auto"/>
          <w:sz w:val="32"/>
          <w:szCs w:val="32"/>
          <w:rtl/>
          <w14:ligatures w14:val="standardContextual"/>
        </w:rPr>
      </w:pPr>
      <w:r w:rsidRPr="00946C99">
        <w:rPr>
          <w:rFonts w:ascii="Simplified Arabic" w:eastAsiaTheme="minorHAnsi" w:hAnsi="Simplified Arabic" w:cs="Simplified Arabic"/>
          <w:noProof/>
          <w:color w:val="auto"/>
          <w:sz w:val="32"/>
          <w:szCs w:val="32"/>
          <w14:ligatures w14:val="standardContextual"/>
        </w:rPr>
        <mc:AlternateContent>
          <mc:Choice Requires="wps">
            <w:drawing>
              <wp:anchor distT="0" distB="0" distL="114300" distR="114300" simplePos="0" relativeHeight="251667456" behindDoc="0" locked="0" layoutInCell="1" allowOverlap="1" wp14:anchorId="3F85A3D4" wp14:editId="310B9DFE">
                <wp:simplePos x="0" y="0"/>
                <wp:positionH relativeFrom="column">
                  <wp:posOffset>0</wp:posOffset>
                </wp:positionH>
                <wp:positionV relativeFrom="paragraph">
                  <wp:posOffset>-246380</wp:posOffset>
                </wp:positionV>
                <wp:extent cx="1828800" cy="1828800"/>
                <wp:effectExtent l="0" t="0" r="0" b="0"/>
                <wp:wrapSquare wrapText="bothSides"/>
                <wp:docPr id="143908054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A3A5BDF" w14:textId="77777777" w:rsidR="00946C99" w:rsidRPr="00946C99" w:rsidRDefault="00946C99" w:rsidP="00C4598B">
                            <w:pPr>
                              <w:pStyle w:val="BodyText"/>
                              <w:jc w:val="center"/>
                              <w:rPr>
                                <w:rFonts w:ascii="Simplified Arabic" w:eastAsiaTheme="minorHAnsi" w:hAnsi="Simplified Arabic" w:cs="Simplified Arabic"/>
                                <w:color w:val="auto"/>
                                <w:sz w:val="32"/>
                                <w:szCs w:val="32"/>
                                <w14:ligatures w14:val="standardContextual"/>
                              </w:rPr>
                            </w:pPr>
                            <w:r w:rsidRPr="00946C99">
                              <w:rPr>
                                <w:rFonts w:ascii="Simplified Arabic" w:eastAsiaTheme="minorHAnsi" w:hAnsi="Simplified Arabic" w:cs="Simplified Arabic"/>
                                <w:color w:val="auto"/>
                                <w:sz w:val="32"/>
                                <w:szCs w:val="32"/>
                                <w14:ligatures w14:val="standardContextual"/>
                              </w:rPr>
                              <w:t xml:space="preserve">Dr. Alfaisal Abdulhamid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85A3D4" id="_x0000_s1027" type="#_x0000_t202" style="position:absolute;left:0;text-align:left;margin-left:0;margin-top:-19.4pt;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" filled="f" stroked="f" strokeweight=".5pt">
                <v:textbox style="mso-fit-shape-to-text:t">
                  <w:txbxContent>
                    <w:p w14:paraId="0A3A5BDF" w14:textId="77777777" w:rsidR="00946C99" w:rsidRPr="00946C99" w:rsidRDefault="00946C99" w:rsidP="00C4598B">
                      <w:pPr>
                        <w:pStyle w:val="BodyText"/>
                        <w:jc w:val="center"/>
                        <w:rPr>
                          <w:rFonts w:ascii="Simplified Arabic" w:eastAsiaTheme="minorHAnsi" w:hAnsi="Simplified Arabic" w:cs="Simplified Arabic"/>
                          <w:color w:val="auto"/>
                          <w:sz w:val="32"/>
                          <w:szCs w:val="32"/>
                          <w14:ligatures w14:val="standardContextual"/>
                        </w:rPr>
                      </w:pPr>
                      <w:r w:rsidRPr="00946C99">
                        <w:rPr>
                          <w:rFonts w:ascii="Simplified Arabic" w:eastAsiaTheme="minorHAnsi" w:hAnsi="Simplified Arabic" w:cs="Simplified Arabic"/>
                          <w:color w:val="auto"/>
                          <w:sz w:val="32"/>
                          <w:szCs w:val="32"/>
                          <w14:ligatures w14:val="standardContextual"/>
                        </w:rPr>
                        <w:t xml:space="preserve">Dr. Alfaisal Abdulhamid </w:t>
                      </w:r>
                    </w:p>
                  </w:txbxContent>
                </v:textbox>
                <w10:wrap type="square"/>
              </v:shape>
            </w:pict>
          </mc:Fallback>
        </mc:AlternateContent>
      </w:r>
    </w:p>
    <w:p w14:paraId="7A2670CC" w14:textId="3D38815C" w:rsidR="00946C99" w:rsidRPr="00946C99" w:rsidRDefault="00946C99" w:rsidP="00946C99">
      <w:pPr>
        <w:pStyle w:val="FirstParagraph"/>
        <w:jc w:val="center"/>
        <w:rPr>
          <w:rFonts w:ascii="Simplified Arabic" w:eastAsiaTheme="minorHAnsi" w:hAnsi="Simplified Arabic" w:cs="Simplified Arabic"/>
          <w:color w:val="auto"/>
          <w:sz w:val="32"/>
          <w:szCs w:val="32"/>
          <w14:ligatures w14:val="standardContextual"/>
        </w:rPr>
      </w:pPr>
      <w:r w:rsidRPr="00946C99">
        <w:rPr>
          <w:rFonts w:ascii="Simplified Arabic" w:eastAsiaTheme="minorHAnsi" w:hAnsi="Simplified Arabic" w:cs="Simplified Arabic"/>
          <w:color w:val="auto"/>
          <w:sz w:val="32"/>
          <w:szCs w:val="32"/>
          <w14:ligatures w14:val="standardContextual"/>
        </w:rPr>
        <w:t>2025</w:t>
      </w:r>
      <w:r>
        <w:rPr>
          <w:rFonts w:ascii="Simplified Arabic" w:eastAsiaTheme="minorHAnsi" w:hAnsi="Simplified Arabic" w:cs="Simplified Arabic"/>
          <w:color w:val="auto"/>
          <w:sz w:val="32"/>
          <w:szCs w:val="32"/>
          <w14:ligatures w14:val="standardContextual"/>
        </w:rPr>
        <w:t>-</w:t>
      </w:r>
      <w:r w:rsidRPr="00946C99">
        <w:rPr>
          <w:rFonts w:ascii="Simplified Arabic" w:eastAsiaTheme="minorHAnsi" w:hAnsi="Simplified Arabic" w:cs="Simplified Arabic"/>
          <w:color w:val="auto"/>
          <w:sz w:val="32"/>
          <w:szCs w:val="32"/>
          <w14:ligatures w14:val="standardContextual"/>
        </w:rPr>
        <w:t>2026</w:t>
      </w:r>
    </w:p>
    <w:p w14:paraId="632E65E2" w14:textId="77777777" w:rsidR="00236A9A" w:rsidRDefault="00236A9A" w:rsidP="00236A9A">
      <w:pPr>
        <w:jc w:val="center"/>
      </w:pPr>
    </w:p>
    <w:p w14:paraId="35F7D4CC" w14:textId="77777777" w:rsidR="00D94EE8" w:rsidRPr="00D94EE8" w:rsidRDefault="00D94EE8" w:rsidP="00D94EE8">
      <w:pPr>
        <w:pStyle w:val="Heading1"/>
        <w:rPr>
          <w:rFonts w:cs="Simplified Arabic"/>
          <w:b w:val="0"/>
          <w:bCs/>
          <w:szCs w:val="32"/>
          <w:rtl/>
        </w:rPr>
      </w:pPr>
      <w:bookmarkStart w:id="1" w:name="_Toc237539689"/>
      <w:r w:rsidRPr="00D94EE8">
        <w:rPr>
          <w:rFonts w:cs="Simplified Arabic"/>
          <w:b w:val="0"/>
          <w:bCs/>
          <w:szCs w:val="32"/>
          <w:rtl/>
        </w:rPr>
        <w:lastRenderedPageBreak/>
        <w:t>صفحة العنوان:</w:t>
      </w:r>
      <w:bookmarkEnd w:id="1"/>
    </w:p>
    <w:p w14:paraId="08872CED" w14:textId="7B35AE75" w:rsidR="00BA4E8D" w:rsidRPr="00946C99" w:rsidRDefault="00BA4E8D" w:rsidP="00236A9A">
      <w:pPr>
        <w:jc w:val="center"/>
        <w:rPr>
          <w:rFonts w:ascii="Simplified Arabic" w:hAnsi="Simplified Arabic" w:cs="Simplified Arabic"/>
          <w:b/>
          <w:bCs/>
          <w:sz w:val="32"/>
          <w:szCs w:val="32"/>
        </w:rPr>
      </w:pPr>
      <w:r w:rsidRPr="00946C99">
        <w:rPr>
          <w:rFonts w:ascii="Simplified Arabic" w:hAnsi="Simplified Arabic" w:cs="Simplified Arabic"/>
          <w:b/>
          <w:bCs/>
          <w:sz w:val="32"/>
          <w:szCs w:val="32"/>
          <w:rtl/>
        </w:rPr>
        <w:t>مشروع تطوير إطار عمل تنظيمي للإدارة التشاركية للمخزون في المختبرات التعليمية: دراسة جدوى وتقييم المخاطر كمنهجية لتحقيق الاستدامة التشغيلية والبيئية</w:t>
      </w:r>
    </w:p>
    <w:p w14:paraId="5C0E4CEE" w14:textId="3602815A" w:rsidR="00BA4E8D" w:rsidRPr="00946C99" w:rsidRDefault="00BA4E8D" w:rsidP="00BA4E8D">
      <w:pPr>
        <w:jc w:val="center"/>
        <w:rPr>
          <w:rFonts w:ascii="Simplified Arabic" w:hAnsi="Simplified Arabic" w:cs="Simplified Arabic"/>
          <w:b/>
          <w:bCs/>
          <w:sz w:val="32"/>
          <w:szCs w:val="32"/>
          <w:rtl/>
        </w:rPr>
      </w:pPr>
      <w:r w:rsidRPr="00946C99">
        <w:rPr>
          <w:rFonts w:ascii="Simplified Arabic" w:hAnsi="Simplified Arabic" w:cs="Simplified Arabic" w:hint="cs"/>
          <w:b/>
          <w:bCs/>
          <w:sz w:val="32"/>
          <w:szCs w:val="32"/>
          <w:rtl/>
        </w:rPr>
        <w:t>إعداد الطالبة:</w:t>
      </w:r>
    </w:p>
    <w:p w14:paraId="5B5D6F71" w14:textId="7C1B3C3C" w:rsidR="00BA4E8D" w:rsidRPr="00946C99" w:rsidRDefault="00BA4E8D" w:rsidP="00BA4E8D">
      <w:pPr>
        <w:jc w:val="center"/>
        <w:rPr>
          <w:rFonts w:ascii="Simplified Arabic" w:hAnsi="Simplified Arabic" w:cs="Simplified Arabic"/>
          <w:b/>
          <w:bCs/>
          <w:sz w:val="32"/>
          <w:szCs w:val="32"/>
          <w:rtl/>
        </w:rPr>
      </w:pPr>
      <w:r w:rsidRPr="00946C99">
        <w:rPr>
          <w:rFonts w:ascii="Simplified Arabic" w:hAnsi="Simplified Arabic" w:cs="Simplified Arabic" w:hint="cs"/>
          <w:b/>
          <w:bCs/>
          <w:sz w:val="32"/>
          <w:szCs w:val="32"/>
          <w:rtl/>
        </w:rPr>
        <w:t>منار بنت حمد بن جارالله السهلي</w:t>
      </w:r>
    </w:p>
    <w:p w14:paraId="07E7A2AE" w14:textId="6270DD34" w:rsidR="00BA4E8D" w:rsidRPr="00946C99" w:rsidRDefault="00BA4E8D" w:rsidP="00BA4E8D">
      <w:pPr>
        <w:jc w:val="center"/>
        <w:rPr>
          <w:rFonts w:ascii="Simplified Arabic" w:hAnsi="Simplified Arabic" w:cs="Simplified Arabic"/>
          <w:b/>
          <w:bCs/>
          <w:sz w:val="32"/>
          <w:szCs w:val="32"/>
          <w:rtl/>
        </w:rPr>
      </w:pPr>
      <w:r w:rsidRPr="00946C99">
        <w:rPr>
          <w:rFonts w:ascii="Simplified Arabic" w:hAnsi="Simplified Arabic" w:cs="Simplified Arabic" w:hint="cs"/>
          <w:b/>
          <w:bCs/>
          <w:sz w:val="32"/>
          <w:szCs w:val="32"/>
          <w:rtl/>
        </w:rPr>
        <w:t>الرقم الجامعي:</w:t>
      </w:r>
    </w:p>
    <w:p w14:paraId="047EBCD3" w14:textId="37B01FE2" w:rsidR="00BA4E8D" w:rsidRPr="00946C99" w:rsidRDefault="00BA4E8D" w:rsidP="00BA4E8D">
      <w:pPr>
        <w:jc w:val="center"/>
        <w:rPr>
          <w:rFonts w:ascii="Simplified Arabic" w:hAnsi="Simplified Arabic" w:cs="Simplified Arabic"/>
          <w:b/>
          <w:bCs/>
          <w:sz w:val="32"/>
          <w:szCs w:val="32"/>
          <w:rtl/>
        </w:rPr>
      </w:pPr>
      <w:r w:rsidRPr="00946C99">
        <w:rPr>
          <w:rFonts w:ascii="Simplified Arabic" w:hAnsi="Simplified Arabic" w:cs="Simplified Arabic" w:hint="cs"/>
          <w:b/>
          <w:bCs/>
          <w:sz w:val="32"/>
          <w:szCs w:val="32"/>
          <w:rtl/>
        </w:rPr>
        <w:t>242000780</w:t>
      </w:r>
    </w:p>
    <w:p w14:paraId="49B1060C" w14:textId="266E2AB6" w:rsidR="00A05FF4" w:rsidRDefault="00BA4E8D" w:rsidP="00EF4843">
      <w:pPr>
        <w:jc w:val="center"/>
        <w:rPr>
          <w:rFonts w:ascii="Simplified Arabic" w:hAnsi="Simplified Arabic" w:cs="Simplified Arabic"/>
          <w:sz w:val="32"/>
          <w:szCs w:val="32"/>
          <w:rtl/>
        </w:rPr>
      </w:pPr>
      <w:r w:rsidRPr="00BA4E8D">
        <w:rPr>
          <w:rFonts w:ascii="Simplified Arabic" w:hAnsi="Simplified Arabic" w:cs="Simplified Arabic"/>
          <w:sz w:val="32"/>
          <w:szCs w:val="32"/>
          <w:rtl/>
        </w:rPr>
        <w:t>قُدمت هذه الرسالة استكمالاً لمتطلبات الماجستير في</w:t>
      </w:r>
      <w:r>
        <w:rPr>
          <w:rFonts w:ascii="Simplified Arabic" w:hAnsi="Simplified Arabic" w:cs="Simplified Arabic" w:hint="cs"/>
          <w:sz w:val="32"/>
          <w:szCs w:val="32"/>
          <w:rtl/>
        </w:rPr>
        <w:t xml:space="preserve"> إدارة المشاريع</w:t>
      </w:r>
      <w:r w:rsidR="00A05FF4">
        <w:rPr>
          <w:rFonts w:ascii="Simplified Arabic" w:hAnsi="Simplified Arabic" w:cs="Simplified Arabic" w:hint="cs"/>
          <w:sz w:val="32"/>
          <w:szCs w:val="32"/>
          <w:rtl/>
        </w:rPr>
        <w:t xml:space="preserve"> في كلية الإدارة بجامعة ميدأوشن</w:t>
      </w:r>
    </w:p>
    <w:p w14:paraId="22514764" w14:textId="3B0FA710" w:rsidR="00A05FF4" w:rsidRPr="00946C99" w:rsidRDefault="00A05FF4" w:rsidP="00BA4E8D">
      <w:pPr>
        <w:jc w:val="center"/>
        <w:rPr>
          <w:rFonts w:ascii="Simplified Arabic" w:hAnsi="Simplified Arabic" w:cs="Simplified Arabic"/>
          <w:b/>
          <w:bCs/>
          <w:sz w:val="32"/>
          <w:szCs w:val="32"/>
          <w:rtl/>
        </w:rPr>
      </w:pPr>
      <w:r w:rsidRPr="00946C99">
        <w:rPr>
          <w:rFonts w:ascii="Simplified Arabic" w:hAnsi="Simplified Arabic" w:cs="Simplified Arabic" w:hint="cs"/>
          <w:b/>
          <w:bCs/>
          <w:sz w:val="32"/>
          <w:szCs w:val="32"/>
          <w:rtl/>
        </w:rPr>
        <w:t>إشراف:</w:t>
      </w:r>
    </w:p>
    <w:p w14:paraId="1652B5AE" w14:textId="2CB7D8E9" w:rsidR="00EF4843" w:rsidRDefault="00906737" w:rsidP="00BA4E8D">
      <w:pPr>
        <w:jc w:val="center"/>
        <w:rPr>
          <w:rFonts w:ascii="Simplified Arabic" w:hAnsi="Simplified Arabic" w:cs="Simplified Arabic"/>
          <w:sz w:val="32"/>
          <w:szCs w:val="32"/>
          <w:rtl/>
        </w:rPr>
      </w:pPr>
      <w:r>
        <w:rPr>
          <w:noProof/>
        </w:rPr>
        <mc:AlternateContent>
          <mc:Choice Requires="wps">
            <w:drawing>
              <wp:anchor distT="0" distB="0" distL="114300" distR="114300" simplePos="0" relativeHeight="251661312" behindDoc="0" locked="0" layoutInCell="1" allowOverlap="1" wp14:anchorId="5A3254CF" wp14:editId="1521D9C6">
                <wp:simplePos x="0" y="0"/>
                <wp:positionH relativeFrom="column">
                  <wp:posOffset>86332</wp:posOffset>
                </wp:positionH>
                <wp:positionV relativeFrom="paragraph">
                  <wp:posOffset>43180</wp:posOffset>
                </wp:positionV>
                <wp:extent cx="1828800" cy="1828800"/>
                <wp:effectExtent l="0" t="0" r="0" b="0"/>
                <wp:wrapSquare wrapText="bothSides"/>
                <wp:docPr id="30155034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50DA38D" w14:textId="0FEFFD1B" w:rsidR="00EF4843" w:rsidRPr="005C069E" w:rsidRDefault="00EF4843" w:rsidP="005C069E">
                            <w:pPr>
                              <w:jc w:val="center"/>
                              <w:rPr>
                                <w:noProof/>
                              </w:rPr>
                            </w:pPr>
                            <w:r w:rsidRPr="00EF4843">
                              <w:rPr>
                                <w:rFonts w:ascii="Simplified Arabic" w:hAnsi="Simplified Arabic" w:cs="Simplified Arabic" w:hint="cs"/>
                                <w:sz w:val="32"/>
                                <w:szCs w:val="32"/>
                                <w:rtl/>
                              </w:rPr>
                              <w:t>د. فايز</w:t>
                            </w:r>
                            <w:r w:rsidRPr="00EF4843">
                              <w:rPr>
                                <w:rFonts w:ascii="Simplified Arabic" w:hAnsi="Simplified Arabic" w:cs="Simplified Arabic"/>
                                <w:sz w:val="32"/>
                                <w:szCs w:val="32"/>
                                <w:rtl/>
                              </w:rPr>
                              <w:t xml:space="preserve"> جراد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3254CF" id="_x0000_s1028" type="#_x0000_t202" style="position:absolute;left:0;text-align:left;margin-left:6.8pt;margin-top:3.4pt;width:2in;height:2in;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" filled="f" stroked="f" strokeweight=".5pt">
                <v:textbox>
                  <w:txbxContent>
                    <w:p w14:paraId="550DA38D" w14:textId="0FEFFD1B" w:rsidR="00EF4843" w:rsidRPr="005C069E" w:rsidRDefault="00EF4843" w:rsidP="005C069E">
                      <w:pPr>
                        <w:jc w:val="center"/>
                        <w:rPr>
                          <w:noProof/>
                        </w:rPr>
                      </w:pPr>
                      <w:r w:rsidRPr="00EF4843">
                        <w:rPr>
                          <w:rFonts w:ascii="Simplified Arabic" w:hAnsi="Simplified Arabic" w:cs="Simplified Arabic" w:hint="cs"/>
                          <w:sz w:val="32"/>
                          <w:szCs w:val="32"/>
                          <w:rtl/>
                        </w:rPr>
                        <w:t>د. فايز</w:t>
                      </w:r>
                      <w:r w:rsidRPr="00EF4843">
                        <w:rPr>
                          <w:rFonts w:ascii="Simplified Arabic" w:hAnsi="Simplified Arabic" w:cs="Simplified Arabic"/>
                          <w:sz w:val="32"/>
                          <w:szCs w:val="32"/>
                          <w:rtl/>
                        </w:rPr>
                        <w:t xml:space="preserve"> جراد</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21D7115C" wp14:editId="24093F7C">
                <wp:simplePos x="0" y="0"/>
                <wp:positionH relativeFrom="column">
                  <wp:posOffset>4493591</wp:posOffset>
                </wp:positionH>
                <wp:positionV relativeFrom="paragraph">
                  <wp:posOffset>41910</wp:posOffset>
                </wp:positionV>
                <wp:extent cx="1828800" cy="1828800"/>
                <wp:effectExtent l="0" t="0" r="0" b="0"/>
                <wp:wrapSquare wrapText="bothSides"/>
                <wp:docPr id="32409336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7483D74" w14:textId="570D033C" w:rsidR="00EF4843" w:rsidRPr="00D22038" w:rsidRDefault="00EF4843" w:rsidP="00D22038">
                            <w:pPr>
                              <w:jc w:val="center"/>
                              <w:rPr>
                                <w:rFonts w:ascii="Simplified Arabic" w:hAnsi="Simplified Arabic" w:cs="Simplified Arabic"/>
                                <w:sz w:val="32"/>
                                <w:szCs w:val="32"/>
                              </w:rPr>
                            </w:pPr>
                            <w:r>
                              <w:rPr>
                                <w:rFonts w:ascii="Simplified Arabic" w:hAnsi="Simplified Arabic" w:cs="Simplified Arabic" w:hint="cs"/>
                                <w:sz w:val="32"/>
                                <w:szCs w:val="32"/>
                                <w:rtl/>
                              </w:rPr>
                              <w:t xml:space="preserve">د. الفيصل عبد الحميد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D7115C" id="_x0000_s1029" type="#_x0000_t202" style="position:absolute;left:0;text-align:left;margin-left:353.85pt;margin-top:3.3pt;width:2in;height:2in;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" filled="f" stroked="f" strokeweight=".5pt">
                <v:textbox>
                  <w:txbxContent>
                    <w:p w14:paraId="07483D74" w14:textId="570D033C" w:rsidR="00EF4843" w:rsidRPr="00D22038" w:rsidRDefault="00EF4843" w:rsidP="00D22038">
                      <w:pPr>
                        <w:jc w:val="center"/>
                        <w:rPr>
                          <w:rFonts w:ascii="Simplified Arabic" w:hAnsi="Simplified Arabic" w:cs="Simplified Arabic"/>
                          <w:sz w:val="32"/>
                          <w:szCs w:val="32"/>
                        </w:rPr>
                      </w:pPr>
                      <w:r>
                        <w:rPr>
                          <w:rFonts w:ascii="Simplified Arabic" w:hAnsi="Simplified Arabic" w:cs="Simplified Arabic" w:hint="cs"/>
                          <w:sz w:val="32"/>
                          <w:szCs w:val="32"/>
                          <w:rtl/>
                        </w:rPr>
                        <w:t xml:space="preserve">د. الفيصل عبد الحميد </w:t>
                      </w:r>
                    </w:p>
                  </w:txbxContent>
                </v:textbox>
                <w10:wrap type="square"/>
              </v:shape>
            </w:pict>
          </mc:Fallback>
        </mc:AlternateContent>
      </w:r>
    </w:p>
    <w:p w14:paraId="5D06C787" w14:textId="68F43144" w:rsidR="00EF4843" w:rsidRDefault="00EF4843" w:rsidP="00BA4E8D">
      <w:pPr>
        <w:jc w:val="center"/>
        <w:rPr>
          <w:rFonts w:ascii="Simplified Arabic" w:hAnsi="Simplified Arabic" w:cs="Simplified Arabic"/>
          <w:sz w:val="32"/>
          <w:szCs w:val="32"/>
          <w:rtl/>
        </w:rPr>
      </w:pPr>
    </w:p>
    <w:p w14:paraId="2E854D81" w14:textId="77777777" w:rsidR="00EF4843" w:rsidRPr="008F57FC" w:rsidRDefault="00EF4843" w:rsidP="00906737">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662B52F5" w14:textId="6295E43B" w:rsidR="00EF4843" w:rsidRDefault="00EF4843" w:rsidP="00BA4E8D">
      <w:pPr>
        <w:jc w:val="center"/>
        <w:rPr>
          <w:rFonts w:ascii="Simplified Arabic" w:hAnsi="Simplified Arabic" w:cs="Simplified Arabic"/>
          <w:sz w:val="32"/>
          <w:szCs w:val="32"/>
          <w:rtl/>
        </w:rPr>
      </w:pPr>
      <w:r>
        <w:rPr>
          <w:rFonts w:ascii="Simplified Arabic" w:hAnsi="Simplified Arabic" w:cs="Simplified Arabic" w:hint="cs"/>
          <w:sz w:val="32"/>
          <w:szCs w:val="32"/>
          <w:rtl/>
        </w:rPr>
        <w:t>1447-2026</w:t>
      </w:r>
    </w:p>
    <w:p w14:paraId="5767FE6B" w14:textId="77777777" w:rsidR="00EF4843" w:rsidRDefault="00EF4843" w:rsidP="00BA4E8D">
      <w:pPr>
        <w:jc w:val="center"/>
        <w:rPr>
          <w:rFonts w:ascii="Simplified Arabic" w:hAnsi="Simplified Arabic" w:cs="Simplified Arabic"/>
          <w:sz w:val="32"/>
          <w:szCs w:val="32"/>
        </w:rPr>
      </w:pPr>
    </w:p>
    <w:p w14:paraId="40D02063" w14:textId="77777777" w:rsidR="00236A9A" w:rsidRDefault="00236A9A" w:rsidP="00D94EE8">
      <w:pPr>
        <w:rPr>
          <w:rFonts w:ascii="Simplified Arabic" w:hAnsi="Simplified Arabic" w:cs="Simplified Arabic"/>
          <w:b/>
          <w:bCs/>
          <w:sz w:val="32"/>
          <w:szCs w:val="32"/>
        </w:rPr>
      </w:pPr>
    </w:p>
    <w:p w14:paraId="2FEE4FEC" w14:textId="77777777" w:rsidR="00581042" w:rsidRDefault="00581042" w:rsidP="00D94EE8">
      <w:pPr>
        <w:rPr>
          <w:rFonts w:ascii="Simplified Arabic" w:hAnsi="Simplified Arabic" w:cs="Simplified Arabic"/>
          <w:b/>
          <w:bCs/>
          <w:sz w:val="32"/>
          <w:szCs w:val="32"/>
        </w:rPr>
      </w:pPr>
    </w:p>
    <w:p w14:paraId="7CFC464F" w14:textId="08DA7BE8" w:rsidR="00F65AC7" w:rsidRPr="00EB48E9" w:rsidRDefault="00F65AC7" w:rsidP="00EB48E9">
      <w:pPr>
        <w:pStyle w:val="Heading1"/>
        <w:jc w:val="center"/>
        <w:rPr>
          <w:rFonts w:cs="Simplified Arabic"/>
          <w:b w:val="0"/>
          <w:bCs/>
          <w:szCs w:val="32"/>
          <w:rtl/>
        </w:rPr>
      </w:pPr>
      <w:bookmarkStart w:id="2" w:name="_Toc237539690"/>
      <w:r w:rsidRPr="00EB48E9">
        <w:rPr>
          <w:rFonts w:cs="Simplified Arabic"/>
          <w:b w:val="0"/>
          <w:bCs/>
          <w:szCs w:val="32"/>
          <w:rtl/>
        </w:rPr>
        <w:lastRenderedPageBreak/>
        <w:t>إقرار طالب بإعداد</w:t>
      </w:r>
      <w:r w:rsidR="006C469D" w:rsidRPr="00EB48E9">
        <w:rPr>
          <w:rFonts w:cs="Simplified Arabic"/>
          <w:b w:val="0"/>
          <w:bCs/>
          <w:szCs w:val="32"/>
        </w:rPr>
        <w:t xml:space="preserve"> </w:t>
      </w:r>
      <w:r w:rsidRPr="00EB48E9">
        <w:rPr>
          <w:rFonts w:cs="Simplified Arabic"/>
          <w:b w:val="0"/>
          <w:bCs/>
          <w:szCs w:val="32"/>
          <w:rtl/>
        </w:rPr>
        <w:t>وتسليم بحث علمي</w:t>
      </w:r>
      <w:bookmarkEnd w:id="2"/>
    </w:p>
    <w:p w14:paraId="7522304B"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أُقر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أنا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الطالبة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b/>
          <w:bCs/>
          <w:sz w:val="28"/>
          <w:szCs w:val="28"/>
          <w:rtl/>
        </w:rPr>
        <w:t>منار</w:t>
      </w:r>
      <w:r w:rsidRPr="000B6ABD">
        <w:rPr>
          <w:rFonts w:ascii="Simplified Arabic" w:hAnsi="Simplified Arabic" w:cs="Simplified Arabic"/>
          <w:b/>
          <w:bCs/>
          <w:sz w:val="28"/>
          <w:szCs w:val="28"/>
          <w:rtl/>
        </w:rPr>
        <w:t xml:space="preserve"> </w:t>
      </w:r>
      <w:r w:rsidRPr="000B6ABD">
        <w:rPr>
          <w:rFonts w:ascii="Simplified Arabic" w:hAnsi="Simplified Arabic" w:cs="Simplified Arabic" w:hint="cs"/>
          <w:b/>
          <w:bCs/>
          <w:sz w:val="28"/>
          <w:szCs w:val="28"/>
          <w:rtl/>
        </w:rPr>
        <w:t>حمد</w:t>
      </w:r>
      <w:r w:rsidRPr="000B6ABD">
        <w:rPr>
          <w:rFonts w:ascii="Simplified Arabic" w:hAnsi="Simplified Arabic" w:cs="Simplified Arabic"/>
          <w:b/>
          <w:bCs/>
          <w:sz w:val="28"/>
          <w:szCs w:val="28"/>
          <w:rtl/>
        </w:rPr>
        <w:t xml:space="preserve"> </w:t>
      </w:r>
      <w:r w:rsidRPr="000B6ABD">
        <w:rPr>
          <w:rFonts w:ascii="Simplified Arabic" w:hAnsi="Simplified Arabic" w:cs="Simplified Arabic" w:hint="cs"/>
          <w:b/>
          <w:bCs/>
          <w:sz w:val="28"/>
          <w:szCs w:val="28"/>
          <w:rtl/>
        </w:rPr>
        <w:t>السهلي</w:t>
      </w:r>
      <w:r w:rsidRPr="000B6ABD">
        <w:rPr>
          <w:rFonts w:ascii="Simplified Arabic" w:hAnsi="Simplified Arabic" w:cs="Simplified Arabic" w:hint="cs"/>
          <w:sz w:val="28"/>
          <w:szCs w:val="28"/>
          <w:rtl/>
        </w:rPr>
        <w:t>،</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المقيدة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ببرنامج</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ماجستير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إدارة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المشاريع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في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كلية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الإدارة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بجامعة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ميدأوشن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بالرقم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الجامعي</w:t>
      </w:r>
      <w:r w:rsidRPr="000B6ABD">
        <w:rPr>
          <w:rFonts w:ascii="Simplified Arabic" w:hAnsi="Simplified Arabic" w:cs="Simplified Arabic"/>
          <w:sz w:val="28"/>
          <w:szCs w:val="28"/>
          <w:rtl/>
        </w:rPr>
        <w:t xml:space="preserve"> (242000780)</w:t>
      </w:r>
      <w:r w:rsidRPr="000B6ABD">
        <w:rPr>
          <w:rFonts w:ascii="Simplified Arabic" w:hAnsi="Simplified Arabic" w:cs="Simplified Arabic" w:hint="cs"/>
          <w:sz w:val="28"/>
          <w:szCs w:val="28"/>
          <w:rtl/>
        </w:rPr>
        <w:t>،</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بأن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المقدم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بعنوان</w:t>
      </w:r>
      <w:r w:rsidRPr="000B6ABD">
        <w:rPr>
          <w:rFonts w:ascii="Simplified Arabic" w:hAnsi="Simplified Arabic" w:cs="Simplified Arabic"/>
          <w:sz w:val="28"/>
          <w:szCs w:val="28"/>
          <w:rtl/>
        </w:rPr>
        <w:t>:</w:t>
      </w:r>
    </w:p>
    <w:p w14:paraId="3BA3A728" w14:textId="26188045" w:rsidR="00F65AC7" w:rsidRPr="000B6ABD" w:rsidRDefault="00F65AC7" w:rsidP="00B73F9D">
      <w:pPr>
        <w:jc w:val="both"/>
        <w:rPr>
          <w:rFonts w:ascii="Simplified Arabic" w:hAnsi="Simplified Arabic" w:cs="Simplified Arabic"/>
          <w:b/>
          <w:bCs/>
          <w:sz w:val="28"/>
          <w:szCs w:val="28"/>
          <w:rtl/>
        </w:rPr>
      </w:pPr>
      <w:r w:rsidRPr="000B6ABD">
        <w:rPr>
          <w:rFonts w:ascii="Simplified Arabic" w:hAnsi="Simplified Arabic" w:cs="Simplified Arabic"/>
          <w:b/>
          <w:bCs/>
          <w:sz w:val="28"/>
          <w:szCs w:val="28"/>
          <w:rtl/>
        </w:rPr>
        <w:t xml:space="preserve"> "</w:t>
      </w:r>
      <w:r w:rsidR="00581042" w:rsidRPr="00581042">
        <w:rPr>
          <w:rFonts w:hint="cs"/>
          <w:rtl/>
        </w:rPr>
        <w:t xml:space="preserve"> </w:t>
      </w:r>
      <w:r w:rsidR="00581042" w:rsidRPr="00581042">
        <w:rPr>
          <w:rFonts w:ascii="Simplified Arabic" w:hAnsi="Simplified Arabic" w:cs="Simplified Arabic"/>
          <w:b/>
          <w:bCs/>
          <w:sz w:val="28"/>
          <w:szCs w:val="28"/>
          <w:rtl/>
        </w:rPr>
        <w:t>مشروع تطوير إطار عمل تنظيمي للإدارة التشاركية للمخزون في المختبرات التعليمية: دراسة جدوى وتقييم المخاطر كمنهجية لتحقيق الاستدامة التشغيلية والبيئية</w:t>
      </w:r>
      <w:r w:rsidRPr="000B6ABD">
        <w:rPr>
          <w:rFonts w:ascii="Simplified Arabic" w:hAnsi="Simplified Arabic" w:cs="Simplified Arabic"/>
          <w:b/>
          <w:bCs/>
          <w:sz w:val="28"/>
          <w:szCs w:val="28"/>
          <w:rtl/>
        </w:rPr>
        <w:t>"</w:t>
      </w:r>
    </w:p>
    <w:p w14:paraId="10507164"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هو</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إعدادي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الشخصي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بالكامل،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وأتحمل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المسؤولية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الكاملة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عنه</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جميع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الجوانب،</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وذلك</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بدايةً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اختيار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فكرة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وتحديد</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المشكلة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وصياغة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الأهداف،</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ووضع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الفروض</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أو</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التساؤلات،</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مرورًا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بجمع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البيانات</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والمراجع،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وتحليلها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باستخدام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الأساليب</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العلمية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المناسبة،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وصولًا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إلى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استخلاص</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النتائج</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والتوصيات</w:t>
      </w:r>
      <w:r w:rsidRPr="000B6ABD">
        <w:rPr>
          <w:rFonts w:ascii="Simplified Arabic" w:hAnsi="Simplified Arabic" w:cs="Simplified Arabic"/>
          <w:sz w:val="28"/>
          <w:szCs w:val="28"/>
          <w:rtl/>
        </w:rPr>
        <w:t>.</w:t>
      </w:r>
    </w:p>
    <w:p w14:paraId="791AC438"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كما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أُقر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بما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يلي</w:t>
      </w:r>
      <w:r w:rsidRPr="000B6ABD">
        <w:rPr>
          <w:rFonts w:ascii="Simplified Arabic" w:hAnsi="Simplified Arabic" w:cs="Simplified Arabic"/>
          <w:sz w:val="28"/>
          <w:szCs w:val="28"/>
          <w:rtl/>
        </w:rPr>
        <w:t>:</w:t>
      </w:r>
    </w:p>
    <w:p w14:paraId="12E68FB5"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الالتزام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بالأمانة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العلمية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في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إعداد</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وعدم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النقل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أو</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الاقتباس</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غير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المشروع</w:t>
      </w:r>
      <w:r w:rsidRPr="000B6ABD">
        <w:rPr>
          <w:rFonts w:ascii="Simplified Arabic" w:hAnsi="Simplified Arabic" w:cs="Simplified Arabic"/>
          <w:sz w:val="28"/>
          <w:szCs w:val="28"/>
          <w:rtl/>
        </w:rPr>
        <w:t>.</w:t>
      </w:r>
    </w:p>
    <w:p w14:paraId="3223D3DE"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توثيق</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جميع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المراجع</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والمصادر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المستخدمة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توثيقًا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علميًا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صحيحًا</w:t>
      </w:r>
      <w:r w:rsidRPr="000B6ABD">
        <w:rPr>
          <w:rFonts w:ascii="Simplified Arabic" w:hAnsi="Simplified Arabic" w:cs="Simplified Arabic"/>
          <w:sz w:val="28"/>
          <w:szCs w:val="28"/>
          <w:rtl/>
        </w:rPr>
        <w:t>.</w:t>
      </w:r>
    </w:p>
    <w:p w14:paraId="2383BF92"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أن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لم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يتم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اقتباسه</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كليًا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أو</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جزئيًا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مصدر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دون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الإشارة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إليه</w:t>
      </w:r>
      <w:r w:rsidRPr="000B6ABD">
        <w:rPr>
          <w:rFonts w:ascii="Simplified Arabic" w:hAnsi="Simplified Arabic" w:cs="Simplified Arabic"/>
          <w:sz w:val="28"/>
          <w:szCs w:val="28"/>
          <w:rtl/>
        </w:rPr>
        <w:t>.</w:t>
      </w:r>
    </w:p>
    <w:p w14:paraId="1059084D"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أن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لم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يُقدَّم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سابقًا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لأي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جهة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تعليمية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أخرى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للحصول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على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درجة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علمية</w:t>
      </w:r>
      <w:r w:rsidRPr="000B6ABD">
        <w:rPr>
          <w:rFonts w:ascii="Simplified Arabic" w:hAnsi="Simplified Arabic" w:cs="Simplified Arabic"/>
          <w:sz w:val="28"/>
          <w:szCs w:val="28"/>
          <w:rtl/>
        </w:rPr>
        <w:t>.</w:t>
      </w:r>
    </w:p>
    <w:p w14:paraId="42A037A8"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الالتزام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بكافة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قواعد</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ومعايير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إعداد</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البحوث</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العلمية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المعتمدة</w:t>
      </w:r>
      <w:r w:rsidRPr="000B6ABD">
        <w:rPr>
          <w:rFonts w:ascii="Simplified Arabic" w:hAnsi="Simplified Arabic" w:cs="Simplified Arabic"/>
          <w:sz w:val="28"/>
          <w:szCs w:val="28"/>
          <w:rtl/>
        </w:rPr>
        <w:t>.</w:t>
      </w:r>
    </w:p>
    <w:p w14:paraId="1783FF07"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وأتحمل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المسؤولية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القانونية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والأكاديمية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كاملةً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في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حال</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ثبوت</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خلاف</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ذلك</w:t>
      </w:r>
      <w:r w:rsidRPr="000B6ABD">
        <w:rPr>
          <w:rFonts w:ascii="Simplified Arabic" w:hAnsi="Simplified Arabic" w:cs="Simplified Arabic"/>
          <w:sz w:val="28"/>
          <w:szCs w:val="28"/>
          <w:rtl/>
        </w:rPr>
        <w:t>.</w:t>
      </w:r>
    </w:p>
    <w:p w14:paraId="3DDB5E99" w14:textId="77777777" w:rsidR="00F65AC7" w:rsidRPr="000B6ABD" w:rsidRDefault="00F65AC7" w:rsidP="00B73F9D">
      <w:pPr>
        <w:jc w:val="both"/>
        <w:rPr>
          <w:rFonts w:ascii="Simplified Arabic" w:hAnsi="Simplified Arabic" w:cs="Simplified Arabic"/>
          <w:sz w:val="28"/>
          <w:szCs w:val="28"/>
          <w:rtl/>
        </w:rPr>
      </w:pPr>
      <w:r w:rsidRPr="000B6ABD">
        <w:rPr>
          <w:rFonts w:ascii="Simplified Arabic" w:hAnsi="Simplified Arabic" w:cs="Simplified Arabic" w:hint="cs"/>
          <w:sz w:val="28"/>
          <w:szCs w:val="28"/>
          <w:rtl/>
        </w:rPr>
        <w:t>وتحرر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هذا</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الإقرار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بناءً</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على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رغبتي،</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ودون</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أدنى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مسؤولية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على</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المؤسسة</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التعليمية</w:t>
      </w:r>
      <w:r w:rsidRPr="000B6ABD">
        <w:rPr>
          <w:rFonts w:ascii="Simplified Arabic" w:hAnsi="Simplified Arabic" w:cs="Simplified Arabic"/>
          <w:sz w:val="28"/>
          <w:szCs w:val="28"/>
          <w:rtl/>
        </w:rPr>
        <w:t>.</w:t>
      </w:r>
    </w:p>
    <w:p w14:paraId="23C8F01F" w14:textId="77777777" w:rsidR="00F65AC7" w:rsidRPr="000B6ABD" w:rsidRDefault="00F65AC7" w:rsidP="00F65AC7">
      <w:pPr>
        <w:rPr>
          <w:rFonts w:ascii="Simplified Arabic" w:hAnsi="Simplified Arabic" w:cs="Simplified Arabic"/>
          <w:sz w:val="28"/>
          <w:szCs w:val="28"/>
          <w:rtl/>
        </w:rPr>
      </w:pPr>
      <w:r w:rsidRPr="000B6ABD">
        <w:rPr>
          <w:rFonts w:ascii="Simplified Arabic" w:hAnsi="Simplified Arabic" w:cs="Simplified Arabic" w:hint="cs"/>
          <w:sz w:val="28"/>
          <w:szCs w:val="28"/>
          <w:rtl/>
        </w:rPr>
        <w:t>الاسم</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منار</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حمد</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السهلي</w:t>
      </w:r>
    </w:p>
    <w:p w14:paraId="6EB0953F" w14:textId="411B2639" w:rsidR="00F65AC7" w:rsidRPr="000B6ABD" w:rsidRDefault="00F65AC7" w:rsidP="00F65AC7">
      <w:pPr>
        <w:rPr>
          <w:rFonts w:ascii="Simplified Arabic" w:hAnsi="Simplified Arabic" w:cs="Simplified Arabic"/>
          <w:sz w:val="28"/>
          <w:szCs w:val="28"/>
          <w:rtl/>
        </w:rPr>
      </w:pPr>
      <w:r w:rsidRPr="000B6ABD">
        <w:rPr>
          <w:rFonts w:ascii="Simplified Arabic" w:hAnsi="Simplified Arabic" w:cs="Simplified Arabic" w:hint="cs"/>
          <w:sz w:val="28"/>
          <w:szCs w:val="28"/>
          <w:rtl/>
        </w:rPr>
        <w:t>التوقيع</w:t>
      </w:r>
      <w:r w:rsidRPr="000B6ABD">
        <w:rPr>
          <w:rFonts w:ascii="Simplified Arabic" w:hAnsi="Simplified Arabic" w:cs="Simplified Arabic"/>
          <w:sz w:val="28"/>
          <w:szCs w:val="28"/>
          <w:rtl/>
        </w:rPr>
        <w:t xml:space="preserve">:  </w:t>
      </w:r>
      <w:r w:rsidR="00173653">
        <w:rPr>
          <w:rFonts w:ascii="Sakkal Majalla" w:hAnsi="Sakkal Majalla" w:cs="Sakkal Majalla"/>
          <w:noProof/>
          <w:sz w:val="28"/>
          <w:szCs w:val="28"/>
          <w14:ligatures w14:val="none"/>
        </w:rPr>
        <w:drawing>
          <wp:inline distT="0" distB="0" distL="0" distR="0" wp14:anchorId="49961EFD" wp14:editId="1F2FB84A">
            <wp:extent cx="540000" cy="275048"/>
            <wp:effectExtent l="0" t="0" r="0" b="0"/>
            <wp:docPr id="25983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37668" name="Picture 2598376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0000" cy="275048"/>
                    </a:xfrm>
                    <a:prstGeom prst="rect">
                      <a:avLst/>
                    </a:prstGeom>
                  </pic:spPr>
                </pic:pic>
              </a:graphicData>
            </a:graphic>
          </wp:inline>
        </w:drawing>
      </w:r>
    </w:p>
    <w:p w14:paraId="562DECF0" w14:textId="2F9A6E72" w:rsidR="00286AD8" w:rsidRDefault="00F65AC7" w:rsidP="00286AD8">
      <w:pPr>
        <w:rPr>
          <w:rFonts w:ascii="Simplified Arabic" w:hAnsi="Simplified Arabic" w:cs="Simplified Arabic"/>
          <w:sz w:val="28"/>
          <w:szCs w:val="28"/>
        </w:rPr>
      </w:pPr>
      <w:r w:rsidRPr="000B6ABD">
        <w:rPr>
          <w:rFonts w:ascii="Simplified Arabic" w:hAnsi="Simplified Arabic" w:cs="Simplified Arabic" w:hint="cs"/>
          <w:sz w:val="28"/>
          <w:szCs w:val="28"/>
          <w:rtl/>
        </w:rPr>
        <w:t>التاريخ</w:t>
      </w:r>
      <w:r w:rsidRPr="000B6ABD">
        <w:rPr>
          <w:rFonts w:ascii="Simplified Arabic" w:hAnsi="Simplified Arabic" w:cs="Simplified Arabic"/>
          <w:sz w:val="28"/>
          <w:szCs w:val="28"/>
          <w:rtl/>
        </w:rPr>
        <w:t xml:space="preserve">: </w:t>
      </w:r>
      <w:r w:rsidR="00B81DC8">
        <w:rPr>
          <w:rFonts w:ascii="Simplified Arabic" w:hAnsi="Simplified Arabic" w:cs="Simplified Arabic" w:hint="cs"/>
          <w:sz w:val="28"/>
          <w:szCs w:val="28"/>
          <w:rtl/>
        </w:rPr>
        <w:t>13</w:t>
      </w:r>
      <w:r w:rsidRPr="000B6ABD">
        <w:rPr>
          <w:rFonts w:ascii="Simplified Arabic" w:hAnsi="Simplified Arabic" w:cs="Simplified Arabic"/>
          <w:sz w:val="28"/>
          <w:szCs w:val="28"/>
          <w:rtl/>
        </w:rPr>
        <w:t xml:space="preserve"> </w:t>
      </w:r>
      <w:r w:rsidRPr="000B6ABD">
        <w:rPr>
          <w:rFonts w:ascii="Simplified Arabic" w:hAnsi="Simplified Arabic" w:cs="Simplified Arabic" w:hint="cs"/>
          <w:sz w:val="28"/>
          <w:szCs w:val="28"/>
          <w:rtl/>
        </w:rPr>
        <w:t>أغسطس</w:t>
      </w:r>
      <w:r w:rsidRPr="000B6ABD">
        <w:rPr>
          <w:rFonts w:ascii="Simplified Arabic" w:hAnsi="Simplified Arabic" w:cs="Simplified Arabic"/>
          <w:sz w:val="28"/>
          <w:szCs w:val="28"/>
          <w:rtl/>
        </w:rPr>
        <w:t xml:space="preserve"> 2026</w:t>
      </w:r>
    </w:p>
    <w:p w14:paraId="59204D0B" w14:textId="77777777" w:rsidR="00286AD8" w:rsidRDefault="00286AD8" w:rsidP="00286AD8">
      <w:pPr>
        <w:bidi w:val="0"/>
        <w:rPr>
          <w:rFonts w:ascii="Simplified Arabic" w:hAnsi="Simplified Arabic" w:cs="Simplified Arabic"/>
          <w:b/>
          <w:bCs/>
          <w:sz w:val="32"/>
          <w:szCs w:val="32"/>
        </w:rPr>
      </w:pPr>
    </w:p>
    <w:p w14:paraId="5BBC8B5E" w14:textId="3B9B8A95" w:rsidR="00173653" w:rsidRPr="00286AD8" w:rsidRDefault="00272BB3" w:rsidP="00EB48E9">
      <w:pPr>
        <w:pStyle w:val="Heading1"/>
        <w:bidi w:val="0"/>
        <w:rPr>
          <w:sz w:val="28"/>
          <w:szCs w:val="28"/>
        </w:rPr>
      </w:pPr>
      <w:bookmarkStart w:id="3" w:name="_Toc237539691"/>
      <w:r w:rsidRPr="00272BB3">
        <w:lastRenderedPageBreak/>
        <w:t>Acknowledgments</w:t>
      </w:r>
      <w:bookmarkEnd w:id="3"/>
    </w:p>
    <w:p w14:paraId="5AB376D3" w14:textId="6BDCDEDD" w:rsidR="0042434E" w:rsidRPr="0042434E" w:rsidRDefault="0042434E" w:rsidP="00B73F9D">
      <w:pPr>
        <w:bidi w:val="0"/>
        <w:jc w:val="both"/>
        <w:rPr>
          <w:rFonts w:ascii="Simplified Arabic" w:hAnsi="Simplified Arabic" w:cs="Simplified Arabic"/>
          <w:sz w:val="28"/>
          <w:szCs w:val="28"/>
        </w:rPr>
      </w:pPr>
      <w:r w:rsidRPr="0042434E">
        <w:rPr>
          <w:rFonts w:ascii="Simplified Arabic" w:hAnsi="Simplified Arabic" w:cs="Simplified Arabic"/>
          <w:sz w:val="28"/>
          <w:szCs w:val="28"/>
        </w:rPr>
        <w:t>This thesis would not have reached its final form without the patience, guidance, and generosity of many people, and it is a genuine pleasure to thank them here</w:t>
      </w:r>
      <w:r w:rsidRPr="0042434E">
        <w:rPr>
          <w:rFonts w:ascii="Simplified Arabic" w:hAnsi="Simplified Arabic" w:cs="Simplified Arabic"/>
          <w:sz w:val="28"/>
          <w:szCs w:val="28"/>
          <w:rtl/>
        </w:rPr>
        <w:t>.</w:t>
      </w:r>
    </w:p>
    <w:p w14:paraId="57B1BCAE" w14:textId="1F0460C5" w:rsidR="0042434E" w:rsidRPr="0042434E" w:rsidRDefault="0042434E" w:rsidP="00B73F9D">
      <w:pPr>
        <w:bidi w:val="0"/>
        <w:jc w:val="both"/>
        <w:rPr>
          <w:rFonts w:ascii="Simplified Arabic" w:hAnsi="Simplified Arabic" w:cs="Simplified Arabic"/>
          <w:sz w:val="28"/>
          <w:szCs w:val="28"/>
        </w:rPr>
      </w:pPr>
      <w:r w:rsidRPr="0042434E">
        <w:rPr>
          <w:rFonts w:ascii="Simplified Arabic" w:hAnsi="Simplified Arabic" w:cs="Simplified Arabic"/>
          <w:sz w:val="28"/>
          <w:szCs w:val="28"/>
        </w:rPr>
        <w:t xml:space="preserve">I </w:t>
      </w:r>
      <w:r w:rsidR="00683528" w:rsidRPr="0042434E">
        <w:rPr>
          <w:rFonts w:ascii="Simplified Arabic" w:hAnsi="Simplified Arabic" w:cs="Simplified Arabic"/>
          <w:sz w:val="28"/>
          <w:szCs w:val="28"/>
        </w:rPr>
        <w:t>am</w:t>
      </w:r>
      <w:r w:rsidRPr="0042434E">
        <w:rPr>
          <w:rFonts w:ascii="Simplified Arabic" w:hAnsi="Simplified Arabic" w:cs="Simplified Arabic"/>
          <w:sz w:val="28"/>
          <w:szCs w:val="28"/>
        </w:rPr>
        <w:t xml:space="preserve"> grateful to my supervisors, Dr. Alfaisal Abdulhamid and Dr. Fayez Jarad, for their oversight and for providing the academic framework within which this thesis was conducted, as well as for granting the opportunity and independent space to work on and complete this project. Whatever clarity this thesis possesses owes much to their mentorship; its remaining shortcomings are entirely my own</w:t>
      </w:r>
      <w:r w:rsidRPr="0042434E">
        <w:rPr>
          <w:rFonts w:ascii="Simplified Arabic" w:hAnsi="Simplified Arabic" w:cs="Simplified Arabic"/>
          <w:sz w:val="28"/>
          <w:szCs w:val="28"/>
          <w:rtl/>
        </w:rPr>
        <w:t>.</w:t>
      </w:r>
    </w:p>
    <w:p w14:paraId="6E09317A" w14:textId="1069F3F3" w:rsidR="0042434E" w:rsidRPr="0042434E" w:rsidRDefault="0042434E" w:rsidP="00144B9A">
      <w:pPr>
        <w:bidi w:val="0"/>
        <w:jc w:val="both"/>
        <w:rPr>
          <w:rFonts w:ascii="Simplified Arabic" w:hAnsi="Simplified Arabic" w:cs="Simplified Arabic"/>
          <w:sz w:val="28"/>
          <w:szCs w:val="28"/>
        </w:rPr>
      </w:pPr>
      <w:r w:rsidRPr="0042434E">
        <w:rPr>
          <w:rFonts w:ascii="Simplified Arabic" w:hAnsi="Simplified Arabic" w:cs="Simplified Arabic"/>
          <w:sz w:val="28"/>
          <w:szCs w:val="28"/>
        </w:rPr>
        <w:t xml:space="preserve">My sincere </w:t>
      </w:r>
      <w:r w:rsidR="00683528" w:rsidRPr="0042434E">
        <w:rPr>
          <w:rFonts w:ascii="Simplified Arabic" w:hAnsi="Simplified Arabic" w:cs="Simplified Arabic"/>
          <w:sz w:val="28"/>
          <w:szCs w:val="28"/>
        </w:rPr>
        <w:t>thanks</w:t>
      </w:r>
      <w:r w:rsidRPr="0042434E">
        <w:rPr>
          <w:rFonts w:ascii="Simplified Arabic" w:hAnsi="Simplified Arabic" w:cs="Simplified Arabic"/>
          <w:sz w:val="28"/>
          <w:szCs w:val="28"/>
        </w:rPr>
        <w:t xml:space="preserve"> to the faculty and staff of the College of Management and the Department of Project Management at Midocean University. The coursework, seminars, and informal conversations that preceded this research gave me the analytical tools on which every chapter depends, and the administrative support I received at each stage made the practical side of graduate study far lighter than it might otherwise have been</w:t>
      </w:r>
      <w:r w:rsidRPr="0042434E">
        <w:rPr>
          <w:rFonts w:ascii="Simplified Arabic" w:hAnsi="Simplified Arabic" w:cs="Simplified Arabic"/>
          <w:sz w:val="28"/>
          <w:szCs w:val="28"/>
          <w:rtl/>
        </w:rPr>
        <w:t>.</w:t>
      </w:r>
    </w:p>
    <w:p w14:paraId="62846645" w14:textId="77777777" w:rsidR="007B485E" w:rsidRDefault="0042434E" w:rsidP="00B73F9D">
      <w:pPr>
        <w:bidi w:val="0"/>
        <w:jc w:val="both"/>
        <w:rPr>
          <w:rFonts w:ascii="Simplified Arabic" w:hAnsi="Simplified Arabic" w:cs="Simplified Arabic"/>
          <w:sz w:val="28"/>
          <w:szCs w:val="28"/>
        </w:rPr>
      </w:pPr>
      <w:r w:rsidRPr="0042434E">
        <w:rPr>
          <w:rFonts w:ascii="Simplified Arabic" w:hAnsi="Simplified Arabic" w:cs="Simplified Arabic"/>
          <w:sz w:val="28"/>
          <w:szCs w:val="28"/>
        </w:rPr>
        <w:t>To my family, I owe a debt that words cannot adequately settle. Their patience during long evenings of writing, their tolerance of my absences, and their quiet belief that this work mattered sustained me more than they know. To my friends and colleagues, who listened to half-formed ideas and helped me sharpen them, thank you</w:t>
      </w:r>
      <w:r w:rsidRPr="0042434E">
        <w:rPr>
          <w:rFonts w:ascii="Simplified Arabic" w:hAnsi="Simplified Arabic" w:cs="Simplified Arabic"/>
          <w:sz w:val="28"/>
          <w:szCs w:val="28"/>
          <w:rtl/>
        </w:rPr>
        <w:t>.</w:t>
      </w:r>
    </w:p>
    <w:p w14:paraId="5F916C3B" w14:textId="6034D992" w:rsidR="00272BB3" w:rsidRDefault="0042434E" w:rsidP="00B73F9D">
      <w:pPr>
        <w:bidi w:val="0"/>
        <w:jc w:val="both"/>
        <w:rPr>
          <w:rFonts w:ascii="Simplified Arabic" w:hAnsi="Simplified Arabic" w:cs="Simplified Arabic"/>
          <w:sz w:val="28"/>
          <w:szCs w:val="28"/>
          <w:rtl/>
        </w:rPr>
      </w:pPr>
      <w:r w:rsidRPr="0042434E">
        <w:rPr>
          <w:rFonts w:ascii="Simplified Arabic" w:hAnsi="Simplified Arabic" w:cs="Simplified Arabic"/>
          <w:sz w:val="28"/>
          <w:szCs w:val="28"/>
        </w:rPr>
        <w:t xml:space="preserve">Finally, I thank everyone who contributed to this journey in </w:t>
      </w:r>
      <w:r w:rsidR="007021A0" w:rsidRPr="0042434E">
        <w:rPr>
          <w:rFonts w:ascii="Simplified Arabic" w:hAnsi="Simplified Arabic" w:cs="Simplified Arabic"/>
          <w:sz w:val="28"/>
          <w:szCs w:val="28"/>
        </w:rPr>
        <w:t>large and small ways</w:t>
      </w:r>
      <w:r w:rsidRPr="0042434E">
        <w:rPr>
          <w:rFonts w:ascii="Simplified Arabic" w:hAnsi="Simplified Arabic" w:cs="Simplified Arabic"/>
          <w:sz w:val="28"/>
          <w:szCs w:val="28"/>
        </w:rPr>
        <w:t>. Any merit in the pages that follow is shared with all of you.</w:t>
      </w:r>
    </w:p>
    <w:p w14:paraId="4AC23A84" w14:textId="77777777" w:rsidR="000F32D7" w:rsidRDefault="000F32D7" w:rsidP="000F32D7">
      <w:pPr>
        <w:bidi w:val="0"/>
        <w:jc w:val="both"/>
        <w:rPr>
          <w:rFonts w:ascii="Simplified Arabic" w:hAnsi="Simplified Arabic" w:cs="Simplified Arabic"/>
          <w:sz w:val="28"/>
          <w:szCs w:val="28"/>
          <w:rtl/>
        </w:rPr>
      </w:pPr>
    </w:p>
    <w:p w14:paraId="2DC40752" w14:textId="77777777" w:rsidR="000F32D7" w:rsidRDefault="000F32D7" w:rsidP="000F32D7">
      <w:pPr>
        <w:bidi w:val="0"/>
        <w:jc w:val="both"/>
        <w:rPr>
          <w:rFonts w:ascii="Simplified Arabic" w:hAnsi="Simplified Arabic" w:cs="Simplified Arabic"/>
          <w:sz w:val="28"/>
          <w:szCs w:val="28"/>
          <w:rtl/>
        </w:rPr>
      </w:pPr>
    </w:p>
    <w:p w14:paraId="7D3D0C7C" w14:textId="77777777" w:rsidR="00236A9A" w:rsidRDefault="00236A9A" w:rsidP="000F32D7">
      <w:pPr>
        <w:jc w:val="both"/>
        <w:rPr>
          <w:rFonts w:ascii="Simplified Arabic" w:hAnsi="Simplified Arabic" w:cs="Simplified Arabic"/>
          <w:b/>
          <w:bCs/>
          <w:sz w:val="32"/>
          <w:szCs w:val="32"/>
        </w:rPr>
      </w:pPr>
    </w:p>
    <w:p w14:paraId="5D02CDB6" w14:textId="77777777" w:rsidR="002462E8" w:rsidRDefault="002462E8" w:rsidP="000F32D7">
      <w:pPr>
        <w:jc w:val="both"/>
        <w:rPr>
          <w:rFonts w:ascii="Simplified Arabic" w:hAnsi="Simplified Arabic" w:cs="Simplified Arabic"/>
          <w:b/>
          <w:bCs/>
          <w:sz w:val="32"/>
          <w:szCs w:val="32"/>
        </w:rPr>
      </w:pPr>
    </w:p>
    <w:p w14:paraId="7B3D72AC" w14:textId="0B775D25" w:rsidR="000F32D7" w:rsidRPr="00BB2507" w:rsidRDefault="000F32D7" w:rsidP="00740554">
      <w:pPr>
        <w:pStyle w:val="Heading1"/>
        <w:rPr>
          <w:rFonts w:cs="Simplified Arabic"/>
          <w:b w:val="0"/>
          <w:bCs/>
          <w:szCs w:val="32"/>
          <w:rtl/>
        </w:rPr>
      </w:pPr>
      <w:bookmarkStart w:id="4" w:name="_Toc237539692"/>
      <w:r w:rsidRPr="00BB2507">
        <w:rPr>
          <w:rFonts w:cs="Simplified Arabic"/>
          <w:b w:val="0"/>
          <w:bCs/>
          <w:szCs w:val="32"/>
          <w:rtl/>
        </w:rPr>
        <w:t>الملخص العربي</w:t>
      </w:r>
      <w:bookmarkEnd w:id="4"/>
    </w:p>
    <w:p w14:paraId="25945B68" w14:textId="77C2190C"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t>تُعَدُّ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التعليميةُ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أكثر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بيئات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التعليم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العالي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كثافةً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استهلاك</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الموارد،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إذ</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تتركَّز</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الأجهزة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والمواد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الكيميائية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والمستهلكات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تتحدَّد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بإدارتها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الكفاءةُ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المالية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والأداء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البيئي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معًا</w:t>
      </w:r>
      <w:r w:rsidRPr="00C967DA">
        <w:rPr>
          <w:rFonts w:ascii="Simplified Arabic" w:hAnsi="Simplified Arabic" w:cs="Simplified Arabic"/>
          <w:sz w:val="28"/>
          <w:szCs w:val="28"/>
          <w:rtl/>
        </w:rPr>
        <w:t xml:space="preserve">. </w:t>
      </w:r>
      <w:r w:rsidR="00581042" w:rsidRPr="00581042">
        <w:rPr>
          <w:rFonts w:ascii="Simplified Arabic" w:hAnsi="Simplified Arabic" w:cs="Simplified Arabic"/>
          <w:sz w:val="28"/>
          <w:szCs w:val="28"/>
          <w:rtl/>
        </w:rPr>
        <w:t>وتقع هذه الدراسة في إحدى أكبر مؤسسات التعليم العالي الحكومية في المملكة العربية السعودية، وتحديدًا في كلية العلوم مع اتخاذ أحد أقسام العلوم الحيوية وحدةً مضمَّنةً للتحليل، وتتأطَّر بأولويات رؤية المملكة العربية السعودية 2030 في الكفاءة المالية والاستدامة والتحول الرقمي</w:t>
      </w:r>
      <w:r w:rsidRPr="00C967DA">
        <w:rPr>
          <w:rFonts w:ascii="Simplified Arabic" w:hAnsi="Simplified Arabic" w:cs="Simplified Arabic"/>
          <w:sz w:val="28"/>
          <w:szCs w:val="28"/>
          <w:rtl/>
        </w:rPr>
        <w:t>.</w:t>
      </w:r>
    </w:p>
    <w:p w14:paraId="478369F1" w14:textId="1F76FD21"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t>وتُشخِّص</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النظامَ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السائد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لإدارة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المخزون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بوصفه</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نظامًا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مركزيًّا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غيرَ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تشاركي؛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إذ</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يحتفظ</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كلُّ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مختبرٍ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بسجلاته</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وطلباته</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الخاصة،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غياب</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رؤيةٍ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مشتركة،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أو</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سياسةٍ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مؤسسيةٍ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للإعارة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أو</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بنيةِ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بياناتٍ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موحَّدة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ويشكِّل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هذا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الوضعُ</w:t>
      </w:r>
      <w:r w:rsidRPr="00C967DA">
        <w:rPr>
          <w:rFonts w:ascii="Simplified Arabic" w:hAnsi="Simplified Arabic" w:cs="Simplified Arabic"/>
          <w:sz w:val="28"/>
          <w:szCs w:val="28"/>
          <w:rtl/>
        </w:rPr>
        <w:t xml:space="preserve"> </w:t>
      </w:r>
      <w:r w:rsidR="003E4BDE">
        <w:rPr>
          <w:rFonts w:ascii="Simplified Arabic" w:hAnsi="Simplified Arabic" w:cs="Simplified Arabic" w:hint="cs"/>
          <w:sz w:val="28"/>
          <w:szCs w:val="28"/>
          <w:rtl/>
        </w:rPr>
        <w:t>"</w:t>
      </w:r>
      <w:r w:rsidRPr="0065693B">
        <w:rPr>
          <w:rFonts w:ascii="Simplified Arabic" w:hAnsi="Simplified Arabic" w:cs="Simplified Arabic" w:hint="cs"/>
          <w:b/>
          <w:bCs/>
          <w:sz w:val="28"/>
          <w:szCs w:val="28"/>
          <w:rtl/>
        </w:rPr>
        <w:t>فجوةَ</w:t>
      </w:r>
      <w:r w:rsidRPr="0065693B">
        <w:rPr>
          <w:rFonts w:ascii="Simplified Arabic" w:hAnsi="Simplified Arabic" w:cs="Simplified Arabic"/>
          <w:b/>
          <w:bCs/>
          <w:sz w:val="28"/>
          <w:szCs w:val="28"/>
          <w:rtl/>
        </w:rPr>
        <w:t xml:space="preserve"> </w:t>
      </w:r>
      <w:r w:rsidRPr="0065693B">
        <w:rPr>
          <w:rFonts w:ascii="Simplified Arabic" w:hAnsi="Simplified Arabic" w:cs="Simplified Arabic" w:hint="cs"/>
          <w:b/>
          <w:bCs/>
          <w:sz w:val="28"/>
          <w:szCs w:val="28"/>
          <w:rtl/>
        </w:rPr>
        <w:t>النضج</w:t>
      </w:r>
      <w:r w:rsidRPr="0065693B">
        <w:rPr>
          <w:rFonts w:ascii="Simplified Arabic" w:hAnsi="Simplified Arabic" w:cs="Simplified Arabic"/>
          <w:b/>
          <w:bCs/>
          <w:sz w:val="28"/>
          <w:szCs w:val="28"/>
          <w:rtl/>
        </w:rPr>
        <w:t xml:space="preserve"> </w:t>
      </w:r>
      <w:r w:rsidRPr="0065693B">
        <w:rPr>
          <w:rFonts w:ascii="Simplified Arabic" w:hAnsi="Simplified Arabic" w:cs="Simplified Arabic" w:hint="cs"/>
          <w:b/>
          <w:bCs/>
          <w:sz w:val="28"/>
          <w:szCs w:val="28"/>
          <w:rtl/>
        </w:rPr>
        <w:t>في</w:t>
      </w:r>
      <w:r w:rsidRPr="0065693B">
        <w:rPr>
          <w:rFonts w:ascii="Simplified Arabic" w:hAnsi="Simplified Arabic" w:cs="Simplified Arabic"/>
          <w:b/>
          <w:bCs/>
          <w:sz w:val="28"/>
          <w:szCs w:val="28"/>
          <w:rtl/>
        </w:rPr>
        <w:t xml:space="preserve"> </w:t>
      </w:r>
      <w:r w:rsidRPr="0065693B">
        <w:rPr>
          <w:rFonts w:ascii="Simplified Arabic" w:hAnsi="Simplified Arabic" w:cs="Simplified Arabic" w:hint="cs"/>
          <w:b/>
          <w:bCs/>
          <w:sz w:val="28"/>
          <w:szCs w:val="28"/>
          <w:rtl/>
        </w:rPr>
        <w:t>إدارة</w:t>
      </w:r>
      <w:r w:rsidRPr="0065693B">
        <w:rPr>
          <w:rFonts w:ascii="Simplified Arabic" w:hAnsi="Simplified Arabic" w:cs="Simplified Arabic"/>
          <w:b/>
          <w:bCs/>
          <w:sz w:val="28"/>
          <w:szCs w:val="28"/>
          <w:rtl/>
        </w:rPr>
        <w:t xml:space="preserve"> </w:t>
      </w:r>
      <w:r w:rsidRPr="0065693B">
        <w:rPr>
          <w:rFonts w:ascii="Simplified Arabic" w:hAnsi="Simplified Arabic" w:cs="Simplified Arabic" w:hint="cs"/>
          <w:b/>
          <w:bCs/>
          <w:sz w:val="28"/>
          <w:szCs w:val="28"/>
          <w:rtl/>
        </w:rPr>
        <w:t>المخاطر</w:t>
      </w:r>
      <w:r w:rsidR="003E4BDE">
        <w:rPr>
          <w:rFonts w:ascii="Simplified Arabic" w:hAnsi="Simplified Arabic" w:cs="Simplified Arabic" w:hint="cs"/>
          <w:sz w:val="28"/>
          <w:szCs w:val="28"/>
          <w:rtl/>
        </w:rPr>
        <w:t>"</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تتجلّى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نوعيًّا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ازدواجية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الشراء،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وانخفاض</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استغلال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الأصول،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وهدر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المواد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الكيميائية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منتهية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الصلاحية،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وغياب</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القاعدة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التنظيمية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تنجح</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مبادراتُ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الرقمنة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دونها</w:t>
      </w:r>
      <w:r w:rsidRPr="00C967DA">
        <w:rPr>
          <w:rFonts w:ascii="Simplified Arabic" w:hAnsi="Simplified Arabic" w:cs="Simplified Arabic"/>
          <w:sz w:val="28"/>
          <w:szCs w:val="28"/>
          <w:rtl/>
        </w:rPr>
        <w:t>.</w:t>
      </w:r>
    </w:p>
    <w:p w14:paraId="17841AA2" w14:textId="77777777"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t>ومن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الناحية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المنهجية،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تعتمد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التحليل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النوعي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البنيوي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والسياساتي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والحوكمي؛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فهي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تستخدم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استباناتِ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ميدانية،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بياناتٍ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مسحية،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إحصاءاتٍ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تجريبية،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تتمثَّل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أدواتُ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تقويمها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مصفوفاتٍ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نوعية،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وبواباتِ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جاهزيةٍ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تحليلية،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وضوابطَ</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سياساتية،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وتُعرَض</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ادعاءاتُها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بوصفها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ادعاءاتٍ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تصميميةً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نتائجَ</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تجريبية</w:t>
      </w:r>
      <w:r w:rsidRPr="00C967DA">
        <w:rPr>
          <w:rFonts w:ascii="Simplified Arabic" w:hAnsi="Simplified Arabic" w:cs="Simplified Arabic"/>
          <w:sz w:val="28"/>
          <w:szCs w:val="28"/>
          <w:rtl/>
        </w:rPr>
        <w:t>.</w:t>
      </w:r>
    </w:p>
    <w:p w14:paraId="41FE6D00" w14:textId="4495822C"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t>وتصمِّم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إطارًا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متكاملًا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يقوم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خمس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عدسات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مسارٍ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متكيَّفٍ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للنضج</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إدارة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المخاطر</w:t>
      </w:r>
      <w:r w:rsidRPr="00C967DA">
        <w:rPr>
          <w:rFonts w:ascii="Simplified Arabic" w:hAnsi="Simplified Arabic" w:cs="Simplified Arabic"/>
          <w:sz w:val="28"/>
          <w:szCs w:val="28"/>
          <w:rtl/>
        </w:rPr>
        <w:t xml:space="preserve"> </w:t>
      </w:r>
      <w:r w:rsidR="00E31087">
        <w:rPr>
          <w:rFonts w:ascii="Simplified Arabic" w:hAnsi="Simplified Arabic" w:cs="Simplified Arabic" w:hint="cs"/>
          <w:sz w:val="28"/>
          <w:szCs w:val="28"/>
          <w:rtl/>
        </w:rPr>
        <w:t>(</w:t>
      </w:r>
      <w:r w:rsidR="00F43ED2">
        <w:rPr>
          <w:rFonts w:ascii="Simplified Arabic" w:hAnsi="Simplified Arabic" w:cs="Simplified Arabic" w:hint="cs"/>
          <w:sz w:val="28"/>
          <w:szCs w:val="28"/>
          <w:rtl/>
        </w:rPr>
        <w:t>"</w:t>
      </w:r>
      <w:r w:rsidRPr="00C967DA">
        <w:rPr>
          <w:rFonts w:ascii="Simplified Arabic" w:hAnsi="Simplified Arabic" w:cs="Simplified Arabic" w:hint="cs"/>
          <w:sz w:val="28"/>
          <w:szCs w:val="28"/>
          <w:rtl/>
        </w:rPr>
        <w:t>الإعلام</w:t>
      </w:r>
      <w:r w:rsidRPr="00C967DA">
        <w:rPr>
          <w:rFonts w:ascii="Simplified Arabic" w:hAnsi="Simplified Arabic" w:cs="Simplified Arabic"/>
          <w:sz w:val="28"/>
          <w:szCs w:val="28"/>
          <w:rtl/>
        </w:rPr>
        <w:t>/</w:t>
      </w:r>
      <w:r w:rsidRPr="00C967DA">
        <w:rPr>
          <w:rFonts w:ascii="Simplified Arabic" w:hAnsi="Simplified Arabic" w:cs="Simplified Arabic" w:hint="cs"/>
          <w:sz w:val="28"/>
          <w:szCs w:val="28"/>
          <w:rtl/>
        </w:rPr>
        <w:t>الامتثال</w:t>
      </w:r>
      <w:r w:rsidR="003E4BDE">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sz w:val="28"/>
          <w:szCs w:val="28"/>
        </w:rPr>
        <w:t>Inform/Conform</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ثم</w:t>
      </w:r>
      <w:r w:rsidRPr="00C967DA">
        <w:rPr>
          <w:rFonts w:ascii="Simplified Arabic" w:hAnsi="Simplified Arabic" w:cs="Simplified Arabic"/>
          <w:sz w:val="28"/>
          <w:szCs w:val="28"/>
          <w:rtl/>
        </w:rPr>
        <w:t xml:space="preserve"> </w:t>
      </w:r>
      <w:r w:rsidR="003E4BDE">
        <w:rPr>
          <w:rFonts w:ascii="Simplified Arabic" w:hAnsi="Simplified Arabic" w:cs="Simplified Arabic" w:hint="cs"/>
          <w:sz w:val="28"/>
          <w:szCs w:val="28"/>
          <w:rtl/>
        </w:rPr>
        <w:t>"</w:t>
      </w:r>
      <w:r w:rsidRPr="00C967DA">
        <w:rPr>
          <w:rFonts w:ascii="Simplified Arabic" w:hAnsi="Simplified Arabic" w:cs="Simplified Arabic" w:hint="cs"/>
          <w:sz w:val="28"/>
          <w:szCs w:val="28"/>
          <w:rtl/>
        </w:rPr>
        <w:t>الإدارة</w:t>
      </w:r>
      <w:r w:rsidRPr="00C967DA">
        <w:rPr>
          <w:rFonts w:ascii="Simplified Arabic" w:hAnsi="Simplified Arabic" w:cs="Simplified Arabic"/>
          <w:sz w:val="28"/>
          <w:szCs w:val="28"/>
          <w:rtl/>
        </w:rPr>
        <w:t>/</w:t>
      </w:r>
      <w:r w:rsidRPr="00C967DA">
        <w:rPr>
          <w:rFonts w:ascii="Simplified Arabic" w:hAnsi="Simplified Arabic" w:cs="Simplified Arabic" w:hint="cs"/>
          <w:sz w:val="28"/>
          <w:szCs w:val="28"/>
          <w:rtl/>
        </w:rPr>
        <w:t>التطبيع</w:t>
      </w:r>
      <w:r w:rsidR="003E4BDE">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sz w:val="28"/>
          <w:szCs w:val="28"/>
        </w:rPr>
        <w:t>Managed/Normalized</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ثم</w:t>
      </w:r>
      <w:r w:rsidRPr="00C967DA">
        <w:rPr>
          <w:rFonts w:ascii="Simplified Arabic" w:hAnsi="Simplified Arabic" w:cs="Simplified Arabic"/>
          <w:sz w:val="28"/>
          <w:szCs w:val="28"/>
          <w:rtl/>
        </w:rPr>
        <w:t xml:space="preserve"> </w:t>
      </w:r>
      <w:r w:rsidR="003E4BDE">
        <w:rPr>
          <w:rFonts w:ascii="Simplified Arabic" w:hAnsi="Simplified Arabic" w:cs="Simplified Arabic" w:hint="cs"/>
          <w:sz w:val="28"/>
          <w:szCs w:val="28"/>
          <w:rtl/>
        </w:rPr>
        <w:t>"</w:t>
      </w:r>
      <w:r w:rsidRPr="00C967DA">
        <w:rPr>
          <w:rFonts w:ascii="Simplified Arabic" w:hAnsi="Simplified Arabic" w:cs="Simplified Arabic" w:hint="cs"/>
          <w:sz w:val="28"/>
          <w:szCs w:val="28"/>
          <w:rtl/>
        </w:rPr>
        <w:t>الأداء</w:t>
      </w:r>
      <w:r w:rsidR="003E4BDE">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sz w:val="28"/>
          <w:szCs w:val="28"/>
        </w:rPr>
        <w:t>Perform</w:t>
      </w:r>
      <w:r w:rsidRPr="00C967DA">
        <w:rPr>
          <w:rFonts w:ascii="Simplified Arabic" w:hAnsi="Simplified Arabic" w:cs="Simplified Arabic"/>
          <w:sz w:val="28"/>
          <w:szCs w:val="28"/>
          <w:rtl/>
        </w:rPr>
        <w:t>)</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ونموذجِ</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تحليل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الفراشة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Bow-Tie</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الذي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تتمثَّل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حواجزُه</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الوقائية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توحيد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الفهرس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وبنود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الأهلية،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وحواجزُه</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التخفيفية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مبدأ</w:t>
      </w:r>
      <w:r w:rsidRPr="00C967DA">
        <w:rPr>
          <w:rFonts w:ascii="Simplified Arabic" w:hAnsi="Simplified Arabic" w:cs="Simplified Arabic"/>
          <w:sz w:val="28"/>
          <w:szCs w:val="28"/>
          <w:rtl/>
        </w:rPr>
        <w:t xml:space="preserve"> </w:t>
      </w:r>
      <w:r w:rsidR="00110C72">
        <w:rPr>
          <w:rFonts w:ascii="Simplified Arabic" w:hAnsi="Simplified Arabic" w:cs="Simplified Arabic" w:hint="cs"/>
          <w:sz w:val="28"/>
          <w:szCs w:val="28"/>
          <w:rtl/>
        </w:rPr>
        <w:t>"</w:t>
      </w:r>
      <w:r w:rsidRPr="00C967DA">
        <w:rPr>
          <w:rFonts w:ascii="Simplified Arabic" w:hAnsi="Simplified Arabic" w:cs="Simplified Arabic" w:hint="cs"/>
          <w:sz w:val="28"/>
          <w:szCs w:val="28"/>
          <w:rtl/>
        </w:rPr>
        <w:t>الأولى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انتهاءً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يُصرَف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أولًا</w:t>
      </w:r>
      <w:r w:rsidR="00931E28">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FEFO</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والمشاركة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والمواءمةِ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منطق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استمرارية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الأعمال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المواصفة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ISO 22301:2019</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تحليل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أثر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الأعمال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والأنشطة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ذات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الأولوية</w:t>
      </w:r>
      <w:r w:rsidRPr="00C967DA">
        <w:rPr>
          <w:rFonts w:ascii="Simplified Arabic" w:hAnsi="Simplified Arabic" w:cs="Simplified Arabic"/>
          <w:sz w:val="28"/>
          <w:szCs w:val="28"/>
          <w:rtl/>
        </w:rPr>
        <w:t>)</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والمطابقةِ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المواصفة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ISO 14001:2015</w:t>
      </w:r>
      <w:r w:rsidRPr="00DA6319">
        <w:rPr>
          <w:rFonts w:ascii="Simplified Arabic" w:hAnsi="Simplified Arabic" w:cs="Simplified Arabic"/>
          <w:b/>
          <w:bCs/>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معالجة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الجوانب</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البيئية؛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وتصنيفِ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المخاطر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وفق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منظومة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FIRM</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بوصفها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منظومةَ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تصنيفٍ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أداةَ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تنقيطٍ</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كمّي</w:t>
      </w:r>
      <w:r w:rsidRPr="00C967DA">
        <w:rPr>
          <w:rFonts w:ascii="Simplified Arabic" w:hAnsi="Simplified Arabic" w:cs="Simplified Arabic"/>
          <w:sz w:val="28"/>
          <w:szCs w:val="28"/>
          <w:rtl/>
        </w:rPr>
        <w:t xml:space="preserve">. </w:t>
      </w:r>
      <w:r w:rsidR="002D70B7" w:rsidRPr="00C967DA">
        <w:rPr>
          <w:rFonts w:ascii="Simplified Arabic" w:hAnsi="Simplified Arabic" w:cs="Simplified Arabic" w:hint="cs"/>
          <w:sz w:val="28"/>
          <w:szCs w:val="28"/>
          <w:rtl/>
        </w:rPr>
        <w:t>ويأسس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هذا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الإطار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بنية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حوكمةٍ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ثلاثية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المستويات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تضمُّ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مجلسَ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حوكمة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المخزون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الأكاديمي،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ولجنةَ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التوحيد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القياسي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الفنية،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ووحدةَ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سلسلة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الإمداد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الرقمية،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بقاء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فنيّي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المستوى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التشغيلي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المحض،</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جانب</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الإطار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السياساتي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للإعارة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بين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الذي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يحكم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الإعارةَ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المؤقتة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للأصول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ونقلَ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العهدة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وتتبُّعَ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المسؤولية</w:t>
      </w:r>
      <w:r w:rsidRPr="00C967DA">
        <w:rPr>
          <w:rFonts w:ascii="Simplified Arabic" w:hAnsi="Simplified Arabic" w:cs="Simplified Arabic"/>
          <w:sz w:val="28"/>
          <w:szCs w:val="28"/>
          <w:rtl/>
        </w:rPr>
        <w:t>.</w:t>
      </w:r>
    </w:p>
    <w:p w14:paraId="58A88306" w14:textId="77777777"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lastRenderedPageBreak/>
        <w:t>وتتوصَّل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النحو</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النوعي،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جدوى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الإطار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قويةٌ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مشروطةٌ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عبر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الأبعاد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التنظيمية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والمالية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والتقنية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والبيئية،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ومحكومةٌ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بأربع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بواباتِ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جاهزيةٍ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تحليلية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G1–G4</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كما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تقدِّم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سجلًّا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مصنَّفًا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للمخاطر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يضمُّ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خمسَ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عشرةَ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مخاطرةً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وفق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منظومة</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FIRM</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لكلٍّ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منها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مالكٌ</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محدَّد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واستراتيجيةُ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تخفيف؛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ولوحةَ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حوكمةٍ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لأربعةَ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عشرَ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مؤشرَ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أداءٍ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رئيسيًّا</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معرَّفةً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بطرق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القياس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وأهدافٍ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اتجاهية؛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وخارطةَ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طريقٍ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تنفيذية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أربع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مراحل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التأسيس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المؤسسي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واعتماد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السياسات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الشهران</w:t>
      </w:r>
      <w:r w:rsidRPr="00C967DA">
        <w:rPr>
          <w:rFonts w:ascii="Simplified Arabic" w:hAnsi="Simplified Arabic" w:cs="Simplified Arabic"/>
          <w:sz w:val="28"/>
          <w:szCs w:val="28"/>
          <w:rtl/>
        </w:rPr>
        <w:t xml:space="preserve"> 1–2)</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وتوحيد</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الفهرس</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وإدخال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البيانات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الشهران</w:t>
      </w:r>
      <w:r w:rsidRPr="00C967DA">
        <w:rPr>
          <w:rFonts w:ascii="Simplified Arabic" w:hAnsi="Simplified Arabic" w:cs="Simplified Arabic"/>
          <w:sz w:val="28"/>
          <w:szCs w:val="28"/>
          <w:rtl/>
        </w:rPr>
        <w:t xml:space="preserve"> 3–4)</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والتطبيق</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التجريبي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قسم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الأحياء</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اختبار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سير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العمل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الشهران</w:t>
      </w:r>
      <w:r w:rsidRPr="00C967DA">
        <w:rPr>
          <w:rFonts w:ascii="Simplified Arabic" w:hAnsi="Simplified Arabic" w:cs="Simplified Arabic"/>
          <w:sz w:val="28"/>
          <w:szCs w:val="28"/>
          <w:rtl/>
        </w:rPr>
        <w:t xml:space="preserve"> 5–6)</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ثم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التوسُّع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مستوى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الكلية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خلف</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بوابةٍ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مستمرةٍ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لجاهزية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المنصة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الرقمية</w:t>
      </w:r>
      <w:r w:rsidRPr="00C967DA">
        <w:rPr>
          <w:rFonts w:ascii="Simplified Arabic" w:hAnsi="Simplified Arabic" w:cs="Simplified Arabic"/>
          <w:sz w:val="28"/>
          <w:szCs w:val="28"/>
          <w:rtl/>
        </w:rPr>
        <w:t>.</w:t>
      </w:r>
    </w:p>
    <w:p w14:paraId="53B757D8" w14:textId="433B39B5" w:rsidR="00C967DA" w:rsidRPr="00C967DA" w:rsidRDefault="00C967DA" w:rsidP="006852E4">
      <w:pPr>
        <w:jc w:val="both"/>
        <w:rPr>
          <w:rFonts w:ascii="Simplified Arabic" w:hAnsi="Simplified Arabic" w:cs="Simplified Arabic"/>
          <w:sz w:val="28"/>
          <w:szCs w:val="28"/>
          <w:rtl/>
        </w:rPr>
      </w:pPr>
      <w:r w:rsidRPr="00C967DA">
        <w:rPr>
          <w:rFonts w:ascii="Simplified Arabic" w:hAnsi="Simplified Arabic" w:cs="Simplified Arabic" w:hint="cs"/>
          <w:sz w:val="28"/>
          <w:szCs w:val="28"/>
          <w:rtl/>
        </w:rPr>
        <w:t>وتتمثَّل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إسهاماتُ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الدراسة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في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تقديم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نموذجِ</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حوكمةٍ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نوعيٍّ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متكاملٍ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للإدارة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التشاركية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لمخزون</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المختبرات،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متوائمٍ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معايير</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التميز</w:t>
      </w:r>
      <w:r w:rsidRPr="00C967DA">
        <w:rPr>
          <w:rFonts w:ascii="Simplified Arabic" w:hAnsi="Simplified Arabic" w:cs="Simplified Arabic"/>
          <w:sz w:val="28"/>
          <w:szCs w:val="28"/>
          <w:rtl/>
        </w:rPr>
        <w:t xml:space="preserve"> </w:t>
      </w:r>
      <w:r w:rsidRPr="00DA6319">
        <w:rPr>
          <w:rFonts w:ascii="Simplified Arabic" w:hAnsi="Simplified Arabic" w:cs="Simplified Arabic"/>
          <w:b/>
          <w:bCs/>
          <w:sz w:val="28"/>
          <w:szCs w:val="28"/>
        </w:rPr>
        <w:t>ISO</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ورؤية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المملكة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العربية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السعودية</w:t>
      </w:r>
      <w:r w:rsidRPr="00C967DA">
        <w:rPr>
          <w:rFonts w:ascii="Simplified Arabic" w:hAnsi="Simplified Arabic" w:cs="Simplified Arabic"/>
          <w:sz w:val="28"/>
          <w:szCs w:val="28"/>
          <w:rtl/>
        </w:rPr>
        <w:t xml:space="preserve"> 2030</w:t>
      </w:r>
      <w:r w:rsidRPr="00C967DA">
        <w:rPr>
          <w:rFonts w:ascii="Simplified Arabic" w:hAnsi="Simplified Arabic" w:cs="Simplified Arabic" w:hint="cs"/>
          <w:sz w:val="28"/>
          <w:szCs w:val="28"/>
          <w:rtl/>
        </w:rPr>
        <w:t>،</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وقابلٍ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للنقل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إلى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مؤسسات</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التعليم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العالي</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السعودية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والخليجية،</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وقائمٍ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على</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تسلسل</w:t>
      </w:r>
      <w:r w:rsidRPr="00C967DA">
        <w:rPr>
          <w:rFonts w:ascii="Simplified Arabic" w:hAnsi="Simplified Arabic" w:cs="Simplified Arabic"/>
          <w:sz w:val="28"/>
          <w:szCs w:val="28"/>
          <w:rtl/>
        </w:rPr>
        <w:t xml:space="preserve"> </w:t>
      </w:r>
      <w:r w:rsidR="00097A97">
        <w:rPr>
          <w:rFonts w:ascii="Simplified Arabic" w:hAnsi="Simplified Arabic" w:cs="Simplified Arabic" w:hint="cs"/>
          <w:sz w:val="28"/>
          <w:szCs w:val="28"/>
          <w:rtl/>
        </w:rPr>
        <w:t>"</w:t>
      </w:r>
      <w:r w:rsidRPr="00C967DA">
        <w:rPr>
          <w:rFonts w:ascii="Simplified Arabic" w:hAnsi="Simplified Arabic" w:cs="Simplified Arabic" w:hint="cs"/>
          <w:sz w:val="28"/>
          <w:szCs w:val="28"/>
          <w:rtl/>
        </w:rPr>
        <w:t>التنظيم</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قبل</w:t>
      </w:r>
      <w:r w:rsidRPr="00C967DA">
        <w:rPr>
          <w:rFonts w:ascii="Simplified Arabic" w:hAnsi="Simplified Arabic" w:cs="Simplified Arabic"/>
          <w:sz w:val="28"/>
          <w:szCs w:val="28"/>
          <w:rtl/>
        </w:rPr>
        <w:t xml:space="preserve"> </w:t>
      </w:r>
      <w:r w:rsidRPr="00C967DA">
        <w:rPr>
          <w:rFonts w:ascii="Simplified Arabic" w:hAnsi="Simplified Arabic" w:cs="Simplified Arabic" w:hint="cs"/>
          <w:sz w:val="28"/>
          <w:szCs w:val="28"/>
          <w:rtl/>
        </w:rPr>
        <w:t>التقنية</w:t>
      </w:r>
      <w:r w:rsidR="00097A97">
        <w:rPr>
          <w:rFonts w:ascii="Simplified Arabic" w:hAnsi="Simplified Arabic" w:cs="Simplified Arabic" w:hint="cs"/>
          <w:sz w:val="28"/>
          <w:szCs w:val="28"/>
          <w:rtl/>
        </w:rPr>
        <w:t>"</w:t>
      </w:r>
      <w:r w:rsidRPr="00C967DA">
        <w:rPr>
          <w:rFonts w:ascii="Simplified Arabic" w:hAnsi="Simplified Arabic" w:cs="Simplified Arabic"/>
          <w:sz w:val="28"/>
          <w:szCs w:val="28"/>
          <w:rtl/>
        </w:rPr>
        <w:t>.</w:t>
      </w:r>
    </w:p>
    <w:p w14:paraId="01EA6310" w14:textId="3BB1CB11" w:rsidR="00400AED" w:rsidRDefault="00C967DA" w:rsidP="00C967DA">
      <w:pPr>
        <w:jc w:val="both"/>
        <w:rPr>
          <w:rFonts w:ascii="Simplified Arabic" w:hAnsi="Simplified Arabic" w:cs="Simplified Arabic"/>
          <w:b/>
          <w:bCs/>
          <w:sz w:val="28"/>
          <w:szCs w:val="28"/>
          <w:rtl/>
        </w:rPr>
      </w:pPr>
      <w:r w:rsidRPr="00097A97">
        <w:rPr>
          <w:rFonts w:ascii="Simplified Arabic" w:hAnsi="Simplified Arabic" w:cs="Simplified Arabic" w:hint="cs"/>
          <w:b/>
          <w:bCs/>
          <w:sz w:val="32"/>
          <w:szCs w:val="32"/>
          <w:rtl/>
        </w:rPr>
        <w:t>الكلمات</w:t>
      </w:r>
      <w:r w:rsidRPr="00097A97">
        <w:rPr>
          <w:rFonts w:ascii="Simplified Arabic" w:hAnsi="Simplified Arabic" w:cs="Simplified Arabic"/>
          <w:b/>
          <w:bCs/>
          <w:sz w:val="32"/>
          <w:szCs w:val="32"/>
          <w:rtl/>
        </w:rPr>
        <w:t xml:space="preserve"> </w:t>
      </w:r>
      <w:r w:rsidRPr="00097A97">
        <w:rPr>
          <w:rFonts w:ascii="Simplified Arabic" w:hAnsi="Simplified Arabic" w:cs="Simplified Arabic" w:hint="cs"/>
          <w:b/>
          <w:bCs/>
          <w:sz w:val="32"/>
          <w:szCs w:val="32"/>
          <w:rtl/>
        </w:rPr>
        <w:t>المفتاحية</w:t>
      </w:r>
      <w:r w:rsidRPr="00097A97">
        <w:rPr>
          <w:rFonts w:ascii="Simplified Arabic" w:hAnsi="Simplified Arabic" w:cs="Simplified Arabic"/>
          <w:b/>
          <w:bCs/>
          <w:sz w:val="32"/>
          <w:szCs w:val="32"/>
          <w:rtl/>
        </w:rPr>
        <w:t>:</w:t>
      </w:r>
      <w:r w:rsidRPr="00097A97">
        <w:rPr>
          <w:rFonts w:ascii="Simplified Arabic" w:hAnsi="Simplified Arabic" w:cs="Simplified Arabic"/>
          <w:sz w:val="32"/>
          <w:szCs w:val="32"/>
          <w:rtl/>
        </w:rPr>
        <w:t xml:space="preserve"> </w:t>
      </w:r>
      <w:r w:rsidRPr="00496D2F">
        <w:rPr>
          <w:rFonts w:ascii="Simplified Arabic" w:hAnsi="Simplified Arabic" w:cs="Simplified Arabic" w:hint="cs"/>
          <w:b/>
          <w:bCs/>
          <w:sz w:val="28"/>
          <w:szCs w:val="28"/>
          <w:rtl/>
        </w:rPr>
        <w:t>إدارة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المخزون</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التشاركي؛</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المختبرات</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التعليمية؛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الحوكمة؛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تقييم</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المخاطر؛</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تحليل</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الفراشة؛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استمرارية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الأعمال؛</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الاقتصاد</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الدائري؛</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رؤية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المملكة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العربية</w:t>
      </w:r>
      <w:r w:rsidRPr="00496D2F">
        <w:rPr>
          <w:rFonts w:ascii="Simplified Arabic" w:hAnsi="Simplified Arabic" w:cs="Simplified Arabic"/>
          <w:b/>
          <w:bCs/>
          <w:sz w:val="28"/>
          <w:szCs w:val="28"/>
          <w:rtl/>
        </w:rPr>
        <w:t xml:space="preserve"> </w:t>
      </w:r>
      <w:r w:rsidRPr="00496D2F">
        <w:rPr>
          <w:rFonts w:ascii="Simplified Arabic" w:hAnsi="Simplified Arabic" w:cs="Simplified Arabic" w:hint="cs"/>
          <w:b/>
          <w:bCs/>
          <w:sz w:val="28"/>
          <w:szCs w:val="28"/>
          <w:rtl/>
        </w:rPr>
        <w:t>السعودية</w:t>
      </w:r>
      <w:r w:rsidRPr="00496D2F">
        <w:rPr>
          <w:rFonts w:ascii="Simplified Arabic" w:hAnsi="Simplified Arabic" w:cs="Simplified Arabic"/>
          <w:b/>
          <w:bCs/>
          <w:sz w:val="28"/>
          <w:szCs w:val="28"/>
          <w:rtl/>
        </w:rPr>
        <w:t xml:space="preserve"> 2030.</w:t>
      </w:r>
    </w:p>
    <w:p w14:paraId="7114304F" w14:textId="77777777" w:rsidR="00097A97" w:rsidRDefault="00097A97" w:rsidP="00C967DA">
      <w:pPr>
        <w:jc w:val="both"/>
        <w:rPr>
          <w:rFonts w:ascii="Simplified Arabic" w:hAnsi="Simplified Arabic" w:cs="Simplified Arabic"/>
          <w:sz w:val="28"/>
          <w:szCs w:val="28"/>
          <w:rtl/>
        </w:rPr>
      </w:pPr>
    </w:p>
    <w:p w14:paraId="243CF27E" w14:textId="77777777" w:rsidR="00097A97" w:rsidRDefault="00097A97" w:rsidP="00C967DA">
      <w:pPr>
        <w:jc w:val="both"/>
        <w:rPr>
          <w:rFonts w:ascii="Simplified Arabic" w:hAnsi="Simplified Arabic" w:cs="Simplified Arabic"/>
          <w:sz w:val="28"/>
          <w:szCs w:val="28"/>
          <w:rtl/>
        </w:rPr>
      </w:pPr>
    </w:p>
    <w:p w14:paraId="263A2B89" w14:textId="77777777" w:rsidR="00097A97" w:rsidRDefault="00097A97" w:rsidP="00C967DA">
      <w:pPr>
        <w:jc w:val="both"/>
        <w:rPr>
          <w:rFonts w:ascii="Simplified Arabic" w:hAnsi="Simplified Arabic" w:cs="Simplified Arabic"/>
          <w:sz w:val="28"/>
          <w:szCs w:val="28"/>
          <w:rtl/>
        </w:rPr>
      </w:pPr>
    </w:p>
    <w:p w14:paraId="7329A875" w14:textId="77777777" w:rsidR="00097A97" w:rsidRDefault="00097A97" w:rsidP="00C967DA">
      <w:pPr>
        <w:jc w:val="both"/>
        <w:rPr>
          <w:rFonts w:ascii="Simplified Arabic" w:hAnsi="Simplified Arabic" w:cs="Simplified Arabic"/>
          <w:sz w:val="28"/>
          <w:szCs w:val="28"/>
          <w:rtl/>
        </w:rPr>
      </w:pPr>
    </w:p>
    <w:p w14:paraId="7E7A8C1F" w14:textId="77777777" w:rsidR="00097A97" w:rsidRDefault="00097A97" w:rsidP="00C967DA">
      <w:pPr>
        <w:jc w:val="both"/>
        <w:rPr>
          <w:rFonts w:ascii="Simplified Arabic" w:hAnsi="Simplified Arabic" w:cs="Simplified Arabic"/>
          <w:sz w:val="28"/>
          <w:szCs w:val="28"/>
          <w:rtl/>
        </w:rPr>
      </w:pPr>
    </w:p>
    <w:p w14:paraId="48D6385B" w14:textId="77777777" w:rsidR="00097A97" w:rsidRDefault="00097A97" w:rsidP="00C967DA">
      <w:pPr>
        <w:jc w:val="both"/>
        <w:rPr>
          <w:rFonts w:ascii="Simplified Arabic" w:hAnsi="Simplified Arabic" w:cs="Simplified Arabic"/>
          <w:sz w:val="28"/>
          <w:szCs w:val="28"/>
          <w:rtl/>
        </w:rPr>
      </w:pPr>
    </w:p>
    <w:p w14:paraId="02FF5EE0" w14:textId="77777777" w:rsidR="00097A97" w:rsidRDefault="00097A97" w:rsidP="00C967DA">
      <w:pPr>
        <w:jc w:val="both"/>
        <w:rPr>
          <w:rFonts w:ascii="Simplified Arabic" w:hAnsi="Simplified Arabic" w:cs="Simplified Arabic"/>
          <w:sz w:val="28"/>
          <w:szCs w:val="28"/>
          <w:rtl/>
        </w:rPr>
      </w:pPr>
    </w:p>
    <w:p w14:paraId="5E59DA9A" w14:textId="77777777" w:rsidR="00097A97" w:rsidRDefault="00097A97" w:rsidP="00C967DA">
      <w:pPr>
        <w:jc w:val="both"/>
        <w:rPr>
          <w:rFonts w:ascii="Simplified Arabic" w:hAnsi="Simplified Arabic" w:cs="Simplified Arabic"/>
          <w:sz w:val="28"/>
          <w:szCs w:val="28"/>
          <w:rtl/>
        </w:rPr>
      </w:pPr>
    </w:p>
    <w:p w14:paraId="5D2370D8" w14:textId="77777777" w:rsidR="00097A97" w:rsidRDefault="00097A97" w:rsidP="00C967DA">
      <w:pPr>
        <w:jc w:val="both"/>
        <w:rPr>
          <w:rFonts w:ascii="Simplified Arabic" w:hAnsi="Simplified Arabic" w:cs="Simplified Arabic"/>
          <w:sz w:val="28"/>
          <w:szCs w:val="28"/>
          <w:rtl/>
        </w:rPr>
      </w:pPr>
    </w:p>
    <w:p w14:paraId="0EF0C6FD" w14:textId="77777777" w:rsidR="00097A97" w:rsidRDefault="00097A97" w:rsidP="00C967DA">
      <w:pPr>
        <w:jc w:val="both"/>
        <w:rPr>
          <w:rFonts w:ascii="Simplified Arabic" w:hAnsi="Simplified Arabic" w:cs="Simplified Arabic"/>
          <w:sz w:val="28"/>
          <w:szCs w:val="28"/>
          <w:rtl/>
        </w:rPr>
      </w:pPr>
    </w:p>
    <w:p w14:paraId="3A8CBE07" w14:textId="77777777" w:rsidR="00097A97" w:rsidRDefault="00097A97" w:rsidP="00C967DA">
      <w:pPr>
        <w:jc w:val="both"/>
        <w:rPr>
          <w:rFonts w:ascii="Simplified Arabic" w:hAnsi="Simplified Arabic" w:cs="Simplified Arabic"/>
          <w:sz w:val="28"/>
          <w:szCs w:val="28"/>
          <w:rtl/>
        </w:rPr>
      </w:pPr>
    </w:p>
    <w:p w14:paraId="238EAC34" w14:textId="6AC21F80" w:rsidR="00097A97" w:rsidRPr="00FA0DCE" w:rsidRDefault="006852E4" w:rsidP="00FA0DCE">
      <w:pPr>
        <w:pStyle w:val="Heading1"/>
        <w:bidi w:val="0"/>
      </w:pPr>
      <w:bookmarkStart w:id="5" w:name="_Toc237539693"/>
      <w:r w:rsidRPr="00FA0DCE">
        <w:t>Abstract</w:t>
      </w:r>
      <w:bookmarkEnd w:id="5"/>
    </w:p>
    <w:p w14:paraId="69DE67E1" w14:textId="18E22E50"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 xml:space="preserve">Educational laboratories are among the most resource-intensive environments in higher education, </w:t>
      </w:r>
      <w:r w:rsidR="00F275ED" w:rsidRPr="006852E4">
        <w:rPr>
          <w:rFonts w:ascii="Simplified Arabic" w:hAnsi="Simplified Arabic" w:cs="Simplified Arabic"/>
          <w:sz w:val="28"/>
          <w:szCs w:val="28"/>
        </w:rPr>
        <w:t>concentrating on</w:t>
      </w:r>
      <w:r w:rsidRPr="006852E4">
        <w:rPr>
          <w:rFonts w:ascii="Simplified Arabic" w:hAnsi="Simplified Arabic" w:cs="Simplified Arabic"/>
          <w:sz w:val="28"/>
          <w:szCs w:val="28"/>
        </w:rPr>
        <w:t xml:space="preserve"> instruments, chemicals, and consumables whose management determines both fiscal efficiency and environmental performance. </w:t>
      </w:r>
      <w:r w:rsidR="00144B9A" w:rsidRPr="00144B9A">
        <w:rPr>
          <w:rFonts w:ascii="Simplified Arabic" w:hAnsi="Simplified Arabic" w:cs="Simplified Arabic"/>
          <w:sz w:val="28"/>
          <w:szCs w:val="28"/>
        </w:rPr>
        <w:t xml:space="preserve">This study was conducted within a large public higher education institution in Saudi Arabia—a major multi-departmental academic environment—focusing on a large public science faculty, with a life sciences department as the embedded unit of </w:t>
      </w:r>
      <w:r w:rsidR="00581042" w:rsidRPr="00144B9A">
        <w:rPr>
          <w:rFonts w:ascii="Simplified Arabic" w:hAnsi="Simplified Arabic" w:cs="Simplified Arabic"/>
          <w:sz w:val="28"/>
          <w:szCs w:val="28"/>
        </w:rPr>
        <w:t>analysis and</w:t>
      </w:r>
      <w:r w:rsidR="00144B9A" w:rsidRPr="00144B9A">
        <w:rPr>
          <w:rFonts w:ascii="Simplified Arabic" w:hAnsi="Simplified Arabic" w:cs="Simplified Arabic"/>
          <w:sz w:val="28"/>
          <w:szCs w:val="28"/>
        </w:rPr>
        <w:t xml:space="preserve"> is framed by Saudi Vision 2030 priorities of fiscal efficiency, sustainability, and digital transformation.</w:t>
      </w:r>
    </w:p>
    <w:p w14:paraId="1444245E" w14:textId="77777777"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The study diagnoses the prevailing inventory regime as decentralized and non-participatory: laboratories keep separate records and requisitions, without shared visibility, an inter-lab lending policy, or a standardized data structure. This condition constitutes a “</w:t>
      </w:r>
      <w:r w:rsidRPr="007676B1">
        <w:rPr>
          <w:rFonts w:ascii="Simplified Arabic" w:hAnsi="Simplified Arabic" w:cs="Simplified Arabic"/>
          <w:b/>
          <w:bCs/>
          <w:sz w:val="28"/>
          <w:szCs w:val="28"/>
        </w:rPr>
        <w:t>Risk Maturity Gap</w:t>
      </w:r>
      <w:r w:rsidRPr="006852E4">
        <w:rPr>
          <w:rFonts w:ascii="Simplified Arabic" w:hAnsi="Simplified Arabic" w:cs="Simplified Arabic"/>
          <w:sz w:val="28"/>
          <w:szCs w:val="28"/>
        </w:rPr>
        <w:t>,” expressed qualitatively in duplicate purchasing, depressed asset utilization, expired-chemical waste, and the absence of the organizational baseline without which digitalization initiatives fail</w:t>
      </w:r>
      <w:r w:rsidRPr="006852E4">
        <w:rPr>
          <w:rFonts w:ascii="Simplified Arabic" w:hAnsi="Simplified Arabic" w:cs="Simplified Arabic"/>
          <w:sz w:val="28"/>
          <w:szCs w:val="28"/>
          <w:rtl/>
        </w:rPr>
        <w:t>.</w:t>
      </w:r>
    </w:p>
    <w:p w14:paraId="1533E6C5" w14:textId="77777777"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Methodologically, the study is a qualitative structural, policy, and governance analysis. It employs no field-study questionnaires, survey data, or empirical statistics; its evaluation instruments are qualitative matrices, analytical readiness gates, and policy controls, and its claims are design claims, not empirical findings</w:t>
      </w:r>
      <w:r w:rsidRPr="006852E4">
        <w:rPr>
          <w:rFonts w:ascii="Simplified Arabic" w:hAnsi="Simplified Arabic" w:cs="Simplified Arabic"/>
          <w:sz w:val="28"/>
          <w:szCs w:val="28"/>
          <w:rtl/>
        </w:rPr>
        <w:t>.</w:t>
      </w:r>
    </w:p>
    <w:p w14:paraId="0328C506" w14:textId="7200C9EC"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 xml:space="preserve">The study designs an integrated five-lens framework: an adapted risk-maturity trajectory (Inform/Conform </w:t>
      </w:r>
      <w:r w:rsidRPr="006852E4">
        <w:rPr>
          <w:rFonts w:ascii="Times New Roman" w:hAnsi="Times New Roman" w:cs="Times New Roman"/>
          <w:sz w:val="28"/>
          <w:szCs w:val="28"/>
        </w:rPr>
        <w:t>→</w:t>
      </w:r>
      <w:r w:rsidRPr="006852E4">
        <w:rPr>
          <w:rFonts w:ascii="Simplified Arabic" w:hAnsi="Simplified Arabic" w:cs="Simplified Arabic"/>
          <w:sz w:val="28"/>
          <w:szCs w:val="28"/>
        </w:rPr>
        <w:t xml:space="preserve"> Managed/Normalized </w:t>
      </w:r>
      <w:r w:rsidRPr="006852E4">
        <w:rPr>
          <w:rFonts w:ascii="Times New Roman" w:hAnsi="Times New Roman" w:cs="Times New Roman"/>
          <w:sz w:val="28"/>
          <w:szCs w:val="28"/>
        </w:rPr>
        <w:t>→</w:t>
      </w:r>
      <w:r w:rsidRPr="006852E4">
        <w:rPr>
          <w:rFonts w:ascii="Simplified Arabic" w:hAnsi="Simplified Arabic" w:cs="Simplified Arabic"/>
          <w:sz w:val="28"/>
          <w:szCs w:val="28"/>
        </w:rPr>
        <w:t xml:space="preserve"> Perform); a Bow-Tie risk model whose prevention barriers are catalog standardization and eligibility clauses and whose mitigation barriers are </w:t>
      </w:r>
      <w:r w:rsidRPr="009616A3">
        <w:rPr>
          <w:rFonts w:ascii="Simplified Arabic" w:hAnsi="Simplified Arabic" w:cs="Simplified Arabic"/>
          <w:b/>
          <w:bCs/>
          <w:sz w:val="28"/>
          <w:szCs w:val="28"/>
        </w:rPr>
        <w:t>FEFO</w:t>
      </w:r>
      <w:r w:rsidRPr="006852E4">
        <w:rPr>
          <w:rFonts w:ascii="Simplified Arabic" w:hAnsi="Simplified Arabic" w:cs="Simplified Arabic"/>
          <w:sz w:val="28"/>
          <w:szCs w:val="28"/>
        </w:rPr>
        <w:t xml:space="preserve"> (First-Expired-First-Out) rotation and inter-lab sharing; </w:t>
      </w:r>
      <w:r w:rsidRPr="009616A3">
        <w:rPr>
          <w:rFonts w:ascii="Simplified Arabic" w:hAnsi="Simplified Arabic" w:cs="Simplified Arabic"/>
          <w:b/>
          <w:bCs/>
          <w:sz w:val="28"/>
          <w:szCs w:val="28"/>
        </w:rPr>
        <w:t xml:space="preserve">ISO </w:t>
      </w:r>
      <w:r w:rsidRPr="009616A3">
        <w:rPr>
          <w:rFonts w:ascii="Simplified Arabic" w:hAnsi="Simplified Arabic" w:cs="Simplified Arabic"/>
          <w:b/>
          <w:bCs/>
          <w:sz w:val="28"/>
          <w:szCs w:val="28"/>
        </w:rPr>
        <w:lastRenderedPageBreak/>
        <w:t>22301:2019</w:t>
      </w:r>
      <w:r w:rsidRPr="006852E4">
        <w:rPr>
          <w:rFonts w:ascii="Simplified Arabic" w:hAnsi="Simplified Arabic" w:cs="Simplified Arabic"/>
          <w:sz w:val="28"/>
          <w:szCs w:val="28"/>
        </w:rPr>
        <w:t xml:space="preserve"> business continuity alignment (business impact analysis, prioritized activities); </w:t>
      </w:r>
      <w:r w:rsidRPr="009616A3">
        <w:rPr>
          <w:rFonts w:ascii="Simplified Arabic" w:hAnsi="Simplified Arabic" w:cs="Simplified Arabic"/>
          <w:b/>
          <w:bCs/>
          <w:sz w:val="28"/>
          <w:szCs w:val="28"/>
        </w:rPr>
        <w:t>ISO 14001:2015</w:t>
      </w:r>
      <w:r w:rsidRPr="006852E4">
        <w:rPr>
          <w:rFonts w:ascii="Simplified Arabic" w:hAnsi="Simplified Arabic" w:cs="Simplified Arabic"/>
          <w:sz w:val="28"/>
          <w:szCs w:val="28"/>
        </w:rPr>
        <w:t xml:space="preserve"> conformity for environmental aspects; and the </w:t>
      </w:r>
      <w:r w:rsidRPr="009616A3">
        <w:rPr>
          <w:rFonts w:ascii="Simplified Arabic" w:hAnsi="Simplified Arabic" w:cs="Simplified Arabic"/>
          <w:b/>
          <w:bCs/>
          <w:sz w:val="28"/>
          <w:szCs w:val="28"/>
        </w:rPr>
        <w:t>FIRM</w:t>
      </w:r>
      <w:r w:rsidRPr="006852E4">
        <w:rPr>
          <w:rFonts w:ascii="Simplified Arabic" w:hAnsi="Simplified Arabic" w:cs="Simplified Arabic"/>
          <w:sz w:val="28"/>
          <w:szCs w:val="28"/>
        </w:rPr>
        <w:t xml:space="preserve"> risk classification, read strictly as a taxonomy rather than a scoring algorithm. The framework is institutionalized in a three-tier governance architecture — Academic Inventory Governance Board, Technical Standardization Committee, Digital Supply Chain Unit, with laboratory technicians at </w:t>
      </w:r>
      <w:r w:rsidR="00F275ED" w:rsidRPr="006852E4">
        <w:rPr>
          <w:rFonts w:ascii="Simplified Arabic" w:hAnsi="Simplified Arabic" w:cs="Simplified Arabic"/>
          <w:sz w:val="28"/>
          <w:szCs w:val="28"/>
        </w:rPr>
        <w:t>strictly</w:t>
      </w:r>
      <w:r w:rsidRPr="006852E4">
        <w:rPr>
          <w:rFonts w:ascii="Simplified Arabic" w:hAnsi="Simplified Arabic" w:cs="Simplified Arabic"/>
          <w:sz w:val="28"/>
          <w:szCs w:val="28"/>
        </w:rPr>
        <w:t xml:space="preserve"> operational level — and an Inter-Lab Policy Framework governing temporary asset loans, custody transfer, and responsibility tracking</w:t>
      </w:r>
      <w:r w:rsidRPr="006852E4">
        <w:rPr>
          <w:rFonts w:ascii="Simplified Arabic" w:hAnsi="Simplified Arabic" w:cs="Simplified Arabic"/>
          <w:sz w:val="28"/>
          <w:szCs w:val="28"/>
          <w:rtl/>
        </w:rPr>
        <w:t>.</w:t>
      </w:r>
    </w:p>
    <w:p w14:paraId="4E1B2629" w14:textId="77777777"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The study concludes, qualitatively, that the framework’s feasibility is conditionally strong across organizational, financial, technical, and environmental dimensions, gated by four analytical readiness gates (</w:t>
      </w:r>
      <w:r w:rsidRPr="005669E3">
        <w:rPr>
          <w:rFonts w:ascii="Simplified Arabic" w:hAnsi="Simplified Arabic" w:cs="Simplified Arabic"/>
          <w:b/>
          <w:bCs/>
          <w:sz w:val="28"/>
          <w:szCs w:val="28"/>
        </w:rPr>
        <w:t>G1–G4</w:t>
      </w:r>
      <w:r w:rsidRPr="006852E4">
        <w:rPr>
          <w:rFonts w:ascii="Simplified Arabic" w:hAnsi="Simplified Arabic" w:cs="Simplified Arabic"/>
          <w:sz w:val="28"/>
          <w:szCs w:val="28"/>
        </w:rPr>
        <w:t xml:space="preserve">). It delivers a </w:t>
      </w:r>
      <w:r w:rsidRPr="005669E3">
        <w:rPr>
          <w:rFonts w:ascii="Simplified Arabic" w:hAnsi="Simplified Arabic" w:cs="Simplified Arabic"/>
          <w:b/>
          <w:bCs/>
          <w:sz w:val="28"/>
          <w:szCs w:val="28"/>
        </w:rPr>
        <w:t>FIRM</w:t>
      </w:r>
      <w:r w:rsidRPr="006852E4">
        <w:rPr>
          <w:rFonts w:ascii="Simplified Arabic" w:hAnsi="Simplified Arabic" w:cs="Simplified Arabic"/>
          <w:sz w:val="28"/>
          <w:szCs w:val="28"/>
        </w:rPr>
        <w:t>-classified register of fifteen risks, each with a named owner and mitigation; a governance dashboard of fourteen key performance indicators defined with measurement methods and directional targets; and a four-phase implementation roadmap — institutional foundation and policy ratification (months 1–2), catalog standardization and data onboarding (months 3–4), a Biology Department pilot with workflow testing (months 5–6), and college-wide scaling behind a continuous digital-platform readiness gate</w:t>
      </w:r>
      <w:r w:rsidRPr="006852E4">
        <w:rPr>
          <w:rFonts w:ascii="Simplified Arabic" w:hAnsi="Simplified Arabic" w:cs="Simplified Arabic"/>
          <w:sz w:val="28"/>
          <w:szCs w:val="28"/>
          <w:rtl/>
        </w:rPr>
        <w:t>.</w:t>
      </w:r>
    </w:p>
    <w:p w14:paraId="0293C878" w14:textId="77777777" w:rsidR="006852E4" w:rsidRPr="006852E4" w:rsidRDefault="006852E4" w:rsidP="006852E4">
      <w:pPr>
        <w:bidi w:val="0"/>
        <w:jc w:val="both"/>
        <w:rPr>
          <w:rFonts w:ascii="Simplified Arabic" w:hAnsi="Simplified Arabic" w:cs="Simplified Arabic"/>
          <w:sz w:val="28"/>
          <w:szCs w:val="28"/>
        </w:rPr>
      </w:pPr>
      <w:r w:rsidRPr="006852E4">
        <w:rPr>
          <w:rFonts w:ascii="Simplified Arabic" w:hAnsi="Simplified Arabic" w:cs="Simplified Arabic"/>
          <w:sz w:val="28"/>
          <w:szCs w:val="28"/>
        </w:rPr>
        <w:t xml:space="preserve">The study contributes an integrated qualitative governance model for participatory laboratory inventory, aligned with </w:t>
      </w:r>
      <w:r w:rsidRPr="00DA6319">
        <w:rPr>
          <w:rFonts w:ascii="Simplified Arabic" w:hAnsi="Simplified Arabic" w:cs="Simplified Arabic"/>
          <w:b/>
          <w:bCs/>
          <w:sz w:val="28"/>
          <w:szCs w:val="28"/>
        </w:rPr>
        <w:t>ISO</w:t>
      </w:r>
      <w:r w:rsidRPr="006852E4">
        <w:rPr>
          <w:rFonts w:ascii="Simplified Arabic" w:hAnsi="Simplified Arabic" w:cs="Simplified Arabic"/>
          <w:sz w:val="28"/>
          <w:szCs w:val="28"/>
        </w:rPr>
        <w:t xml:space="preserve"> excellence standards and Saudi Vision 2030, offering a transferable template for Saudi and Gulf higher education grounded in organization-before-technology sequencing</w:t>
      </w:r>
      <w:r w:rsidRPr="006852E4">
        <w:rPr>
          <w:rFonts w:ascii="Simplified Arabic" w:hAnsi="Simplified Arabic" w:cs="Simplified Arabic"/>
          <w:sz w:val="28"/>
          <w:szCs w:val="28"/>
          <w:rtl/>
        </w:rPr>
        <w:t>.</w:t>
      </w:r>
    </w:p>
    <w:p w14:paraId="7DA9DE36" w14:textId="7A7E5857" w:rsidR="006852E4" w:rsidRDefault="006852E4" w:rsidP="006852E4">
      <w:pPr>
        <w:bidi w:val="0"/>
        <w:jc w:val="both"/>
        <w:rPr>
          <w:rFonts w:ascii="Simplified Arabic" w:hAnsi="Simplified Arabic" w:cs="Simplified Arabic"/>
          <w:b/>
          <w:bCs/>
          <w:sz w:val="28"/>
          <w:szCs w:val="28"/>
        </w:rPr>
      </w:pPr>
      <w:r w:rsidRPr="00F275ED">
        <w:rPr>
          <w:rFonts w:ascii="Simplified Arabic" w:hAnsi="Simplified Arabic" w:cs="Simplified Arabic"/>
          <w:b/>
          <w:bCs/>
          <w:sz w:val="32"/>
          <w:szCs w:val="32"/>
        </w:rPr>
        <w:t>Keywords:</w:t>
      </w:r>
      <w:r w:rsidRPr="006852E4">
        <w:rPr>
          <w:rFonts w:ascii="Simplified Arabic" w:hAnsi="Simplified Arabic" w:cs="Simplified Arabic"/>
          <w:sz w:val="28"/>
          <w:szCs w:val="28"/>
        </w:rPr>
        <w:t xml:space="preserve"> </w:t>
      </w:r>
      <w:r w:rsidRPr="00F275ED">
        <w:rPr>
          <w:rFonts w:ascii="Simplified Arabic" w:hAnsi="Simplified Arabic" w:cs="Simplified Arabic"/>
          <w:b/>
          <w:bCs/>
          <w:sz w:val="28"/>
          <w:szCs w:val="28"/>
        </w:rPr>
        <w:t>participatory inventory management; educational laboratories; governance; risk assessment; Bow-Tie analysis; business continuity; circular economy; Saudi Vision 2030.</w:t>
      </w:r>
    </w:p>
    <w:p w14:paraId="4D8148A7" w14:textId="77777777" w:rsidR="0065693B" w:rsidRDefault="0065693B" w:rsidP="0065693B">
      <w:pPr>
        <w:bidi w:val="0"/>
        <w:jc w:val="both"/>
        <w:rPr>
          <w:rFonts w:ascii="Simplified Arabic" w:hAnsi="Simplified Arabic" w:cs="Simplified Arabic"/>
          <w:sz w:val="28"/>
          <w:szCs w:val="28"/>
        </w:rPr>
      </w:pPr>
    </w:p>
    <w:p w14:paraId="2B6361AE" w14:textId="77777777" w:rsidR="0065693B" w:rsidRDefault="0065693B" w:rsidP="0065693B">
      <w:pPr>
        <w:bidi w:val="0"/>
        <w:jc w:val="both"/>
        <w:rPr>
          <w:rFonts w:ascii="Simplified Arabic" w:hAnsi="Simplified Arabic" w:cs="Simplified Arabic"/>
          <w:sz w:val="28"/>
          <w:szCs w:val="28"/>
          <w:rtl/>
        </w:rPr>
      </w:pPr>
    </w:p>
    <w:p w14:paraId="57ACC8D7" w14:textId="7157A88A" w:rsidR="00937FB7" w:rsidRDefault="002E0C9C" w:rsidP="002E0C9C">
      <w:pPr>
        <w:pStyle w:val="Heading1"/>
        <w:bidi w:val="0"/>
        <w:rPr>
          <w:rtl/>
        </w:rPr>
      </w:pPr>
      <w:bookmarkStart w:id="6" w:name="_Toc237539694"/>
      <w:r w:rsidRPr="002E0C9C">
        <w:t>Table of Contents</w:t>
      </w:r>
      <w:bookmarkEnd w:id="6"/>
    </w:p>
    <w:sdt>
      <w:sdtPr>
        <w:rPr>
          <w:rFonts w:asciiTheme="minorHAnsi" w:eastAsiaTheme="minorHAnsi" w:hAnsiTheme="minorHAnsi" w:cstheme="minorBidi"/>
          <w:color w:val="auto"/>
          <w:sz w:val="22"/>
          <w:szCs w:val="22"/>
          <w14:ligatures w14:val="standardContextual"/>
        </w:rPr>
        <w:id w:val="1287551269"/>
        <w:docPartObj>
          <w:docPartGallery w:val="Table of Contents"/>
          <w:docPartUnique/>
        </w:docPartObj>
      </w:sdtPr>
      <w:sdtEndPr>
        <w:rPr>
          <w:b/>
          <w:bCs/>
          <w:noProof/>
        </w:rPr>
      </w:sdtEndPr>
      <w:sdtContent>
        <w:p w14:paraId="198A2308" w14:textId="7B6D2CE0" w:rsidR="0088472F" w:rsidRPr="00431D1E" w:rsidRDefault="0088472F" w:rsidP="00B81DC8">
          <w:pPr>
            <w:pStyle w:val="TOCHeading"/>
            <w:rPr>
              <w:rFonts w:ascii="Simplified Arabic" w:hAnsi="Simplified Arabic" w:cs="Simplified Arabic"/>
              <w:b/>
              <w:bCs/>
              <w:color w:val="auto"/>
            </w:rPr>
          </w:pPr>
          <w:r w:rsidRPr="00431D1E">
            <w:rPr>
              <w:rFonts w:ascii="Simplified Arabic" w:hAnsi="Simplified Arabic" w:cs="Simplified Arabic"/>
              <w:b/>
              <w:bCs/>
              <w:color w:val="auto"/>
            </w:rPr>
            <w:t>Contents</w:t>
          </w:r>
        </w:p>
        <w:p w14:paraId="111D86EB" w14:textId="19ECE47E" w:rsidR="00B81DC8" w:rsidRDefault="0088472F" w:rsidP="00B81DC8">
          <w:pPr>
            <w:pStyle w:val="TOC1"/>
            <w:bidi w:val="0"/>
            <w:rPr>
              <w:rFonts w:eastAsiaTheme="minorEastAsia"/>
              <w:noProof/>
              <w:kern w:val="2"/>
              <w:sz w:val="24"/>
              <w:szCs w:val="24"/>
              <w:rtl/>
            </w:rPr>
          </w:pPr>
          <w:r>
            <w:fldChar w:fldCharType="begin"/>
          </w:r>
          <w:r>
            <w:instrText xml:space="preserve"> TOC \o "1-3" \h \z \u </w:instrText>
          </w:r>
          <w:r>
            <w:fldChar w:fldCharType="separate"/>
          </w:r>
          <w:hyperlink w:anchor="_Toc237539688" w:history="1">
            <w:r w:rsidR="00B81DC8" w:rsidRPr="00A17556">
              <w:rPr>
                <w:rStyle w:val="Hyperlink"/>
                <w:noProof/>
              </w:rPr>
              <w:t>Title Page:</w:t>
            </w:r>
            <w:r w:rsidR="00B81DC8">
              <w:rPr>
                <w:noProof/>
                <w:webHidden/>
                <w:rtl/>
              </w:rPr>
              <w:tab/>
            </w:r>
            <w:r w:rsidR="00B81DC8">
              <w:rPr>
                <w:noProof/>
                <w:webHidden/>
                <w:rtl/>
              </w:rPr>
              <w:fldChar w:fldCharType="begin"/>
            </w:r>
            <w:r w:rsidR="00B81DC8">
              <w:rPr>
                <w:noProof/>
                <w:webHidden/>
                <w:rtl/>
              </w:rPr>
              <w:instrText xml:space="preserve"> </w:instrText>
            </w:r>
            <w:r w:rsidR="00B81DC8">
              <w:rPr>
                <w:noProof/>
                <w:webHidden/>
              </w:rPr>
              <w:instrText>PAGEREF</w:instrText>
            </w:r>
            <w:r w:rsidR="00B81DC8">
              <w:rPr>
                <w:noProof/>
                <w:webHidden/>
                <w:rtl/>
              </w:rPr>
              <w:instrText xml:space="preserve"> _</w:instrText>
            </w:r>
            <w:r w:rsidR="00B81DC8">
              <w:rPr>
                <w:noProof/>
                <w:webHidden/>
              </w:rPr>
              <w:instrText>Toc237539688 \h</w:instrText>
            </w:r>
            <w:r w:rsidR="00B81DC8">
              <w:rPr>
                <w:noProof/>
                <w:webHidden/>
                <w:rtl/>
              </w:rPr>
              <w:instrText xml:space="preserve"> </w:instrText>
            </w:r>
            <w:r w:rsidR="00B81DC8">
              <w:rPr>
                <w:noProof/>
                <w:webHidden/>
                <w:rtl/>
              </w:rPr>
            </w:r>
            <w:r w:rsidR="00B81DC8">
              <w:rPr>
                <w:noProof/>
                <w:webHidden/>
                <w:rtl/>
              </w:rPr>
              <w:fldChar w:fldCharType="separate"/>
            </w:r>
            <w:r w:rsidR="00B81DC8">
              <w:rPr>
                <w:noProof/>
                <w:webHidden/>
              </w:rPr>
              <w:t>III</w:t>
            </w:r>
            <w:r w:rsidR="00B81DC8">
              <w:rPr>
                <w:noProof/>
                <w:webHidden/>
                <w:rtl/>
              </w:rPr>
              <w:fldChar w:fldCharType="end"/>
            </w:r>
          </w:hyperlink>
        </w:p>
        <w:p w14:paraId="34CDAC7B" w14:textId="009ED253" w:rsidR="00B81DC8" w:rsidRDefault="00B81DC8" w:rsidP="00B81DC8">
          <w:pPr>
            <w:pStyle w:val="TOC1"/>
            <w:bidi w:val="0"/>
            <w:rPr>
              <w:rFonts w:eastAsiaTheme="minorEastAsia"/>
              <w:noProof/>
              <w:kern w:val="2"/>
              <w:sz w:val="24"/>
              <w:szCs w:val="24"/>
              <w:rtl/>
            </w:rPr>
          </w:pPr>
          <w:hyperlink w:anchor="_Toc237539689" w:history="1">
            <w:r w:rsidRPr="00A17556">
              <w:rPr>
                <w:rStyle w:val="Hyperlink"/>
                <w:rFonts w:cs="Simplified Arabic"/>
                <w:bCs/>
                <w:noProof/>
                <w:rtl/>
              </w:rPr>
              <w:t>صفحة العنوان: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Toc237539689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515EAC9F" w14:textId="1824A2F6" w:rsidR="00B81DC8" w:rsidRDefault="00B81DC8" w:rsidP="00B81DC8">
          <w:pPr>
            <w:pStyle w:val="TOC1"/>
            <w:bidi w:val="0"/>
            <w:rPr>
              <w:rFonts w:eastAsiaTheme="minorEastAsia"/>
              <w:noProof/>
              <w:kern w:val="2"/>
              <w:sz w:val="24"/>
              <w:szCs w:val="24"/>
              <w:rtl/>
            </w:rPr>
          </w:pPr>
          <w:hyperlink w:anchor="_Toc237539690" w:history="1">
            <w:r w:rsidRPr="00A17556">
              <w:rPr>
                <w:rStyle w:val="Hyperlink"/>
                <w:rFonts w:cs="Simplified Arabic"/>
                <w:bCs/>
                <w:noProof/>
                <w:rtl/>
              </w:rPr>
              <w:t>إقرار طالب بإعداد</w:t>
            </w:r>
            <w:r w:rsidRPr="00A17556">
              <w:rPr>
                <w:rStyle w:val="Hyperlink"/>
                <w:rFonts w:cs="Simplified Arabic"/>
                <w:bCs/>
                <w:noProof/>
              </w:rPr>
              <w:t xml:space="preserve"> </w:t>
            </w:r>
            <w:r w:rsidRPr="00A17556">
              <w:rPr>
                <w:rStyle w:val="Hyperlink"/>
                <w:rFonts w:cs="Simplified Arabic"/>
                <w:bCs/>
                <w:noProof/>
                <w:rtl/>
              </w:rPr>
              <w:t>وتسليم بحث 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Toc237539690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3811239B" w14:textId="36394EA6" w:rsidR="00B81DC8" w:rsidRDefault="00B81DC8" w:rsidP="00B81DC8">
          <w:pPr>
            <w:pStyle w:val="TOC1"/>
            <w:bidi w:val="0"/>
            <w:rPr>
              <w:rFonts w:eastAsiaTheme="minorEastAsia"/>
              <w:noProof/>
              <w:kern w:val="2"/>
              <w:sz w:val="24"/>
              <w:szCs w:val="24"/>
              <w:rtl/>
            </w:rPr>
          </w:pPr>
          <w:hyperlink w:anchor="_Toc237539691" w:history="1">
            <w:r w:rsidRPr="00A17556">
              <w:rPr>
                <w:rStyle w:val="Hyperlink"/>
                <w:noProof/>
              </w:rPr>
              <w:t>Acknowledgments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Toc237539691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048FD4F8" w14:textId="2578874C" w:rsidR="00B81DC8" w:rsidRDefault="00B81DC8" w:rsidP="00B81DC8">
          <w:pPr>
            <w:pStyle w:val="TOC1"/>
            <w:bidi w:val="0"/>
            <w:rPr>
              <w:rFonts w:eastAsiaTheme="minorEastAsia"/>
              <w:noProof/>
              <w:kern w:val="2"/>
              <w:sz w:val="24"/>
              <w:szCs w:val="24"/>
              <w:rtl/>
            </w:rPr>
          </w:pPr>
          <w:hyperlink w:anchor="_Toc237539692" w:history="1">
            <w:r w:rsidRPr="00A17556">
              <w:rPr>
                <w:rStyle w:val="Hyperlink"/>
                <w:rFonts w:cs="Simplified Arabic"/>
                <w:bCs/>
                <w:noProof/>
                <w:rtl/>
              </w:rPr>
              <w:t>الملخص العربي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Toc237539692 \h</w:instrText>
            </w:r>
            <w:r>
              <w:rPr>
                <w:noProof/>
                <w:webHidden/>
                <w:rtl/>
              </w:rPr>
              <w:instrText xml:space="preserve"> </w:instrText>
            </w:r>
            <w:r>
              <w:rPr>
                <w:noProof/>
                <w:webHidden/>
                <w:rtl/>
              </w:rPr>
            </w:r>
            <w:r>
              <w:rPr>
                <w:noProof/>
                <w:webHidden/>
                <w:rtl/>
              </w:rPr>
              <w:fldChar w:fldCharType="separate"/>
            </w:r>
            <w:r>
              <w:rPr>
                <w:noProof/>
                <w:webHidden/>
              </w:rPr>
              <w:t>VII</w:t>
            </w:r>
            <w:r>
              <w:rPr>
                <w:noProof/>
                <w:webHidden/>
                <w:rtl/>
              </w:rPr>
              <w:fldChar w:fldCharType="end"/>
            </w:r>
          </w:hyperlink>
        </w:p>
        <w:p w14:paraId="1CE9D18A" w14:textId="276A8D73" w:rsidR="00B81DC8" w:rsidRDefault="00B81DC8" w:rsidP="00B81DC8">
          <w:pPr>
            <w:pStyle w:val="TOC1"/>
            <w:bidi w:val="0"/>
            <w:rPr>
              <w:rFonts w:eastAsiaTheme="minorEastAsia"/>
              <w:noProof/>
              <w:kern w:val="2"/>
              <w:sz w:val="24"/>
              <w:szCs w:val="24"/>
              <w:rtl/>
            </w:rPr>
          </w:pPr>
          <w:hyperlink w:anchor="_Toc237539693" w:history="1">
            <w:r w:rsidRPr="00A17556">
              <w:rPr>
                <w:rStyle w:val="Hyperlink"/>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Toc237539693 \h</w:instrText>
            </w:r>
            <w:r>
              <w:rPr>
                <w:noProof/>
                <w:webHidden/>
                <w:rtl/>
              </w:rPr>
              <w:instrText xml:space="preserve"> </w:instrText>
            </w:r>
            <w:r>
              <w:rPr>
                <w:noProof/>
                <w:webHidden/>
                <w:rtl/>
              </w:rPr>
            </w:r>
            <w:r>
              <w:rPr>
                <w:noProof/>
                <w:webHidden/>
                <w:rtl/>
              </w:rPr>
              <w:fldChar w:fldCharType="separate"/>
            </w:r>
            <w:r>
              <w:rPr>
                <w:noProof/>
                <w:webHidden/>
              </w:rPr>
              <w:t>IX</w:t>
            </w:r>
            <w:r>
              <w:rPr>
                <w:noProof/>
                <w:webHidden/>
                <w:rtl/>
              </w:rPr>
              <w:fldChar w:fldCharType="end"/>
            </w:r>
          </w:hyperlink>
        </w:p>
        <w:p w14:paraId="51184B63" w14:textId="3914D60D" w:rsidR="00B81DC8" w:rsidRDefault="00B81DC8" w:rsidP="00B81DC8">
          <w:pPr>
            <w:pStyle w:val="TOC1"/>
            <w:bidi w:val="0"/>
            <w:rPr>
              <w:rFonts w:eastAsiaTheme="minorEastAsia"/>
              <w:noProof/>
              <w:kern w:val="2"/>
              <w:sz w:val="24"/>
              <w:szCs w:val="24"/>
              <w:rtl/>
            </w:rPr>
          </w:pPr>
          <w:hyperlink w:anchor="_Toc237539694" w:history="1">
            <w:r w:rsidRPr="00A17556">
              <w:rPr>
                <w:rStyle w:val="Hyperlink"/>
                <w:noProof/>
              </w:rPr>
              <w:t>Table of Contents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Toc237539694 \h</w:instrText>
            </w:r>
            <w:r>
              <w:rPr>
                <w:noProof/>
                <w:webHidden/>
                <w:rtl/>
              </w:rPr>
              <w:instrText xml:space="preserve"> </w:instrText>
            </w:r>
            <w:r>
              <w:rPr>
                <w:noProof/>
                <w:webHidden/>
                <w:rtl/>
              </w:rPr>
            </w:r>
            <w:r>
              <w:rPr>
                <w:noProof/>
                <w:webHidden/>
                <w:rtl/>
              </w:rPr>
              <w:fldChar w:fldCharType="separate"/>
            </w:r>
            <w:r>
              <w:rPr>
                <w:noProof/>
                <w:webHidden/>
              </w:rPr>
              <w:t>XI</w:t>
            </w:r>
            <w:r>
              <w:rPr>
                <w:noProof/>
                <w:webHidden/>
                <w:rtl/>
              </w:rPr>
              <w:fldChar w:fldCharType="end"/>
            </w:r>
          </w:hyperlink>
        </w:p>
        <w:p w14:paraId="2C10EDE8" w14:textId="7B9550FA" w:rsidR="00B81DC8" w:rsidRDefault="00B81DC8" w:rsidP="00B81DC8">
          <w:pPr>
            <w:pStyle w:val="TOC1"/>
            <w:bidi w:val="0"/>
            <w:rPr>
              <w:rFonts w:eastAsiaTheme="minorEastAsia"/>
              <w:noProof/>
              <w:kern w:val="2"/>
              <w:sz w:val="24"/>
              <w:szCs w:val="24"/>
              <w:rtl/>
            </w:rPr>
          </w:pPr>
          <w:hyperlink w:anchor="_Toc237539695" w:history="1">
            <w:r w:rsidRPr="00A17556">
              <w:rPr>
                <w:rStyle w:val="Hyperlink"/>
                <w:noProof/>
              </w:rPr>
              <w:t>List of Tables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Toc237539695 \h</w:instrText>
            </w:r>
            <w:r>
              <w:rPr>
                <w:noProof/>
                <w:webHidden/>
                <w:rtl/>
              </w:rPr>
              <w:instrText xml:space="preserve"> </w:instrText>
            </w:r>
            <w:r>
              <w:rPr>
                <w:noProof/>
                <w:webHidden/>
                <w:rtl/>
              </w:rPr>
            </w:r>
            <w:r>
              <w:rPr>
                <w:noProof/>
                <w:webHidden/>
                <w:rtl/>
              </w:rPr>
              <w:fldChar w:fldCharType="separate"/>
            </w:r>
            <w:r>
              <w:rPr>
                <w:noProof/>
                <w:webHidden/>
              </w:rPr>
              <w:t>XV</w:t>
            </w:r>
            <w:r>
              <w:rPr>
                <w:noProof/>
                <w:webHidden/>
                <w:rtl/>
              </w:rPr>
              <w:fldChar w:fldCharType="end"/>
            </w:r>
          </w:hyperlink>
        </w:p>
        <w:p w14:paraId="2083A810" w14:textId="6E980014" w:rsidR="00B81DC8" w:rsidRDefault="00B81DC8" w:rsidP="00B81DC8">
          <w:pPr>
            <w:pStyle w:val="TOC1"/>
            <w:bidi w:val="0"/>
            <w:rPr>
              <w:rFonts w:eastAsiaTheme="minorEastAsia"/>
              <w:noProof/>
              <w:kern w:val="2"/>
              <w:sz w:val="24"/>
              <w:szCs w:val="24"/>
              <w:rtl/>
            </w:rPr>
          </w:pPr>
          <w:hyperlink w:anchor="_Toc237539696" w:history="1">
            <w:r w:rsidRPr="00A17556">
              <w:rPr>
                <w:rStyle w:val="Hyperlink"/>
                <w:noProof/>
              </w:rPr>
              <w:t>List of Figures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Toc237539696 \h</w:instrText>
            </w:r>
            <w:r>
              <w:rPr>
                <w:noProof/>
                <w:webHidden/>
                <w:rtl/>
              </w:rPr>
              <w:instrText xml:space="preserve"> </w:instrText>
            </w:r>
            <w:r>
              <w:rPr>
                <w:noProof/>
                <w:webHidden/>
                <w:rtl/>
              </w:rPr>
            </w:r>
            <w:r>
              <w:rPr>
                <w:noProof/>
                <w:webHidden/>
                <w:rtl/>
              </w:rPr>
              <w:fldChar w:fldCharType="separate"/>
            </w:r>
            <w:r>
              <w:rPr>
                <w:noProof/>
                <w:webHidden/>
              </w:rPr>
              <w:t>XVI</w:t>
            </w:r>
            <w:r>
              <w:rPr>
                <w:noProof/>
                <w:webHidden/>
                <w:rtl/>
              </w:rPr>
              <w:fldChar w:fldCharType="end"/>
            </w:r>
          </w:hyperlink>
        </w:p>
        <w:p w14:paraId="75D32BED" w14:textId="5C03DD11" w:rsidR="00B81DC8" w:rsidRDefault="00B81DC8" w:rsidP="00B81DC8">
          <w:pPr>
            <w:pStyle w:val="TOC1"/>
            <w:bidi w:val="0"/>
            <w:rPr>
              <w:rFonts w:eastAsiaTheme="minorEastAsia"/>
              <w:noProof/>
              <w:kern w:val="2"/>
              <w:sz w:val="24"/>
              <w:szCs w:val="24"/>
              <w:rtl/>
            </w:rPr>
          </w:pPr>
          <w:hyperlink w:anchor="_Toc237539697" w:history="1">
            <w:r w:rsidRPr="00A17556">
              <w:rPr>
                <w:rStyle w:val="Hyperlink"/>
                <w:noProof/>
              </w:rPr>
              <w:t>List of Abbreviations and Terminology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Toc237539697 \h</w:instrText>
            </w:r>
            <w:r>
              <w:rPr>
                <w:noProof/>
                <w:webHidden/>
                <w:rtl/>
              </w:rPr>
              <w:instrText xml:space="preserve"> </w:instrText>
            </w:r>
            <w:r>
              <w:rPr>
                <w:noProof/>
                <w:webHidden/>
                <w:rtl/>
              </w:rPr>
            </w:r>
            <w:r>
              <w:rPr>
                <w:noProof/>
                <w:webHidden/>
                <w:rtl/>
              </w:rPr>
              <w:fldChar w:fldCharType="separate"/>
            </w:r>
            <w:r>
              <w:rPr>
                <w:noProof/>
                <w:webHidden/>
              </w:rPr>
              <w:t>XVI</w:t>
            </w:r>
            <w:r>
              <w:rPr>
                <w:noProof/>
                <w:webHidden/>
                <w:rtl/>
              </w:rPr>
              <w:fldChar w:fldCharType="end"/>
            </w:r>
          </w:hyperlink>
        </w:p>
        <w:p w14:paraId="41491331" w14:textId="388FF4DF" w:rsidR="00B81DC8" w:rsidRDefault="00B81DC8" w:rsidP="00B81DC8">
          <w:pPr>
            <w:pStyle w:val="TOC2"/>
            <w:rPr>
              <w:rFonts w:eastAsiaTheme="minorEastAsia"/>
              <w:noProof/>
              <w:kern w:val="2"/>
              <w:sz w:val="24"/>
              <w:szCs w:val="24"/>
              <w:rtl/>
            </w:rPr>
          </w:pPr>
          <w:hyperlink w:anchor="_Toc237539698" w:history="1">
            <w:r w:rsidRPr="00A17556">
              <w:rPr>
                <w:rStyle w:val="Hyperlink"/>
                <w:noProof/>
              </w:rPr>
              <w:t>List of Abbreviations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Toc237539698 \h</w:instrText>
            </w:r>
            <w:r>
              <w:rPr>
                <w:noProof/>
                <w:webHidden/>
                <w:rtl/>
              </w:rPr>
              <w:instrText xml:space="preserve"> </w:instrText>
            </w:r>
            <w:r>
              <w:rPr>
                <w:noProof/>
                <w:webHidden/>
                <w:rtl/>
              </w:rPr>
            </w:r>
            <w:r>
              <w:rPr>
                <w:noProof/>
                <w:webHidden/>
                <w:rtl/>
              </w:rPr>
              <w:fldChar w:fldCharType="separate"/>
            </w:r>
            <w:r>
              <w:rPr>
                <w:noProof/>
                <w:webHidden/>
              </w:rPr>
              <w:t>XVI</w:t>
            </w:r>
            <w:r>
              <w:rPr>
                <w:noProof/>
                <w:webHidden/>
                <w:rtl/>
              </w:rPr>
              <w:fldChar w:fldCharType="end"/>
            </w:r>
          </w:hyperlink>
        </w:p>
        <w:p w14:paraId="2B720E73" w14:textId="13A3B75D" w:rsidR="00B81DC8" w:rsidRDefault="00B81DC8" w:rsidP="00B81DC8">
          <w:pPr>
            <w:pStyle w:val="TOC2"/>
            <w:rPr>
              <w:rFonts w:eastAsiaTheme="minorEastAsia"/>
              <w:noProof/>
              <w:kern w:val="2"/>
              <w:sz w:val="24"/>
              <w:szCs w:val="24"/>
              <w:rtl/>
            </w:rPr>
          </w:pPr>
          <w:hyperlink w:anchor="_Toc237539699" w:history="1">
            <w:r w:rsidRPr="00A17556">
              <w:rPr>
                <w:rStyle w:val="Hyperlink"/>
                <w:noProof/>
              </w:rPr>
              <w:t>List of Terminology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Toc237539699 \h</w:instrText>
            </w:r>
            <w:r>
              <w:rPr>
                <w:noProof/>
                <w:webHidden/>
                <w:rtl/>
              </w:rPr>
              <w:instrText xml:space="preserve"> </w:instrText>
            </w:r>
            <w:r>
              <w:rPr>
                <w:noProof/>
                <w:webHidden/>
                <w:rtl/>
              </w:rPr>
            </w:r>
            <w:r>
              <w:rPr>
                <w:noProof/>
                <w:webHidden/>
                <w:rtl/>
              </w:rPr>
              <w:fldChar w:fldCharType="separate"/>
            </w:r>
            <w:r>
              <w:rPr>
                <w:noProof/>
                <w:webHidden/>
              </w:rPr>
              <w:t>XVIII</w:t>
            </w:r>
            <w:r>
              <w:rPr>
                <w:noProof/>
                <w:webHidden/>
                <w:rtl/>
              </w:rPr>
              <w:fldChar w:fldCharType="end"/>
            </w:r>
          </w:hyperlink>
        </w:p>
        <w:p w14:paraId="51A12ED6" w14:textId="3C9E4ADD" w:rsidR="00B81DC8" w:rsidRDefault="00B81DC8" w:rsidP="00B81DC8">
          <w:pPr>
            <w:pStyle w:val="TOC1"/>
            <w:bidi w:val="0"/>
            <w:rPr>
              <w:rFonts w:eastAsiaTheme="minorEastAsia"/>
              <w:noProof/>
              <w:kern w:val="2"/>
              <w:sz w:val="24"/>
              <w:szCs w:val="24"/>
              <w:rtl/>
            </w:rPr>
          </w:pPr>
          <w:hyperlink w:anchor="_Toc237539700" w:history="1">
            <w:r w:rsidRPr="00A17556">
              <w:rPr>
                <w:rStyle w:val="Hyperlink"/>
                <w:rFonts w:ascii="Simplified Arabic" w:eastAsiaTheme="majorEastAsia" w:hAnsi="Simplified Arabic" w:cstheme="majorBidi"/>
                <w:b/>
                <w:noProof/>
              </w:rPr>
              <w:t>CHAPTER 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2F8EB883" w14:textId="771D3F33" w:rsidR="00B81DC8" w:rsidRDefault="00B81DC8" w:rsidP="00B81DC8">
          <w:pPr>
            <w:pStyle w:val="TOC2"/>
            <w:rPr>
              <w:rFonts w:eastAsiaTheme="minorEastAsia"/>
              <w:noProof/>
              <w:kern w:val="2"/>
              <w:sz w:val="24"/>
              <w:szCs w:val="24"/>
              <w:rtl/>
            </w:rPr>
          </w:pPr>
          <w:hyperlink w:anchor="_Toc237539701" w:history="1">
            <w:r w:rsidRPr="00A17556">
              <w:rPr>
                <w:rStyle w:val="Hyperlink"/>
                <w:noProof/>
              </w:rPr>
              <w:t>1.1. Research Foundation and Problem Refinement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Toc237539701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1493B3B" w14:textId="21A1F570" w:rsidR="00B81DC8" w:rsidRDefault="00B81DC8" w:rsidP="00B81DC8">
          <w:pPr>
            <w:pStyle w:val="TOC3"/>
            <w:tabs>
              <w:tab w:val="right" w:leader="dot" w:pos="10196"/>
            </w:tabs>
            <w:bidi w:val="0"/>
            <w:rPr>
              <w:rFonts w:eastAsiaTheme="minorEastAsia"/>
              <w:noProof/>
              <w:kern w:val="2"/>
              <w:sz w:val="24"/>
              <w:szCs w:val="24"/>
              <w:rtl/>
            </w:rPr>
          </w:pPr>
          <w:hyperlink w:anchor="_Toc237539702" w:history="1">
            <w:r w:rsidRPr="00A17556">
              <w:rPr>
                <w:rStyle w:val="Hyperlink"/>
                <w:noProof/>
              </w:rPr>
              <w:t>1.1.1</w:t>
            </w:r>
            <w:r w:rsidRPr="00A17556">
              <w:rPr>
                <w:rStyle w:val="Hyperlink"/>
                <w:rFonts w:cs="Arial"/>
                <w:noProof/>
                <w:rtl/>
              </w:rPr>
              <w:t xml:space="preserve"> </w:t>
            </w:r>
            <w:r w:rsidRPr="00A17556">
              <w:rPr>
                <w:rStyle w:val="Hyperlink"/>
                <w:noProof/>
              </w:rPr>
              <w:t>Background and Institutional Context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4171FE68" w14:textId="1BE212EC" w:rsidR="00B81DC8" w:rsidRDefault="00B81DC8" w:rsidP="00B81DC8">
          <w:pPr>
            <w:pStyle w:val="TOC3"/>
            <w:tabs>
              <w:tab w:val="right" w:leader="dot" w:pos="10196"/>
            </w:tabs>
            <w:bidi w:val="0"/>
            <w:rPr>
              <w:rFonts w:eastAsiaTheme="minorEastAsia"/>
              <w:noProof/>
              <w:kern w:val="2"/>
              <w:sz w:val="24"/>
              <w:szCs w:val="24"/>
              <w:rtl/>
            </w:rPr>
          </w:pPr>
          <w:hyperlink w:anchor="_Toc237539703" w:history="1">
            <w:r w:rsidRPr="00A17556">
              <w:rPr>
                <w:rStyle w:val="Hyperlink"/>
                <w:noProof/>
              </w:rPr>
              <w:t>1.1.2</w:t>
            </w:r>
            <w:r w:rsidRPr="00A17556">
              <w:rPr>
                <w:rStyle w:val="Hyperlink"/>
                <w:rFonts w:cs="Arial"/>
                <w:noProof/>
                <w:rtl/>
              </w:rPr>
              <w:t xml:space="preserve"> </w:t>
            </w:r>
            <w:r w:rsidRPr="00A17556">
              <w:rPr>
                <w:rStyle w:val="Hyperlink"/>
                <w:noProof/>
              </w:rPr>
              <w:t>Problem Statement: The Risk Maturity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D39A98E" w14:textId="58FD8B3A" w:rsidR="00B81DC8" w:rsidRDefault="00B81DC8" w:rsidP="00B81DC8">
          <w:pPr>
            <w:pStyle w:val="TOC3"/>
            <w:tabs>
              <w:tab w:val="right" w:leader="dot" w:pos="10196"/>
            </w:tabs>
            <w:bidi w:val="0"/>
            <w:rPr>
              <w:rFonts w:eastAsiaTheme="minorEastAsia"/>
              <w:noProof/>
              <w:kern w:val="2"/>
              <w:sz w:val="24"/>
              <w:szCs w:val="24"/>
              <w:rtl/>
            </w:rPr>
          </w:pPr>
          <w:hyperlink w:anchor="_Toc237539704" w:history="1">
            <w:r w:rsidRPr="00A17556">
              <w:rPr>
                <w:rStyle w:val="Hyperlink"/>
                <w:noProof/>
              </w:rPr>
              <w:t>1.1.3</w:t>
            </w:r>
            <w:r w:rsidRPr="00A17556">
              <w:rPr>
                <w:rStyle w:val="Hyperlink"/>
                <w:rFonts w:cs="Arial"/>
                <w:noProof/>
                <w:rtl/>
              </w:rPr>
              <w:t xml:space="preserve"> </w:t>
            </w:r>
            <w:r w:rsidRPr="00A17556">
              <w:rPr>
                <w:rStyle w:val="Hyperlink"/>
                <w:noProof/>
              </w:rPr>
              <w:t>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82A9B41" w14:textId="68FC1822" w:rsidR="00B81DC8" w:rsidRDefault="00B81DC8" w:rsidP="00B81DC8">
          <w:pPr>
            <w:pStyle w:val="TOC3"/>
            <w:tabs>
              <w:tab w:val="right" w:leader="dot" w:pos="10196"/>
            </w:tabs>
            <w:bidi w:val="0"/>
            <w:rPr>
              <w:rFonts w:eastAsiaTheme="minorEastAsia"/>
              <w:noProof/>
              <w:kern w:val="2"/>
              <w:sz w:val="24"/>
              <w:szCs w:val="24"/>
              <w:rtl/>
            </w:rPr>
          </w:pPr>
          <w:hyperlink w:anchor="_Toc237539705" w:history="1">
            <w:r w:rsidRPr="00A17556">
              <w:rPr>
                <w:rStyle w:val="Hyperlink"/>
                <w:noProof/>
              </w:rPr>
              <w:t>1.1.4</w:t>
            </w:r>
            <w:r w:rsidRPr="00A17556">
              <w:rPr>
                <w:rStyle w:val="Hyperlink"/>
                <w:rFonts w:cs="Arial"/>
                <w:noProof/>
                <w:rtl/>
              </w:rPr>
              <w:t xml:space="preserve"> </w:t>
            </w:r>
            <w:r w:rsidRPr="00A17556">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592F151" w14:textId="103FB38D" w:rsidR="00B81DC8" w:rsidRDefault="00B81DC8" w:rsidP="00B81DC8">
          <w:pPr>
            <w:pStyle w:val="TOC3"/>
            <w:tabs>
              <w:tab w:val="right" w:leader="dot" w:pos="10196"/>
            </w:tabs>
            <w:bidi w:val="0"/>
            <w:rPr>
              <w:rFonts w:eastAsiaTheme="minorEastAsia"/>
              <w:noProof/>
              <w:kern w:val="2"/>
              <w:sz w:val="24"/>
              <w:szCs w:val="24"/>
              <w:rtl/>
            </w:rPr>
          </w:pPr>
          <w:hyperlink w:anchor="_Toc237539706" w:history="1">
            <w:r w:rsidRPr="00A17556">
              <w:rPr>
                <w:rStyle w:val="Hyperlink"/>
                <w:noProof/>
              </w:rPr>
              <w:t>1.1.5</w:t>
            </w:r>
            <w:r w:rsidRPr="00A17556">
              <w:rPr>
                <w:rStyle w:val="Hyperlink"/>
                <w:rFonts w:cs="Arial"/>
                <w:noProof/>
                <w:rtl/>
              </w:rPr>
              <w:t xml:space="preserve"> </w:t>
            </w:r>
            <w:r w:rsidRPr="00A17556">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1408F10" w14:textId="52BDCC11" w:rsidR="00B81DC8" w:rsidRDefault="00B81DC8" w:rsidP="00B81DC8">
          <w:pPr>
            <w:pStyle w:val="TOC3"/>
            <w:tabs>
              <w:tab w:val="right" w:leader="dot" w:pos="10196"/>
            </w:tabs>
            <w:bidi w:val="0"/>
            <w:rPr>
              <w:rFonts w:eastAsiaTheme="minorEastAsia"/>
              <w:noProof/>
              <w:kern w:val="2"/>
              <w:sz w:val="24"/>
              <w:szCs w:val="24"/>
              <w:rtl/>
            </w:rPr>
          </w:pPr>
          <w:hyperlink w:anchor="_Toc237539707" w:history="1">
            <w:r w:rsidRPr="00A17556">
              <w:rPr>
                <w:rStyle w:val="Hyperlink"/>
                <w:noProof/>
              </w:rPr>
              <w:t>1.1.6</w:t>
            </w:r>
            <w:r w:rsidRPr="00A17556">
              <w:rPr>
                <w:rStyle w:val="Hyperlink"/>
                <w:rFonts w:cs="Arial"/>
                <w:noProof/>
                <w:rtl/>
              </w:rPr>
              <w:t xml:space="preserve"> </w:t>
            </w:r>
            <w:r w:rsidRPr="00A17556">
              <w:rPr>
                <w:rStyle w:val="Hyperlink"/>
                <w:noProof/>
              </w:rPr>
              <w:t>Methodological Positioning, Scope, and Boundaries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Toc237539707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4BD1C1A" w14:textId="072AB9EF" w:rsidR="00B81DC8" w:rsidRDefault="00B81DC8" w:rsidP="00B81DC8">
          <w:pPr>
            <w:pStyle w:val="TOC1"/>
            <w:bidi w:val="0"/>
            <w:rPr>
              <w:rFonts w:eastAsiaTheme="minorEastAsia"/>
              <w:noProof/>
              <w:kern w:val="2"/>
              <w:sz w:val="24"/>
              <w:szCs w:val="24"/>
              <w:rtl/>
            </w:rPr>
          </w:pPr>
          <w:hyperlink w:anchor="_Toc237539708" w:history="1">
            <w:r w:rsidRPr="00A17556">
              <w:rPr>
                <w:rStyle w:val="Hyperlink"/>
                <w:rFonts w:ascii="Simplified Arabic" w:eastAsiaTheme="majorEastAsia" w:hAnsi="Simplified Arabic" w:cstheme="majorBidi"/>
                <w:b/>
                <w:noProof/>
              </w:rPr>
              <w:t>CHAPTER 2: LITERATURE REVIEW &amp; THEORETICAL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5EBC946" w14:textId="62118967" w:rsidR="00B81DC8" w:rsidRDefault="00B81DC8" w:rsidP="00B81DC8">
          <w:pPr>
            <w:pStyle w:val="TOC2"/>
            <w:rPr>
              <w:rFonts w:eastAsiaTheme="minorEastAsia"/>
              <w:noProof/>
              <w:kern w:val="2"/>
              <w:sz w:val="24"/>
              <w:szCs w:val="24"/>
              <w:rtl/>
            </w:rPr>
          </w:pPr>
          <w:hyperlink w:anchor="_Toc237539709" w:history="1">
            <w:r w:rsidRPr="00A17556">
              <w:rPr>
                <w:rStyle w:val="Hyperlink"/>
                <w:rFonts w:ascii="Simplified Arabic" w:eastAsiaTheme="majorEastAsia" w:hAnsi="Simplified Arabic" w:cstheme="majorBidi"/>
                <w:b/>
                <w:noProof/>
              </w:rPr>
              <w:t>2.1 Review Approach and Thematic Organization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Toc237539709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1952768" w14:textId="4FF48D75" w:rsidR="00B81DC8" w:rsidRDefault="00B81DC8" w:rsidP="00B81DC8">
          <w:pPr>
            <w:pStyle w:val="TOC2"/>
            <w:rPr>
              <w:rFonts w:eastAsiaTheme="minorEastAsia"/>
              <w:noProof/>
              <w:kern w:val="2"/>
              <w:sz w:val="24"/>
              <w:szCs w:val="24"/>
              <w:rtl/>
            </w:rPr>
          </w:pPr>
          <w:hyperlink w:anchor="_Toc237539710" w:history="1">
            <w:r w:rsidRPr="00A17556">
              <w:rPr>
                <w:rStyle w:val="Hyperlink"/>
                <w:rFonts w:ascii="Simplified Arabic" w:eastAsiaTheme="majorEastAsia" w:hAnsi="Simplified Arabic" w:cstheme="majorBidi"/>
                <w:b/>
                <w:noProof/>
              </w:rPr>
              <w:t>2.2 Inventory Management in Educational and University Laboratories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2159FFB" w14:textId="009FB00E" w:rsidR="00B81DC8" w:rsidRDefault="00B81DC8" w:rsidP="00B81DC8">
          <w:pPr>
            <w:pStyle w:val="TOC3"/>
            <w:tabs>
              <w:tab w:val="right" w:leader="dot" w:pos="10196"/>
            </w:tabs>
            <w:bidi w:val="0"/>
            <w:rPr>
              <w:rFonts w:eastAsiaTheme="minorEastAsia"/>
              <w:noProof/>
              <w:kern w:val="2"/>
              <w:sz w:val="24"/>
              <w:szCs w:val="24"/>
              <w:rtl/>
            </w:rPr>
          </w:pPr>
          <w:hyperlink w:anchor="_Toc237539711" w:history="1">
            <w:r w:rsidRPr="00A17556">
              <w:rPr>
                <w:rStyle w:val="Hyperlink"/>
                <w:rFonts w:ascii="Simplified Arabic" w:eastAsiaTheme="majorEastAsia" w:hAnsi="Simplified Arabic" w:cstheme="majorBidi"/>
                <w:noProof/>
              </w:rPr>
              <w:t>2.2.1 Trajectory: from operational afterthought to managerial object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2A71E39" w14:textId="53A8B728" w:rsidR="00B81DC8" w:rsidRDefault="00B81DC8" w:rsidP="00B81DC8">
          <w:pPr>
            <w:pStyle w:val="TOC3"/>
            <w:tabs>
              <w:tab w:val="right" w:leader="dot" w:pos="10196"/>
            </w:tabs>
            <w:bidi w:val="0"/>
            <w:rPr>
              <w:rFonts w:eastAsiaTheme="minorEastAsia"/>
              <w:noProof/>
              <w:kern w:val="2"/>
              <w:sz w:val="24"/>
              <w:szCs w:val="24"/>
              <w:rtl/>
            </w:rPr>
          </w:pPr>
          <w:hyperlink w:anchor="_Toc237539712" w:history="1">
            <w:r w:rsidRPr="00A17556">
              <w:rPr>
                <w:rStyle w:val="Hyperlink"/>
                <w:rFonts w:ascii="Simplified Arabic" w:eastAsiaTheme="majorEastAsia" w:hAnsi="Simplified Arabic" w:cstheme="majorBidi"/>
                <w:noProof/>
              </w:rPr>
              <w:t>2.2.2 Key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03F59D5" w14:textId="07F31E7E" w:rsidR="00B81DC8" w:rsidRDefault="00B81DC8" w:rsidP="00B81DC8">
          <w:pPr>
            <w:pStyle w:val="TOC3"/>
            <w:tabs>
              <w:tab w:val="right" w:leader="dot" w:pos="10196"/>
            </w:tabs>
            <w:bidi w:val="0"/>
            <w:rPr>
              <w:rFonts w:eastAsiaTheme="minorEastAsia"/>
              <w:noProof/>
              <w:kern w:val="2"/>
              <w:sz w:val="24"/>
              <w:szCs w:val="24"/>
              <w:rtl/>
            </w:rPr>
          </w:pPr>
          <w:hyperlink w:anchor="_Toc237539713" w:history="1">
            <w:r w:rsidRPr="00A17556">
              <w:rPr>
                <w:rStyle w:val="Hyperlink"/>
                <w:rFonts w:ascii="Simplified Arabic" w:eastAsiaTheme="majorEastAsia" w:hAnsi="Simplified Arabic" w:cstheme="majorBidi"/>
                <w:noProof/>
              </w:rPr>
              <w:t>2.2.3 Limitation for the present purpose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9661426" w14:textId="422C1E21" w:rsidR="00B81DC8" w:rsidRDefault="00B81DC8" w:rsidP="00B81DC8">
          <w:pPr>
            <w:pStyle w:val="TOC2"/>
            <w:rPr>
              <w:rFonts w:eastAsiaTheme="minorEastAsia"/>
              <w:noProof/>
              <w:kern w:val="2"/>
              <w:sz w:val="24"/>
              <w:szCs w:val="24"/>
              <w:rtl/>
            </w:rPr>
          </w:pPr>
          <w:hyperlink w:anchor="_Toc237539714" w:history="1">
            <w:r w:rsidRPr="00A17556">
              <w:rPr>
                <w:rStyle w:val="Hyperlink"/>
                <w:rFonts w:ascii="Simplified Arabic" w:eastAsiaTheme="majorEastAsia" w:hAnsi="Simplified Arabic" w:cstheme="majorBidi"/>
                <w:b/>
                <w:noProof/>
              </w:rPr>
              <w:t>2.3 Participatory and Resource-Sharing Models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C1FD27E" w14:textId="7E639A1D" w:rsidR="00B81DC8" w:rsidRDefault="00B81DC8" w:rsidP="00B81DC8">
          <w:pPr>
            <w:pStyle w:val="TOC3"/>
            <w:tabs>
              <w:tab w:val="right" w:leader="dot" w:pos="10196"/>
            </w:tabs>
            <w:bidi w:val="0"/>
            <w:rPr>
              <w:rFonts w:eastAsiaTheme="minorEastAsia"/>
              <w:noProof/>
              <w:kern w:val="2"/>
              <w:sz w:val="24"/>
              <w:szCs w:val="24"/>
              <w:rtl/>
            </w:rPr>
          </w:pPr>
          <w:hyperlink w:anchor="_Toc237539715" w:history="1">
            <w:r w:rsidRPr="00A17556">
              <w:rPr>
                <w:rStyle w:val="Hyperlink"/>
                <w:rFonts w:ascii="Simplified Arabic" w:eastAsiaTheme="majorEastAsia" w:hAnsi="Simplified Arabic" w:cstheme="majorBidi"/>
                <w:noProof/>
              </w:rPr>
              <w:t>2.3.1 Trajectory: from co-location to governed access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BDAF9B3" w14:textId="2EA583D2" w:rsidR="00B81DC8" w:rsidRDefault="00B81DC8" w:rsidP="00B81DC8">
          <w:pPr>
            <w:pStyle w:val="TOC3"/>
            <w:tabs>
              <w:tab w:val="right" w:leader="dot" w:pos="10196"/>
            </w:tabs>
            <w:bidi w:val="0"/>
            <w:rPr>
              <w:rFonts w:eastAsiaTheme="minorEastAsia"/>
              <w:noProof/>
              <w:kern w:val="2"/>
              <w:sz w:val="24"/>
              <w:szCs w:val="24"/>
              <w:rtl/>
            </w:rPr>
          </w:pPr>
          <w:hyperlink w:anchor="_Toc237539716" w:history="1">
            <w:r w:rsidRPr="00A17556">
              <w:rPr>
                <w:rStyle w:val="Hyperlink"/>
                <w:rFonts w:ascii="Simplified Arabic" w:eastAsiaTheme="majorEastAsia" w:hAnsi="Simplified Arabic" w:cstheme="majorBidi"/>
                <w:noProof/>
              </w:rPr>
              <w:t>2.3.2 Key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AAA1E46" w14:textId="1D22073D" w:rsidR="00B81DC8" w:rsidRDefault="00B81DC8" w:rsidP="00B81DC8">
          <w:pPr>
            <w:pStyle w:val="TOC3"/>
            <w:tabs>
              <w:tab w:val="right" w:leader="dot" w:pos="10196"/>
            </w:tabs>
            <w:bidi w:val="0"/>
            <w:rPr>
              <w:rFonts w:eastAsiaTheme="minorEastAsia"/>
              <w:noProof/>
              <w:kern w:val="2"/>
              <w:sz w:val="24"/>
              <w:szCs w:val="24"/>
              <w:rtl/>
            </w:rPr>
          </w:pPr>
          <w:hyperlink w:anchor="_Toc237539717" w:history="1">
            <w:r w:rsidRPr="00A17556">
              <w:rPr>
                <w:rStyle w:val="Hyperlink"/>
                <w:rFonts w:ascii="Simplified Arabic" w:eastAsiaTheme="majorEastAsia" w:hAnsi="Simplified Arabic" w:cstheme="majorBidi"/>
                <w:noProof/>
              </w:rPr>
              <w:t>2.3.3 Limitation for the present purpose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B581987" w14:textId="6C840379" w:rsidR="00B81DC8" w:rsidRDefault="00B81DC8" w:rsidP="00B81DC8">
          <w:pPr>
            <w:pStyle w:val="TOC2"/>
            <w:rPr>
              <w:rFonts w:eastAsiaTheme="minorEastAsia"/>
              <w:noProof/>
              <w:kern w:val="2"/>
              <w:sz w:val="24"/>
              <w:szCs w:val="24"/>
              <w:rtl/>
            </w:rPr>
          </w:pPr>
          <w:hyperlink w:anchor="_Toc237539718" w:history="1">
            <w:r w:rsidRPr="00A17556">
              <w:rPr>
                <w:rStyle w:val="Hyperlink"/>
                <w:rFonts w:ascii="Simplified Arabic" w:eastAsiaTheme="majorEastAsia" w:hAnsi="Simplified Arabic" w:cstheme="majorBidi"/>
                <w:b/>
                <w:noProof/>
              </w:rPr>
              <w:t>2.4 Circular Economy, Green Procurement, and Sustainability in Higher Education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DD82F6D" w14:textId="7920E4AC" w:rsidR="00B81DC8" w:rsidRDefault="00B81DC8" w:rsidP="00B81DC8">
          <w:pPr>
            <w:pStyle w:val="TOC3"/>
            <w:tabs>
              <w:tab w:val="right" w:leader="dot" w:pos="10196"/>
            </w:tabs>
            <w:bidi w:val="0"/>
            <w:rPr>
              <w:rFonts w:eastAsiaTheme="minorEastAsia"/>
              <w:noProof/>
              <w:kern w:val="2"/>
              <w:sz w:val="24"/>
              <w:szCs w:val="24"/>
              <w:rtl/>
            </w:rPr>
          </w:pPr>
          <w:hyperlink w:anchor="_Toc237539719" w:history="1">
            <w:r w:rsidRPr="00A17556">
              <w:rPr>
                <w:rStyle w:val="Hyperlink"/>
                <w:rFonts w:ascii="Simplified Arabic" w:eastAsiaTheme="majorEastAsia" w:hAnsi="Simplified Arabic" w:cstheme="majorBidi"/>
                <w:noProof/>
              </w:rPr>
              <w:t>2.4.1 Trajectory: from industrial ecology metaphor to campus operating logic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Toc237539719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9A04B34" w14:textId="3943BE33" w:rsidR="00B81DC8" w:rsidRDefault="00B81DC8" w:rsidP="00B81DC8">
          <w:pPr>
            <w:pStyle w:val="TOC3"/>
            <w:tabs>
              <w:tab w:val="right" w:leader="dot" w:pos="10196"/>
            </w:tabs>
            <w:bidi w:val="0"/>
            <w:rPr>
              <w:rFonts w:eastAsiaTheme="minorEastAsia"/>
              <w:noProof/>
              <w:kern w:val="2"/>
              <w:sz w:val="24"/>
              <w:szCs w:val="24"/>
              <w:rtl/>
            </w:rPr>
          </w:pPr>
          <w:hyperlink w:anchor="_Toc237539720" w:history="1">
            <w:r w:rsidRPr="00A17556">
              <w:rPr>
                <w:rStyle w:val="Hyperlink"/>
                <w:rFonts w:ascii="Simplified Arabic" w:eastAsiaTheme="majorEastAsia" w:hAnsi="Simplified Arabic" w:cstheme="majorBidi"/>
                <w:noProof/>
              </w:rPr>
              <w:t>2.4.2 Key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571E53B" w14:textId="362FED69" w:rsidR="00B81DC8" w:rsidRDefault="00B81DC8" w:rsidP="00B81DC8">
          <w:pPr>
            <w:pStyle w:val="TOC3"/>
            <w:tabs>
              <w:tab w:val="right" w:leader="dot" w:pos="10196"/>
            </w:tabs>
            <w:bidi w:val="0"/>
            <w:rPr>
              <w:rFonts w:eastAsiaTheme="minorEastAsia"/>
              <w:noProof/>
              <w:kern w:val="2"/>
              <w:sz w:val="24"/>
              <w:szCs w:val="24"/>
              <w:rtl/>
            </w:rPr>
          </w:pPr>
          <w:hyperlink w:anchor="_Toc237539721" w:history="1">
            <w:r w:rsidRPr="00A17556">
              <w:rPr>
                <w:rStyle w:val="Hyperlink"/>
                <w:rFonts w:ascii="Simplified Arabic" w:eastAsiaTheme="majorEastAsia" w:hAnsi="Simplified Arabic" w:cstheme="majorBidi"/>
                <w:noProof/>
              </w:rPr>
              <w:t>2.4.3 Limitation for the present purpose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D73CC04" w14:textId="71026599" w:rsidR="00B81DC8" w:rsidRDefault="00B81DC8" w:rsidP="00B81DC8">
          <w:pPr>
            <w:pStyle w:val="TOC2"/>
            <w:rPr>
              <w:rFonts w:eastAsiaTheme="minorEastAsia"/>
              <w:noProof/>
              <w:kern w:val="2"/>
              <w:sz w:val="24"/>
              <w:szCs w:val="24"/>
              <w:rtl/>
            </w:rPr>
          </w:pPr>
          <w:hyperlink w:anchor="_Toc237539722" w:history="1">
            <w:r w:rsidRPr="00A17556">
              <w:rPr>
                <w:rStyle w:val="Hyperlink"/>
                <w:rFonts w:ascii="Simplified Arabic" w:eastAsiaTheme="majorEastAsia" w:hAnsi="Simplified Arabic" w:cstheme="majorBidi"/>
                <w:b/>
                <w:noProof/>
              </w:rPr>
              <w:t>2.5 Organizational Readiness, Digital Transformation, and Change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E66AF83" w14:textId="26489D3C" w:rsidR="00B81DC8" w:rsidRDefault="00B81DC8" w:rsidP="00B81DC8">
          <w:pPr>
            <w:pStyle w:val="TOC3"/>
            <w:tabs>
              <w:tab w:val="right" w:leader="dot" w:pos="10196"/>
            </w:tabs>
            <w:bidi w:val="0"/>
            <w:rPr>
              <w:rFonts w:eastAsiaTheme="minorEastAsia"/>
              <w:noProof/>
              <w:kern w:val="2"/>
              <w:sz w:val="24"/>
              <w:szCs w:val="24"/>
              <w:rtl/>
            </w:rPr>
          </w:pPr>
          <w:hyperlink w:anchor="_Toc237539723" w:history="1">
            <w:r w:rsidRPr="00A17556">
              <w:rPr>
                <w:rStyle w:val="Hyperlink"/>
                <w:rFonts w:ascii="Simplified Arabic" w:eastAsiaTheme="majorEastAsia" w:hAnsi="Simplified Arabic" w:cstheme="majorBidi"/>
                <w:noProof/>
              </w:rPr>
              <w:t>2.5.1 Trajectory: from technology adoption to readiness-first transformation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4680A62" w14:textId="7B471D46" w:rsidR="00B81DC8" w:rsidRDefault="00B81DC8" w:rsidP="00B81DC8">
          <w:pPr>
            <w:pStyle w:val="TOC3"/>
            <w:tabs>
              <w:tab w:val="right" w:leader="dot" w:pos="10196"/>
            </w:tabs>
            <w:bidi w:val="0"/>
            <w:rPr>
              <w:rFonts w:eastAsiaTheme="minorEastAsia"/>
              <w:noProof/>
              <w:kern w:val="2"/>
              <w:sz w:val="24"/>
              <w:szCs w:val="24"/>
              <w:rtl/>
            </w:rPr>
          </w:pPr>
          <w:hyperlink w:anchor="_Toc237539724" w:history="1">
            <w:r w:rsidRPr="00A17556">
              <w:rPr>
                <w:rStyle w:val="Hyperlink"/>
                <w:rFonts w:ascii="Simplified Arabic" w:eastAsiaTheme="majorEastAsia" w:hAnsi="Simplified Arabic" w:cstheme="majorBidi"/>
                <w:noProof/>
              </w:rPr>
              <w:t>2.5.2 Key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6632A9E" w14:textId="5ED05748" w:rsidR="00B81DC8" w:rsidRDefault="00B81DC8" w:rsidP="00B81DC8">
          <w:pPr>
            <w:pStyle w:val="TOC3"/>
            <w:tabs>
              <w:tab w:val="right" w:leader="dot" w:pos="10196"/>
            </w:tabs>
            <w:bidi w:val="0"/>
            <w:rPr>
              <w:rFonts w:eastAsiaTheme="minorEastAsia"/>
              <w:noProof/>
              <w:kern w:val="2"/>
              <w:sz w:val="24"/>
              <w:szCs w:val="24"/>
              <w:rtl/>
            </w:rPr>
          </w:pPr>
          <w:hyperlink w:anchor="_Toc237539725" w:history="1">
            <w:r w:rsidRPr="00A17556">
              <w:rPr>
                <w:rStyle w:val="Hyperlink"/>
                <w:rFonts w:ascii="Simplified Arabic" w:eastAsiaTheme="majorEastAsia" w:hAnsi="Simplified Arabic" w:cstheme="majorBidi"/>
                <w:noProof/>
              </w:rPr>
              <w:t>2.5.3 Limitation for the present purpose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566C125" w14:textId="2311E88C" w:rsidR="00B81DC8" w:rsidRDefault="00B81DC8" w:rsidP="00B81DC8">
          <w:pPr>
            <w:pStyle w:val="TOC2"/>
            <w:rPr>
              <w:rFonts w:eastAsiaTheme="minorEastAsia"/>
              <w:noProof/>
              <w:kern w:val="2"/>
              <w:sz w:val="24"/>
              <w:szCs w:val="24"/>
              <w:rtl/>
            </w:rPr>
          </w:pPr>
          <w:hyperlink w:anchor="_Toc237539726" w:history="1">
            <w:r w:rsidRPr="00A17556">
              <w:rPr>
                <w:rStyle w:val="Hyperlink"/>
                <w:rFonts w:ascii="Simplified Arabic" w:eastAsiaTheme="majorEastAsia" w:hAnsi="Simplified Arabic" w:cstheme="majorBidi"/>
                <w:b/>
                <w:noProof/>
              </w:rPr>
              <w:t>2.6 Risk and Continuity Frameworks in Literature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20C88CD" w14:textId="5318E987" w:rsidR="00B81DC8" w:rsidRDefault="00B81DC8" w:rsidP="00B81DC8">
          <w:pPr>
            <w:pStyle w:val="TOC3"/>
            <w:tabs>
              <w:tab w:val="right" w:leader="dot" w:pos="10196"/>
            </w:tabs>
            <w:bidi w:val="0"/>
            <w:rPr>
              <w:rFonts w:eastAsiaTheme="minorEastAsia"/>
              <w:noProof/>
              <w:kern w:val="2"/>
              <w:sz w:val="24"/>
              <w:szCs w:val="24"/>
              <w:rtl/>
            </w:rPr>
          </w:pPr>
          <w:hyperlink w:anchor="_Toc237539727" w:history="1">
            <w:r w:rsidRPr="00A17556">
              <w:rPr>
                <w:rStyle w:val="Hyperlink"/>
                <w:rFonts w:ascii="Simplified Arabic" w:eastAsiaTheme="majorEastAsia" w:hAnsi="Simplified Arabic" w:cstheme="majorBidi"/>
                <w:noProof/>
              </w:rPr>
              <w:t>2.6.1 Trajectory: from technique inventories to governance instruments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5E8EA94" w14:textId="5C4587A1" w:rsidR="00B81DC8" w:rsidRDefault="00B81DC8" w:rsidP="00B81DC8">
          <w:pPr>
            <w:pStyle w:val="TOC3"/>
            <w:tabs>
              <w:tab w:val="right" w:leader="dot" w:pos="10196"/>
            </w:tabs>
            <w:bidi w:val="0"/>
            <w:rPr>
              <w:rFonts w:eastAsiaTheme="minorEastAsia"/>
              <w:noProof/>
              <w:kern w:val="2"/>
              <w:sz w:val="24"/>
              <w:szCs w:val="24"/>
              <w:rtl/>
            </w:rPr>
          </w:pPr>
          <w:hyperlink w:anchor="_Toc237539728" w:history="1">
            <w:r w:rsidRPr="00A17556">
              <w:rPr>
                <w:rStyle w:val="Hyperlink"/>
                <w:rFonts w:ascii="Simplified Arabic" w:eastAsiaTheme="majorEastAsia" w:hAnsi="Simplified Arabic" w:cstheme="majorBidi"/>
                <w:noProof/>
              </w:rPr>
              <w:t>2.6.2 Key studies and standards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37BFBE4" w14:textId="7530F5D2" w:rsidR="00B81DC8" w:rsidRDefault="00B81DC8" w:rsidP="00B81DC8">
          <w:pPr>
            <w:pStyle w:val="TOC2"/>
            <w:rPr>
              <w:rFonts w:eastAsiaTheme="minorEastAsia"/>
              <w:noProof/>
              <w:kern w:val="2"/>
              <w:sz w:val="24"/>
              <w:szCs w:val="24"/>
              <w:rtl/>
            </w:rPr>
          </w:pPr>
          <w:hyperlink w:anchor="_Toc237539729" w:history="1">
            <w:r w:rsidRPr="00A17556">
              <w:rPr>
                <w:rStyle w:val="Hyperlink"/>
                <w:rFonts w:ascii="Simplified Arabic" w:eastAsiaTheme="majorEastAsia" w:hAnsi="Simplified Arabic" w:cstheme="majorBidi"/>
                <w:b/>
                <w:noProof/>
              </w:rPr>
              <w:t>2.7 Comparative Summary of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Toc237539729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67B48A5" w14:textId="08881B97" w:rsidR="00B81DC8" w:rsidRDefault="00B81DC8" w:rsidP="00B81DC8">
          <w:pPr>
            <w:pStyle w:val="TOC2"/>
            <w:rPr>
              <w:rFonts w:eastAsiaTheme="minorEastAsia"/>
              <w:noProof/>
              <w:kern w:val="2"/>
              <w:sz w:val="24"/>
              <w:szCs w:val="24"/>
              <w:rtl/>
            </w:rPr>
          </w:pPr>
          <w:hyperlink w:anchor="_Toc237539730" w:history="1">
            <w:r w:rsidRPr="00A17556">
              <w:rPr>
                <w:rStyle w:val="Hyperlink"/>
                <w:rFonts w:ascii="Simplified Arabic" w:eastAsiaTheme="majorEastAsia" w:hAnsi="Simplified Arabic" w:cstheme="majorBidi"/>
                <w:b/>
                <w:noProof/>
              </w:rPr>
              <w:t>2.8 Research Gap and the Study’s Qualitative Framework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29ED4A7" w14:textId="0BABA91A" w:rsidR="00B81DC8" w:rsidRDefault="00B81DC8" w:rsidP="00B81DC8">
          <w:pPr>
            <w:pStyle w:val="TOC3"/>
            <w:tabs>
              <w:tab w:val="right" w:leader="dot" w:pos="10196"/>
            </w:tabs>
            <w:bidi w:val="0"/>
            <w:rPr>
              <w:rFonts w:eastAsiaTheme="minorEastAsia"/>
              <w:noProof/>
              <w:kern w:val="2"/>
              <w:sz w:val="24"/>
              <w:szCs w:val="24"/>
              <w:rtl/>
            </w:rPr>
          </w:pPr>
          <w:hyperlink w:anchor="_Toc237539731" w:history="1">
            <w:r w:rsidRPr="00A17556">
              <w:rPr>
                <w:rStyle w:val="Hyperlink"/>
                <w:rFonts w:ascii="Simplified Arabic" w:eastAsiaTheme="majorEastAsia" w:hAnsi="Simplified Arabic" w:cstheme="majorBidi"/>
                <w:noProof/>
              </w:rPr>
              <w:t>2.8.1 Statement of the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2510E77" w14:textId="655F40DE" w:rsidR="00B81DC8" w:rsidRDefault="00B81DC8" w:rsidP="00B81DC8">
          <w:pPr>
            <w:pStyle w:val="TOC3"/>
            <w:tabs>
              <w:tab w:val="right" w:leader="dot" w:pos="10196"/>
            </w:tabs>
            <w:bidi w:val="0"/>
            <w:rPr>
              <w:rFonts w:eastAsiaTheme="minorEastAsia"/>
              <w:noProof/>
              <w:kern w:val="2"/>
              <w:sz w:val="24"/>
              <w:szCs w:val="24"/>
              <w:rtl/>
            </w:rPr>
          </w:pPr>
          <w:hyperlink w:anchor="_Toc237539732" w:history="1">
            <w:r w:rsidRPr="00A17556">
              <w:rPr>
                <w:rStyle w:val="Hyperlink"/>
                <w:rFonts w:ascii="Simplified Arabic" w:eastAsiaTheme="majorEastAsia" w:hAnsi="Simplified Arabic" w:cstheme="majorBidi"/>
                <w:noProof/>
              </w:rPr>
              <w:t>2.8.2 Qualitative framework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Toc237539732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AA4D88E" w14:textId="7FE1961C" w:rsidR="00B81DC8" w:rsidRDefault="00B81DC8" w:rsidP="00B81DC8">
          <w:pPr>
            <w:pStyle w:val="TOC3"/>
            <w:tabs>
              <w:tab w:val="right" w:leader="dot" w:pos="10196"/>
            </w:tabs>
            <w:bidi w:val="0"/>
            <w:rPr>
              <w:rFonts w:eastAsiaTheme="minorEastAsia"/>
              <w:noProof/>
              <w:kern w:val="2"/>
              <w:sz w:val="24"/>
              <w:szCs w:val="24"/>
              <w:rtl/>
            </w:rPr>
          </w:pPr>
          <w:hyperlink w:anchor="_Toc237539733" w:history="1">
            <w:r w:rsidRPr="00A17556">
              <w:rPr>
                <w:rStyle w:val="Hyperlink"/>
                <w:rFonts w:ascii="Simplified Arabic" w:eastAsiaTheme="majorEastAsia" w:hAnsi="Simplified Arabic" w:cstheme="majorBidi"/>
                <w:noProof/>
              </w:rPr>
              <w:t>2.8.3 The qualitative premise in lieu of statistical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Toc237539733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1147395" w14:textId="5B35E989" w:rsidR="00B81DC8" w:rsidRDefault="00B81DC8" w:rsidP="00B81DC8">
          <w:pPr>
            <w:pStyle w:val="TOC2"/>
            <w:rPr>
              <w:rFonts w:eastAsiaTheme="minorEastAsia"/>
              <w:noProof/>
              <w:kern w:val="2"/>
              <w:sz w:val="24"/>
              <w:szCs w:val="24"/>
              <w:rtl/>
            </w:rPr>
          </w:pPr>
          <w:hyperlink w:anchor="_Toc237539734" w:history="1">
            <w:r w:rsidRPr="00A17556">
              <w:rPr>
                <w:rStyle w:val="Hyperlink"/>
                <w:rFonts w:ascii="Simplified Arabic" w:eastAsiaTheme="majorEastAsia" w:hAnsi="Simplified Arabic" w:cstheme="majorBidi"/>
                <w:b/>
                <w:noProof/>
              </w:rPr>
              <w:t>2.9 Theoretical and Risk Assessment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38A31D94" w14:textId="2D762FAA" w:rsidR="00B81DC8" w:rsidRDefault="00B81DC8" w:rsidP="00B81DC8">
          <w:pPr>
            <w:pStyle w:val="TOC3"/>
            <w:tabs>
              <w:tab w:val="right" w:leader="dot" w:pos="10196"/>
            </w:tabs>
            <w:bidi w:val="0"/>
            <w:rPr>
              <w:rFonts w:eastAsiaTheme="minorEastAsia"/>
              <w:noProof/>
              <w:kern w:val="2"/>
              <w:sz w:val="24"/>
              <w:szCs w:val="24"/>
              <w:rtl/>
            </w:rPr>
          </w:pPr>
          <w:hyperlink w:anchor="_Toc237539735" w:history="1">
            <w:r w:rsidRPr="00A17556">
              <w:rPr>
                <w:rStyle w:val="Hyperlink"/>
                <w:rFonts w:ascii="Simplified Arabic" w:eastAsiaTheme="majorEastAsia" w:hAnsi="Simplified Arabic" w:cstheme="majorBidi"/>
                <w:noProof/>
              </w:rPr>
              <w:t>2.9.1 Architecture of the Integrated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Toc237539735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4B299BE" w14:textId="26E0A6CE" w:rsidR="00B81DC8" w:rsidRDefault="00B81DC8" w:rsidP="00B81DC8">
          <w:pPr>
            <w:pStyle w:val="TOC3"/>
            <w:tabs>
              <w:tab w:val="right" w:leader="dot" w:pos="10196"/>
            </w:tabs>
            <w:bidi w:val="0"/>
            <w:rPr>
              <w:rFonts w:eastAsiaTheme="minorEastAsia"/>
              <w:noProof/>
              <w:kern w:val="2"/>
              <w:sz w:val="24"/>
              <w:szCs w:val="24"/>
              <w:rtl/>
            </w:rPr>
          </w:pPr>
          <w:hyperlink w:anchor="_Toc237539736" w:history="1">
            <w:r w:rsidRPr="00A17556">
              <w:rPr>
                <w:rStyle w:val="Hyperlink"/>
                <w:rFonts w:ascii="Simplified Arabic" w:eastAsiaTheme="majorEastAsia" w:hAnsi="Simplified Arabic" w:cstheme="majorBidi"/>
                <w:noProof/>
              </w:rPr>
              <w:t>2.9.2 Risk Maturity Model for Academic Laboratories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2C10C34" w14:textId="31155A5C" w:rsidR="00B81DC8" w:rsidRDefault="00B81DC8" w:rsidP="00B81DC8">
          <w:pPr>
            <w:pStyle w:val="TOC3"/>
            <w:tabs>
              <w:tab w:val="right" w:leader="dot" w:pos="10196"/>
            </w:tabs>
            <w:bidi w:val="0"/>
            <w:rPr>
              <w:rFonts w:eastAsiaTheme="minorEastAsia"/>
              <w:noProof/>
              <w:kern w:val="2"/>
              <w:sz w:val="24"/>
              <w:szCs w:val="24"/>
              <w:rtl/>
            </w:rPr>
          </w:pPr>
          <w:hyperlink w:anchor="_Toc237539737" w:history="1">
            <w:r w:rsidRPr="00A17556">
              <w:rPr>
                <w:rStyle w:val="Hyperlink"/>
                <w:rFonts w:ascii="Simplified Arabic" w:eastAsiaTheme="majorEastAsia" w:hAnsi="Simplified Arabic" w:cstheme="majorBidi"/>
                <w:noProof/>
              </w:rPr>
              <w:t>2.9.3 Bow-Tie Risk Analysis Adapted to Laboratory Safety and Inventory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32FDFC3C" w14:textId="5831FF48" w:rsidR="00B81DC8" w:rsidRDefault="00B81DC8" w:rsidP="00B81DC8">
          <w:pPr>
            <w:pStyle w:val="TOC3"/>
            <w:tabs>
              <w:tab w:val="right" w:leader="dot" w:pos="10196"/>
            </w:tabs>
            <w:bidi w:val="0"/>
            <w:rPr>
              <w:rFonts w:eastAsiaTheme="minorEastAsia"/>
              <w:noProof/>
              <w:kern w:val="2"/>
              <w:sz w:val="24"/>
              <w:szCs w:val="24"/>
              <w:rtl/>
            </w:rPr>
          </w:pPr>
          <w:hyperlink w:anchor="_Toc237539738" w:history="1">
            <w:r w:rsidRPr="00A17556">
              <w:rPr>
                <w:rStyle w:val="Hyperlink"/>
                <w:rFonts w:ascii="Simplified Arabic" w:eastAsiaTheme="majorEastAsia" w:hAnsi="Simplified Arabic" w:cstheme="majorBidi"/>
                <w:noProof/>
              </w:rPr>
              <w:t>2.9.4 Business Continuity and Resilience (ISO 22301)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Toc237539738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54C25F5D" w14:textId="611D382D" w:rsidR="00B81DC8" w:rsidRDefault="00B81DC8" w:rsidP="00B81DC8">
          <w:pPr>
            <w:pStyle w:val="TOC3"/>
            <w:tabs>
              <w:tab w:val="right" w:leader="dot" w:pos="10196"/>
            </w:tabs>
            <w:bidi w:val="0"/>
            <w:rPr>
              <w:rFonts w:eastAsiaTheme="minorEastAsia"/>
              <w:noProof/>
              <w:kern w:val="2"/>
              <w:sz w:val="24"/>
              <w:szCs w:val="24"/>
              <w:rtl/>
            </w:rPr>
          </w:pPr>
          <w:hyperlink w:anchor="_Toc237539739" w:history="1">
            <w:r w:rsidRPr="00A17556">
              <w:rPr>
                <w:rStyle w:val="Hyperlink"/>
                <w:rFonts w:ascii="Simplified Arabic" w:eastAsiaTheme="majorEastAsia" w:hAnsi="Simplified Arabic" w:cstheme="majorBidi"/>
                <w:noProof/>
              </w:rPr>
              <w:t>2.9.5 Environmental and Governance Integration (ISO 14001, CSR and FIRM Scorecard)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Toc237539739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FD15D42" w14:textId="73CED5D3" w:rsidR="00B81DC8" w:rsidRDefault="00B81DC8" w:rsidP="00B81DC8">
          <w:pPr>
            <w:pStyle w:val="TOC3"/>
            <w:tabs>
              <w:tab w:val="right" w:leader="dot" w:pos="10196"/>
            </w:tabs>
            <w:bidi w:val="0"/>
            <w:rPr>
              <w:rFonts w:eastAsiaTheme="minorEastAsia"/>
              <w:noProof/>
              <w:kern w:val="2"/>
              <w:sz w:val="24"/>
              <w:szCs w:val="24"/>
              <w:rtl/>
            </w:rPr>
          </w:pPr>
          <w:hyperlink w:anchor="_Toc237539740" w:history="1">
            <w:r w:rsidRPr="00A17556">
              <w:rPr>
                <w:rStyle w:val="Hyperlink"/>
                <w:rFonts w:ascii="Simplified Arabic" w:eastAsiaTheme="majorEastAsia" w:hAnsi="Simplified Arabic" w:cstheme="majorBidi"/>
                <w:noProof/>
              </w:rPr>
              <w:t>2.9.6 Theoretical Framework Synthesis and Operational Definitions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DF38B16" w14:textId="2124D848" w:rsidR="00B81DC8" w:rsidRDefault="00B81DC8" w:rsidP="00B81DC8">
          <w:pPr>
            <w:pStyle w:val="TOC1"/>
            <w:bidi w:val="0"/>
            <w:rPr>
              <w:rFonts w:eastAsiaTheme="minorEastAsia"/>
              <w:noProof/>
              <w:kern w:val="2"/>
              <w:sz w:val="24"/>
              <w:szCs w:val="24"/>
              <w:rtl/>
            </w:rPr>
          </w:pPr>
          <w:hyperlink w:anchor="_Toc237539741" w:history="1">
            <w:r w:rsidRPr="00A17556">
              <w:rPr>
                <w:rStyle w:val="Hyperlink"/>
                <w:rFonts w:ascii="Simplified Arabic" w:eastAsiaTheme="majorEastAsia" w:hAnsi="Simplified Arabic" w:cstheme="majorBidi"/>
                <w:b/>
                <w:noProof/>
              </w:rPr>
              <w:t>CHAPTER 3 — RESEARCH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Toc237539741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32BAA39" w14:textId="53DA1468" w:rsidR="00B81DC8" w:rsidRDefault="00B81DC8" w:rsidP="00B81DC8">
          <w:pPr>
            <w:pStyle w:val="TOC2"/>
            <w:rPr>
              <w:rFonts w:eastAsiaTheme="minorEastAsia"/>
              <w:noProof/>
              <w:kern w:val="2"/>
              <w:sz w:val="24"/>
              <w:szCs w:val="24"/>
              <w:rtl/>
            </w:rPr>
          </w:pPr>
          <w:hyperlink w:anchor="_Toc237539742" w:history="1">
            <w:r w:rsidRPr="00A17556">
              <w:rPr>
                <w:rStyle w:val="Hyperlink"/>
                <w:rFonts w:ascii="Simplified Arabic" w:eastAsiaTheme="majorEastAsia" w:hAnsi="Simplified Arabic" w:cstheme="majorBidi"/>
                <w:b/>
                <w:noProof/>
              </w:rPr>
              <w:t>3.1 Methodological Orientation and 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Toc237539742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1D2E47BE" w14:textId="70D981F5" w:rsidR="00B81DC8" w:rsidRDefault="00B81DC8" w:rsidP="00B81DC8">
          <w:pPr>
            <w:pStyle w:val="TOC2"/>
            <w:rPr>
              <w:rFonts w:eastAsiaTheme="minorEastAsia"/>
              <w:noProof/>
              <w:kern w:val="2"/>
              <w:sz w:val="24"/>
              <w:szCs w:val="24"/>
              <w:rtl/>
            </w:rPr>
          </w:pPr>
          <w:hyperlink w:anchor="_Toc237539743" w:history="1">
            <w:r w:rsidRPr="00A17556">
              <w:rPr>
                <w:rStyle w:val="Hyperlink"/>
                <w:rFonts w:ascii="Simplified Arabic" w:eastAsiaTheme="majorEastAsia" w:hAnsi="Simplified Arabic" w:cstheme="majorBidi"/>
                <w:b/>
                <w:noProof/>
              </w:rPr>
              <w:t>3.2 Case Context and Population-in-Context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Toc237539743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383013E" w14:textId="473B3613" w:rsidR="00B81DC8" w:rsidRDefault="00B81DC8" w:rsidP="00B81DC8">
          <w:pPr>
            <w:pStyle w:val="TOC2"/>
            <w:rPr>
              <w:rFonts w:eastAsiaTheme="minorEastAsia"/>
              <w:noProof/>
              <w:kern w:val="2"/>
              <w:sz w:val="24"/>
              <w:szCs w:val="24"/>
              <w:rtl/>
            </w:rPr>
          </w:pPr>
          <w:hyperlink w:anchor="_Toc237539744" w:history="1">
            <w:r w:rsidRPr="00A17556">
              <w:rPr>
                <w:rStyle w:val="Hyperlink"/>
                <w:rFonts w:ascii="Simplified Arabic" w:eastAsiaTheme="majorEastAsia" w:hAnsi="Simplified Arabic" w:cstheme="majorBidi"/>
                <w:b/>
                <w:noProof/>
              </w:rPr>
              <w:t>3.3 Data Sources and Collection Procedures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Toc237539744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3D36A5D" w14:textId="3433E8B8" w:rsidR="00B81DC8" w:rsidRDefault="00B81DC8" w:rsidP="00B81DC8">
          <w:pPr>
            <w:pStyle w:val="TOC2"/>
            <w:rPr>
              <w:rFonts w:eastAsiaTheme="minorEastAsia"/>
              <w:noProof/>
              <w:kern w:val="2"/>
              <w:sz w:val="24"/>
              <w:szCs w:val="24"/>
              <w:rtl/>
            </w:rPr>
          </w:pPr>
          <w:hyperlink w:anchor="_Toc237539745" w:history="1">
            <w:r w:rsidRPr="00A17556">
              <w:rPr>
                <w:rStyle w:val="Hyperlink"/>
                <w:rFonts w:ascii="Simplified Arabic" w:eastAsiaTheme="majorEastAsia" w:hAnsi="Simplified Arabic" w:cstheme="majorBidi"/>
                <w:b/>
                <w:noProof/>
              </w:rPr>
              <w:t>3.4 The Analytical Toolset instead of Statistical Sampling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Toc237539745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0A4262A" w14:textId="603ACB7E" w:rsidR="00B81DC8" w:rsidRDefault="00B81DC8" w:rsidP="00B81DC8">
          <w:pPr>
            <w:pStyle w:val="TOC2"/>
            <w:rPr>
              <w:rFonts w:eastAsiaTheme="minorEastAsia"/>
              <w:noProof/>
              <w:kern w:val="2"/>
              <w:sz w:val="24"/>
              <w:szCs w:val="24"/>
              <w:rtl/>
            </w:rPr>
          </w:pPr>
          <w:hyperlink w:anchor="_Toc237539746" w:history="1">
            <w:r w:rsidRPr="00A17556">
              <w:rPr>
                <w:rStyle w:val="Hyperlink"/>
                <w:rFonts w:ascii="Simplified Arabic" w:eastAsiaTheme="majorEastAsia" w:hAnsi="Simplified Arabic" w:cstheme="majorBidi"/>
                <w:b/>
                <w:noProof/>
              </w:rPr>
              <w:t>3.5 Analytical Procedures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Toc237539746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3458CB76" w14:textId="1B7A90E7" w:rsidR="00B81DC8" w:rsidRDefault="00B81DC8" w:rsidP="00B81DC8">
          <w:pPr>
            <w:pStyle w:val="TOC2"/>
            <w:rPr>
              <w:rFonts w:eastAsiaTheme="minorEastAsia"/>
              <w:noProof/>
              <w:kern w:val="2"/>
              <w:sz w:val="24"/>
              <w:szCs w:val="24"/>
              <w:rtl/>
            </w:rPr>
          </w:pPr>
          <w:hyperlink w:anchor="_Toc237539747" w:history="1">
            <w:r w:rsidRPr="00A17556">
              <w:rPr>
                <w:rStyle w:val="Hyperlink"/>
                <w:rFonts w:ascii="Simplified Arabic" w:eastAsiaTheme="majorEastAsia" w:hAnsi="Simplified Arabic" w:cstheme="majorBidi"/>
                <w:b/>
                <w:noProof/>
              </w:rPr>
              <w:t>3.6 Boundaries and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Toc237539747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4D823C2B" w14:textId="00B2534F" w:rsidR="00B81DC8" w:rsidRDefault="00B81DC8" w:rsidP="00B81DC8">
          <w:pPr>
            <w:pStyle w:val="TOC2"/>
            <w:rPr>
              <w:rFonts w:eastAsiaTheme="minorEastAsia"/>
              <w:noProof/>
              <w:kern w:val="2"/>
              <w:sz w:val="24"/>
              <w:szCs w:val="24"/>
              <w:rtl/>
            </w:rPr>
          </w:pPr>
          <w:hyperlink w:anchor="_Toc237539748" w:history="1">
            <w:r w:rsidRPr="00A17556">
              <w:rPr>
                <w:rStyle w:val="Hyperlink"/>
                <w:rFonts w:ascii="Simplified Arabic" w:eastAsiaTheme="majorEastAsia" w:hAnsi="Simplified Arabic" w:cstheme="majorBidi"/>
                <w:b/>
                <w:noProof/>
              </w:rPr>
              <w:t>3.7 Ethical and Integrity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Toc237539748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184B1BD9" w14:textId="35769789" w:rsidR="00B81DC8" w:rsidRDefault="00B81DC8" w:rsidP="00B81DC8">
          <w:pPr>
            <w:pStyle w:val="TOC1"/>
            <w:bidi w:val="0"/>
            <w:rPr>
              <w:rFonts w:eastAsiaTheme="minorEastAsia"/>
              <w:noProof/>
              <w:kern w:val="2"/>
              <w:sz w:val="24"/>
              <w:szCs w:val="24"/>
              <w:rtl/>
            </w:rPr>
          </w:pPr>
          <w:hyperlink w:anchor="_Toc237539749" w:history="1">
            <w:r w:rsidRPr="00A17556">
              <w:rPr>
                <w:rStyle w:val="Hyperlink"/>
                <w:rFonts w:ascii="Simplified Arabic" w:eastAsiaTheme="majorEastAsia" w:hAnsi="Simplified Arabic" w:cstheme="majorBidi"/>
                <w:b/>
                <w:noProof/>
              </w:rPr>
              <w:t>CHAPTER 4: STRUCTURAL AND FEASIBILITY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Toc237539749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147803F0" w14:textId="17486C21" w:rsidR="00B81DC8" w:rsidRDefault="00B81DC8" w:rsidP="00B81DC8">
          <w:pPr>
            <w:pStyle w:val="TOC2"/>
            <w:rPr>
              <w:rFonts w:eastAsiaTheme="minorEastAsia"/>
              <w:noProof/>
              <w:kern w:val="2"/>
              <w:sz w:val="24"/>
              <w:szCs w:val="24"/>
              <w:rtl/>
            </w:rPr>
          </w:pPr>
          <w:hyperlink w:anchor="_Toc237539750" w:history="1">
            <w:r w:rsidRPr="00A17556">
              <w:rPr>
                <w:rStyle w:val="Hyperlink"/>
                <w:rFonts w:ascii="Simplified Arabic" w:eastAsiaTheme="majorEastAsia" w:hAnsi="Simplified Arabic" w:cstheme="majorBidi"/>
                <w:b/>
                <w:noProof/>
              </w:rPr>
              <w:t>4.1 Organizational and Governance Architecture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Toc237539750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5B3BD930" w14:textId="62B562DE" w:rsidR="00B81DC8" w:rsidRDefault="00B81DC8" w:rsidP="00B81DC8">
          <w:pPr>
            <w:pStyle w:val="TOC3"/>
            <w:tabs>
              <w:tab w:val="right" w:leader="dot" w:pos="10196"/>
            </w:tabs>
            <w:bidi w:val="0"/>
            <w:rPr>
              <w:rFonts w:eastAsiaTheme="minorEastAsia"/>
              <w:noProof/>
              <w:kern w:val="2"/>
              <w:sz w:val="24"/>
              <w:szCs w:val="24"/>
              <w:rtl/>
            </w:rPr>
          </w:pPr>
          <w:hyperlink w:anchor="_Toc237539751" w:history="1">
            <w:r w:rsidRPr="00A17556">
              <w:rPr>
                <w:rStyle w:val="Hyperlink"/>
                <w:rFonts w:ascii="Simplified Arabic" w:eastAsiaTheme="majorEastAsia" w:hAnsi="Simplified Arabic" w:cstheme="majorBidi"/>
                <w:noProof/>
              </w:rPr>
              <w:t>4.1.1 Design Principles of the Governance Architecture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Toc237539751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207FFD3" w14:textId="5BD61C8C" w:rsidR="00B81DC8" w:rsidRDefault="00B81DC8" w:rsidP="00B81DC8">
          <w:pPr>
            <w:pStyle w:val="TOC3"/>
            <w:tabs>
              <w:tab w:val="right" w:leader="dot" w:pos="10196"/>
            </w:tabs>
            <w:bidi w:val="0"/>
            <w:rPr>
              <w:rFonts w:eastAsiaTheme="minorEastAsia"/>
              <w:noProof/>
              <w:kern w:val="2"/>
              <w:sz w:val="24"/>
              <w:szCs w:val="24"/>
              <w:rtl/>
            </w:rPr>
          </w:pPr>
          <w:hyperlink w:anchor="_Toc237539752" w:history="1">
            <w:r w:rsidRPr="00A17556">
              <w:rPr>
                <w:rStyle w:val="Hyperlink"/>
                <w:rFonts w:ascii="Simplified Arabic" w:eastAsiaTheme="majorEastAsia" w:hAnsi="Simplified Arabic" w:cstheme="majorBidi"/>
                <w:noProof/>
              </w:rPr>
              <w:t>4.1.2 The Academic Inventory Governance Board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Toc237539752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27EDFF05" w14:textId="0D1C2B6D" w:rsidR="00B81DC8" w:rsidRDefault="00B81DC8" w:rsidP="00B81DC8">
          <w:pPr>
            <w:pStyle w:val="TOC3"/>
            <w:tabs>
              <w:tab w:val="right" w:leader="dot" w:pos="10196"/>
            </w:tabs>
            <w:bidi w:val="0"/>
            <w:rPr>
              <w:rFonts w:eastAsiaTheme="minorEastAsia"/>
              <w:noProof/>
              <w:kern w:val="2"/>
              <w:sz w:val="24"/>
              <w:szCs w:val="24"/>
              <w:rtl/>
            </w:rPr>
          </w:pPr>
          <w:hyperlink w:anchor="_Toc237539753" w:history="1">
            <w:r w:rsidRPr="00A17556">
              <w:rPr>
                <w:rStyle w:val="Hyperlink"/>
                <w:rFonts w:ascii="Simplified Arabic" w:eastAsiaTheme="majorEastAsia" w:hAnsi="Simplified Arabic" w:cstheme="majorBidi"/>
                <w:noProof/>
              </w:rPr>
              <w:t>4.1.3 The Technical Standardization Committee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Toc237539753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705D3396" w14:textId="731BCC8D" w:rsidR="00B81DC8" w:rsidRDefault="00B81DC8" w:rsidP="00B81DC8">
          <w:pPr>
            <w:pStyle w:val="TOC3"/>
            <w:tabs>
              <w:tab w:val="right" w:leader="dot" w:pos="10196"/>
            </w:tabs>
            <w:bidi w:val="0"/>
            <w:rPr>
              <w:rFonts w:eastAsiaTheme="minorEastAsia"/>
              <w:noProof/>
              <w:kern w:val="2"/>
              <w:sz w:val="24"/>
              <w:szCs w:val="24"/>
              <w:rtl/>
            </w:rPr>
          </w:pPr>
          <w:hyperlink w:anchor="_Toc237539754" w:history="1">
            <w:r w:rsidRPr="00A17556">
              <w:rPr>
                <w:rStyle w:val="Hyperlink"/>
                <w:rFonts w:ascii="Simplified Arabic" w:eastAsiaTheme="majorEastAsia" w:hAnsi="Simplified Arabic" w:cstheme="majorBidi"/>
                <w:noProof/>
              </w:rPr>
              <w:t>4.1.4 The Digital Supply Chain Unit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Toc237539754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4290FA5A" w14:textId="1E6E77A9" w:rsidR="00B81DC8" w:rsidRDefault="00B81DC8" w:rsidP="00B81DC8">
          <w:pPr>
            <w:pStyle w:val="TOC3"/>
            <w:tabs>
              <w:tab w:val="right" w:leader="dot" w:pos="10196"/>
            </w:tabs>
            <w:bidi w:val="0"/>
            <w:rPr>
              <w:rFonts w:eastAsiaTheme="minorEastAsia"/>
              <w:noProof/>
              <w:kern w:val="2"/>
              <w:sz w:val="24"/>
              <w:szCs w:val="24"/>
              <w:rtl/>
            </w:rPr>
          </w:pPr>
          <w:hyperlink w:anchor="_Toc237539755" w:history="1">
            <w:r w:rsidRPr="00A17556">
              <w:rPr>
                <w:rStyle w:val="Hyperlink"/>
                <w:rFonts w:ascii="Simplified Arabic" w:eastAsiaTheme="majorEastAsia" w:hAnsi="Simplified Arabic" w:cstheme="majorBidi"/>
                <w:noProof/>
              </w:rPr>
              <w:t>4.1.5 Laboratory Technicians at the Operational Level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Toc237539755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4EE12816" w14:textId="5D38C2FA" w:rsidR="00B81DC8" w:rsidRDefault="00B81DC8" w:rsidP="00B81DC8">
          <w:pPr>
            <w:pStyle w:val="TOC3"/>
            <w:tabs>
              <w:tab w:val="right" w:leader="dot" w:pos="10196"/>
            </w:tabs>
            <w:bidi w:val="0"/>
            <w:rPr>
              <w:rFonts w:eastAsiaTheme="minorEastAsia"/>
              <w:noProof/>
              <w:kern w:val="2"/>
              <w:sz w:val="24"/>
              <w:szCs w:val="24"/>
              <w:rtl/>
            </w:rPr>
          </w:pPr>
          <w:hyperlink w:anchor="_Toc237539756" w:history="1">
            <w:r w:rsidRPr="00A17556">
              <w:rPr>
                <w:rStyle w:val="Hyperlink"/>
                <w:rFonts w:ascii="Simplified Arabic" w:eastAsiaTheme="majorEastAsia" w:hAnsi="Simplified Arabic" w:cstheme="majorBidi"/>
                <w:noProof/>
              </w:rPr>
              <w:t>4.1.6 The Inter-Lab Policy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Toc237539756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2ECBA238" w14:textId="4E3F42BA" w:rsidR="00B81DC8" w:rsidRDefault="00B81DC8" w:rsidP="00B81DC8">
          <w:pPr>
            <w:pStyle w:val="TOC3"/>
            <w:tabs>
              <w:tab w:val="right" w:leader="dot" w:pos="10196"/>
            </w:tabs>
            <w:bidi w:val="0"/>
            <w:rPr>
              <w:rFonts w:eastAsiaTheme="minorEastAsia"/>
              <w:noProof/>
              <w:kern w:val="2"/>
              <w:sz w:val="24"/>
              <w:szCs w:val="24"/>
              <w:rtl/>
            </w:rPr>
          </w:pPr>
          <w:hyperlink w:anchor="_Toc237539757" w:history="1">
            <w:r w:rsidRPr="00A17556">
              <w:rPr>
                <w:rStyle w:val="Hyperlink"/>
                <w:rFonts w:ascii="Simplified Arabic" w:eastAsiaTheme="majorEastAsia" w:hAnsi="Simplified Arabic" w:cstheme="majorBidi"/>
                <w:noProof/>
              </w:rPr>
              <w:t>4.1.7 Governance Interfaces and Accountability Matrix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Toc237539757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551B0A18" w14:textId="64A041E0" w:rsidR="00B81DC8" w:rsidRDefault="00B81DC8" w:rsidP="00B81DC8">
          <w:pPr>
            <w:pStyle w:val="TOC2"/>
            <w:rPr>
              <w:rFonts w:eastAsiaTheme="minorEastAsia"/>
              <w:noProof/>
              <w:kern w:val="2"/>
              <w:sz w:val="24"/>
              <w:szCs w:val="24"/>
              <w:rtl/>
            </w:rPr>
          </w:pPr>
          <w:hyperlink w:anchor="_Toc237539758" w:history="1">
            <w:r w:rsidRPr="00A17556">
              <w:rPr>
                <w:rStyle w:val="Hyperlink"/>
                <w:rFonts w:ascii="Simplified Arabic" w:eastAsiaTheme="majorEastAsia" w:hAnsi="Simplified Arabic" w:cstheme="majorBidi"/>
                <w:b/>
                <w:noProof/>
              </w:rPr>
              <w:t>4.2 Multi-Dimensional Feasibility Assessment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Toc237539758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095F2D10" w14:textId="3478000B" w:rsidR="00B81DC8" w:rsidRDefault="00B81DC8" w:rsidP="00B81DC8">
          <w:pPr>
            <w:pStyle w:val="TOC3"/>
            <w:tabs>
              <w:tab w:val="right" w:leader="dot" w:pos="10196"/>
            </w:tabs>
            <w:bidi w:val="0"/>
            <w:rPr>
              <w:rFonts w:eastAsiaTheme="minorEastAsia"/>
              <w:noProof/>
              <w:kern w:val="2"/>
              <w:sz w:val="24"/>
              <w:szCs w:val="24"/>
              <w:rtl/>
            </w:rPr>
          </w:pPr>
          <w:hyperlink w:anchor="_Toc237539759" w:history="1">
            <w:r w:rsidRPr="00A17556">
              <w:rPr>
                <w:rStyle w:val="Hyperlink"/>
                <w:rFonts w:ascii="Simplified Arabic" w:eastAsiaTheme="majorEastAsia" w:hAnsi="Simplified Arabic" w:cstheme="majorBidi"/>
                <w:noProof/>
              </w:rPr>
              <w:t>4.2.1 Assessment Logic: Qualitative Feasibility in a Design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Toc237539759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23507955" w14:textId="5F5813DD" w:rsidR="00B81DC8" w:rsidRDefault="00B81DC8" w:rsidP="00B81DC8">
          <w:pPr>
            <w:pStyle w:val="TOC3"/>
            <w:tabs>
              <w:tab w:val="right" w:leader="dot" w:pos="10196"/>
            </w:tabs>
            <w:bidi w:val="0"/>
            <w:rPr>
              <w:rFonts w:eastAsiaTheme="minorEastAsia"/>
              <w:noProof/>
              <w:kern w:val="2"/>
              <w:sz w:val="24"/>
              <w:szCs w:val="24"/>
              <w:rtl/>
            </w:rPr>
          </w:pPr>
          <w:hyperlink w:anchor="_Toc237539760" w:history="1">
            <w:r w:rsidRPr="00A17556">
              <w:rPr>
                <w:rStyle w:val="Hyperlink"/>
                <w:rFonts w:ascii="Simplified Arabic" w:eastAsiaTheme="majorEastAsia" w:hAnsi="Simplified Arabic" w:cstheme="majorBidi"/>
                <w:noProof/>
              </w:rPr>
              <w:t>4.2.2 Organizational &amp; Governance Feasibility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Toc237539760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614B8665" w14:textId="5DB4156F" w:rsidR="00B81DC8" w:rsidRDefault="00B81DC8" w:rsidP="00B81DC8">
          <w:pPr>
            <w:pStyle w:val="TOC3"/>
            <w:tabs>
              <w:tab w:val="right" w:leader="dot" w:pos="10196"/>
            </w:tabs>
            <w:bidi w:val="0"/>
            <w:rPr>
              <w:rFonts w:eastAsiaTheme="minorEastAsia"/>
              <w:noProof/>
              <w:kern w:val="2"/>
              <w:sz w:val="24"/>
              <w:szCs w:val="24"/>
              <w:rtl/>
            </w:rPr>
          </w:pPr>
          <w:hyperlink w:anchor="_Toc237539761" w:history="1">
            <w:r w:rsidRPr="00A17556">
              <w:rPr>
                <w:rStyle w:val="Hyperlink"/>
                <w:rFonts w:ascii="Simplified Arabic" w:eastAsiaTheme="majorEastAsia" w:hAnsi="Simplified Arabic" w:cstheme="majorBidi"/>
                <w:noProof/>
              </w:rPr>
              <w:t>4.2.3 Financial &amp; Fiscal Feasibility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Toc237539761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296FCCB3" w14:textId="05E2E843" w:rsidR="00B81DC8" w:rsidRDefault="00B81DC8" w:rsidP="00B81DC8">
          <w:pPr>
            <w:pStyle w:val="TOC3"/>
            <w:tabs>
              <w:tab w:val="right" w:leader="dot" w:pos="10196"/>
            </w:tabs>
            <w:bidi w:val="0"/>
            <w:rPr>
              <w:rFonts w:eastAsiaTheme="minorEastAsia"/>
              <w:noProof/>
              <w:kern w:val="2"/>
              <w:sz w:val="24"/>
              <w:szCs w:val="24"/>
              <w:rtl/>
            </w:rPr>
          </w:pPr>
          <w:hyperlink w:anchor="_Toc237539762" w:history="1">
            <w:r w:rsidRPr="00A17556">
              <w:rPr>
                <w:rStyle w:val="Hyperlink"/>
                <w:rFonts w:ascii="Simplified Arabic" w:eastAsiaTheme="majorEastAsia" w:hAnsi="Simplified Arabic" w:cstheme="majorBidi"/>
                <w:noProof/>
              </w:rPr>
              <w:t>4.2.4 Technical &amp; Operational Feasibility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Toc237539762 \h</w:instrText>
            </w:r>
            <w:r>
              <w:rPr>
                <w:noProof/>
                <w:webHidden/>
                <w:rtl/>
              </w:rPr>
              <w:instrText xml:space="preserve"> </w:instrText>
            </w:r>
            <w:r>
              <w:rPr>
                <w:noProof/>
                <w:webHidden/>
                <w:rtl/>
              </w:rPr>
            </w:r>
            <w:r>
              <w:rPr>
                <w:noProof/>
                <w:webHidden/>
                <w:rtl/>
              </w:rPr>
              <w:fldChar w:fldCharType="separate"/>
            </w:r>
            <w:r>
              <w:rPr>
                <w:noProof/>
                <w:webHidden/>
                <w:rtl/>
              </w:rPr>
              <w:t>115</w:t>
            </w:r>
            <w:r>
              <w:rPr>
                <w:noProof/>
                <w:webHidden/>
                <w:rtl/>
              </w:rPr>
              <w:fldChar w:fldCharType="end"/>
            </w:r>
          </w:hyperlink>
        </w:p>
        <w:p w14:paraId="410CBA1B" w14:textId="0E79F9C6" w:rsidR="00B81DC8" w:rsidRDefault="00B81DC8" w:rsidP="00B81DC8">
          <w:pPr>
            <w:pStyle w:val="TOC3"/>
            <w:tabs>
              <w:tab w:val="right" w:leader="dot" w:pos="10196"/>
            </w:tabs>
            <w:bidi w:val="0"/>
            <w:rPr>
              <w:rFonts w:eastAsiaTheme="minorEastAsia"/>
              <w:noProof/>
              <w:kern w:val="2"/>
              <w:sz w:val="24"/>
              <w:szCs w:val="24"/>
              <w:rtl/>
            </w:rPr>
          </w:pPr>
          <w:hyperlink w:anchor="_Toc237539763" w:history="1">
            <w:r w:rsidRPr="00A17556">
              <w:rPr>
                <w:rStyle w:val="Hyperlink"/>
                <w:rFonts w:ascii="Simplified Arabic" w:eastAsiaTheme="majorEastAsia" w:hAnsi="Simplified Arabic" w:cstheme="majorBidi"/>
                <w:noProof/>
              </w:rPr>
              <w:t>4.2.5 Environmental &amp; Sustainability Feasibility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Toc237539763 \h</w:instrText>
            </w:r>
            <w:r>
              <w:rPr>
                <w:noProof/>
                <w:webHidden/>
                <w:rtl/>
              </w:rPr>
              <w:instrText xml:space="preserve"> </w:instrText>
            </w:r>
            <w:r>
              <w:rPr>
                <w:noProof/>
                <w:webHidden/>
                <w:rtl/>
              </w:rPr>
            </w:r>
            <w:r>
              <w:rPr>
                <w:noProof/>
                <w:webHidden/>
                <w:rtl/>
              </w:rPr>
              <w:fldChar w:fldCharType="separate"/>
            </w:r>
            <w:r>
              <w:rPr>
                <w:noProof/>
                <w:webHidden/>
                <w:rtl/>
              </w:rPr>
              <w:t>117</w:t>
            </w:r>
            <w:r>
              <w:rPr>
                <w:noProof/>
                <w:webHidden/>
                <w:rtl/>
              </w:rPr>
              <w:fldChar w:fldCharType="end"/>
            </w:r>
          </w:hyperlink>
        </w:p>
        <w:p w14:paraId="204C77CD" w14:textId="76DDD84F" w:rsidR="00B81DC8" w:rsidRDefault="00B81DC8" w:rsidP="00B81DC8">
          <w:pPr>
            <w:pStyle w:val="TOC3"/>
            <w:tabs>
              <w:tab w:val="right" w:leader="dot" w:pos="10196"/>
            </w:tabs>
            <w:bidi w:val="0"/>
            <w:rPr>
              <w:rFonts w:eastAsiaTheme="minorEastAsia"/>
              <w:noProof/>
              <w:kern w:val="2"/>
              <w:sz w:val="24"/>
              <w:szCs w:val="24"/>
              <w:rtl/>
            </w:rPr>
          </w:pPr>
          <w:hyperlink w:anchor="_Toc237539764" w:history="1">
            <w:r w:rsidRPr="00A17556">
              <w:rPr>
                <w:rStyle w:val="Hyperlink"/>
                <w:rFonts w:ascii="Simplified Arabic" w:eastAsiaTheme="majorEastAsia" w:hAnsi="Simplified Arabic" w:cstheme="majorBidi"/>
                <w:noProof/>
              </w:rPr>
              <w:t>4.2.6 Consolidated Feasibility Matrix and Readiness Gates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Toc237539764 \h</w:instrText>
            </w:r>
            <w:r>
              <w:rPr>
                <w:noProof/>
                <w:webHidden/>
                <w:rtl/>
              </w:rPr>
              <w:instrText xml:space="preserve"> </w:instrText>
            </w:r>
            <w:r>
              <w:rPr>
                <w:noProof/>
                <w:webHidden/>
                <w:rtl/>
              </w:rPr>
            </w:r>
            <w:r>
              <w:rPr>
                <w:noProof/>
                <w:webHidden/>
                <w:rtl/>
              </w:rPr>
              <w:fldChar w:fldCharType="separate"/>
            </w:r>
            <w:r>
              <w:rPr>
                <w:noProof/>
                <w:webHidden/>
                <w:rtl/>
              </w:rPr>
              <w:t>119</w:t>
            </w:r>
            <w:r>
              <w:rPr>
                <w:noProof/>
                <w:webHidden/>
                <w:rtl/>
              </w:rPr>
              <w:fldChar w:fldCharType="end"/>
            </w:r>
          </w:hyperlink>
        </w:p>
        <w:p w14:paraId="309CACB8" w14:textId="6829BF74" w:rsidR="00B81DC8" w:rsidRDefault="00B81DC8" w:rsidP="00B81DC8">
          <w:pPr>
            <w:pStyle w:val="TOC2"/>
            <w:rPr>
              <w:rFonts w:eastAsiaTheme="minorEastAsia"/>
              <w:noProof/>
              <w:kern w:val="2"/>
              <w:sz w:val="24"/>
              <w:szCs w:val="24"/>
              <w:rtl/>
            </w:rPr>
          </w:pPr>
          <w:hyperlink w:anchor="_Toc237539765" w:history="1">
            <w:r w:rsidRPr="00A17556">
              <w:rPr>
                <w:rStyle w:val="Hyperlink"/>
                <w:rFonts w:ascii="Simplified Arabic" w:eastAsiaTheme="majorEastAsia" w:hAnsi="Simplified Arabic" w:cstheme="majorBidi"/>
                <w:b/>
                <w:noProof/>
              </w:rPr>
              <w:t>4.3 Classified Risk Register and Mitigation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Toc237539765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059ADFFF" w14:textId="138DB1BD" w:rsidR="00B81DC8" w:rsidRDefault="00B81DC8" w:rsidP="00B81DC8">
          <w:pPr>
            <w:pStyle w:val="TOC3"/>
            <w:tabs>
              <w:tab w:val="right" w:leader="dot" w:pos="10196"/>
            </w:tabs>
            <w:bidi w:val="0"/>
            <w:rPr>
              <w:rFonts w:eastAsiaTheme="minorEastAsia"/>
              <w:noProof/>
              <w:kern w:val="2"/>
              <w:sz w:val="24"/>
              <w:szCs w:val="24"/>
              <w:rtl/>
            </w:rPr>
          </w:pPr>
          <w:hyperlink w:anchor="_Toc237539766" w:history="1">
            <w:r w:rsidRPr="00A17556">
              <w:rPr>
                <w:rStyle w:val="Hyperlink"/>
                <w:rFonts w:ascii="Simplified Arabic" w:eastAsiaTheme="majorEastAsia" w:hAnsi="Simplified Arabic" w:cstheme="majorBidi"/>
                <w:noProof/>
              </w:rPr>
              <w:t>4.3.1 Register Construction Method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Toc237539766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218FE240" w14:textId="162607BE" w:rsidR="00B81DC8" w:rsidRDefault="00B81DC8" w:rsidP="00B81DC8">
          <w:pPr>
            <w:pStyle w:val="TOC3"/>
            <w:tabs>
              <w:tab w:val="right" w:leader="dot" w:pos="10196"/>
            </w:tabs>
            <w:bidi w:val="0"/>
            <w:rPr>
              <w:rFonts w:eastAsiaTheme="minorEastAsia"/>
              <w:noProof/>
              <w:kern w:val="2"/>
              <w:sz w:val="24"/>
              <w:szCs w:val="24"/>
              <w:rtl/>
            </w:rPr>
          </w:pPr>
          <w:hyperlink w:anchor="_Toc237539767" w:history="1">
            <w:r w:rsidRPr="00A17556">
              <w:rPr>
                <w:rStyle w:val="Hyperlink"/>
                <w:rFonts w:ascii="Simplified Arabic" w:eastAsiaTheme="majorEastAsia" w:hAnsi="Simplified Arabic" w:cstheme="majorBidi"/>
                <w:noProof/>
              </w:rPr>
              <w:t>4.3.2 FIRM Classification of the Risk Universe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Toc237539767 \h</w:instrText>
            </w:r>
            <w:r>
              <w:rPr>
                <w:noProof/>
                <w:webHidden/>
                <w:rtl/>
              </w:rPr>
              <w:instrText xml:space="preserve"> </w:instrText>
            </w:r>
            <w:r>
              <w:rPr>
                <w:noProof/>
                <w:webHidden/>
                <w:rtl/>
              </w:rPr>
            </w:r>
            <w:r>
              <w:rPr>
                <w:noProof/>
                <w:webHidden/>
                <w:rtl/>
              </w:rPr>
              <w:fldChar w:fldCharType="separate"/>
            </w:r>
            <w:r>
              <w:rPr>
                <w:noProof/>
                <w:webHidden/>
                <w:rtl/>
              </w:rPr>
              <w:t>129</w:t>
            </w:r>
            <w:r>
              <w:rPr>
                <w:noProof/>
                <w:webHidden/>
                <w:rtl/>
              </w:rPr>
              <w:fldChar w:fldCharType="end"/>
            </w:r>
          </w:hyperlink>
        </w:p>
        <w:p w14:paraId="27E775F6" w14:textId="45951BD2" w:rsidR="00B81DC8" w:rsidRDefault="00B81DC8" w:rsidP="00B81DC8">
          <w:pPr>
            <w:pStyle w:val="TOC3"/>
            <w:tabs>
              <w:tab w:val="right" w:leader="dot" w:pos="10196"/>
            </w:tabs>
            <w:bidi w:val="0"/>
            <w:rPr>
              <w:rFonts w:eastAsiaTheme="minorEastAsia"/>
              <w:noProof/>
              <w:kern w:val="2"/>
              <w:sz w:val="24"/>
              <w:szCs w:val="24"/>
              <w:rtl/>
            </w:rPr>
          </w:pPr>
          <w:hyperlink w:anchor="_Toc237539768" w:history="1">
            <w:r w:rsidRPr="00A17556">
              <w:rPr>
                <w:rStyle w:val="Hyperlink"/>
                <w:rFonts w:ascii="Simplified Arabic" w:eastAsiaTheme="majorEastAsia" w:hAnsi="Simplified Arabic" w:cstheme="majorBidi"/>
                <w:noProof/>
              </w:rPr>
              <w:t>4.3.3 The Risk Register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Toc237539768 \h</w:instrText>
            </w:r>
            <w:r>
              <w:rPr>
                <w:noProof/>
                <w:webHidden/>
                <w:rtl/>
              </w:rPr>
              <w:instrText xml:space="preserve"> </w:instrText>
            </w:r>
            <w:r>
              <w:rPr>
                <w:noProof/>
                <w:webHidden/>
                <w:rtl/>
              </w:rPr>
            </w:r>
            <w:r>
              <w:rPr>
                <w:noProof/>
                <w:webHidden/>
                <w:rtl/>
              </w:rPr>
              <w:fldChar w:fldCharType="separate"/>
            </w:r>
            <w:r>
              <w:rPr>
                <w:noProof/>
                <w:webHidden/>
                <w:rtl/>
              </w:rPr>
              <w:t>131</w:t>
            </w:r>
            <w:r>
              <w:rPr>
                <w:noProof/>
                <w:webHidden/>
                <w:rtl/>
              </w:rPr>
              <w:fldChar w:fldCharType="end"/>
            </w:r>
          </w:hyperlink>
        </w:p>
        <w:p w14:paraId="75A5277F" w14:textId="679E4016" w:rsidR="00B81DC8" w:rsidRDefault="00B81DC8" w:rsidP="00B81DC8">
          <w:pPr>
            <w:pStyle w:val="TOC3"/>
            <w:tabs>
              <w:tab w:val="right" w:leader="dot" w:pos="10196"/>
            </w:tabs>
            <w:bidi w:val="0"/>
            <w:rPr>
              <w:rFonts w:eastAsiaTheme="minorEastAsia"/>
              <w:noProof/>
              <w:kern w:val="2"/>
              <w:sz w:val="24"/>
              <w:szCs w:val="24"/>
              <w:rtl/>
            </w:rPr>
          </w:pPr>
          <w:hyperlink w:anchor="_Toc237539769" w:history="1">
            <w:r w:rsidRPr="00A17556">
              <w:rPr>
                <w:rStyle w:val="Hyperlink"/>
                <w:rFonts w:ascii="Simplified Arabic" w:eastAsiaTheme="majorEastAsia" w:hAnsi="Simplified Arabic" w:cstheme="majorBidi"/>
                <w:noProof/>
              </w:rPr>
              <w:t>4.3.4 Mitigation Architecture and Residual-Risk Logic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Toc237539769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5BE917C4" w14:textId="468F87F9" w:rsidR="00B81DC8" w:rsidRDefault="00B81DC8" w:rsidP="00B81DC8">
          <w:pPr>
            <w:pStyle w:val="TOC2"/>
            <w:rPr>
              <w:rFonts w:eastAsiaTheme="minorEastAsia"/>
              <w:noProof/>
              <w:kern w:val="2"/>
              <w:sz w:val="24"/>
              <w:szCs w:val="24"/>
              <w:rtl/>
            </w:rPr>
          </w:pPr>
          <w:hyperlink w:anchor="_Toc237539770" w:history="1">
            <w:r w:rsidRPr="00A17556">
              <w:rPr>
                <w:rStyle w:val="Hyperlink"/>
                <w:rFonts w:ascii="Simplified Arabic" w:eastAsiaTheme="majorEastAsia" w:hAnsi="Simplified Arabic" w:cs="Simplified Arabic"/>
                <w:b/>
                <w:noProof/>
              </w:rPr>
              <w:t xml:space="preserve">4.4 </w:t>
            </w:r>
            <w:r w:rsidRPr="00A17556">
              <w:rPr>
                <w:rStyle w:val="Hyperlink"/>
                <w:rFonts w:ascii="Simplified Arabic" w:eastAsiaTheme="majorEastAsia" w:hAnsi="Simplified Arabic" w:cstheme="majorBidi"/>
                <w:b/>
                <w:noProof/>
              </w:rPr>
              <w:t>Key Performance Indicators &amp; Governance Dashboard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Toc237539770 \h</w:instrText>
            </w:r>
            <w:r>
              <w:rPr>
                <w:noProof/>
                <w:webHidden/>
                <w:rtl/>
              </w:rPr>
              <w:instrText xml:space="preserve"> </w:instrText>
            </w:r>
            <w:r>
              <w:rPr>
                <w:noProof/>
                <w:webHidden/>
                <w:rtl/>
              </w:rPr>
            </w:r>
            <w:r>
              <w:rPr>
                <w:noProof/>
                <w:webHidden/>
                <w:rtl/>
              </w:rPr>
              <w:fldChar w:fldCharType="separate"/>
            </w:r>
            <w:r>
              <w:rPr>
                <w:noProof/>
                <w:webHidden/>
                <w:rtl/>
              </w:rPr>
              <w:t>146</w:t>
            </w:r>
            <w:r>
              <w:rPr>
                <w:noProof/>
                <w:webHidden/>
                <w:rtl/>
              </w:rPr>
              <w:fldChar w:fldCharType="end"/>
            </w:r>
          </w:hyperlink>
        </w:p>
        <w:p w14:paraId="184191F2" w14:textId="04905A4B" w:rsidR="00B81DC8" w:rsidRDefault="00B81DC8" w:rsidP="00B81DC8">
          <w:pPr>
            <w:pStyle w:val="TOC3"/>
            <w:tabs>
              <w:tab w:val="right" w:leader="dot" w:pos="10196"/>
            </w:tabs>
            <w:bidi w:val="0"/>
            <w:rPr>
              <w:rFonts w:eastAsiaTheme="minorEastAsia"/>
              <w:noProof/>
              <w:kern w:val="2"/>
              <w:sz w:val="24"/>
              <w:szCs w:val="24"/>
              <w:rtl/>
            </w:rPr>
          </w:pPr>
          <w:hyperlink w:anchor="_Toc237539771" w:history="1">
            <w:r w:rsidRPr="00A17556">
              <w:rPr>
                <w:rStyle w:val="Hyperlink"/>
                <w:rFonts w:ascii="Simplified Arabic" w:eastAsiaTheme="majorEastAsia" w:hAnsi="Simplified Arabic" w:cs="Simplified Arabic"/>
                <w:noProof/>
              </w:rPr>
              <w:t>4.4</w:t>
            </w:r>
            <w:r w:rsidRPr="00A17556">
              <w:rPr>
                <w:rStyle w:val="Hyperlink"/>
                <w:rFonts w:ascii="Simplified Arabic" w:eastAsiaTheme="majorEastAsia" w:hAnsi="Simplified Arabic" w:cstheme="majorBidi"/>
                <w:noProof/>
              </w:rPr>
              <w:t>.1 Measurement Philosophy for a Qualitative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Toc237539771 \h</w:instrText>
            </w:r>
            <w:r>
              <w:rPr>
                <w:noProof/>
                <w:webHidden/>
                <w:rtl/>
              </w:rPr>
              <w:instrText xml:space="preserve"> </w:instrText>
            </w:r>
            <w:r>
              <w:rPr>
                <w:noProof/>
                <w:webHidden/>
                <w:rtl/>
              </w:rPr>
            </w:r>
            <w:r>
              <w:rPr>
                <w:noProof/>
                <w:webHidden/>
                <w:rtl/>
              </w:rPr>
              <w:fldChar w:fldCharType="separate"/>
            </w:r>
            <w:r>
              <w:rPr>
                <w:noProof/>
                <w:webHidden/>
                <w:rtl/>
              </w:rPr>
              <w:t>147</w:t>
            </w:r>
            <w:r>
              <w:rPr>
                <w:noProof/>
                <w:webHidden/>
                <w:rtl/>
              </w:rPr>
              <w:fldChar w:fldCharType="end"/>
            </w:r>
          </w:hyperlink>
        </w:p>
        <w:p w14:paraId="2688BF4A" w14:textId="5017EFCC" w:rsidR="00B81DC8" w:rsidRDefault="00B81DC8" w:rsidP="00B81DC8">
          <w:pPr>
            <w:pStyle w:val="TOC3"/>
            <w:tabs>
              <w:tab w:val="right" w:leader="dot" w:pos="10196"/>
            </w:tabs>
            <w:bidi w:val="0"/>
            <w:rPr>
              <w:rFonts w:eastAsiaTheme="minorEastAsia"/>
              <w:noProof/>
              <w:kern w:val="2"/>
              <w:sz w:val="24"/>
              <w:szCs w:val="24"/>
              <w:rtl/>
            </w:rPr>
          </w:pPr>
          <w:hyperlink w:anchor="_Toc237539772" w:history="1">
            <w:r w:rsidRPr="00A17556">
              <w:rPr>
                <w:rStyle w:val="Hyperlink"/>
                <w:rFonts w:ascii="Simplified Arabic" w:eastAsiaTheme="majorEastAsia" w:hAnsi="Simplified Arabic" w:cs="Simplified Arabic"/>
                <w:noProof/>
              </w:rPr>
              <w:t>4.4</w:t>
            </w:r>
            <w:r w:rsidRPr="00A17556">
              <w:rPr>
                <w:rStyle w:val="Hyperlink"/>
                <w:rFonts w:ascii="Simplified Arabic" w:eastAsiaTheme="majorEastAsia" w:hAnsi="Simplified Arabic" w:cstheme="majorBidi"/>
                <w:noProof/>
              </w:rPr>
              <w:t>.2 Operational Efficiency 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Toc237539772 \h</w:instrText>
            </w:r>
            <w:r>
              <w:rPr>
                <w:noProof/>
                <w:webHidden/>
                <w:rtl/>
              </w:rPr>
              <w:instrText xml:space="preserve"> </w:instrText>
            </w:r>
            <w:r>
              <w:rPr>
                <w:noProof/>
                <w:webHidden/>
                <w:rtl/>
              </w:rPr>
            </w:r>
            <w:r>
              <w:rPr>
                <w:noProof/>
                <w:webHidden/>
                <w:rtl/>
              </w:rPr>
              <w:fldChar w:fldCharType="separate"/>
            </w:r>
            <w:r>
              <w:rPr>
                <w:noProof/>
                <w:webHidden/>
                <w:rtl/>
              </w:rPr>
              <w:t>149</w:t>
            </w:r>
            <w:r>
              <w:rPr>
                <w:noProof/>
                <w:webHidden/>
                <w:rtl/>
              </w:rPr>
              <w:fldChar w:fldCharType="end"/>
            </w:r>
          </w:hyperlink>
        </w:p>
        <w:p w14:paraId="671F5392" w14:textId="4DD70244" w:rsidR="00B81DC8" w:rsidRDefault="00B81DC8" w:rsidP="00B81DC8">
          <w:pPr>
            <w:pStyle w:val="TOC3"/>
            <w:tabs>
              <w:tab w:val="right" w:leader="dot" w:pos="10196"/>
            </w:tabs>
            <w:bidi w:val="0"/>
            <w:rPr>
              <w:rFonts w:eastAsiaTheme="minorEastAsia"/>
              <w:noProof/>
              <w:kern w:val="2"/>
              <w:sz w:val="24"/>
              <w:szCs w:val="24"/>
              <w:rtl/>
            </w:rPr>
          </w:pPr>
          <w:hyperlink w:anchor="_Toc237539773" w:history="1">
            <w:r w:rsidRPr="00A17556">
              <w:rPr>
                <w:rStyle w:val="Hyperlink"/>
                <w:rFonts w:ascii="Simplified Arabic" w:eastAsiaTheme="majorEastAsia" w:hAnsi="Simplified Arabic" w:cs="Simplified Arabic"/>
                <w:noProof/>
              </w:rPr>
              <w:t>4.4</w:t>
            </w:r>
            <w:r w:rsidRPr="00A17556">
              <w:rPr>
                <w:rStyle w:val="Hyperlink"/>
                <w:rFonts w:ascii="Simplified Arabic" w:eastAsiaTheme="majorEastAsia" w:hAnsi="Simplified Arabic" w:cstheme="majorBidi"/>
                <w:noProof/>
              </w:rPr>
              <w:t>.3 Environmental &amp; Safety 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Toc237539773 \h</w:instrText>
            </w:r>
            <w:r>
              <w:rPr>
                <w:noProof/>
                <w:webHidden/>
                <w:rtl/>
              </w:rPr>
              <w:instrText xml:space="preserve"> </w:instrText>
            </w:r>
            <w:r>
              <w:rPr>
                <w:noProof/>
                <w:webHidden/>
                <w:rtl/>
              </w:rPr>
            </w:r>
            <w:r>
              <w:rPr>
                <w:noProof/>
                <w:webHidden/>
                <w:rtl/>
              </w:rPr>
              <w:fldChar w:fldCharType="separate"/>
            </w:r>
            <w:r>
              <w:rPr>
                <w:noProof/>
                <w:webHidden/>
                <w:rtl/>
              </w:rPr>
              <w:t>152</w:t>
            </w:r>
            <w:r>
              <w:rPr>
                <w:noProof/>
                <w:webHidden/>
                <w:rtl/>
              </w:rPr>
              <w:fldChar w:fldCharType="end"/>
            </w:r>
          </w:hyperlink>
        </w:p>
        <w:p w14:paraId="37D5F223" w14:textId="34611006" w:rsidR="00B81DC8" w:rsidRDefault="00B81DC8" w:rsidP="00B81DC8">
          <w:pPr>
            <w:pStyle w:val="TOC3"/>
            <w:tabs>
              <w:tab w:val="right" w:leader="dot" w:pos="10196"/>
            </w:tabs>
            <w:bidi w:val="0"/>
            <w:rPr>
              <w:rFonts w:eastAsiaTheme="minorEastAsia"/>
              <w:noProof/>
              <w:kern w:val="2"/>
              <w:sz w:val="24"/>
              <w:szCs w:val="24"/>
              <w:rtl/>
            </w:rPr>
          </w:pPr>
          <w:hyperlink w:anchor="_Toc237539774" w:history="1">
            <w:r w:rsidRPr="00A17556">
              <w:rPr>
                <w:rStyle w:val="Hyperlink"/>
                <w:rFonts w:ascii="Simplified Arabic" w:eastAsiaTheme="majorEastAsia" w:hAnsi="Simplified Arabic" w:cs="Simplified Arabic"/>
                <w:noProof/>
              </w:rPr>
              <w:t>4.4</w:t>
            </w:r>
            <w:r w:rsidRPr="00A17556">
              <w:rPr>
                <w:rStyle w:val="Hyperlink"/>
                <w:rFonts w:ascii="Simplified Arabic" w:eastAsiaTheme="majorEastAsia" w:hAnsi="Simplified Arabic" w:cstheme="majorBidi"/>
                <w:noProof/>
              </w:rPr>
              <w:t>.4 Governance &amp; Digital Readiness KPIs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Toc237539774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25B70A59" w14:textId="3363B80C" w:rsidR="00B81DC8" w:rsidRDefault="00B81DC8" w:rsidP="00B81DC8">
          <w:pPr>
            <w:pStyle w:val="TOC3"/>
            <w:tabs>
              <w:tab w:val="right" w:leader="dot" w:pos="10196"/>
            </w:tabs>
            <w:bidi w:val="0"/>
            <w:rPr>
              <w:rFonts w:eastAsiaTheme="minorEastAsia"/>
              <w:noProof/>
              <w:kern w:val="2"/>
              <w:sz w:val="24"/>
              <w:szCs w:val="24"/>
              <w:rtl/>
            </w:rPr>
          </w:pPr>
          <w:hyperlink w:anchor="_Toc237539775" w:history="1">
            <w:r w:rsidRPr="00A17556">
              <w:rPr>
                <w:rStyle w:val="Hyperlink"/>
                <w:rFonts w:ascii="Simplified Arabic" w:eastAsiaTheme="majorEastAsia" w:hAnsi="Simplified Arabic" w:cs="Simplified Arabic"/>
                <w:noProof/>
              </w:rPr>
              <w:t>4.4</w:t>
            </w:r>
            <w:r w:rsidRPr="00A17556">
              <w:rPr>
                <w:rStyle w:val="Hyperlink"/>
                <w:rFonts w:ascii="Simplified Arabic" w:eastAsiaTheme="majorEastAsia" w:hAnsi="Simplified Arabic" w:cstheme="majorBidi"/>
                <w:noProof/>
              </w:rPr>
              <w:t>.5 The Governance Dashboard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Toc237539775 \h</w:instrText>
            </w:r>
            <w:r>
              <w:rPr>
                <w:noProof/>
                <w:webHidden/>
                <w:rtl/>
              </w:rPr>
              <w:instrText xml:space="preserve"> </w:instrText>
            </w:r>
            <w:r>
              <w:rPr>
                <w:noProof/>
                <w:webHidden/>
                <w:rtl/>
              </w:rPr>
            </w:r>
            <w:r>
              <w:rPr>
                <w:noProof/>
                <w:webHidden/>
                <w:rtl/>
              </w:rPr>
              <w:fldChar w:fldCharType="separate"/>
            </w:r>
            <w:r>
              <w:rPr>
                <w:noProof/>
                <w:webHidden/>
                <w:rtl/>
              </w:rPr>
              <w:t>158</w:t>
            </w:r>
            <w:r>
              <w:rPr>
                <w:noProof/>
                <w:webHidden/>
                <w:rtl/>
              </w:rPr>
              <w:fldChar w:fldCharType="end"/>
            </w:r>
          </w:hyperlink>
        </w:p>
        <w:p w14:paraId="7A14C5CE" w14:textId="5D05D280" w:rsidR="00B81DC8" w:rsidRDefault="00B81DC8" w:rsidP="00B81DC8">
          <w:pPr>
            <w:pStyle w:val="TOC2"/>
            <w:rPr>
              <w:rFonts w:eastAsiaTheme="minorEastAsia"/>
              <w:noProof/>
              <w:kern w:val="2"/>
              <w:sz w:val="24"/>
              <w:szCs w:val="24"/>
              <w:rtl/>
            </w:rPr>
          </w:pPr>
          <w:hyperlink w:anchor="_Toc237539776" w:history="1">
            <w:r w:rsidRPr="00A17556">
              <w:rPr>
                <w:rStyle w:val="Hyperlink"/>
                <w:rFonts w:ascii="Simplified Arabic" w:eastAsiaTheme="majorEastAsia" w:hAnsi="Simplified Arabic" w:cstheme="majorBidi"/>
                <w:b/>
                <w:noProof/>
              </w:rPr>
              <w:t>4.5 Phased Implementation Roadmap and Change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Toc237539776 \h</w:instrText>
            </w:r>
            <w:r>
              <w:rPr>
                <w:noProof/>
                <w:webHidden/>
                <w:rtl/>
              </w:rPr>
              <w:instrText xml:space="preserve"> </w:instrText>
            </w:r>
            <w:r>
              <w:rPr>
                <w:noProof/>
                <w:webHidden/>
                <w:rtl/>
              </w:rPr>
            </w:r>
            <w:r>
              <w:rPr>
                <w:noProof/>
                <w:webHidden/>
                <w:rtl/>
              </w:rPr>
              <w:fldChar w:fldCharType="separate"/>
            </w:r>
            <w:r>
              <w:rPr>
                <w:noProof/>
                <w:webHidden/>
                <w:rtl/>
              </w:rPr>
              <w:t>163</w:t>
            </w:r>
            <w:r>
              <w:rPr>
                <w:noProof/>
                <w:webHidden/>
                <w:rtl/>
              </w:rPr>
              <w:fldChar w:fldCharType="end"/>
            </w:r>
          </w:hyperlink>
        </w:p>
        <w:p w14:paraId="09F56900" w14:textId="3A2409CE" w:rsidR="00B81DC8" w:rsidRDefault="00B81DC8" w:rsidP="00B81DC8">
          <w:pPr>
            <w:pStyle w:val="TOC3"/>
            <w:tabs>
              <w:tab w:val="right" w:leader="dot" w:pos="10196"/>
            </w:tabs>
            <w:bidi w:val="0"/>
            <w:rPr>
              <w:rFonts w:eastAsiaTheme="minorEastAsia"/>
              <w:noProof/>
              <w:kern w:val="2"/>
              <w:sz w:val="24"/>
              <w:szCs w:val="24"/>
              <w:rtl/>
            </w:rPr>
          </w:pPr>
          <w:hyperlink w:anchor="_Toc237539777" w:history="1">
            <w:r w:rsidRPr="00A17556">
              <w:rPr>
                <w:rStyle w:val="Hyperlink"/>
                <w:rFonts w:ascii="Simplified Arabic" w:eastAsiaTheme="majorEastAsia" w:hAnsi="Simplified Arabic" w:cstheme="majorBidi"/>
                <w:noProof/>
              </w:rPr>
              <w:t>4.5.1 Sequencing Logic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Toc237539777 \h</w:instrText>
            </w:r>
            <w:r>
              <w:rPr>
                <w:noProof/>
                <w:webHidden/>
                <w:rtl/>
              </w:rPr>
              <w:instrText xml:space="preserve"> </w:instrText>
            </w:r>
            <w:r>
              <w:rPr>
                <w:noProof/>
                <w:webHidden/>
                <w:rtl/>
              </w:rPr>
            </w:r>
            <w:r>
              <w:rPr>
                <w:noProof/>
                <w:webHidden/>
                <w:rtl/>
              </w:rPr>
              <w:fldChar w:fldCharType="separate"/>
            </w:r>
            <w:r>
              <w:rPr>
                <w:noProof/>
                <w:webHidden/>
                <w:rtl/>
              </w:rPr>
              <w:t>164</w:t>
            </w:r>
            <w:r>
              <w:rPr>
                <w:noProof/>
                <w:webHidden/>
                <w:rtl/>
              </w:rPr>
              <w:fldChar w:fldCharType="end"/>
            </w:r>
          </w:hyperlink>
        </w:p>
        <w:p w14:paraId="26C9CD8A" w14:textId="6DD5D833" w:rsidR="00B81DC8" w:rsidRDefault="00B81DC8" w:rsidP="00B81DC8">
          <w:pPr>
            <w:pStyle w:val="TOC3"/>
            <w:tabs>
              <w:tab w:val="right" w:leader="dot" w:pos="10196"/>
            </w:tabs>
            <w:bidi w:val="0"/>
            <w:rPr>
              <w:rFonts w:eastAsiaTheme="minorEastAsia"/>
              <w:noProof/>
              <w:kern w:val="2"/>
              <w:sz w:val="24"/>
              <w:szCs w:val="24"/>
              <w:rtl/>
            </w:rPr>
          </w:pPr>
          <w:hyperlink w:anchor="_Toc237539778" w:history="1">
            <w:r w:rsidRPr="00A17556">
              <w:rPr>
                <w:rStyle w:val="Hyperlink"/>
                <w:rFonts w:ascii="Simplified Arabic" w:eastAsiaTheme="majorEastAsia" w:hAnsi="Simplified Arabic" w:cstheme="majorBidi"/>
                <w:noProof/>
              </w:rPr>
              <w:t>4.5.2 Phase 1: Institutional Foundation and Policy Ratification (Months 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Toc237539778 \h</w:instrText>
            </w:r>
            <w:r>
              <w:rPr>
                <w:noProof/>
                <w:webHidden/>
                <w:rtl/>
              </w:rPr>
              <w:instrText xml:space="preserve"> </w:instrText>
            </w:r>
            <w:r>
              <w:rPr>
                <w:noProof/>
                <w:webHidden/>
                <w:rtl/>
              </w:rPr>
            </w:r>
            <w:r>
              <w:rPr>
                <w:noProof/>
                <w:webHidden/>
                <w:rtl/>
              </w:rPr>
              <w:fldChar w:fldCharType="separate"/>
            </w:r>
            <w:r>
              <w:rPr>
                <w:noProof/>
                <w:webHidden/>
                <w:rtl/>
              </w:rPr>
              <w:t>166</w:t>
            </w:r>
            <w:r>
              <w:rPr>
                <w:noProof/>
                <w:webHidden/>
                <w:rtl/>
              </w:rPr>
              <w:fldChar w:fldCharType="end"/>
            </w:r>
          </w:hyperlink>
        </w:p>
        <w:p w14:paraId="26DEE4E0" w14:textId="467BEDD2" w:rsidR="00B81DC8" w:rsidRDefault="00B81DC8" w:rsidP="00B81DC8">
          <w:pPr>
            <w:pStyle w:val="TOC3"/>
            <w:tabs>
              <w:tab w:val="right" w:leader="dot" w:pos="10196"/>
            </w:tabs>
            <w:bidi w:val="0"/>
            <w:rPr>
              <w:rFonts w:eastAsiaTheme="minorEastAsia"/>
              <w:noProof/>
              <w:kern w:val="2"/>
              <w:sz w:val="24"/>
              <w:szCs w:val="24"/>
              <w:rtl/>
            </w:rPr>
          </w:pPr>
          <w:hyperlink w:anchor="_Toc237539779" w:history="1">
            <w:r w:rsidRPr="00A17556">
              <w:rPr>
                <w:rStyle w:val="Hyperlink"/>
                <w:rFonts w:ascii="Simplified Arabic" w:eastAsiaTheme="majorEastAsia" w:hAnsi="Simplified Arabic" w:cstheme="majorBidi"/>
                <w:noProof/>
              </w:rPr>
              <w:t>4.5.3 Phase 2: Catalog Standardization and Data Onboarding (Months 3–4)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Toc237539779 \h</w:instrText>
            </w:r>
            <w:r>
              <w:rPr>
                <w:noProof/>
                <w:webHidden/>
                <w:rtl/>
              </w:rPr>
              <w:instrText xml:space="preserve"> </w:instrText>
            </w:r>
            <w:r>
              <w:rPr>
                <w:noProof/>
                <w:webHidden/>
                <w:rtl/>
              </w:rPr>
            </w:r>
            <w:r>
              <w:rPr>
                <w:noProof/>
                <w:webHidden/>
                <w:rtl/>
              </w:rPr>
              <w:fldChar w:fldCharType="separate"/>
            </w:r>
            <w:r>
              <w:rPr>
                <w:noProof/>
                <w:webHidden/>
                <w:rtl/>
              </w:rPr>
              <w:t>168</w:t>
            </w:r>
            <w:r>
              <w:rPr>
                <w:noProof/>
                <w:webHidden/>
                <w:rtl/>
              </w:rPr>
              <w:fldChar w:fldCharType="end"/>
            </w:r>
          </w:hyperlink>
        </w:p>
        <w:p w14:paraId="4FFF32A0" w14:textId="3958233C" w:rsidR="00B81DC8" w:rsidRDefault="00B81DC8" w:rsidP="00B81DC8">
          <w:pPr>
            <w:pStyle w:val="TOC3"/>
            <w:tabs>
              <w:tab w:val="right" w:leader="dot" w:pos="10196"/>
            </w:tabs>
            <w:bidi w:val="0"/>
            <w:rPr>
              <w:rFonts w:eastAsiaTheme="minorEastAsia"/>
              <w:noProof/>
              <w:kern w:val="2"/>
              <w:sz w:val="24"/>
              <w:szCs w:val="24"/>
              <w:rtl/>
            </w:rPr>
          </w:pPr>
          <w:hyperlink w:anchor="_Toc237539780" w:history="1">
            <w:r w:rsidRPr="00A17556">
              <w:rPr>
                <w:rStyle w:val="Hyperlink"/>
                <w:rFonts w:ascii="Simplified Arabic" w:eastAsiaTheme="majorEastAsia" w:hAnsi="Simplified Arabic" w:cstheme="majorBidi"/>
                <w:noProof/>
              </w:rPr>
              <w:t>4.5.4 Phase 3: Biology Department Pilot and Workflow Testing (Months 5–6)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Toc237539780 \h</w:instrText>
            </w:r>
            <w:r>
              <w:rPr>
                <w:noProof/>
                <w:webHidden/>
                <w:rtl/>
              </w:rPr>
              <w:instrText xml:space="preserve"> </w:instrText>
            </w:r>
            <w:r>
              <w:rPr>
                <w:noProof/>
                <w:webHidden/>
                <w:rtl/>
              </w:rPr>
            </w:r>
            <w:r>
              <w:rPr>
                <w:noProof/>
                <w:webHidden/>
                <w:rtl/>
              </w:rPr>
              <w:fldChar w:fldCharType="separate"/>
            </w:r>
            <w:r>
              <w:rPr>
                <w:noProof/>
                <w:webHidden/>
                <w:rtl/>
              </w:rPr>
              <w:t>170</w:t>
            </w:r>
            <w:r>
              <w:rPr>
                <w:noProof/>
                <w:webHidden/>
                <w:rtl/>
              </w:rPr>
              <w:fldChar w:fldCharType="end"/>
            </w:r>
          </w:hyperlink>
        </w:p>
        <w:p w14:paraId="0C460862" w14:textId="645F3C84" w:rsidR="00B81DC8" w:rsidRDefault="00B81DC8" w:rsidP="00B81DC8">
          <w:pPr>
            <w:pStyle w:val="TOC3"/>
            <w:tabs>
              <w:tab w:val="right" w:leader="dot" w:pos="10196"/>
            </w:tabs>
            <w:bidi w:val="0"/>
            <w:rPr>
              <w:rFonts w:eastAsiaTheme="minorEastAsia"/>
              <w:noProof/>
              <w:kern w:val="2"/>
              <w:sz w:val="24"/>
              <w:szCs w:val="24"/>
              <w:rtl/>
            </w:rPr>
          </w:pPr>
          <w:hyperlink w:anchor="_Toc237539781" w:history="1">
            <w:r w:rsidRPr="00A17556">
              <w:rPr>
                <w:rStyle w:val="Hyperlink"/>
                <w:rFonts w:ascii="Simplified Arabic" w:eastAsiaTheme="majorEastAsia" w:hAnsi="Simplified Arabic" w:cstheme="majorBidi"/>
                <w:noProof/>
              </w:rPr>
              <w:t>4.5.5 Phase 4: College-Wide Scaling and Digital Platform Readiness Gate (Continuous)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Toc237539781 \h</w:instrText>
            </w:r>
            <w:r>
              <w:rPr>
                <w:noProof/>
                <w:webHidden/>
                <w:rtl/>
              </w:rPr>
              <w:instrText xml:space="preserve"> </w:instrText>
            </w:r>
            <w:r>
              <w:rPr>
                <w:noProof/>
                <w:webHidden/>
                <w:rtl/>
              </w:rPr>
            </w:r>
            <w:r>
              <w:rPr>
                <w:noProof/>
                <w:webHidden/>
                <w:rtl/>
              </w:rPr>
              <w:fldChar w:fldCharType="separate"/>
            </w:r>
            <w:r>
              <w:rPr>
                <w:noProof/>
                <w:webHidden/>
                <w:rtl/>
              </w:rPr>
              <w:t>172</w:t>
            </w:r>
            <w:r>
              <w:rPr>
                <w:noProof/>
                <w:webHidden/>
                <w:rtl/>
              </w:rPr>
              <w:fldChar w:fldCharType="end"/>
            </w:r>
          </w:hyperlink>
        </w:p>
        <w:p w14:paraId="75BC4C6C" w14:textId="31DDE0D2" w:rsidR="00B81DC8" w:rsidRDefault="00B81DC8" w:rsidP="00B81DC8">
          <w:pPr>
            <w:pStyle w:val="TOC3"/>
            <w:tabs>
              <w:tab w:val="right" w:leader="dot" w:pos="10196"/>
            </w:tabs>
            <w:bidi w:val="0"/>
            <w:rPr>
              <w:rFonts w:eastAsiaTheme="minorEastAsia"/>
              <w:noProof/>
              <w:kern w:val="2"/>
              <w:sz w:val="24"/>
              <w:szCs w:val="24"/>
              <w:rtl/>
            </w:rPr>
          </w:pPr>
          <w:hyperlink w:anchor="_Toc237539782" w:history="1">
            <w:r w:rsidRPr="00A17556">
              <w:rPr>
                <w:rStyle w:val="Hyperlink"/>
                <w:rFonts w:ascii="Simplified Arabic" w:eastAsiaTheme="majorEastAsia" w:hAnsi="Simplified Arabic" w:cstheme="majorBidi"/>
                <w:noProof/>
              </w:rPr>
              <w:t>4.5.6 Consolidated Roadmap Table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Toc237539782 \h</w:instrText>
            </w:r>
            <w:r>
              <w:rPr>
                <w:noProof/>
                <w:webHidden/>
                <w:rtl/>
              </w:rPr>
              <w:instrText xml:space="preserve"> </w:instrText>
            </w:r>
            <w:r>
              <w:rPr>
                <w:noProof/>
                <w:webHidden/>
                <w:rtl/>
              </w:rPr>
            </w:r>
            <w:r>
              <w:rPr>
                <w:noProof/>
                <w:webHidden/>
                <w:rtl/>
              </w:rPr>
              <w:fldChar w:fldCharType="separate"/>
            </w:r>
            <w:r>
              <w:rPr>
                <w:noProof/>
                <w:webHidden/>
                <w:rtl/>
              </w:rPr>
              <w:t>173</w:t>
            </w:r>
            <w:r>
              <w:rPr>
                <w:noProof/>
                <w:webHidden/>
                <w:rtl/>
              </w:rPr>
              <w:fldChar w:fldCharType="end"/>
            </w:r>
          </w:hyperlink>
        </w:p>
        <w:p w14:paraId="53CCCD9C" w14:textId="24344A6E" w:rsidR="00B81DC8" w:rsidRDefault="00B81DC8" w:rsidP="00B81DC8">
          <w:pPr>
            <w:pStyle w:val="TOC3"/>
            <w:tabs>
              <w:tab w:val="right" w:leader="dot" w:pos="10196"/>
            </w:tabs>
            <w:bidi w:val="0"/>
            <w:rPr>
              <w:rFonts w:eastAsiaTheme="minorEastAsia"/>
              <w:noProof/>
              <w:kern w:val="2"/>
              <w:sz w:val="24"/>
              <w:szCs w:val="24"/>
              <w:rtl/>
            </w:rPr>
          </w:pPr>
          <w:hyperlink w:anchor="_Toc237539783" w:history="1">
            <w:r w:rsidRPr="00A17556">
              <w:rPr>
                <w:rStyle w:val="Hyperlink"/>
                <w:rFonts w:ascii="Simplified Arabic" w:eastAsiaTheme="majorEastAsia" w:hAnsi="Simplified Arabic" w:cstheme="majorBidi"/>
                <w:noProof/>
              </w:rPr>
              <w:t>4.5.7 Change Management and Barrier Mitigation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Toc237539783 \h</w:instrText>
            </w:r>
            <w:r>
              <w:rPr>
                <w:noProof/>
                <w:webHidden/>
                <w:rtl/>
              </w:rPr>
              <w:instrText xml:space="preserve"> </w:instrText>
            </w:r>
            <w:r>
              <w:rPr>
                <w:noProof/>
                <w:webHidden/>
                <w:rtl/>
              </w:rPr>
            </w:r>
            <w:r>
              <w:rPr>
                <w:noProof/>
                <w:webHidden/>
                <w:rtl/>
              </w:rPr>
              <w:fldChar w:fldCharType="separate"/>
            </w:r>
            <w:r>
              <w:rPr>
                <w:noProof/>
                <w:webHidden/>
                <w:rtl/>
              </w:rPr>
              <w:t>175</w:t>
            </w:r>
            <w:r>
              <w:rPr>
                <w:noProof/>
                <w:webHidden/>
                <w:rtl/>
              </w:rPr>
              <w:fldChar w:fldCharType="end"/>
            </w:r>
          </w:hyperlink>
        </w:p>
        <w:p w14:paraId="72F8B59B" w14:textId="091F5351" w:rsidR="00B81DC8" w:rsidRDefault="00B81DC8" w:rsidP="00B81DC8">
          <w:pPr>
            <w:pStyle w:val="TOC2"/>
            <w:rPr>
              <w:rFonts w:eastAsiaTheme="minorEastAsia"/>
              <w:noProof/>
              <w:kern w:val="2"/>
              <w:sz w:val="24"/>
              <w:szCs w:val="24"/>
              <w:rtl/>
            </w:rPr>
          </w:pPr>
          <w:hyperlink w:anchor="_Toc237539784" w:history="1">
            <w:r w:rsidRPr="00A17556">
              <w:rPr>
                <w:rStyle w:val="Hyperlink"/>
                <w:rFonts w:ascii="Simplified Arabic" w:eastAsiaTheme="majorEastAsia" w:hAnsi="Simplified Arabic" w:cstheme="majorBidi"/>
                <w:b/>
                <w:noProof/>
              </w:rPr>
              <w:t>4.6 Executive Research Recommendations and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Toc237539784 \h</w:instrText>
            </w:r>
            <w:r>
              <w:rPr>
                <w:noProof/>
                <w:webHidden/>
                <w:rtl/>
              </w:rPr>
              <w:instrText xml:space="preserve"> </w:instrText>
            </w:r>
            <w:r>
              <w:rPr>
                <w:noProof/>
                <w:webHidden/>
                <w:rtl/>
              </w:rPr>
            </w:r>
            <w:r>
              <w:rPr>
                <w:noProof/>
                <w:webHidden/>
                <w:rtl/>
              </w:rPr>
              <w:fldChar w:fldCharType="separate"/>
            </w:r>
            <w:r>
              <w:rPr>
                <w:noProof/>
                <w:webHidden/>
                <w:rtl/>
              </w:rPr>
              <w:t>179</w:t>
            </w:r>
            <w:r>
              <w:rPr>
                <w:noProof/>
                <w:webHidden/>
                <w:rtl/>
              </w:rPr>
              <w:fldChar w:fldCharType="end"/>
            </w:r>
          </w:hyperlink>
        </w:p>
        <w:p w14:paraId="4A5BF6A4" w14:textId="5BC9A237" w:rsidR="00B81DC8" w:rsidRDefault="00B81DC8" w:rsidP="00B81DC8">
          <w:pPr>
            <w:pStyle w:val="TOC3"/>
            <w:tabs>
              <w:tab w:val="right" w:leader="dot" w:pos="10196"/>
            </w:tabs>
            <w:bidi w:val="0"/>
            <w:rPr>
              <w:rFonts w:eastAsiaTheme="minorEastAsia"/>
              <w:noProof/>
              <w:kern w:val="2"/>
              <w:sz w:val="24"/>
              <w:szCs w:val="24"/>
              <w:rtl/>
            </w:rPr>
          </w:pPr>
          <w:hyperlink w:anchor="_Toc237539785" w:history="1">
            <w:r w:rsidRPr="00A17556">
              <w:rPr>
                <w:rStyle w:val="Hyperlink"/>
                <w:rFonts w:ascii="Simplified Arabic" w:eastAsiaTheme="majorEastAsia" w:hAnsi="Simplified Arabic" w:cstheme="majorBidi"/>
                <w:noProof/>
              </w:rPr>
              <w:t>4.6.1 Synthesis of the Study’s Argument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Toc237539785 \h</w:instrText>
            </w:r>
            <w:r>
              <w:rPr>
                <w:noProof/>
                <w:webHidden/>
                <w:rtl/>
              </w:rPr>
              <w:instrText xml:space="preserve"> </w:instrText>
            </w:r>
            <w:r>
              <w:rPr>
                <w:noProof/>
                <w:webHidden/>
                <w:rtl/>
              </w:rPr>
            </w:r>
            <w:r>
              <w:rPr>
                <w:noProof/>
                <w:webHidden/>
                <w:rtl/>
              </w:rPr>
              <w:fldChar w:fldCharType="separate"/>
            </w:r>
            <w:r>
              <w:rPr>
                <w:noProof/>
                <w:webHidden/>
                <w:rtl/>
              </w:rPr>
              <w:t>180</w:t>
            </w:r>
            <w:r>
              <w:rPr>
                <w:noProof/>
                <w:webHidden/>
                <w:rtl/>
              </w:rPr>
              <w:fldChar w:fldCharType="end"/>
            </w:r>
          </w:hyperlink>
        </w:p>
        <w:p w14:paraId="4511CAD1" w14:textId="617CDC30" w:rsidR="00B81DC8" w:rsidRDefault="00B81DC8" w:rsidP="00B81DC8">
          <w:pPr>
            <w:pStyle w:val="TOC3"/>
            <w:tabs>
              <w:tab w:val="right" w:leader="dot" w:pos="10196"/>
            </w:tabs>
            <w:bidi w:val="0"/>
            <w:rPr>
              <w:rFonts w:eastAsiaTheme="minorEastAsia"/>
              <w:noProof/>
              <w:kern w:val="2"/>
              <w:sz w:val="24"/>
              <w:szCs w:val="24"/>
              <w:rtl/>
            </w:rPr>
          </w:pPr>
          <w:hyperlink w:anchor="_Toc237539786" w:history="1">
            <w:r w:rsidRPr="00A17556">
              <w:rPr>
                <w:rStyle w:val="Hyperlink"/>
                <w:rFonts w:ascii="Simplified Arabic" w:eastAsiaTheme="majorEastAsia" w:hAnsi="Simplified Arabic" w:cstheme="majorBidi"/>
                <w:noProof/>
              </w:rPr>
              <w:t>4.6.2 Strategic Recommendations for University Leadership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Toc237539786 \h</w:instrText>
            </w:r>
            <w:r>
              <w:rPr>
                <w:noProof/>
                <w:webHidden/>
                <w:rtl/>
              </w:rPr>
              <w:instrText xml:space="preserve"> </w:instrText>
            </w:r>
            <w:r>
              <w:rPr>
                <w:noProof/>
                <w:webHidden/>
                <w:rtl/>
              </w:rPr>
            </w:r>
            <w:r>
              <w:rPr>
                <w:noProof/>
                <w:webHidden/>
                <w:rtl/>
              </w:rPr>
              <w:fldChar w:fldCharType="separate"/>
            </w:r>
            <w:r>
              <w:rPr>
                <w:noProof/>
                <w:webHidden/>
                <w:rtl/>
              </w:rPr>
              <w:t>182</w:t>
            </w:r>
            <w:r>
              <w:rPr>
                <w:noProof/>
                <w:webHidden/>
                <w:rtl/>
              </w:rPr>
              <w:fldChar w:fldCharType="end"/>
            </w:r>
          </w:hyperlink>
        </w:p>
        <w:p w14:paraId="569E9A94" w14:textId="4CC8DEAD" w:rsidR="00B81DC8" w:rsidRDefault="00B81DC8" w:rsidP="00B81DC8">
          <w:pPr>
            <w:pStyle w:val="TOC3"/>
            <w:tabs>
              <w:tab w:val="right" w:leader="dot" w:pos="10196"/>
            </w:tabs>
            <w:bidi w:val="0"/>
            <w:rPr>
              <w:rFonts w:eastAsiaTheme="minorEastAsia"/>
              <w:noProof/>
              <w:kern w:val="2"/>
              <w:sz w:val="24"/>
              <w:szCs w:val="24"/>
              <w:rtl/>
            </w:rPr>
          </w:pPr>
          <w:hyperlink w:anchor="_Toc237539787" w:history="1">
            <w:r w:rsidRPr="00A17556">
              <w:rPr>
                <w:rStyle w:val="Hyperlink"/>
                <w:rFonts w:ascii="Simplified Arabic" w:eastAsiaTheme="majorEastAsia" w:hAnsi="Simplified Arabic" w:cstheme="majorBidi"/>
                <w:noProof/>
              </w:rPr>
              <w:t>4.6.3 Recommendations for College Management (College of Science Deanship)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Toc237539787 \h</w:instrText>
            </w:r>
            <w:r>
              <w:rPr>
                <w:noProof/>
                <w:webHidden/>
                <w:rtl/>
              </w:rPr>
              <w:instrText xml:space="preserve"> </w:instrText>
            </w:r>
            <w:r>
              <w:rPr>
                <w:noProof/>
                <w:webHidden/>
                <w:rtl/>
              </w:rPr>
            </w:r>
            <w:r>
              <w:rPr>
                <w:noProof/>
                <w:webHidden/>
                <w:rtl/>
              </w:rPr>
              <w:fldChar w:fldCharType="separate"/>
            </w:r>
            <w:r>
              <w:rPr>
                <w:noProof/>
                <w:webHidden/>
                <w:rtl/>
              </w:rPr>
              <w:t>184</w:t>
            </w:r>
            <w:r>
              <w:rPr>
                <w:noProof/>
                <w:webHidden/>
                <w:rtl/>
              </w:rPr>
              <w:fldChar w:fldCharType="end"/>
            </w:r>
          </w:hyperlink>
        </w:p>
        <w:p w14:paraId="1D9CF3C3" w14:textId="6F1E260D" w:rsidR="00B81DC8" w:rsidRDefault="00B81DC8" w:rsidP="00B81DC8">
          <w:pPr>
            <w:pStyle w:val="TOC3"/>
            <w:tabs>
              <w:tab w:val="right" w:leader="dot" w:pos="10196"/>
            </w:tabs>
            <w:bidi w:val="0"/>
            <w:rPr>
              <w:rFonts w:eastAsiaTheme="minorEastAsia"/>
              <w:noProof/>
              <w:kern w:val="2"/>
              <w:sz w:val="24"/>
              <w:szCs w:val="24"/>
              <w:rtl/>
            </w:rPr>
          </w:pPr>
          <w:hyperlink w:anchor="_Toc237539788" w:history="1">
            <w:r w:rsidRPr="00A17556">
              <w:rPr>
                <w:rStyle w:val="Hyperlink"/>
                <w:rFonts w:ascii="Simplified Arabic" w:eastAsiaTheme="majorEastAsia" w:hAnsi="Simplified Arabic" w:cstheme="majorBidi"/>
                <w:noProof/>
              </w:rPr>
              <w:t>4.6.4 Recommendations for Laboratory Supervisory Personnel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Toc237539788 \h</w:instrText>
            </w:r>
            <w:r>
              <w:rPr>
                <w:noProof/>
                <w:webHidden/>
                <w:rtl/>
              </w:rPr>
              <w:instrText xml:space="preserve"> </w:instrText>
            </w:r>
            <w:r>
              <w:rPr>
                <w:noProof/>
                <w:webHidden/>
                <w:rtl/>
              </w:rPr>
            </w:r>
            <w:r>
              <w:rPr>
                <w:noProof/>
                <w:webHidden/>
                <w:rtl/>
              </w:rPr>
              <w:fldChar w:fldCharType="separate"/>
            </w:r>
            <w:r>
              <w:rPr>
                <w:noProof/>
                <w:webHidden/>
                <w:rtl/>
              </w:rPr>
              <w:t>186</w:t>
            </w:r>
            <w:r>
              <w:rPr>
                <w:noProof/>
                <w:webHidden/>
                <w:rtl/>
              </w:rPr>
              <w:fldChar w:fldCharType="end"/>
            </w:r>
          </w:hyperlink>
        </w:p>
        <w:p w14:paraId="29404B12" w14:textId="7E30A4B6" w:rsidR="00B81DC8" w:rsidRDefault="00B81DC8" w:rsidP="00B81DC8">
          <w:pPr>
            <w:pStyle w:val="TOC3"/>
            <w:tabs>
              <w:tab w:val="right" w:leader="dot" w:pos="10196"/>
            </w:tabs>
            <w:bidi w:val="0"/>
            <w:rPr>
              <w:rFonts w:eastAsiaTheme="minorEastAsia"/>
              <w:noProof/>
              <w:kern w:val="2"/>
              <w:sz w:val="24"/>
              <w:szCs w:val="24"/>
              <w:rtl/>
            </w:rPr>
          </w:pPr>
          <w:hyperlink w:anchor="_Toc237539789" w:history="1">
            <w:r w:rsidRPr="00A17556">
              <w:rPr>
                <w:rStyle w:val="Hyperlink"/>
                <w:rFonts w:ascii="Simplified Arabic" w:eastAsiaTheme="majorEastAsia" w:hAnsi="Simplified Arabic" w:cstheme="majorBidi"/>
                <w:noProof/>
              </w:rPr>
              <w:t>4.6.5 Theoretical and Practical Contributions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Toc237539789 \h</w:instrText>
            </w:r>
            <w:r>
              <w:rPr>
                <w:noProof/>
                <w:webHidden/>
                <w:rtl/>
              </w:rPr>
              <w:instrText xml:space="preserve"> </w:instrText>
            </w:r>
            <w:r>
              <w:rPr>
                <w:noProof/>
                <w:webHidden/>
                <w:rtl/>
              </w:rPr>
            </w:r>
            <w:r>
              <w:rPr>
                <w:noProof/>
                <w:webHidden/>
                <w:rtl/>
              </w:rPr>
              <w:fldChar w:fldCharType="separate"/>
            </w:r>
            <w:r>
              <w:rPr>
                <w:noProof/>
                <w:webHidden/>
                <w:rtl/>
              </w:rPr>
              <w:t>187</w:t>
            </w:r>
            <w:r>
              <w:rPr>
                <w:noProof/>
                <w:webHidden/>
                <w:rtl/>
              </w:rPr>
              <w:fldChar w:fldCharType="end"/>
            </w:r>
          </w:hyperlink>
        </w:p>
        <w:p w14:paraId="228CB31A" w14:textId="4C4C4E92" w:rsidR="00B81DC8" w:rsidRDefault="00B81DC8" w:rsidP="00B81DC8">
          <w:pPr>
            <w:pStyle w:val="TOC3"/>
            <w:tabs>
              <w:tab w:val="right" w:leader="dot" w:pos="10196"/>
            </w:tabs>
            <w:bidi w:val="0"/>
            <w:rPr>
              <w:rFonts w:eastAsiaTheme="minorEastAsia"/>
              <w:noProof/>
              <w:kern w:val="2"/>
              <w:sz w:val="24"/>
              <w:szCs w:val="24"/>
              <w:rtl/>
            </w:rPr>
          </w:pPr>
          <w:hyperlink w:anchor="_Toc237539790" w:history="1">
            <w:r w:rsidRPr="00A17556">
              <w:rPr>
                <w:rStyle w:val="Hyperlink"/>
                <w:rFonts w:ascii="Simplified Arabic" w:eastAsiaTheme="majorEastAsia" w:hAnsi="Simplified Arabic" w:cstheme="majorBidi"/>
                <w:noProof/>
              </w:rPr>
              <w:t>4.6.6 Limitations and Future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Toc237539790 \h</w:instrText>
            </w:r>
            <w:r>
              <w:rPr>
                <w:noProof/>
                <w:webHidden/>
                <w:rtl/>
              </w:rPr>
              <w:instrText xml:space="preserve"> </w:instrText>
            </w:r>
            <w:r>
              <w:rPr>
                <w:noProof/>
                <w:webHidden/>
                <w:rtl/>
              </w:rPr>
            </w:r>
            <w:r>
              <w:rPr>
                <w:noProof/>
                <w:webHidden/>
                <w:rtl/>
              </w:rPr>
              <w:fldChar w:fldCharType="separate"/>
            </w:r>
            <w:r>
              <w:rPr>
                <w:noProof/>
                <w:webHidden/>
                <w:rtl/>
              </w:rPr>
              <w:t>189</w:t>
            </w:r>
            <w:r>
              <w:rPr>
                <w:noProof/>
                <w:webHidden/>
                <w:rtl/>
              </w:rPr>
              <w:fldChar w:fldCharType="end"/>
            </w:r>
          </w:hyperlink>
        </w:p>
        <w:p w14:paraId="0ABFC3D1" w14:textId="0E127779" w:rsidR="00B81DC8" w:rsidRDefault="00B81DC8" w:rsidP="00B81DC8">
          <w:pPr>
            <w:pStyle w:val="TOC3"/>
            <w:tabs>
              <w:tab w:val="right" w:leader="dot" w:pos="10196"/>
            </w:tabs>
            <w:bidi w:val="0"/>
            <w:rPr>
              <w:rFonts w:eastAsiaTheme="minorEastAsia"/>
              <w:noProof/>
              <w:kern w:val="2"/>
              <w:sz w:val="24"/>
              <w:szCs w:val="24"/>
              <w:rtl/>
            </w:rPr>
          </w:pPr>
          <w:hyperlink w:anchor="_Toc237539791" w:history="1">
            <w:r w:rsidRPr="00A17556">
              <w:rPr>
                <w:rStyle w:val="Hyperlink"/>
                <w:rFonts w:ascii="Simplified Arabic" w:eastAsiaTheme="majorEastAsia" w:hAnsi="Simplified Arabic" w:cstheme="majorBidi"/>
                <w:noProof/>
              </w:rPr>
              <w:t>4.6.7 Concluding Statement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Toc237539791 \h</w:instrText>
            </w:r>
            <w:r>
              <w:rPr>
                <w:noProof/>
                <w:webHidden/>
                <w:rtl/>
              </w:rPr>
              <w:instrText xml:space="preserve"> </w:instrText>
            </w:r>
            <w:r>
              <w:rPr>
                <w:noProof/>
                <w:webHidden/>
                <w:rtl/>
              </w:rPr>
            </w:r>
            <w:r>
              <w:rPr>
                <w:noProof/>
                <w:webHidden/>
                <w:rtl/>
              </w:rPr>
              <w:fldChar w:fldCharType="separate"/>
            </w:r>
            <w:r>
              <w:rPr>
                <w:noProof/>
                <w:webHidden/>
                <w:rtl/>
              </w:rPr>
              <w:t>190</w:t>
            </w:r>
            <w:r>
              <w:rPr>
                <w:noProof/>
                <w:webHidden/>
                <w:rtl/>
              </w:rPr>
              <w:fldChar w:fldCharType="end"/>
            </w:r>
          </w:hyperlink>
        </w:p>
        <w:p w14:paraId="79C7D475" w14:textId="02740B0A" w:rsidR="00B81DC8" w:rsidRDefault="00B81DC8" w:rsidP="00B81DC8">
          <w:pPr>
            <w:pStyle w:val="TOC1"/>
            <w:bidi w:val="0"/>
            <w:rPr>
              <w:rFonts w:eastAsiaTheme="minorEastAsia"/>
              <w:noProof/>
              <w:kern w:val="2"/>
              <w:sz w:val="24"/>
              <w:szCs w:val="24"/>
              <w:rtl/>
            </w:rPr>
          </w:pPr>
          <w:hyperlink w:anchor="_Toc237539792" w:history="1">
            <w:r w:rsidRPr="00A17556">
              <w:rPr>
                <w:rStyle w:val="Hyperlink"/>
                <w:rFonts w:ascii="Simplified Arabic" w:eastAsiaTheme="majorEastAsia" w:hAnsi="Simplified Arabic" w:cstheme="majorBidi"/>
                <w:b/>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Toc237539792 \h</w:instrText>
            </w:r>
            <w:r>
              <w:rPr>
                <w:noProof/>
                <w:webHidden/>
                <w:rtl/>
              </w:rPr>
              <w:instrText xml:space="preserve"> </w:instrText>
            </w:r>
            <w:r>
              <w:rPr>
                <w:noProof/>
                <w:webHidden/>
                <w:rtl/>
              </w:rPr>
            </w:r>
            <w:r>
              <w:rPr>
                <w:noProof/>
                <w:webHidden/>
                <w:rtl/>
              </w:rPr>
              <w:fldChar w:fldCharType="separate"/>
            </w:r>
            <w:r>
              <w:rPr>
                <w:noProof/>
                <w:webHidden/>
                <w:rtl/>
              </w:rPr>
              <w:t>191</w:t>
            </w:r>
            <w:r>
              <w:rPr>
                <w:noProof/>
                <w:webHidden/>
                <w:rtl/>
              </w:rPr>
              <w:fldChar w:fldCharType="end"/>
            </w:r>
          </w:hyperlink>
        </w:p>
        <w:p w14:paraId="022E7ACD" w14:textId="5A829CC6" w:rsidR="00B81DC8" w:rsidRDefault="00B81DC8" w:rsidP="00B81DC8">
          <w:pPr>
            <w:pStyle w:val="TOC1"/>
            <w:bidi w:val="0"/>
            <w:rPr>
              <w:rFonts w:eastAsiaTheme="minorEastAsia"/>
              <w:noProof/>
              <w:kern w:val="2"/>
              <w:sz w:val="24"/>
              <w:szCs w:val="24"/>
              <w:rtl/>
            </w:rPr>
          </w:pPr>
          <w:hyperlink w:anchor="_Toc237539793" w:history="1">
            <w:r w:rsidRPr="00A17556">
              <w:rPr>
                <w:rStyle w:val="Hyperlink"/>
                <w:rFonts w:ascii="Simplified Arabic" w:eastAsiaTheme="majorEastAsia" w:hAnsi="Simplified Arabic" w:cstheme="majorBidi"/>
                <w:b/>
                <w:noProof/>
              </w:rPr>
              <w:t>APPENDICES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Toc237539793 \h</w:instrText>
            </w:r>
            <w:r>
              <w:rPr>
                <w:noProof/>
                <w:webHidden/>
                <w:rtl/>
              </w:rPr>
              <w:instrText xml:space="preserve"> </w:instrText>
            </w:r>
            <w:r>
              <w:rPr>
                <w:noProof/>
                <w:webHidden/>
                <w:rtl/>
              </w:rPr>
            </w:r>
            <w:r>
              <w:rPr>
                <w:noProof/>
                <w:webHidden/>
                <w:rtl/>
              </w:rPr>
              <w:fldChar w:fldCharType="separate"/>
            </w:r>
            <w:r>
              <w:rPr>
                <w:noProof/>
                <w:webHidden/>
                <w:rtl/>
              </w:rPr>
              <w:t>201</w:t>
            </w:r>
            <w:r>
              <w:rPr>
                <w:noProof/>
                <w:webHidden/>
                <w:rtl/>
              </w:rPr>
              <w:fldChar w:fldCharType="end"/>
            </w:r>
          </w:hyperlink>
        </w:p>
        <w:p w14:paraId="4C29CC56" w14:textId="2D6BE936" w:rsidR="00B81DC8" w:rsidRDefault="00B81DC8" w:rsidP="00B81DC8">
          <w:pPr>
            <w:pStyle w:val="TOC2"/>
            <w:rPr>
              <w:rFonts w:eastAsiaTheme="minorEastAsia"/>
              <w:noProof/>
              <w:kern w:val="2"/>
              <w:sz w:val="24"/>
              <w:szCs w:val="24"/>
              <w:rtl/>
            </w:rPr>
          </w:pPr>
          <w:hyperlink w:anchor="_Toc237539794" w:history="1">
            <w:r w:rsidRPr="00A17556">
              <w:rPr>
                <w:rStyle w:val="Hyperlink"/>
                <w:rFonts w:ascii="Simplified Arabic" w:eastAsiaTheme="majorEastAsia" w:hAnsi="Simplified Arabic" w:cstheme="majorBidi"/>
                <w:b/>
                <w:noProof/>
              </w:rPr>
              <w:t>Appendix 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Toc237539794 \h</w:instrText>
            </w:r>
            <w:r>
              <w:rPr>
                <w:noProof/>
                <w:webHidden/>
                <w:rtl/>
              </w:rPr>
              <w:instrText xml:space="preserve"> </w:instrText>
            </w:r>
            <w:r>
              <w:rPr>
                <w:noProof/>
                <w:webHidden/>
                <w:rtl/>
              </w:rPr>
            </w:r>
            <w:r>
              <w:rPr>
                <w:noProof/>
                <w:webHidden/>
                <w:rtl/>
              </w:rPr>
              <w:fldChar w:fldCharType="separate"/>
            </w:r>
            <w:r>
              <w:rPr>
                <w:noProof/>
                <w:webHidden/>
                <w:rtl/>
              </w:rPr>
              <w:t>201</w:t>
            </w:r>
            <w:r>
              <w:rPr>
                <w:noProof/>
                <w:webHidden/>
                <w:rtl/>
              </w:rPr>
              <w:fldChar w:fldCharType="end"/>
            </w:r>
          </w:hyperlink>
        </w:p>
        <w:p w14:paraId="7A90CC1E" w14:textId="369596D4" w:rsidR="00B81DC8" w:rsidRDefault="00B81DC8" w:rsidP="00B81DC8">
          <w:pPr>
            <w:pStyle w:val="TOC2"/>
            <w:rPr>
              <w:rFonts w:eastAsiaTheme="minorEastAsia"/>
              <w:noProof/>
              <w:kern w:val="2"/>
              <w:sz w:val="24"/>
              <w:szCs w:val="24"/>
              <w:rtl/>
            </w:rPr>
          </w:pPr>
          <w:hyperlink w:anchor="_Toc237539795" w:history="1">
            <w:r w:rsidRPr="00A17556">
              <w:rPr>
                <w:rStyle w:val="Hyperlink"/>
                <w:rFonts w:ascii="Simplified Arabic" w:eastAsiaTheme="majorEastAsia" w:hAnsi="Simplified Arabic" w:cstheme="majorBidi"/>
                <w:b/>
                <w:noProof/>
              </w:rPr>
              <w:t>Appendix B</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Toc237539795 \h</w:instrText>
            </w:r>
            <w:r>
              <w:rPr>
                <w:noProof/>
                <w:webHidden/>
                <w:rtl/>
              </w:rPr>
              <w:instrText xml:space="preserve"> </w:instrText>
            </w:r>
            <w:r>
              <w:rPr>
                <w:noProof/>
                <w:webHidden/>
                <w:rtl/>
              </w:rPr>
            </w:r>
            <w:r>
              <w:rPr>
                <w:noProof/>
                <w:webHidden/>
                <w:rtl/>
              </w:rPr>
              <w:fldChar w:fldCharType="separate"/>
            </w:r>
            <w:r>
              <w:rPr>
                <w:noProof/>
                <w:webHidden/>
                <w:rtl/>
              </w:rPr>
              <w:t>206</w:t>
            </w:r>
            <w:r>
              <w:rPr>
                <w:noProof/>
                <w:webHidden/>
                <w:rtl/>
              </w:rPr>
              <w:fldChar w:fldCharType="end"/>
            </w:r>
          </w:hyperlink>
        </w:p>
        <w:p w14:paraId="1FF399AE" w14:textId="4BDA53D4" w:rsidR="00B81DC8" w:rsidRDefault="00B81DC8" w:rsidP="00B81DC8">
          <w:pPr>
            <w:pStyle w:val="TOC2"/>
            <w:rPr>
              <w:rFonts w:eastAsiaTheme="minorEastAsia"/>
              <w:noProof/>
              <w:kern w:val="2"/>
              <w:sz w:val="24"/>
              <w:szCs w:val="24"/>
              <w:rtl/>
            </w:rPr>
          </w:pPr>
          <w:hyperlink w:anchor="_Toc237539796" w:history="1">
            <w:r w:rsidRPr="00A17556">
              <w:rPr>
                <w:rStyle w:val="Hyperlink"/>
                <w:rFonts w:ascii="Simplified Arabic" w:eastAsiaTheme="majorEastAsia" w:hAnsi="Simplified Arabic" w:cstheme="majorBidi"/>
                <w:b/>
                <w:noProof/>
              </w:rPr>
              <w:t>Appendix 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Toc237539796 \h</w:instrText>
            </w:r>
            <w:r>
              <w:rPr>
                <w:noProof/>
                <w:webHidden/>
                <w:rtl/>
              </w:rPr>
              <w:instrText xml:space="preserve"> </w:instrText>
            </w:r>
            <w:r>
              <w:rPr>
                <w:noProof/>
                <w:webHidden/>
                <w:rtl/>
              </w:rPr>
            </w:r>
            <w:r>
              <w:rPr>
                <w:noProof/>
                <w:webHidden/>
                <w:rtl/>
              </w:rPr>
              <w:fldChar w:fldCharType="separate"/>
            </w:r>
            <w:r>
              <w:rPr>
                <w:noProof/>
                <w:webHidden/>
                <w:rtl/>
              </w:rPr>
              <w:t>216</w:t>
            </w:r>
            <w:r>
              <w:rPr>
                <w:noProof/>
                <w:webHidden/>
                <w:rtl/>
              </w:rPr>
              <w:fldChar w:fldCharType="end"/>
            </w:r>
          </w:hyperlink>
        </w:p>
        <w:p w14:paraId="5F5B6893" w14:textId="46C53A7F" w:rsidR="00B81DC8" w:rsidRDefault="00B81DC8" w:rsidP="00B81DC8">
          <w:pPr>
            <w:pStyle w:val="TOC2"/>
            <w:rPr>
              <w:rFonts w:eastAsiaTheme="minorEastAsia"/>
              <w:noProof/>
              <w:kern w:val="2"/>
              <w:sz w:val="24"/>
              <w:szCs w:val="24"/>
              <w:rtl/>
            </w:rPr>
          </w:pPr>
          <w:hyperlink w:anchor="_Toc237539797" w:history="1">
            <w:r w:rsidRPr="00A17556">
              <w:rPr>
                <w:rStyle w:val="Hyperlink"/>
                <w:rFonts w:ascii="Simplified Arabic" w:eastAsiaTheme="majorEastAsia" w:hAnsi="Simplified Arabic" w:cstheme="majorBidi"/>
                <w:b/>
                <w:noProof/>
              </w:rPr>
              <w:t>Appendix 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Toc237539797 \h</w:instrText>
            </w:r>
            <w:r>
              <w:rPr>
                <w:noProof/>
                <w:webHidden/>
                <w:rtl/>
              </w:rPr>
              <w:instrText xml:space="preserve"> </w:instrText>
            </w:r>
            <w:r>
              <w:rPr>
                <w:noProof/>
                <w:webHidden/>
                <w:rtl/>
              </w:rPr>
            </w:r>
            <w:r>
              <w:rPr>
                <w:noProof/>
                <w:webHidden/>
                <w:rtl/>
              </w:rPr>
              <w:fldChar w:fldCharType="separate"/>
            </w:r>
            <w:r>
              <w:rPr>
                <w:noProof/>
                <w:webHidden/>
                <w:rtl/>
              </w:rPr>
              <w:t>220</w:t>
            </w:r>
            <w:r>
              <w:rPr>
                <w:noProof/>
                <w:webHidden/>
                <w:rtl/>
              </w:rPr>
              <w:fldChar w:fldCharType="end"/>
            </w:r>
          </w:hyperlink>
        </w:p>
        <w:p w14:paraId="67ADD23C" w14:textId="50C7AA5D" w:rsidR="00DD1558" w:rsidRPr="00DD1558" w:rsidRDefault="0088472F" w:rsidP="00B81DC8">
          <w:pPr>
            <w:bidi w:val="0"/>
          </w:pPr>
          <w:r>
            <w:rPr>
              <w:b/>
              <w:bCs/>
              <w:noProof/>
            </w:rPr>
            <w:fldChar w:fldCharType="end"/>
          </w:r>
        </w:p>
      </w:sdtContent>
    </w:sdt>
    <w:p w14:paraId="32019C68" w14:textId="2EE1AF2F" w:rsidR="00B81D6D" w:rsidRDefault="00772E4C" w:rsidP="00772E4C">
      <w:pPr>
        <w:pStyle w:val="Heading1"/>
        <w:bidi w:val="0"/>
      </w:pPr>
      <w:bookmarkStart w:id="7" w:name="_Toc237539695"/>
      <w:r w:rsidRPr="00772E4C">
        <w:t>List of Tables</w:t>
      </w:r>
      <w:bookmarkEnd w:id="7"/>
    </w:p>
    <w:p w14:paraId="054ECC9D" w14:textId="673CFF84" w:rsidR="009E3D5C" w:rsidRDefault="009E3D5C" w:rsidP="00CA0BCC">
      <w:pPr>
        <w:pStyle w:val="TableofFigures"/>
        <w:tabs>
          <w:tab w:val="right" w:leader="dot" w:pos="10196"/>
        </w:tabs>
        <w:bidi w:val="0"/>
        <w:spacing w:line="360" w:lineRule="auto"/>
        <w:rPr>
          <w:noProof/>
          <w:rtl/>
        </w:rPr>
      </w:pPr>
      <w:r>
        <w:fldChar w:fldCharType="begin"/>
      </w:r>
      <w:r>
        <w:instrText xml:space="preserve"> TOC \h \z \c "Table" </w:instrText>
      </w:r>
      <w:r>
        <w:fldChar w:fldCharType="separate"/>
      </w:r>
      <w:hyperlink w:anchor="_Toc237107830" w:history="1">
        <w:r w:rsidRPr="00555BA0">
          <w:rPr>
            <w:rStyle w:val="Hyperlink"/>
            <w:noProof/>
          </w:rPr>
          <w:t xml:space="preserve">Table </w:t>
        </w:r>
        <w:r w:rsidR="00A94BAE">
          <w:rPr>
            <w:rStyle w:val="Hyperlink"/>
            <w:noProof/>
          </w:rPr>
          <w:t>2</w:t>
        </w:r>
        <w:r w:rsidRPr="00555BA0">
          <w:rPr>
            <w:rStyle w:val="Hyperlink"/>
            <w:noProof/>
          </w:rPr>
          <w:t>.</w:t>
        </w:r>
        <w:r w:rsidR="00A94BAE">
          <w:rPr>
            <w:rStyle w:val="Hyperlink"/>
            <w:noProof/>
          </w:rPr>
          <w:t>1</w:t>
        </w:r>
        <w:r w:rsidRPr="00555BA0">
          <w:rPr>
            <w:rStyle w:val="Hyperlink"/>
            <w:noProof/>
          </w:rPr>
          <w:t>. Comparative summary of the five thematic literature streams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Toc237107830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3B0C5A42" w14:textId="45C23555" w:rsidR="009E3D5C" w:rsidRDefault="009E3D5C" w:rsidP="00CA0BCC">
      <w:pPr>
        <w:pStyle w:val="TableofFigures"/>
        <w:tabs>
          <w:tab w:val="right" w:leader="dot" w:pos="10196"/>
        </w:tabs>
        <w:bidi w:val="0"/>
        <w:spacing w:line="360" w:lineRule="auto"/>
        <w:rPr>
          <w:noProof/>
          <w:rtl/>
        </w:rPr>
      </w:pPr>
      <w:hyperlink w:anchor="_Toc237107831" w:history="1">
        <w:r w:rsidRPr="00555BA0">
          <w:rPr>
            <w:rStyle w:val="Hyperlink"/>
            <w:noProof/>
          </w:rPr>
          <w:t>Table 2.2. Qualitative framework variables/axes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Toc237107831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3EF6ACB" w14:textId="7C33A386" w:rsidR="009E3D5C" w:rsidRDefault="009E3D5C" w:rsidP="00CA0BCC">
      <w:pPr>
        <w:pStyle w:val="TableofFigures"/>
        <w:tabs>
          <w:tab w:val="right" w:leader="dot" w:pos="10196"/>
        </w:tabs>
        <w:bidi w:val="0"/>
        <w:spacing w:line="360" w:lineRule="auto"/>
        <w:rPr>
          <w:noProof/>
          <w:rtl/>
        </w:rPr>
      </w:pPr>
      <w:hyperlink w:anchor="_Toc237107832" w:history="1">
        <w:r w:rsidRPr="00555BA0">
          <w:rPr>
            <w:rStyle w:val="Hyperlink"/>
            <w:noProof/>
          </w:rPr>
          <w:t xml:space="preserve">Table </w:t>
        </w:r>
        <w:r w:rsidR="00A94BAE">
          <w:rPr>
            <w:rStyle w:val="Hyperlink"/>
            <w:noProof/>
          </w:rPr>
          <w:t>2</w:t>
        </w:r>
        <w:r w:rsidRPr="00555BA0">
          <w:rPr>
            <w:rStyle w:val="Hyperlink"/>
            <w:noProof/>
          </w:rPr>
          <w:t>.</w:t>
        </w:r>
        <w:r w:rsidR="00A94BAE">
          <w:rPr>
            <w:rStyle w:val="Hyperlink"/>
            <w:noProof/>
          </w:rPr>
          <w:t>3</w:t>
        </w:r>
        <w:r w:rsidRPr="00555BA0">
          <w:rPr>
            <w:rStyle w:val="Hyperlink"/>
            <w:noProof/>
          </w:rPr>
          <w:t xml:space="preserve"> Mapping of the five analytical lenses to framework functions and governing elements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Toc237107832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72E0DF42" w14:textId="027FE268" w:rsidR="009E3D5C" w:rsidRDefault="009E3D5C" w:rsidP="00CA0BCC">
      <w:pPr>
        <w:pStyle w:val="TableofFigures"/>
        <w:tabs>
          <w:tab w:val="right" w:leader="dot" w:pos="10196"/>
        </w:tabs>
        <w:bidi w:val="0"/>
        <w:spacing w:line="360" w:lineRule="auto"/>
        <w:rPr>
          <w:noProof/>
          <w:rtl/>
        </w:rPr>
      </w:pPr>
      <w:hyperlink w:anchor="_Toc237107833" w:history="1">
        <w:r w:rsidRPr="00555BA0">
          <w:rPr>
            <w:rStyle w:val="Hyperlink"/>
            <w:noProof/>
          </w:rPr>
          <w:t xml:space="preserve">Table </w:t>
        </w:r>
        <w:r w:rsidR="00A94BAE">
          <w:rPr>
            <w:rStyle w:val="Hyperlink"/>
            <w:noProof/>
          </w:rPr>
          <w:t>2</w:t>
        </w:r>
        <w:r w:rsidRPr="00555BA0">
          <w:rPr>
            <w:rStyle w:val="Hyperlink"/>
            <w:noProof/>
          </w:rPr>
          <w:t>.</w:t>
        </w:r>
        <w:r w:rsidR="00A94BAE">
          <w:rPr>
            <w:rStyle w:val="Hyperlink"/>
            <w:noProof/>
          </w:rPr>
          <w:t>4</w:t>
        </w:r>
        <w:r w:rsidRPr="00555BA0">
          <w:rPr>
            <w:rStyle w:val="Hyperlink"/>
            <w:noProof/>
          </w:rPr>
          <w:t>. Adapted three-band risk maturity trajectory for educational laboratory inventory (thesis’s adapted terminology, anchored to (Hillson, D. A., 1997; Paulk et al., 1993))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Toc237107833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7E1EE4C" w14:textId="1AE2CA1B" w:rsidR="009E3D5C" w:rsidRDefault="009E3D5C" w:rsidP="00CA0BCC">
      <w:pPr>
        <w:pStyle w:val="TableofFigures"/>
        <w:tabs>
          <w:tab w:val="right" w:leader="dot" w:pos="10196"/>
        </w:tabs>
        <w:bidi w:val="0"/>
        <w:spacing w:line="360" w:lineRule="auto"/>
        <w:rPr>
          <w:noProof/>
          <w:rtl/>
        </w:rPr>
      </w:pPr>
      <w:hyperlink w:anchor="_Toc237107834" w:history="1">
        <w:r w:rsidRPr="00555BA0">
          <w:rPr>
            <w:rStyle w:val="Hyperlink"/>
            <w:noProof/>
          </w:rPr>
          <w:t xml:space="preserve">Table </w:t>
        </w:r>
        <w:r w:rsidR="00A94BAE">
          <w:rPr>
            <w:rStyle w:val="Hyperlink"/>
            <w:noProof/>
          </w:rPr>
          <w:t>2</w:t>
        </w:r>
        <w:r w:rsidRPr="00555BA0">
          <w:rPr>
            <w:rStyle w:val="Hyperlink"/>
            <w:noProof/>
          </w:rPr>
          <w:t>.</w:t>
        </w:r>
        <w:r w:rsidR="00A94BAE">
          <w:rPr>
            <w:rStyle w:val="Hyperlink"/>
            <w:noProof/>
          </w:rPr>
          <w:t>5</w:t>
        </w:r>
        <w:r w:rsidRPr="00555BA0">
          <w:rPr>
            <w:rStyle w:val="Hyperlink"/>
            <w:noProof/>
          </w:rPr>
          <w:t>. Operational definitions of key constructs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Toc237107834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717FB53E" w14:textId="33103CB8" w:rsidR="009E3D5C" w:rsidRDefault="009E3D5C" w:rsidP="00CA0BCC">
      <w:pPr>
        <w:pStyle w:val="TableofFigures"/>
        <w:tabs>
          <w:tab w:val="right" w:leader="dot" w:pos="10196"/>
        </w:tabs>
        <w:bidi w:val="0"/>
        <w:spacing w:line="276" w:lineRule="auto"/>
        <w:rPr>
          <w:noProof/>
          <w:rtl/>
        </w:rPr>
      </w:pPr>
      <w:hyperlink w:anchor="_Toc237107835" w:history="1">
        <w:r w:rsidRPr="00555BA0">
          <w:rPr>
            <w:rStyle w:val="Hyperlink"/>
            <w:noProof/>
          </w:rPr>
          <w:t xml:space="preserve">Table </w:t>
        </w:r>
        <w:r w:rsidR="00A94BAE">
          <w:rPr>
            <w:rStyle w:val="Hyperlink"/>
            <w:noProof/>
          </w:rPr>
          <w:t>3</w:t>
        </w:r>
        <w:r w:rsidRPr="00555BA0">
          <w:rPr>
            <w:rStyle w:val="Hyperlink"/>
            <w:noProof/>
          </w:rPr>
          <w:t>.</w:t>
        </w:r>
        <w:r w:rsidR="00A94BAE">
          <w:rPr>
            <w:rStyle w:val="Hyperlink"/>
            <w:noProof/>
          </w:rPr>
          <w:t>1</w:t>
        </w:r>
        <w:r w:rsidRPr="00555BA0">
          <w:rPr>
            <w:rStyle w:val="Hyperlink"/>
            <w:noProof/>
          </w:rPr>
          <w:t>. Mapping of research questions to analytical tools, application sites, and qualitative outputs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Toc237107835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4B591158" w14:textId="63CFEE93" w:rsidR="009E3D5C" w:rsidRDefault="009E3D5C" w:rsidP="00CA0BCC">
      <w:pPr>
        <w:pStyle w:val="TableofFigures"/>
        <w:tabs>
          <w:tab w:val="right" w:leader="dot" w:pos="10196"/>
        </w:tabs>
        <w:bidi w:val="0"/>
        <w:spacing w:line="360" w:lineRule="auto"/>
        <w:rPr>
          <w:noProof/>
          <w:rtl/>
        </w:rPr>
      </w:pPr>
      <w:hyperlink w:anchor="_Toc237107836"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1</w:t>
        </w:r>
        <w:r w:rsidRPr="00555BA0">
          <w:rPr>
            <w:rStyle w:val="Hyperlink"/>
            <w:noProof/>
          </w:rPr>
          <w:t>. RACI-style accountability matrix for key framework processes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Toc237107836 \h</w:instrText>
        </w:r>
        <w:r>
          <w:rPr>
            <w:noProof/>
            <w:webHidden/>
            <w:rtl/>
          </w:rPr>
          <w:instrText xml:space="preserve"> </w:instrText>
        </w:r>
        <w:r>
          <w:rPr>
            <w:noProof/>
            <w:webHidden/>
            <w:rtl/>
          </w:rPr>
        </w:r>
        <w:r>
          <w:rPr>
            <w:noProof/>
            <w:webHidden/>
            <w:rtl/>
          </w:rPr>
          <w:fldChar w:fldCharType="separate"/>
        </w:r>
        <w:r>
          <w:rPr>
            <w:noProof/>
            <w:webHidden/>
            <w:rtl/>
          </w:rPr>
          <w:t>125</w:t>
        </w:r>
        <w:r>
          <w:rPr>
            <w:noProof/>
            <w:webHidden/>
            <w:rtl/>
          </w:rPr>
          <w:fldChar w:fldCharType="end"/>
        </w:r>
      </w:hyperlink>
    </w:p>
    <w:p w14:paraId="32FB46B2" w14:textId="606CA926" w:rsidR="009E3D5C" w:rsidRDefault="009E3D5C" w:rsidP="00CA0BCC">
      <w:pPr>
        <w:pStyle w:val="TableofFigures"/>
        <w:tabs>
          <w:tab w:val="right" w:leader="dot" w:pos="10196"/>
        </w:tabs>
        <w:bidi w:val="0"/>
        <w:spacing w:line="360" w:lineRule="auto"/>
        <w:rPr>
          <w:noProof/>
          <w:rtl/>
        </w:rPr>
      </w:pPr>
      <w:hyperlink w:anchor="_Toc237107837"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2</w:t>
        </w:r>
        <w:r w:rsidRPr="00555BA0">
          <w:rPr>
            <w:rStyle w:val="Hyperlink"/>
            <w:noProof/>
          </w:rPr>
          <w:t xml:space="preserve">. Barrier-ownership mapping from the </w:t>
        </w:r>
        <w:r w:rsidR="00FA26FF" w:rsidRPr="00FA26FF">
          <w:rPr>
            <w:rStyle w:val="Hyperlink"/>
            <w:noProof/>
          </w:rPr>
          <w:t>Section 2.9.3</w:t>
        </w:r>
        <w:r w:rsidRPr="00555BA0">
          <w:rPr>
            <w:rStyle w:val="Hyperlink"/>
            <w:noProof/>
          </w:rPr>
          <w:t xml:space="preserve"> Bow-Tie architecture to </w:t>
        </w:r>
        <w:r w:rsidR="00752112" w:rsidRPr="00752112">
          <w:rPr>
            <w:rStyle w:val="Hyperlink"/>
            <w:noProof/>
          </w:rPr>
          <w:t>Section 4.1</w:t>
        </w:r>
        <w:r w:rsidRPr="00555BA0">
          <w:rPr>
            <w:rStyle w:val="Hyperlink"/>
            <w:noProof/>
          </w:rPr>
          <w:t xml:space="preserve"> bodies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Toc237107837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6CD3D974" w14:textId="6EEE3EE1" w:rsidR="009E3D5C" w:rsidRDefault="009E3D5C" w:rsidP="00CA0BCC">
      <w:pPr>
        <w:pStyle w:val="TableofFigures"/>
        <w:tabs>
          <w:tab w:val="right" w:leader="dot" w:pos="10196"/>
        </w:tabs>
        <w:bidi w:val="0"/>
        <w:spacing w:line="360" w:lineRule="auto"/>
        <w:rPr>
          <w:noProof/>
          <w:rtl/>
        </w:rPr>
      </w:pPr>
      <w:hyperlink w:anchor="_Toc237107838"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3</w:t>
        </w:r>
        <w:r w:rsidRPr="00555BA0">
          <w:rPr>
            <w:rStyle w:val="Hyperlink"/>
            <w:noProof/>
          </w:rPr>
          <w:t>. Consolidated qualitative feasibility matrix (ratings: Strong / Conditional / Contingent per Section 4.1)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Toc237107838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164A193A" w14:textId="50E0AB3C" w:rsidR="009E3D5C" w:rsidRDefault="009E3D5C" w:rsidP="00CA0BCC">
      <w:pPr>
        <w:pStyle w:val="TableofFigures"/>
        <w:tabs>
          <w:tab w:val="right" w:leader="dot" w:pos="10196"/>
        </w:tabs>
        <w:bidi w:val="0"/>
        <w:spacing w:line="360" w:lineRule="auto"/>
        <w:rPr>
          <w:noProof/>
          <w:rtl/>
        </w:rPr>
      </w:pPr>
      <w:hyperlink w:anchor="_Toc237107839"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5</w:t>
        </w:r>
        <w:r w:rsidRPr="00555BA0">
          <w:rPr>
            <w:rStyle w:val="Hyperlink"/>
            <w:noProof/>
          </w:rPr>
          <w:t>. FIRM classification map of the participatory inventory risk universe (taxonomy per (Hopkin, 2018); M = Marketplace read as service/stakeholder environment — declared adaptation)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Toc237107839 \h</w:instrText>
        </w:r>
        <w:r>
          <w:rPr>
            <w:noProof/>
            <w:webHidden/>
            <w:rtl/>
          </w:rPr>
          <w:instrText xml:space="preserve"> </w:instrText>
        </w:r>
        <w:r>
          <w:rPr>
            <w:noProof/>
            <w:webHidden/>
            <w:rtl/>
          </w:rPr>
        </w:r>
        <w:r>
          <w:rPr>
            <w:noProof/>
            <w:webHidden/>
            <w:rtl/>
          </w:rPr>
          <w:fldChar w:fldCharType="separate"/>
        </w:r>
        <w:r>
          <w:rPr>
            <w:noProof/>
            <w:webHidden/>
            <w:rtl/>
          </w:rPr>
          <w:t>150</w:t>
        </w:r>
        <w:r>
          <w:rPr>
            <w:noProof/>
            <w:webHidden/>
            <w:rtl/>
          </w:rPr>
          <w:fldChar w:fldCharType="end"/>
        </w:r>
      </w:hyperlink>
    </w:p>
    <w:p w14:paraId="33B670B5" w14:textId="755BF28D" w:rsidR="009E3D5C" w:rsidRDefault="009E3D5C" w:rsidP="00CA0BCC">
      <w:pPr>
        <w:pStyle w:val="TableofFigures"/>
        <w:tabs>
          <w:tab w:val="right" w:leader="dot" w:pos="10196"/>
        </w:tabs>
        <w:bidi w:val="0"/>
        <w:spacing w:line="360" w:lineRule="auto"/>
        <w:rPr>
          <w:noProof/>
          <w:rtl/>
        </w:rPr>
      </w:pPr>
      <w:hyperlink w:anchor="_Toc237107840"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6</w:t>
        </w:r>
        <w:r w:rsidRPr="00555BA0">
          <w:rPr>
            <w:rStyle w:val="Hyperlink"/>
            <w:noProof/>
          </w:rPr>
          <w:t>. Classified risk register for the participatory inventory framework (transition risks RR-01–RR-06; operational risks RR-07–RR-15)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Toc237107840 \h</w:instrText>
        </w:r>
        <w:r>
          <w:rPr>
            <w:noProof/>
            <w:webHidden/>
            <w:rtl/>
          </w:rPr>
          <w:instrText xml:space="preserve"> </w:instrText>
        </w:r>
        <w:r>
          <w:rPr>
            <w:noProof/>
            <w:webHidden/>
            <w:rtl/>
          </w:rPr>
        </w:r>
        <w:r>
          <w:rPr>
            <w:noProof/>
            <w:webHidden/>
            <w:rtl/>
          </w:rPr>
          <w:fldChar w:fldCharType="separate"/>
        </w:r>
        <w:r>
          <w:rPr>
            <w:noProof/>
            <w:webHidden/>
            <w:rtl/>
          </w:rPr>
          <w:t>153</w:t>
        </w:r>
        <w:r>
          <w:rPr>
            <w:noProof/>
            <w:webHidden/>
            <w:rtl/>
          </w:rPr>
          <w:fldChar w:fldCharType="end"/>
        </w:r>
      </w:hyperlink>
    </w:p>
    <w:p w14:paraId="790E90CA" w14:textId="26834A44" w:rsidR="009E3D5C" w:rsidRDefault="009E3D5C" w:rsidP="00CA0BCC">
      <w:pPr>
        <w:pStyle w:val="TableofFigures"/>
        <w:tabs>
          <w:tab w:val="right" w:leader="dot" w:pos="10196"/>
        </w:tabs>
        <w:bidi w:val="0"/>
        <w:spacing w:line="360" w:lineRule="auto"/>
        <w:rPr>
          <w:noProof/>
          <w:rtl/>
        </w:rPr>
      </w:pPr>
      <w:hyperlink w:anchor="_Toc237107841"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7</w:t>
        </w:r>
        <w:r w:rsidRPr="00555BA0">
          <w:rPr>
            <w:rStyle w:val="Hyperlink"/>
            <w:noProof/>
          </w:rPr>
          <w:t xml:space="preserve">. Consolidated governance dashboard for the participatory inventory framework (directional targets: ↑ increase; ↓ decrease; E→I establish-then-improve; risk IDs per Table </w:t>
        </w:r>
        <w:r w:rsidR="007C3F91">
          <w:rPr>
            <w:rStyle w:val="Hyperlink"/>
            <w:noProof/>
          </w:rPr>
          <w:t>4.6</w:t>
        </w:r>
        <w:r w:rsidRPr="00555BA0">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Toc237107841 \h</w:instrText>
        </w:r>
        <w:r>
          <w:rPr>
            <w:noProof/>
            <w:webHidden/>
            <w:rtl/>
          </w:rPr>
          <w:instrText xml:space="preserve"> </w:instrText>
        </w:r>
        <w:r>
          <w:rPr>
            <w:noProof/>
            <w:webHidden/>
            <w:rtl/>
          </w:rPr>
        </w:r>
        <w:r>
          <w:rPr>
            <w:noProof/>
            <w:webHidden/>
            <w:rtl/>
          </w:rPr>
          <w:fldChar w:fldCharType="separate"/>
        </w:r>
        <w:r>
          <w:rPr>
            <w:noProof/>
            <w:webHidden/>
            <w:rtl/>
          </w:rPr>
          <w:t>179</w:t>
        </w:r>
        <w:r>
          <w:rPr>
            <w:noProof/>
            <w:webHidden/>
            <w:rtl/>
          </w:rPr>
          <w:fldChar w:fldCharType="end"/>
        </w:r>
      </w:hyperlink>
    </w:p>
    <w:p w14:paraId="3ED588B3" w14:textId="0BDE49CD" w:rsidR="009E3D5C" w:rsidRDefault="009E3D5C" w:rsidP="00CA0BCC">
      <w:pPr>
        <w:pStyle w:val="TableofFigures"/>
        <w:tabs>
          <w:tab w:val="right" w:leader="dot" w:pos="10196"/>
        </w:tabs>
        <w:bidi w:val="0"/>
        <w:spacing w:line="360" w:lineRule="auto"/>
        <w:rPr>
          <w:noProof/>
          <w:rtl/>
        </w:rPr>
      </w:pPr>
      <w:hyperlink w:anchor="_Toc237107842" w:history="1">
        <w:r w:rsidRPr="00555BA0">
          <w:rPr>
            <w:rStyle w:val="Hyperlink"/>
            <w:noProof/>
          </w:rPr>
          <w:t xml:space="preserve">Table </w:t>
        </w:r>
        <w:r w:rsidR="00A94BAE">
          <w:rPr>
            <w:rStyle w:val="Hyperlink"/>
            <w:noProof/>
          </w:rPr>
          <w:t>4</w:t>
        </w:r>
        <w:r w:rsidRPr="00555BA0">
          <w:rPr>
            <w:rStyle w:val="Hyperlink"/>
            <w:noProof/>
          </w:rPr>
          <w:t>.</w:t>
        </w:r>
        <w:r w:rsidR="00A94BAE">
          <w:rPr>
            <w:rStyle w:val="Hyperlink"/>
            <w:noProof/>
          </w:rPr>
          <w:t>8</w:t>
        </w:r>
        <w:r w:rsidRPr="00555BA0">
          <w:rPr>
            <w:rStyle w:val="Hyperlink"/>
            <w:noProof/>
          </w:rPr>
          <w:t xml:space="preserve">. Consolidated phased implementation roadmap for the participatory inventory framework (gates per Section 4.6; risks per Table </w:t>
        </w:r>
        <w:r w:rsidR="007C3F91">
          <w:rPr>
            <w:rStyle w:val="Hyperlink"/>
            <w:noProof/>
          </w:rPr>
          <w:t>4.6</w:t>
        </w:r>
        <w:r w:rsidRPr="00555BA0">
          <w:rPr>
            <w:rStyle w:val="Hyperlink"/>
            <w:noProof/>
          </w:rPr>
          <w:t xml:space="preserve">; KPIs per </w:t>
        </w:r>
        <w:r w:rsidR="000F1211" w:rsidRPr="000F1211">
          <w:rPr>
            <w:rStyle w:val="Hyperlink"/>
            <w:noProof/>
          </w:rPr>
          <w:t>Section 4.1.7</w:t>
        </w:r>
        <w:r w:rsidRPr="00555BA0">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Toc237107842 \h</w:instrText>
        </w:r>
        <w:r>
          <w:rPr>
            <w:noProof/>
            <w:webHidden/>
            <w:rtl/>
          </w:rPr>
          <w:instrText xml:space="preserve"> </w:instrText>
        </w:r>
        <w:r>
          <w:rPr>
            <w:noProof/>
            <w:webHidden/>
            <w:rtl/>
          </w:rPr>
        </w:r>
        <w:r>
          <w:rPr>
            <w:noProof/>
            <w:webHidden/>
            <w:rtl/>
          </w:rPr>
          <w:fldChar w:fldCharType="separate"/>
        </w:r>
        <w:r>
          <w:rPr>
            <w:noProof/>
            <w:webHidden/>
            <w:rtl/>
          </w:rPr>
          <w:t>194</w:t>
        </w:r>
        <w:r>
          <w:rPr>
            <w:noProof/>
            <w:webHidden/>
            <w:rtl/>
          </w:rPr>
          <w:fldChar w:fldCharType="end"/>
        </w:r>
      </w:hyperlink>
    </w:p>
    <w:p w14:paraId="63F83818" w14:textId="20EA037C" w:rsidR="009E3D5C" w:rsidRPr="009E3D5C" w:rsidRDefault="009E3D5C" w:rsidP="009E3D5C">
      <w:pPr>
        <w:bidi w:val="0"/>
      </w:pPr>
      <w:r>
        <w:lastRenderedPageBreak/>
        <w:fldChar w:fldCharType="end"/>
      </w:r>
    </w:p>
    <w:p w14:paraId="04F73DAA" w14:textId="77777777" w:rsidR="009A3F9D" w:rsidRDefault="009A3F9D" w:rsidP="00E311E3">
      <w:pPr>
        <w:pStyle w:val="Heading1"/>
        <w:bidi w:val="0"/>
      </w:pPr>
      <w:bookmarkStart w:id="8" w:name="_Toc237539696"/>
      <w:r>
        <w:t>List of Figures</w:t>
      </w:r>
      <w:bookmarkEnd w:id="8"/>
    </w:p>
    <w:p w14:paraId="073C01BD" w14:textId="46A814B6" w:rsidR="00CA0BCC" w:rsidRDefault="00CA0BCC" w:rsidP="00CA0BCC">
      <w:pPr>
        <w:pStyle w:val="TableofFigures"/>
        <w:tabs>
          <w:tab w:val="right" w:leader="dot" w:pos="10196"/>
        </w:tabs>
        <w:bidi w:val="0"/>
        <w:spacing w:line="360" w:lineRule="auto"/>
        <w:rPr>
          <w:rFonts w:eastAsiaTheme="minorEastAsia"/>
          <w:noProof/>
          <w:kern w:val="2"/>
          <w:sz w:val="24"/>
          <w:szCs w:val="24"/>
          <w:rtl/>
        </w:rPr>
      </w:pPr>
      <w:r>
        <w:fldChar w:fldCharType="begin"/>
      </w:r>
      <w:r>
        <w:instrText xml:space="preserve"> TOC \h \z \c "Figure" </w:instrText>
      </w:r>
      <w:r>
        <w:fldChar w:fldCharType="separate"/>
      </w:r>
      <w:hyperlink w:anchor="_Toc237109051" w:history="1">
        <w:r w:rsidRPr="00AC3D23">
          <w:rPr>
            <w:rStyle w:val="Hyperlink"/>
            <w:noProof/>
          </w:rPr>
          <w:t xml:space="preserve">Figure </w:t>
        </w:r>
        <w:r w:rsidR="00A94BAE">
          <w:rPr>
            <w:rStyle w:val="Hyperlink"/>
            <w:noProof/>
          </w:rPr>
          <w:t>2</w:t>
        </w:r>
        <w:r w:rsidRPr="00AC3D23">
          <w:rPr>
            <w:rStyle w:val="Hyperlink"/>
            <w:noProof/>
          </w:rPr>
          <w:t>.</w:t>
        </w:r>
        <w:r w:rsidR="00A94BAE">
          <w:rPr>
            <w:rStyle w:val="Hyperlink"/>
            <w:noProof/>
          </w:rPr>
          <w:t>1</w:t>
        </w:r>
        <w:r w:rsidRPr="00AC3D23">
          <w:rPr>
            <w:rStyle w:val="Hyperlink"/>
            <w:noProof/>
          </w:rPr>
          <w:t>. Adapted maturity ladder for educational laboratory inventory governance (thesis’s adapted band terminology; anchors per (Hillson, D. A., 1997; 33020 ISO/IEC, 2019, p. 2019; Paulk et al., 1993)).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Toc237109051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41B6FE0" w14:textId="7944E12D" w:rsidR="00CA0BCC" w:rsidRDefault="00CA0BCC" w:rsidP="00CA0BCC">
      <w:pPr>
        <w:pStyle w:val="TableofFigures"/>
        <w:tabs>
          <w:tab w:val="right" w:leader="dot" w:pos="10196"/>
        </w:tabs>
        <w:bidi w:val="0"/>
        <w:spacing w:line="360" w:lineRule="auto"/>
        <w:rPr>
          <w:rFonts w:eastAsiaTheme="minorEastAsia"/>
          <w:noProof/>
          <w:kern w:val="2"/>
          <w:sz w:val="24"/>
          <w:szCs w:val="24"/>
          <w:rtl/>
        </w:rPr>
      </w:pPr>
      <w:hyperlink w:anchor="_Toc237109052" w:history="1">
        <w:r w:rsidRPr="00AC3D23">
          <w:rPr>
            <w:rStyle w:val="Hyperlink"/>
            <w:noProof/>
          </w:rPr>
          <w:t>Figure 2.2. Adapted bow-tie for laboratory inventory management (CCPS &amp; Energy Institute, 2018 terminology; method per IEC 31010:2019; FIRM categories per Hopkin, 2018; M = Marketplace read as service/stakeholder environment — thesis adaptation, Section 2.9.5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Toc237109052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4B9FB167" w14:textId="671D48C4" w:rsidR="00CA0BCC" w:rsidRDefault="00CA0BCC" w:rsidP="00CA0BCC">
      <w:pPr>
        <w:pStyle w:val="TableofFigures"/>
        <w:tabs>
          <w:tab w:val="right" w:leader="dot" w:pos="10196"/>
        </w:tabs>
        <w:bidi w:val="0"/>
        <w:spacing w:line="360" w:lineRule="auto"/>
        <w:rPr>
          <w:rFonts w:eastAsiaTheme="minorEastAsia"/>
          <w:noProof/>
          <w:kern w:val="2"/>
          <w:sz w:val="24"/>
          <w:szCs w:val="24"/>
          <w:rtl/>
        </w:rPr>
      </w:pPr>
      <w:hyperlink w:anchor="_Toc237109053" w:history="1">
        <w:r w:rsidRPr="00AC3D23">
          <w:rPr>
            <w:rStyle w:val="Hyperlink"/>
            <w:noProof/>
          </w:rPr>
          <w:t xml:space="preserve">Figure </w:t>
        </w:r>
        <w:r w:rsidR="00A94BAE">
          <w:rPr>
            <w:rStyle w:val="Hyperlink"/>
            <w:noProof/>
          </w:rPr>
          <w:t>4</w:t>
        </w:r>
        <w:r w:rsidRPr="00AC3D23">
          <w:rPr>
            <w:rStyle w:val="Hyperlink"/>
            <w:noProof/>
          </w:rPr>
          <w:t>.</w:t>
        </w:r>
        <w:r w:rsidR="00A94BAE">
          <w:rPr>
            <w:rStyle w:val="Hyperlink"/>
            <w:noProof/>
          </w:rPr>
          <w:t>1</w:t>
        </w:r>
        <w:r w:rsidRPr="00AC3D23">
          <w:rPr>
            <w:rStyle w:val="Hyperlink"/>
            <w:noProof/>
          </w:rPr>
          <w:t xml:space="preserve">. Inter-lab loan workflow and escalation ladder under the Inter-Lab Policy Framework (design specification; custody states and controls per </w:t>
        </w:r>
        <w:r w:rsidR="002C0C03" w:rsidRPr="002C0C03">
          <w:rPr>
            <w:rStyle w:val="Hyperlink"/>
            <w:noProof/>
          </w:rPr>
          <w:t>Section 4.1.6</w:t>
        </w:r>
        <w:r w:rsidRPr="00AC3D23">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Toc237109053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48658BC4" w14:textId="0CD7F3F4" w:rsidR="00CA0BCC" w:rsidRDefault="00CA0BCC" w:rsidP="00CA0BCC">
      <w:pPr>
        <w:pStyle w:val="TableofFigures"/>
        <w:tabs>
          <w:tab w:val="right" w:leader="dot" w:pos="10196"/>
        </w:tabs>
        <w:bidi w:val="0"/>
        <w:spacing w:line="360" w:lineRule="auto"/>
        <w:rPr>
          <w:rFonts w:eastAsiaTheme="minorEastAsia"/>
          <w:noProof/>
          <w:kern w:val="2"/>
          <w:sz w:val="24"/>
          <w:szCs w:val="24"/>
          <w:rtl/>
        </w:rPr>
      </w:pPr>
      <w:hyperlink w:anchor="_Toc237109054" w:history="1">
        <w:r w:rsidRPr="00AC3D23">
          <w:rPr>
            <w:rStyle w:val="Hyperlink"/>
            <w:noProof/>
          </w:rPr>
          <w:t>Figure 4.</w:t>
        </w:r>
        <w:r w:rsidR="00A94BAE">
          <w:rPr>
            <w:rStyle w:val="Hyperlink"/>
            <w:noProof/>
          </w:rPr>
          <w:t>2</w:t>
        </w:r>
        <w:r w:rsidRPr="00AC3D23">
          <w:rPr>
            <w:rStyle w:val="Hyperlink"/>
            <w:noProof/>
          </w:rPr>
          <w:t>. Organizational chart of the participatory inventory governance architecture (solid lines: reporting/governing; dashed lines: drafting, reporting, escalation, and protocol interfaces).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Toc237109054 \h</w:instrText>
        </w:r>
        <w:r>
          <w:rPr>
            <w:noProof/>
            <w:webHidden/>
            <w:rtl/>
          </w:rPr>
          <w:instrText xml:space="preserve"> </w:instrText>
        </w:r>
        <w:r>
          <w:rPr>
            <w:noProof/>
            <w:webHidden/>
            <w:rtl/>
          </w:rPr>
        </w:r>
        <w:r>
          <w:rPr>
            <w:noProof/>
            <w:webHidden/>
            <w:rtl/>
          </w:rPr>
          <w:fldChar w:fldCharType="separate"/>
        </w:r>
        <w:r>
          <w:rPr>
            <w:noProof/>
            <w:webHidden/>
            <w:rtl/>
          </w:rPr>
          <w:t>127</w:t>
        </w:r>
        <w:r>
          <w:rPr>
            <w:noProof/>
            <w:webHidden/>
            <w:rtl/>
          </w:rPr>
          <w:fldChar w:fldCharType="end"/>
        </w:r>
      </w:hyperlink>
    </w:p>
    <w:p w14:paraId="5BC97B47" w14:textId="7AAFC5C0" w:rsidR="00CA0BCC" w:rsidRPr="00CA0BCC" w:rsidRDefault="00CA0BCC" w:rsidP="00CA0BCC">
      <w:pPr>
        <w:bidi w:val="0"/>
      </w:pPr>
      <w:r>
        <w:fldChar w:fldCharType="end"/>
      </w:r>
    </w:p>
    <w:p w14:paraId="23B8C571" w14:textId="7B66676D" w:rsidR="002E0295" w:rsidRDefault="002E0295" w:rsidP="00E311E3">
      <w:pPr>
        <w:pStyle w:val="Heading1"/>
        <w:bidi w:val="0"/>
      </w:pPr>
      <w:bookmarkStart w:id="9" w:name="_Toc237539697"/>
      <w:r>
        <w:t xml:space="preserve">List of Abbreviations and </w:t>
      </w:r>
      <w:r w:rsidR="00832778" w:rsidRPr="00832778">
        <w:t>Terminology</w:t>
      </w:r>
      <w:bookmarkEnd w:id="9"/>
    </w:p>
    <w:p w14:paraId="04FFDAFC" w14:textId="7C54988E" w:rsidR="009A3F9D" w:rsidRPr="00CA0BCC" w:rsidRDefault="000F001F" w:rsidP="00861F15">
      <w:pPr>
        <w:pStyle w:val="Heading2"/>
        <w:bidi w:val="0"/>
        <w:jc w:val="left"/>
      </w:pPr>
      <w:bookmarkStart w:id="10" w:name="_Toc237539698"/>
      <w:r w:rsidRPr="00CA0BCC">
        <w:t>List of Abbreviations</w:t>
      </w:r>
      <w:bookmarkEnd w:id="10"/>
    </w:p>
    <w:tbl>
      <w:tblPr>
        <w:tblStyle w:val="Table"/>
        <w:tblW w:w="5000" w:type="pct"/>
        <w:tblBorders>
          <w:top w:val="single" w:sz="12" w:space="0" w:color="44546A"/>
          <w:bottom w:val="single" w:sz="12" w:space="0" w:color="44546A"/>
        </w:tblBorders>
        <w:tblLayout w:type="fixed"/>
        <w:tblCellMar>
          <w:left w:w="80" w:type="dxa"/>
          <w:right w:w="80" w:type="dxa"/>
        </w:tblCellMar>
        <w:tblLook w:val="0020" w:firstRow="1" w:lastRow="0" w:firstColumn="0" w:lastColumn="0" w:noHBand="0" w:noVBand="0"/>
      </w:tblPr>
      <w:tblGrid>
        <w:gridCol w:w="3053"/>
        <w:gridCol w:w="7153"/>
      </w:tblGrid>
      <w:tr w:rsidR="000F001F" w:rsidRPr="000F001F" w14:paraId="6E0C715B" w14:textId="77777777" w:rsidTr="00667F60">
        <w:trPr>
          <w:cnfStyle w:val="100000000000" w:firstRow="1" w:lastRow="0" w:firstColumn="0" w:lastColumn="0" w:oddVBand="0" w:evenVBand="0" w:oddHBand="0" w:evenHBand="0" w:firstRowFirstColumn="0" w:firstRowLastColumn="0" w:lastRowFirstColumn="0" w:lastRowLastColumn="0"/>
          <w:tblHeader/>
        </w:trPr>
        <w:tc>
          <w:tcPr>
            <w:tcW w:w="3053" w:type="dxa"/>
            <w:tcBorders>
              <w:bottom w:val="single" w:sz="8" w:space="0" w:color="44546A"/>
            </w:tcBorders>
            <w:vAlign w:val="top"/>
          </w:tcPr>
          <w:p w14:paraId="625DA3F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b/>
                <w:bCs/>
                <w:sz w:val="24"/>
              </w:rPr>
              <w:t>Abbreviation</w:t>
            </w:r>
          </w:p>
        </w:tc>
        <w:tc>
          <w:tcPr>
            <w:tcW w:w="7153" w:type="dxa"/>
            <w:tcBorders>
              <w:bottom w:val="single" w:sz="8" w:space="0" w:color="44546A"/>
            </w:tcBorders>
            <w:vAlign w:val="top"/>
          </w:tcPr>
          <w:p w14:paraId="3D6886E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b/>
                <w:bCs/>
                <w:sz w:val="24"/>
              </w:rPr>
              <w:t>Full Name</w:t>
            </w:r>
          </w:p>
        </w:tc>
      </w:tr>
      <w:tr w:rsidR="000F001F" w:rsidRPr="000F001F" w14:paraId="309A84ED" w14:textId="77777777" w:rsidTr="00667F60">
        <w:tc>
          <w:tcPr>
            <w:tcW w:w="3053" w:type="dxa"/>
          </w:tcPr>
          <w:p w14:paraId="6E65B2A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BCMS</w:t>
            </w:r>
          </w:p>
        </w:tc>
        <w:tc>
          <w:tcPr>
            <w:tcW w:w="7153" w:type="dxa"/>
          </w:tcPr>
          <w:p w14:paraId="4E83C7F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Business Continuity Management System</w:t>
            </w:r>
          </w:p>
        </w:tc>
      </w:tr>
      <w:tr w:rsidR="000F001F" w:rsidRPr="000F001F" w14:paraId="2630DB9D" w14:textId="77777777" w:rsidTr="00667F60">
        <w:tc>
          <w:tcPr>
            <w:tcW w:w="3053" w:type="dxa"/>
          </w:tcPr>
          <w:p w14:paraId="32EA552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BIA</w:t>
            </w:r>
          </w:p>
        </w:tc>
        <w:tc>
          <w:tcPr>
            <w:tcW w:w="7153" w:type="dxa"/>
          </w:tcPr>
          <w:p w14:paraId="62D1D04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Business Impact Analysis</w:t>
            </w:r>
          </w:p>
        </w:tc>
      </w:tr>
      <w:tr w:rsidR="000F001F" w:rsidRPr="000F001F" w14:paraId="5EC34D2B" w14:textId="77777777" w:rsidTr="00667F60">
        <w:tc>
          <w:tcPr>
            <w:tcW w:w="3053" w:type="dxa"/>
          </w:tcPr>
          <w:p w14:paraId="3B65CE0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CCPS</w:t>
            </w:r>
          </w:p>
        </w:tc>
        <w:tc>
          <w:tcPr>
            <w:tcW w:w="7153" w:type="dxa"/>
          </w:tcPr>
          <w:p w14:paraId="4B9CF08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Center for Chemical Process Safety</w:t>
            </w:r>
          </w:p>
        </w:tc>
      </w:tr>
      <w:tr w:rsidR="000F001F" w:rsidRPr="000F001F" w14:paraId="4C9565AB" w14:textId="77777777" w:rsidTr="00667F60">
        <w:tc>
          <w:tcPr>
            <w:tcW w:w="3053" w:type="dxa"/>
          </w:tcPr>
          <w:p w14:paraId="05744F54"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CE</w:t>
            </w:r>
          </w:p>
        </w:tc>
        <w:tc>
          <w:tcPr>
            <w:tcW w:w="7153" w:type="dxa"/>
          </w:tcPr>
          <w:p w14:paraId="5A1401C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Circular Economy</w:t>
            </w:r>
          </w:p>
        </w:tc>
      </w:tr>
      <w:tr w:rsidR="000F001F" w:rsidRPr="000F001F" w14:paraId="4C65E3AE" w14:textId="77777777" w:rsidTr="00667F60">
        <w:tc>
          <w:tcPr>
            <w:tcW w:w="3053" w:type="dxa"/>
          </w:tcPr>
          <w:p w14:paraId="1A6A2F4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CMM / CMMI</w:t>
            </w:r>
          </w:p>
        </w:tc>
        <w:tc>
          <w:tcPr>
            <w:tcW w:w="7153" w:type="dxa"/>
          </w:tcPr>
          <w:p w14:paraId="76A5A98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Capability Maturity Model / Capability Maturity Model Integration</w:t>
            </w:r>
          </w:p>
        </w:tc>
      </w:tr>
      <w:tr w:rsidR="000F001F" w:rsidRPr="000F001F" w14:paraId="47D7F55C" w14:textId="77777777" w:rsidTr="00667F60">
        <w:tc>
          <w:tcPr>
            <w:tcW w:w="3053" w:type="dxa"/>
          </w:tcPr>
          <w:p w14:paraId="7BDC6E3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COSO</w:t>
            </w:r>
          </w:p>
        </w:tc>
        <w:tc>
          <w:tcPr>
            <w:tcW w:w="7153" w:type="dxa"/>
          </w:tcPr>
          <w:p w14:paraId="527E06C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Committee of Sponsoring Organizations of the Treadway Commission</w:t>
            </w:r>
          </w:p>
        </w:tc>
      </w:tr>
      <w:tr w:rsidR="000F001F" w:rsidRPr="000F001F" w14:paraId="2CA04CB9" w14:textId="77777777" w:rsidTr="00667F60">
        <w:tc>
          <w:tcPr>
            <w:tcW w:w="3053" w:type="dxa"/>
          </w:tcPr>
          <w:p w14:paraId="42ECB32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CSR</w:t>
            </w:r>
          </w:p>
        </w:tc>
        <w:tc>
          <w:tcPr>
            <w:tcW w:w="7153" w:type="dxa"/>
          </w:tcPr>
          <w:p w14:paraId="0DA2764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Corporate Social Responsibility</w:t>
            </w:r>
          </w:p>
        </w:tc>
      </w:tr>
      <w:tr w:rsidR="000F001F" w:rsidRPr="000F001F" w14:paraId="0B193D6B" w14:textId="77777777" w:rsidTr="00667F60">
        <w:tc>
          <w:tcPr>
            <w:tcW w:w="3053" w:type="dxa"/>
          </w:tcPr>
          <w:p w14:paraId="1CAC214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EB</w:t>
            </w:r>
          </w:p>
        </w:tc>
        <w:tc>
          <w:tcPr>
            <w:tcW w:w="7153" w:type="dxa"/>
          </w:tcPr>
          <w:p w14:paraId="1284C8D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Escalation-Factor Barrier (EB1–EB3)</w:t>
            </w:r>
          </w:p>
        </w:tc>
      </w:tr>
      <w:tr w:rsidR="000F001F" w:rsidRPr="000F001F" w14:paraId="57F83C54" w14:textId="77777777" w:rsidTr="00667F60">
        <w:tc>
          <w:tcPr>
            <w:tcW w:w="3053" w:type="dxa"/>
          </w:tcPr>
          <w:p w14:paraId="6255E186"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EF</w:t>
            </w:r>
          </w:p>
        </w:tc>
        <w:tc>
          <w:tcPr>
            <w:tcW w:w="7153" w:type="dxa"/>
          </w:tcPr>
          <w:p w14:paraId="13B9BF9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Escalation Factor (EF1–EF3)</w:t>
            </w:r>
          </w:p>
        </w:tc>
      </w:tr>
      <w:tr w:rsidR="000F001F" w:rsidRPr="000F001F" w14:paraId="0A6D502D" w14:textId="77777777" w:rsidTr="00667F60">
        <w:tc>
          <w:tcPr>
            <w:tcW w:w="3053" w:type="dxa"/>
          </w:tcPr>
          <w:p w14:paraId="692F43F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EMS</w:t>
            </w:r>
          </w:p>
        </w:tc>
        <w:tc>
          <w:tcPr>
            <w:tcW w:w="7153" w:type="dxa"/>
          </w:tcPr>
          <w:p w14:paraId="5550738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Environmental Management System</w:t>
            </w:r>
          </w:p>
        </w:tc>
      </w:tr>
      <w:tr w:rsidR="000F001F" w:rsidRPr="000F001F" w14:paraId="680251B5" w14:textId="77777777" w:rsidTr="00667F60">
        <w:tc>
          <w:tcPr>
            <w:tcW w:w="3053" w:type="dxa"/>
          </w:tcPr>
          <w:p w14:paraId="1EA9761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FEFO</w:t>
            </w:r>
          </w:p>
        </w:tc>
        <w:tc>
          <w:tcPr>
            <w:tcW w:w="7153" w:type="dxa"/>
          </w:tcPr>
          <w:p w14:paraId="662301A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First-Expired, First-Out</w:t>
            </w:r>
          </w:p>
        </w:tc>
      </w:tr>
      <w:tr w:rsidR="000F001F" w:rsidRPr="000F001F" w14:paraId="25531109" w14:textId="77777777" w:rsidTr="00667F60">
        <w:tc>
          <w:tcPr>
            <w:tcW w:w="3053" w:type="dxa"/>
          </w:tcPr>
          <w:p w14:paraId="3C056CE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FIRM</w:t>
            </w:r>
          </w:p>
        </w:tc>
        <w:tc>
          <w:tcPr>
            <w:tcW w:w="7153" w:type="dxa"/>
          </w:tcPr>
          <w:p w14:paraId="372F1C0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Financial, Infrastructure, Reputational, Marketplace (risk classification taxonomy)</w:t>
            </w:r>
          </w:p>
        </w:tc>
      </w:tr>
      <w:tr w:rsidR="000F001F" w:rsidRPr="000F001F" w14:paraId="7A9183F0" w14:textId="77777777" w:rsidTr="00667F60">
        <w:tc>
          <w:tcPr>
            <w:tcW w:w="3053" w:type="dxa"/>
          </w:tcPr>
          <w:p w14:paraId="7EC14D9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G1–G4</w:t>
            </w:r>
          </w:p>
        </w:tc>
        <w:tc>
          <w:tcPr>
            <w:tcW w:w="7153" w:type="dxa"/>
          </w:tcPr>
          <w:p w14:paraId="58CAE3C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Analytical Readiness Gates 1–4</w:t>
            </w:r>
          </w:p>
        </w:tc>
      </w:tr>
      <w:tr w:rsidR="000F001F" w:rsidRPr="000F001F" w14:paraId="50A600FB" w14:textId="77777777" w:rsidTr="00667F60">
        <w:tc>
          <w:tcPr>
            <w:tcW w:w="3053" w:type="dxa"/>
          </w:tcPr>
          <w:p w14:paraId="3B7F79E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HSE</w:t>
            </w:r>
          </w:p>
        </w:tc>
        <w:tc>
          <w:tcPr>
            <w:tcW w:w="7153" w:type="dxa"/>
          </w:tcPr>
          <w:p w14:paraId="2475A77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Health, Safety, and Environment</w:t>
            </w:r>
          </w:p>
        </w:tc>
      </w:tr>
      <w:tr w:rsidR="000F001F" w:rsidRPr="000F001F" w14:paraId="23308CDD" w14:textId="77777777" w:rsidTr="00667F60">
        <w:tc>
          <w:tcPr>
            <w:tcW w:w="3053" w:type="dxa"/>
          </w:tcPr>
          <w:p w14:paraId="0B806FF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IEC</w:t>
            </w:r>
          </w:p>
        </w:tc>
        <w:tc>
          <w:tcPr>
            <w:tcW w:w="7153" w:type="dxa"/>
          </w:tcPr>
          <w:p w14:paraId="5954BF0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International Electrotechnical Commission</w:t>
            </w:r>
          </w:p>
        </w:tc>
      </w:tr>
      <w:tr w:rsidR="000F001F" w:rsidRPr="000F001F" w14:paraId="3139FC5B" w14:textId="77777777" w:rsidTr="00667F60">
        <w:tc>
          <w:tcPr>
            <w:tcW w:w="3053" w:type="dxa"/>
          </w:tcPr>
          <w:p w14:paraId="1898CBA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IoT</w:t>
            </w:r>
          </w:p>
        </w:tc>
        <w:tc>
          <w:tcPr>
            <w:tcW w:w="7153" w:type="dxa"/>
          </w:tcPr>
          <w:p w14:paraId="38C9CFE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Internet of Things</w:t>
            </w:r>
          </w:p>
        </w:tc>
      </w:tr>
      <w:tr w:rsidR="000F001F" w:rsidRPr="000F001F" w14:paraId="373C4E34" w14:textId="77777777" w:rsidTr="00667F60">
        <w:tc>
          <w:tcPr>
            <w:tcW w:w="3053" w:type="dxa"/>
          </w:tcPr>
          <w:p w14:paraId="1892F951"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ISO</w:t>
            </w:r>
          </w:p>
        </w:tc>
        <w:tc>
          <w:tcPr>
            <w:tcW w:w="7153" w:type="dxa"/>
          </w:tcPr>
          <w:p w14:paraId="59734C2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International Organization for Standardization</w:t>
            </w:r>
          </w:p>
        </w:tc>
      </w:tr>
      <w:tr w:rsidR="000F001F" w:rsidRPr="000F001F" w14:paraId="3741BD65" w14:textId="77777777" w:rsidTr="00667F60">
        <w:tc>
          <w:tcPr>
            <w:tcW w:w="3053" w:type="dxa"/>
          </w:tcPr>
          <w:p w14:paraId="1F90EDE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ISO/IEC</w:t>
            </w:r>
          </w:p>
        </w:tc>
        <w:tc>
          <w:tcPr>
            <w:tcW w:w="7153" w:type="dxa"/>
          </w:tcPr>
          <w:p w14:paraId="16041FB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Joint International Organization for Standardization / International Electrotechnical Commission standard series</w:t>
            </w:r>
          </w:p>
        </w:tc>
      </w:tr>
      <w:tr w:rsidR="000F001F" w:rsidRPr="000F001F" w14:paraId="1880B721" w14:textId="77777777" w:rsidTr="00667F60">
        <w:tc>
          <w:tcPr>
            <w:tcW w:w="3053" w:type="dxa"/>
          </w:tcPr>
          <w:p w14:paraId="700BA694"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ISO/TS</w:t>
            </w:r>
          </w:p>
        </w:tc>
        <w:tc>
          <w:tcPr>
            <w:tcW w:w="7153" w:type="dxa"/>
          </w:tcPr>
          <w:p w14:paraId="0A02624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ISO Technical Specification</w:t>
            </w:r>
          </w:p>
        </w:tc>
      </w:tr>
      <w:tr w:rsidR="000F001F" w:rsidRPr="000F001F" w14:paraId="25BBBC9A" w14:textId="77777777" w:rsidTr="00667F60">
        <w:tc>
          <w:tcPr>
            <w:tcW w:w="3053" w:type="dxa"/>
          </w:tcPr>
          <w:p w14:paraId="1CFE1A1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KPI</w:t>
            </w:r>
          </w:p>
        </w:tc>
        <w:tc>
          <w:tcPr>
            <w:tcW w:w="7153" w:type="dxa"/>
          </w:tcPr>
          <w:p w14:paraId="5B3BF1E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Key Performance Indicator</w:t>
            </w:r>
          </w:p>
        </w:tc>
      </w:tr>
      <w:tr w:rsidR="000F001F" w:rsidRPr="000F001F" w14:paraId="12653021" w14:textId="77777777" w:rsidTr="00667F60">
        <w:tc>
          <w:tcPr>
            <w:tcW w:w="3053" w:type="dxa"/>
          </w:tcPr>
          <w:p w14:paraId="2E3F34B1"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LCA</w:t>
            </w:r>
          </w:p>
        </w:tc>
        <w:tc>
          <w:tcPr>
            <w:tcW w:w="7153" w:type="dxa"/>
          </w:tcPr>
          <w:p w14:paraId="49D52E7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Life-Cycle Assessment</w:t>
            </w:r>
          </w:p>
        </w:tc>
      </w:tr>
      <w:tr w:rsidR="000F001F" w:rsidRPr="000F001F" w14:paraId="30C84A73" w14:textId="77777777" w:rsidTr="00667F60">
        <w:tc>
          <w:tcPr>
            <w:tcW w:w="3053" w:type="dxa"/>
          </w:tcPr>
          <w:p w14:paraId="4EF416B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MB</w:t>
            </w:r>
          </w:p>
        </w:tc>
        <w:tc>
          <w:tcPr>
            <w:tcW w:w="7153" w:type="dxa"/>
          </w:tcPr>
          <w:p w14:paraId="051925B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Mitigation Barrier (MB1–MB3)</w:t>
            </w:r>
          </w:p>
        </w:tc>
      </w:tr>
      <w:tr w:rsidR="000F001F" w:rsidRPr="000F001F" w14:paraId="51C3A995" w14:textId="77777777" w:rsidTr="00667F60">
        <w:tc>
          <w:tcPr>
            <w:tcW w:w="3053" w:type="dxa"/>
          </w:tcPr>
          <w:p w14:paraId="0EDCF26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MTPD</w:t>
            </w:r>
          </w:p>
        </w:tc>
        <w:tc>
          <w:tcPr>
            <w:tcW w:w="7153" w:type="dxa"/>
          </w:tcPr>
          <w:p w14:paraId="4D4B031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Maximum Tolerable Period of Disruption</w:t>
            </w:r>
          </w:p>
        </w:tc>
      </w:tr>
      <w:tr w:rsidR="000F001F" w:rsidRPr="000F001F" w14:paraId="0532EED5" w14:textId="77777777" w:rsidTr="00667F60">
        <w:tc>
          <w:tcPr>
            <w:tcW w:w="3053" w:type="dxa"/>
          </w:tcPr>
          <w:p w14:paraId="5A4D937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PB</w:t>
            </w:r>
          </w:p>
        </w:tc>
        <w:tc>
          <w:tcPr>
            <w:tcW w:w="7153" w:type="dxa"/>
          </w:tcPr>
          <w:p w14:paraId="6D2024D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Prevention Barrier (PB1–PB3)</w:t>
            </w:r>
          </w:p>
        </w:tc>
      </w:tr>
      <w:tr w:rsidR="000F001F" w:rsidRPr="000F001F" w14:paraId="4676F8F2" w14:textId="77777777" w:rsidTr="00667F60">
        <w:tc>
          <w:tcPr>
            <w:tcW w:w="3053" w:type="dxa"/>
          </w:tcPr>
          <w:p w14:paraId="0E010BD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PDCA</w:t>
            </w:r>
          </w:p>
        </w:tc>
        <w:tc>
          <w:tcPr>
            <w:tcW w:w="7153" w:type="dxa"/>
          </w:tcPr>
          <w:p w14:paraId="5930F6C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Plan–Do–Check–Act</w:t>
            </w:r>
          </w:p>
        </w:tc>
      </w:tr>
      <w:tr w:rsidR="000F001F" w:rsidRPr="000F001F" w14:paraId="7797BAFA" w14:textId="77777777" w:rsidTr="00667F60">
        <w:tc>
          <w:tcPr>
            <w:tcW w:w="3053" w:type="dxa"/>
          </w:tcPr>
          <w:p w14:paraId="5D39238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PESTLE</w:t>
            </w:r>
          </w:p>
        </w:tc>
        <w:tc>
          <w:tcPr>
            <w:tcW w:w="7153" w:type="dxa"/>
          </w:tcPr>
          <w:p w14:paraId="74157E3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Political, Economic, Social, Technological, Legal, Environmental (external-drivers taxonomy)</w:t>
            </w:r>
          </w:p>
        </w:tc>
      </w:tr>
      <w:tr w:rsidR="000F001F" w:rsidRPr="000F001F" w14:paraId="5C78A611" w14:textId="77777777" w:rsidTr="00667F60">
        <w:tc>
          <w:tcPr>
            <w:tcW w:w="3053" w:type="dxa"/>
          </w:tcPr>
          <w:p w14:paraId="12ECEF4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PMBOK</w:t>
            </w:r>
          </w:p>
        </w:tc>
        <w:tc>
          <w:tcPr>
            <w:tcW w:w="7153" w:type="dxa"/>
          </w:tcPr>
          <w:p w14:paraId="26A3296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Project Management Body of Knowledge</w:t>
            </w:r>
          </w:p>
        </w:tc>
      </w:tr>
      <w:tr w:rsidR="000F001F" w:rsidRPr="000F001F" w14:paraId="5AB8A71D" w14:textId="77777777" w:rsidTr="00667F60">
        <w:tc>
          <w:tcPr>
            <w:tcW w:w="3053" w:type="dxa"/>
          </w:tcPr>
          <w:p w14:paraId="1B87BCD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PMI</w:t>
            </w:r>
          </w:p>
        </w:tc>
        <w:tc>
          <w:tcPr>
            <w:tcW w:w="7153" w:type="dxa"/>
          </w:tcPr>
          <w:p w14:paraId="4164FFD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Project Management Institute</w:t>
            </w:r>
          </w:p>
        </w:tc>
      </w:tr>
      <w:tr w:rsidR="000F001F" w:rsidRPr="000F001F" w14:paraId="0DC8974A" w14:textId="77777777" w:rsidTr="00667F60">
        <w:tc>
          <w:tcPr>
            <w:tcW w:w="3053" w:type="dxa"/>
          </w:tcPr>
          <w:p w14:paraId="0FFE4EB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RACI</w:t>
            </w:r>
          </w:p>
        </w:tc>
        <w:tc>
          <w:tcPr>
            <w:tcW w:w="7153" w:type="dxa"/>
          </w:tcPr>
          <w:p w14:paraId="2A1F4C8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Responsible, Accountable, Consulted, Informed (accountability matrix convention)</w:t>
            </w:r>
          </w:p>
        </w:tc>
      </w:tr>
      <w:tr w:rsidR="000F001F" w:rsidRPr="000F001F" w14:paraId="1D319F86" w14:textId="77777777" w:rsidTr="00667F60">
        <w:tc>
          <w:tcPr>
            <w:tcW w:w="3053" w:type="dxa"/>
          </w:tcPr>
          <w:p w14:paraId="6360B21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RFID</w:t>
            </w:r>
          </w:p>
        </w:tc>
        <w:tc>
          <w:tcPr>
            <w:tcW w:w="7153" w:type="dxa"/>
          </w:tcPr>
          <w:p w14:paraId="0F9D361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Radio-Frequency Identification</w:t>
            </w:r>
          </w:p>
        </w:tc>
      </w:tr>
      <w:tr w:rsidR="000F001F" w:rsidRPr="000F001F" w14:paraId="2BB50946" w14:textId="77777777" w:rsidTr="00667F60">
        <w:tc>
          <w:tcPr>
            <w:tcW w:w="3053" w:type="dxa"/>
          </w:tcPr>
          <w:p w14:paraId="13C198D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RMM</w:t>
            </w:r>
          </w:p>
        </w:tc>
        <w:tc>
          <w:tcPr>
            <w:tcW w:w="7153" w:type="dxa"/>
          </w:tcPr>
          <w:p w14:paraId="0512578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Risk Maturity Model</w:t>
            </w:r>
          </w:p>
        </w:tc>
      </w:tr>
      <w:tr w:rsidR="000F001F" w:rsidRPr="000F001F" w14:paraId="4804FCEA" w14:textId="77777777" w:rsidTr="00667F60">
        <w:tc>
          <w:tcPr>
            <w:tcW w:w="3053" w:type="dxa"/>
          </w:tcPr>
          <w:p w14:paraId="5B31887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RQ</w:t>
            </w:r>
          </w:p>
        </w:tc>
        <w:tc>
          <w:tcPr>
            <w:tcW w:w="7153" w:type="dxa"/>
          </w:tcPr>
          <w:p w14:paraId="164DF6E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Research Question (RQ1–RQ4)</w:t>
            </w:r>
          </w:p>
        </w:tc>
      </w:tr>
      <w:tr w:rsidR="000F001F" w:rsidRPr="000F001F" w14:paraId="4B7D4D96" w14:textId="77777777" w:rsidTr="00667F60">
        <w:tc>
          <w:tcPr>
            <w:tcW w:w="3053" w:type="dxa"/>
          </w:tcPr>
          <w:p w14:paraId="02677B6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RR</w:t>
            </w:r>
          </w:p>
        </w:tc>
        <w:tc>
          <w:tcPr>
            <w:tcW w:w="7153" w:type="dxa"/>
          </w:tcPr>
          <w:p w14:paraId="56F68C9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Risk Register entry (RR-01–RR-15)</w:t>
            </w:r>
          </w:p>
        </w:tc>
      </w:tr>
      <w:tr w:rsidR="000F001F" w:rsidRPr="000F001F" w14:paraId="71B9459F" w14:textId="77777777" w:rsidTr="00667F60">
        <w:tc>
          <w:tcPr>
            <w:tcW w:w="3053" w:type="dxa"/>
          </w:tcPr>
          <w:p w14:paraId="21164936"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RTO</w:t>
            </w:r>
          </w:p>
        </w:tc>
        <w:tc>
          <w:tcPr>
            <w:tcW w:w="7153" w:type="dxa"/>
          </w:tcPr>
          <w:p w14:paraId="6F036EA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Recovery Time Objective</w:t>
            </w:r>
          </w:p>
        </w:tc>
      </w:tr>
      <w:tr w:rsidR="000F001F" w:rsidRPr="000F001F" w14:paraId="53294C91" w14:textId="77777777" w:rsidTr="00667F60">
        <w:tc>
          <w:tcPr>
            <w:tcW w:w="3053" w:type="dxa"/>
          </w:tcPr>
          <w:p w14:paraId="6BB0EB41"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TE</w:t>
            </w:r>
          </w:p>
        </w:tc>
        <w:tc>
          <w:tcPr>
            <w:tcW w:w="7153" w:type="dxa"/>
          </w:tcPr>
          <w:p w14:paraId="7D3E1E9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Top Event (TE1, TE2)</w:t>
            </w:r>
          </w:p>
        </w:tc>
      </w:tr>
      <w:tr w:rsidR="000F001F" w:rsidRPr="000F001F" w14:paraId="08E8D76E" w14:textId="77777777" w:rsidTr="00667F60">
        <w:tc>
          <w:tcPr>
            <w:tcW w:w="3053" w:type="dxa"/>
          </w:tcPr>
          <w:p w14:paraId="726B474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USR</w:t>
            </w:r>
          </w:p>
        </w:tc>
        <w:tc>
          <w:tcPr>
            <w:tcW w:w="7153" w:type="dxa"/>
          </w:tcPr>
          <w:p w14:paraId="189AE25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University Social Responsibility</w:t>
            </w:r>
          </w:p>
        </w:tc>
      </w:tr>
    </w:tbl>
    <w:p w14:paraId="19CCD6EB" w14:textId="77777777" w:rsidR="000F001F" w:rsidRDefault="000F001F" w:rsidP="000F001F">
      <w:pPr>
        <w:pStyle w:val="Compact"/>
        <w:jc w:val="both"/>
        <w:rPr>
          <w:rFonts w:ascii="Simplified Arabic" w:hAnsi="Simplified Arabic" w:cs="Simplified Arabic"/>
          <w:sz w:val="28"/>
          <w:szCs w:val="32"/>
        </w:rPr>
      </w:pPr>
    </w:p>
    <w:p w14:paraId="2641B7B5" w14:textId="77777777" w:rsidR="000F001F" w:rsidRDefault="000F001F" w:rsidP="000F001F">
      <w:pPr>
        <w:pStyle w:val="Compact"/>
        <w:jc w:val="both"/>
        <w:rPr>
          <w:rFonts w:ascii="Simplified Arabic" w:hAnsi="Simplified Arabic" w:cs="Simplified Arabic"/>
          <w:sz w:val="28"/>
          <w:szCs w:val="32"/>
        </w:rPr>
      </w:pPr>
    </w:p>
    <w:p w14:paraId="7DD72273" w14:textId="23AE1932" w:rsidR="000F001F" w:rsidRPr="00CA0BCC" w:rsidRDefault="000F001F" w:rsidP="00861F15">
      <w:pPr>
        <w:pStyle w:val="Heading2"/>
        <w:bidi w:val="0"/>
        <w:jc w:val="left"/>
      </w:pPr>
      <w:bookmarkStart w:id="11" w:name="_Toc237539699"/>
      <w:r w:rsidRPr="00CA0BCC">
        <w:t>List of Terminology</w:t>
      </w:r>
      <w:bookmarkEnd w:id="11"/>
    </w:p>
    <w:tbl>
      <w:tblPr>
        <w:tblStyle w:val="Table"/>
        <w:tblW w:w="5000" w:type="pct"/>
        <w:tblBorders>
          <w:top w:val="single" w:sz="12" w:space="0" w:color="44546A"/>
          <w:bottom w:val="single" w:sz="12" w:space="0" w:color="44546A"/>
        </w:tblBorders>
        <w:tblLayout w:type="fixed"/>
        <w:tblCellMar>
          <w:left w:w="80" w:type="dxa"/>
          <w:right w:w="80" w:type="dxa"/>
        </w:tblCellMar>
        <w:tblLook w:val="0020" w:firstRow="1" w:lastRow="0" w:firstColumn="0" w:lastColumn="0" w:noHBand="0" w:noVBand="0"/>
      </w:tblPr>
      <w:tblGrid>
        <w:gridCol w:w="3053"/>
        <w:gridCol w:w="7153"/>
      </w:tblGrid>
      <w:tr w:rsidR="000F001F" w:rsidRPr="000F001F" w14:paraId="47A6C6D9" w14:textId="77777777" w:rsidTr="000F001F">
        <w:trPr>
          <w:cnfStyle w:val="100000000000" w:firstRow="1" w:lastRow="0" w:firstColumn="0" w:lastColumn="0" w:oddVBand="0" w:evenVBand="0" w:oddHBand="0" w:evenHBand="0" w:firstRowFirstColumn="0" w:firstRowLastColumn="0" w:lastRowFirstColumn="0" w:lastRowLastColumn="0"/>
          <w:tblHeader/>
        </w:trPr>
        <w:tc>
          <w:tcPr>
            <w:tcW w:w="2800" w:type="dxa"/>
            <w:tcBorders>
              <w:bottom w:val="single" w:sz="8" w:space="0" w:color="44546A"/>
            </w:tcBorders>
            <w:vAlign w:val="top"/>
          </w:tcPr>
          <w:p w14:paraId="1F6DE3A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b/>
                <w:bCs/>
                <w:sz w:val="24"/>
              </w:rPr>
              <w:t>Term</w:t>
            </w:r>
          </w:p>
        </w:tc>
        <w:tc>
          <w:tcPr>
            <w:tcW w:w="6560" w:type="dxa"/>
            <w:tcBorders>
              <w:bottom w:val="single" w:sz="8" w:space="0" w:color="44546A"/>
            </w:tcBorders>
            <w:vAlign w:val="top"/>
          </w:tcPr>
          <w:p w14:paraId="55C37D3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b/>
                <w:bCs/>
                <w:sz w:val="24"/>
              </w:rPr>
              <w:t>Academic Definition (as used in this thesis)</w:t>
            </w:r>
          </w:p>
        </w:tc>
      </w:tr>
      <w:tr w:rsidR="000F001F" w:rsidRPr="000F001F" w14:paraId="244B3870" w14:textId="77777777" w:rsidTr="000F001F">
        <w:tc>
          <w:tcPr>
            <w:tcW w:w="2800" w:type="dxa"/>
          </w:tcPr>
          <w:p w14:paraId="64274AF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Academic Inventory Governance Board</w:t>
            </w:r>
          </w:p>
        </w:tc>
        <w:tc>
          <w:tcPr>
            <w:tcW w:w="6560" w:type="dxa"/>
          </w:tcPr>
          <w:p w14:paraId="52731721" w14:textId="661B305C"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apex decision body of the participatory inventory framework at the College of Science, holding policy-ratification, risk-register, continuity-objective, and performance-review authority; it governs the rules of sharing without executing operational tasks or superseding departmental budget authority (</w:t>
            </w:r>
            <w:hyperlink w:anchor="Section412" w:history="1">
              <w:r w:rsidR="002C0C03" w:rsidRPr="00C86ACA">
                <w:rPr>
                  <w:rStyle w:val="Hyperlink"/>
                  <w:rFonts w:ascii="Simplified Arabic" w:hAnsi="Simplified Arabic" w:cs="Simplified Arabic"/>
                  <w:sz w:val="24"/>
                </w:rPr>
                <w:t>Section 4.1.2</w:t>
              </w:r>
            </w:hyperlink>
            <w:r w:rsidRPr="000F001F">
              <w:rPr>
                <w:rFonts w:ascii="Simplified Arabic" w:hAnsi="Simplified Arabic" w:cs="Simplified Arabic"/>
                <w:sz w:val="24"/>
              </w:rPr>
              <w:t>).</w:t>
            </w:r>
          </w:p>
        </w:tc>
      </w:tr>
      <w:tr w:rsidR="000F001F" w:rsidRPr="000F001F" w14:paraId="39C43D64" w14:textId="77777777" w:rsidTr="000F001F">
        <w:tc>
          <w:tcPr>
            <w:tcW w:w="2800" w:type="dxa"/>
          </w:tcPr>
          <w:p w14:paraId="74C0E64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Barrier Ownership</w:t>
            </w:r>
          </w:p>
        </w:tc>
        <w:tc>
          <w:tcPr>
            <w:tcW w:w="6560" w:type="dxa"/>
          </w:tcPr>
          <w:p w14:paraId="274FC1A2" w14:textId="2A563071"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governance principle that every Bow-Tie prevention, mitigation, and escalation-factor barrier is assigned to a named, accountable organizational body, converting the risk model into an auditable allocation of responsibility (Sections</w:t>
            </w:r>
            <w:r w:rsidR="00900AEF">
              <w:rPr>
                <w:rFonts w:ascii="Simplified Arabic" w:hAnsi="Simplified Arabic" w:cs="Simplified Arabic"/>
                <w:sz w:val="24"/>
              </w:rPr>
              <w:t xml:space="preserve"> </w:t>
            </w:r>
            <w:hyperlink w:anchor="section293" w:history="1">
              <w:r w:rsidR="00900AEF" w:rsidRPr="00900AEF">
                <w:rPr>
                  <w:rStyle w:val="Hyperlink"/>
                  <w:rFonts w:ascii="Simplified Arabic" w:hAnsi="Simplified Arabic" w:cs="Simplified Arabic"/>
                  <w:sz w:val="24"/>
                </w:rPr>
                <w:t>2.9.3</w:t>
              </w:r>
            </w:hyperlink>
            <w:r w:rsidRPr="000F001F">
              <w:rPr>
                <w:rFonts w:ascii="Simplified Arabic" w:hAnsi="Simplified Arabic" w:cs="Simplified Arabic"/>
                <w:sz w:val="24"/>
              </w:rPr>
              <w:t>,</w:t>
            </w:r>
            <w:r w:rsidR="00900AEF">
              <w:rPr>
                <w:rFonts w:ascii="Simplified Arabic" w:hAnsi="Simplified Arabic" w:cs="Simplified Arabic"/>
                <w:sz w:val="24"/>
              </w:rPr>
              <w:t xml:space="preserve"> </w:t>
            </w:r>
            <w:hyperlink w:anchor="section417" w:history="1">
              <w:r w:rsidR="00900AEF" w:rsidRPr="00900AEF">
                <w:rPr>
                  <w:rStyle w:val="Hyperlink"/>
                  <w:rFonts w:ascii="Simplified Arabic" w:hAnsi="Simplified Arabic" w:cs="Simplified Arabic"/>
                  <w:sz w:val="24"/>
                </w:rPr>
                <w:t>4.1.7</w:t>
              </w:r>
            </w:hyperlink>
            <w:r w:rsidRPr="000F001F">
              <w:rPr>
                <w:rFonts w:ascii="Simplified Arabic" w:hAnsi="Simplified Arabic" w:cs="Simplified Arabic"/>
                <w:sz w:val="24"/>
              </w:rPr>
              <w:t>).</w:t>
            </w:r>
          </w:p>
        </w:tc>
      </w:tr>
      <w:tr w:rsidR="000F001F" w:rsidRPr="000F001F" w14:paraId="5EE6773F" w14:textId="77777777" w:rsidTr="000F001F">
        <w:tc>
          <w:tcPr>
            <w:tcW w:w="2800" w:type="dxa"/>
          </w:tcPr>
          <w:p w14:paraId="3874017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Bow-Tie Analysis</w:t>
            </w:r>
          </w:p>
        </w:tc>
        <w:tc>
          <w:tcPr>
            <w:tcW w:w="6560" w:type="dxa"/>
          </w:tcPr>
          <w:p w14:paraId="556A024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qualitative risk-assessment technique giving a graphical depiction of the pathways from the causes of an event to its consequences (IEC 31010:2019): threats act through prevention barriers upon a central Top Event, whose consequences are attenuated by mitigation barriers, with escalation factors threatening the barriers themselves.</w:t>
            </w:r>
          </w:p>
        </w:tc>
      </w:tr>
      <w:tr w:rsidR="000F001F" w:rsidRPr="000F001F" w14:paraId="6EBEDDE9" w14:textId="77777777" w:rsidTr="000F001F">
        <w:tc>
          <w:tcPr>
            <w:tcW w:w="2800" w:type="dxa"/>
          </w:tcPr>
          <w:p w14:paraId="4A7985B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Business Impact Analysis (BIA)</w:t>
            </w:r>
          </w:p>
        </w:tc>
        <w:tc>
          <w:tcPr>
            <w:tcW w:w="6560" w:type="dxa"/>
          </w:tcPr>
          <w:p w14:paraId="330C023E" w14:textId="01F9E686"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 xml:space="preserve">The process of </w:t>
            </w:r>
            <w:r w:rsidR="00CA0BCC" w:rsidRPr="000F001F">
              <w:rPr>
                <w:rFonts w:ascii="Simplified Arabic" w:hAnsi="Simplified Arabic" w:cs="Simplified Arabic"/>
                <w:sz w:val="24"/>
              </w:rPr>
              <w:t>analyzing</w:t>
            </w:r>
            <w:r w:rsidRPr="000F001F">
              <w:rPr>
                <w:rFonts w:ascii="Simplified Arabic" w:hAnsi="Simplified Arabic" w:cs="Simplified Arabic"/>
                <w:sz w:val="24"/>
              </w:rPr>
              <w:t xml:space="preserve"> the impact over time of a disruption on the organization, identifying prioritized activities, their dependencies, and recovery parameters (ISO 22301:2019, clause 8.2.2); applied qualitatively to laboratory teaching and research activities.</w:t>
            </w:r>
          </w:p>
        </w:tc>
      </w:tr>
      <w:tr w:rsidR="000F001F" w:rsidRPr="000F001F" w14:paraId="2C7D5A34" w14:textId="77777777" w:rsidTr="000F001F">
        <w:tc>
          <w:tcPr>
            <w:tcW w:w="2800" w:type="dxa"/>
          </w:tcPr>
          <w:p w14:paraId="2B54283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Circular Academic Procurement</w:t>
            </w:r>
          </w:p>
        </w:tc>
        <w:tc>
          <w:tcPr>
            <w:tcW w:w="6560" w:type="dxa"/>
          </w:tcPr>
          <w:p w14:paraId="5698518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 xml:space="preserve">The organization of university purchasing on circular-economy principles — demand aggregation, life-cycle criteria, and right-sized </w:t>
            </w:r>
            <w:r w:rsidRPr="000F001F">
              <w:rPr>
                <w:rFonts w:ascii="Simplified Arabic" w:hAnsi="Simplified Arabic" w:cs="Simplified Arabic"/>
                <w:sz w:val="24"/>
              </w:rPr>
              <w:lastRenderedPageBreak/>
              <w:t>acquisition — implemented in this framework as the joint/circular procurement rules of prevention barrier PB3, reducing incoming volume and aligning purchasing with consumption.</w:t>
            </w:r>
          </w:p>
        </w:tc>
      </w:tr>
      <w:tr w:rsidR="000F001F" w:rsidRPr="000F001F" w14:paraId="50F6CE66" w14:textId="77777777" w:rsidTr="000F001F">
        <w:tc>
          <w:tcPr>
            <w:tcW w:w="2800" w:type="dxa"/>
          </w:tcPr>
          <w:p w14:paraId="5FFA376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Compliance Obligations</w:t>
            </w:r>
          </w:p>
        </w:tc>
        <w:tc>
          <w:tcPr>
            <w:tcW w:w="6560" w:type="dxa"/>
          </w:tcPr>
          <w:p w14:paraId="1D2C8BA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legal and other requirements applicable to an organization’s environmental aspects (ISO 14001:2015, clause 6.1.3), the fulfilment of which is periodically evaluated under clause 9.1.2; distinct from conformity with the standard itself.</w:t>
            </w:r>
          </w:p>
        </w:tc>
      </w:tr>
      <w:tr w:rsidR="000F001F" w:rsidRPr="000F001F" w14:paraId="46F0553C" w14:textId="77777777" w:rsidTr="000F001F">
        <w:tc>
          <w:tcPr>
            <w:tcW w:w="2800" w:type="dxa"/>
          </w:tcPr>
          <w:p w14:paraId="2759107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Custody</w:t>
            </w:r>
          </w:p>
        </w:tc>
        <w:tc>
          <w:tcPr>
            <w:tcW w:w="6560" w:type="dxa"/>
          </w:tcPr>
          <w:p w14:paraId="1EDAB221"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documented, transferable state of responsibility for a specific stock item or asset, including accountability for its condition, location, and return; custody is unambiguous at every moment and changes only through the custody-transfer protocol.</w:t>
            </w:r>
          </w:p>
        </w:tc>
      </w:tr>
      <w:tr w:rsidR="000F001F" w:rsidRPr="000F001F" w14:paraId="07FCE08B" w14:textId="77777777" w:rsidTr="000F001F">
        <w:tc>
          <w:tcPr>
            <w:tcW w:w="2800" w:type="dxa"/>
          </w:tcPr>
          <w:p w14:paraId="0D02AFF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Custody-Transfer Protocol</w:t>
            </w:r>
          </w:p>
        </w:tc>
        <w:tc>
          <w:tcPr>
            <w:tcW w:w="6560" w:type="dxa"/>
          </w:tcPr>
          <w:p w14:paraId="3B24A5E4" w14:textId="26680D51"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documented handover procedure governing every change of custody — condition record, custody acknowledgment, and chain-of-custody log — operating as escalation-factor barrier EB3 against custody ambiguity during inter-lab transfers (</w:t>
            </w:r>
            <w:hyperlink w:anchor="Section416" w:history="1">
              <w:r w:rsidR="002C0C03" w:rsidRPr="00C86ACA">
                <w:rPr>
                  <w:rStyle w:val="Hyperlink"/>
                  <w:rFonts w:ascii="Simplified Arabic" w:hAnsi="Simplified Arabic" w:cs="Simplified Arabic"/>
                  <w:sz w:val="24"/>
                </w:rPr>
                <w:t>Section 4.1.6</w:t>
              </w:r>
            </w:hyperlink>
            <w:r w:rsidRPr="000F001F">
              <w:rPr>
                <w:rFonts w:ascii="Simplified Arabic" w:hAnsi="Simplified Arabic" w:cs="Simplified Arabic"/>
                <w:sz w:val="24"/>
              </w:rPr>
              <w:t>).</w:t>
            </w:r>
          </w:p>
        </w:tc>
      </w:tr>
      <w:tr w:rsidR="000F001F" w:rsidRPr="000F001F" w14:paraId="7BEC46C2" w14:textId="77777777" w:rsidTr="000F001F">
        <w:tc>
          <w:tcPr>
            <w:tcW w:w="2800" w:type="dxa"/>
          </w:tcPr>
          <w:p w14:paraId="0B3ED744"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Digital Supply Chain Unit</w:t>
            </w:r>
          </w:p>
        </w:tc>
        <w:tc>
          <w:tcPr>
            <w:tcW w:w="6560" w:type="dxa"/>
          </w:tcPr>
          <w:p w14:paraId="04D509F9" w14:textId="75485201"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governance body owning shared visibility and data integrity: stewardship of the shared inventory registry, data-quality rules, cross-lab holdings visibility for eligibility checks, continuity and dashboard reporting, and maintenance of the requirements baseline for future smart-inventory platforms; it operates and reports but does not decide loans or purchases (</w:t>
            </w:r>
            <w:hyperlink w:anchor="Section414" w:history="1">
              <w:r w:rsidR="002C0C03" w:rsidRPr="00C86ACA">
                <w:rPr>
                  <w:rStyle w:val="Hyperlink"/>
                  <w:rFonts w:ascii="Simplified Arabic" w:hAnsi="Simplified Arabic" w:cs="Simplified Arabic"/>
                  <w:sz w:val="24"/>
                </w:rPr>
                <w:t>Section 4.1.4</w:t>
              </w:r>
            </w:hyperlink>
            <w:r w:rsidRPr="000F001F">
              <w:rPr>
                <w:rFonts w:ascii="Simplified Arabic" w:hAnsi="Simplified Arabic" w:cs="Simplified Arabic"/>
                <w:sz w:val="24"/>
              </w:rPr>
              <w:t>).</w:t>
            </w:r>
          </w:p>
        </w:tc>
      </w:tr>
      <w:tr w:rsidR="000F001F" w:rsidRPr="000F001F" w14:paraId="4C202A42" w14:textId="77777777" w:rsidTr="000F001F">
        <w:tc>
          <w:tcPr>
            <w:tcW w:w="2800" w:type="dxa"/>
          </w:tcPr>
          <w:p w14:paraId="32636E3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Eligibility Clause</w:t>
            </w:r>
          </w:p>
        </w:tc>
        <w:tc>
          <w:tcPr>
            <w:tcW w:w="6560" w:type="dxa"/>
          </w:tcPr>
          <w:p w14:paraId="2B8944C6"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purchasing rule requiring that a requisition be checked against the shared registry, and that existing stock be used or transferred where suitable, before any new purchase is approved; the operational core of prevention barrier PB2.</w:t>
            </w:r>
          </w:p>
        </w:tc>
      </w:tr>
      <w:tr w:rsidR="000F001F" w:rsidRPr="000F001F" w14:paraId="2E9A6A7A" w14:textId="77777777" w:rsidTr="000F001F">
        <w:tc>
          <w:tcPr>
            <w:tcW w:w="2800" w:type="dxa"/>
          </w:tcPr>
          <w:p w14:paraId="0902070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Environmental Aspect</w:t>
            </w:r>
          </w:p>
        </w:tc>
        <w:tc>
          <w:tcPr>
            <w:tcW w:w="6560" w:type="dxa"/>
          </w:tcPr>
          <w:p w14:paraId="2DD3BA2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An element of laboratory inventory activity that can interact with the environment — in this framework principally expired chemicals and redundant assets — as distinct from the environmental impact that may result (ISO 14001:2015 usage, clause 6.1.2).</w:t>
            </w:r>
          </w:p>
        </w:tc>
      </w:tr>
      <w:tr w:rsidR="000F001F" w:rsidRPr="000F001F" w14:paraId="437A5C96" w14:textId="77777777" w:rsidTr="000F001F">
        <w:tc>
          <w:tcPr>
            <w:tcW w:w="2800" w:type="dxa"/>
          </w:tcPr>
          <w:p w14:paraId="74F3962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Escalation Factor</w:t>
            </w:r>
          </w:p>
        </w:tc>
        <w:tc>
          <w:tcPr>
            <w:tcW w:w="6560" w:type="dxa"/>
          </w:tcPr>
          <w:p w14:paraId="3FD402C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condition that can defeat or degrade a barrier’s performance — in this framework: unenforced policies (EF1), incomplete registry data (EF2), and custody ambiguity during transfers (EF3).</w:t>
            </w:r>
          </w:p>
        </w:tc>
      </w:tr>
      <w:tr w:rsidR="000F001F" w:rsidRPr="000F001F" w14:paraId="2CF07BA9" w14:textId="77777777" w:rsidTr="000F001F">
        <w:tc>
          <w:tcPr>
            <w:tcW w:w="2800" w:type="dxa"/>
          </w:tcPr>
          <w:p w14:paraId="483EC25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Escalation-Factor Barrier</w:t>
            </w:r>
          </w:p>
        </w:tc>
        <w:tc>
          <w:tcPr>
            <w:tcW w:w="6560" w:type="dxa"/>
          </w:tcPr>
          <w:p w14:paraId="2AB2EB1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control that guards a barrier against its escalation factors — in this framework: a defined audit cadence (EB1), data-quality indicators (EB2), and the custody-transfer protocol (EB3).</w:t>
            </w:r>
          </w:p>
        </w:tc>
      </w:tr>
      <w:tr w:rsidR="000F001F" w:rsidRPr="000F001F" w14:paraId="46417E2B" w14:textId="77777777" w:rsidTr="000F001F">
        <w:tc>
          <w:tcPr>
            <w:tcW w:w="2800" w:type="dxa"/>
          </w:tcPr>
          <w:p w14:paraId="20C4DAB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FEFO Discipline</w:t>
            </w:r>
          </w:p>
        </w:tc>
        <w:tc>
          <w:tcPr>
            <w:tcW w:w="6560" w:type="dxa"/>
          </w:tcPr>
          <w:p w14:paraId="3B083E0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enforced practice of consuming stock in First-Expired, First-Out order, executed at the operational level so that the earliest-expiring usable items leave storage first; the core of mitigation barrier MB1.</w:t>
            </w:r>
          </w:p>
        </w:tc>
      </w:tr>
      <w:tr w:rsidR="000F001F" w:rsidRPr="000F001F" w14:paraId="0A22AE6D" w14:textId="77777777" w:rsidTr="000F001F">
        <w:tc>
          <w:tcPr>
            <w:tcW w:w="2800" w:type="dxa"/>
          </w:tcPr>
          <w:p w14:paraId="599224B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FIRM Scorecard</w:t>
            </w:r>
          </w:p>
        </w:tc>
        <w:tc>
          <w:tcPr>
            <w:tcW w:w="6560" w:type="dxa"/>
          </w:tcPr>
          <w:p w14:paraId="56976C4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Hopkin’s (2018) risk classification system categorizing risks by their impact on the organization’s key dependencies — Financial, Infrastructure, Reputational, Marketplace; a taxonomy rather than a scoring algorithm, applied here with the declared adaptation of Marketplace as the university’s service/stakeholder environment (M*).</w:t>
            </w:r>
          </w:p>
        </w:tc>
      </w:tr>
      <w:tr w:rsidR="000F001F" w:rsidRPr="000F001F" w14:paraId="1145F235" w14:textId="77777777" w:rsidTr="000F001F">
        <w:tc>
          <w:tcPr>
            <w:tcW w:w="2800" w:type="dxa"/>
          </w:tcPr>
          <w:p w14:paraId="6F8A4703"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Inter-Lab Loan</w:t>
            </w:r>
          </w:p>
        </w:tc>
        <w:tc>
          <w:tcPr>
            <w:tcW w:w="6560" w:type="dxa"/>
          </w:tcPr>
          <w:p w14:paraId="26D33FD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governed, temporary transfer of an asset or chemical from the custody of one laboratory to another under the Inter-Lab Policy Framework, with documented request, approval, custody transfer, and return; the operational core of mitigation barrier MB2.</w:t>
            </w:r>
          </w:p>
        </w:tc>
      </w:tr>
      <w:tr w:rsidR="000F001F" w:rsidRPr="000F001F" w14:paraId="52EC01AD" w14:textId="77777777" w:rsidTr="000F001F">
        <w:tc>
          <w:tcPr>
            <w:tcW w:w="2800" w:type="dxa"/>
          </w:tcPr>
          <w:p w14:paraId="4369847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Inter-Lab Policy Framework</w:t>
            </w:r>
          </w:p>
        </w:tc>
        <w:tc>
          <w:tcPr>
            <w:tcW w:w="6560" w:type="dxa"/>
          </w:tcPr>
          <w:p w14:paraId="420B9F53" w14:textId="72815761"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ratified policy instrument governing temporary inter-lab asset loans and chemical redistribution: eligibility and scope, the request–approval workflow, the custody-transfer protocol, responsibility tracking, liability and recall rights, and the escalation ladder (</w:t>
            </w:r>
            <w:hyperlink w:anchor="Section416" w:history="1">
              <w:r w:rsidR="002C0C03" w:rsidRPr="00C86ACA">
                <w:rPr>
                  <w:rStyle w:val="Hyperlink"/>
                  <w:rFonts w:ascii="Simplified Arabic" w:hAnsi="Simplified Arabic" w:cs="Simplified Arabic"/>
                  <w:sz w:val="24"/>
                </w:rPr>
                <w:t>Section 4.1.6</w:t>
              </w:r>
            </w:hyperlink>
            <w:r w:rsidRPr="000F001F">
              <w:rPr>
                <w:rFonts w:ascii="Simplified Arabic" w:hAnsi="Simplified Arabic" w:cs="Simplified Arabic"/>
                <w:sz w:val="24"/>
              </w:rPr>
              <w:t>).</w:t>
            </w:r>
          </w:p>
        </w:tc>
      </w:tr>
      <w:tr w:rsidR="000F001F" w:rsidRPr="000F001F" w14:paraId="0A469DF2" w14:textId="77777777" w:rsidTr="000F001F">
        <w:tc>
          <w:tcPr>
            <w:tcW w:w="2800" w:type="dxa"/>
          </w:tcPr>
          <w:p w14:paraId="4309317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Life-Cycle Perspective</w:t>
            </w:r>
          </w:p>
        </w:tc>
        <w:tc>
          <w:tcPr>
            <w:tcW w:w="6560" w:type="dxa"/>
          </w:tcPr>
          <w:p w14:paraId="52BBD0D0"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consideration of environmental aspects across acquisition, use, and end-of-life stages of inventory, applied as a perspective in procurement and operational control (ISO 14001:2015, clause 8.1); explicitly not a full life-cycle assessment.</w:t>
            </w:r>
          </w:p>
        </w:tc>
      </w:tr>
      <w:tr w:rsidR="000F001F" w:rsidRPr="000F001F" w14:paraId="1E2755BB" w14:textId="77777777" w:rsidTr="000F001F">
        <w:tc>
          <w:tcPr>
            <w:tcW w:w="2800" w:type="dxa"/>
          </w:tcPr>
          <w:p w14:paraId="5226135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Maximum Tolerable Period of Disruption (MTPD)</w:t>
            </w:r>
          </w:p>
        </w:tc>
        <w:tc>
          <w:tcPr>
            <w:tcW w:w="6560" w:type="dxa"/>
          </w:tcPr>
          <w:p w14:paraId="19C10D4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time frame within which the impacts of not resuming a disrupted activity would become unacceptable (ISO 22301:2019); used qualitatively to reason about semester-locked practical teaching.</w:t>
            </w:r>
          </w:p>
        </w:tc>
      </w:tr>
      <w:tr w:rsidR="000F001F" w:rsidRPr="000F001F" w14:paraId="07DBE0EB" w14:textId="77777777" w:rsidTr="000F001F">
        <w:tc>
          <w:tcPr>
            <w:tcW w:w="2800" w:type="dxa"/>
          </w:tcPr>
          <w:p w14:paraId="6610A0D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Minimum Acceptable Capacity</w:t>
            </w:r>
          </w:p>
        </w:tc>
        <w:tc>
          <w:tcPr>
            <w:tcW w:w="6560" w:type="dxa"/>
          </w:tcPr>
          <w:p w14:paraId="26F7B4B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specified capacity at which a prioritized activity must be capable of resumption following a disruption (ISO 22301:2019); the 2019-edition successor concept to legacy minimum-business-continuity terminology.</w:t>
            </w:r>
          </w:p>
        </w:tc>
      </w:tr>
      <w:tr w:rsidR="000F001F" w:rsidRPr="000F001F" w14:paraId="7AD87E2A" w14:textId="77777777" w:rsidTr="000F001F">
        <w:tc>
          <w:tcPr>
            <w:tcW w:w="2800" w:type="dxa"/>
          </w:tcPr>
          <w:p w14:paraId="1950391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Mitigation Barrier</w:t>
            </w:r>
          </w:p>
        </w:tc>
        <w:tc>
          <w:tcPr>
            <w:tcW w:w="6560" w:type="dxa"/>
          </w:tcPr>
          <w:p w14:paraId="35AAF72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documented control positioned between a Top Event and its consequences that reduces consequence severity after loss of control has begun — in this framework: FEFO rotation rules (MB1), inter-lab sharing and redistribution before expiry (MB2), and governed disposal protocols (MB3).</w:t>
            </w:r>
          </w:p>
        </w:tc>
      </w:tr>
      <w:tr w:rsidR="000F001F" w:rsidRPr="000F001F" w14:paraId="357D8AF2" w14:textId="77777777" w:rsidTr="000F001F">
        <w:tc>
          <w:tcPr>
            <w:tcW w:w="2800" w:type="dxa"/>
          </w:tcPr>
          <w:p w14:paraId="5E6CF9C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Participatory Inventory Management</w:t>
            </w:r>
          </w:p>
        </w:tc>
        <w:tc>
          <w:tcPr>
            <w:tcW w:w="6560" w:type="dxa"/>
          </w:tcPr>
          <w:p w14:paraId="15B7567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governance arrangement in which multiple laboratories share visibility of, and governed access to, a common pool of chemical and asset stock, under institution-level rules for purchasing, custody, rotation, and redistribution — participation with defined decision rights, not informal cooperation.</w:t>
            </w:r>
          </w:p>
        </w:tc>
      </w:tr>
      <w:tr w:rsidR="000F001F" w:rsidRPr="000F001F" w14:paraId="5DC2082E" w14:textId="77777777" w:rsidTr="000F001F">
        <w:tc>
          <w:tcPr>
            <w:tcW w:w="2800" w:type="dxa"/>
          </w:tcPr>
          <w:p w14:paraId="2C482CB9"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Prevention Barrier</w:t>
            </w:r>
          </w:p>
        </w:tc>
        <w:tc>
          <w:tcPr>
            <w:tcW w:w="6560" w:type="dxa"/>
          </w:tcPr>
          <w:p w14:paraId="67E881A2"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documented control positioned on a threat pathway that terminates or weakens the pathway before loss of control — in this framework: standardization of the catalog and records (PB1), eligibility clauses for purchasing (PB2), and joint/circular procurement rules (PB3).</w:t>
            </w:r>
          </w:p>
        </w:tc>
      </w:tr>
      <w:tr w:rsidR="000F001F" w:rsidRPr="000F001F" w14:paraId="6BC85484" w14:textId="77777777" w:rsidTr="000F001F">
        <w:tc>
          <w:tcPr>
            <w:tcW w:w="2800" w:type="dxa"/>
          </w:tcPr>
          <w:p w14:paraId="77C0AED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Prioritized Activity</w:t>
            </w:r>
          </w:p>
        </w:tc>
        <w:tc>
          <w:tcPr>
            <w:tcW w:w="6560" w:type="dxa"/>
          </w:tcPr>
          <w:p w14:paraId="3601528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A teaching or research activity whose disruption would exceed the institution’s tolerance within a short maximum tolerable period of disruption, and whose dependencies the continuity arrangements must protect (ISO 22301:2019 usage).</w:t>
            </w:r>
          </w:p>
        </w:tc>
      </w:tr>
      <w:tr w:rsidR="000F001F" w:rsidRPr="000F001F" w14:paraId="1D7F046F" w14:textId="77777777" w:rsidTr="000F001F">
        <w:tc>
          <w:tcPr>
            <w:tcW w:w="2800" w:type="dxa"/>
          </w:tcPr>
          <w:p w14:paraId="7F5F4AB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Qualitative Premise</w:t>
            </w:r>
          </w:p>
        </w:tc>
        <w:tc>
          <w:tcPr>
            <w:tcW w:w="6560" w:type="dxa"/>
          </w:tcPr>
          <w:p w14:paraId="05C2CEA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study’s stated proposition advanced in lieu of statistical hypotheses: that strengthening the independent dimensions — governance architecture, policy control, and standardization — through the proposed framework advances the dependent dimensions of operational efficiency, environmental sustainability, and business continuity along the maturity trajectory; evaluated structurally, not statistically.</w:t>
            </w:r>
          </w:p>
        </w:tc>
      </w:tr>
      <w:tr w:rsidR="000F001F" w:rsidRPr="000F001F" w14:paraId="53682F04" w14:textId="77777777" w:rsidTr="000F001F">
        <w:tc>
          <w:tcPr>
            <w:tcW w:w="2800" w:type="dxa"/>
          </w:tcPr>
          <w:p w14:paraId="2CD9E467"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Readiness Gates (G1–G4)</w:t>
            </w:r>
          </w:p>
        </w:tc>
        <w:tc>
          <w:tcPr>
            <w:tcW w:w="6560" w:type="dxa"/>
          </w:tcPr>
          <w:p w14:paraId="3E1C013C"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Policy-controlled analytical checkpoints with explicit qualitative criteria, structuring the implementation roadmap: G1 policy ratification (governance constituted; policy core and risk register ratified; roles appointed); G2 data readiness (registry onboarding complete; catalog-standard conformity verified); G3 pilot workflow integrity (loan, custody, and FEFO workflows demonstrated qualitatively in the Biology Department pilot); G4 digital platform readiness (requirements baseline met before any smart-inventory procurement).</w:t>
            </w:r>
          </w:p>
        </w:tc>
      </w:tr>
      <w:tr w:rsidR="000F001F" w:rsidRPr="000F001F" w14:paraId="6F531B93" w14:textId="77777777" w:rsidTr="000F001F">
        <w:tc>
          <w:tcPr>
            <w:tcW w:w="2800" w:type="dxa"/>
          </w:tcPr>
          <w:p w14:paraId="5EE08C96"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Recovery Time Objective (RTO)</w:t>
            </w:r>
          </w:p>
        </w:tc>
        <w:tc>
          <w:tcPr>
            <w:tcW w:w="6560" w:type="dxa"/>
          </w:tcPr>
          <w:p w14:paraId="677E320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prioritized time frame, shorter than the maximum tolerable period of disruption, within which a disrupted activity must be resumed at a specified minimum acceptable capacity (ISO 22301:2019).</w:t>
            </w:r>
          </w:p>
        </w:tc>
      </w:tr>
      <w:tr w:rsidR="000F001F" w:rsidRPr="000F001F" w14:paraId="295F5095" w14:textId="77777777" w:rsidTr="000F001F">
        <w:tc>
          <w:tcPr>
            <w:tcW w:w="2800" w:type="dxa"/>
          </w:tcPr>
          <w:p w14:paraId="6255C418"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Risk Maturity Gap</w:t>
            </w:r>
          </w:p>
        </w:tc>
        <w:tc>
          <w:tcPr>
            <w:tcW w:w="6560" w:type="dxa"/>
          </w:tcPr>
          <w:p w14:paraId="0F50C9ED"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distance, expressed in the thesis’s adapted three-band trajectory, between the institution’s current inventory-governance capability and the capability required to sustain participatory, digitized, standards-aligned stock management; the formal statement of the research problem.</w:t>
            </w:r>
          </w:p>
        </w:tc>
      </w:tr>
      <w:tr w:rsidR="000F001F" w:rsidRPr="000F001F" w14:paraId="4E1CE89C" w14:textId="77777777" w:rsidTr="000F001F">
        <w:tc>
          <w:tcPr>
            <w:tcW w:w="2800" w:type="dxa"/>
          </w:tcPr>
          <w:p w14:paraId="48A3228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Risk Maturity Model (adapted three-band trajectory)</w:t>
            </w:r>
          </w:p>
        </w:tc>
        <w:tc>
          <w:tcPr>
            <w:tcW w:w="6560" w:type="dxa"/>
          </w:tcPr>
          <w:p w14:paraId="3571141A"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thesis’s declared adapted terminology — Inform/Conform (compliance-driven, reactive), Managed/Normalized (standardized, documented), Perform (excellence-oriented, integrated, anticipatory) — anchored to Hillson’s (1997) risk maturity levels and the Capability Maturity Model scale (Paulk et al., 1993); no published model uses these exact level names.</w:t>
            </w:r>
          </w:p>
        </w:tc>
      </w:tr>
      <w:tr w:rsidR="000F001F" w:rsidRPr="000F001F" w14:paraId="125ACBD8" w14:textId="77777777" w:rsidTr="000F001F">
        <w:tc>
          <w:tcPr>
            <w:tcW w:w="2800" w:type="dxa"/>
          </w:tcPr>
          <w:p w14:paraId="4614873B"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Shared Registry</w:t>
            </w:r>
          </w:p>
        </w:tc>
        <w:tc>
          <w:tcPr>
            <w:tcW w:w="6560" w:type="dxa"/>
          </w:tcPr>
          <w:p w14:paraId="1C94C51E"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unified college-level inventory registry operated by the Digital Supply Chain Unit, providing cross-laboratory visibility of holdings, the evidence base for eligibility checks, data-quality monitoring, and continuity reporting; the organizational precondition for any future digital inventory platform.</w:t>
            </w:r>
          </w:p>
        </w:tc>
      </w:tr>
      <w:tr w:rsidR="000F001F" w:rsidRPr="000F001F" w14:paraId="17657364" w14:textId="77777777" w:rsidTr="000F001F">
        <w:tc>
          <w:tcPr>
            <w:tcW w:w="2800" w:type="dxa"/>
          </w:tcPr>
          <w:p w14:paraId="404ADCE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Technical Standardization Committee</w:t>
            </w:r>
          </w:p>
        </w:tc>
        <w:tc>
          <w:tcPr>
            <w:tcW w:w="6560" w:type="dxa"/>
          </w:tcPr>
          <w:p w14:paraId="130A90E6" w14:textId="58A71E58"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 xml:space="preserve">The governance body owning the prevention barriers: it drafts and maintains the unified catalog and classification standard, the eligibility </w:t>
            </w:r>
            <w:r w:rsidRPr="000F001F">
              <w:rPr>
                <w:rFonts w:ascii="Simplified Arabic" w:hAnsi="Simplified Arabic" w:cs="Simplified Arabic"/>
                <w:sz w:val="24"/>
              </w:rPr>
              <w:lastRenderedPageBreak/>
              <w:t>clauses, and the FEFO policy standard, and interfaces with safety and compliance functions; it sets standards but approves no individual purchases and holds no budget authority (</w:t>
            </w:r>
            <w:hyperlink w:anchor="Section413" w:history="1">
              <w:r w:rsidR="002C0C03" w:rsidRPr="00C86ACA">
                <w:rPr>
                  <w:rStyle w:val="Hyperlink"/>
                  <w:rFonts w:ascii="Simplified Arabic" w:hAnsi="Simplified Arabic" w:cs="Simplified Arabic"/>
                  <w:sz w:val="24"/>
                </w:rPr>
                <w:t>Section 4.1.3</w:t>
              </w:r>
            </w:hyperlink>
            <w:r w:rsidRPr="000F001F">
              <w:rPr>
                <w:rFonts w:ascii="Simplified Arabic" w:hAnsi="Simplified Arabic" w:cs="Simplified Arabic"/>
                <w:sz w:val="24"/>
              </w:rPr>
              <w:t>).</w:t>
            </w:r>
          </w:p>
        </w:tc>
      </w:tr>
      <w:tr w:rsidR="000F001F" w:rsidRPr="000F001F" w14:paraId="0A76EE14" w14:textId="77777777" w:rsidTr="000F001F">
        <w:tc>
          <w:tcPr>
            <w:tcW w:w="2800" w:type="dxa"/>
          </w:tcPr>
          <w:p w14:paraId="2A0880C5"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lastRenderedPageBreak/>
              <w:t>Top Event</w:t>
            </w:r>
          </w:p>
        </w:tc>
        <w:tc>
          <w:tcPr>
            <w:tcW w:w="6560" w:type="dxa"/>
          </w:tcPr>
          <w:p w14:paraId="2340DD4F" w14:textId="77777777" w:rsidR="000F001F" w:rsidRPr="000F001F" w:rsidRDefault="000F001F" w:rsidP="000F001F">
            <w:pPr>
              <w:pStyle w:val="Compact"/>
              <w:rPr>
                <w:rFonts w:ascii="Simplified Arabic" w:hAnsi="Simplified Arabic" w:cs="Simplified Arabic"/>
                <w:sz w:val="24"/>
              </w:rPr>
            </w:pPr>
            <w:r w:rsidRPr="000F001F">
              <w:rPr>
                <w:rFonts w:ascii="Simplified Arabic" w:hAnsi="Simplified Arabic" w:cs="Simplified Arabic"/>
                <w:sz w:val="24"/>
              </w:rPr>
              <w:t>The central node of the Bow-Tie: the moment of loss of control of the hazard — in this framework, chemical expiration beyond usable shelf life (TE1) and chronic asset underutilization (TE2), declared as adapted top events for the inventory-governance domain.</w:t>
            </w:r>
          </w:p>
        </w:tc>
      </w:tr>
    </w:tbl>
    <w:p w14:paraId="658505D0" w14:textId="5E56390A" w:rsidR="00FB6C6E" w:rsidRDefault="00FB6C6E" w:rsidP="00772E4C">
      <w:pPr>
        <w:bidi w:val="0"/>
      </w:pPr>
    </w:p>
    <w:p w14:paraId="217830D7" w14:textId="262F03CF" w:rsidR="00FB6C6E" w:rsidRDefault="00FB6C6E" w:rsidP="002462E8">
      <w:pPr>
        <w:bidi w:val="0"/>
        <w:sectPr w:rsidR="00FB6C6E" w:rsidSect="000F001F">
          <w:headerReference w:type="default" r:id="rId9"/>
          <w:footerReference w:type="default" r:id="rId10"/>
          <w:pgSz w:w="11907" w:h="16839" w:code="9"/>
          <w:pgMar w:top="2836" w:right="567" w:bottom="1276" w:left="1134" w:header="709" w:footer="709" w:gutter="0"/>
          <w:pgNumType w:fmt="upperRoman" w:start="1"/>
          <w:cols w:space="708"/>
          <w:bidi/>
          <w:rtlGutter/>
          <w:docGrid w:linePitch="360"/>
        </w:sectPr>
      </w:pPr>
    </w:p>
    <w:p w14:paraId="088F77DD" w14:textId="77777777" w:rsidR="00DD1558" w:rsidRPr="00DD1558" w:rsidRDefault="00DD1558" w:rsidP="00DD1558">
      <w:pPr>
        <w:bidi w:val="0"/>
        <w:jc w:val="both"/>
        <w:rPr>
          <w:rFonts w:ascii="Simplified Arabic" w:hAnsi="Simplified Arabic"/>
          <w:sz w:val="28"/>
        </w:rPr>
      </w:pPr>
    </w:p>
    <w:p w14:paraId="02F60C51" w14:textId="77777777" w:rsidR="00DD1558" w:rsidRPr="00DD1558" w:rsidRDefault="00DD1558" w:rsidP="00DD1558">
      <w:pPr>
        <w:keepNext/>
        <w:keepLines/>
        <w:bidi w:val="0"/>
        <w:spacing w:before="360" w:after="80"/>
        <w:outlineLvl w:val="0"/>
        <w:rPr>
          <w:rFonts w:ascii="Simplified Arabic" w:eastAsiaTheme="majorEastAsia" w:hAnsi="Simplified Arabic" w:cstheme="majorBidi"/>
          <w:b/>
          <w:sz w:val="32"/>
          <w:szCs w:val="40"/>
        </w:rPr>
      </w:pPr>
      <w:bookmarkStart w:id="12" w:name="_Toc237539700"/>
      <w:r w:rsidRPr="00DD1558">
        <w:rPr>
          <w:rFonts w:ascii="Simplified Arabic" w:eastAsiaTheme="majorEastAsia" w:hAnsi="Simplified Arabic" w:cstheme="majorBidi"/>
          <w:b/>
          <w:sz w:val="32"/>
          <w:szCs w:val="40"/>
        </w:rPr>
        <w:t>CHAPTER 1: INTRODUCTION</w:t>
      </w:r>
      <w:bookmarkEnd w:id="12"/>
    </w:p>
    <w:p w14:paraId="3443274A" w14:textId="77777777" w:rsidR="00DD1558" w:rsidRPr="00DD1558" w:rsidRDefault="00DD1558" w:rsidP="00DD1558">
      <w:pPr>
        <w:bidi w:val="0"/>
        <w:jc w:val="both"/>
        <w:rPr>
          <w:rFonts w:ascii="Simplified Arabic" w:hAnsi="Simplified Arabic"/>
          <w:sz w:val="28"/>
        </w:rPr>
      </w:pPr>
    </w:p>
    <w:p w14:paraId="0F470DA4" w14:textId="77777777" w:rsidR="00DD1558" w:rsidRPr="00DD1558" w:rsidRDefault="00DD1558" w:rsidP="00DD1558">
      <w:pPr>
        <w:bidi w:val="0"/>
        <w:jc w:val="both"/>
        <w:rPr>
          <w:rFonts w:ascii="Simplified Arabic" w:hAnsi="Simplified Arabic"/>
          <w:sz w:val="28"/>
        </w:rPr>
      </w:pPr>
    </w:p>
    <w:p w14:paraId="33E30932" w14:textId="77777777" w:rsidR="00DD1558" w:rsidRPr="00DD1558" w:rsidRDefault="00DD1558" w:rsidP="00DD1558">
      <w:pPr>
        <w:bidi w:val="0"/>
        <w:jc w:val="both"/>
        <w:rPr>
          <w:rFonts w:ascii="Simplified Arabic" w:hAnsi="Simplified Arabic"/>
          <w:sz w:val="28"/>
        </w:rPr>
      </w:pPr>
    </w:p>
    <w:p w14:paraId="27E49AFB" w14:textId="77777777" w:rsidR="00DD1558" w:rsidRPr="00DD1558" w:rsidRDefault="00DD1558" w:rsidP="00DD1558">
      <w:pPr>
        <w:bidi w:val="0"/>
        <w:jc w:val="both"/>
        <w:rPr>
          <w:rFonts w:ascii="Simplified Arabic" w:hAnsi="Simplified Arabic"/>
          <w:sz w:val="28"/>
        </w:rPr>
      </w:pPr>
    </w:p>
    <w:p w14:paraId="081A6488" w14:textId="77777777" w:rsidR="00DD1558" w:rsidRPr="00DD1558" w:rsidRDefault="00DD1558" w:rsidP="00DD1558">
      <w:pPr>
        <w:bidi w:val="0"/>
        <w:jc w:val="both"/>
        <w:rPr>
          <w:rFonts w:ascii="Simplified Arabic" w:hAnsi="Simplified Arabic"/>
          <w:sz w:val="28"/>
        </w:rPr>
      </w:pPr>
    </w:p>
    <w:p w14:paraId="778F649C" w14:textId="77777777" w:rsidR="00DD1558" w:rsidRPr="00DD1558" w:rsidRDefault="00DD1558" w:rsidP="00DD1558">
      <w:pPr>
        <w:bidi w:val="0"/>
        <w:jc w:val="both"/>
        <w:rPr>
          <w:rFonts w:ascii="Simplified Arabic" w:hAnsi="Simplified Arabic"/>
          <w:sz w:val="28"/>
        </w:rPr>
      </w:pPr>
    </w:p>
    <w:p w14:paraId="53139F25" w14:textId="77777777" w:rsidR="00DD1558" w:rsidRPr="00DD1558" w:rsidRDefault="00DD1558" w:rsidP="00DD1558">
      <w:pPr>
        <w:bidi w:val="0"/>
        <w:jc w:val="both"/>
        <w:rPr>
          <w:rFonts w:ascii="Simplified Arabic" w:hAnsi="Simplified Arabic"/>
          <w:sz w:val="28"/>
        </w:rPr>
      </w:pPr>
    </w:p>
    <w:p w14:paraId="32CD2CA1" w14:textId="77777777" w:rsidR="00DD1558" w:rsidRPr="00DD1558" w:rsidRDefault="00DD1558" w:rsidP="00DD1558">
      <w:pPr>
        <w:bidi w:val="0"/>
        <w:jc w:val="both"/>
        <w:rPr>
          <w:rFonts w:ascii="Simplified Arabic" w:hAnsi="Simplified Arabic"/>
          <w:sz w:val="28"/>
        </w:rPr>
      </w:pPr>
    </w:p>
    <w:p w14:paraId="0435DC55" w14:textId="77777777" w:rsidR="00DD1558" w:rsidRPr="00DD1558" w:rsidRDefault="00DD1558" w:rsidP="00DD1558">
      <w:pPr>
        <w:bidi w:val="0"/>
        <w:jc w:val="both"/>
        <w:rPr>
          <w:rFonts w:ascii="Simplified Arabic" w:hAnsi="Simplified Arabic"/>
          <w:sz w:val="28"/>
        </w:rPr>
      </w:pPr>
    </w:p>
    <w:p w14:paraId="21525311" w14:textId="77777777" w:rsidR="00DD1558" w:rsidRPr="00DD1558" w:rsidRDefault="00DD1558" w:rsidP="00DD1558">
      <w:pPr>
        <w:bidi w:val="0"/>
        <w:jc w:val="both"/>
        <w:rPr>
          <w:rFonts w:ascii="Simplified Arabic" w:hAnsi="Simplified Arabic"/>
          <w:sz w:val="28"/>
        </w:rPr>
      </w:pPr>
    </w:p>
    <w:p w14:paraId="6E4970C4" w14:textId="77777777" w:rsidR="00DD1558" w:rsidRPr="00DD1558" w:rsidRDefault="00DD1558" w:rsidP="00DD1558">
      <w:pPr>
        <w:bidi w:val="0"/>
        <w:jc w:val="both"/>
        <w:rPr>
          <w:rFonts w:ascii="Simplified Arabic" w:hAnsi="Simplified Arabic"/>
          <w:sz w:val="28"/>
        </w:rPr>
      </w:pPr>
    </w:p>
    <w:p w14:paraId="1277F4E2" w14:textId="77777777" w:rsidR="00DD1558" w:rsidRPr="00DD1558" w:rsidRDefault="00DD1558" w:rsidP="00DD1558">
      <w:pPr>
        <w:bidi w:val="0"/>
        <w:jc w:val="both"/>
        <w:rPr>
          <w:rFonts w:ascii="Simplified Arabic" w:hAnsi="Simplified Arabic"/>
          <w:sz w:val="28"/>
        </w:rPr>
      </w:pPr>
    </w:p>
    <w:p w14:paraId="1EFA4850" w14:textId="77777777" w:rsidR="00DD1558" w:rsidRPr="00DD1558" w:rsidRDefault="00DD1558" w:rsidP="00DD1558">
      <w:pPr>
        <w:bidi w:val="0"/>
        <w:jc w:val="both"/>
        <w:rPr>
          <w:rFonts w:ascii="Simplified Arabic" w:hAnsi="Simplified Arabic"/>
          <w:sz w:val="28"/>
        </w:rPr>
      </w:pPr>
    </w:p>
    <w:p w14:paraId="02B4E01C" w14:textId="77777777" w:rsidR="00DD1558" w:rsidRPr="00DD1558" w:rsidRDefault="00DD1558" w:rsidP="00DD1558">
      <w:pPr>
        <w:bidi w:val="0"/>
        <w:jc w:val="both"/>
        <w:rPr>
          <w:rFonts w:ascii="Simplified Arabic" w:hAnsi="Simplified Arabic"/>
          <w:sz w:val="28"/>
        </w:rPr>
      </w:pPr>
    </w:p>
    <w:p w14:paraId="70064ABD" w14:textId="77777777" w:rsidR="00DD1558" w:rsidRPr="00DD1558" w:rsidRDefault="00DD1558" w:rsidP="00DD1558">
      <w:pPr>
        <w:bidi w:val="0"/>
        <w:jc w:val="both"/>
        <w:rPr>
          <w:rFonts w:ascii="Simplified Arabic" w:hAnsi="Simplified Arabic"/>
          <w:sz w:val="28"/>
        </w:rPr>
      </w:pPr>
    </w:p>
    <w:p w14:paraId="3C6E3A2F" w14:textId="77777777" w:rsidR="00DD1558" w:rsidRPr="00DD1558" w:rsidRDefault="00DD1558" w:rsidP="00DD1558">
      <w:pPr>
        <w:bidi w:val="0"/>
        <w:jc w:val="both"/>
        <w:rPr>
          <w:rFonts w:ascii="Simplified Arabic" w:hAnsi="Simplified Arabic"/>
          <w:sz w:val="28"/>
        </w:rPr>
      </w:pPr>
    </w:p>
    <w:p w14:paraId="6BBB01DA" w14:textId="3A194CD3" w:rsidR="00DD1558" w:rsidRPr="00DD1558" w:rsidRDefault="00DD1558" w:rsidP="00861F15">
      <w:pPr>
        <w:pStyle w:val="Heading2"/>
        <w:bidi w:val="0"/>
        <w:jc w:val="left"/>
        <w:rPr>
          <w:b w:val="0"/>
        </w:rPr>
      </w:pPr>
      <w:bookmarkStart w:id="13" w:name="section1"/>
      <w:bookmarkStart w:id="14" w:name="_Toc237539701"/>
      <w:bookmarkEnd w:id="13"/>
      <w:r w:rsidRPr="00DD1558">
        <w:lastRenderedPageBreak/>
        <w:t>1.</w:t>
      </w:r>
      <w:r w:rsidR="00861F15">
        <w:t>1.</w:t>
      </w:r>
      <w:r w:rsidRPr="00DD1558">
        <w:t xml:space="preserve"> </w:t>
      </w:r>
      <w:r w:rsidR="00861F15">
        <w:t>Research Foundation and Problem Refinement</w:t>
      </w:r>
      <w:bookmarkEnd w:id="14"/>
    </w:p>
    <w:p w14:paraId="0042EDCD" w14:textId="29A66679" w:rsidR="00DD1558" w:rsidRPr="00DD1558" w:rsidRDefault="00DD1558" w:rsidP="00861F15">
      <w:pPr>
        <w:pStyle w:val="Heading3"/>
        <w:bidi w:val="0"/>
        <w:jc w:val="left"/>
      </w:pPr>
      <w:bookmarkStart w:id="15" w:name="_1.1_Background_and"/>
      <w:bookmarkStart w:id="16" w:name="section11"/>
      <w:bookmarkStart w:id="17" w:name="_Toc237539702"/>
      <w:bookmarkEnd w:id="15"/>
      <w:bookmarkEnd w:id="16"/>
      <w:r w:rsidRPr="00DD1558">
        <w:t>1.</w:t>
      </w:r>
      <w:r w:rsidR="00861F15">
        <w:t>1.</w:t>
      </w:r>
      <w:r w:rsidRPr="00DD1558">
        <w:t>1</w:t>
      </w:r>
      <w:r w:rsidRPr="00DD1558">
        <w:rPr>
          <w:rFonts w:cs="Arial"/>
          <w:rtl/>
        </w:rPr>
        <w:t xml:space="preserve"> </w:t>
      </w:r>
      <w:r w:rsidRPr="00DD1558">
        <w:t>Background and Institutional Context</w:t>
      </w:r>
      <w:bookmarkEnd w:id="17"/>
    </w:p>
    <w:p w14:paraId="22A990A4"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Educational laboratories are among the most resource-intensive operational environments within higher education institutions. Unlike general classrooms, teaching laboratories concentrate high-value capital equipment, chemically diverse consumables, perishable reagents, and safety-critical materials within spaces that operate on fixed semester cycles and serve large student cohorts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{"citationID":"8bHXDILp","properties":{"unsorted":false,"formattedCitation":"(Durgan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(Durgan et al., 2023; Freese et al., 2024)</w:t>
      </w:r>
      <w:r w:rsidRPr="00DD1558">
        <w:rPr>
          <w:rFonts w:ascii="Simplified Arabic" w:hAnsi="Simplified Arabic"/>
          <w:sz w:val="28"/>
        </w:rPr>
        <w:fldChar w:fldCharType="end"/>
      </w:r>
      <w:r w:rsidRPr="00DD1558">
        <w:rPr>
          <w:rFonts w:ascii="Simplified Arabic" w:hAnsi="Simplified Arabic"/>
          <w:sz w:val="28"/>
        </w:rPr>
        <w:t xml:space="preserve">. The material throughput of such environments — continuous procurement, storage, consumption, and disposal — makes their inventory management a matter of institutional consequence rather than a purely technical housekeeping function. Recent literature on sustainable and “green” laboratories has demonstrated that the environmental and financial footprint of laboratory operations is shaped less by individual purchasing decisions than by the organizational arrangements through which visibility, coordination, and accountability are structured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{"citationID":"5pZS4RKy","properties":{"unsorted":false,"formattedCitation":"(Freese et al., 2024; Gutierrez et al., 2020)","plainCitation":"(Freese et al., 2024; Gutierrez et al., 2020)","noteIndex":0},"citationItems":[{"id":439,"uris":["http://zotero.org/users/19711126/items/R6RIIVN3"],"itemData":{"id":439,"type":"article-journal","abstract":"Scientists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(Freese et al., 2024; Gutierrez et al., 2020)</w:t>
      </w:r>
      <w:r w:rsidRPr="00DD1558">
        <w:rPr>
          <w:rFonts w:ascii="Simplified Arabic" w:hAnsi="Simplified Arabic"/>
          <w:sz w:val="28"/>
        </w:rPr>
        <w:fldChar w:fldCharType="end"/>
      </w:r>
      <w:r w:rsidRPr="00DD1558">
        <w:rPr>
          <w:rFonts w:ascii="Simplified Arabic" w:hAnsi="Simplified Arabic" w:cs="Arial"/>
          <w:sz w:val="28"/>
          <w:rtl/>
        </w:rPr>
        <w:t>.</w:t>
      </w:r>
    </w:p>
    <w:p w14:paraId="5E1E9BC6"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This study adopts precisely that managerial reframing: laboratory inventory failure is treated as an organizational and governance problem with an inventory attached, not as a technical problem solvable by better shelving, software, or individual diligence. Where institutions lack shared visibility of stock, standardized records, and enforceable rules for inter-unit coordination, the default organizational behavior is to purchase anew — even when an equivalent asset or unexpired chemical exists in a neighboring laboratory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{"citationID":"gAjAp4tH","properties":{"unsorted":false,"formattedCitation":"(Strom et al., 2020; Zhu &amp; Liu, 2021)","plainCitation":"(Strom et al., 2020; Zhu &amp; Liu, 2021)","noteIndex":0},"citationItems":[{"id":508,"uris":["http://zotero.org/users/19711126/items/IFVMEKJ2"],"itemData":{"id":508,"type":"article-journal","container-title":"MRS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(Strom et al., 2020; Zhu &amp; Liu, 2021)</w:t>
      </w:r>
      <w:r w:rsidRPr="00DD1558">
        <w:rPr>
          <w:rFonts w:ascii="Simplified Arabic" w:hAnsi="Simplified Arabic"/>
          <w:sz w:val="28"/>
        </w:rPr>
        <w:fldChar w:fldCharType="end"/>
      </w:r>
      <w:r w:rsidRPr="00DD1558">
        <w:rPr>
          <w:rFonts w:ascii="Simplified Arabic" w:hAnsi="Simplified Arabic"/>
          <w:sz w:val="28"/>
        </w:rPr>
        <w:t xml:space="preserve">. The equipment-sharing and core-facility literature has documented, in qualitative terms, that governed pooling arrangements yield documented savings and improved asset utilization precisely because they replace this default with structured visibility and allocation rules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{"citationID":"3PXNFWfl","properties":{"unsorted":false,"formattedCitation":"(Tu &amp; Greever-Wilson, 2025; X. Wang &amp; Qu, 2025)","plainCitation":"(Tu &amp; Greever-Wilson, 2025; X. Wang &amp; Qu,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hAnsi="Cambria" w:cs="Cambria"/>
          <w:sz w:val="28"/>
        </w:rPr>
        <w:instrText>α</w:instrText>
      </w:r>
      <w:r w:rsidRPr="00DD1558">
        <w:rPr>
          <w:rFonts w:ascii="Simplified Arabic" w:hAnsi="Simplified Arabic"/>
          <w:sz w:val="28"/>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hAnsi="Times New Roman" w:cs="Times New Roman"/>
          <w:sz w:val="28"/>
        </w:rPr>
        <w:instrText> </w:instrText>
      </w:r>
      <w:r w:rsidRPr="00DD1558">
        <w:rPr>
          <w:rFonts w:ascii="Simplified Arabic" w:hAnsi="Simplified Arabic"/>
          <w:sz w:val="28"/>
        </w:rPr>
        <w:instrText>&gt;</w:instrText>
      </w:r>
      <w:r w:rsidRPr="00DD1558">
        <w:rPr>
          <w:rFonts w:ascii="Times New Roman" w:hAnsi="Times New Roman" w:cs="Times New Roman"/>
          <w:sz w:val="28"/>
        </w:rPr>
        <w:instrText> </w:instrText>
      </w:r>
      <w:r w:rsidRPr="00DD1558">
        <w:rPr>
          <w:rFonts w:ascii="Simplified Arabic" w:hAnsi="Simplified Arabic"/>
          <w:sz w:val="28"/>
        </w:rPr>
        <w:instrText xml:space="preserve">200% growth in total use-time, leading to a decline in average mutual information (AMI) and suboptimal </w:instrText>
      </w:r>
      <w:r w:rsidRPr="00DD1558">
        <w:rPr>
          <w:rFonts w:ascii="Cambria" w:hAnsi="Cambria" w:cs="Cambria"/>
          <w:sz w:val="28"/>
        </w:rPr>
        <w:instrText>α</w:instrText>
      </w:r>
      <w:r w:rsidRPr="00DD1558">
        <w:rPr>
          <w:rFonts w:ascii="Simplified Arabic" w:hAnsi="Simplified Arabic"/>
          <w:sz w:val="28"/>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hAnsi="Cambria" w:cs="Cambria"/>
          <w:sz w:val="28"/>
        </w:rPr>
        <w:instrText>α</w:instrText>
      </w:r>
      <w:r w:rsidRPr="00DD1558">
        <w:rPr>
          <w:rFonts w:ascii="Simplified Arabic" w:hAnsi="Simplified Arabic"/>
          <w:sz w:val="28"/>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 xml:space="preserve">(Tu &amp; Greever-Wilson, 2025; X. Wang &amp; Qu, </w:t>
      </w:r>
      <w:r w:rsidRPr="00DD1558">
        <w:rPr>
          <w:rFonts w:ascii="Simplified Arabic" w:hAnsi="Simplified Arabic" w:cs="Simplified Arabic"/>
          <w:sz w:val="28"/>
        </w:rPr>
        <w:lastRenderedPageBreak/>
        <w:t>2025)</w:t>
      </w:r>
      <w:r w:rsidRPr="00DD1558">
        <w:rPr>
          <w:rFonts w:ascii="Simplified Arabic" w:hAnsi="Simplified Arabic"/>
          <w:sz w:val="28"/>
        </w:rPr>
        <w:fldChar w:fldCharType="end"/>
      </w:r>
      <w:r w:rsidRPr="00DD1558">
        <w:rPr>
          <w:rFonts w:ascii="Simplified Arabic" w:hAnsi="Simplified Arabic"/>
          <w:sz w:val="28"/>
        </w:rPr>
        <w:t xml:space="preserve">. Similarly, the circular economy literature argues that resource loops close only where governance arrangements — not merely intentions — enable reuse, redistribution, and life-cycle-aware procurement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{"citationID":"oV8XIVzm","properties":{"unsorted":false,"formattedCitation":"(Kirchherr et al., 2017; Vergani, 2024)","plainCitation":"(Kirchherr et al., 2017; Vergani, 2024)","noteIndex":0},"citationItems":[{"id":470,"uris":["http://zotero.org/users/19711126/items/WIAJWCHL"],"itemData":{"id":470,"type":"article-journal","abstract":"The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(Kirchherr et al., 2017; Vergani, 2024)</w:t>
      </w:r>
      <w:r w:rsidRPr="00DD1558">
        <w:rPr>
          <w:rFonts w:ascii="Simplified Arabic" w:hAnsi="Simplified Arabic"/>
          <w:sz w:val="28"/>
        </w:rPr>
        <w:fldChar w:fldCharType="end"/>
      </w:r>
      <w:r w:rsidRPr="00DD1558">
        <w:rPr>
          <w:rFonts w:ascii="Simplified Arabic" w:hAnsi="Simplified Arabic"/>
          <w:sz w:val="28"/>
        </w:rPr>
        <w:t xml:space="preserve">. Higher education institutions have increasingly been analyzed as microcosms in which circular economy principles can be operationalized, with laboratories identified as priority sites for such interventions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{"citationID":"2lr5MTkh","properties":{"unsorted":false,"formattedCitation":"(Vergani, 2024)","plainCitation":"(Vergani, 2024)","noteIndex":0},"citationItems":[{"id":519,"uris":["http://zotero.org/users/19711126/items/EQ35QIGQ"],"itemData":{"id":519,"type":"article-journal","abstract":"Higher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(Vergani, 2024)</w:t>
      </w:r>
      <w:r w:rsidRPr="00DD1558">
        <w:rPr>
          <w:rFonts w:ascii="Simplified Arabic" w:hAnsi="Simplified Arabic"/>
          <w:sz w:val="28"/>
        </w:rPr>
        <w:fldChar w:fldCharType="end"/>
      </w:r>
      <w:r w:rsidRPr="00DD1558">
        <w:rPr>
          <w:rFonts w:ascii="Simplified Arabic" w:hAnsi="Simplified Arabic" w:cs="Arial"/>
          <w:sz w:val="28"/>
          <w:rtl/>
        </w:rPr>
        <w:t>.</w:t>
      </w:r>
    </w:p>
    <w:p w14:paraId="574AEBFF"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Two contextual currents make this reframing especially urgent in the present setting. First, the international momentum behind Green Lab initiatives and sustainable laboratory practice has generated an expanding body of guidance on chemical inventory reduction, waste prevention, and life-cycle procurement in laboratory environments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{"citationID":"iMWC0A1C","properties":{"unsorted":false,"formattedCitation":"(Durgan et al., 2023; Freese et al., 2024; Gutierrez et al., 2020)","plainCitation":"(Durgan et al., 2023; Freese et al., 2024; Gutierrez et al., 2020)","noteIndex":0},"citationItems":[{"id":432,"uris":["http://zotero.org/users/19711126/items/Q74PR9A9"],"itemData":{"id":432,"type":"article-journal","abstract":"Scientific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(Durgan et al., 2023; Freese et al., 2024; Gutierrez et al., 2020)</w:t>
      </w:r>
      <w:r w:rsidRPr="00DD1558">
        <w:rPr>
          <w:rFonts w:ascii="Simplified Arabic" w:hAnsi="Simplified Arabic"/>
          <w:sz w:val="28"/>
        </w:rPr>
        <w:fldChar w:fldCharType="end"/>
      </w:r>
      <w:r w:rsidRPr="00DD1558">
        <w:rPr>
          <w:rFonts w:ascii="Simplified Arabic" w:hAnsi="Simplified Arabic"/>
          <w:sz w:val="28"/>
        </w:rPr>
        <w:t xml:space="preserve">. Second, in the Saudi context, Vision 2030 establishes explicit expectations for fiscal efficiency, environmental sustainability, and digital transformation across public institutions, including universities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{"citationID":"xbyfW5v0","properties":{"unsorted":false,"formattedCitation":"(Alamoudi et al., 2023; Alshammari, 2025)","plainCitation":"(Alamoudi et al., 2023; Alshammari, 2025)","noteIndex":0},"citationItems":[{"id":397,"uris":["http://zotero.org/users/19711126/items/NXW23TK2"],"itemData":{"id":397,"type":"article-journal","abstract":"Cities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(Alamoudi et al., 2023; Alshammari, 2025)</w:t>
      </w:r>
      <w:r w:rsidRPr="00DD1558">
        <w:rPr>
          <w:rFonts w:ascii="Simplified Arabic" w:hAnsi="Simplified Arabic"/>
          <w:sz w:val="28"/>
        </w:rPr>
        <w:fldChar w:fldCharType="end"/>
      </w:r>
      <w:r w:rsidRPr="00DD1558">
        <w:rPr>
          <w:rFonts w:ascii="Simplified Arabic" w:hAnsi="Simplified Arabic"/>
          <w:sz w:val="28"/>
        </w:rPr>
        <w:t xml:space="preserve">. Saudi higher education institutions are consequently under strategic pressure to demonstrate that their operational practices — including asset and facilities management — conform to international standards and support national transformation goals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{"citationID":"DAIcmnjI","properties":{"unsorted":false,"formattedCitation":"(Hassanain et al., 2019; Mohsen, 2025)","plainCitation":"(Hassanain et al., 2019; Mohsen, 2025)","noteIndex":0},"citationItems":[{"id":446,"uris":["http://zotero.org/users/19711126/items/G73ZZ2MX"],"itemData":{"id":446,"type":"article-journal","abstract":"The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Sadiq"},{"family":"Ahmed","given":"Wahhaj"}],"issued":{"date-parts":[["2019",10,11]]}}},{"id":393,"uris":["http://zotero.org/users/19711126/items/MIBC5ERC"],"itemData":{"id":393,"type":"article-journal","abstract":"Background: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 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Sciences","DOI":"10.18231/j.jeths.2023.010","ISSN":"2454-4396","issue":"2","language":"en","page":"42-46","publisher":"IP Innovative Publication Pvt. Ltd.","source":"jeths.org","title":"Laboratory safety and security concepts for clinical laboratory students and universities staff in Saudi Arabia","volume":"10","author":[{"family":"Mohsen","given":"Zahra Al"}],"issued":{"date-parts":[["2025",7,22]]}}}],"schema":"https://github.com/citation-style-language/schema/raw/master/csl-citation.json"}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(Hassanain et al., 2019; Mohsen, 2025)</w:t>
      </w:r>
      <w:r w:rsidRPr="00DD1558">
        <w:rPr>
          <w:rFonts w:ascii="Simplified Arabic" w:hAnsi="Simplified Arabic"/>
          <w:sz w:val="28"/>
        </w:rPr>
        <w:fldChar w:fldCharType="end"/>
      </w:r>
      <w:r w:rsidRPr="00DD1558">
        <w:rPr>
          <w:rFonts w:ascii="Simplified Arabic" w:hAnsi="Simplified Arabic" w:cs="Arial"/>
          <w:sz w:val="28"/>
          <w:rtl/>
        </w:rPr>
        <w:t>.</w:t>
      </w:r>
    </w:p>
    <w:p w14:paraId="35AC3C02" w14:textId="77777777" w:rsidR="00144B9A" w:rsidRPr="00144B9A" w:rsidRDefault="00144B9A" w:rsidP="00144B9A">
      <w:pPr>
        <w:bidi w:val="0"/>
        <w:jc w:val="both"/>
        <w:rPr>
          <w:rFonts w:ascii="Simplified Arabic" w:hAnsi="Simplified Arabic"/>
          <w:sz w:val="28"/>
        </w:rPr>
      </w:pPr>
      <w:r w:rsidRPr="00144B9A">
        <w:rPr>
          <w:rFonts w:ascii="Simplified Arabic" w:hAnsi="Simplified Arabic"/>
          <w:sz w:val="28"/>
        </w:rPr>
        <w:t xml:space="preserve">A large public higher education institution in Riyadh occupies a distinctive position within this landscape. As a major higher education environment with centralized academic operations, the institution concentrates its activities on a single integrated mega-campus, which in turn concentrates procurement volume and laboratory capacity within one institutional boundary. This concentration is analytically significant: the coordination failures that characterize decentralized inventory regimes, and conversely the gains available from participatory coordination, are both amplified at mega-campus scale. The institution's </w:t>
      </w:r>
      <w:r w:rsidRPr="00144B9A">
        <w:rPr>
          <w:rFonts w:ascii="Simplified Arabic" w:hAnsi="Simplified Arabic"/>
          <w:sz w:val="28"/>
        </w:rPr>
        <w:lastRenderedPageBreak/>
        <w:t>explicit alignment with Saudi Vision 2030—spanning fiscal efficiency, sustainability, and digital transformation—provides the strategic mandate against which this study’s proposed framework is assessed (Alamoudi et al., 2023; Alshammari, 2025)</w:t>
      </w:r>
      <w:r w:rsidRPr="00144B9A">
        <w:rPr>
          <w:rFonts w:ascii="Simplified Arabic" w:hAnsi="Simplified Arabic" w:cs="Arial"/>
          <w:sz w:val="28"/>
          <w:rtl/>
        </w:rPr>
        <w:t>.</w:t>
      </w:r>
    </w:p>
    <w:p w14:paraId="6FCFFBFB" w14:textId="6F704A0F" w:rsidR="00144B9A" w:rsidRPr="00144B9A" w:rsidRDefault="00144B9A" w:rsidP="00144B9A">
      <w:pPr>
        <w:bidi w:val="0"/>
        <w:jc w:val="both"/>
        <w:rPr>
          <w:rFonts w:ascii="Simplified Arabic" w:hAnsi="Simplified Arabic"/>
          <w:sz w:val="28"/>
        </w:rPr>
      </w:pPr>
      <w:r w:rsidRPr="00144B9A">
        <w:rPr>
          <w:rFonts w:ascii="Simplified Arabic" w:hAnsi="Simplified Arabic"/>
          <w:sz w:val="28"/>
        </w:rPr>
        <w:t xml:space="preserve">The contextual setting of this study is a large public science faculty, which hosts extensive teaching and research laboratories across multiple departments. Within this faculty, a life sciences department serves as the primary—embedded—unit of analysis. The department is characterized by a large and diverse inventory comprising instruments, glassware, consumables, and chemicals; high student throughput organized on fixed semester cycles; recurring consumable orders driven by chemically intensive courses; and episodic research demand superimposed on routine teaching loads. This combination of scale, diversity, chemical intensity, and cyclical demand makes the life sciences department a structurally representative case through which the faculty's, and ultimately the </w:t>
      </w:r>
      <w:r w:rsidRPr="00144B9A">
        <w:rPr>
          <w:rFonts w:ascii="Simplified Arabic" w:hAnsi="Simplified Arabic"/>
          <w:sz w:val="28"/>
        </w:rPr>
        <w:t>institution’s</w:t>
      </w:r>
      <w:r w:rsidRPr="00144B9A">
        <w:rPr>
          <w:rFonts w:ascii="Simplified Arabic" w:hAnsi="Simplified Arabic"/>
          <w:sz w:val="28"/>
        </w:rPr>
        <w:t xml:space="preserve"> inventory governance problem can be examined</w:t>
      </w:r>
      <w:r w:rsidRPr="00144B9A">
        <w:rPr>
          <w:rFonts w:ascii="Simplified Arabic" w:hAnsi="Simplified Arabic" w:cs="Arial"/>
          <w:sz w:val="28"/>
          <w:rtl/>
        </w:rPr>
        <w:t>.</w:t>
      </w:r>
    </w:p>
    <w:p w14:paraId="19A56A62" w14:textId="17151594" w:rsidR="00DD1558" w:rsidRPr="00DD1558" w:rsidRDefault="00144B9A" w:rsidP="00144B9A">
      <w:pPr>
        <w:bidi w:val="0"/>
        <w:jc w:val="both"/>
        <w:rPr>
          <w:rFonts w:ascii="Simplified Arabic" w:hAnsi="Simplified Arabic"/>
          <w:sz w:val="28"/>
        </w:rPr>
      </w:pPr>
      <w:r w:rsidRPr="00144B9A">
        <w:rPr>
          <w:rFonts w:ascii="Simplified Arabic" w:hAnsi="Simplified Arabic"/>
          <w:sz w:val="28"/>
        </w:rPr>
        <w:t>The prevailing inventory regime across the case setting can be characterized, qualitatively, as decentralized. Each department and laboratory maintains its own records, requisitions, and stock; purchases, stores, and disposes of materials independently; and operates without shared visibility into holdings elsewhere in the faculty or institution. No institutional policy governs inter-laboratory lending or transfer of assets and chemicals, and no standardized data structure exists across units.</w:t>
      </w:r>
      <w:r w:rsidR="00DD1558" w:rsidRPr="00DD1558">
        <w:rPr>
          <w:rFonts w:ascii="Simplified Arabic" w:hAnsi="Simplified Arabic"/>
          <w:sz w:val="28"/>
        </w:rPr>
        <w:t xml:space="preserve"> The consequences of this regime are structural rather than incidental: the default response to any unmet need is a new purchase, because the existence of an equivalent item elsewhere is organizationally invisible; instruments sit idle in one laboratory while neighboring needs go unmet; and small, isolated chemical stocks pass their shelf lives unnoticed, accumulating as financial, environmental, and health-and-safety burdens </w:t>
      </w:r>
      <w:r w:rsidR="00DD1558" w:rsidRPr="00DD1558">
        <w:rPr>
          <w:rFonts w:ascii="Simplified Arabic" w:hAnsi="Simplified Arabic"/>
          <w:sz w:val="28"/>
        </w:rPr>
        <w:fldChar w:fldCharType="begin"/>
      </w:r>
      <w:r w:rsidR="00DD1558" w:rsidRPr="00DD1558">
        <w:rPr>
          <w:rFonts w:ascii="Simplified Arabic" w:hAnsi="Simplified Arabic"/>
          <w:sz w:val="28"/>
        </w:rPr>
        <w:instrText xml:space="preserve"> ADDIN ZOTERO_ITEM CSL_CITATION {"citationID":"LCbRDEUx","properties":{"unsorted":false,"formattedCitation":"(Strom et al., 2020; Tu &amp; Greever-Wilson, 2025)","plainCitation":"(Strom et al., 2020; Tu &amp; Greever-Wilson,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00DD1558" w:rsidRPr="00DD1558">
        <w:rPr>
          <w:rFonts w:ascii="Simplified Arabic" w:hAnsi="Simplified Arabic"/>
          <w:sz w:val="28"/>
        </w:rPr>
        <w:fldChar w:fldCharType="separate"/>
      </w:r>
      <w:r w:rsidR="00DD1558" w:rsidRPr="00DD1558">
        <w:rPr>
          <w:rFonts w:ascii="Simplified Arabic" w:hAnsi="Simplified Arabic" w:cs="Simplified Arabic"/>
          <w:sz w:val="28"/>
        </w:rPr>
        <w:t>(Strom et al., 2020; Tu &amp; Greever-Wilson, 2025)</w:t>
      </w:r>
      <w:r w:rsidR="00DD1558" w:rsidRPr="00DD1558">
        <w:rPr>
          <w:rFonts w:ascii="Simplified Arabic" w:hAnsi="Simplified Arabic"/>
          <w:sz w:val="28"/>
        </w:rPr>
        <w:fldChar w:fldCharType="end"/>
      </w:r>
      <w:r w:rsidR="00DD1558" w:rsidRPr="00DD1558">
        <w:rPr>
          <w:rFonts w:ascii="Simplified Arabic" w:hAnsi="Simplified Arabic"/>
          <w:sz w:val="28"/>
        </w:rPr>
        <w:t xml:space="preserve">. A fourth, </w:t>
      </w:r>
      <w:r w:rsidR="00DD1558" w:rsidRPr="00DD1558">
        <w:rPr>
          <w:rFonts w:ascii="Simplified Arabic" w:hAnsi="Simplified Arabic"/>
          <w:sz w:val="28"/>
        </w:rPr>
        <w:lastRenderedPageBreak/>
        <w:t xml:space="preserve">strategic dimension compounds these: without standardized processes and clearly assigned roles, the institution lacks the organizational baseline upon which any digitalization initiative — such as RFID- or IoT-enabled tracking platforms — could reliably be built. The digital readiness literature consistently indicates that technology investments in unstandardized organizational environments tend to fail or decay, and that organizational reform must precede technology adoption </w:t>
      </w:r>
      <w:r w:rsidR="00DD1558" w:rsidRPr="00DD1558">
        <w:rPr>
          <w:rFonts w:ascii="Simplified Arabic" w:hAnsi="Simplified Arabic"/>
          <w:sz w:val="28"/>
        </w:rPr>
        <w:fldChar w:fldCharType="begin"/>
      </w:r>
      <w:r w:rsidR="00DD1558" w:rsidRPr="00DD1558">
        <w:rPr>
          <w:rFonts w:ascii="Simplified Arabic" w:hAnsi="Simplified Arabic"/>
          <w:sz w:val="28"/>
        </w:rPr>
        <w:instrText xml:space="preserve"> ADDIN ZOTERO_ITEM CSL_CITATION {"citationID":"QBIkkNcb","properties":{"unsorted":false,"formattedCitation":"(Bellantuono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00DD1558" w:rsidRPr="00DD1558">
        <w:rPr>
          <w:rFonts w:ascii="Simplified Arabic" w:hAnsi="Simplified Arabic"/>
          <w:sz w:val="28"/>
        </w:rPr>
        <w:fldChar w:fldCharType="separate"/>
      </w:r>
      <w:r w:rsidR="00DD1558" w:rsidRPr="00DD1558">
        <w:rPr>
          <w:rFonts w:ascii="Simplified Arabic" w:hAnsi="Simplified Arabic" w:cs="Simplified Arabic"/>
          <w:sz w:val="28"/>
        </w:rPr>
        <w:t>(Bellantuono et al., 2021; Rodríguez-Abitia &amp; Bribiesca-Correa, 2021)</w:t>
      </w:r>
      <w:r w:rsidR="00DD1558" w:rsidRPr="00DD1558">
        <w:rPr>
          <w:rFonts w:ascii="Simplified Arabic" w:hAnsi="Simplified Arabic"/>
          <w:sz w:val="28"/>
        </w:rPr>
        <w:fldChar w:fldCharType="end"/>
      </w:r>
      <w:r w:rsidR="00DD1558" w:rsidRPr="00DD1558">
        <w:rPr>
          <w:rFonts w:ascii="Simplified Arabic" w:hAnsi="Simplified Arabic" w:cs="Arial"/>
          <w:sz w:val="28"/>
          <w:rtl/>
        </w:rPr>
        <w:t>.</w:t>
      </w:r>
    </w:p>
    <w:p w14:paraId="79EEF2C9" w14:textId="3A6F1A44" w:rsidR="00DD1558" w:rsidRPr="00DD1558" w:rsidRDefault="00DD1558" w:rsidP="00861F15">
      <w:pPr>
        <w:pStyle w:val="Heading3"/>
        <w:bidi w:val="0"/>
        <w:jc w:val="left"/>
      </w:pPr>
      <w:bookmarkStart w:id="18" w:name="section12"/>
      <w:bookmarkStart w:id="19" w:name="_Toc237539703"/>
      <w:bookmarkEnd w:id="18"/>
      <w:r w:rsidRPr="00DD1558">
        <w:t>1.</w:t>
      </w:r>
      <w:r w:rsidR="00861F15">
        <w:t>1.</w:t>
      </w:r>
      <w:r w:rsidRPr="00DD1558">
        <w:t>2</w:t>
      </w:r>
      <w:r w:rsidRPr="00DD1558">
        <w:rPr>
          <w:rFonts w:cs="Arial"/>
          <w:rtl/>
        </w:rPr>
        <w:t xml:space="preserve"> </w:t>
      </w:r>
      <w:r w:rsidRPr="00DD1558">
        <w:t>Problem Statement: The Risk Maturity Gap</w:t>
      </w:r>
      <w:bookmarkEnd w:id="19"/>
    </w:p>
    <w:p w14:paraId="5EE50A45"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The core problem addressed by this thesis is framed as a Risk Maturity Gap: the distance between the maturity band at which the institution’s laboratory inventory governance currently operates and the maturity band required by its stated strategic ambitions. This section develops the problem through four structural components — waste as consequence, fragmented procurement as mechanism, absent integration as governance failure, and the maturity framing itself — before stating the problem formally</w:t>
      </w:r>
      <w:r w:rsidRPr="00DD1558">
        <w:rPr>
          <w:rFonts w:ascii="Simplified Arabic" w:hAnsi="Simplified Arabic" w:cs="Arial"/>
          <w:sz w:val="28"/>
          <w:rtl/>
        </w:rPr>
        <w:t>.</w:t>
      </w:r>
    </w:p>
    <w:p w14:paraId="13C7DFA5"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Terminological declaration. This thesis employs the maturity labels Inform/Conform, Managed/Normalized, and Perform as its own adapted terminology. No published risk maturity model uses these exact level names; they are introduced here as a bespoke three-band trajectory and are explicitly anchored to verified antecedent models. The Inform/Conform band — compliance-driven, reactive, and decentralized — corresponds to the lower levels of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{"citationID":"elVeOIUS","properties":{"unsorted":false,"formattedCitation":"(Hillson,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(Hillson, D. A., 1997)</w:t>
      </w:r>
      <w:r w:rsidRPr="00DD1558">
        <w:rPr>
          <w:rFonts w:ascii="Simplified Arabic" w:hAnsi="Simplified Arabic"/>
          <w:sz w:val="28"/>
        </w:rPr>
        <w:fldChar w:fldCharType="end"/>
      </w:r>
      <w:r w:rsidRPr="00DD1558">
        <w:rPr>
          <w:rFonts w:ascii="Simplified Arabic" w:hAnsi="Simplified Arabic"/>
          <w:sz w:val="28"/>
        </w:rPr>
        <w:t xml:space="preserve"> Risk Maturity Model (Naive and Novice), in which risk handling is ad hoc, awareness is limited, and process discipline is absent. The intermediate Managed/Normalized band — standardized, documented, and consistently applied — corresponds to Hillson’s Normalised level and to the Managed-to-Defined levels of the Capability Maturity Model scale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{"citationID":"Gndq6a7Z","properties":{"unsorted":false,"formattedCitation":"(Paulk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(Paulk et al., 1993)</w:t>
      </w:r>
      <w:r w:rsidRPr="00DD1558">
        <w:rPr>
          <w:rFonts w:ascii="Simplified Arabic" w:hAnsi="Simplified Arabic"/>
          <w:sz w:val="28"/>
        </w:rPr>
        <w:fldChar w:fldCharType="end"/>
      </w:r>
      <w:r w:rsidRPr="00DD1558">
        <w:rPr>
          <w:rFonts w:ascii="Simplified Arabic" w:hAnsi="Simplified Arabic"/>
          <w:sz w:val="28"/>
        </w:rPr>
        <w:t xml:space="preserve">. The Perform band — </w:t>
      </w:r>
      <w:r w:rsidRPr="00DD1558">
        <w:rPr>
          <w:rFonts w:ascii="Simplified Arabic" w:hAnsi="Simplified Arabic"/>
          <w:sz w:val="28"/>
        </w:rPr>
        <w:lastRenderedPageBreak/>
        <w:t xml:space="preserve">excellence-oriented, integrated, and anticipatory — corresponds to Hillson’s upper level (Natural) and, analogously, to the Quantitatively Managed and Optimizing levels of the Capability Maturity Model scale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{"citationID":"FGNCYhgM","properties":{"unsorted":false,"formattedCitation":"(Paulk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(Paulk et al., 1993)</w:t>
      </w:r>
      <w:r w:rsidRPr="00DD1558">
        <w:rPr>
          <w:rFonts w:ascii="Simplified Arabic" w:hAnsi="Simplified Arabic"/>
          <w:sz w:val="28"/>
        </w:rPr>
        <w:fldChar w:fldCharType="end"/>
      </w:r>
      <w:r w:rsidRPr="00DD1558">
        <w:rPr>
          <w:rFonts w:ascii="Simplified Arabic" w:hAnsi="Simplified Arabic"/>
          <w:sz w:val="28"/>
        </w:rPr>
        <w:t xml:space="preserve"> and the upper capability levels of the ISO/IEC 33020 process assessment tradition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{"citationID":"fKypg14Y","properties":{"unsorted":false,"formattedCitation":"(33020 ISO/IEC, 2019)","plainCitation":"(33020 ISO/IEC, 2019)","noteIndex":0},"citationItems":[{"id":468,"uris":["http://zotero.org/users/19711126/items/M5DQ7CRZ"],"itemData":{"id":468,"type":"standard","title":"ISO 33020:2019(en), Information technology — Process assessment — Process measurement framework for assessment of process capability","URL":"https://www.iso.org/obp/ui/es/#iso:std:iso-iec:33020:ed-2:v1:en","author":[{"family":"ISO/IEC","given":"33020"}],"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(33020 ISO/IEC, 2019)</w:t>
      </w:r>
      <w:r w:rsidRPr="00DD1558">
        <w:rPr>
          <w:rFonts w:ascii="Simplified Arabic" w:hAnsi="Simplified Arabic"/>
          <w:sz w:val="28"/>
        </w:rPr>
        <w:fldChar w:fldCharType="end"/>
      </w:r>
      <w:r w:rsidRPr="00DD1558">
        <w:rPr>
          <w:rFonts w:ascii="Simplified Arabic" w:hAnsi="Simplified Arabic"/>
          <w:sz w:val="28"/>
        </w:rPr>
        <w:t>. The adaptation is deliberate: a three-band trajectory is analytically sufficient for a design-level study, and the labels are chosen to describe observable organizational behavior (informing, conforming, performing) rather than to import the assessment machinery of any single published model</w:t>
      </w:r>
      <w:r w:rsidRPr="00DD1558">
        <w:rPr>
          <w:rFonts w:ascii="Simplified Arabic" w:hAnsi="Simplified Arabic" w:cs="Arial"/>
          <w:sz w:val="28"/>
          <w:rtl/>
        </w:rPr>
        <w:t>.</w:t>
      </w:r>
    </w:p>
    <w:p w14:paraId="75DB89F7"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b/>
          <w:bCs/>
          <w:sz w:val="28"/>
        </w:rPr>
        <w:t>(a) Resource waste as structural consequence.</w:t>
      </w:r>
      <w:r w:rsidRPr="00DD1558">
        <w:rPr>
          <w:rFonts w:ascii="Simplified Arabic" w:hAnsi="Simplified Arabic"/>
          <w:sz w:val="28"/>
        </w:rPr>
        <w:t xml:space="preserve"> Within the prevailing decentralized regime, waste arises not from individual negligence but from organizational design. Duplicate purchasing occurs by default: because the existence of an asset or chemical elsewhere is invisible, the rational local response to any need is to procure. Asset utilization is depressed: instruments remain idle while neighboring demand is unmet, because no mechanism exists to match surplus with need. Expired chemicals accumulate: small, isolated stocks pass their shelf lives unnoticed within units that lack rotation discipline and shared visibility, generating financial write-offs alongside environmental and health-safety exposure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{"citationID":"AQPmbIWS","properties":{"unsorted":false,"formattedCitation":"(Freese et al., 2024; Strom et al., 2020; Tu &amp; Greever-Wilson, 2025)","plainCitation":"(Freese et al., 2024; Strom et al., 2020; Tu &amp; Greever-Wilson, 2025)","noteIndex":0},"citationItems":[{"id":439,"uris":["http://zotero.org/users/19711126/items/R6RIIVN3"],"itemData":{"id":439,"type":"article-journal","abstract":"Scientists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(Freese et al., 2024; Strom et al., 2020; Tu &amp; Greever-Wilson, 2025)</w:t>
      </w:r>
      <w:r w:rsidRPr="00DD1558">
        <w:rPr>
          <w:rFonts w:ascii="Simplified Arabic" w:hAnsi="Simplified Arabic"/>
          <w:sz w:val="28"/>
        </w:rPr>
        <w:fldChar w:fldCharType="end"/>
      </w:r>
      <w:r w:rsidRPr="00DD1558">
        <w:rPr>
          <w:rFonts w:ascii="Simplified Arabic" w:hAnsi="Simplified Arabic"/>
          <w:sz w:val="28"/>
        </w:rPr>
        <w:t>. Each of these outcomes is a predictable consequence of the regime’s structure rather than an anomaly within it</w:t>
      </w:r>
      <w:r w:rsidRPr="00DD1558">
        <w:rPr>
          <w:rFonts w:ascii="Simplified Arabic" w:hAnsi="Simplified Arabic" w:cs="Arial"/>
          <w:sz w:val="28"/>
          <w:rtl/>
        </w:rPr>
        <w:t>.</w:t>
      </w:r>
    </w:p>
    <w:p w14:paraId="0248BE72"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b/>
          <w:bCs/>
          <w:sz w:val="28"/>
        </w:rPr>
        <w:t>(b) Fragmented procurement as organizational mechanism.</w:t>
      </w:r>
      <w:r w:rsidRPr="00DD1558">
        <w:rPr>
          <w:rFonts w:ascii="Simplified Arabic" w:hAnsi="Simplified Arabic"/>
          <w:sz w:val="28"/>
        </w:rPr>
        <w:t xml:space="preserve"> The mechanism that converts decentralization into waste is fragmented procurement. When purchasing authority, requisition records, and stock custody are dispersed across autonomous units without a coordinating layer, each unit optimizes locally and the institution loses globally: aggregate demand is never consolidated, common catalog and classification standards </w:t>
      </w:r>
      <w:r w:rsidRPr="00DD1558">
        <w:rPr>
          <w:rFonts w:ascii="Simplified Arabic" w:hAnsi="Simplified Arabic"/>
          <w:sz w:val="28"/>
        </w:rPr>
        <w:lastRenderedPageBreak/>
        <w:t xml:space="preserve">never emerge, and no actor possesses the mandate or the information to redirect existing stock toward emerging needs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{"citationID":"ZLEt834u","properties":{"unsorted":false,"formattedCitation":"(Kirchherr et al., 2017; Zhu &amp; Liu, 2021)","plainCitation":"(Kirchherr et al., 2017; Zhu &amp; Liu, 2021)","noteIndex":0},"citationItems":[{"id":470,"uris":["http://zotero.org/users/19711126/items/WIAJWCHL"],"itemData":{"id":470,"type":"article-journal","abstract":"The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(Kirchherr et al., 2017; Zhu &amp; Liu, 2021)</w:t>
      </w:r>
      <w:r w:rsidRPr="00DD1558">
        <w:rPr>
          <w:rFonts w:ascii="Simplified Arabic" w:hAnsi="Simplified Arabic"/>
          <w:sz w:val="28"/>
        </w:rPr>
        <w:fldChar w:fldCharType="end"/>
      </w:r>
      <w:r w:rsidRPr="00DD1558">
        <w:rPr>
          <w:rFonts w:ascii="Simplified Arabic" w:hAnsi="Simplified Arabic"/>
          <w:sz w:val="28"/>
        </w:rPr>
        <w:t xml:space="preserve">. Sustainable procurement scholarship emphasizes that such fragmentation defeats both fiscal and environmental objectives simultaneously, because life-cycle-aware purchasing presupposes the consolidated visibility that fragmentation destroys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{"citationID":"L6apJTHi","properties":{"unsorted":false,"formattedCitation":"(14001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w:t>
      </w:r>
      <w:r w:rsidRPr="00DD1558">
        <w:rPr>
          <w:rFonts w:ascii="Simplified Arabic" w:hAnsi="Simplified Arabic"/>
          <w:sz w:val="28"/>
        </w:rPr>
        <w:fldChar w:fldCharType="end"/>
      </w:r>
      <w:r w:rsidRPr="00DD1558">
        <w:rPr>
          <w:rFonts w:ascii="Simplified Arabic" w:hAnsi="Simplified Arabic" w:cs="Arial"/>
          <w:sz w:val="28"/>
          <w:rtl/>
        </w:rPr>
        <w:t>.</w:t>
      </w:r>
    </w:p>
    <w:p w14:paraId="3BBEDCAD" w14:textId="5A9E3DA4" w:rsidR="00DD1558" w:rsidRPr="00DD1558" w:rsidRDefault="00DD1558" w:rsidP="00DD1558">
      <w:pPr>
        <w:bidi w:val="0"/>
        <w:jc w:val="both"/>
        <w:rPr>
          <w:rFonts w:ascii="Simplified Arabic" w:hAnsi="Simplified Arabic"/>
          <w:sz w:val="28"/>
        </w:rPr>
      </w:pPr>
      <w:r w:rsidRPr="00DD1558">
        <w:rPr>
          <w:rFonts w:ascii="Simplified Arabic" w:hAnsi="Simplified Arabic"/>
          <w:b/>
          <w:bCs/>
          <w:sz w:val="28"/>
        </w:rPr>
        <w:t>(c) Absence of cross-departmental integration as governance failure.</w:t>
      </w:r>
      <w:r w:rsidRPr="00DD1558">
        <w:rPr>
          <w:rFonts w:ascii="Simplified Arabic" w:hAnsi="Simplified Arabic"/>
          <w:sz w:val="28"/>
        </w:rPr>
        <w:t xml:space="preserve"> At the governance level, the case setting exhibits no institutional policy for inter-laboratory lending or transfer, no standardized data structure, and no assigned custodianship for shared assets. Equipment-sharing and core-facility research indicates that pooling arrangements succeed only where governance instruments — eligibility rules, allocation and scheduling procedures, custody and accountability protocols, and equitable benefit distribution — are formally specified; participation without decision rights and trust mechanisms decays into nominal compliance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{"citationID":"3Ia9eH4R","properties":{"unsorted":false,"formattedCitation":"(Strom et al., 2020; X. Wang &amp; Qu, 2025)","plainCitation":"(Strom et al., 2020; X. Wang &amp; Qu,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hAnsi="Cambria" w:cs="Cambria"/>
          <w:sz w:val="28"/>
        </w:rPr>
        <w:instrText>α</w:instrText>
      </w:r>
      <w:r w:rsidRPr="00DD1558">
        <w:rPr>
          <w:rFonts w:ascii="Simplified Arabic" w:hAnsi="Simplified Arabic"/>
          <w:sz w:val="28"/>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hAnsi="Times New Roman" w:cs="Times New Roman"/>
          <w:sz w:val="28"/>
        </w:rPr>
        <w:instrText> </w:instrText>
      </w:r>
      <w:r w:rsidRPr="00DD1558">
        <w:rPr>
          <w:rFonts w:ascii="Simplified Arabic" w:hAnsi="Simplified Arabic"/>
          <w:sz w:val="28"/>
        </w:rPr>
        <w:instrText>&gt;</w:instrText>
      </w:r>
      <w:r w:rsidRPr="00DD1558">
        <w:rPr>
          <w:rFonts w:ascii="Times New Roman" w:hAnsi="Times New Roman" w:cs="Times New Roman"/>
          <w:sz w:val="28"/>
        </w:rPr>
        <w:instrText> </w:instrText>
      </w:r>
      <w:r w:rsidRPr="00DD1558">
        <w:rPr>
          <w:rFonts w:ascii="Simplified Arabic" w:hAnsi="Simplified Arabic"/>
          <w:sz w:val="28"/>
        </w:rPr>
        <w:instrText xml:space="preserve">200% growth in total use-time, leading to a decline in average mutual information (AMI) and suboptimal </w:instrText>
      </w:r>
      <w:r w:rsidRPr="00DD1558">
        <w:rPr>
          <w:rFonts w:ascii="Cambria" w:hAnsi="Cambria" w:cs="Cambria"/>
          <w:sz w:val="28"/>
        </w:rPr>
        <w:instrText>α</w:instrText>
      </w:r>
      <w:r w:rsidRPr="00DD1558">
        <w:rPr>
          <w:rFonts w:ascii="Simplified Arabic" w:hAnsi="Simplified Arabic"/>
          <w:sz w:val="28"/>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hAnsi="Cambria" w:cs="Cambria"/>
          <w:sz w:val="28"/>
        </w:rPr>
        <w:instrText>α</w:instrText>
      </w:r>
      <w:r w:rsidRPr="00DD1558">
        <w:rPr>
          <w:rFonts w:ascii="Simplified Arabic" w:hAnsi="Simplified Arabic"/>
          <w:sz w:val="28"/>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(Strom et al., 2020; X. Wang &amp; Qu, 2025)</w:t>
      </w:r>
      <w:r w:rsidRPr="00DD1558">
        <w:rPr>
          <w:rFonts w:ascii="Simplified Arabic" w:hAnsi="Simplified Arabic"/>
          <w:sz w:val="28"/>
        </w:rPr>
        <w:fldChar w:fldCharType="end"/>
      </w:r>
      <w:r w:rsidRPr="00DD1558">
        <w:rPr>
          <w:rFonts w:ascii="Simplified Arabic" w:hAnsi="Simplified Arabic"/>
          <w:sz w:val="28"/>
        </w:rPr>
        <w:t xml:space="preserve">. </w:t>
      </w:r>
      <w:r w:rsidR="000B6195" w:rsidRPr="000B6195">
        <w:rPr>
          <w:rFonts w:ascii="Simplified Arabic" w:hAnsi="Simplified Arabic"/>
          <w:sz w:val="28"/>
        </w:rPr>
        <w:t>The absence of these instruments within the host institution constitutes governance failure through which the waste consequences above are reproduced each procurement cycle.</w:t>
      </w:r>
    </w:p>
    <w:p w14:paraId="2424BAB5"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b/>
          <w:bCs/>
          <w:sz w:val="28"/>
        </w:rPr>
        <w:t>(d) The maturity framing.</w:t>
      </w:r>
      <w:r w:rsidRPr="00DD1558">
        <w:rPr>
          <w:rFonts w:ascii="Simplified Arabic" w:hAnsi="Simplified Arabic"/>
          <w:sz w:val="28"/>
        </w:rPr>
        <w:t xml:space="preserve"> Read against the adapted maturity trajectory, the institution currently operates within the Inform/Conform band: its inventory practices are reactive, compliance-oriented, and decentralized — corresponding to the Naive and Novice levels of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{"citationID":"vMeIgjFe","properties":{"unsorted":false,"formattedCitation":"(Hillson,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(Hillson, D. A., 1997)</w:t>
      </w:r>
      <w:r w:rsidRPr="00DD1558">
        <w:rPr>
          <w:rFonts w:ascii="Simplified Arabic" w:hAnsi="Simplified Arabic"/>
          <w:sz w:val="28"/>
        </w:rPr>
        <w:fldChar w:fldCharType="end"/>
      </w:r>
      <w:r w:rsidRPr="00DD1558">
        <w:rPr>
          <w:rFonts w:ascii="Simplified Arabic" w:hAnsi="Simplified Arabic"/>
          <w:sz w:val="28"/>
        </w:rPr>
        <w:t xml:space="preserve"> model, in which processes are ad hoc, and risk is addressed only after it materializes. Its strategic ambitions, by contrast — Vision 2030 alignment, ISO 14001:2015 environmental management, and ISO 22301:2019 business continuity — presuppose the Perform band: integrated, anticipatory, and excellence-oriented governance in which risks are structured before they crystallize and continuity and environmental performance are engineered into operations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{"citationID":"50HzYcNl","properties":{"unsorted":false,"formattedCitation":"(Hillson, D. A., 1997; 14001 ISO/IEC, 2015; 22301 ISO/IEC, 2019; Paulk et al., 1993)","plainCitation":"(Hillson, D. A., 1997; 14001 ISO/IEC, 2015; 22301 ISO/IEC, 2019;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 xml:space="preserve">(Hillson, D. A., 1997; 14001 </w:t>
      </w:r>
      <w:r w:rsidRPr="00DD1558">
        <w:rPr>
          <w:rFonts w:ascii="Simplified Arabic" w:hAnsi="Simplified Arabic" w:cs="Simplified Arabic"/>
          <w:sz w:val="28"/>
        </w:rPr>
        <w:lastRenderedPageBreak/>
        <w:t>ISO/IEC, 2015; 22301 ISO/IEC, 2019; Paulk et al., 1993)</w:t>
      </w:r>
      <w:r w:rsidRPr="00DD1558">
        <w:rPr>
          <w:rFonts w:ascii="Simplified Arabic" w:hAnsi="Simplified Arabic"/>
          <w:sz w:val="28"/>
        </w:rPr>
        <w:fldChar w:fldCharType="end"/>
      </w:r>
      <w:r w:rsidRPr="00DD1558">
        <w:rPr>
          <w:rFonts w:ascii="Simplified Arabic" w:hAnsi="Simplified Arabic"/>
          <w:sz w:val="28"/>
        </w:rPr>
        <w:t xml:space="preserve">. The distance between these bands is the Risk Maturity Gap, and it constitutes an institutional bottleneck: no amount of local effort or technology spending within the Inform/Conform regime can deliver the integrated visibility, standardized process, and anticipatory risk posture that Perform-level ambitions require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{"citationID":"TyNgw7R3","properties":{"unsorted":false,"formattedCitation":"(Bellantuono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(Bellantuono et al., 2021; Rodríguez-Abitia &amp; Bribiesca-Correa, 2021)</w:t>
      </w:r>
      <w:r w:rsidRPr="00DD1558">
        <w:rPr>
          <w:rFonts w:ascii="Simplified Arabic" w:hAnsi="Simplified Arabic"/>
          <w:sz w:val="28"/>
        </w:rPr>
        <w:fldChar w:fldCharType="end"/>
      </w:r>
      <w:r w:rsidRPr="00DD1558">
        <w:rPr>
          <w:rFonts w:ascii="Simplified Arabic" w:hAnsi="Simplified Arabic" w:cs="Arial"/>
          <w:sz w:val="28"/>
          <w:rtl/>
        </w:rPr>
        <w:t>.</w:t>
      </w:r>
    </w:p>
    <w:p w14:paraId="301B84C7" w14:textId="341679D5" w:rsidR="00DD1558" w:rsidRPr="00DD1558" w:rsidRDefault="00DD1558" w:rsidP="00DD1558">
      <w:pPr>
        <w:bidi w:val="0"/>
        <w:jc w:val="both"/>
        <w:rPr>
          <w:rFonts w:ascii="Simplified Arabic" w:hAnsi="Simplified Arabic"/>
          <w:sz w:val="28"/>
        </w:rPr>
      </w:pPr>
      <w:r w:rsidRPr="00DD1558">
        <w:rPr>
          <w:rFonts w:ascii="Simplified Arabic" w:hAnsi="Simplified Arabic"/>
          <w:b/>
          <w:bCs/>
          <w:sz w:val="28"/>
        </w:rPr>
        <w:t>Formal problem statement.</w:t>
      </w:r>
      <w:r w:rsidRPr="00DD1558">
        <w:rPr>
          <w:rFonts w:ascii="Simplified Arabic" w:hAnsi="Simplified Arabic"/>
          <w:sz w:val="28"/>
        </w:rPr>
        <w:t xml:space="preserve"> </w:t>
      </w:r>
      <w:r w:rsidR="00144B9A" w:rsidRPr="00144B9A">
        <w:rPr>
          <w:rFonts w:ascii="Simplified Arabic" w:hAnsi="Simplified Arabic"/>
          <w:i/>
          <w:iCs/>
          <w:sz w:val="28"/>
        </w:rPr>
        <w:t>The problem addressed by this study is therefore stated as follows: within a large public science faculty at a Saudi higher education institution, laboratory inventory governance operates at a compliance-driven, reactive maturity band (Inform/Conform), characterized by decentralized purchasing, absent shared visibility, no inter-laboratory coordination policy, and no standardized data structures; this regime structurally reproduces duplicate procurement, depressed asset utilization, and expired-chemical accumulation, and it forecloses the operational, environmental, and continuity performance required by the institution’s Vision 2030 commitments and ISO-aligned excellence ambitions (Perform band). The institution lacks an integrated organizational framework—specifying governance structures, roles, policies, and a phased transition pathway—through which this maturity gap can be diagnosed, assessed for feasibility and risk, and closed.</w:t>
      </w:r>
    </w:p>
    <w:p w14:paraId="2AC183A9" w14:textId="144C2939" w:rsidR="00DD1558" w:rsidRPr="00DD1558" w:rsidRDefault="00DD1558" w:rsidP="00861F15">
      <w:pPr>
        <w:pStyle w:val="Heading3"/>
        <w:bidi w:val="0"/>
        <w:jc w:val="left"/>
      </w:pPr>
      <w:bookmarkStart w:id="20" w:name="_Toc237539704"/>
      <w:r w:rsidRPr="00DD1558">
        <w:t>1.</w:t>
      </w:r>
      <w:r w:rsidR="00861F15">
        <w:t>1.</w:t>
      </w:r>
      <w:r w:rsidRPr="00DD1558">
        <w:t>3</w:t>
      </w:r>
      <w:r w:rsidRPr="00DD1558">
        <w:rPr>
          <w:rFonts w:cs="Arial"/>
          <w:rtl/>
        </w:rPr>
        <w:t xml:space="preserve"> </w:t>
      </w:r>
      <w:r w:rsidRPr="00DD1558">
        <w:t>Significance of the Study</w:t>
      </w:r>
      <w:bookmarkEnd w:id="20"/>
    </w:p>
    <w:p w14:paraId="5CE4BB2A" w14:textId="51CF07DD" w:rsidR="00DD1558" w:rsidRPr="00DD1558" w:rsidRDefault="00DD1558" w:rsidP="00861F15">
      <w:pPr>
        <w:pStyle w:val="Heading4"/>
        <w:bidi w:val="0"/>
        <w:jc w:val="left"/>
      </w:pPr>
      <w:r w:rsidRPr="00DD1558">
        <w:t>1.</w:t>
      </w:r>
      <w:r w:rsidR="00861F15">
        <w:t>1.</w:t>
      </w:r>
      <w:r w:rsidRPr="00DD1558">
        <w:t>3.1</w:t>
      </w:r>
      <w:r w:rsidRPr="00DD1558">
        <w:rPr>
          <w:rFonts w:cs="Arial"/>
          <w:rtl/>
        </w:rPr>
        <w:t xml:space="preserve"> </w:t>
      </w:r>
      <w:r w:rsidRPr="00DD1558">
        <w:t xml:space="preserve">Practical </w:t>
      </w:r>
      <w:r w:rsidRPr="00861F15">
        <w:t>and</w:t>
      </w:r>
      <w:r w:rsidRPr="00DD1558">
        <w:t xml:space="preserve"> Institutional Significance</w:t>
      </w:r>
    </w:p>
    <w:p w14:paraId="4DED331E"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The practical significance of this study lies in the alignment it establishes between a concrete operational reform — participatory inventory management in educational laboratories — and the international standards and national strategies to which the institution is already committed</w:t>
      </w:r>
      <w:r w:rsidRPr="00DD1558">
        <w:rPr>
          <w:rFonts w:ascii="Simplified Arabic" w:hAnsi="Simplified Arabic" w:cs="Arial"/>
          <w:sz w:val="28"/>
          <w:rtl/>
        </w:rPr>
        <w:t>.</w:t>
      </w:r>
    </w:p>
    <w:p w14:paraId="1FCEDF37"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lastRenderedPageBreak/>
        <w:t xml:space="preserve">Alignment with international sustainability standards. The framework developed in this thesis is designed to elevate educational laboratory operations toward two management-system standards.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{"citationID":"owxexRBI","properties":{"unsorted":false,"formattedCitation":"(14001 ISO/IEC, 2015, p. 2015)","plainCitation":"(14001 ISO/IEC, 2015, p.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locator":"2015","label":"page"}],"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 p. 2015)</w:t>
      </w:r>
      <w:r w:rsidRPr="00DD1558">
        <w:rPr>
          <w:rFonts w:ascii="Simplified Arabic" w:hAnsi="Simplified Arabic"/>
          <w:sz w:val="28"/>
        </w:rPr>
        <w:fldChar w:fldCharType="end"/>
      </w:r>
      <w:r w:rsidRPr="00DD1558">
        <w:rPr>
          <w:rFonts w:ascii="Simplified Arabic" w:hAnsi="Simplified Arabic"/>
          <w:sz w:val="28"/>
        </w:rPr>
        <w:t xml:space="preserve"> requires organizations to determine their environmental aspects and associated impacts from a life-cycle perspective, to address compliance obligations, and to maintain emergency preparedness and response for environmental incidents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{"citationID":"ceFobpbF","properties":{"unsorted":false,"formattedCitation":"(14001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w:t>
      </w:r>
      <w:r w:rsidRPr="00DD1558">
        <w:rPr>
          <w:rFonts w:ascii="Simplified Arabic" w:hAnsi="Simplified Arabic"/>
          <w:sz w:val="28"/>
        </w:rPr>
        <w:fldChar w:fldCharType="end"/>
      </w:r>
      <w:r w:rsidRPr="00DD1558">
        <w:rPr>
          <w:rFonts w:ascii="Simplified Arabic" w:hAnsi="Simplified Arabic"/>
          <w:sz w:val="28"/>
        </w:rPr>
        <w:t>, clauses 6.1.2, 6.1.3, 8.2). Chemical overstocking, unnoticed expiry, and unmanaged disposal are paradigmatic environmental aspects of laboratory operation, and a participatory inventory regime with FEFO-based rotation and governed redistribution speaks directly to the operational planning and control requirements of the standard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{"citationID":"cc4C3unC","properties":{"unsorted":false,"formattedCitation":"(14001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w:t>
      </w:r>
      <w:r w:rsidRPr="00DD1558">
        <w:rPr>
          <w:rFonts w:ascii="Simplified Arabic" w:hAnsi="Simplified Arabic"/>
          <w:sz w:val="28"/>
        </w:rPr>
        <w:fldChar w:fldCharType="end"/>
      </w:r>
      <w:r w:rsidRPr="00DD1558">
        <w:rPr>
          <w:rFonts w:ascii="Simplified Arabic" w:hAnsi="Simplified Arabic"/>
          <w:sz w:val="28"/>
        </w:rPr>
        <w:t>, clause 8.1;</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{"citationID":"KM9LlVlC","properties":{"unsorted":false,"formattedCitation":"(Freese et al., 2024; Gutierrez et al., 2020)","plainCitation":"(Freese et al., 2024; Gutierrez et al., 2020)","dontUpdate":true,"noteIndex":0},"citationItems":[{"id":439,"uris":["http://zotero.org/users/19711126/items/R6RIIVN3"],"itemData":{"id":439,"type":"article-journal","abstract":"Scientists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Freese et al., 2024; Gutierrez et al., 2020)</w:t>
      </w:r>
      <w:r w:rsidRPr="00DD1558">
        <w:rPr>
          <w:rFonts w:ascii="Simplified Arabic" w:hAnsi="Simplified Arabic"/>
          <w:sz w:val="28"/>
        </w:rPr>
        <w:fldChar w:fldCharType="end"/>
      </w:r>
      <w:r w:rsidRPr="00DD1558">
        <w:rPr>
          <w:rFonts w:ascii="Simplified Arabic" w:hAnsi="Simplified Arabic"/>
          <w:sz w:val="28"/>
        </w:rPr>
        <w:t>. ISO 22301:2019, in turn, frames business continuity as the protection of prioritized activities against disruption, through business impact analysis, continuity strategies, and continuity solutions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{"citationID":"Ey3Pja0B","properties":{"unsorted":false,"formattedCitation":"(22301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(22301 ISO/IEC, 2019)</w:t>
      </w:r>
      <w:r w:rsidRPr="00DD1558">
        <w:rPr>
          <w:rFonts w:ascii="Simplified Arabic" w:hAnsi="Simplified Arabic"/>
          <w:sz w:val="28"/>
        </w:rPr>
        <w:fldChar w:fldCharType="end"/>
      </w:r>
      <w:r w:rsidRPr="00DD1558">
        <w:rPr>
          <w:rFonts w:ascii="Simplified Arabic" w:hAnsi="Simplified Arabic"/>
          <w:sz w:val="28"/>
        </w:rPr>
        <w:t>, clauses 8.2.2, 8.3). Digitized inventory visibility and inter-laboratory loan workflows function, in this framing, as continuity solutions that protect teaching and research activities during supply-chain interruptions — a relevance the standard explicitly invites through its emphasis on prioritized activities and minimum acceptable capacity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{"citationID":"wh1TWvWn","properties":{"unsorted":false,"formattedCitation":"(22301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(22301 ISO/IEC, 2019)</w:t>
      </w:r>
      <w:r w:rsidRPr="00DD1558">
        <w:rPr>
          <w:rFonts w:ascii="Simplified Arabic" w:hAnsi="Simplified Arabic"/>
          <w:sz w:val="28"/>
        </w:rPr>
        <w:fldChar w:fldCharType="end"/>
      </w:r>
      <w:r w:rsidRPr="00DD1558">
        <w:rPr>
          <w:rFonts w:ascii="Simplified Arabic" w:hAnsi="Simplified Arabic"/>
          <w:sz w:val="28"/>
        </w:rPr>
        <w:t>, clause 8.2.2)</w:t>
      </w:r>
      <w:r w:rsidRPr="00DD1558">
        <w:rPr>
          <w:rFonts w:ascii="Simplified Arabic" w:hAnsi="Simplified Arabic" w:cs="Arial"/>
          <w:sz w:val="28"/>
          <w:rtl/>
        </w:rPr>
        <w:t>.</w:t>
      </w:r>
    </w:p>
    <w:p w14:paraId="5E56083C"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Institutional reputation protection. Through the lens of University Social Responsibility (USR) — the university-specific extension of corporate social responsibility — operational sustainability performance is inseparable from institutional reputation and stakeholder trust. Waste incidents, audit findings, or visible mismanagement of hazardous materials carry reputational consequences for a university that positions itself as a national leader in sustainability and women’s education. A governed, auditable inventory framework is therefore also a reputation-protection instrument, and one that reduces exposure to “USR-</w:t>
      </w:r>
      <w:r w:rsidRPr="00DD1558">
        <w:rPr>
          <w:rFonts w:ascii="Simplified Arabic" w:hAnsi="Simplified Arabic"/>
          <w:sz w:val="28"/>
        </w:rPr>
        <w:lastRenderedPageBreak/>
        <w:t xml:space="preserve">washing” critiques by grounding sustainability claims in verifiable operational arrangements rather than declarative policy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{"citationID":"iouLayBI","properties":{"unsorted":false,"formattedCitation":"(Ali et al., 2021)","plainCitation":"(Ali et al., 2021)","noteIndex":0},"citationItems":[{"id":399,"uris":["http://zotero.org/users/19711126/items/BYHJP3NR"],"itemData":{"id":399,"type":"article-journal","abstract":"The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(Ali et al., 2021)</w:t>
      </w:r>
      <w:r w:rsidRPr="00DD1558">
        <w:rPr>
          <w:rFonts w:ascii="Simplified Arabic" w:hAnsi="Simplified Arabic"/>
          <w:sz w:val="28"/>
        </w:rPr>
        <w:fldChar w:fldCharType="end"/>
      </w:r>
      <w:r w:rsidRPr="00DD1558">
        <w:rPr>
          <w:rFonts w:ascii="Simplified Arabic" w:hAnsi="Simplified Arabic" w:cs="Arial"/>
          <w:sz w:val="28"/>
          <w:rtl/>
        </w:rPr>
        <w:t>.</w:t>
      </w:r>
    </w:p>
    <w:p w14:paraId="2586DC09"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Business continuity of teaching and research. Educational laboratories operate on fixed semester cycles with high student throughput; a disruption in the availability of chemicals, consumables, or instruments translates directly into disrupted teaching and interrupted research. By treating inventory visibility and inter-lab sharing as continuity strategies, the framework contributes to the resilience of the University’s core academic mission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{"citationID":"85p3B5M6","properties":{"unsorted":false,"formattedCitation":"(Ayyildiz et al., 2025; 22301 ISO/IEC, 2019)","plainCitation":"(Ayyildiz et al., 2025; 22301 ISO/IEC, 2019)","noteIndex":0},"citationItems":[{"id":408,"uris":["http://zotero.org/users/19711126/items/QL8LLSEQ"],"itemData":{"id":408,"type":"article-journal","abstract":"Identifying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(Ayyildiz et al., 2025; 22301 ISO/IEC, 2019)</w:t>
      </w:r>
      <w:r w:rsidRPr="00DD1558">
        <w:rPr>
          <w:rFonts w:ascii="Simplified Arabic" w:hAnsi="Simplified Arabic"/>
          <w:sz w:val="28"/>
        </w:rPr>
        <w:fldChar w:fldCharType="end"/>
      </w:r>
      <w:r w:rsidRPr="00DD1558">
        <w:rPr>
          <w:rFonts w:ascii="Simplified Arabic" w:hAnsi="Simplified Arabic" w:cs="Arial"/>
          <w:sz w:val="28"/>
          <w:rtl/>
        </w:rPr>
        <w:t>.</w:t>
      </w:r>
    </w:p>
    <w:p w14:paraId="41B410DF"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Contribution to Vision 2030. The framework’s emphasis on fiscal efficiency (eliminating duplicate procurement by default), environmental sustainability (preventing expired-chemical accumulation and enabling life-cycle-aware purchasing), and digital transformation readiness (standardized processes and data structures as a precondition for technology adoption) maps directly onto the three Vision 2030 expectation domains identified for Saudi public institutions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{"citationID":"6qXmQrSU","properties":{"unsorted":false,"formattedCitation":"(Alamoudi et al., 2023; Alshammari, 2025; Hassanain et al., 2019)","plainCitation":"(Alamoudi et al., 2023; Alshammari, 2025; Hassanain et al., 2019)","noteIndex":0},"citationItems":[{"id":397,"uris":["http://zotero.org/users/19711126/items/NXW23TK2"],"itemData":{"id":397,"type":"article-journal","abstract":"Cities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(Alamoudi et al., 2023; Alshammari, 2025; Hassanain et al., 2019)</w:t>
      </w:r>
      <w:r w:rsidRPr="00DD1558">
        <w:rPr>
          <w:rFonts w:ascii="Simplified Arabic" w:hAnsi="Simplified Arabic"/>
          <w:sz w:val="28"/>
        </w:rPr>
        <w:fldChar w:fldCharType="end"/>
      </w:r>
      <w:r w:rsidRPr="00DD1558">
        <w:rPr>
          <w:rFonts w:ascii="Simplified Arabic" w:hAnsi="Simplified Arabic" w:cs="Arial"/>
          <w:sz w:val="28"/>
          <w:rtl/>
        </w:rPr>
        <w:t>.</w:t>
      </w:r>
    </w:p>
    <w:p w14:paraId="33F81F6B"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Decision-grade artifacts for administrators. Finally, the study delivers its practical contribution in the form of design artifacts rather than empirical products: a waste-baseline logic that specifies how decentralized waste would be characterized structurally; a feasibility matrix spanning organizational, financial, technical, and environmental dimensions; a risk register classifying transition risks; a governance charter specifying decision rights and accountability; and a phased implementation roadmap. These artifacts are designed to be decision-grade — sufficient for administrators to deliberate upon — without presupposing any field data collection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{"citationID":"BMR8Z8Mb","properties":{"unsorted":false,"formattedCitation":"(PMI,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(PMI, 2021)</w:t>
      </w:r>
      <w:r w:rsidRPr="00DD1558">
        <w:rPr>
          <w:rFonts w:ascii="Simplified Arabic" w:hAnsi="Simplified Arabic"/>
          <w:sz w:val="28"/>
        </w:rPr>
        <w:fldChar w:fldCharType="end"/>
      </w:r>
      <w:r w:rsidRPr="00DD1558">
        <w:rPr>
          <w:rFonts w:ascii="Simplified Arabic" w:hAnsi="Simplified Arabic" w:cs="Arial"/>
          <w:sz w:val="28"/>
          <w:rtl/>
        </w:rPr>
        <w:t>.</w:t>
      </w:r>
    </w:p>
    <w:p w14:paraId="50DA0EA2" w14:textId="28294A56" w:rsidR="00DD1558" w:rsidRPr="00DD1558" w:rsidRDefault="00DD1558" w:rsidP="00861F15">
      <w:pPr>
        <w:pStyle w:val="Heading4"/>
        <w:bidi w:val="0"/>
        <w:jc w:val="left"/>
      </w:pPr>
      <w:r w:rsidRPr="00DD1558">
        <w:lastRenderedPageBreak/>
        <w:t>1.</w:t>
      </w:r>
      <w:r w:rsidR="00861F15">
        <w:t>1.</w:t>
      </w:r>
      <w:r w:rsidRPr="00DD1558">
        <w:t>3.2</w:t>
      </w:r>
      <w:r w:rsidRPr="00DD1558">
        <w:rPr>
          <w:rFonts w:cs="Arial"/>
          <w:rtl/>
        </w:rPr>
        <w:t xml:space="preserve"> </w:t>
      </w:r>
      <w:r w:rsidRPr="00DD1558">
        <w:t>Theoretical Significance</w:t>
      </w:r>
    </w:p>
    <w:p w14:paraId="5870309F"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The theoretical contribution of this study rests on an integration that existing literature does not provide. Four relevant research streams have developed largely in isolation from one another. Circular economy scholarship in higher education has theorized resource loops, campus metabolism, and institutional microcosms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{"citationID":"puOS59RC","properties":{"unsorted":false,"formattedCitation":"(Kirchherr et al., 2017; Vergani, 2024)","plainCitation":"(Kirchherr et al., 2017; Vergani, 2024)","noteIndex":0},"citationItems":[{"id":470,"uris":["http://zotero.org/users/19711126/items/WIAJWCHL"],"itemData":{"id":470,"type":"article-journal","abstract":"The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(Kirchherr et al., 2017; Vergani, 2024)</w:t>
      </w:r>
      <w:r w:rsidRPr="00DD1558">
        <w:rPr>
          <w:rFonts w:ascii="Simplified Arabic" w:hAnsi="Simplified Arabic"/>
          <w:sz w:val="28"/>
        </w:rPr>
        <w:fldChar w:fldCharType="end"/>
      </w:r>
      <w:r w:rsidRPr="00DD1558">
        <w:rPr>
          <w:rFonts w:ascii="Simplified Arabic" w:hAnsi="Simplified Arabic"/>
          <w:sz w:val="28"/>
        </w:rPr>
        <w:t xml:space="preserve">. Green and sustainable laboratory scholarship has addressed chemical inventory reduction, waste prevention, and laboratory environmental practice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{"citationID":"VU0gVWUO","properties":{"unsorted":false,"formattedCitation":"(Durgan et al., 2023; Freese et al., 2024; Gutierrez et al., 2020)","plainCitation":"(Durgan et al., 2023; Freese et al., 2024; Gutierrez et al., 2020)","noteIndex":0},"citationItems":[{"id":432,"uris":["http://zotero.org/users/19711126/items/Q74PR9A9"],"itemData":{"id":432,"type":"article-journal","abstract":"Scientific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hAnsi="Times New Roman" w:cs="Times New Roman"/>
          <w:sz w:val="28"/>
        </w:rPr>
        <w:instrText> </w:instrText>
      </w:r>
      <w:r w:rsidRPr="00DD1558">
        <w:rPr>
          <w:rFonts w:ascii="Simplified Arabic" w:hAnsi="Simplified Arabic"/>
          <w:sz w:val="28"/>
        </w:rPr>
        <w:instrText xml:space="preserve">763 </w:instrText>
      </w:r>
      <w:r w:rsidRPr="00DD1558">
        <w:rPr>
          <w:rFonts w:ascii="Simplified Arabic" w:hAnsi="Simplified Arabic" w:cs="Simplified Arabic"/>
          <w:sz w:val="28"/>
        </w:rPr>
        <w:instrText>€</w:instrText>
      </w:r>
      <w:r w:rsidRPr="00DD1558">
        <w:rPr>
          <w:rFonts w:ascii="Simplified Arabic" w:hAnsi="Simplified Arabic"/>
          <w:sz w:val="28"/>
        </w:rPr>
        <w:instrText xml:space="preserve">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(Durgan et al., 2023; Freese et al., 2024; Gutierrez et al., 2020)</w:t>
      </w:r>
      <w:r w:rsidRPr="00DD1558">
        <w:rPr>
          <w:rFonts w:ascii="Simplified Arabic" w:hAnsi="Simplified Arabic"/>
          <w:sz w:val="28"/>
        </w:rPr>
        <w:fldChar w:fldCharType="end"/>
      </w:r>
      <w:r w:rsidRPr="00DD1558">
        <w:rPr>
          <w:rFonts w:ascii="Simplified Arabic" w:hAnsi="Simplified Arabic"/>
          <w:sz w:val="28"/>
        </w:rPr>
        <w:t xml:space="preserve">. Equipment-sharing and core-facility scholarship has examined pooling governance, asset utilization, and sharing economics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{"citationID":"6HGdM0OP","properties":{"unsorted":false,"formattedCitation":"(Strom et al., 2020; Tu &amp; Greever-Wilson, 2025; X. Wang &amp; Qu, 2025; Zhu &amp; Liu, 2021)","plainCitation":"(Strom et al., 2020; Tu &amp; Greever-Wilson, 2025; X. Wang &amp; Qu, 2025; Zhu &amp; Liu, 2021)","noteIndex":0},"citationItems":[{"id":508,"uris":["http://zotero.org/users/19711126/items/IFVMEKJ2"],"itemData":{"id":508,"type":"article-journal","container-title":"MRS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hAnsi="Cambria" w:cs="Cambria"/>
          <w:sz w:val="28"/>
        </w:rPr>
        <w:instrText>α</w:instrText>
      </w:r>
      <w:r w:rsidRPr="00DD1558">
        <w:rPr>
          <w:rFonts w:ascii="Simplified Arabic" w:hAnsi="Simplified Arabic"/>
          <w:sz w:val="28"/>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hAnsi="Times New Roman" w:cs="Times New Roman"/>
          <w:sz w:val="28"/>
        </w:rPr>
        <w:instrText> </w:instrText>
      </w:r>
      <w:r w:rsidRPr="00DD1558">
        <w:rPr>
          <w:rFonts w:ascii="Simplified Arabic" w:hAnsi="Simplified Arabic"/>
          <w:sz w:val="28"/>
        </w:rPr>
        <w:instrText>&gt;</w:instrText>
      </w:r>
      <w:r w:rsidRPr="00DD1558">
        <w:rPr>
          <w:rFonts w:ascii="Times New Roman" w:hAnsi="Times New Roman" w:cs="Times New Roman"/>
          <w:sz w:val="28"/>
        </w:rPr>
        <w:instrText> </w:instrText>
      </w:r>
      <w:r w:rsidRPr="00DD1558">
        <w:rPr>
          <w:rFonts w:ascii="Simplified Arabic" w:hAnsi="Simplified Arabic"/>
          <w:sz w:val="28"/>
        </w:rPr>
        <w:instrText xml:space="preserve">200% growth in total use-time, leading to a decline in average mutual information (AMI) and suboptimal </w:instrText>
      </w:r>
      <w:r w:rsidRPr="00DD1558">
        <w:rPr>
          <w:rFonts w:ascii="Cambria" w:hAnsi="Cambria" w:cs="Cambria"/>
          <w:sz w:val="28"/>
        </w:rPr>
        <w:instrText>α</w:instrText>
      </w:r>
      <w:r w:rsidRPr="00DD1558">
        <w:rPr>
          <w:rFonts w:ascii="Simplified Arabic" w:hAnsi="Simplified Arabic"/>
          <w:sz w:val="28"/>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hAnsi="Cambria" w:cs="Cambria"/>
          <w:sz w:val="28"/>
        </w:rPr>
        <w:instrText>α</w:instrText>
      </w:r>
      <w:r w:rsidRPr="00DD1558">
        <w:rPr>
          <w:rFonts w:ascii="Simplified Arabic" w:hAnsi="Simplified Arabic"/>
          <w:sz w:val="28"/>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(Strom et al., 2020; Tu &amp; Greever-Wilson, 2025; X. Wang &amp; Qu, 2025; Zhu &amp; Liu, 2021)</w:t>
      </w:r>
      <w:r w:rsidRPr="00DD1558">
        <w:rPr>
          <w:rFonts w:ascii="Simplified Arabic" w:hAnsi="Simplified Arabic"/>
          <w:sz w:val="28"/>
        </w:rPr>
        <w:fldChar w:fldCharType="end"/>
      </w:r>
      <w:r w:rsidRPr="00DD1558">
        <w:rPr>
          <w:rFonts w:ascii="Simplified Arabic" w:hAnsi="Simplified Arabic"/>
          <w:sz w:val="28"/>
        </w:rPr>
        <w:t xml:space="preserve">. Digital readiness and transformation scholarship has established the organizational preconditions under which digital platforms succeed or fail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{"citationID":"7AB8l8b4","properties":{"unsorted":false,"formattedCitation":"(Bellantuono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(Bellantuono et al., 2021; Rodríguez-Abitia &amp; Bribiesca-Correa, 2021)</w:t>
      </w:r>
      <w:r w:rsidRPr="00DD1558">
        <w:rPr>
          <w:rFonts w:ascii="Simplified Arabic" w:hAnsi="Simplified Arabic"/>
          <w:sz w:val="28"/>
        </w:rPr>
        <w:fldChar w:fldCharType="end"/>
      </w:r>
      <w:r w:rsidRPr="00DD1558">
        <w:rPr>
          <w:rFonts w:ascii="Simplified Arabic" w:hAnsi="Simplified Arabic"/>
          <w:sz w:val="28"/>
        </w:rPr>
        <w:t xml:space="preserve">. These literatures rarely meet within a single analytical framework; they almost never converge on educational — as distinct from research — laboratories, where semester-locked teaching demand and student-cohort scale impose distinct structural constraints; and they are virtually absent from the Saudi and Gulf institutional context, where Vision 2030 creates a distinctive strategic environment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{"citationID":"MrWWu9au","properties":{"unsorted":false,"formattedCitation":"(Alamoudi et al., 2023; Alshammari, 2025; Mohsen, 2025)","plainCitation":"(Alamoudi et al., 2023; Alshammari, 2025; Mohsen, 2025)","noteIndex":0},"citationItems":[{"id":397,"uris":["http://zotero.org/users/19711126/items/NXW23TK2"],"itemData":{"id":397,"type":"article-journal","abstract":"Cities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universities","volume":"12","author":[{"family":"Alshammari","given":"Adel"}],"issued":{"date-parts":[["2025",8,26]]}}},{"id":393,"uris":["http://zotero.org/users/19711126/items/MIBC5ERC"],"itemData":{"id":393,"type":"article-journal","abstract":"Background: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 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Sciences","DOI":"10.18231/j.jeths.2023.010","ISSN":"2454-4396","issue":"2","language":"en","page":"42-46","publisher":"IP Innovative Publication Pvt. Ltd.","source":"jeths.org","title":"Laboratory safety and security concepts for clinical laboratory students and universities staff in Saudi Arabia","volume":"10","author":[{"family":"Mohsen","given":"Zahra Al"}],"issued":{"date-parts":[["2025",7,22]]}}}],"schema":"https://github.com/citation-style-language/schema/raw/master/csl-citation.json"}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(Alamoudi et al., 2023; Alshammari, 2025; Mohsen, 2025)</w:t>
      </w:r>
      <w:r w:rsidRPr="00DD1558">
        <w:rPr>
          <w:rFonts w:ascii="Simplified Arabic" w:hAnsi="Simplified Arabic"/>
          <w:sz w:val="28"/>
        </w:rPr>
        <w:fldChar w:fldCharType="end"/>
      </w:r>
      <w:r w:rsidRPr="00DD1558">
        <w:rPr>
          <w:rFonts w:ascii="Simplified Arabic" w:hAnsi="Simplified Arabic" w:cs="Arial"/>
          <w:sz w:val="28"/>
          <w:rtl/>
        </w:rPr>
        <w:t>.</w:t>
      </w:r>
    </w:p>
    <w:p w14:paraId="63062072"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This study addresses that gap by integrating five analytical lenses — risk maturity modeling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{"citationID":"9aXRCTgB","properties":{"unsorted":false,"formattedCitation":"(Hillson,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(Hillson, D. A., 1997; Paulk et al., 1993)</w:t>
      </w:r>
      <w:r w:rsidRPr="00DD1558">
        <w:rPr>
          <w:rFonts w:ascii="Simplified Arabic" w:hAnsi="Simplified Arabic"/>
          <w:sz w:val="28"/>
        </w:rPr>
        <w:fldChar w:fldCharType="end"/>
      </w:r>
      <w:r w:rsidRPr="00DD1558">
        <w:rPr>
          <w:rFonts w:ascii="Simplified Arabic" w:hAnsi="Simplified Arabic"/>
          <w:sz w:val="28"/>
        </w:rPr>
        <w:t xml:space="preserve">, Bow-Tie risk analysis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{"citationID":"HwG7iJoQ","properties":{"unsorted":false,"formattedCitation":"(33020 ISO/IEC, 2019)","plainCitation":"(33020 ISO/IEC, 2019)","noteIndex":0},"citationItems":[{"id":468,"uris":["http://zotero.org/users/19711126/items/M5DQ7CRZ"],"itemData":{"id":468,"type":"standard","title":"ISO 33020:2019(en), Information technology — Process assessment — Process measurement framework for assessment of process capability","URL":"https://www.iso.org/obp/ui/es/#iso:std:iso-iec:33020:ed-2:v1:en","author":[{"family":"ISO/IEC","given":"33020"}],"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(33020 ISO/IEC, 2019)</w:t>
      </w:r>
      <w:r w:rsidRPr="00DD1558">
        <w:rPr>
          <w:rFonts w:ascii="Simplified Arabic" w:hAnsi="Simplified Arabic"/>
          <w:sz w:val="28"/>
        </w:rPr>
        <w:fldChar w:fldCharType="end"/>
      </w:r>
      <w:r w:rsidRPr="00DD1558">
        <w:rPr>
          <w:rFonts w:ascii="Simplified Arabic" w:hAnsi="Simplified Arabic"/>
          <w:sz w:val="28"/>
        </w:rPr>
        <w:t xml:space="preserve">, business continuity management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{"citationID":"yKrZmKLx","properties":{"unsorted":false,"formattedCitation":"(22301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(22301 ISO/IEC, 2019)</w:t>
      </w:r>
      <w:r w:rsidRPr="00DD1558">
        <w:rPr>
          <w:rFonts w:ascii="Simplified Arabic" w:hAnsi="Simplified Arabic"/>
          <w:sz w:val="28"/>
        </w:rPr>
        <w:fldChar w:fldCharType="end"/>
      </w:r>
      <w:r w:rsidRPr="00DD1558">
        <w:rPr>
          <w:rFonts w:ascii="Simplified Arabic" w:hAnsi="Simplified Arabic"/>
          <w:sz w:val="28"/>
        </w:rPr>
        <w:t xml:space="preserve">, environmental management and USR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{"citationID":"lesN8wN4","properties":{"unsorted":false,"formattedCitation":"(Ali et al., 2021; 14001 ISO/IEC, 2015)","plainCitation":"(Ali et al., 2021; 14001 ISO/IEC,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(Ali et al., 2021; 14001 ISO/IEC, 2015)</w:t>
      </w:r>
      <w:r w:rsidRPr="00DD1558">
        <w:rPr>
          <w:rFonts w:ascii="Simplified Arabic" w:hAnsi="Simplified Arabic"/>
          <w:sz w:val="28"/>
        </w:rPr>
        <w:fldChar w:fldCharType="end"/>
      </w:r>
      <w:r w:rsidRPr="00DD1558">
        <w:rPr>
          <w:rFonts w:ascii="Simplified Arabic" w:hAnsi="Simplified Arabic"/>
          <w:sz w:val="28"/>
        </w:rPr>
        <w:t xml:space="preserve">, and the FIRM risk classification taxonomy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{"citationID":"lve3IGKN","properties":{"unsorted":false,"formattedCitation":"(Hopkin,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(Hopkin, 2018)</w:t>
      </w:r>
      <w:r w:rsidRPr="00DD1558">
        <w:rPr>
          <w:rFonts w:ascii="Simplified Arabic" w:hAnsi="Simplified Arabic"/>
          <w:sz w:val="28"/>
        </w:rPr>
        <w:fldChar w:fldCharType="end"/>
      </w:r>
      <w:r w:rsidRPr="00DD1558">
        <w:rPr>
          <w:rFonts w:ascii="Simplified Arabic" w:hAnsi="Simplified Arabic"/>
          <w:sz w:val="28"/>
        </w:rPr>
        <w:t xml:space="preserve"> — into a single feasibility-and-risk assessment framework for academic laboratory inventory governance. Laboratory risk scholarship has begun to apply structured </w:t>
      </w:r>
      <w:r w:rsidRPr="00DD1558">
        <w:rPr>
          <w:rFonts w:ascii="Simplified Arabic" w:hAnsi="Simplified Arabic"/>
          <w:sz w:val="28"/>
        </w:rPr>
        <w:lastRenderedPageBreak/>
        <w:t xml:space="preserve">risk analysis to laboratory environments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{"citationID":"KtRG2w3A","properties":{"unsorted":false,"formattedCitation":"(Ayyildiz et al., 2025)","plainCitation":"(Ayyildiz et al., 2025)","noteIndex":0},"citationItems":[{"id":408,"uris":["http://zotero.org/users/19711126/items/QL8LLSEQ"],"itemData":{"id":408,"type":"article-journal","abstract":"Identifying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(Ayyildiz et al., 2025)</w:t>
      </w:r>
      <w:r w:rsidRPr="00DD1558">
        <w:rPr>
          <w:rFonts w:ascii="Simplified Arabic" w:hAnsi="Simplified Arabic"/>
          <w:sz w:val="28"/>
        </w:rPr>
        <w:fldChar w:fldCharType="end"/>
      </w:r>
      <w:r w:rsidRPr="00DD1558">
        <w:rPr>
          <w:rFonts w:ascii="Simplified Arabic" w:hAnsi="Simplified Arabic"/>
          <w:sz w:val="28"/>
        </w:rPr>
        <w:t>, but has not yet connected such analysis to maturity-based organizational reform of inventory governance</w:t>
      </w:r>
      <w:r w:rsidRPr="00DD1558">
        <w:rPr>
          <w:rFonts w:ascii="Simplified Arabic" w:hAnsi="Simplified Arabic" w:cs="Arial"/>
          <w:sz w:val="28"/>
          <w:rtl/>
        </w:rPr>
        <w:t>.</w:t>
      </w:r>
    </w:p>
    <w:p w14:paraId="7D17A9B3"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A further contribution is methodological. The study applies the discipline of project management — feasibility assessment and risk assessment as structured evaluative practices — to a problem of internal university operational reform. Treating institutional reform as a project amenable to feasibility-and-risk discipline, rather than as a purely administrative exercise, offers a transferable methodological template for comparable operational transformations in higher education settings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{"citationID":"oNZNhVoU","properties":{"unsorted":false,"formattedCitation":"(PMI,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(PMI, 2021)</w:t>
      </w:r>
      <w:r w:rsidRPr="00DD1558">
        <w:rPr>
          <w:rFonts w:ascii="Simplified Arabic" w:hAnsi="Simplified Arabic"/>
          <w:sz w:val="28"/>
        </w:rPr>
        <w:fldChar w:fldCharType="end"/>
      </w:r>
      <w:r w:rsidRPr="00DD1558">
        <w:rPr>
          <w:rFonts w:ascii="Simplified Arabic" w:hAnsi="Simplified Arabic" w:cs="Arial"/>
          <w:sz w:val="28"/>
          <w:rtl/>
        </w:rPr>
        <w:t>.</w:t>
      </w:r>
    </w:p>
    <w:p w14:paraId="0FD634A3" w14:textId="1254209A" w:rsidR="00DD1558" w:rsidRPr="00DD1558" w:rsidRDefault="00DD1558" w:rsidP="00861F15">
      <w:pPr>
        <w:pStyle w:val="Heading3"/>
        <w:bidi w:val="0"/>
        <w:jc w:val="left"/>
      </w:pPr>
      <w:bookmarkStart w:id="21" w:name="section14"/>
      <w:bookmarkStart w:id="22" w:name="_Toc237539705"/>
      <w:bookmarkEnd w:id="21"/>
      <w:r w:rsidRPr="00DD1558">
        <w:t>1.</w:t>
      </w:r>
      <w:r w:rsidR="00861F15">
        <w:t>1.</w:t>
      </w:r>
      <w:r w:rsidRPr="00DD1558">
        <w:t>4</w:t>
      </w:r>
      <w:r w:rsidRPr="00DD1558">
        <w:rPr>
          <w:rFonts w:cs="Arial"/>
          <w:rtl/>
        </w:rPr>
        <w:t xml:space="preserve"> </w:t>
      </w:r>
      <w:r w:rsidRPr="00DD1558">
        <w:t>Research Objectives</w:t>
      </w:r>
      <w:bookmarkEnd w:id="22"/>
    </w:p>
    <w:p w14:paraId="27AE0764"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This study pursues four structured objectives. Each is stated so that its attainment is verifiable through the qualitative deliverables of the thesis, and none depends on empirical field data</w:t>
      </w:r>
      <w:r w:rsidRPr="00DD1558">
        <w:rPr>
          <w:rFonts w:ascii="Simplified Arabic" w:hAnsi="Simplified Arabic" w:cs="Arial"/>
          <w:sz w:val="28"/>
          <w:rtl/>
        </w:rPr>
        <w:t>.</w:t>
      </w:r>
    </w:p>
    <w:p w14:paraId="5A5E4751" w14:textId="201A1DB9" w:rsidR="00DD1558" w:rsidRPr="00DD1558" w:rsidRDefault="00DD1558" w:rsidP="00DD1558">
      <w:pPr>
        <w:numPr>
          <w:ilvl w:val="0"/>
          <w:numId w:val="2"/>
        </w:numPr>
        <w:bidi w:val="0"/>
        <w:contextualSpacing/>
        <w:jc w:val="both"/>
        <w:rPr>
          <w:rFonts w:ascii="Simplified Arabic" w:hAnsi="Simplified Arabic"/>
          <w:sz w:val="28"/>
        </w:rPr>
      </w:pPr>
      <w:r w:rsidRPr="00DD1558">
        <w:rPr>
          <w:rFonts w:ascii="Simplified Arabic" w:hAnsi="Simplified Arabic"/>
          <w:sz w:val="28"/>
        </w:rPr>
        <w:t xml:space="preserve">Current-state assessment. </w:t>
      </w:r>
      <w:r w:rsidR="000B6195" w:rsidRPr="000B6195">
        <w:rPr>
          <w:rFonts w:ascii="Simplified Arabic" w:hAnsi="Simplified Arabic"/>
          <w:sz w:val="28"/>
        </w:rPr>
        <w:t>To diagnose, qualitatively and structurally, the decentralized inventory management practices prevailing in a large public science faculty within a Saudi higher education institution—with a life sciences department as the embedded unit of analysis—and to characterize their structural risk consequences (duplicate purchasing, depressed asset utilization, expired-chemical accumulation, and absent digitalization baseline) as outcomes of organizational design rather than individual failure.</w:t>
      </w:r>
      <w:r w:rsidRPr="00DD1558">
        <w:rPr>
          <w:rFonts w:ascii="Simplified Arabic" w:hAnsi="Simplified Arabic"/>
          <w:sz w:val="28"/>
        </w:rPr>
        <w:t xml:space="preserve"> Attainment is verified by the production of a coherent current-state structural account in Chapter 1 and its formalization through the maturity-gap diagnosis in </w:t>
      </w:r>
      <w:hyperlink w:anchor="_2.9.3_Bow-Tie_Risk" w:history="1">
        <w:r w:rsidRPr="00DD1558">
          <w:rPr>
            <w:rFonts w:ascii="Simplified Arabic" w:hAnsi="Simplified Arabic"/>
            <w:color w:val="467886" w:themeColor="hyperlink"/>
            <w:sz w:val="28"/>
            <w:u w:val="single"/>
          </w:rPr>
          <w:t>Subsection 2.9.3</w:t>
        </w:r>
        <w:r w:rsidRPr="00DD1558">
          <w:rPr>
            <w:rFonts w:ascii="Simplified Arabic" w:hAnsi="Simplified Arabic" w:cs="Arial"/>
            <w:color w:val="467886" w:themeColor="hyperlink"/>
            <w:sz w:val="28"/>
            <w:u w:val="single"/>
            <w:rtl/>
          </w:rPr>
          <w:t>.</w:t>
        </w:r>
      </w:hyperlink>
    </w:p>
    <w:p w14:paraId="6DE2CCE8" w14:textId="67D15FFB" w:rsidR="00DD1558" w:rsidRPr="00DD1558" w:rsidRDefault="00DD1558" w:rsidP="00DD1558">
      <w:pPr>
        <w:numPr>
          <w:ilvl w:val="0"/>
          <w:numId w:val="2"/>
        </w:numPr>
        <w:bidi w:val="0"/>
        <w:contextualSpacing/>
        <w:jc w:val="both"/>
        <w:rPr>
          <w:rFonts w:ascii="Simplified Arabic" w:hAnsi="Simplified Arabic"/>
          <w:sz w:val="28"/>
        </w:rPr>
      </w:pPr>
      <w:r w:rsidRPr="00DD1558">
        <w:rPr>
          <w:rFonts w:ascii="Simplified Arabic" w:hAnsi="Simplified Arabic"/>
          <w:sz w:val="28"/>
        </w:rPr>
        <w:t xml:space="preserve">Feasibility and risk assessment. To assess the feasibility of a participatory inventory management framework across organizational, financial, technical, and environmental dimensions, and to classify and prioritize the transition risks that its </w:t>
      </w:r>
      <w:r w:rsidRPr="00DD1558">
        <w:rPr>
          <w:rFonts w:ascii="Simplified Arabic" w:hAnsi="Simplified Arabic"/>
          <w:sz w:val="28"/>
        </w:rPr>
        <w:lastRenderedPageBreak/>
        <w:t xml:space="preserve">adoption would entail, using Bow-Tie analysis and FIRM classification as the structuring instruments. Attainment is verified by the production of a feasibility matrix and a classified risk register in Chapter 4 (Sections </w:t>
      </w:r>
      <w:hyperlink w:anchor="section42" w:history="1">
        <w:r w:rsidRPr="00D16051">
          <w:rPr>
            <w:rStyle w:val="Hyperlink"/>
            <w:rFonts w:ascii="Simplified Arabic" w:hAnsi="Simplified Arabic"/>
            <w:sz w:val="28"/>
          </w:rPr>
          <w:t>4.2</w:t>
        </w:r>
      </w:hyperlink>
      <w:r w:rsidRPr="00DD1558">
        <w:rPr>
          <w:rFonts w:ascii="Simplified Arabic" w:hAnsi="Simplified Arabic"/>
          <w:sz w:val="28"/>
        </w:rPr>
        <w:t xml:space="preserve"> and </w:t>
      </w:r>
      <w:hyperlink w:anchor="section43" w:history="1">
        <w:r w:rsidRPr="00D16051">
          <w:rPr>
            <w:rStyle w:val="Hyperlink"/>
            <w:rFonts w:ascii="Simplified Arabic" w:hAnsi="Simplified Arabic"/>
            <w:sz w:val="28"/>
          </w:rPr>
          <w:t>4.3</w:t>
        </w:r>
      </w:hyperlink>
      <w:r w:rsidRPr="00DD1558">
        <w:rPr>
          <w:rFonts w:ascii="Simplified Arabic" w:hAnsi="Simplified Arabic"/>
          <w:sz w:val="28"/>
        </w:rPr>
        <w:t>)</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{"citationID":"I8pyUPga","properties":{"unsorted":false,"formattedCitation":"(Hopkin, 2018; 33020 ISO/IEC, 2019; PMI, 2021)","plainCitation":"(Hopkin, 2018; 33020 ISO/IEC, 2019; PMI, 2021)","noteIndex":0},"citationItems":[{"id":452,"uris":["http://zotero.org/users/19711126/items/B5VQ2QLG"],"itemData":{"id":452,"type":"book","abstract":"This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Management","URL":"https://books.google.com.sa/books?id=bzFiDwAAQBAJ","author":[{"family":"Hopkin","given":"Paul"}],"issued":{"date-parts":[["2018",7,3]]}}},{"id":468,"uris":["http://zotero.org/users/19711126/items/M5DQ7CRZ"],"itemData":{"id":468,"type":"standard","title":"ISO 33020:2019(en), Information technology — Process assessment — Process measurement framework for assessment of process capability","URL":"https://www.iso.org/obp/ui/es/#iso:std:iso-iec:33020:ed-2:v1:en","author":[{"family":"ISO/IEC","given":"33020"}],"accessed":{"date-parts":[["2026",8,6]]},"issued":{"date-parts":[["2019"]]}}},{"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(Hopkin, 2018; 33020 ISO/IEC, 2019; PMI, 2021)</w:t>
      </w:r>
      <w:r w:rsidRPr="00DD1558">
        <w:rPr>
          <w:rFonts w:ascii="Simplified Arabic" w:hAnsi="Simplified Arabic"/>
          <w:sz w:val="28"/>
        </w:rPr>
        <w:fldChar w:fldCharType="end"/>
      </w:r>
      <w:r w:rsidRPr="00DD1558">
        <w:rPr>
          <w:rFonts w:ascii="Simplified Arabic" w:hAnsi="Simplified Arabic" w:cs="Arial"/>
          <w:sz w:val="28"/>
          <w:rtl/>
        </w:rPr>
        <w:t>.</w:t>
      </w:r>
    </w:p>
    <w:p w14:paraId="30DBE25C" w14:textId="0E5AC2CC" w:rsidR="00DD1558" w:rsidRPr="00DD1558" w:rsidRDefault="00DD1558" w:rsidP="00DD1558">
      <w:pPr>
        <w:numPr>
          <w:ilvl w:val="0"/>
          <w:numId w:val="2"/>
        </w:numPr>
        <w:bidi w:val="0"/>
        <w:contextualSpacing/>
        <w:jc w:val="both"/>
        <w:rPr>
          <w:rFonts w:ascii="Simplified Arabic" w:hAnsi="Simplified Arabic"/>
          <w:sz w:val="28"/>
        </w:rPr>
      </w:pPr>
      <w:r w:rsidRPr="00DD1558">
        <w:rPr>
          <w:rFonts w:ascii="Simplified Arabic" w:hAnsi="Simplified Arabic"/>
          <w:sz w:val="28"/>
        </w:rPr>
        <w:t>Organizational framework development. To develop an organizational framework specifying governance structures, roles, policies, procedures, and performance indicators for participatory inventory management, including the explicit delimitation of technician roles at the operational-technical level and the alignment of role specifications with the leadership-and-roles clauses of ISO 14001:2015 and ISO 22301:2019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{"citationID":"IXxxenVC","properties":{"unsorted":false,"formattedCitation":"(14001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w:t>
      </w:r>
      <w:r w:rsidRPr="00DD1558">
        <w:rPr>
          <w:rFonts w:ascii="Simplified Arabic" w:hAnsi="Simplified Arabic"/>
          <w:sz w:val="28"/>
        </w:rPr>
        <w:fldChar w:fldCharType="end"/>
      </w:r>
      <w:r w:rsidRPr="00DD1558">
        <w:rPr>
          <w:rFonts w:ascii="Simplified Arabic" w:hAnsi="Simplified Arabic"/>
          <w:sz w:val="28"/>
        </w:rPr>
        <w:t>, clause 5.3;</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{"citationID":"aswCVZSb","properties":{"unsorted":false,"formattedCitation":"(22301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(22301 ISO/IEC, 2019)</w:t>
      </w:r>
      <w:r w:rsidRPr="00DD1558">
        <w:rPr>
          <w:rFonts w:ascii="Simplified Arabic" w:hAnsi="Simplified Arabic"/>
          <w:sz w:val="28"/>
        </w:rPr>
        <w:fldChar w:fldCharType="end"/>
      </w:r>
      <w:r w:rsidRPr="00DD1558">
        <w:rPr>
          <w:rFonts w:ascii="Simplified Arabic" w:hAnsi="Simplified Arabic"/>
          <w:sz w:val="28"/>
        </w:rPr>
        <w:t xml:space="preserve">, clause 5.3). Attainment is verified by the governance architecture specified in Chapter 4 (Section </w:t>
      </w:r>
      <w:hyperlink w:anchor="section41" w:history="1">
        <w:r w:rsidRPr="00D16051">
          <w:rPr>
            <w:rStyle w:val="Hyperlink"/>
            <w:rFonts w:ascii="Simplified Arabic" w:hAnsi="Simplified Arabic"/>
            <w:sz w:val="28"/>
          </w:rPr>
          <w:t>4.1</w:t>
        </w:r>
      </w:hyperlink>
      <w:r w:rsidRPr="00DD1558">
        <w:rPr>
          <w:rFonts w:ascii="Simplified Arabic" w:hAnsi="Simplified Arabic"/>
          <w:sz w:val="28"/>
        </w:rPr>
        <w:t>)</w:t>
      </w:r>
      <w:r w:rsidRPr="00DD1558">
        <w:rPr>
          <w:rFonts w:ascii="Simplified Arabic" w:hAnsi="Simplified Arabic" w:cs="Arial"/>
          <w:sz w:val="28"/>
          <w:rtl/>
        </w:rPr>
        <w:t>.</w:t>
      </w:r>
    </w:p>
    <w:p w14:paraId="7E87A37B" w14:textId="0DB85473" w:rsidR="00DD1558" w:rsidRPr="00DD1558" w:rsidRDefault="00DD1558" w:rsidP="00DD1558">
      <w:pPr>
        <w:numPr>
          <w:ilvl w:val="0"/>
          <w:numId w:val="2"/>
        </w:numPr>
        <w:bidi w:val="0"/>
        <w:contextualSpacing/>
        <w:jc w:val="both"/>
        <w:rPr>
          <w:rFonts w:ascii="Simplified Arabic" w:hAnsi="Simplified Arabic"/>
          <w:sz w:val="28"/>
        </w:rPr>
      </w:pPr>
      <w:r w:rsidRPr="00DD1558">
        <w:rPr>
          <w:rFonts w:ascii="Simplified Arabic" w:hAnsi="Simplified Arabic"/>
          <w:sz w:val="28"/>
        </w:rPr>
        <w:t xml:space="preserve">Implementation roadmap. To construct a phased implementation roadmap that sequences the transition from the current maturity band toward the Perform band and establishes the organizational readiness baseline — standardized processes, defined roles, and structured data — required for subsequent digitalization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{"citationID":"HflXvOOI","properties":{"unsorted":false,"formattedCitation":"(Bellantuono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(Bellantuono et al., 2021; Rodríguez-Abitia &amp; Bribiesca-Correa, 2021)</w:t>
      </w:r>
      <w:r w:rsidRPr="00DD1558">
        <w:rPr>
          <w:rFonts w:ascii="Simplified Arabic" w:hAnsi="Simplified Arabic"/>
          <w:sz w:val="28"/>
        </w:rPr>
        <w:fldChar w:fldCharType="end"/>
      </w:r>
      <w:r w:rsidRPr="00DD1558">
        <w:rPr>
          <w:rFonts w:ascii="Simplified Arabic" w:hAnsi="Simplified Arabic"/>
          <w:sz w:val="28"/>
        </w:rPr>
        <w:t xml:space="preserve">. Attainment is verified by the roadmap and readiness-baseline specification delivered in Chapter 4 (Section </w:t>
      </w:r>
      <w:hyperlink w:anchor="section41" w:history="1">
        <w:r w:rsidRPr="00D16051">
          <w:rPr>
            <w:rStyle w:val="Hyperlink"/>
            <w:rFonts w:ascii="Simplified Arabic" w:hAnsi="Simplified Arabic"/>
            <w:sz w:val="28"/>
          </w:rPr>
          <w:t>4.1</w:t>
        </w:r>
      </w:hyperlink>
      <w:r w:rsidRPr="00DD1558">
        <w:rPr>
          <w:rFonts w:ascii="Simplified Arabic" w:hAnsi="Simplified Arabic"/>
          <w:sz w:val="28"/>
        </w:rPr>
        <w:t>)</w:t>
      </w:r>
      <w:r w:rsidRPr="00DD1558">
        <w:rPr>
          <w:rFonts w:ascii="Simplified Arabic" w:hAnsi="Simplified Arabic" w:cs="Arial"/>
          <w:sz w:val="28"/>
          <w:rtl/>
        </w:rPr>
        <w:t>.</w:t>
      </w:r>
    </w:p>
    <w:p w14:paraId="3497B180" w14:textId="407C055F" w:rsidR="00DD1558" w:rsidRPr="00DD1558" w:rsidRDefault="00DD1558" w:rsidP="00861F15">
      <w:pPr>
        <w:pStyle w:val="Heading3"/>
        <w:bidi w:val="0"/>
        <w:jc w:val="left"/>
      </w:pPr>
      <w:bookmarkStart w:id="23" w:name="section15"/>
      <w:bookmarkStart w:id="24" w:name="_Toc237539706"/>
      <w:bookmarkEnd w:id="23"/>
      <w:r w:rsidRPr="00DD1558">
        <w:t>1.</w:t>
      </w:r>
      <w:r w:rsidR="00861F15">
        <w:t>1.</w:t>
      </w:r>
      <w:r w:rsidRPr="00DD1558">
        <w:t>5</w:t>
      </w:r>
      <w:r w:rsidRPr="00DD1558">
        <w:rPr>
          <w:rFonts w:cs="Arial"/>
          <w:rtl/>
        </w:rPr>
        <w:t xml:space="preserve"> </w:t>
      </w:r>
      <w:r w:rsidRPr="00DD1558">
        <w:t>Research Questions</w:t>
      </w:r>
      <w:bookmarkEnd w:id="24"/>
    </w:p>
    <w:p w14:paraId="3A81533E"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The study is guided by one main research question and four sub-questions, mapped one-to-one onto the objectives above. All questions are phrased as qualitative and design questions, not as empirical measurement questions</w:t>
      </w:r>
      <w:r w:rsidRPr="00DD1558">
        <w:rPr>
          <w:rFonts w:ascii="Simplified Arabic" w:hAnsi="Simplified Arabic" w:cs="Arial"/>
          <w:sz w:val="28"/>
          <w:rtl/>
        </w:rPr>
        <w:t>.</w:t>
      </w:r>
    </w:p>
    <w:p w14:paraId="0E633FE7" w14:textId="40ED335C" w:rsidR="00DD1558" w:rsidRPr="00DD1558" w:rsidRDefault="00144B9A" w:rsidP="00DD1558">
      <w:pPr>
        <w:bidi w:val="0"/>
        <w:jc w:val="both"/>
        <w:rPr>
          <w:rFonts w:ascii="Simplified Arabic" w:hAnsi="Simplified Arabic"/>
          <w:sz w:val="28"/>
        </w:rPr>
      </w:pPr>
      <w:r w:rsidRPr="00144B9A">
        <w:rPr>
          <w:rFonts w:ascii="Simplified Arabic" w:hAnsi="Simplified Arabic"/>
          <w:sz w:val="28"/>
        </w:rPr>
        <w:lastRenderedPageBreak/>
        <w:t>Main research question: How should an organizational framework for participatory inventory management in educational laboratories within a large public higher education institution in Saudi Arabia be designed, assessed for feasibility and risk, and sequenced for implementation, such that it closes the maturity gap between the prevailing decentralized regime and the institution’s ISO-aligned, Vision 2030 ambitions for operational and environmental sustainability?</w:t>
      </w:r>
    </w:p>
    <w:p w14:paraId="1097343F" w14:textId="77777777" w:rsidR="00DD1558" w:rsidRPr="00DD1558" w:rsidRDefault="00DD1558" w:rsidP="00DD1558">
      <w:pPr>
        <w:numPr>
          <w:ilvl w:val="0"/>
          <w:numId w:val="3"/>
        </w:numPr>
        <w:bidi w:val="0"/>
        <w:contextualSpacing/>
        <w:jc w:val="both"/>
        <w:rPr>
          <w:rFonts w:ascii="Simplified Arabic" w:hAnsi="Simplified Arabic"/>
          <w:sz w:val="28"/>
        </w:rPr>
      </w:pPr>
      <w:r w:rsidRPr="00DD1558">
        <w:rPr>
          <w:rFonts w:ascii="Simplified Arabic" w:hAnsi="Simplified Arabic"/>
          <w:sz w:val="28"/>
        </w:rPr>
        <w:t>RQ1 (mapped to Ob.1): How can the current decentralized inventory management practices in the College of Science — with the Biology Department as the embedded case — be characterized structurally, and what are their organizational risk consequences</w:t>
      </w:r>
      <w:r w:rsidRPr="00DD1558">
        <w:rPr>
          <w:rFonts w:ascii="Simplified Arabic" w:hAnsi="Simplified Arabic" w:cs="Arial"/>
          <w:sz w:val="28"/>
          <w:rtl/>
        </w:rPr>
        <w:t>?</w:t>
      </w:r>
    </w:p>
    <w:p w14:paraId="13BC18A0" w14:textId="77777777" w:rsidR="00DD1558" w:rsidRPr="00DD1558" w:rsidRDefault="00DD1558" w:rsidP="00DD1558">
      <w:pPr>
        <w:numPr>
          <w:ilvl w:val="0"/>
          <w:numId w:val="3"/>
        </w:numPr>
        <w:bidi w:val="0"/>
        <w:contextualSpacing/>
        <w:jc w:val="both"/>
        <w:rPr>
          <w:rFonts w:ascii="Simplified Arabic" w:hAnsi="Simplified Arabic"/>
          <w:sz w:val="28"/>
        </w:rPr>
      </w:pPr>
      <w:r w:rsidRPr="00DD1558">
        <w:rPr>
          <w:rFonts w:ascii="Simplified Arabic" w:hAnsi="Simplified Arabic"/>
          <w:sz w:val="28"/>
        </w:rPr>
        <w:t>RQ2 (mapped to Ob.2): How can the feasibility of a participatory inventory management framework be assessed across organizational, financial, technical, and environmental dimensions, and how should the risks of the transition be classified and prioritized</w:t>
      </w:r>
      <w:r w:rsidRPr="00DD1558">
        <w:rPr>
          <w:rFonts w:ascii="Simplified Arabic" w:hAnsi="Simplified Arabic" w:cs="Arial"/>
          <w:sz w:val="28"/>
          <w:rtl/>
        </w:rPr>
        <w:t>?</w:t>
      </w:r>
    </w:p>
    <w:p w14:paraId="32096D65" w14:textId="77777777" w:rsidR="00DD1558" w:rsidRPr="00DD1558" w:rsidRDefault="00DD1558" w:rsidP="00DD1558">
      <w:pPr>
        <w:numPr>
          <w:ilvl w:val="0"/>
          <w:numId w:val="3"/>
        </w:numPr>
        <w:bidi w:val="0"/>
        <w:contextualSpacing/>
        <w:jc w:val="both"/>
        <w:rPr>
          <w:rFonts w:ascii="Simplified Arabic" w:hAnsi="Simplified Arabic"/>
          <w:sz w:val="28"/>
        </w:rPr>
      </w:pPr>
      <w:r w:rsidRPr="00DD1558">
        <w:rPr>
          <w:rFonts w:ascii="Simplified Arabic" w:hAnsi="Simplified Arabic"/>
          <w:sz w:val="28"/>
        </w:rPr>
        <w:t>RQ3 (mapped to Ob.3): What governance structures, roles, policies, procedures, and performance indicators should the organizational framework specify to enable participatory inventory management while respecting strict operational boundaries for technical staff</w:t>
      </w:r>
      <w:r w:rsidRPr="00DD1558">
        <w:rPr>
          <w:rFonts w:ascii="Simplified Arabic" w:hAnsi="Simplified Arabic" w:cs="Arial"/>
          <w:sz w:val="28"/>
          <w:rtl/>
        </w:rPr>
        <w:t>?</w:t>
      </w:r>
    </w:p>
    <w:p w14:paraId="2EB6892B" w14:textId="77777777" w:rsidR="00DD1558" w:rsidRPr="00DD1558" w:rsidRDefault="00DD1558" w:rsidP="00DD1558">
      <w:pPr>
        <w:numPr>
          <w:ilvl w:val="0"/>
          <w:numId w:val="3"/>
        </w:numPr>
        <w:bidi w:val="0"/>
        <w:contextualSpacing/>
        <w:jc w:val="both"/>
        <w:rPr>
          <w:rFonts w:ascii="Simplified Arabic" w:hAnsi="Simplified Arabic"/>
          <w:sz w:val="28"/>
        </w:rPr>
      </w:pPr>
      <w:r w:rsidRPr="00DD1558">
        <w:rPr>
          <w:rFonts w:ascii="Simplified Arabic" w:hAnsi="Simplified Arabic"/>
          <w:sz w:val="28"/>
        </w:rPr>
        <w:t>RQ4 (mapped to Ob.4): How should a phased implementation roadmap be structured so as to advance institutional maturity from the Inform/Conform band toward the Perform band and establish the readiness baseline required for digitalization</w:t>
      </w:r>
      <w:r w:rsidRPr="00DD1558">
        <w:rPr>
          <w:rFonts w:ascii="Simplified Arabic" w:hAnsi="Simplified Arabic" w:cs="Arial"/>
          <w:sz w:val="28"/>
          <w:rtl/>
        </w:rPr>
        <w:t>?</w:t>
      </w:r>
    </w:p>
    <w:p w14:paraId="2BB9096B" w14:textId="018F7E0F" w:rsidR="00DD1558" w:rsidRPr="00DD1558" w:rsidRDefault="00DD1558" w:rsidP="00861F15">
      <w:pPr>
        <w:pStyle w:val="Heading3"/>
        <w:bidi w:val="0"/>
        <w:jc w:val="left"/>
      </w:pPr>
      <w:bookmarkStart w:id="25" w:name="_Toc237539707"/>
      <w:r w:rsidRPr="00DD1558">
        <w:lastRenderedPageBreak/>
        <w:t>1.</w:t>
      </w:r>
      <w:r w:rsidR="00861F15">
        <w:t>1.</w:t>
      </w:r>
      <w:r w:rsidRPr="00DD1558">
        <w:t>6</w:t>
      </w:r>
      <w:r w:rsidRPr="00DD1558">
        <w:rPr>
          <w:rFonts w:cs="Arial"/>
          <w:rtl/>
        </w:rPr>
        <w:t xml:space="preserve"> </w:t>
      </w:r>
      <w:r w:rsidRPr="00DD1558">
        <w:t>Methodological Positioning, Scope, and Boundaries</w:t>
      </w:r>
      <w:bookmarkEnd w:id="25"/>
    </w:p>
    <w:p w14:paraId="74AB1CB1"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Methodological positioning. This study is positioned as descriptive-analytical research conducted through qualitative, structural, policy, and governance analysis. Its objects of analysis are organizational arrangements — governance structures, roles, policies, procedures, and risk configurations — rather than populations, behaviors, or measurable outcomes. The descriptive component renders the prevailing decentralized regime with precision; the analytical component interrogates that regime through the five integrated lenses introduced above (risk maturity, Bow-Tie analysis, business continuity, environmental management and USR, and FIRM classification); and the design component specifies the framework, feasibility assessment, risk register, and roadmap that constitute the study’s deliverables. This positioning is consistent with the feasibility-and-risk assessment discipline of project management applied to internal organizational reform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{"citationID":"D88sefQ3","properties":{"unsorted":false,"formattedCitation":"(PMI,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(PMI, 2021)</w:t>
      </w:r>
      <w:r w:rsidRPr="00DD1558">
        <w:rPr>
          <w:rFonts w:ascii="Simplified Arabic" w:hAnsi="Simplified Arabic"/>
          <w:sz w:val="28"/>
        </w:rPr>
        <w:fldChar w:fldCharType="end"/>
      </w:r>
      <w:r w:rsidRPr="00DD1558">
        <w:rPr>
          <w:rFonts w:ascii="Simplified Arabic" w:hAnsi="Simplified Arabic"/>
          <w:sz w:val="28"/>
        </w:rPr>
        <w:t xml:space="preserve">, and with qualitative approaches to institutional and policy analysis in higher education research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{"citationID":"CxIrhI2H","properties":{"unsorted":false,"formattedCitation":"(Knott et al., 2022)","plainCitation":"(Knott et al., 2022)","noteIndex":0},"citationItems":[{"id":473,"uris":["http://zotero.org/users/19711126/items/QSRBIQTB"],"itemData":{"id":473,"type":"article-journal","abstract":"In-depth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(Knott et al., 2022)</w:t>
      </w:r>
      <w:r w:rsidRPr="00DD1558">
        <w:rPr>
          <w:rFonts w:ascii="Simplified Arabic" w:hAnsi="Simplified Arabic"/>
          <w:sz w:val="28"/>
        </w:rPr>
        <w:fldChar w:fldCharType="end"/>
      </w:r>
      <w:r w:rsidRPr="00DD1558">
        <w:rPr>
          <w:rFonts w:ascii="Simplified Arabic" w:hAnsi="Simplified Arabic" w:cs="Arial"/>
          <w:sz w:val="28"/>
          <w:rtl/>
        </w:rPr>
        <w:t>.</w:t>
      </w:r>
    </w:p>
    <w:p w14:paraId="6378B5CC" w14:textId="6E08E29B" w:rsidR="00DD1558" w:rsidRPr="00DD1558" w:rsidRDefault="00144B9A" w:rsidP="00DD1558">
      <w:pPr>
        <w:bidi w:val="0"/>
        <w:jc w:val="both"/>
        <w:rPr>
          <w:rFonts w:ascii="Simplified Arabic" w:hAnsi="Simplified Arabic"/>
          <w:sz w:val="28"/>
        </w:rPr>
      </w:pPr>
      <w:r w:rsidRPr="00144B9A">
        <w:rPr>
          <w:rFonts w:ascii="Simplified Arabic" w:hAnsi="Simplified Arabic"/>
          <w:sz w:val="28"/>
        </w:rPr>
        <w:t>Case-study logic. The study follows a single embedded case-study logic. The case is laboratory inventory governance within a large public science faculty at a Saudi higher education institution; the embedded unit of analysis is a life sciences department, selected because its scale, inventory diversity, chemical intensity, semester-locked teaching demand, and episodic research demand make it structurally representative of the faculty’s laboratory operations. Consistent with qualitative case-study conventions, the study claims analytic rather than statistical generalization: its propositions and design artifacts are intended to transfer, by reasoned analogy, to comparable laboratory-intensive units within the institution and to structurally similar higher education settings, not to extrapolate to populations.</w:t>
      </w:r>
      <w:r w:rsidRPr="00144B9A">
        <w:rPr>
          <w:rFonts w:ascii="Simplified Arabic" w:hAnsi="Simplified Arabic"/>
          <w:sz w:val="28"/>
        </w:rPr>
        <w:t xml:space="preserve"> </w:t>
      </w:r>
      <w:r w:rsidR="00DD1558" w:rsidRPr="00DD1558">
        <w:rPr>
          <w:rFonts w:ascii="Simplified Arabic" w:hAnsi="Simplified Arabic"/>
          <w:sz w:val="28"/>
        </w:rPr>
        <w:fldChar w:fldCharType="begin"/>
      </w:r>
      <w:r w:rsidR="00DD1558" w:rsidRPr="00DD1558">
        <w:rPr>
          <w:rFonts w:ascii="Simplified Arabic" w:hAnsi="Simplified Arabic"/>
          <w:sz w:val="28"/>
        </w:rPr>
        <w:instrText xml:space="preserve"> ADDIN ZOTERO_ITEM CSL_CITATION {"citationID":"R0FiwziE","properties":{"unsorted":false,"formattedCitation":"(Knott et al., 2022)","plainCitation":"(Knott et al., 2022)","noteIndex":0},"citationItems":[{"id":473,"uris":["http://zotero.org/users/19711126/items/QSRBIQTB"],"itemData":{"id":473,"type":"article-journal","abstract":"In-depth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00DD1558" w:rsidRPr="00DD1558">
        <w:rPr>
          <w:rFonts w:ascii="Simplified Arabic" w:hAnsi="Simplified Arabic"/>
          <w:sz w:val="28"/>
        </w:rPr>
        <w:fldChar w:fldCharType="separate"/>
      </w:r>
      <w:r w:rsidR="00DD1558" w:rsidRPr="00DD1558">
        <w:rPr>
          <w:rFonts w:ascii="Simplified Arabic" w:hAnsi="Simplified Arabic" w:cs="Simplified Arabic"/>
          <w:sz w:val="28"/>
        </w:rPr>
        <w:t>(Knott et al., 2022)</w:t>
      </w:r>
      <w:r w:rsidR="00DD1558" w:rsidRPr="00DD1558">
        <w:rPr>
          <w:rFonts w:ascii="Simplified Arabic" w:hAnsi="Simplified Arabic"/>
          <w:sz w:val="28"/>
        </w:rPr>
        <w:fldChar w:fldCharType="end"/>
      </w:r>
      <w:r w:rsidR="00DD1558" w:rsidRPr="00DD1558">
        <w:rPr>
          <w:rFonts w:ascii="Simplified Arabic" w:hAnsi="Simplified Arabic" w:cs="Arial"/>
          <w:sz w:val="28"/>
          <w:rtl/>
        </w:rPr>
        <w:t>.</w:t>
      </w:r>
    </w:p>
    <w:p w14:paraId="28E34AEC" w14:textId="77777777"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lastRenderedPageBreak/>
        <w:t xml:space="preserve">Explicit exclusion of empirical field data. It is stated explicitly and applies to every section of this thesis: this phase uses no field-study questionnaires, no survey instruments, no interview data, and no empirical statistics, and it neither uses nor assumes any numerical findings. Where the argument requires reference to magnitudes — for instance, the scale of waste under decentralization or the savings associated with equipment sharing — it proceeds by structural reasoning and by qualitative reference to the literature (for example, the documented savings reported for sharing arrangements in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{"citationID":"WyYZzn9z","properties":{"unsorted":false,"formattedCitation":"(Tu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(Tu &amp; Greever-Wilson, 2025)</w:t>
      </w:r>
      <w:r w:rsidRPr="00DD1558">
        <w:rPr>
          <w:rFonts w:ascii="Simplified Arabic" w:hAnsi="Simplified Arabic"/>
          <w:sz w:val="28"/>
        </w:rPr>
        <w:fldChar w:fldCharType="end"/>
      </w:r>
      <w:r w:rsidRPr="00DD1558">
        <w:rPr>
          <w:rFonts w:ascii="Simplified Arabic" w:hAnsi="Simplified Arabic"/>
          <w:sz w:val="28"/>
        </w:rPr>
        <w:t>), never by fabricated or projected figures. The deliverables of this phase are design artifacts whose validity rests on internal coherence, standards alignment, and grounding in verified literature, and whose empirical testing is deliberately deferred to a subsequent phase</w:t>
      </w:r>
      <w:r w:rsidRPr="00DD1558">
        <w:rPr>
          <w:rFonts w:ascii="Simplified Arabic" w:hAnsi="Simplified Arabic" w:cs="Arial"/>
          <w:sz w:val="28"/>
          <w:rtl/>
        </w:rPr>
        <w:t>.</w:t>
      </w:r>
    </w:p>
    <w:p w14:paraId="32BE0438" w14:textId="144DCF1F" w:rsidR="00DD1558" w:rsidRPr="00DD1558" w:rsidRDefault="00DD1558" w:rsidP="00DD1558">
      <w:pPr>
        <w:bidi w:val="0"/>
        <w:jc w:val="both"/>
        <w:rPr>
          <w:rFonts w:ascii="Simplified Arabic" w:hAnsi="Simplified Arabic"/>
          <w:sz w:val="28"/>
        </w:rPr>
      </w:pPr>
      <w:r w:rsidRPr="00DD1558">
        <w:rPr>
          <w:rFonts w:ascii="Simplified Arabic" w:hAnsi="Simplified Arabic"/>
          <w:sz w:val="28"/>
        </w:rPr>
        <w:t xml:space="preserve">Scope and boundaries. Four boundaries delimit the study. First, topical: the study addresses educational laboratory inventory only — instruments, glassware, consumables, and chemicals — and excludes facilities, buildings, and general campus asset management, except where these intersect with laboratory operations. </w:t>
      </w:r>
      <w:r w:rsidR="000B6195" w:rsidRPr="000B6195">
        <w:rPr>
          <w:rFonts w:ascii="Simplified Arabic" w:hAnsi="Simplified Arabic"/>
          <w:sz w:val="28"/>
        </w:rPr>
        <w:t>Second, institutional: the study is confined to a single higher education institution, with a large public science faculty and a life sciences department as its focal setting; cross-institutional benchmarking is used only as secondary context, not as primary data.</w:t>
      </w:r>
      <w:r w:rsidRPr="00DD1558">
        <w:rPr>
          <w:rFonts w:ascii="Simplified Arabic" w:hAnsi="Simplified Arabic"/>
          <w:sz w:val="28"/>
        </w:rPr>
        <w:t xml:space="preserve"> Third, level of design: the study operates at the design level, not the implementation level — it specifies what the framework should be and how its adoption should be sequenced and governed, but does not execute, pilot, or evaluate an implementation. Fourth, role boundary: consistent with the professional scope of laboratory technician practice, the framework assigns technicians strictly operational-technical functions — executing FEFO rotation, inter-lab loan workflows, and catalog and data entries — without administrative decision-making, procurement approval, financial authority, or policy-setting responsibility; </w:t>
      </w:r>
      <w:r w:rsidRPr="00DD1558">
        <w:rPr>
          <w:rFonts w:ascii="Simplified Arabic" w:hAnsi="Simplified Arabic"/>
          <w:sz w:val="28"/>
        </w:rPr>
        <w:lastRenderedPageBreak/>
        <w:t>technicians may recommend and escalate but never decide beyond their technical capacity.</w:t>
      </w:r>
    </w:p>
    <w:p w14:paraId="3EB4B2EF" w14:textId="77777777" w:rsidR="00DD1558" w:rsidRPr="00DD1558" w:rsidRDefault="00DD1558" w:rsidP="00DD1558">
      <w:pPr>
        <w:bidi w:val="0"/>
        <w:jc w:val="both"/>
        <w:rPr>
          <w:rFonts w:ascii="Simplified Arabic" w:hAnsi="Simplified Arabic"/>
          <w:sz w:val="28"/>
        </w:rPr>
      </w:pPr>
    </w:p>
    <w:p w14:paraId="35414574" w14:textId="77777777" w:rsidR="00DD1558" w:rsidRPr="00DD1558" w:rsidRDefault="00DD1558" w:rsidP="00DD1558">
      <w:pPr>
        <w:bidi w:val="0"/>
        <w:jc w:val="both"/>
        <w:rPr>
          <w:rFonts w:ascii="Simplified Arabic" w:hAnsi="Simplified Arabic"/>
          <w:sz w:val="28"/>
        </w:rPr>
      </w:pPr>
    </w:p>
    <w:p w14:paraId="241249AF" w14:textId="77777777" w:rsidR="00DD1558" w:rsidRPr="00DD1558" w:rsidRDefault="00DD1558" w:rsidP="00DD1558">
      <w:pPr>
        <w:bidi w:val="0"/>
        <w:jc w:val="both"/>
        <w:rPr>
          <w:rFonts w:ascii="Simplified Arabic" w:hAnsi="Simplified Arabic"/>
          <w:sz w:val="28"/>
        </w:rPr>
      </w:pPr>
    </w:p>
    <w:p w14:paraId="6CA1908B" w14:textId="77777777" w:rsidR="00DD1558" w:rsidRPr="00DD1558" w:rsidRDefault="00DD1558" w:rsidP="00DD1558">
      <w:pPr>
        <w:bidi w:val="0"/>
        <w:jc w:val="both"/>
        <w:rPr>
          <w:rFonts w:ascii="Simplified Arabic" w:hAnsi="Simplified Arabic"/>
          <w:sz w:val="28"/>
        </w:rPr>
      </w:pPr>
    </w:p>
    <w:p w14:paraId="0D3319C3" w14:textId="77777777" w:rsidR="00DD1558" w:rsidRPr="00DD1558" w:rsidRDefault="00DD1558" w:rsidP="00DD1558">
      <w:pPr>
        <w:bidi w:val="0"/>
        <w:jc w:val="both"/>
        <w:rPr>
          <w:rFonts w:ascii="Simplified Arabic" w:hAnsi="Simplified Arabic"/>
          <w:sz w:val="28"/>
        </w:rPr>
      </w:pPr>
    </w:p>
    <w:p w14:paraId="7C700BA7" w14:textId="77777777" w:rsidR="00DD1558" w:rsidRPr="00DD1558" w:rsidRDefault="00DD1558" w:rsidP="00DD1558">
      <w:pPr>
        <w:bidi w:val="0"/>
        <w:jc w:val="both"/>
        <w:rPr>
          <w:rFonts w:ascii="Simplified Arabic" w:hAnsi="Simplified Arabic"/>
          <w:sz w:val="28"/>
        </w:rPr>
      </w:pPr>
    </w:p>
    <w:p w14:paraId="717C003F" w14:textId="77777777" w:rsidR="00DD1558" w:rsidRPr="00DD1558" w:rsidRDefault="00DD1558" w:rsidP="00DD1558">
      <w:pPr>
        <w:bidi w:val="0"/>
        <w:jc w:val="both"/>
        <w:rPr>
          <w:rFonts w:ascii="Simplified Arabic" w:hAnsi="Simplified Arabic"/>
          <w:sz w:val="28"/>
        </w:rPr>
      </w:pPr>
    </w:p>
    <w:p w14:paraId="3D227762" w14:textId="77777777" w:rsidR="00DD1558" w:rsidRPr="00DD1558" w:rsidRDefault="00DD1558" w:rsidP="00DD1558">
      <w:pPr>
        <w:bidi w:val="0"/>
        <w:jc w:val="both"/>
        <w:rPr>
          <w:rFonts w:ascii="Simplified Arabic" w:hAnsi="Simplified Arabic"/>
          <w:sz w:val="28"/>
        </w:rPr>
      </w:pPr>
    </w:p>
    <w:p w14:paraId="6E4AC63D" w14:textId="77777777" w:rsidR="00DD1558" w:rsidRPr="00DD1558" w:rsidRDefault="00DD1558" w:rsidP="00DD1558">
      <w:pPr>
        <w:bidi w:val="0"/>
        <w:jc w:val="both"/>
        <w:rPr>
          <w:rFonts w:ascii="Simplified Arabic" w:hAnsi="Simplified Arabic"/>
          <w:sz w:val="28"/>
        </w:rPr>
      </w:pPr>
    </w:p>
    <w:p w14:paraId="45A3F19E" w14:textId="77777777" w:rsidR="00DD1558" w:rsidRPr="00DD1558" w:rsidRDefault="00DD1558" w:rsidP="00DD1558">
      <w:pPr>
        <w:bidi w:val="0"/>
        <w:jc w:val="both"/>
        <w:rPr>
          <w:rFonts w:ascii="Simplified Arabic" w:hAnsi="Simplified Arabic"/>
          <w:sz w:val="28"/>
        </w:rPr>
      </w:pPr>
    </w:p>
    <w:p w14:paraId="3D79241F" w14:textId="77777777" w:rsidR="00DD1558" w:rsidRPr="00DD1558" w:rsidRDefault="00DD1558" w:rsidP="00DD1558">
      <w:pPr>
        <w:bidi w:val="0"/>
        <w:jc w:val="both"/>
        <w:rPr>
          <w:rFonts w:ascii="Simplified Arabic" w:hAnsi="Simplified Arabic"/>
          <w:sz w:val="28"/>
        </w:rPr>
      </w:pPr>
    </w:p>
    <w:p w14:paraId="6B6B9E6A" w14:textId="77777777" w:rsidR="00DD1558" w:rsidRPr="00DD1558" w:rsidRDefault="00DD1558" w:rsidP="00DD1558">
      <w:pPr>
        <w:bidi w:val="0"/>
        <w:jc w:val="both"/>
        <w:rPr>
          <w:rFonts w:ascii="Simplified Arabic" w:hAnsi="Simplified Arabic"/>
          <w:sz w:val="28"/>
        </w:rPr>
      </w:pPr>
    </w:p>
    <w:p w14:paraId="1AA92A97" w14:textId="77777777" w:rsidR="00DD1558" w:rsidRPr="00DD1558" w:rsidRDefault="00DD1558" w:rsidP="00DD1558">
      <w:pPr>
        <w:bidi w:val="0"/>
        <w:jc w:val="both"/>
        <w:rPr>
          <w:rFonts w:ascii="Simplified Arabic" w:hAnsi="Simplified Arabic"/>
          <w:sz w:val="28"/>
        </w:rPr>
      </w:pPr>
    </w:p>
    <w:p w14:paraId="66D3B3DA" w14:textId="77777777" w:rsidR="00DD1558" w:rsidRPr="00DD1558" w:rsidRDefault="00DD1558" w:rsidP="00DD1558">
      <w:pPr>
        <w:bidi w:val="0"/>
        <w:jc w:val="both"/>
        <w:rPr>
          <w:rFonts w:ascii="Simplified Arabic" w:hAnsi="Simplified Arabic"/>
          <w:sz w:val="28"/>
        </w:rPr>
      </w:pPr>
    </w:p>
    <w:p w14:paraId="62A79998" w14:textId="77777777" w:rsidR="00DD1558" w:rsidRPr="00DD1558" w:rsidRDefault="00DD1558" w:rsidP="00DD1558">
      <w:pPr>
        <w:bidi w:val="0"/>
        <w:jc w:val="both"/>
        <w:rPr>
          <w:rFonts w:ascii="Simplified Arabic" w:hAnsi="Simplified Arabic"/>
          <w:sz w:val="28"/>
        </w:rPr>
      </w:pPr>
    </w:p>
    <w:p w14:paraId="52BC4F88" w14:textId="77777777" w:rsidR="00DD1558" w:rsidRPr="00DD1558" w:rsidRDefault="00DD1558" w:rsidP="00DD1558">
      <w:pPr>
        <w:bidi w:val="0"/>
        <w:jc w:val="both"/>
        <w:rPr>
          <w:rFonts w:ascii="Simplified Arabic" w:hAnsi="Simplified Arabic"/>
          <w:sz w:val="28"/>
        </w:rPr>
      </w:pPr>
    </w:p>
    <w:p w14:paraId="1D440327" w14:textId="77777777" w:rsidR="00DD1558" w:rsidRPr="00DD1558" w:rsidRDefault="00DD1558" w:rsidP="00DD1558">
      <w:pPr>
        <w:bidi w:val="0"/>
        <w:jc w:val="both"/>
        <w:rPr>
          <w:rFonts w:ascii="Simplified Arabic" w:hAnsi="Simplified Arabic"/>
          <w:sz w:val="28"/>
        </w:rPr>
      </w:pPr>
      <w:r w:rsidRPr="00DD1558">
        <w:rPr>
          <w:rFonts w:ascii="Simplified Arabic" w:eastAsiaTheme="majorEastAsia" w:hAnsi="Simplified Arabic" w:cstheme="majorBidi"/>
          <w:b/>
          <w:sz w:val="32"/>
          <w:szCs w:val="40"/>
        </w:rPr>
        <w:lastRenderedPageBreak/>
        <w:t>Transition to subsequent Chapters:</w:t>
      </w:r>
      <w:r w:rsidRPr="00DD1558">
        <w:rPr>
          <w:rFonts w:ascii="Simplified Arabic" w:hAnsi="Simplified Arabic"/>
          <w:sz w:val="28"/>
        </w:rPr>
        <w:t xml:space="preserve"> Chapter 2 operationalizes the Risk Maturity Gap identified here in Chapter 1 by constructing the study’s integrated theoretical and risk assessment framework: the adapted three-band maturity model (Inform/Conform to Perform), Bow-Tie analyses of chemical expiration and asset underutilization as adapted top events, the ISO 22301:2019 business continuity reading of inventory visibility and inter-lab loans, and the ISO 14001:2015/USR/FIRM classification of framework consequences and risks. Chapter 4 then specifies the organizational and governance architecture through which the framework would operate: a Governance Board supported by a Technical Standardization Committee, a Digital Supply Chain Unit, laboratory technicians at the operational level, and an Inter-Lab Policy Framework governing temporary asset loans and FEFO-based chemical redistribution. Together, the chapters move from problem diagnosis (Chapter 1), through literature synthesis and theoretical modeling (Chapter 2) and research methodology (Chapter 3), to the structural feasibility study and governance design (Chapter 4), delivering the thesis’s contribution as a coherent, standards-aligned design artifact.</w:t>
      </w:r>
    </w:p>
    <w:p w14:paraId="5539B47A" w14:textId="77777777" w:rsidR="00DD1558" w:rsidRPr="00DD1558" w:rsidRDefault="00DD1558" w:rsidP="00DD1558">
      <w:pPr>
        <w:bidi w:val="0"/>
        <w:jc w:val="both"/>
        <w:rPr>
          <w:rFonts w:ascii="Simplified Arabic" w:hAnsi="Simplified Arabic"/>
          <w:sz w:val="28"/>
        </w:rPr>
      </w:pPr>
    </w:p>
    <w:p w14:paraId="21CD86D6" w14:textId="77777777" w:rsidR="00DD1558" w:rsidRPr="00DD1558" w:rsidRDefault="00DD1558" w:rsidP="00DD1558">
      <w:pPr>
        <w:bidi w:val="0"/>
        <w:jc w:val="both"/>
        <w:rPr>
          <w:rFonts w:ascii="Simplified Arabic" w:hAnsi="Simplified Arabic"/>
          <w:sz w:val="28"/>
        </w:rPr>
      </w:pPr>
    </w:p>
    <w:p w14:paraId="64BA8367" w14:textId="77777777" w:rsidR="00DD1558" w:rsidRPr="00DD1558" w:rsidRDefault="00DD1558" w:rsidP="00DD1558">
      <w:pPr>
        <w:bidi w:val="0"/>
        <w:jc w:val="both"/>
        <w:rPr>
          <w:rFonts w:ascii="Simplified Arabic" w:hAnsi="Simplified Arabic"/>
          <w:sz w:val="28"/>
        </w:rPr>
      </w:pPr>
    </w:p>
    <w:p w14:paraId="624FE114" w14:textId="77777777" w:rsidR="00DD1558" w:rsidRPr="00DD1558" w:rsidRDefault="00DD1558" w:rsidP="00DD1558">
      <w:pPr>
        <w:bidi w:val="0"/>
        <w:jc w:val="both"/>
        <w:rPr>
          <w:rFonts w:ascii="Simplified Arabic" w:hAnsi="Simplified Arabic"/>
          <w:sz w:val="28"/>
        </w:rPr>
      </w:pPr>
    </w:p>
    <w:p w14:paraId="2D7AB43A" w14:textId="77777777" w:rsidR="00DD1558" w:rsidRPr="00DD1558" w:rsidRDefault="00DD1558" w:rsidP="00DD1558">
      <w:pPr>
        <w:bidi w:val="0"/>
        <w:jc w:val="both"/>
        <w:rPr>
          <w:rFonts w:ascii="Simplified Arabic" w:hAnsi="Simplified Arabic"/>
          <w:sz w:val="28"/>
        </w:rPr>
      </w:pPr>
    </w:p>
    <w:p w14:paraId="5760E77E" w14:textId="77777777" w:rsidR="00DD1558" w:rsidRPr="00DD1558" w:rsidRDefault="00DD1558" w:rsidP="00DD1558">
      <w:pPr>
        <w:bidi w:val="0"/>
        <w:jc w:val="both"/>
        <w:rPr>
          <w:rFonts w:ascii="Simplified Arabic" w:hAnsi="Simplified Arabic"/>
          <w:sz w:val="28"/>
        </w:rPr>
      </w:pPr>
    </w:p>
    <w:p w14:paraId="3B9D9F1F" w14:textId="77777777" w:rsidR="00DD1558" w:rsidRDefault="00DD1558" w:rsidP="00DD1558">
      <w:pPr>
        <w:bidi w:val="0"/>
        <w:jc w:val="both"/>
        <w:rPr>
          <w:rFonts w:ascii="Simplified Arabic" w:hAnsi="Simplified Arabic"/>
          <w:sz w:val="28"/>
          <w:rtl/>
        </w:rPr>
      </w:pPr>
    </w:p>
    <w:p w14:paraId="4E0A0AC2" w14:textId="77777777" w:rsidR="006B3E91" w:rsidRDefault="006B3E91" w:rsidP="006B3E91">
      <w:pPr>
        <w:bidi w:val="0"/>
        <w:jc w:val="both"/>
        <w:rPr>
          <w:rFonts w:ascii="Simplified Arabic" w:hAnsi="Simplified Arabic"/>
          <w:sz w:val="28"/>
          <w:rtl/>
        </w:rPr>
      </w:pPr>
    </w:p>
    <w:p w14:paraId="023E9D30" w14:textId="77777777" w:rsidR="006B3E91" w:rsidRDefault="006B3E91" w:rsidP="006B3E91">
      <w:pPr>
        <w:bidi w:val="0"/>
        <w:jc w:val="both"/>
        <w:rPr>
          <w:rFonts w:ascii="Simplified Arabic" w:hAnsi="Simplified Arabic"/>
          <w:sz w:val="28"/>
          <w:rtl/>
        </w:rPr>
      </w:pPr>
    </w:p>
    <w:p w14:paraId="670F3DF4" w14:textId="77777777" w:rsidR="006B3E91" w:rsidRDefault="006B3E91" w:rsidP="006B3E91">
      <w:pPr>
        <w:bidi w:val="0"/>
        <w:jc w:val="both"/>
        <w:rPr>
          <w:rFonts w:ascii="Simplified Arabic" w:hAnsi="Simplified Arabic"/>
          <w:sz w:val="28"/>
          <w:rtl/>
        </w:rPr>
      </w:pPr>
    </w:p>
    <w:p w14:paraId="1783BFFD" w14:textId="77777777" w:rsidR="006B3E91" w:rsidRDefault="006B3E91" w:rsidP="006B3E91">
      <w:pPr>
        <w:bidi w:val="0"/>
        <w:jc w:val="both"/>
        <w:rPr>
          <w:rFonts w:ascii="Simplified Arabic" w:hAnsi="Simplified Arabic"/>
          <w:sz w:val="28"/>
          <w:rtl/>
        </w:rPr>
      </w:pPr>
    </w:p>
    <w:p w14:paraId="78FB2CA1" w14:textId="77777777" w:rsidR="006B3E91" w:rsidRPr="00DD1558" w:rsidRDefault="006B3E91" w:rsidP="006B3E91">
      <w:pPr>
        <w:bidi w:val="0"/>
        <w:jc w:val="both"/>
        <w:rPr>
          <w:rFonts w:ascii="Simplified Arabic" w:hAnsi="Simplified Arabic"/>
          <w:sz w:val="28"/>
        </w:rPr>
      </w:pPr>
    </w:p>
    <w:p w14:paraId="28EE33A4" w14:textId="77777777" w:rsidR="00DD1558" w:rsidRPr="00DD1558" w:rsidRDefault="00DD1558" w:rsidP="00DD1558">
      <w:pPr>
        <w:keepNext/>
        <w:keepLines/>
        <w:bidi w:val="0"/>
        <w:spacing w:before="360" w:after="80"/>
        <w:outlineLvl w:val="0"/>
        <w:rPr>
          <w:rFonts w:ascii="Simplified Arabic" w:eastAsiaTheme="majorEastAsia" w:hAnsi="Simplified Arabic" w:cstheme="majorBidi"/>
          <w:b/>
          <w:sz w:val="32"/>
          <w:szCs w:val="40"/>
        </w:rPr>
      </w:pPr>
      <w:bookmarkStart w:id="26" w:name="_Toc237539708"/>
      <w:r w:rsidRPr="00DD1558">
        <w:rPr>
          <w:rFonts w:ascii="Simplified Arabic" w:eastAsiaTheme="majorEastAsia" w:hAnsi="Simplified Arabic" w:cstheme="majorBidi"/>
          <w:b/>
          <w:sz w:val="32"/>
          <w:szCs w:val="40"/>
        </w:rPr>
        <w:t>CHAPTER 2: LITERATURE REVIEW &amp; THEORETICAL FRAMEWORK</w:t>
      </w:r>
      <w:bookmarkEnd w:id="26"/>
    </w:p>
    <w:p w14:paraId="553FEA13" w14:textId="77777777" w:rsidR="00DD1558" w:rsidRPr="00DD1558" w:rsidRDefault="00DD1558" w:rsidP="00DD1558">
      <w:pPr>
        <w:bidi w:val="0"/>
        <w:jc w:val="both"/>
        <w:rPr>
          <w:rFonts w:ascii="Simplified Arabic" w:hAnsi="Simplified Arabic"/>
          <w:sz w:val="28"/>
        </w:rPr>
      </w:pPr>
    </w:p>
    <w:p w14:paraId="1003D065" w14:textId="77777777" w:rsidR="00DD1558" w:rsidRPr="00DD1558" w:rsidRDefault="00DD1558" w:rsidP="00DD1558">
      <w:pPr>
        <w:bidi w:val="0"/>
        <w:jc w:val="both"/>
        <w:rPr>
          <w:rFonts w:ascii="Simplified Arabic" w:hAnsi="Simplified Arabic"/>
          <w:sz w:val="28"/>
        </w:rPr>
      </w:pPr>
    </w:p>
    <w:p w14:paraId="7D5E5EF8" w14:textId="77777777" w:rsidR="00DD1558" w:rsidRPr="00DD1558" w:rsidRDefault="00DD1558" w:rsidP="00DD1558">
      <w:pPr>
        <w:bidi w:val="0"/>
        <w:jc w:val="both"/>
        <w:rPr>
          <w:rFonts w:ascii="Simplified Arabic" w:hAnsi="Simplified Arabic"/>
          <w:sz w:val="28"/>
        </w:rPr>
      </w:pPr>
    </w:p>
    <w:p w14:paraId="286E5DB6" w14:textId="77777777" w:rsidR="00DD1558" w:rsidRPr="00DD1558" w:rsidRDefault="00DD1558" w:rsidP="00DD1558">
      <w:pPr>
        <w:bidi w:val="0"/>
        <w:jc w:val="both"/>
        <w:rPr>
          <w:rFonts w:ascii="Simplified Arabic" w:hAnsi="Simplified Arabic"/>
          <w:sz w:val="28"/>
        </w:rPr>
      </w:pPr>
    </w:p>
    <w:p w14:paraId="2D0DCE49" w14:textId="77777777" w:rsidR="00DD1558" w:rsidRPr="00DD1558" w:rsidRDefault="00DD1558" w:rsidP="00DD1558">
      <w:pPr>
        <w:bidi w:val="0"/>
        <w:jc w:val="both"/>
        <w:rPr>
          <w:rFonts w:ascii="Simplified Arabic" w:hAnsi="Simplified Arabic"/>
          <w:sz w:val="28"/>
        </w:rPr>
      </w:pPr>
    </w:p>
    <w:p w14:paraId="05AF7EB8" w14:textId="77777777" w:rsidR="00DD1558" w:rsidRPr="00DD1558" w:rsidRDefault="00DD1558" w:rsidP="00DD1558">
      <w:pPr>
        <w:bidi w:val="0"/>
        <w:jc w:val="both"/>
        <w:rPr>
          <w:rFonts w:ascii="Simplified Arabic" w:hAnsi="Simplified Arabic"/>
          <w:sz w:val="28"/>
        </w:rPr>
      </w:pPr>
    </w:p>
    <w:p w14:paraId="389D1529" w14:textId="77777777" w:rsidR="00DD1558" w:rsidRPr="00DD1558" w:rsidRDefault="00DD1558" w:rsidP="00DD1558">
      <w:pPr>
        <w:bidi w:val="0"/>
        <w:jc w:val="both"/>
        <w:rPr>
          <w:rFonts w:ascii="Simplified Arabic" w:hAnsi="Simplified Arabic"/>
          <w:sz w:val="28"/>
        </w:rPr>
      </w:pPr>
    </w:p>
    <w:p w14:paraId="7D41A832" w14:textId="77777777" w:rsidR="00DD1558" w:rsidRPr="00DD1558" w:rsidRDefault="00DD1558" w:rsidP="00DD1558">
      <w:pPr>
        <w:bidi w:val="0"/>
        <w:jc w:val="both"/>
        <w:rPr>
          <w:rFonts w:ascii="Simplified Arabic" w:hAnsi="Simplified Arabic"/>
          <w:sz w:val="28"/>
        </w:rPr>
      </w:pPr>
    </w:p>
    <w:p w14:paraId="5ADE925B" w14:textId="77777777" w:rsidR="00DD1558" w:rsidRPr="00DD1558" w:rsidRDefault="00DD1558" w:rsidP="00DD1558">
      <w:pPr>
        <w:bidi w:val="0"/>
        <w:jc w:val="both"/>
        <w:rPr>
          <w:rFonts w:ascii="Simplified Arabic" w:hAnsi="Simplified Arabic"/>
          <w:sz w:val="28"/>
        </w:rPr>
      </w:pPr>
    </w:p>
    <w:p w14:paraId="27A18134" w14:textId="77777777" w:rsidR="00DD1558" w:rsidRPr="00DD1558" w:rsidRDefault="00DD1558" w:rsidP="00DD1558">
      <w:pPr>
        <w:bidi w:val="0"/>
        <w:jc w:val="both"/>
        <w:rPr>
          <w:rFonts w:ascii="Simplified Arabic" w:hAnsi="Simplified Arabic"/>
          <w:sz w:val="28"/>
        </w:rPr>
      </w:pPr>
    </w:p>
    <w:p w14:paraId="79E6810D" w14:textId="77777777" w:rsidR="00DD1558" w:rsidRPr="00DD1558" w:rsidRDefault="00DD1558" w:rsidP="00DD1558">
      <w:pPr>
        <w:bidi w:val="0"/>
        <w:jc w:val="both"/>
        <w:rPr>
          <w:rFonts w:ascii="Simplified Arabic" w:hAnsi="Simplified Arabic"/>
          <w:sz w:val="28"/>
        </w:rPr>
      </w:pPr>
    </w:p>
    <w:p w14:paraId="1AF1D5C6" w14:textId="77777777" w:rsidR="00DD1558" w:rsidRPr="00DD1558" w:rsidRDefault="00DD1558" w:rsidP="00DD1558">
      <w:pPr>
        <w:bidi w:val="0"/>
        <w:jc w:val="both"/>
        <w:rPr>
          <w:rFonts w:ascii="Simplified Arabic" w:hAnsi="Simplified Arabic"/>
          <w:sz w:val="28"/>
        </w:rPr>
      </w:pPr>
    </w:p>
    <w:p w14:paraId="4AA2BEC2" w14:textId="77777777" w:rsidR="00DD1558" w:rsidRPr="00DD1558" w:rsidRDefault="00DD1558" w:rsidP="00DD1558">
      <w:pPr>
        <w:bidi w:val="0"/>
        <w:jc w:val="both"/>
        <w:rPr>
          <w:rFonts w:ascii="Simplified Arabic" w:hAnsi="Simplified Arabic"/>
          <w:sz w:val="28"/>
        </w:rPr>
      </w:pPr>
    </w:p>
    <w:p w14:paraId="607CEA4C" w14:textId="77777777" w:rsidR="00DD1558" w:rsidRPr="00DD1558" w:rsidRDefault="00DD1558" w:rsidP="00DD1558">
      <w:pPr>
        <w:bidi w:val="0"/>
        <w:jc w:val="both"/>
        <w:rPr>
          <w:rFonts w:ascii="Simplified Arabic" w:hAnsi="Simplified Arabic"/>
          <w:sz w:val="28"/>
        </w:rPr>
      </w:pPr>
    </w:p>
    <w:p w14:paraId="33354CF0" w14:textId="77777777" w:rsidR="00DD1558" w:rsidRPr="00DD1558" w:rsidRDefault="00DD1558" w:rsidP="00DD1558">
      <w:pPr>
        <w:bidi w:val="0"/>
        <w:jc w:val="both"/>
        <w:rPr>
          <w:rFonts w:ascii="Simplified Arabic" w:hAnsi="Simplified Arabic"/>
          <w:sz w:val="28"/>
        </w:rPr>
      </w:pPr>
    </w:p>
    <w:p w14:paraId="1ED5592C" w14:textId="77777777" w:rsidR="00DD1558" w:rsidRPr="00DD1558" w:rsidRDefault="00DD1558" w:rsidP="00DD1558">
      <w:pPr>
        <w:bidi w:val="0"/>
        <w:jc w:val="both"/>
        <w:rPr>
          <w:rFonts w:ascii="Simplified Arabic" w:hAnsi="Simplified Arabic"/>
          <w:sz w:val="28"/>
        </w:rPr>
      </w:pPr>
    </w:p>
    <w:p w14:paraId="79CAB97C" w14:textId="77777777" w:rsidR="00DD1558" w:rsidRPr="00DD1558" w:rsidRDefault="00DD1558" w:rsidP="00DD1558">
      <w:pPr>
        <w:bidi w:val="0"/>
        <w:jc w:val="both"/>
        <w:rPr>
          <w:rFonts w:ascii="Simplified Arabic" w:hAnsi="Simplified Arabic"/>
          <w:sz w:val="28"/>
        </w:rPr>
      </w:pPr>
    </w:p>
    <w:p w14:paraId="713AB557" w14:textId="77777777" w:rsidR="00DD1558" w:rsidRPr="00DD1558" w:rsidRDefault="00DD1558" w:rsidP="00DD1558">
      <w:pPr>
        <w:bidi w:val="0"/>
        <w:jc w:val="both"/>
        <w:rPr>
          <w:rFonts w:ascii="Simplified Arabic" w:hAnsi="Simplified Arabic"/>
          <w:sz w:val="28"/>
        </w:rPr>
      </w:pPr>
    </w:p>
    <w:p w14:paraId="744BCF00"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27" w:name="_2.1_Review_Approach"/>
      <w:bookmarkStart w:id="28" w:name="_Toc237539709"/>
      <w:bookmarkEnd w:id="27"/>
      <w:r w:rsidRPr="00DD1558">
        <w:rPr>
          <w:rFonts w:ascii="Simplified Arabic" w:eastAsiaTheme="majorEastAsia" w:hAnsi="Simplified Arabic" w:cstheme="majorBidi"/>
          <w:b/>
          <w:sz w:val="28"/>
          <w:szCs w:val="32"/>
        </w:rPr>
        <w:t>2.1 Review Approach and Thematic Organization</w:t>
      </w:r>
      <w:bookmarkEnd w:id="28"/>
    </w:p>
    <w:p w14:paraId="1B5131B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chapter reviews and synthesizes the scholarly and standards literature upon which the thesis’s participatory inventory framework is constructed. Because the study is a qualitative, design-oriented structural analysis rather than an empirical measurement exercise, the review’s purpose differs from that of a conventional hypothesis-testing thesis: it is not to establish the statistical state of a variable, but to extract </w:t>
      </w:r>
      <w:r w:rsidRPr="00DD1558">
        <w:rPr>
          <w:rFonts w:ascii="Simplified Arabic" w:eastAsia="Times New Roman" w:hAnsi="Simplified Arabic" w:cs="Simplified Arabic"/>
          <w:i/>
          <w:iCs/>
          <w:color w:val="1A1A1A"/>
          <w:sz w:val="28"/>
          <w:szCs w:val="28"/>
          <w14:ligatures w14:val="none"/>
        </w:rPr>
        <w:t>design lessons</w:t>
      </w:r>
      <w:r w:rsidRPr="00DD1558">
        <w:rPr>
          <w:rFonts w:ascii="Simplified Arabic" w:eastAsia="Times New Roman" w:hAnsi="Simplified Arabic" w:cs="Simplified Arabic"/>
          <w:color w:val="1A1A1A"/>
          <w:sz w:val="28"/>
          <w:szCs w:val="28"/>
          <w14:ligatures w14:val="none"/>
        </w:rPr>
        <w:t xml:space="preserve"> — documented governance arrangements, failure modes, standardization practices, and risk-structuring techniques — and to locate, with precision, the qualitative governance gap that the proposed framework addresses. </w:t>
      </w:r>
    </w:p>
    <w:p w14:paraId="14ECA63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organization is thematic rather than chronological. A chronological presentation would misrepresent the intellectual structure of the field, in which a small number of foundational theoretical works — the circular-economy articulation of the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{"citationID":"B9szDMVE","properties":{"unsorted":false,"formattedCitation":"(Ellen MacArthur Foundation., 2013)","plainCitation":"(Ellen MacArthur Foundation., 2013)","noteIndex":0},"citationItems":[{"id":539,"uris":["http://zotero.org/users/19711126/items/2XUL857H"],"itemData":{"id":539,"type":"report","title":"Towards the Circular Economy: Economic and business rationale for an accelerated transition (Vol. 1)","URL":"https://media1.circulareconomy.se/2016/11/Towards-The-Circular-Economy-vol-1-2012.pdf","author":[{"family":"Ellen MacArthur Foundation.","given":""}],"accessed":{"date-parts":[["2026",8,6]]},"issued":{"date-parts":[["2013"]]}}}],"schema":"https://github.com/citation-style-language/schema/raw/master/csl-citation.json"}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(Ellen MacArthur Foundation., 2013)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{"citationID":"9m2qmals","properties":{"unsorted":false,"formattedCitation":"(Hillson,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original risk maturity model, the capability maturity work of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{"citationID":"6Lfdeexm","properties":{"unsorted":false,"formattedCitation":"(Paulk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{"citationID":"1KkFbavu","properties":{"unsorted":false,"formattedCitation":"(Hopkin,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risk classification taxonomy — underpin a much larger body of recent, domain-specific scholarship concentrated in the period 2020–2026. The review therefore proceeds in five thematic streams, each corresponding to one design problem the framework must solve:</w:t>
      </w:r>
    </w:p>
    <w:p w14:paraId="55B1BEC2" w14:textId="3EE8BD35"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Inventory management in educational and university laboratories</w:t>
      </w:r>
      <w:r w:rsidRPr="00DD1558">
        <w:rPr>
          <w:rFonts w:ascii="Simplified Arabic" w:eastAsia="Cambria" w:hAnsi="Simplified Arabic" w:cs="Simplified Arabic"/>
          <w:color w:val="212121"/>
          <w:sz w:val="28"/>
          <w:szCs w:val="28"/>
          <w14:ligatures w14:val="none"/>
        </w:rPr>
        <w:t xml:space="preserve"> — the problem setting itself (</w:t>
      </w:r>
      <w:hyperlink w:anchor="section22" w:history="1">
        <w:r w:rsidRPr="00D16051">
          <w:rPr>
            <w:rStyle w:val="Hyperlink"/>
            <w:rFonts w:ascii="Simplified Arabic" w:eastAsia="Cambria" w:hAnsi="Simplified Arabic" w:cs="Simplified Arabic"/>
            <w:sz w:val="28"/>
            <w:szCs w:val="28"/>
            <w14:ligatures w14:val="none"/>
          </w:rPr>
          <w:t>Section 2.2</w:t>
        </w:r>
      </w:hyperlink>
      <w:r w:rsidRPr="00DD1558">
        <w:rPr>
          <w:rFonts w:ascii="Simplified Arabic" w:eastAsia="Cambria" w:hAnsi="Simplified Arabic" w:cs="Simplified Arabic"/>
          <w:color w:val="212121"/>
          <w:sz w:val="28"/>
          <w:szCs w:val="28"/>
          <w14:ligatures w14:val="none"/>
        </w:rPr>
        <w:t>);</w:t>
      </w:r>
    </w:p>
    <w:p w14:paraId="1EF00174" w14:textId="30DFCCD4"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Participatory and resource-sharing models</w:t>
      </w:r>
      <w:r w:rsidRPr="00DD1558">
        <w:rPr>
          <w:rFonts w:ascii="Simplified Arabic" w:eastAsia="Cambria" w:hAnsi="Simplified Arabic" w:cs="Simplified Arabic"/>
          <w:color w:val="212121"/>
          <w:sz w:val="28"/>
          <w:szCs w:val="28"/>
          <w14:ligatures w14:val="none"/>
        </w:rPr>
        <w:t xml:space="preserve"> — the governance form the framework proposes (</w:t>
      </w:r>
      <w:hyperlink w:anchor="section293" w:history="1">
        <w:r w:rsidR="009D553E" w:rsidRPr="00D16051">
          <w:rPr>
            <w:rStyle w:val="Hyperlink"/>
            <w:rFonts w:ascii="Simplified Arabic" w:eastAsia="Cambria" w:hAnsi="Simplified Arabic" w:cs="Simplified Arabic"/>
            <w:sz w:val="28"/>
            <w:szCs w:val="28"/>
            <w14:ligatures w14:val="none"/>
          </w:rPr>
          <w:t>Section 2.9.3</w:t>
        </w:r>
      </w:hyperlink>
      <w:r w:rsidRPr="00DD1558">
        <w:rPr>
          <w:rFonts w:ascii="Simplified Arabic" w:eastAsia="Cambria" w:hAnsi="Simplified Arabic" w:cs="Simplified Arabic"/>
          <w:color w:val="212121"/>
          <w:sz w:val="28"/>
          <w:szCs w:val="28"/>
          <w14:ligatures w14:val="none"/>
        </w:rPr>
        <w:t>);</w:t>
      </w:r>
    </w:p>
    <w:p w14:paraId="787484F8" w14:textId="30BFA86D"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lastRenderedPageBreak/>
        <w:t>Circular economy, green procurement, and sustainability in higher education</w:t>
      </w:r>
      <w:r w:rsidRPr="00DD1558">
        <w:rPr>
          <w:rFonts w:ascii="Simplified Arabic" w:eastAsia="Cambria" w:hAnsi="Simplified Arabic" w:cs="Simplified Arabic"/>
          <w:color w:val="212121"/>
          <w:sz w:val="28"/>
          <w:szCs w:val="28"/>
          <w14:ligatures w14:val="none"/>
        </w:rPr>
        <w:t xml:space="preserve"> — the environmental rationale and its policy context (</w:t>
      </w:r>
      <w:hyperlink w:anchor="section294" w:history="1">
        <w:r w:rsidR="009D553E" w:rsidRPr="00D16051">
          <w:rPr>
            <w:rStyle w:val="Hyperlink"/>
            <w:rFonts w:ascii="Simplified Arabic" w:eastAsia="Cambria" w:hAnsi="Simplified Arabic" w:cs="Simplified Arabic"/>
            <w:sz w:val="28"/>
            <w:szCs w:val="28"/>
            <w14:ligatures w14:val="none"/>
          </w:rPr>
          <w:t>Section 2.9.4</w:t>
        </w:r>
      </w:hyperlink>
      <w:r w:rsidRPr="00DD1558">
        <w:rPr>
          <w:rFonts w:ascii="Simplified Arabic" w:eastAsia="Cambria" w:hAnsi="Simplified Arabic" w:cs="Simplified Arabic"/>
          <w:color w:val="212121"/>
          <w:sz w:val="28"/>
          <w:szCs w:val="28"/>
          <w14:ligatures w14:val="none"/>
        </w:rPr>
        <w:t>);</w:t>
      </w:r>
    </w:p>
    <w:p w14:paraId="291E2963" w14:textId="6239FCED"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Organizational readiness, digital transformation, and change</w:t>
      </w:r>
      <w:r w:rsidRPr="00DD1558">
        <w:rPr>
          <w:rFonts w:ascii="Simplified Arabic" w:eastAsia="Cambria" w:hAnsi="Simplified Arabic" w:cs="Simplified Arabic"/>
          <w:color w:val="212121"/>
          <w:sz w:val="28"/>
          <w:szCs w:val="28"/>
          <w14:ligatures w14:val="none"/>
        </w:rPr>
        <w:t xml:space="preserve"> — the implementation conditions and sequencing logic (</w:t>
      </w:r>
      <w:hyperlink w:anchor="section25" w:history="1">
        <w:r w:rsidRPr="00D16051">
          <w:rPr>
            <w:rStyle w:val="Hyperlink"/>
            <w:rFonts w:ascii="Simplified Arabic" w:eastAsia="Cambria" w:hAnsi="Simplified Arabic" w:cs="Simplified Arabic"/>
            <w:sz w:val="28"/>
            <w:szCs w:val="28"/>
            <w14:ligatures w14:val="none"/>
          </w:rPr>
          <w:t>Section 2.5</w:t>
        </w:r>
      </w:hyperlink>
      <w:r w:rsidRPr="00DD1558">
        <w:rPr>
          <w:rFonts w:ascii="Simplified Arabic" w:eastAsia="Cambria" w:hAnsi="Simplified Arabic" w:cs="Simplified Arabic"/>
          <w:color w:val="212121"/>
          <w:sz w:val="28"/>
          <w:szCs w:val="28"/>
          <w14:ligatures w14:val="none"/>
        </w:rPr>
        <w:t>);</w:t>
      </w:r>
    </w:p>
    <w:p w14:paraId="05268838" w14:textId="350820A8"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Risk and continuity frameworks</w:t>
      </w:r>
      <w:r w:rsidRPr="00DD1558">
        <w:rPr>
          <w:rFonts w:ascii="Simplified Arabic" w:eastAsia="Cambria" w:hAnsi="Simplified Arabic" w:cs="Simplified Arabic"/>
          <w:color w:val="212121"/>
          <w:sz w:val="28"/>
          <w:szCs w:val="28"/>
          <w14:ligatures w14:val="none"/>
        </w:rPr>
        <w:t xml:space="preserve"> — the analytical instruments the study adapts (</w:t>
      </w:r>
      <w:hyperlink w:anchor="section26" w:history="1">
        <w:r w:rsidRPr="00D16051">
          <w:rPr>
            <w:rStyle w:val="Hyperlink"/>
            <w:rFonts w:ascii="Simplified Arabic" w:eastAsia="Cambria" w:hAnsi="Simplified Arabic" w:cs="Simplified Arabic"/>
            <w:sz w:val="28"/>
            <w:szCs w:val="28"/>
            <w14:ligatures w14:val="none"/>
          </w:rPr>
          <w:t>Section 2.6</w:t>
        </w:r>
      </w:hyperlink>
      <w:r w:rsidRPr="00DD1558">
        <w:rPr>
          <w:rFonts w:ascii="Simplified Arabic" w:eastAsia="Cambria" w:hAnsi="Simplified Arabic" w:cs="Simplified Arabic"/>
          <w:color w:val="212121"/>
          <w:sz w:val="28"/>
          <w:szCs w:val="28"/>
          <w14:ligatures w14:val="none"/>
        </w:rPr>
        <w:t>).</w:t>
      </w:r>
    </w:p>
    <w:p w14:paraId="32448A3C" w14:textId="0EE1009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Each stream is treated in a uniform structure: the </w:t>
      </w:r>
      <w:r w:rsidRPr="00DD1558">
        <w:rPr>
          <w:rFonts w:ascii="Simplified Arabic" w:eastAsia="Times New Roman" w:hAnsi="Simplified Arabic" w:cs="Simplified Arabic"/>
          <w:i/>
          <w:iCs/>
          <w:color w:val="1A1A1A"/>
          <w:sz w:val="28"/>
          <w:szCs w:val="28"/>
          <w14:ligatures w14:val="none"/>
        </w:rPr>
        <w:t>trajectory</w:t>
      </w:r>
      <w:r w:rsidRPr="00DD1558">
        <w:rPr>
          <w:rFonts w:ascii="Simplified Arabic" w:eastAsia="Times New Roman" w:hAnsi="Simplified Arabic" w:cs="Simplified Arabic"/>
          <w:color w:val="1A1A1A"/>
          <w:sz w:val="28"/>
          <w:szCs w:val="28"/>
          <w14:ligatures w14:val="none"/>
        </w:rPr>
        <w:t xml:space="preserve"> of the literature, the </w:t>
      </w:r>
      <w:r w:rsidRPr="00DD1558">
        <w:rPr>
          <w:rFonts w:ascii="Simplified Arabic" w:eastAsia="Times New Roman" w:hAnsi="Simplified Arabic" w:cs="Simplified Arabic"/>
          <w:i/>
          <w:iCs/>
          <w:color w:val="1A1A1A"/>
          <w:sz w:val="28"/>
          <w:szCs w:val="28"/>
          <w14:ligatures w14:val="none"/>
        </w:rPr>
        <w:t>key studies</w:t>
      </w:r>
      <w:r w:rsidRPr="00DD1558">
        <w:rPr>
          <w:rFonts w:ascii="Simplified Arabic" w:eastAsia="Times New Roman" w:hAnsi="Simplified Arabic" w:cs="Simplified Arabic"/>
          <w:color w:val="1A1A1A"/>
          <w:sz w:val="28"/>
          <w:szCs w:val="28"/>
          <w14:ligatures w14:val="none"/>
        </w:rPr>
        <w:t xml:space="preserve"> with their substantive contributions, and the </w:t>
      </w:r>
      <w:r w:rsidRPr="00DD1558">
        <w:rPr>
          <w:rFonts w:ascii="Simplified Arabic" w:eastAsia="Times New Roman" w:hAnsi="Simplified Arabic" w:cs="Simplified Arabic"/>
          <w:i/>
          <w:iCs/>
          <w:color w:val="1A1A1A"/>
          <w:sz w:val="28"/>
          <w:szCs w:val="28"/>
          <w14:ligatures w14:val="none"/>
        </w:rPr>
        <w:t>limitation</w:t>
      </w:r>
      <w:r w:rsidRPr="00DD1558">
        <w:rPr>
          <w:rFonts w:ascii="Simplified Arabic" w:eastAsia="Times New Roman" w:hAnsi="Simplified Arabic" w:cs="Simplified Arabic"/>
          <w:color w:val="1A1A1A"/>
          <w:sz w:val="28"/>
          <w:szCs w:val="28"/>
          <w14:ligatures w14:val="none"/>
        </w:rPr>
        <w:t xml:space="preserve"> that the present study addresses. This uniform treatment makes the comparative summary of </w:t>
      </w:r>
      <w:hyperlink w:anchor="section27" w:history="1">
        <w:r w:rsidRPr="00D16051">
          <w:rPr>
            <w:rStyle w:val="Hyperlink"/>
            <w:rFonts w:ascii="Simplified Arabic" w:eastAsia="Times New Roman" w:hAnsi="Simplified Arabic" w:cs="Simplified Arabic"/>
            <w:sz w:val="28"/>
            <w:szCs w:val="28"/>
            <w14:ligatures w14:val="none"/>
          </w:rPr>
          <w:t>Section 2.7</w:t>
        </w:r>
      </w:hyperlink>
      <w:r w:rsidRPr="00DD1558">
        <w:rPr>
          <w:rFonts w:ascii="Simplified Arabic" w:eastAsia="Times New Roman" w:hAnsi="Simplified Arabic" w:cs="Simplified Arabic"/>
          <w:color w:val="1A1A1A"/>
          <w:sz w:val="28"/>
          <w:szCs w:val="28"/>
          <w14:ligatures w14:val="none"/>
        </w:rPr>
        <w:t xml:space="preserve"> possible and disciplines the gap statement of </w:t>
      </w:r>
      <w:hyperlink w:anchor="section28" w:history="1">
        <w:r w:rsidRPr="00D16051">
          <w:rPr>
            <w:rStyle w:val="Hyperlink"/>
            <w:rFonts w:ascii="Simplified Arabic" w:eastAsia="Times New Roman" w:hAnsi="Simplified Arabic" w:cs="Simplified Arabic"/>
            <w:sz w:val="28"/>
            <w:szCs w:val="28"/>
            <w14:ligatures w14:val="none"/>
          </w:rPr>
          <w:t>Section 2.8</w:t>
        </w:r>
      </w:hyperlink>
      <w:r w:rsidRPr="00DD1558">
        <w:rPr>
          <w:rFonts w:ascii="Simplified Arabic" w:eastAsia="Times New Roman" w:hAnsi="Simplified Arabic" w:cs="Simplified Arabic"/>
          <w:color w:val="1A1A1A"/>
          <w:sz w:val="28"/>
          <w:szCs w:val="28"/>
          <w14:ligatures w14:val="none"/>
        </w:rPr>
        <w:t>, where the study’s qualitative framework variables and its qualitative premise — advanced instead of statistical hypotheses — are formally stated.</w:t>
      </w:r>
    </w:p>
    <w:p w14:paraId="0A77FAFD"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29" w:name="section22"/>
      <w:bookmarkStart w:id="30" w:name="_Toc237539710"/>
      <w:bookmarkEnd w:id="29"/>
      <w:r w:rsidRPr="00DD1558">
        <w:rPr>
          <w:rFonts w:ascii="Simplified Arabic" w:eastAsiaTheme="majorEastAsia" w:hAnsi="Simplified Arabic" w:cstheme="majorBidi"/>
          <w:b/>
          <w:sz w:val="28"/>
          <w:szCs w:val="32"/>
        </w:rPr>
        <w:t>2.2 Inventory Management in Educational and University Laboratories</w:t>
      </w:r>
      <w:bookmarkEnd w:id="30"/>
    </w:p>
    <w:p w14:paraId="37E4718F"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1" w:name="_Toc237539711"/>
      <w:r w:rsidRPr="00DD1558">
        <w:rPr>
          <w:rFonts w:ascii="Simplified Arabic" w:eastAsiaTheme="majorEastAsia" w:hAnsi="Simplified Arabic" w:cstheme="majorBidi"/>
          <w:sz w:val="28"/>
          <w:szCs w:val="28"/>
        </w:rPr>
        <w:t>2.2.1 Trajectory: from operational afterthought to managerial object</w:t>
      </w:r>
      <w:bookmarkEnd w:id="31"/>
    </w:p>
    <w:p w14:paraId="51E556E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literature on laboratory inventories in higher education has undergone a discernible reframing over the period covered by this review. Earlier treatment of laboratory stock was largely absorbed into facilities management, purchasing administration, or safety compliance; the more recent scholarship repositions the laboratory as a </w:t>
      </w:r>
      <w:r w:rsidRPr="00DD1558">
        <w:rPr>
          <w:rFonts w:ascii="Simplified Arabic" w:eastAsia="Times New Roman" w:hAnsi="Simplified Arabic" w:cs="Simplified Arabic"/>
          <w:i/>
          <w:iCs/>
          <w:color w:val="1A1A1A"/>
          <w:sz w:val="28"/>
          <w:szCs w:val="28"/>
          <w14:ligatures w14:val="none"/>
        </w:rPr>
        <w:t>resource-intensive organizational unit</w:t>
      </w:r>
      <w:r w:rsidRPr="00DD1558">
        <w:rPr>
          <w:rFonts w:ascii="Simplified Arabic" w:eastAsia="Times New Roman" w:hAnsi="Simplified Arabic" w:cs="Simplified Arabic"/>
          <w:color w:val="1A1A1A"/>
          <w:sz w:val="28"/>
          <w:szCs w:val="28"/>
          <w14:ligatures w14:val="none"/>
        </w:rPr>
        <w:t xml:space="preserve"> whose material flows — reagents, consumables, instruments, glassware — constitute a managerial object in their own right, with financial, environmental, safety, and pedagogical consequences that exceed the purchasing transaction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{"citationID":"bq3bKjct","properties":{"unsorted":false,"formattedCitation":"(Durgan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This reframing is the precondition for the present thesis: only if laboratory inventory is a governable organizational process, rather than a clerical residue of procurement, can a governance framework for it be designed at all. Four sub-stream’s structure the stream: the resource-intensity and green-laboratory literature; the process-</w:t>
      </w:r>
      <w:r w:rsidRPr="00DD1558">
        <w:rPr>
          <w:rFonts w:ascii="Simplified Arabic" w:eastAsia="Times New Roman" w:hAnsi="Simplified Arabic" w:cs="Simplified Arabic"/>
          <w:color w:val="1A1A1A"/>
          <w:sz w:val="28"/>
          <w:szCs w:val="28"/>
          <w14:ligatures w14:val="none"/>
        </w:rPr>
        <w:lastRenderedPageBreak/>
        <w:t>discipline and traceability literature; the structured laboratory risk-analysis literature; and the Saudi laboratory context literature.</w:t>
      </w:r>
    </w:p>
    <w:p w14:paraId="6643176E"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2" w:name="section222"/>
      <w:bookmarkStart w:id="33" w:name="_Toc237539712"/>
      <w:bookmarkEnd w:id="32"/>
      <w:r w:rsidRPr="00DD1558">
        <w:rPr>
          <w:rFonts w:ascii="Simplified Arabic" w:eastAsiaTheme="majorEastAsia" w:hAnsi="Simplified Arabic" w:cstheme="majorBidi"/>
          <w:sz w:val="28"/>
          <w:szCs w:val="28"/>
        </w:rPr>
        <w:t>2.2.2 Key studies</w:t>
      </w:r>
      <w:bookmarkEnd w:id="33"/>
    </w:p>
    <w:p w14:paraId="36E6D66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Resource intensity and managerial reframing.</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{"citationID":"nb8Zkkmh","properties":{"unsorted":false,"formattedCitation":"(Freese et al., 2024)","plainCitation":"(Freese et al., 2024)","noteIndex":0},"citationItems":[{"id":439,"uris":["http://zotero.org/users/19711126/items/R6RIIVN3"],"itemData":{"id":439,"type":"article-journal","abstract":"Scientists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provides the stream’s most comprehensive orientation, surveying the material and energy intensity of research laboratories and documenting how over-purchasing, poor stock visibility, and absent rotation convert usable chemicals into avoidable waste; their analysis treats inventory practice, not individual carelessness, as the unit of intervention.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{"citationID":"Sgc6xrv4","properties":{"unsorted":false,"formattedCitation":"(Durgan et al., 2023)","plainCitation":"(Durgan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complement this from the life-sciences laboratory, arguing that sustainable laboratory operation requires institutionalized practices — procurement discipline, sharing, and stock management — rather than one-off green campaigns, and explicitly framing sustainability as a management-system property.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{"citationID":"Brx0jweE","properties":{"unsorted":false,"formattedCitation":"(Gutierrez et al., 2020)","plainCitation":"(Gutierrez et al., 2020)","noteIndex":0},"citationItems":[{"id":444,"uris":["http://zotero.org/users/19711126/items/TBM73H7Z"],"itemData":{"id":444,"type":"article-journal","abstract":"The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(Gutierrez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extend the argument to the university as an organizational system, examining how sustainability principles can be embedded in laboratory operations through procedural and governance mechanisms rather than through exhortation. Taking together, these works establish the thesis’s foundational premise: the drivers of chemical expiry, duplicate acquisition, and asset idleness are </w:t>
      </w:r>
      <w:r w:rsidRPr="00DD1558">
        <w:rPr>
          <w:rFonts w:ascii="Simplified Arabic" w:eastAsia="Times New Roman" w:hAnsi="Simplified Arabic" w:cs="Simplified Arabic"/>
          <w:i/>
          <w:iCs/>
          <w:color w:val="1A1A1A"/>
          <w:sz w:val="28"/>
          <w:szCs w:val="28"/>
          <w14:ligatures w14:val="none"/>
        </w:rPr>
        <w:t>structural</w:t>
      </w:r>
      <w:r w:rsidRPr="00DD1558">
        <w:rPr>
          <w:rFonts w:ascii="Simplified Arabic" w:eastAsia="Times New Roman" w:hAnsi="Simplified Arabic" w:cs="Simplified Arabic"/>
          <w:color w:val="1A1A1A"/>
          <w:sz w:val="28"/>
          <w:szCs w:val="28"/>
          <w14:ligatures w14:val="none"/>
        </w:rPr>
        <w:t xml:space="preserve"> features of how laboratory inventory is organized, and they are therefore amenable to structural correction.</w:t>
      </w:r>
    </w:p>
    <w:p w14:paraId="50BC793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Process discipline and traceability.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{"citationID":"Rvr1V9ZC","properties":{"unsorted":false,"formattedCitation":"(Leoneti et al., 2019)","plainCitation":"(Leoneti et al., 2019)","noteIndex":0},"citationItems":[{"id":479,"uris":["http://zotero.org/users/19711126/items/7QFWG4IU"],"itemData":{"id":479,"type":"article-journal","abstract":"The purpose of this paper is to propose a process management framework for Chemical Waste Treatment Laboratories (CWTL) that can be used as a management tool to identify and manage critical process.Proposition of a generic classification for categories of chemical waste; use of the ABC analysis as a tool for analysis of priority in relation to the inputs of an CWTL; use of the process matrix (variety vs volume) to identify the key resources required to perform the activities of a CWTL; and use of mapping process techniques to map the processes defined and calculate times.The proposed framework was applied to a CWTL at University of São Paulo, Brazil, and showed that the high variability of demand is a significant factor in the management of this laboratory, requiring processes that are flexible to meet this demand. The results showed that the applicability of the production and operations management theories within the scope of process management of CWTLs, proved to be useful tools for improving the treatment efficiency of chemical waste in these facilities.The novelty of this work is in the fact of using production and operations management tools in the management of CWTLs to propose diagnoses to improve the management of their processes. The proposition of a comprehensive classification for chemical wastes generated in CWTLs is also highlighted.","container-title":"Business Process Management Journal","DOI":"10.1108/BPMJ-06-2019-0233","ISSN":"1463-7154","issue":"2","journalAbbreviation":"Business Process Management Journal","page":"447-462","source":"Silverchair","title":"Process management framework for chemical waste treatment laboratories","volume":"26","author":[{"family":"Leoneti","given":"Alexandre Bevilacqua"},{"family":"Vitorino dos Santos","given":"Danilo"},{"family":"Silva","given":"Renato Santos","non-dropping-particle":"da"},{"family":"Henriques Ferreira","given":"Alessandra"},{"family":"César Pimenta","given":"Adriano"},{"family":"Valle Walter Borges de Oliveira","given":"Sonia"}],"issued":{"date-parts":[["2019",10,25]]}}}],"schema":"https://github.com/citation-style-language/schema/raw/master/csl-citation.json"}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(Leoneti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apply business process management methodology to laboratory workflows, demonstrating that laboratory processes — including material and information flows — can be modelled, standardized, and improved with the same process discipline applied in industrial settings. This study matters to the thesis less for its specific process maps than for its warrant: it shows that the laboratory is not an exceptional domain exempt from process standardization, and that traceability of material flows is an achievable design target rather than an aspiration. The framework’s standardized catalog and records (prevention barrier PB1) and its </w:t>
      </w:r>
      <w:r w:rsidRPr="00DD1558">
        <w:rPr>
          <w:rFonts w:ascii="Simplified Arabic" w:eastAsia="Times New Roman" w:hAnsi="Simplified Arabic" w:cs="Simplified Arabic"/>
          <w:color w:val="1A1A1A"/>
          <w:sz w:val="28"/>
          <w:szCs w:val="28"/>
          <w14:ligatures w14:val="none"/>
        </w:rPr>
        <w:lastRenderedPageBreak/>
        <w:t>documented loan workflows are direct descendants of this process-management perspective.</w:t>
      </w:r>
    </w:p>
    <w:p w14:paraId="69835BF1" w14:textId="0E18CE2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Structured laboratory risk analysis.</w:t>
      </w:r>
      <w:r w:rsidRPr="00DD1558">
        <w:rPr>
          <w:rFonts w:ascii="Simplified Arabic" w:eastAsia="Times New Roman" w:hAnsi="Simplified Arabic" w:cs="Simplified Arabic"/>
          <w:color w:val="1A1A1A"/>
          <w:sz w:val="28"/>
          <w:szCs w:val="28"/>
          <w14:ligatures w14:val="none"/>
        </w:rPr>
        <w:t xml:space="preserve"> A distinct sub-stream brings formal risk-assessment technique to university laboratories.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{"citationID":"YXxk7j9p","properties":{"unsorted":false,"formattedCitation":"(Ayyildiz et al., 2025)","plainCitation":"(Ayyildiz et al., 2025)","noteIndex":0},"citationItems":[{"id":408,"uris":["http://zotero.org/users/19711126/items/QL8LLSEQ"],"itemData":{"id":408,"type":"article-journal","abstract":"Identifying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(Ayyildiz et al.,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apply structured multi-criteria risk assessment to laboratory environments, illustrating the trend toward systematic, criteria-based hazard evaluation rather than informal judgment.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{"citationID":"V1bgKqnP","properties":{"unsorted":false,"formattedCitation":"(Li et al., 2022)","plainCitation":"(Li et al., 2022)","noteIndex":0},"citationItems":[{"id":481,"uris":["http://zotero.org/users/19711126/items/A4S92IID"],"itemData":{"id":481,"type":"article-journal","abstract":"Introduction: Risk assessment for unsafe behavior is an important task in the management of university laboratories. Yet related research activities are still in the early stages. This paper attempts to deepen the insight and provide a basis for further research. Method: As traditional methods are inadequate in terms of quantitative assessment and uncertainty handling, this paper proposes a method to assess the risk of unsafe behavior in university laboratories using the human factor analysis and classification system for university laboratories (HFACS-UL)-fuzzy Bayesian network (BN) approach. A BN structure was established using the HFACS-UL model for the identification of factors influencing unsafe behavior. Using a fuzzy BN approach, parameters are learned based on prior knowledge and expert experience. The model is then applied for inference analysis to identify the main risk factors. The key agents were also analyzed along with meta-networks to determine further preventive and control measures. Results: Taking chemistry laboratories of a university as an example, the results show that the probability of unacceptable unsafe behavior in chemical laboratories is 86%, indicating that commitment and cooperation from different agents are required. Of the 24 risk factors, poor organizational climate, with a sensitivity value of 24.1%, has the greatest impact on unsafe behavior. The most fundamental factor contributing to the occurrence of unsafe behavior is inadequate legislation, which in turn results in unacceptable external factors and inadequate supervision, thus forming the most likely causal chain. The functional department, lab center director, and secondary faculty leadership team are the most critical agents. Conclusions: Results from the chemistry laboratories demonstrate the credibility of the model. Practical applications: This study may help provide technical support for risk management in university laboratories.","container-title":"Journal of Safety Research","DOI":"10.1016/j.jsr.2022.04.002","ISSN":"0022-4375","journalAbbreviation":"Journal of Safety Research","page":"13-27","source":"ScienceDirect","title":"Risk assessment of unsafe behavior in university laboratories using the HFACS-UL and a fuzzy Bayesian network","volume":"82","author":[{"family":"Li","given":"Ziqi"},{"family":"Wang","given":"Xiaolong"},{"family":"Gong","given":"Shiji"},{"family":"Sun","given":"Ninghao"},{"family":"Tong","given":"Ruipeng"}],"issued":{"date-parts":[["2022",9,1]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(Li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model laboratory safety risk through system-oriented analysis, emphasizing the interdependence of human, organizational, and material factors in laboratory accidents.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{"citationID":"tZLJsA8C","properties":{"unsorted":false,"formattedCitation":"(Zhao et al., 2023)","plainCitation":"(Zhao et al., 2023)","noteIndex":0},"citationItems":[{"id":531,"uris":["http://zotero.org/users/19711126/items/CJD3IRVZ"],"itemData":{"id":531,"type":"article-journal","abstract":"Accidents in university laboratories not only create a great threat to students’ safety but bring significant negative social impact. This paper investigates the university laboratory safety in China using questionnaire and Bayesian network (BN) analysis. Sixteen influencing factors for building the Bayesian net were firstly identified. A questionnaire was distributed to graduate students at 60 universities in China to acquire the probability of safe/unsafe conditions for sixteen influencing factors, based on which the conditional probability of four key factors (human, equipment and material, environment, and management) was calculated using the fuzzy triangular theory and expert judgment. The determined conditional probability was used to develop a Bayesian network model for the risk analysis of university laboratory safety and identification of the main reasons behind the accidents. Questionnaire results showed that management problems are prominent due to insufficient safety education training and weak management level of management personnel. The calculated unsafe state probability was found to be 65.2%. In the BN analysis, the human factor was found to play the most important role, followed by equipment and material factor. Sensitive and inferential analysis showed that the most sensitive factors are personnel incorrect operation, illegal operation, and experiment equipment failure. Based on the analysis, countermeasures were proposed to improve the safe management and operation of university laboratories.","container-title":"Journal of Loss Prevention in the Process Industries","DOI":"10.1016/j.jlp.2023.105054","ISSN":"0950-4230","journalAbbreviation":"Journal of Loss Prevention in the Process Industries","page":"105054","source":"ScienceDirect","title":"Risk assessment of safety level in university laboratories using questionnaire and Bayesian network","volume":"83","author":[{"family":"Zhao","given":"Jinlong"},{"family":"Cui","given":"Huaying"},{"family":"Wang","given":"Guru"},{"family":"Zhang","given":"Jianping"},{"family":"Yang","given":"Rui"}],"issued":{"date-parts":[["2023",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(Zhao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contribute a structured risk-assessment approach for laboratory settings in the loss-prevention tradition,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{"citationID":"qozGwMH1","properties":{"unsorted":false,"formattedCitation":"(Papadopoli et al., 2020)","plainCitation":"(Papadopoli et al., 2020)","noteIndex":0},"citationItems":[{"id":487,"uris":["http://zotero.org/users/19711126/items/UGG59C2J"],"itemData":{"id":487,"type":"article-journal","abstract":"Exposure to chemical compounds occurs in numerous occupational settings, among which the research and healthcare laboratories have not been adequately investigated. These settings are characterized by an extreme variability of the used compounds and by the frequent turnover of young researchers. The main objectives of the study were to explore the occupational exposure to hazardous chemical substances among research laboratory workers; to assess their awareness and perceptions regarding chemical hazards; to investigate adherence to guidelines on safe handling of chemical compounds; and to analyze the effects of several factors on these outcomes of interest.","container-title":"Journal of Occupational Medicine and Toxicology","DOI":"10.1186/s12995-020-00268-x","ISSN":"1745-6673","issue":"1","journalAbbreviation":"J Occup Med Toxicol","language":"en","page":"17","source":"Springer Link","title":"Chemical risk and safety awareness, perception, and practices among research laboratories workers in Italy","volume":"15","author":[{"family":"Papadopoli","given":"Rosa"},{"family":"Nobile","given":"Carmelo Giuseppe Angelo"},{"family":"Trovato","given":"Alessandro"},{"family":"Pileggi","given":"Claudia"},{"family":"Pavia","given":"Maria"}],"issued":{"date-parts":[["2020",6,16]]}}}],"schema":"https://github.com/citation-style-language/schema/raw/master/csl-citation.json"}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(Papadopoli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biological-risk perception and safety compliance among laboratory personnel, underscoring that procedural compliance — not only engineered safeguards — determines realized safety performance. The collective lesson for this thesis is double-edged: laboratory risk scholarship is technically sophisticated, but it concentrates overwhelmingly on </w:t>
      </w:r>
      <w:r w:rsidRPr="00DD1558">
        <w:rPr>
          <w:rFonts w:ascii="Simplified Arabic" w:eastAsia="Times New Roman" w:hAnsi="Simplified Arabic" w:cs="Simplified Arabic"/>
          <w:i/>
          <w:iCs/>
          <w:color w:val="1A1A1A"/>
          <w:sz w:val="28"/>
          <w:szCs w:val="28"/>
          <w14:ligatures w14:val="none"/>
        </w:rPr>
        <w:t>safety hazards</w:t>
      </w:r>
      <w:r w:rsidRPr="00DD1558">
        <w:rPr>
          <w:rFonts w:ascii="Simplified Arabic" w:eastAsia="Times New Roman" w:hAnsi="Simplified Arabic" w:cs="Simplified Arabic"/>
          <w:color w:val="1A1A1A"/>
          <w:sz w:val="28"/>
          <w:szCs w:val="28"/>
          <w14:ligatures w14:val="none"/>
        </w:rPr>
        <w:t xml:space="preserve"> (chemical, biological, physical) rather than on the </w:t>
      </w:r>
      <w:r w:rsidRPr="00DD1558">
        <w:rPr>
          <w:rFonts w:ascii="Simplified Arabic" w:eastAsia="Times New Roman" w:hAnsi="Simplified Arabic" w:cs="Simplified Arabic"/>
          <w:i/>
          <w:iCs/>
          <w:color w:val="1A1A1A"/>
          <w:sz w:val="28"/>
          <w:szCs w:val="28"/>
          <w14:ligatures w14:val="none"/>
        </w:rPr>
        <w:t>managerial hazards</w:t>
      </w:r>
      <w:r w:rsidRPr="00DD1558">
        <w:rPr>
          <w:rFonts w:ascii="Simplified Arabic" w:eastAsia="Times New Roman" w:hAnsi="Simplified Arabic" w:cs="Simplified Arabic"/>
          <w:color w:val="1A1A1A"/>
          <w:sz w:val="28"/>
          <w:szCs w:val="28"/>
          <w14:ligatures w14:val="none"/>
        </w:rPr>
        <w:t xml:space="preserve"> — expiry, underutilization, custody failure — that the present framework takes as its top events. The thesis’s adaptation of the Bow-Tie method to inventory top events occupies precisely this unpopulated intersection (</w:t>
      </w:r>
      <w:hyperlink w:anchor="section26" w:history="1">
        <w:r w:rsidRPr="00D16051">
          <w:rPr>
            <w:rStyle w:val="Hyperlink"/>
            <w:rFonts w:ascii="Simplified Arabic" w:eastAsia="Times New Roman" w:hAnsi="Simplified Arabic" w:cs="Simplified Arabic"/>
            <w:sz w:val="28"/>
            <w:szCs w:val="28"/>
            <w14:ligatures w14:val="none"/>
          </w:rPr>
          <w:t>Section 2.6</w:t>
        </w:r>
      </w:hyperlink>
      <w:r w:rsidRPr="00DD1558">
        <w:rPr>
          <w:rFonts w:ascii="Simplified Arabic" w:eastAsia="Times New Roman" w:hAnsi="Simplified Arabic" w:cs="Simplified Arabic"/>
          <w:color w:val="1A1A1A"/>
          <w:sz w:val="28"/>
          <w:szCs w:val="28"/>
          <w14:ligatures w14:val="none"/>
        </w:rPr>
        <w:t>).</w:t>
      </w:r>
    </w:p>
    <w:p w14:paraId="6F6B1D6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The Saudi laboratory context.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{"citationID":"s7fnjYIf","properties":{"unsorted":false,"formattedCitation":"(Hassanain et al., 2019)","plainCitation":"(Hassanain et al., 2019)","noteIndex":0},"citationItems":[{"id":446,"uris":["http://zotero.org/users/19711126/items/G73ZZ2MX"],"itemData":{"id":446,"type":"article-journal","abstract":"The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(Hassanain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assess facilities and asset management practices in Saudi higher education, documenting the administrative structures through which Saudi universities manage physical assets and identifying the gap between asset-management aspiration and institutionalized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{"citationID":"LivYsc1R","properties":{"unsorted":false,"formattedCitation":"(Mohsen, 2025)","plainCitation":"(Mohsen, 2025)","noteIndex":0},"citationItems":[{"id":393,"uris":["http://zotero.org/users/19711126/items/MIBC5ERC"],"itemData":{"id":393,"type":"article-journal","abstract":"Background: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 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Sciences","DOI":"10.18231/j.jeths.2023.010","ISSN":"2454-4396","issue":"2","language":"en","page":"42-46","publisher":"IP Innovative Publication Pvt. Ltd.","source":"jeths.org","title":"Laboratory safety and security concepts for clinical laboratory students and universities staff in Saudi Arabia","volume":"10","author":[{"family":"Mohsen","given":"Zahra Al"}],"issued":{"date-parts":[["2025",7,22]]}}}],"schema":"https://github.com/citation-style-language/schema/raw/master/csl-citation.json"}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(Mohsen,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examines laboratory management in the Saudi health-sciences education context, describing the operational routines and constraints under which Saudi educational laboratories actually run. Together these studies confirm the relevance of the problem setting — Saudi universities operate substantial laboratory capacity under developing </w:t>
      </w:r>
      <w:r w:rsidRPr="00DD1558">
        <w:rPr>
          <w:rFonts w:ascii="Simplified Arabic" w:eastAsia="Times New Roman" w:hAnsi="Simplified Arabic" w:cs="Simplified Arabic"/>
          <w:color w:val="1A1A1A"/>
          <w:sz w:val="28"/>
          <w:szCs w:val="28"/>
          <w14:ligatures w14:val="none"/>
        </w:rPr>
        <w:lastRenderedPageBreak/>
        <w:t>management structures — while stopping short of proposing governance designs for shared inventory: their object is description and assessment, not framework construction.</w:t>
      </w:r>
    </w:p>
    <w:p w14:paraId="7B53744B"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4" w:name="_Toc237539713"/>
      <w:r w:rsidRPr="00DD1558">
        <w:rPr>
          <w:rFonts w:ascii="Simplified Arabic" w:eastAsiaTheme="majorEastAsia" w:hAnsi="Simplified Arabic" w:cstheme="majorBidi"/>
          <w:sz w:val="28"/>
          <w:szCs w:val="28"/>
        </w:rPr>
        <w:t>2.2.3 Limitation for the present purpose</w:t>
      </w:r>
      <w:bookmarkEnd w:id="34"/>
    </w:p>
    <w:p w14:paraId="4BA161E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Across the four sub-streams, a consistent limitation emerges. The green-laboratory literature diagnoses inventory dysfunctions convincingly but prescribes at the level of practice guidance — rotate stock, share where possible, procure responsibly — without specifying the organizational architecture (decision rights, policy instruments, custody rules, audit cadence) that would make such practices enforceable across an institution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{"citationID":"tsG8eNj4","properties":{"unsorted":false,"formattedCitation":"(Durgan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process and risk literatures supply technique without governance: they show how to model and assess, but not who owns the controls, under what policy authority, and with what escalation paths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{"citationID":"BSiFNWGi","properties":{"unsorted":false,"formattedCitation":"(Ayyildiz et al., 2025; Leoneti et al., 2019)","plainCitation":"(Ayyildiz et al., 2025; Leoneti et al., 2019)","noteIndex":0},"citationItems":[{"id":408,"uris":["http://zotero.org/users/19711126/items/QL8LLSEQ"],"itemData":{"id":408,"type":"article-journal","abstract":"Identifying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Irem"}],"issued":{"date-parts":[["2025",11,1]]}}},{"id":479,"uris":["http://zotero.org/users/19711126/items/7QFWG4IU"],"itemData":{"id":479,"type":"article-journal","abstract":"The purpose of this paper is to propose a process management framework for Chemical Waste Treatment Laboratories (CWTL) that can be used as a management tool to identify and manage critical process.Proposition of a generic classification for categories of chemical waste; use of the ABC analysis as a tool for analysis of priority in relation to the inputs of an CWTL; use of the process matrix (variety vs volume) to identify the key resources required to perform the activities of a CWTL; and use of mapping process techniques to map the processes defined and calculate times.The proposed framework was applied to a CWTL at University of São Paulo, Brazil, and showed that the high variability of demand is a significant factor in the management of this laboratory, requiring processes that are flexible to meet this demand. The results showed that the applicability of the production and operations management theories within the scope of process management of CWTLs, proved to be useful tools for improving the treatment efficiency of chemical waste in these facilities.The novelty of this work is in the fact of using production and operations management tools in the management of CWTLs to propose diagnoses to improve the management of their processes. The proposition of a comprehensive classification for chemical wastes generated in CWTLs is also highlighted.","container-title":"Business Process Management Journal","DOI":"10.1108/BPMJ-06-2019-0233","ISSN":"1463-7154","issue":"2","journalAbbreviation":"Business Process Management Journal","page":"447-462","source":"Silverchair","title":"Process management framework for chemical waste treatment laboratories","volume":"26","author":[{"family":"Leoneti","given":"Alexandre Bevilacqua"},{"family":"Vitorino dos Santos","given":"Danilo"},{"family":"Silva","given":"Renato Santos","non-dropping-particle":"da"},{"family":"Henriques Ferreira","given":"Alessandra"},{"family":"César Pimenta","given":"Adriano"},{"family":"Valle Walter Borges de Oliveira","given":"Sonia"}],"issued":{"date-parts":[["2019",10,25]]}}}],"schema":"https://github.com/citation-style-language/schema/raw/master/csl-citation.json"}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(Ayyildiz et al., 2025; Leoneti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Saudi-context studies document the setting without designing for 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{"citationID":"9Meb79Ur","properties":{"unsorted":false,"formattedCitation":"(Hassanain et al., 2019; Mohsen, 2025)","plainCitation":"(Hassanain et al., 2019; Mohsen, 2025)","noteIndex":0},"citationItems":[{"id":446,"uris":["http://zotero.org/users/19711126/items/G73ZZ2MX"],"itemData":{"id":446,"type":"article-journal","abstract":"The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Sadiq"},{"family":"Ahmed","given":"Wahhaj"}],"issued":{"date-parts":[["2019",10,11]]}}},{"id":393,"uris":["http://zotero.org/users/19711126/items/MIBC5ERC"],"itemData":{"id":393,"type":"article-journal","abstract":"Background: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 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Sciences","DOI":"10.18231/j.jeths.2023.010","ISSN":"2454-4396","issue":"2","language":"en","page":"42-46","publisher":"IP Innovative Publication Pvt. Ltd.","source":"jeths.org","title":"Laboratory safety and security concepts for clinical laboratory students and universities staff in Saudi Arabia","volume":"10","author":[{"family":"Mohsen","given":"Zahra Al"}],"issued":{"date-parts":[["2025",7,22]]}}}],"schema":"https://github.com/citation-style-language/schema/raw/master/csl-citation.json"}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(Hassanain et al., 2019; Mohsen,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present study addresses this limitation directly: it takes the diagnosed dysfunctions as </w:t>
      </w:r>
      <w:r w:rsidRPr="00DD1558">
        <w:rPr>
          <w:rFonts w:ascii="Simplified Arabic" w:eastAsia="Times New Roman" w:hAnsi="Simplified Arabic" w:cs="Simplified Arabic"/>
          <w:i/>
          <w:iCs/>
          <w:color w:val="1A1A1A"/>
          <w:sz w:val="28"/>
          <w:szCs w:val="28"/>
          <w14:ligatures w14:val="none"/>
        </w:rPr>
        <w:t>threats</w:t>
      </w:r>
      <w:r w:rsidRPr="00DD1558">
        <w:rPr>
          <w:rFonts w:ascii="Simplified Arabic" w:eastAsia="Times New Roman" w:hAnsi="Simplified Arabic" w:cs="Simplified Arabic"/>
          <w:color w:val="1A1A1A"/>
          <w:sz w:val="28"/>
          <w:szCs w:val="28"/>
          <w14:ligatures w14:val="none"/>
        </w:rPr>
        <w:t xml:space="preserve"> in a formal risk architecture and assigns every countermeasure to a named organizational owner within a governance design tailored to a Saudi university setting.</w:t>
      </w:r>
    </w:p>
    <w:p w14:paraId="093589C0"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35" w:name="Section23"/>
      <w:bookmarkStart w:id="36" w:name="_Toc237539714"/>
      <w:bookmarkEnd w:id="35"/>
      <w:r w:rsidRPr="00DD1558">
        <w:rPr>
          <w:rFonts w:ascii="Simplified Arabic" w:eastAsiaTheme="majorEastAsia" w:hAnsi="Simplified Arabic" w:cstheme="majorBidi"/>
          <w:b/>
          <w:sz w:val="28"/>
          <w:szCs w:val="32"/>
        </w:rPr>
        <w:t>2.3 Participatory and Resource-Sharing Models</w:t>
      </w:r>
      <w:bookmarkEnd w:id="36"/>
    </w:p>
    <w:p w14:paraId="65F25261"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7" w:name="_Toc237539715"/>
      <w:r w:rsidRPr="00DD1558">
        <w:rPr>
          <w:rFonts w:ascii="Simplified Arabic" w:eastAsiaTheme="majorEastAsia" w:hAnsi="Simplified Arabic" w:cstheme="majorBidi"/>
          <w:sz w:val="28"/>
          <w:szCs w:val="28"/>
        </w:rPr>
        <w:t>2.3.1 Trajectory: from co-location to governed access</w:t>
      </w:r>
      <w:bookmarkEnd w:id="37"/>
    </w:p>
    <w:p w14:paraId="1C4F45F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sharing of laboratory resources has a long practical history in the form of core facilities and shared instrument rooms, but the literature’s centre of gravity has shifted from describing co-located infrastructure toward analysing </w:t>
      </w:r>
      <w:r w:rsidRPr="00DD1558">
        <w:rPr>
          <w:rFonts w:ascii="Simplified Arabic" w:eastAsia="Times New Roman" w:hAnsi="Simplified Arabic" w:cs="Simplified Arabic"/>
          <w:i/>
          <w:iCs/>
          <w:color w:val="1A1A1A"/>
          <w:sz w:val="28"/>
          <w:szCs w:val="28"/>
          <w14:ligatures w14:val="none"/>
        </w:rPr>
        <w:t>governed access</w:t>
      </w:r>
      <w:r w:rsidRPr="00DD1558">
        <w:rPr>
          <w:rFonts w:ascii="Simplified Arabic" w:eastAsia="Times New Roman" w:hAnsi="Simplified Arabic" w:cs="Simplified Arabic"/>
          <w:color w:val="1A1A1A"/>
          <w:sz w:val="28"/>
          <w:szCs w:val="28"/>
          <w14:ligatures w14:val="none"/>
        </w:rPr>
        <w:t xml:space="preserve">: the rules, incentives, and trust mechanisms that determine whether shared resources are actually used equitably and sustainably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{"citationID":"1ShOMuyc","properties":{"unsorted":false,"formattedCitation":"(Strom et al., 2020; X. Wang &amp; Qu, 2025)","plainCitation":"(Strom et al., 2020; X. Wang &amp; Qu,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This trajectory parallels the broader sharing-economy literature’s move from celebrating access-over-ownership to scrutinizing its governance preconditions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{"citationID":"K7aP9wg1","properties":{"unsorted":false,"formattedCitation":"(Zhu &amp; Liu, 2021)","plainCitation":"(Zhu &amp; Liu, 2021)","noteIndex":0},"citationItems":[{"id":534,"uris":["http://zotero.org/users/19711126/items/HFQSD64T"],"itemData":{"id":534,"type":"article-journal","abstract":"With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83B7F01"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8" w:name="_Toc237539716"/>
      <w:r w:rsidRPr="00DD1558">
        <w:rPr>
          <w:rFonts w:ascii="Simplified Arabic" w:eastAsiaTheme="majorEastAsia" w:hAnsi="Simplified Arabic" w:cstheme="majorBidi"/>
          <w:sz w:val="28"/>
          <w:szCs w:val="28"/>
        </w:rPr>
        <w:lastRenderedPageBreak/>
        <w:t>2.3.2 Key studies</w:t>
      </w:r>
      <w:bookmarkEnd w:id="38"/>
    </w:p>
    <w:p w14:paraId="0D84094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Core and shared facilities.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{"citationID":"H4I4og41","properties":{"unsorted":false,"formattedCitation":"(Strom et al., 2020)","plainCitation":"(Strom et al., 2020)","noteIndex":0},"citationItems":[{"id":508,"uris":["http://zotero.org/users/19711126/items/IFVMEKJ2"],"itemData":{"id":508,"type":"article-journal","container-title":"MRS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the operation of shared instrumentation facilities in materials research, showing that shared-access regimes raise utilization and broaden access only when booking, cost recovery, and stewardship responsibilities are institutionally specified — informal sharing arrangements decay.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{"citationID":"yABk4UmP","properties":{"unsorted":false,"formattedCitation":"(Adami et al., 2021)","plainCitation":"(Adami et al., 2021)","noteIndex":0},"citationItems":[{"id":388,"uris":["http://zotero.org/users/19711126/items/UMKLAE3V"],"itemData":{"id":388,"type":"article-journal","abstract":"Core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shared resource operations in the biomolecular core-facility context, documenting the administrative infrastructure — tracking, scheduling, and accountability mechanisms — that professionalized sharing requires. Both studies establish the thesis’s stewardship principle: the value of shared stock is realized through availability and accountable custody, not through pooled ownership, and both therefore inform the Inter-Lab Policy Framework’s insistence that custody be unambiguous at every moment of a loan cycle.</w:t>
      </w:r>
    </w:p>
    <w:p w14:paraId="1D64C05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Access-over-ownership logic.</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{"citationID":"TFF2fvqH","properties":{"unsorted":false,"formattedCitation":"(Zhu &amp; Liu, 2021)","plainCitation":"(Zhu &amp; Liu, 2021)","noteIndex":0},"citationItems":[{"id":534,"uris":["http://zotero.org/users/19711126/items/HFQSD64T"],"itemData":{"id":534,"type":"article-journal","abstract":"With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theorize the access-over-ownership model in consumption and production systems, articulating the conditions under which shared access displaces redundant acquisition and the conditions — transaction costs, trust deficits, responsibility ambiguity — under which it fails. This work supplies the conceptual grammar for the framework’s Principle of Stewardship over ownership: participation in a shared inventory is a governance arrangement with explicit allocation rules, not a pooling of property.</w:t>
      </w:r>
    </w:p>
    <w:p w14:paraId="3D32768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Governance cautions from instrument sharing.</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{"citationID":"0yiDQHA8","properties":{"unsorted":false,"formattedCitation":"(X.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study the governance of large scientific instrument sharing, identifying the failure modes of pooled-resource arrangements — free-riding, ambiguous responsibility for damage and maintenance, and eroded trust under weak platform rules — and the governance mechanisms that counter them. This is the stream’s most direct cautionary source for the present design: it predicts precisely the escalation factor the thesis labels custody ambiguity </w:t>
      </w:r>
      <w:r w:rsidRPr="00DD1558">
        <w:rPr>
          <w:rFonts w:ascii="Simplified Arabic" w:eastAsia="Times New Roman" w:hAnsi="Simplified Arabic" w:cs="Simplified Arabic"/>
          <w:color w:val="1A1A1A"/>
          <w:sz w:val="28"/>
          <w:szCs w:val="28"/>
          <w14:ligatures w14:val="none"/>
        </w:rPr>
        <w:lastRenderedPageBreak/>
        <w:t>(EF3) and thereby justifies the custody-transfer protocol (EB3), the damage/loss liability principle, and the loan limits and recall rights of the Inter-Lab Policy Framework.</w:t>
      </w:r>
    </w:p>
    <w:p w14:paraId="53FA257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Documented savings practice and acquisition trade-offs.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{"citationID":"HlleaGLa","properties":{"unsorted":false,"formattedCitation":"(Tu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document, in a clinical-biochemistry laboratory setting, the practice of reducing reagent and consumable waste through coordinated stock management and sharing arrangements; the study is cited here strictly qualitatively, as evidence that disciplined, coordinated inventory practice is operationally achievable in real laboratories — the thesis reports no figures from 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{"citationID":"vFiprzZ8","properties":{"unsorted":false,"formattedCitation":"(Sorzano &amp; Carazo, 2026)","plainCitation":"(Sorzano &amp; Carazo, 2026)","noteIndex":0},"citationItems":[{"id":506,"uris":["http://zotero.org/users/19711126/items/PF3M5KU5"],"itemData":{"id":506,"type":"article-journal","abstract":"Scientific equipment, such as high-end electron microscopes, entails considerable costs for acquisition, maintenance and operation. Efficient use of these instruments requires thoughtful allocation of access among multiple users. This task may be aided by a thorough statistical analysis that combines cost modelling and queueing theory. In this work, we propose a framework for estimating the hourly access cost and the average waiting time, based on equipment characteristics (price, lifespan and operating hours), user patterns (cycle and acquisition times) and staffing assumptions. In this way, we derive expressions that help estimate the optimal number of users and service congestion levels. The methodology is general and applicable to many types of shared scientific infrastructure. We illustrate its use with realistic cryo-electron microscopy scenarios. To facilitate adoption, we provide an open-access online calculator implementing the model at https://i2pc.es/coss/Programs/equipmentCost.html. This tool can support evidence-based decision-making in equipment planning and policy design.","container-title":"Acta Crystallographica Section D: Structural Biology","DOI":"10.1107/S2059798326003608","ISSN":"2059-7983","issue":"6","journalAbbreviation":"Acta Cryst D","language":"en","license":"https://creativecommons.org/licenses/by/4.0/","page":"638-645","publisher":"International Union of Crystallography","source":"journals.iucr.org","title":"Rational acquisition of laboratory equipment: an accurate mathematical model to estimate the trade-offs in shared and nonshared equipment","title-short":"Rational acquisition of laboratory equipment","volume":"82","author":[{"family":"Sorzano","given":"C. O. S."},{"family":"Carazo","given":"J. M."}],"issued":{"date-parts":[["2026",6,1]]}}}],"schema":"https://github.com/citation-style-language/schema/raw/master/csl-citation.json"}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(Sorzano &amp; Carazo, 2026)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model the acquisition-versus-sharing trade-off for expensive scientific instrumentation, analyzing when shared access economically and operationally dominates purchase; their contribution is the analytical habit of treating acquisition as one option among governed alternatives rather than as the default — the same habit the framework’s eligibility clauses (PB2) institutionalize by requiring a shared-registry check before requisition.</w:t>
      </w:r>
    </w:p>
    <w:p w14:paraId="3E7BE27B"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39" w:name="_Toc237539717"/>
      <w:r w:rsidRPr="00DD1558">
        <w:rPr>
          <w:rFonts w:ascii="Simplified Arabic" w:eastAsiaTheme="majorEastAsia" w:hAnsi="Simplified Arabic" w:cstheme="majorBidi"/>
          <w:sz w:val="28"/>
          <w:szCs w:val="28"/>
        </w:rPr>
        <w:t>2.3.3 Limitation for the present purpose</w:t>
      </w:r>
      <w:bookmarkEnd w:id="39"/>
    </w:p>
    <w:p w14:paraId="31AC4E8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sharing literature is, however, concentrated on research infrastructure — core facilities, large instruments, specialized platforms — rather than on the heterogeneous, high-throughput </w:t>
      </w:r>
      <w:r w:rsidRPr="00DD1558">
        <w:rPr>
          <w:rFonts w:ascii="Simplified Arabic" w:eastAsia="Times New Roman" w:hAnsi="Simplified Arabic" w:cs="Simplified Arabic"/>
          <w:i/>
          <w:iCs/>
          <w:color w:val="1A1A1A"/>
          <w:sz w:val="28"/>
          <w:szCs w:val="28"/>
          <w14:ligatures w14:val="none"/>
        </w:rPr>
        <w:t>teaching</w:t>
      </w:r>
      <w:r w:rsidRPr="00DD1558">
        <w:rPr>
          <w:rFonts w:ascii="Simplified Arabic" w:eastAsia="Times New Roman" w:hAnsi="Simplified Arabic" w:cs="Simplified Arabic"/>
          <w:color w:val="1A1A1A"/>
          <w:sz w:val="28"/>
          <w:szCs w:val="28"/>
          <w14:ligatures w14:val="none"/>
        </w:rPr>
        <w:t xml:space="preserve"> inventory of consumables, glassware, and bench instruments that constitutes the present case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{"citationID":"1sY7TRuL","properties":{"unsorted":false,"formattedCitation":"(Adami et al., 2021; Strom et al., 2020)","plainCitation":"(Adami et al., 2021; Strom et al., 2020)","noteIndex":0},"citationItems":[{"id":388,"uris":["http://zotero.org/users/19711126/items/UMKLAE3V"],"itemData":{"id":388,"type":"article-journal","abstract":"Core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Its governance lessons, while transferable, are not pre-packaged for a university college in which dozens of semi-autonomous teaching laboratories share everyday stock under ordinary departmental budget authority; nor does it engage the Saudi higher-education administrative environment in which such rules must acquire force. The thesis’s contribution is to translate the sharing literature’s governance principles — specified stewardship, explicit decision rights, documented custody, liability allocation — into a ratified policy framework (the Inter-Lab Policy Framework) situated within a three-tier </w:t>
      </w:r>
      <w:r w:rsidRPr="00DD1558">
        <w:rPr>
          <w:rFonts w:ascii="Simplified Arabic" w:eastAsia="Times New Roman" w:hAnsi="Simplified Arabic" w:cs="Simplified Arabic"/>
          <w:color w:val="1A1A1A"/>
          <w:sz w:val="28"/>
          <w:szCs w:val="28"/>
          <w14:ligatures w14:val="none"/>
        </w:rPr>
        <w:lastRenderedPageBreak/>
        <w:t>governance architecture, and to extend the shared object from instruments to the full inventory including FEFO-governed chemical redistribution.</w:t>
      </w:r>
    </w:p>
    <w:p w14:paraId="3A4D02E2"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40" w:name="section24"/>
      <w:bookmarkStart w:id="41" w:name="_Toc237539718"/>
      <w:bookmarkEnd w:id="40"/>
      <w:r w:rsidRPr="00DD1558">
        <w:rPr>
          <w:rFonts w:ascii="Simplified Arabic" w:eastAsiaTheme="majorEastAsia" w:hAnsi="Simplified Arabic" w:cstheme="majorBidi"/>
          <w:b/>
          <w:sz w:val="28"/>
          <w:szCs w:val="32"/>
        </w:rPr>
        <w:t>2.4 Circular Economy, Green Procurement, and Sustainability in Higher Education</w:t>
      </w:r>
      <w:bookmarkEnd w:id="41"/>
    </w:p>
    <w:p w14:paraId="37746547"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42" w:name="_Toc237539719"/>
      <w:r w:rsidRPr="00DD1558">
        <w:rPr>
          <w:rFonts w:ascii="Simplified Arabic" w:eastAsiaTheme="majorEastAsia" w:hAnsi="Simplified Arabic" w:cstheme="majorBidi"/>
          <w:sz w:val="28"/>
          <w:szCs w:val="28"/>
        </w:rPr>
        <w:t>2.4.1 Trajectory: from industrial ecology metaphor to campus operating logic</w:t>
      </w:r>
      <w:bookmarkEnd w:id="42"/>
    </w:p>
    <w:p w14:paraId="075E321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Circular economy (CE) scholarship provides the environmental-theoretic spine of the thesis. The foundational articulation — an economy restorative by design, in which materials circulate at their highest utility through nested loops of maintenance, reuse, and recovery rather than flowing linearly from extraction to disposal — was consolidated by the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{"citationID":"CHwsrntz","properties":{"unsorted":false,"formattedCitation":"(Ellen MacArthur Foundation., 2013)","plainCitation":"(Ellen MacArthur Foundation., 2013)","noteIndex":0},"citationItems":[{"id":539,"uris":["http://zotero.org/users/19711126/items/2XUL857H"],"itemData":{"id":539,"type":"report","title":"Towards the Circular Economy: Economic and business rationale for an accelerated transition (Vol. 1)","URL":"https://media1.circulareconomy.se/2016/11/Towards-The-Circular-Economy-vol-1-2012.pdf","author":[{"family":"Ellen MacArthur Foundation.","given":""}],"accessed":{"date-parts":[["2026",8,6]]},"issued":{"date-parts":[["2013"]]}}}],"schema":"https://github.com/citation-style-language/schema/raw/master/csl-citation.json"}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(Ellen MacArthur Foundation., 2013)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subsequently subjected to conceptual consolidation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{"citationID":"taKgGq7Y","properties":{"unsorted":false,"formattedCitation":"(Kirchherr et al., 2017)","plainCitation":"(Kirchherr et al., 2017)","noteIndex":0},"citationItems":[{"id":470,"uris":["http://zotero.org/users/19711126/items/WIAJWCHL"],"itemData":{"id":470,"type":"article-journal","abstract":"The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(Kirchherr et al., 2017)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whose review of the proliferating CE definitions established the reduce–reuse–recycle hierarchy and its governance preconditions as the concept’s durable core. The trajectory relevant here is the migration of CE from industrial systems into </w:t>
      </w:r>
      <w:r w:rsidRPr="00DD1558">
        <w:rPr>
          <w:rFonts w:ascii="Simplified Arabic" w:eastAsia="Times New Roman" w:hAnsi="Simplified Arabic" w:cs="Simplified Arabic"/>
          <w:i/>
          <w:iCs/>
          <w:color w:val="1A1A1A"/>
          <w:sz w:val="28"/>
          <w:szCs w:val="28"/>
          <w14:ligatures w14:val="none"/>
        </w:rPr>
        <w:t>higher education institutions as organizational sites</w:t>
      </w:r>
      <w:r w:rsidRPr="00DD1558">
        <w:rPr>
          <w:rFonts w:ascii="Simplified Arabic" w:eastAsia="Times New Roman" w:hAnsi="Simplified Arabic" w:cs="Simplified Arabic"/>
          <w:color w:val="1A1A1A"/>
          <w:sz w:val="28"/>
          <w:szCs w:val="28"/>
          <w14:ligatures w14:val="none"/>
        </w:rPr>
        <w:t xml:space="preserve">: campuses came to be analysed as microcosms in which material loops can be closed at institutional scale, and procurement came to be identified as the decisive upstream control point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{"citationID":"3kkUAtw9","properties":{"unsorted":false,"formattedCitation":"(S\\uc0\\u246{}nnichsen &amp; Clement, 2020; Vergani, 2024)","plainCitation":"(Sönnichsen &amp; Clement, 2020; Vergani, 2024)","noteIndex":0},"citationItems":[{"id":504,"uris":["http://zotero.org/users/19711126/items/GJ8N49DS"],"itemData":{"id":504,"type":"article-journal","abstract":"This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 Vergani,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3B40893"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43" w:name="_Toc237539720"/>
      <w:r w:rsidRPr="00DD1558">
        <w:rPr>
          <w:rFonts w:ascii="Simplified Arabic" w:eastAsiaTheme="majorEastAsia" w:hAnsi="Simplified Arabic" w:cstheme="majorBidi"/>
          <w:sz w:val="28"/>
          <w:szCs w:val="28"/>
        </w:rPr>
        <w:t>2.4.2 Key studies</w:t>
      </w:r>
      <w:bookmarkEnd w:id="43"/>
    </w:p>
    <w:p w14:paraId="6CB9CB0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Campus circular economy.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{"citationID":"YOPNhGqr","properties":{"unsorted":false,"formattedCitation":"(Vergani, 2024)","plainCitation":"(Vergani, 2024)","noteIndex":0},"citationItems":[{"id":519,"uris":["http://zotero.org/users/19711126/items/EQ35QIGQ"],"itemData":{"id":519,"type":"article-journal","abstract":"Higher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(Vergani,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frames higher education institutions explicitly as microcosms of the circular economy, arguing that their bounded estates, concentrated material flows, and governance capacity make them unusually favourable sites for closed-loop practice — the analytical license for treating a university college’s laboratory inventory as a CE design object.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{"citationID":"gZQvejF2","properties":{"unsorted":false,"formattedCitation":"(Giannoccaro et al., 2021)","plainCitation":"(Giannoccaro et al., 2021)","noteIndex":0},"citationItems":[{"id":442,"uris":["http://zotero.org/users/19711126/items/WJU77ILV"],"itemData":{"id":442,"type":"article-journal","abstract":"The higher education system plays a critical role in supporting the transition towards a circular economy (CE). It helps create business leaders and policymakers having appropriate skills, competences, and consciousness referring to the CE challenges. Nevertheless, few studies have specifically investigated how the higher education system is addressing the CE, how the current academic offering is integrating the CE principles, and which skills and competences are currently provided. This paper overcomes these limitations by investigating the current offering of the higher education for the CE in Italy. We analyze the academic programs, courses, and modules at different levels of 49 Italian universities and, by means of a detailed classification of the learning outcomes, provide a clear picture of the knowledge, skills, and competences offered by the CE education. We finally discuss implications of our findings concerning the development of CE education and CE jobs.","container-title":"Sustainability","DOI":"10.3390/su132011338","ISSN":"2071-1050","issue":"20","language":"en","license":"http://creativecommons.org/licenses/by/3.0/","page":"11338","publisher":"Multidisciplinary Digital Publishing Institute","source":"www.mdpi.com","title":"Features of the Higher Education for the Circular Economy: The Case of Italy","title-short":"Features of the Higher Education for the Circular Economy","volume":"13","author":[{"family":"Giannoccaro","given":"Ilaria"},{"family":"Ceccarelli","given":"Gaia"},{"family":"Fraccascia","given":"Luca"}],"issued":{"date-parts":[["2021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(Giannoccaro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the conditions for implementing CE practices within organizational settings, emphasizing that circularity is an organizational capability requiring coordination mechanisms rather than a set of isolated technical fixes.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{"citationID":"8tfCmyxC","properties":{"unsorted":false,"formattedCitation":"(Salas et al., 2021)","plainCitation":"(Salas et al., 2021)","noteIndex":0},"citationItems":[{"id":500,"uris":["http://zotero.org/users/19711126/items/32B6XFIR"],"itemData":{"id":500,"type":"article-journal","abstract":"Circular economy (CE) describes a sustainable alternative approach to the current linear economy system. It is a growing topic among scholars, practitioners, and decisionmakers; it encompasses several concepts related to sustainability and requires the synergy of multiple actors for success, including higher education institutions (HEIs) as one of the most relevant ones. Current CE is based mostly on experiences in Global North developed countries, where the concept has gained great attention and has already influenced policies and strategies. However, CE in Latin American countries (LA countries) have not yet received such attention. Thus, some “unique problems” may remain unattended, and efforts to attain a CE are more likely to fail. Likewise, the study shows how the role of HEIs in CE in LA countries has not yet been fully explored, as the literature on this topic is scarce. This paper aims to address the main research question: what is the role of HEIs in the transition to a CE in Latin American countries? For this, a two-fold methodology was performed: (i) a systematic review which allows understanding of the trends of CE research in LA and the extent of the HEIs involvement; and (ii) a narrative review, which provides insights into the state of the art of CE research (gaps, drivers, and barriers) in LA countries and how this relates to HEIs. This approach drew implications for the role of HEIs in the implementation of CE in LA countries. HEIs are key actors in this transition, contributing in several ways to the CE by collaborating with industry, assisting policy makers, building human and intellectual capital, supporting community engagement projects, influencing campus culture, linking with international CE networks, and promoting an inclusive CE discourse. This research contributes to the CE body of knowledge from a Latin-American Global South perspective by discussing the factors that aim to define the role of HEIs in the CE transition in LA countries.","container-title":"Sustainability","DOI":"10.3390/su13179805","ISSN":"2071-1050","issue":"17","language":"en","license":"http://creativecommons.org/licenses/by/3.0/","page":"9805","publisher":"Multidisciplinary Digital Publishing Institute","source":"www.mdpi.com","title":"The Role of Higher Education Institutions in the Implementation of Circular Economy in Latin America","volume":"13","author":[{"family":"Salas","given":"Daniel A."},{"family":"Criollo","given":"Paulina"},{"family":"Ramirez","given":"Angel D."}],"issued":{"date-parts":[["2021",1]]}}}],"schema":"https://github.com/citation-style-language/schema/raw/master/csl-citation.json"}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(Salas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address CE implementation challenges in campus operations, </w:t>
      </w:r>
      <w:r w:rsidRPr="00DD1558">
        <w:rPr>
          <w:rFonts w:ascii="Simplified Arabic" w:eastAsia="Times New Roman" w:hAnsi="Simplified Arabic" w:cs="Simplified Arabic"/>
          <w:color w:val="1A1A1A"/>
          <w:sz w:val="28"/>
          <w:szCs w:val="28"/>
          <w14:ligatures w14:val="none"/>
        </w:rPr>
        <w:lastRenderedPageBreak/>
        <w:t xml:space="preserve">documenting the gap between circular ambition and operational embedding.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{"citationID":"A3jvHwRx","properties":{"unsorted":false,"formattedCitation":"(Qu et al., 2021)","plainCitation":"(Qu et al., 2021)","noteIndex":0},"citationItems":[{"id":493,"uris":["http://zotero.org/users/19711126/items/QJLJBTRN"],"itemData":{"id":493,"type":"article-journal","abstract":"Public awareness and relevant consumer behaviors are crucial in accelerating the transition to a circular economy (CE) model. This paper focused on exploring university activities for changing awareness and behaviors according to the principles of its new circular model to foster sustainable development. In this paper, a comprehensive literature review provides a holistic perspective on university CE-related activities in the implementation of the CE. The review revealed that the construction of a theoretical framework in universities with asset-based development is conducive to promoting the CE model through transformative learning. In light of recent academic insights into CE education, a theoretical framework for CE-related university activities was developed based on attributes of CE-related university assets, such as non-profit status, technology innovation, education, propagation, and efficient use of resources. We also introduce into scientific use the term CE-related university assets and provide a classification of these CE-related assets. The present findings contribute to a deeper understanding of universities’ CE-related resources and assets to improve public awareness and behaviors, as well as to train and inspire the leaders (including engineers, managers, designers, etc.) of tomorrow, required for further implementing the CE model.","container-title":"Detritus","DOI":"10.31025/2611-4135/2021.15141","ISSN":"2611-4135","issue":"17","language":"en","page":"3","publisher":"CISA Publisher","source":"digital.detritusjournal.com","title":"TRANSITION TOWARDS A CIRCULAR ECONOMY: THE ROLE OF UNIVERSITY ASSETS IN THE IMPLEMENTATION OF A NEW MODEL","title-short":"TRANSITION TOWARDS A CIRCULAR ECONOMY","author":[{"family":"Qu","given":"Dongxu"},{"family":"Shevchenko","given":"Tetiana"},{"family":"Saidani","given":"Michael"},{"family":"Xia","given":"Yuanyuan"},{"family":"Ladyka","given":"Yuriy"}],"issued":{"date-parts":[["2021",12,16]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(Qu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contribute the waste-system perspective, analysing campus material flows and the organizational arrangements for their reduction and recovery, while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{"citationID":"Ajt32wm8","properties":{"unsorted":false,"formattedCitation":"(Kumdokrub et al., 2023)","plainCitation":"(Kumdokrub et al., 2023)","noteIndex":0},"citationItems":[{"id":474,"uris":["http://zotero.org/users/19711126/items/QZYUUI6I"],"itemData":{"id":474,"type":"article-journal","abstract":"Urban metabolism (UM) resembles the metabolism of living organisms in a community context by consuming necessities and excreting waste. Exercising UM with a circular economy concept enhances sustainable practices by circulating energy and materials, minimizing and closing waste loops to push a system for a net-zero goal. This research tracks energy and material flows in the energy, food waste, and construction materials sectors of Cornell University, Ithaca, NY, serving as a case study for campus metabolism. These three sectors are the top emitters and are interconnected at the food-water-energy nexus in terms of emissions. In addition to the flow analysis, the study includes environmental and economic evaluations of the proposed digestate composting and estimation of embodied emissions for construction material building stocks. The results suggest that Cornell needs to transition from natural gas to geothermal for a rapid shift towards renewable energy and to increase circularity within the sector. Regarding food waste, the proposed digestate composting reduces emissions by 16–39 metric tons of CO2e with a financial gain of US$90 k to US$400 k per fiscal year compared to the traditional food waste composting practice. Lastly, the proportional evaluation between operational emissions from the energy sector and embodied emissions from stored building materials shows a decreasing trend in the contribution of operational emissions from 46.42% to 26.86% in 2008 and 2021, respectively. This result highlights the immediate need for Cornell's construction waste management to prevent future emissions of embodied carbon into the environment. The campus metabolism study advances our understanding of potential energy and material flows, along with emissions offsets, among the three sectors to achieve the goal of decarbonization. This study can unlock sustainability pathways and accelerate Cornell's progress toward carbon neutrality by 2035.","container-title":"Journal of Cleaner Production","DOI":"10.1016/j.jclepro.2023.138469","ISSN":"0959-6526","journalAbbreviation":"Journal of Cleaner Production","page":"138469","source":"ScienceDirect","title":"Cornell university campus metabolism and circular economy using a living laboratory approach to study major resource and material flows","volume":"421","author":[{"family":"Kumdokrub","given":"Tikumporn"},{"family":"Carson","given":"Sarah"},{"family":"You","given":"Fengqi"}],"issued":{"date-parts":[["2023",10,1]]}}}],"schema":"https://github.com/citation-style-language/schema/raw/master/csl-citation.json"}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(Kumdokrub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bring analytical rigour to university waste and resource systems,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{"citationID":"3fxWkwjR","properties":{"unsorted":false,"formattedCitation":"(Renfors, 2024)","plainCitation":"(Renfors, 2024)","noteIndex":0},"citationItems":[{"id":495,"uris":["http://zotero.org/users/19711126/items/5RXIWBRM"],"itemData":{"id":495,"type":"article-journal","abstract":"Higher education institutions and their lecturers are strategic agents and main drivers that contribute to circular economy transition. This requires them to understand the key circular economy competencies and how to integrate circular economy holistically into their curricula with the suitable teaching and learning approaches. This study aims to support them by providing an overview on the characteristics of education for the circular economy (ECE) and suggestions to lecturers to further develop their curricula.The data consisted of scientific articles (n = 22) describing circular economy courses in higher education. Qualitative content analysis with quantitative features was performed on the selected articles to answer the research question.The findings confirm that the system’s focus is the key issue in ECE. However, to integrate circular economy holistically into the curricula, ECE should be implemented more widely in the context of different industries and market contexts to find innovative teaching and learning approaches. The demand side needs to be incorporated in the courses, as systemic transformation is also about transforming consumption. All levels of implementation and circular economy objectives should be included in courses to promote systems thinking. In addition, innovative forms of real workplace interaction should be increased.As ECE has started to emerge as a new field of study, this article provides the first integrated overview of the topic.","container-title":"International Journal of Sustainability in Higher Education","DOI":"10.1108/IJSHE-07-2023-0270","ISSN":"1467-6370","issue":"9","journalAbbreviation":"International Journal of Sustainability in Higher Education","page":"111-127","source":"Silverchair","title":"Education for the circular economy in higher education: an overview of the current state","title-short":"Education for the circular economy in higher education","volume":"25","author":[{"family":"Renfors","given":"Sanna-Mari"}],"issued":{"date-parts":[["2024",3,8]]}}}],"schema":"https://github.com/citation-style-language/schema/raw/master/csl-citation.json"}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(Renfors,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examines stakeholder and governance dimensions of campus sustainability transitions, reinforcing the finding that circular practice scales only through institutionalized coordination. Collectively, these studies validate the framework’s environmental design logic — joint purchasing as the </w:t>
      </w:r>
      <w:r w:rsidRPr="00DD1558">
        <w:rPr>
          <w:rFonts w:ascii="Simplified Arabic" w:eastAsia="Times New Roman" w:hAnsi="Simplified Arabic" w:cs="Simplified Arabic"/>
          <w:i/>
          <w:iCs/>
          <w:color w:val="1A1A1A"/>
          <w:sz w:val="28"/>
          <w:szCs w:val="28"/>
          <w14:ligatures w14:val="none"/>
        </w:rPr>
        <w:t>reduce</w:t>
      </w:r>
      <w:r w:rsidRPr="00DD1558">
        <w:rPr>
          <w:rFonts w:ascii="Simplified Arabic" w:eastAsia="Times New Roman" w:hAnsi="Simplified Arabic" w:cs="Simplified Arabic"/>
          <w:color w:val="1A1A1A"/>
          <w:sz w:val="28"/>
          <w:szCs w:val="28"/>
          <w14:ligatures w14:val="none"/>
        </w:rPr>
        <w:t xml:space="preserve"> loop, pre-expiry redistribution as the </w:t>
      </w:r>
      <w:r w:rsidRPr="00DD1558">
        <w:rPr>
          <w:rFonts w:ascii="Simplified Arabic" w:eastAsia="Times New Roman" w:hAnsi="Simplified Arabic" w:cs="Simplified Arabic"/>
          <w:i/>
          <w:iCs/>
          <w:color w:val="1A1A1A"/>
          <w:sz w:val="28"/>
          <w:szCs w:val="28"/>
          <w14:ligatures w14:val="none"/>
        </w:rPr>
        <w:t>reuse</w:t>
      </w:r>
      <w:r w:rsidRPr="00DD1558">
        <w:rPr>
          <w:rFonts w:ascii="Simplified Arabic" w:eastAsia="Times New Roman" w:hAnsi="Simplified Arabic" w:cs="Simplified Arabic"/>
          <w:color w:val="1A1A1A"/>
          <w:sz w:val="28"/>
          <w:szCs w:val="28"/>
          <w14:ligatures w14:val="none"/>
        </w:rPr>
        <w:t xml:space="preserve"> loop, FEFO discipline as the reduce–reuse interface — while remaining, as a body, stronger on ambition and system description than on enforceable governance instrument design.</w:t>
      </w:r>
    </w:p>
    <w:p w14:paraId="2EAF1E1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Circular and sustainable procurement.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{"citationID":"Sl2QiXr6","properties":{"unsorted":false,"formattedCitation":"(S\\uc0\\u246{}nnichsen &amp; Clement, 2020)","plainCitation":"(Sönnichsen &amp; Clement,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review circular and sustainable procurement systematically, establishing purchasing as the upstream determinant of downstream waste burdens: what and how an institution buys decides what it must later manage. This finding anchors the framework’s prevention-side environmental controls — eligibility clauses and joint/circular procurement rules (PB2, PB3) — and its adoption of the ISO 14001:2015 life-cycle perspective, which the thesis scrupulously maintains as a </w:t>
      </w:r>
      <w:r w:rsidRPr="00DD1558">
        <w:rPr>
          <w:rFonts w:ascii="Simplified Arabic" w:eastAsia="Times New Roman" w:hAnsi="Simplified Arabic" w:cs="Simplified Arabic"/>
          <w:i/>
          <w:iCs/>
          <w:color w:val="1A1A1A"/>
          <w:sz w:val="28"/>
          <w:szCs w:val="28"/>
          <w14:ligatures w14:val="none"/>
        </w:rPr>
        <w:t>perspective</w:t>
      </w:r>
      <w:r w:rsidRPr="00DD1558">
        <w:rPr>
          <w:rFonts w:ascii="Simplified Arabic" w:eastAsia="Times New Roman" w:hAnsi="Simplified Arabic" w:cs="Simplified Arabic"/>
          <w:color w:val="1A1A1A"/>
          <w:sz w:val="28"/>
          <w:szCs w:val="28"/>
          <w14:ligatures w14:val="none"/>
        </w:rPr>
        <w:t xml:space="preserve"> on upstream and downstream stages rather than a full life-cycle assessment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{"citationID":"25m5BsJ6","properties":{"unsorted":false,"formattedCitation":"(14001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{"citationID":"3HyUUmJi","properties":{"unsorted":false,"formattedCitation":"(Birleanu et al., 2025)","plainCitation":"(Birleanu et al., 2025)","noteIndex":0},"citationItems":[{"id":412,"uris":["http://zotero.org/users/19711126/items/GQAWHRTD"],"itemData":{"id":412,"type":"article-journal","abstract":"This paper investigates the strategic and institutional dynamics of centralized public procurement in Romania, with a specific focus on the National Office for Centralized Procurement (ONAC) and its role in enabling digital transformation across technical universities. Using a qualitative case study methodology, the research evaluates ONAC’s capacity to implement procurement policy aligned with sustainability and digital governance objectives. Drawing on official reports, legislative documents, and secondary data sources, the paper applies an analytical framework covering institutional performance, technological adaptation, and policy coherence. The findings highlight both the opportunities and challenges of centralized procurement, emphasizing systemic rigidities, underutilization of digital tools, and weak feedback mechanisms. The study contributes to the literature on strategic procurement and digital public management by offering a grounded assessment of governance capacity and sustainability alignment in a transitional EU context.","container-title":"Administrative Sciences","DOI":"10.3390/admsci15080317","ISSN":"2076-3387","issue":"8","language":"en","license":"http://creativecommons.org/licenses/by/3.0/","page":"317","publisher":"Multidisciplinary Digital Publishing Institute","source":"www.mdpi.com","title":"Leveraging Centralized Procurement for Digital Innovation in Higher Education: Institutional Capacity and Policy Gaps in Romania","title-short":"Leveraging Centralized Procurement for Digital Innovation in Higher Education","volume":"15","author":[{"family":"Birleanu","given":"Liviu Corneliu"},{"family":"Lungu","given":"Florin"},{"family":"Birleanu","given":"Corina"}],"issued":{"date-parts":[["2025",8]]}}}],"schema":"https://github.com/citation-style-language/schema/raw/master/csl-citation.json"}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(Birleanu et al.,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centralized procurement organization in the public-sector context, illuminating the coordination benefits and governance costs of aggregation — directly relevant to the framework’s decision to constrain </w:t>
      </w:r>
      <w:r w:rsidRPr="00DD1558">
        <w:rPr>
          <w:rFonts w:ascii="Simplified Arabic" w:eastAsia="Times New Roman" w:hAnsi="Simplified Arabic" w:cs="Simplified Arabic"/>
          <w:i/>
          <w:iCs/>
          <w:color w:val="1A1A1A"/>
          <w:sz w:val="28"/>
          <w:szCs w:val="28"/>
          <w14:ligatures w14:val="none"/>
        </w:rPr>
        <w:t>how</w:t>
      </w:r>
      <w:r w:rsidRPr="00DD1558">
        <w:rPr>
          <w:rFonts w:ascii="Simplified Arabic" w:eastAsia="Times New Roman" w:hAnsi="Simplified Arabic" w:cs="Simplified Arabic"/>
          <w:color w:val="1A1A1A"/>
          <w:sz w:val="28"/>
          <w:szCs w:val="28"/>
          <w14:ligatures w14:val="none"/>
        </w:rPr>
        <w:t xml:space="preserve"> departments buy through eligibility checks without usurping departmental budget authority.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{"citationID":"TI39Z5Ut","properties":{"unsorted":false,"formattedCitation":"(Q. Wang et al., 2020)","plainCitation":"(Q. Wang et al., 2020)","noteIndex":0},"citationItems":[{"id":524,"uris":["http://zotero.org/users/19711126/items/CDUUFFDC"],"itemData":{"id":524,"type":"article-journal","abstract":"High efficiency is one of the important goals of public procurement (PP); however, research on PP efficiency is still not sufficient, especially in the context of developing countries. With a focus on the purchasing phase, this study measures three aspects of procurement efficiency of public authorities: price, time and intellectual efficiency. The relevant factors of these three aspects are explored and examined. 838 PP contracts in Chengdu city, China were collected in the first half of 2018 using a web crawler programme. Regression method is used to analyse the data. This study finds that the price efficiency of PP is negatively associated with the implementation of green public procurement (GPP) but is positively associated with the evaluation method (the weight of bidding price during evaluation) and the number of bidders. Time efficiency is negatively associated with GPP implementation. Intellectual efficiency is negatively associated with the size of the procurement. This study accomplishes the following: I. extends research to a still relatively unexplored context: developing countries; II. adds to the studies on public procurement efficiency; and III. investigates the influence of GPP implementation on PP efficiency in a developing country.","container-title":"Journal of Purchasing and Supply Management","DOI":"10.1016/j.pursup.2020.100622","ISSN":"1478-4092","issue":"3","journalAbbreviation":"Journal of Purchasing and Supply Management","page":"100622","source":"ScienceDirect","title":"Price/time/intellectual efficiency of procurement: Uncovering the related factors in Chinese public authorities","title-short":"Price/time/intellectual efficiency of procurement","volume":"26","author":[{"family":"Wang","given":"Qi"},{"family":"Zhang","given":"Renjie"},{"family":"Liu","given":"Junqi"}],"issued":{"date-parts":[["2020",6,1]]}}}],"schema":"https://github.com/citation-style-language/schema/raw/master/csl-citation.json"}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(Q. Wang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procurement decision structures in supply management, providing purchasing-organization insight that informs the boundary between the framework’s ratified rules and existing university financial governance.</w:t>
      </w:r>
    </w:p>
    <w:p w14:paraId="0F22421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University social responsibility and reporting.</w:t>
      </w:r>
      <w:r w:rsidRPr="00DD1558">
        <w:rPr>
          <w:rFonts w:ascii="Simplified Arabic" w:eastAsia="Times New Roman" w:hAnsi="Simplified Arabic" w:cs="Simplified Arabic"/>
          <w:color w:val="1A1A1A"/>
          <w:sz w:val="28"/>
          <w:szCs w:val="28"/>
          <w14:ligatures w14:val="none"/>
        </w:rPr>
        <w:t xml:space="preserve"> Corporate social responsibility applied to universities — University Social Responsibility (USR) supplies the reputational and </w:t>
      </w:r>
      <w:r w:rsidRPr="00DD1558">
        <w:rPr>
          <w:rFonts w:ascii="Simplified Arabic" w:eastAsia="Times New Roman" w:hAnsi="Simplified Arabic" w:cs="Simplified Arabic"/>
          <w:color w:val="1A1A1A"/>
          <w:sz w:val="28"/>
          <w:szCs w:val="28"/>
          <w14:ligatures w14:val="none"/>
        </w:rPr>
        <w:lastRenderedPageBreak/>
        <w:t xml:space="preserve">legitimacy dimension.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{"citationID":"297ZMVWx","properties":{"unsorted":false,"formattedCitation":"(Ali et al., 2021)","plainCitation":"(Ali et al., 2021)","noteIndex":0},"citationItems":[{"id":399,"uris":["http://zotero.org/users/19711126/items/BYHJP3NR"],"itemData":{"id":399,"type":"article-journal","abstract":"The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review the USR field, establishing its conceptual contours: the integration of social and environmental concern into university operations with consequences for reputation, stakeholder trust, and legitimacy.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{"citationID":"nX7pywIH","properties":{"unsorted":false,"formattedCitation":"(Ceulemans et al., 2015)","plainCitation":"(Ceulemans et al., 2015)","noteIndex":0},"citationItems":[{"id":421,"uris":["http://zotero.org/users/19711126/items/6DMAUJJR"],"itemData":{"id":421,"type":"article-journal","abstract":"Over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(Ceulemans et al.,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sustainability reporting in higher education, warning that disclosure decoupled from operational practice erodes rather than builds trust;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{"citationID":"OQjr4yXh","properties":{"unsorted":false,"formattedCitation":"(Alshuwaikhat &amp; Abubakar, 2008)","plainCitation":"(Alshuwaikhat &amp; Abubakar, 2008)","noteIndex":0},"citationItems":[{"id":405,"uris":["http://zotero.org/users/19711126/items/MBG694EL"],"itemData":{"id":405,"type":"article-journal","abstract":"Universities can nowadays be regarded as ‘small cities’ due to their large size, population, and the various complex activities taking place in campuses, which have some serious direct and indirect impacts on the environment. The environmental pollution and degradation caused by universities in form of energy and material consumption via activities and operations in teaching and research, provision of support services and in residential areas could be considerably reduced by an effective choice of organizational and technical measures. Although many environmental protection measures can be seen at some universities, but a more systematic and sustainable approach to reducing the negative impacts of those activities and making the campuses more sustainable, is generally lacking. Therefore, this paper proposes a framework of a more suitable approach to achieving campus sustainability that could remedy the limitations of the current environmental management practices in universities and ensures more sustainability through the integration of three strategies, namely: university Environmental Management System (EMS); public participation and social responsibility; and promoting sustainability in teaching and research.","container-title":"Journal of Cleaner Production","DOI":"10.1016/j.jclepro.2007.12.002","ISSN":"0959-6526","issue":"16","journalAbbreviation":"Journal of Cleaner Production","page":"1777-1785","source":"ScienceDirect","title":"An integrated approach to achieving campus sustainability: assessment of the current campus environmental management practices","title-short":"An integrated approach to achieving campus sustainability","volume":"16","author":[{"family":"Alshuwaikhat","given":"Habib M."},{"family":"Abubakar","given":"Ismaila"}],"issued":{"date-parts":[["2008",11,1]]}}}],"schema":"https://github.com/citation-style-language/schema/raw/master/csl-citation.json"}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(Alshuwaikhat &amp; Abubakar, 2008)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a Saudi-authored study of campus sustainability — argue for an integrated approach in which environmental management, governance, and campus operations are mutually reinforcing rather than parallel activities.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{"citationID":"49bTFKZS","properties":{"unsorted":false,"formattedCitation":"(Lakhno, 2024)","plainCitation":"(Lakhno, 2024)","noteIndex":0},"citationItems":[{"id":476,"uris":["http://zotero.org/users/19711126/items/V8SQG4MB"],"itemData":{"id":476,"type":"article-journal","abstract":"Sustainability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(Lakhno,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sharpens the critique with the greenwashing question, demonstrating that advertised sustainability commitments unsupported by operations inflict reputational damage exceeding any communicative benefit. ISO 26000:2010, cited as orientation only — explicitly a guidance standard and not certifiable — completes the frame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{"citationID":"mfD4XJMZ","properties":{"unsorted":false,"formattedCitation":"(26000 ISO/IEC, 2010)","plainCitation":"(26000 ISO/IEC, 2010)","noteIndex":0},"citationItems":[{"id":460,"uris":["http://zotero.org/users/19711126/items/4TJPD7GL"],"itemData":{"id":460,"type":"standard","title":"ISO 26000:2010(en), Guidance on social responsibility","URL":"https://www.iso.org/obp/ui/#iso:std:iso:26000:ed-1:v1:en","author":[{"family":"ISO/IEC","given":"26000"}],"accessed":{"date-parts":[["2026",8,6]]},"issued":{"date-parts":[["2010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(26000 ISO/IEC, 2010)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This literature directly shapes the framework’s architectural response to reputational risk: practice precedes reporting, so that any disclosure reports operational substance rather than aspiration.</w:t>
      </w:r>
    </w:p>
    <w:p w14:paraId="304DDE6C" w14:textId="5EDD65DF"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Saudi Vision 2030 context.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{"citationID":"3Y3Q3cbP","properties":{"unsorted":false,"formattedCitation":"(Alamoudi et al., 2023)","plainCitation":"(Alamoudi et al., 2023)","noteIndex":0},"citationItems":[{"id":397,"uris":["http://zotero.org/users/19711126/items/NXW23TK2"],"itemData":{"id":397,"type":"article-journal","abstract":"Cities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the integration of sustainability and Vision 2030 objectives into Saudi institutional practice, documenting the national policy environment within which Saudi universities now operate.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{"citationID":"pe229unK","properties":{"unsorted":false,"formattedCitation":"(Alshammari, 2025)","plainCitation":"(Alshammari, 2025)","noteIndex":0},"citationItems":[{"id":403,"uris":["http://zotero.org/users/19711126/items/RH4GS6Q7"],"itemData":{"id":403,"type":"article-journal","abstract":"Saudi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(Alshammari,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addresses transformation dynamics in Saudi higher education under Vision 2030,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{"citationID":"hIq0zMZl","properties":{"unsorted":false,"formattedCitation":"(Alotaibi, 2026)","plainCitation":"(Alotaibi, 2026)","noteIndex":0},"citationItems":[{"id":401,"uris":["http://zotero.org/users/19711126/items/38BM6YIU"],"itemData":{"id":401,"type":"article-journal","abstract":"IntroductionDigital transformation has become a central driver of competitiveness in tourism and hospitality industries, particularly within the framework of Saudi Vision 2030. However, limited empirical evidence exists regarding how digital transformation initiatives within higher education institutions influence graduate employability. Grounded in Human Capital Theory, this study examines the role of digital learning technologies and industry–academia collaboration in enhancing students’ digital capabilities and, consequently, their employability outcomes in Saudi Arabian tourism and hospitality education.MethodsA quantitative research design was adopted. Data were collected from 372 valid responses obtained from students enrolled in tourism and hospitality programs in Saudi Arabia. Partial Least Squares Structural Equation Modeling (PLS-SEM) was employed to test the hypothesized relationships and to assess both direct and mediating effects among the study variables.ResultsThe findings reveal that digital learning technologies and industry–academia collaboration significantly enhance students’ digital skills. In turn, digital skills positively predict graduate employability. Industry–academia collaboration emerged as the strongest predictor of digital skills development. Mediation analysis confirms that students’ digital skills partially mediate the relationship between digital transformation initiatives and employability outcomes.DiscussionThe study contributes to the growing literature on digital human capital by demonstrating how structured collaboration between universities and industry partners strengthens employment-oriented digital competencies. Practically, the findings provide actionable insights for universities, policymakers, and industry stakeholders seeking to align tourism education with the digital transformation agenda and Saudi Vision 2030. Strengthening industry partnerships and embedding digital technologies into curricula are critical pathways to improving graduate employability in the evolving digital tourism environment.","container-title":"Frontiers in Education","DOI":"10.3389/feduc.2026.1788967","ISSN":"2504-284X","journalAbbreviation":"Front. Educ.","language":"English","publisher":"Frontiers","source":"Frontiers","title":"Enhancing employability through digital transformation: a strategic approach to strengthening the competitiveness of tourism and hospitality education in Saudi Arabia","title-short":"Enhancing employability through digital transformation","URL":"https://www.frontiersin.org/journals/education/articles/10.3389/feduc.2026.1788967/full","volume":"11","author":[{"family":"Alotaibi","given":"Eid K."}],"accessed":{"date-parts":[["2026",8,6]]},"issued":{"date-parts":[["2026",3,13]]}}}],"schema":"https://github.com/citation-style-language/schema/raw/master/csl-citation.json"}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(Alotaibi, 2026)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examines digital and organizational change in Saudi educational institutions, together confirming that the reform themes of this thesis — fiscal efficiency, sustainability, digital transformation — are live national priorities rather than imported agendas.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{"citationID":"V7nMMCxM","properties":{"unsorted":false,"formattedCitation":"(Mohamed Hashim et al., 2022)","plainCitation":"(Mohamed Hashim et al., 2022)","noteIndex":0},"citationItems":[{"id":486,"uris":["http://zotero.org/users/19711126/items/Y94NUF62"],"itemData":{"id":486,"type":"article-journal","abstract":"Universities focus on digital transformation strategy to stay competitive in global education, staying competitive is taking on quite a different meaning in the 21st century – it includes the long-term implications of Covid-19 – the interaction of politics and economics, the emergence of China as a superpower, the end of neoliberalism, the emergence of distributed autonomous organisations particularly in the area of research and education.","container-title":"Education and Information Technologies","DOI":"10.1007/s10639-022-10968-y","ISSN":"1573-7608","issue":"7","journalAbbreviation":"Educ Inf Technol","language":"en","page":"8961-8996","source":"Springer Link","title":"A sustainable University: Digital Transformation and Beyond","title-short":"A sustainable University","volume":"27","author":[{"family":"Mohamed Hashim","given":"Mohamed Ashmel"},{"family":"Tlemsani","given":"Issam"},{"family":"Duncan Matthews","given":"Robin"}],"issued":{"date-parts":[["2022",8,1]]}}}],"schema":"https://github.com/citation-style-language/schema/raw/master/csl-citation.json"}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(Mohamed Hashim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sustainable digital-transformation strategy in Saudi higher education specifically, establishing that Saudi universities’ transformation outcomes depend on organizational readiness and governance alignment — the Saudi-specific corroboration of the readiness literature reviewed in </w:t>
      </w:r>
      <w:hyperlink w:anchor="section25" w:history="1">
        <w:r w:rsidRPr="00D16051">
          <w:rPr>
            <w:rStyle w:val="Hyperlink"/>
            <w:rFonts w:ascii="Simplified Arabic" w:eastAsia="Times New Roman" w:hAnsi="Simplified Arabic" w:cs="Simplified Arabic"/>
            <w:sz w:val="28"/>
            <w:szCs w:val="28"/>
            <w14:ligatures w14:val="none"/>
          </w:rPr>
          <w:t>Section 2.5</w:t>
        </w:r>
      </w:hyperlink>
      <w:r w:rsidRPr="00DD1558">
        <w:rPr>
          <w:rFonts w:ascii="Simplified Arabic" w:eastAsia="Times New Roman" w:hAnsi="Simplified Arabic" w:cs="Simplified Arabic"/>
          <w:color w:val="1A1A1A"/>
          <w:sz w:val="28"/>
          <w:szCs w:val="28"/>
          <w14:ligatures w14:val="none"/>
        </w:rPr>
        <w:t>.</w:t>
      </w:r>
    </w:p>
    <w:p w14:paraId="365A90F4"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44" w:name="_Toc237539721"/>
      <w:r w:rsidRPr="00DD1558">
        <w:rPr>
          <w:rFonts w:ascii="Simplified Arabic" w:eastAsiaTheme="majorEastAsia" w:hAnsi="Simplified Arabic" w:cstheme="majorBidi"/>
          <w:sz w:val="28"/>
          <w:szCs w:val="28"/>
        </w:rPr>
        <w:lastRenderedPageBreak/>
        <w:t>2.4.3 Limitation for the present purpose</w:t>
      </w:r>
      <w:bookmarkEnd w:id="44"/>
    </w:p>
    <w:p w14:paraId="4B77B19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campus-CE and USR literatures establish </w:t>
      </w:r>
      <w:r w:rsidRPr="00DD1558">
        <w:rPr>
          <w:rFonts w:ascii="Simplified Arabic" w:eastAsia="Times New Roman" w:hAnsi="Simplified Arabic" w:cs="Simplified Arabic"/>
          <w:i/>
          <w:iCs/>
          <w:color w:val="1A1A1A"/>
          <w:sz w:val="28"/>
          <w:szCs w:val="28"/>
          <w14:ligatures w14:val="none"/>
        </w:rPr>
        <w:t>why</w:t>
      </w:r>
      <w:r w:rsidRPr="00DD1558">
        <w:rPr>
          <w:rFonts w:ascii="Simplified Arabic" w:eastAsia="Times New Roman" w:hAnsi="Simplified Arabic" w:cs="Simplified Arabic"/>
          <w:color w:val="1A1A1A"/>
          <w:sz w:val="28"/>
          <w:szCs w:val="28"/>
          <w14:ligatures w14:val="none"/>
        </w:rPr>
        <w:t xml:space="preserve"> a university should close material loops and substantiate its sustainability narrative, and the procurement literature establishes </w:t>
      </w:r>
      <w:r w:rsidRPr="00DD1558">
        <w:rPr>
          <w:rFonts w:ascii="Simplified Arabic" w:eastAsia="Times New Roman" w:hAnsi="Simplified Arabic" w:cs="Simplified Arabic"/>
          <w:i/>
          <w:iCs/>
          <w:color w:val="1A1A1A"/>
          <w:sz w:val="28"/>
          <w:szCs w:val="28"/>
          <w14:ligatures w14:val="none"/>
        </w:rPr>
        <w:t>where</w:t>
      </w:r>
      <w:r w:rsidRPr="00DD1558">
        <w:rPr>
          <w:rFonts w:ascii="Simplified Arabic" w:eastAsia="Times New Roman" w:hAnsi="Simplified Arabic" w:cs="Simplified Arabic"/>
          <w:color w:val="1A1A1A"/>
          <w:sz w:val="28"/>
          <w:szCs w:val="28"/>
          <w14:ligatures w14:val="none"/>
        </w:rPr>
        <w:t xml:space="preserve"> the decisive control point lies; but neither specifies </w:t>
      </w:r>
      <w:r w:rsidRPr="00DD1558">
        <w:rPr>
          <w:rFonts w:ascii="Simplified Arabic" w:eastAsia="Times New Roman" w:hAnsi="Simplified Arabic" w:cs="Simplified Arabic"/>
          <w:i/>
          <w:iCs/>
          <w:color w:val="1A1A1A"/>
          <w:sz w:val="28"/>
          <w:szCs w:val="28"/>
          <w14:ligatures w14:val="none"/>
        </w:rPr>
        <w:t>how</w:t>
      </w:r>
      <w:r w:rsidRPr="00DD1558">
        <w:rPr>
          <w:rFonts w:ascii="Simplified Arabic" w:eastAsia="Times New Roman" w:hAnsi="Simplified Arabic" w:cs="Simplified Arabic"/>
          <w:color w:val="1A1A1A"/>
          <w:sz w:val="28"/>
          <w:szCs w:val="28"/>
          <w14:ligatures w14:val="none"/>
        </w:rPr>
        <w:t xml:space="preserve"> a college-level governance apparatus should operationalize circularity in the mundane, high-volume domain of teaching-laboratory inventory — with which bodies, which ratified clauses, which custody rules, and which audit cadence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{"citationID":"7ZqYb4ZP","properties":{"unsorted":false,"formattedCitation":"(Ali et al., 2021; S\\uc0\\u246{}nnichsen &amp; Clement, 2020; Vergani, 2024)","plainCitation":"(Ali et al., 2021; Sönnichsen &amp; Clement, 2020; Vergani, 2024)","noteIndex":0},"citationItems":[{"id":399,"uris":["http://zotero.org/users/19711126/items/BYHJP3NR"],"itemData":{"id":399,"type":"article-journal","abstract":"The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Sönnichsen &amp; Clement, 2020; Vergani,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Vision 2030 literature, for its part, operates at national and institutional-strategy altitude and does not descend to laboratory inventory governance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{"citationID":"u6h849QF","properties":{"unsorted":false,"formattedCitation":"(Alamoudi et al., 2023; Mohamed Hashim et al., 2022)","plainCitation":"(Alamoudi et al., 2023; Mohamed Hashim et al., 2022)","noteIndex":0},"citationItems":[{"id":397,"uris":["http://zotero.org/users/19711126/items/NXW23TK2"],"itemData":{"id":397,"type":"article-journal","abstract":"Cities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M."}],"issued":{"date-parts":[["2023",1]]}}},{"id":486,"uris":["http://zotero.org/users/19711126/items/Y94NUF62"],"itemData":{"id":486,"type":"article-journal","abstract":"Universities focus on digital transformation strategy to stay competitive in global education, staying competitive is taking on quite a different meaning in the 21st century – it includes the long-term implications of Covid-19 – the interaction of politics and economics, the emergence of China as a superpower, the end of neoliberalism, the emergence of distributed autonomous organisations particularly in the area of research and education.","container-title":"Education and Information Technologies","DOI":"10.1007/s10639-022-10968-y","ISSN":"1573-7608","issue":"7","journalAbbreviation":"Educ Inf Technol","language":"en","page":"8961-8996","source":"Springer Link","title":"A sustainable University: Digital Transformation and Beyond","title-short":"A sustainable University","volume":"27","author":[{"family":"Mohamed Hashim","given":"Mohamed Ashmel"},{"family":"Tlemsani","given":"Issam"},{"family":"Duncan Matthews","given":"Robin"}],"issued":{"date-parts":[["2022",8,1]]}}}],"schema":"https://github.com/citation-style-language/schema/raw/master/csl-citation.json"}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Mohamed Hashim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present study fills this operational gap: it converts CE principles into named prevention and mitigation barriers (PB3, MB1, MB2, MB3), assigns them to governance bodies, and aligns them clause-by-clause with ISO 14001:2015’s aspect-control, life-cycle, and emergency-preparedness logic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{"citationID":"rYLjfcdM","properties":{"unsorted":false,"formattedCitation":"(14001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9E3C1BF"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45" w:name="_2.5_Organizational_Readiness,"/>
      <w:bookmarkStart w:id="46" w:name="section25"/>
      <w:bookmarkStart w:id="47" w:name="_Toc237539722"/>
      <w:bookmarkEnd w:id="45"/>
      <w:bookmarkEnd w:id="46"/>
      <w:r w:rsidRPr="00DD1558">
        <w:rPr>
          <w:rFonts w:ascii="Simplified Arabic" w:eastAsiaTheme="majorEastAsia" w:hAnsi="Simplified Arabic" w:cstheme="majorBidi"/>
          <w:b/>
          <w:sz w:val="28"/>
          <w:szCs w:val="32"/>
        </w:rPr>
        <w:t>2.5 Organizational Readiness, Digital Transformation, and Change</w:t>
      </w:r>
      <w:bookmarkEnd w:id="47"/>
    </w:p>
    <w:p w14:paraId="418C8D76"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48" w:name="_Toc237539723"/>
      <w:r w:rsidRPr="00DD1558">
        <w:rPr>
          <w:rFonts w:ascii="Simplified Arabic" w:eastAsiaTheme="majorEastAsia" w:hAnsi="Simplified Arabic" w:cstheme="majorBidi"/>
          <w:sz w:val="28"/>
          <w:szCs w:val="28"/>
        </w:rPr>
        <w:t>2.5.1 Trajectory: from technology adoption to readiness-first transformation</w:t>
      </w:r>
      <w:bookmarkEnd w:id="48"/>
    </w:p>
    <w:p w14:paraId="481BAFE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Higher-education digital-transformation scholarship has converged, over the review period, on a readiness-first thesis: transformation outcomes are determined less by technology selection than by organizational antecedents — process definition, governance clarity, data discipline, and change capability — and technology layered onto unstandardized processes reproduces fragmentation in digital form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{"citationID":"W7lDLiXe","properties":{"unsorted":false,"formattedCitation":"(Bellantuono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This trajectory is the empirical-theoretic foundation of the thesis’s ordering claim that organizational maturity must precede digitalization, and of its deferral of smart-inventory platforms behind readiness gates.</w:t>
      </w:r>
    </w:p>
    <w:p w14:paraId="6936ED34"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49" w:name="_Toc237539724"/>
      <w:r w:rsidRPr="00DD1558">
        <w:rPr>
          <w:rFonts w:ascii="Simplified Arabic" w:eastAsiaTheme="majorEastAsia" w:hAnsi="Simplified Arabic" w:cstheme="majorBidi"/>
          <w:sz w:val="28"/>
          <w:szCs w:val="28"/>
        </w:rPr>
        <w:lastRenderedPageBreak/>
        <w:t>2.5.2 Key studies</w:t>
      </w:r>
      <w:bookmarkEnd w:id="49"/>
    </w:p>
    <w:p w14:paraId="7B36D30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Readiness and maturity.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{"citationID":"18FnBruk","properties":{"unsorted":false,"formattedCitation":"(Rodr\\uc0\\u237{}guez-Abitia &amp; Bribiesca-Correa, 2021)","plainCitation":"(Rodríguez-Abitia &amp; Bribiesca-Correa, 2021)","noteIndex":0},"citationItems":[{"id":498,"uris":["http://zotero.org/users/19711126/items/6ISTLX2A"],"itemData":{"id":498,"type":"article-journal","abstract":"Industry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assess digital-transformation readiness in higher education institutions, identifying the organizational dimensions — strategy, processes, people, data — on which readiness is won or lost.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{"citationID":"kcR4Pytv","properties":{"unsorted":false,"formattedCitation":"(Bravo-Jaico et al., 2025)","plainCitation":"(Bravo-Jaico et al., 2025)","noteIndex":0},"citationItems":[{"id":415,"uris":["http://zotero.org/users/19711126/items/V625ZYB8"],"itemData":{"id":415,"type":"article-journal","abstract":"In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(Bravo-Jaico et al.,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extend readiness assessment with contemporary instrumentation, confirming the multidimensional character of transformation capability.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{"citationID":"Zcz8BfX3","properties":{"unsorted":false,"formattedCitation":"(Shibambu, 2024)","plainCitation":"(Shibambu, 2024)","noteIndex":0},"citationItems":[{"id":502,"uris":["http://zotero.org/users/19711126/items/L37ZUVUF"],"itemData":{"id":502,"type":"article-journal","abstract":"Africa's Public Service Delivery &amp; Performance Review is a peer reviewed journal, aimed at the promotion and sharing of knowledge, skills and innovations in government and the wider Public-Sector environment in South Africa and abroad. With a multi-disciplinary outlook, the journal will stimulate service delivery and performance challenges being faced in government.","archive_location":"Literature review","container-title":"Africa’s Public Service Delivery &amp; Performance Review","DOI":"10.4102/apsdpr.v12i1.753","ISSN":"2310-2152","issue":"1","language":"en","license":"Copyright (c) 2024 Amos Shibambu","note":"number: 1","page":"7","source":"apsdpr.org","title":"Transformation of digital government services in the public sector in South Africa","volume":"12","author":[{"family":"Shibambu","given":"Amos"}],"issued":{"date-parts":[["2024",5,8]]}}}],"schema":"https://github.com/citation-style-language/schema/raw/master/csl-citation.json"}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(Shibambu,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examines digital transformation in public-service organizations, supplying the public-sector governance dimension — accountability structures and administrative routines — that a public university shares.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{"citationID":"buWoP8sN","properties":{"unsorted":false,"formattedCitation":"(Farias-Gaytan et al., 2023)","plainCitation":"(Farias-Gaytan et al., 2023)","noteIndex":0},"citationItems":[{"id":437,"uris":["http://zotero.org/users/19711126/items/5DL6NNYY"],"itemData":{"id":437,"type":"article-journal","abstract":"The incessant changes in technology generate new products and services, presenting multiple opportunities for the complex educational environment. Consequently, higher education institutions must be attentive to these changes to ensure that students have the knowledge and skills necessary for the work environment. This research aimed to identify studies related to digital transformation and digital literacy in higher education institutions through a systematic study of literature. The search resulted in 830 articles published in the Scopus and Web of Science databases from 2015 to 2022. Quality questions, inclusion and exclusion criteria were applied where 202 articles were selected for the study. The results show (a) interest of educational institutions in empirical studies where technologies are incorporated for didactic purposes, (b) challenges of opportunity in training programs to develop digital competences of teachers and students, (c) little interest in the development of media literacy, (d) the methodological aspects of the studies allow exploring new perspectives of digital transformation in higher education. This article may be of interest to academics, decision-makers and trainers of future professionals to introduce educational technology into learning processes in line with the complex demands of the world of work and society.","container-title":"Humanities and Social Sciences Communications","DOI":"10.1057/s41599-023-01875-9","ISSN":"2662-9992","issue":"1","journalAbbreviation":"Humanit Soc Sci Commun","language":"en","license":"2023 The Author(s)","page":"386","publisher":"Palgrave","source":"www.nature.com","title":"Digital transformation and digital literacy in the context of complexity within higher education institutions: a systematic literature review","title-short":"Digital transformation and digital literacy in the context of complexity within higher education institutions","volume":"10","author":[{"family":"Farias-Gaytan","given":"Silvia"},{"family":"Aguaded","given":"Ignacio"},{"family":"Ramirez-Montoya","given":"Maria-Soledad"}],"issued":{"date-parts":[["2023",7,7]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(Farias-Gaytan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digital transformation in educational institutions through the change-and-capability lens, reinforcing that sustained transformation is a capability-building process rather than an acquisition event. These works jointly anchor the framework’s readiness gates and its treatment of the shared registry’s data discipline as the precondition for any future platform.</w:t>
      </w:r>
    </w:p>
    <w:p w14:paraId="0149DBE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Change management.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{"citationID":"GQaThVZI","properties":{"unsorted":false,"formattedCitation":"(Bellantuono et al., 2021)","plainCitation":"(Bellantuono et al.,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digital-transformation implementation in higher education, showing that staged, capability-building transitions outperform big-bang adoption;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{"citationID":"hgVwyamG","properties":{"unsorted":false,"formattedCitation":"(Vlachopoulos, 2021)","plainCitation":"(Vlachopoulos, 2021)","noteIndex":0},"citationItems":[{"id":522,"uris":["http://zotero.org/users/19711126/items/4VVVRBEC"],"itemData":{"id":522,"type":"article-journal","abstract":"This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examines organizational change in educational institutions, emphasizing the human and structural mediation of reform;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{"citationID":"BXiTSWTZ","properties":{"unsorted":false,"formattedCitation":"(Sung &amp; Kim, 2021)","plainCitation":"(Sung &amp; Kim, 2021)","noteIndex":0},"citationItems":[{"id":510,"uris":["http://zotero.org/users/19711126/items/UZPGKIFL"],"itemData":{"id":510,"type":"article-journal","abstract":"This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(Sung &amp; Kim,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address the change-management conditions of organizational innovation adoption;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{"citationID":"bR7aKO7y","properties":{"unsorted":false,"formattedCitation":"(Dean et al., 2024)","plainCitation":"(Dean et al., 2024)","noteIndex":0},"citationItems":[{"id":428,"uris":["http://zotero.org/users/19711126/items/QPV3FB5N"],"itemData":{"id":428,"type":"article-journal","abstract":"This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study leadership of change in educational settings, documenting the staged, pilot-oriented sequencing through which university reform succeeds. This sub-stream directly justifies the framework’s gradualism principle — pilot-first in the Biology Department, readiness-gated scaling — and its roadmap sequencing.</w:t>
      </w:r>
    </w:p>
    <w:p w14:paraId="09850CC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Collaborative and participatory governance.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{"citationID":"SUu2K1fk","properties":{"unsorted":false,"formattedCitation":"(Ahn &amp; Baldwin, 2024)","plainCitation":"(Ahn &amp; Baldwin, 2024)","noteIndex":0},"citationItems":[{"id":392,"uris":["http://zotero.org/users/19711126/items/875J4EC5"],"itemData":{"id":392,"type":"article-journal","abstract":"Collaborative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collaborative governance arrangements, demonstrating that participation decays into nominal compliance when decision rights and accountability are not explicitly allocated;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{"citationID":"GTXqER42","properties":{"unsorted":false,"formattedCitation":"(Lopes &amp; Farias, 2022)","plainCitation":"(Lopes &amp; Farias, 2022)","noteIndex":0},"citationItems":[{"id":483,"uris":["http://zotero.org/users/19711126/items/6HVLP7QZ"],"itemData":{"id":483,"type":"article-journal","abstract":"Collaborative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participatory arrangements in public administration, </w:t>
      </w:r>
      <w:r w:rsidRPr="00DD1558">
        <w:rPr>
          <w:rFonts w:ascii="Simplified Arabic" w:eastAsia="Times New Roman" w:hAnsi="Simplified Arabic" w:cs="Simplified Arabic"/>
          <w:color w:val="1A1A1A"/>
          <w:sz w:val="28"/>
          <w:szCs w:val="28"/>
          <w14:ligatures w14:val="none"/>
        </w:rPr>
        <w:lastRenderedPageBreak/>
        <w:t xml:space="preserve">documenting the failure mode of delegated responsibility without corresponding rights;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{"citationID":"9RlGJsLw","properties":{"unsorted":false,"formattedCitation":"(Gestel &amp; Grotenbreg, 2021)","plainCitation":"(Gestel &amp; Grotenbreg, 2021)","noteIndex":0},"citationItems":[{"id":517,"uris":["http://zotero.org/users/19711126/items/7LQEB697"],"itemData":{"id":517,"type":"article-journal","abstract":"Collaborative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(Gestel &amp; Grotenbreg,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study collaborative governance practice, identifying procedural clarity, trust, and equitable benefit distribution as the conditions of durable collaboration. This triad supplies the framework’s central governance wager: participatory inventory is sustainable only when collaboration is institutionalized as bounded roles with explicit decision rights — and it licenses the separation of execution from authority that bounds the laboratory technician role to strictly technical duties with escalation duties but no administrative, procurement, or financial authority.</w:t>
      </w:r>
    </w:p>
    <w:p w14:paraId="5048C194" w14:textId="21C4589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Smart inventory technology.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{"citationID":"ZW6KslGS","properties":{"unsorted":false,"formattedCitation":"(Carpitella &amp; Izquierdo, 2025)","plainCitation":"(Carpitella &amp; Izquierdo, 2025)","noteIndex":0},"citationItems":[{"id":419,"uris":["http://zotero.org/users/19711126/items/TZRZHV7D"],"itemData":{"id":419,"type":"article-journal","abstract":"This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smart inventory management technologies, confirming that automated tracking delivers value only where inventory processes and data semantics are already standardized;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{"citationID":"8P0VEbG1","properties":{"unsorted":false,"formattedCitation":"(Wilke et al., 2023)","plainCitation":"(Wilke et al., 2023)","noteIndex":0},"citationItems":[{"id":529,"uris":["http://zotero.org/users/19711126/items/UJ5TQGHH"],"itemData":{"id":529,"type":"article-journal","abstract":"Manual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analyze technology-assisted inventory management in health-system pharmacy, documenting the operational discipline — date-ordered rotation, accurate records — on which tracking technology depends;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{"citationID":"aRF0pCOD","properties":{"unsorted":false,"formattedCitation":"(Maulana et al., 2023)","plainCitation":"(Maulana et al., 2023)","noteIndex":0},"citationItems":[{"id":484,"uris":["http://zotero.org/users/19711126/items/VLCAF3D6"],"itemData":{"id":484,"type":"article-journal","abstract":"Numerous tools, kits, and other items are utilized daily by many individuals in the college laboratories. Without a proper inventory record, there is a risk of missing and misplacing some items. The system for tracking items using Radio Frequency Identification (RFID) accessed via the website has been designed to track the location of each item in the laboratory using RFID technology. The primary objective of this system is to monitor and record inventory. Information regarding the inventory is stored in a database, which can be accessed to track inventory and review the history of specific items via the Internet. The designed system is capable of tracking and managing laboratory equipment inventory using RFID, accessible through a web-based platform.","container-title":"Jurnal Rekayasa Elektrika","DOI":"10.17529/jre.v19i3.27050","ISSN":"2252-620X","issue":"3","language":"en","license":"Copyright (c) 2023 Jurnal Rekayasa Elektrika","source":"jurnal.usk.ac.id","title":"Web-Based Item Tracking System Using RFID","URL":"https://jurnal.usk.ac.id/JRE/article/view/27050","volume":"19","author":[{"family":"Maulana","given":"Azinurrachman"},{"family":"Aisyah","given":"Siti"},{"family":"Wikanta","given":"Prasaja"}],"accessed":{"date-parts":[["2026",8,6]]},"issued":{"date-parts":[["2023",9,25]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(Maulana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present RFID-based inventory system design for institutional settings, illustrating the technical substrate; 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{"citationID":"BYt70chM","properties":{"unsorted":false,"formattedCitation":"(Adirektawon et al., 2024)","plainCitation":"(Adirektawon et al., 2024)","noteIndex":0},"citationItems":[{"id":390,"uris":["http://zotero.org/users/19711126/items/35IXXDIS"],"itemData":{"id":390,"type":"article-journal","abstract":"Background: Traditional procurement and price negotiation methods in public hospitals in Thailand involve group purchasing agreements and bulk orders, posing challenges to improving inventory management efficiency. The vendor-managed inventory (VMI) model is a promising alternative for enhancing hospital performance, especially during crises. This study aimed to assess the potential cost savings in implementing VMI in a large general hospital in Thailand. Methods: A simulation modeling approach was used to compare the current inventory system with three VMI models: VMI1, focused on improving inventory turnover rate (ITR); VMI2, emphasized frequent replenishment with a 1-month supply; and VMI3, eliminated safety stock. Results: The results demonstrated significant cost savings, with potential reductions in total inventory management expenses. Specifically, VMI1 improved ITR from 6.31 to 7.76, reducing average inventory by 36% and cutting management costs by 40%. VMI2, with an ITR of 12.80, reduced inventory by 44% and saved 47% in management costs, while VMI3 achieved a 70% reduction in inventory and a 69% saving in management costs. Conclusions: This study highlights the VMI’s transformative potential in hospital inventory management, demonstrating significant cost savings. However, in the public sector, the feasibility of procurement regulations requires further exploration.","container-title":"Logistics","DOI":"10.3390/logistics8030089","ISSN":"2305-6290","issue":"3","language":"en","license":"http://creativecommons.org/licenses/by/3.0/","page":"89","publisher":"Multidisciplinary Digital Publishing Institute","source":"www.mdpi.com","title":"Efficiency of Inventory in Thai Hospitals: Comparing Traditional and Vendor-Managed Inventory Systems","title-short":"Efficiency of Inventory in Thai Hospitals","volume":"8","author":[{"family":"Adirektawon","given":"Sarunya"},{"family":"Theeraroungchaisri","given":"Anuchai"},{"family":"Sakulbumrungsil","given":"Rungpetch C."}],"issued":{"date-parts":[["2024",9]]}}}],"schema":"https://github.com/citation-style-language/schema/raw/master/csl-citation.json"}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(Adirektawon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inventory and logistics management for laboratory consumables, documenting the fragility of consumable supply and the disruption costs of stock-outs and expired stock. Together these studies corroborate both the continuity rationale (</w:t>
      </w:r>
      <w:hyperlink w:anchor="section26" w:history="1">
        <w:r w:rsidRPr="00D16051">
          <w:rPr>
            <w:rStyle w:val="Hyperlink"/>
            <w:rFonts w:ascii="Simplified Arabic" w:eastAsia="Times New Roman" w:hAnsi="Simplified Arabic" w:cs="Simplified Arabic"/>
            <w:sz w:val="28"/>
            <w:szCs w:val="28"/>
            <w14:ligatures w14:val="none"/>
          </w:rPr>
          <w:t>Section 2.6</w:t>
        </w:r>
      </w:hyperlink>
      <w:r w:rsidRPr="00DD1558">
        <w:rPr>
          <w:rFonts w:ascii="Simplified Arabic" w:eastAsia="Times New Roman" w:hAnsi="Simplified Arabic" w:cs="Simplified Arabic"/>
          <w:color w:val="1A1A1A"/>
          <w:sz w:val="28"/>
          <w:szCs w:val="28"/>
          <w14:ligatures w14:val="none"/>
        </w:rPr>
        <w:t>) and the deferral of platform acquisition: the technology literature itself instructs that process standardization comes first.</w:t>
      </w:r>
    </w:p>
    <w:p w14:paraId="12373D7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Green behavior.</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{"citationID":"OiuwTVah","properties":{"unsorted":false,"formattedCitation":"(Fareed El-Tony &amp; Choo, 2024)","plainCitation":"(Fareed El-Tony &amp; Choo, 2024)","noteIndex":0},"citationItems":[{"id":435,"uris":["http://zotero.org/users/19711126/items/NNHSQEXA"],"itemData":{"id":435,"type":"article-journal","abstract":"This study aims to explore employee green behavior in higher education institution (HEI) laboratories in the Kingdom of Bahrain.A qualitative approach was used to explore the green behavior experiences of individuals working in HEI laboratories. In-depth interviews were conducted with nine participants selected via purposive sampling. Thematic analysis was performed on the collected data using ATLAS.ti 9 software.The analysis of the collected data identified five themes related to the green behavior in HEI laboratories. These themes, ranked in descending order of frequency, are conserving, avoiding harm, transforming, influencing others and taking initiative. The conserving theme accounted for one-third of the subcodes, as did the avoiding harm theme. The final one-third of subcodes was distributed among the remaining three themes.This study conducted virtual interviews and coincidentally interviewed only female participants. The findings contribute to the existing literature on the themes of green behavior among laboratory staff in HEIs and provide valuable insights for university managers and sustainability coordinators in shaping policies to promote environmentally friendly practices and address negative practices.Despite existing studies on environmental practices in various workplace settings, the exploration of green behavior in HEI laboratories in the Kingdom of Bahrain from the employee perspective remains limited. This study presents a significant opportunity for researchers to explore sustainability in HEI laboratories and for policymakers to develop corresponding strategies.","container-title":"International Journal of Sustainability in Higher Education","DOI":"10.1108/IJSHE-03-2024-0168","ISSN":"1467-6370","issue":"3","journalAbbreviation":"International Journal of Sustainability in Higher Education","page":"697-715","source":"Silverchair","title":"Employee green behavior in laboratories of higher education institutions: a qualitative study","title-short":"Employee green behavior in laboratories of higher education institutions","volume":"26","author":[{"family":"Fareed El-Tony","given":"Yossra"},{"family":"Choo","given":"Ling Suan"}],"issued":{"date-parts":[["2024",9,10]]}}}],"schema":"https://github.com/citation-style-language/schema/raw/master/csl-citation.json"}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(Fareed El-Tony &amp; Choo,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examine green behavior among university laboratory users, showing that individual sustainable behavior is shaped by institutional structures and norms rather than arising spontaneously — the behavioral complement to the framework’s structural wager that well-designed rules, competence requirements, and escalation duties convert individual bench-level action into institutional performance.</w:t>
      </w:r>
    </w:p>
    <w:p w14:paraId="6C3D0525"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50" w:name="_Toc237539725"/>
      <w:r w:rsidRPr="00DD1558">
        <w:rPr>
          <w:rFonts w:ascii="Simplified Arabic" w:eastAsiaTheme="majorEastAsia" w:hAnsi="Simplified Arabic" w:cstheme="majorBidi"/>
          <w:sz w:val="28"/>
          <w:szCs w:val="28"/>
        </w:rPr>
        <w:lastRenderedPageBreak/>
        <w:t>2.5.3 Limitation for the present purpose</w:t>
      </w:r>
      <w:bookmarkEnd w:id="50"/>
    </w:p>
    <w:p w14:paraId="7BFB484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literature establishes the </w:t>
      </w:r>
      <w:r w:rsidRPr="00DD1558">
        <w:rPr>
          <w:rFonts w:ascii="Simplified Arabic" w:eastAsia="Times New Roman" w:hAnsi="Simplified Arabic" w:cs="Simplified Arabic"/>
          <w:i/>
          <w:iCs/>
          <w:color w:val="1A1A1A"/>
          <w:sz w:val="28"/>
          <w:szCs w:val="28"/>
          <w14:ligatures w14:val="none"/>
        </w:rPr>
        <w:t>necessity</w:t>
      </w:r>
      <w:r w:rsidRPr="00DD1558">
        <w:rPr>
          <w:rFonts w:ascii="Simplified Arabic" w:eastAsia="Times New Roman" w:hAnsi="Simplified Arabic" w:cs="Simplified Arabic"/>
          <w:color w:val="1A1A1A"/>
          <w:sz w:val="28"/>
          <w:szCs w:val="28"/>
          <w14:ligatures w14:val="none"/>
        </w:rPr>
        <w:t xml:space="preserve"> of readiness-first sequencing and bounded participation but remains general: readiness models are institution-wide, change studies concern curricula and strategy more often than operational inventory regimes, and collaborative-governance theory is not pre-fitted to a college’s laboratory stock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{"citationID":"LtCjKqH2","properties":{"unsorted":false,"formattedCitation":"(Ahn &amp; Baldwin, 2024; Rodr\\uc0\\u237{}guez-Abitia &amp; Bribiesca-Correa, 2021)","plainCitation":"(Ahn &amp; Baldwin, 2024; Rodríguez-Abitia &amp; Bribiesca-Correa, 2021)","noteIndex":0},"citationItems":[{"id":392,"uris":["http://zotero.org/users/19711126/items/875J4EC5"],"itemData":{"id":392,"type":"article-journal","abstract":"Collaborative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technology studies, concentrated in healthcare and engineering settings, address platforms more than the policy scaffolding that must precede them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{"citationID":"21WgdEyY","properties":{"unsorted":false,"formattedCitation":"(Carpitella &amp; Izquierdo, 2025; Wilke et al., 2023)","plainCitation":"(Carpitella &amp; Izquierdo, 2025;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thesis’s contribution is to </w:t>
      </w:r>
      <w:r w:rsidRPr="00DD1558">
        <w:rPr>
          <w:rFonts w:ascii="Simplified Arabic" w:eastAsia="Times New Roman" w:hAnsi="Simplified Arabic" w:cs="Simplified Arabic"/>
          <w:i/>
          <w:iCs/>
          <w:color w:val="1A1A1A"/>
          <w:sz w:val="28"/>
          <w:szCs w:val="28"/>
          <w14:ligatures w14:val="none"/>
        </w:rPr>
        <w:t>particularize</w:t>
      </w:r>
      <w:r w:rsidRPr="00DD1558">
        <w:rPr>
          <w:rFonts w:ascii="Simplified Arabic" w:eastAsia="Times New Roman" w:hAnsi="Simplified Arabic" w:cs="Simplified Arabic"/>
          <w:color w:val="1A1A1A"/>
          <w:sz w:val="28"/>
          <w:szCs w:val="28"/>
          <w14:ligatures w14:val="none"/>
        </w:rPr>
        <w:t xml:space="preserve"> it translates readiness theory into specific gates (process standardization, governance ratification, data-quality indicators) for a specific reform — participatory laboratory inventory — and translates collaborative-governance cautions into a concrete allocation of decision rights across a Board, a Committee, a Unit, custodian departments, and technicians.</w:t>
      </w:r>
    </w:p>
    <w:p w14:paraId="72101ADD"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51" w:name="section26"/>
      <w:bookmarkStart w:id="52" w:name="_Toc237539726"/>
      <w:bookmarkEnd w:id="51"/>
      <w:r w:rsidRPr="00DD1558">
        <w:rPr>
          <w:rFonts w:ascii="Simplified Arabic" w:eastAsiaTheme="majorEastAsia" w:hAnsi="Simplified Arabic" w:cstheme="majorBidi"/>
          <w:b/>
          <w:sz w:val="28"/>
          <w:szCs w:val="32"/>
        </w:rPr>
        <w:t>2.6 Risk and Continuity Frameworks in Literature</w:t>
      </w:r>
      <w:bookmarkEnd w:id="52"/>
    </w:p>
    <w:p w14:paraId="6EE3791B"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53" w:name="_Toc237539727"/>
      <w:r w:rsidRPr="00DD1558">
        <w:rPr>
          <w:rFonts w:ascii="Simplified Arabic" w:eastAsiaTheme="majorEastAsia" w:hAnsi="Simplified Arabic" w:cstheme="majorBidi"/>
          <w:sz w:val="28"/>
          <w:szCs w:val="28"/>
        </w:rPr>
        <w:t>2.6.1 Trajectory: from technique inventories to governance instruments</w:t>
      </w:r>
      <w:bookmarkEnd w:id="53"/>
    </w:p>
    <w:p w14:paraId="27AA058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final stream comprises the analytical instruments the thesis adapts. The trajectory across this literature runs from risk management as an isolated technical function toward risk management as an organizational capability embedded in governance — the movement ISO 31000:2018 codifies by framing risk management as integrated, customized, and continual rather than episodic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{"citationID":"R6t82z0H","properties":{"unsorted":false,"formattedCitation":"(31000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0A21A14"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54" w:name="_Toc237539728"/>
      <w:r w:rsidRPr="00DD1558">
        <w:rPr>
          <w:rFonts w:ascii="Simplified Arabic" w:eastAsiaTheme="majorEastAsia" w:hAnsi="Simplified Arabic" w:cstheme="majorBidi"/>
          <w:sz w:val="28"/>
          <w:szCs w:val="28"/>
        </w:rPr>
        <w:t>2.6.2 Key studies and standards</w:t>
      </w:r>
      <w:bookmarkEnd w:id="54"/>
    </w:p>
    <w:p w14:paraId="25CF408B" w14:textId="102E6BE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Risk maturity models.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{"citationID":"5X40AYJb","properties":{"unsorted":false,"formattedCitation":"(Hillson,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published the first risk maturity model, defining four levels — Naive, Novice, Normalized, Natural — each characterized along culture, process, experience, and application;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{"citationID":"iY8xLn3V","properties":{"unsorted":false,"formattedCitation":"(Hopkinson, 2017)","plainCitation":"(Hopkinson, 2017)","noteIndex":0},"citationItems":[{"id":454,"uris":["http://zotero.org/users/19711126/items/FKDZCBUS"],"itemData":{"id":454,"type":"book","abstract":"Top businesses recognise risk management as a core feature of their project management process and approach to the governance of projects. However, a mature risk management process is required in order to realise its benefits; one that takes into account the design and implementation of the process and the skills, experience and culture of the people who use it. To be mature in the way you manage risk you need an accepted framework to assess your risk management maturity, allowing you to benchmark against a recognised standard. A structured pathway for improvement is also needed, not just telling you where you are now, but describing the steps required to reach the next level. The Project Risk Maturity Model detailed here provides such an assessment framework and development pathway. It can be used to benchmark your project risk processes and support the introduction of effective in-house project risk management. Using this model, implementation and improvement of project risk management can be managed effectively to ensure that the expected benefits are achieved in a way that is appropriate to the needs of each organisation. Martin Hopkinson has developed The Project Risk Maturity Model into a robust framework, and this book allows you to access and apply his insights and experience. A key feature is a downloadable resource containing a working copy of the QinetiQ Project Risk Maturity Model (RMM). This will enable you to undertake maturity assessments for as many projects as you choose. The RMM has been proven over a period of 10 years, with at least 250 maturity assessments on projects and programmes with a total value exceeding £60 billion. A case study in the book demonstrates how it has been used to deliver significant and measurable benefits to the performance of major projects.","ISBN":"978-1-351-88346-7","language":"en","note":"Google-Books-ID: hHQIEQAAQBAJ","number-of-pages":"265","publisher":"Taylor &amp; Francis","source":"Google Books","title":"The Project Risk Maturity Model: Measuring and Improving Risk Management Capability","title-short":"The Project Risk Maturity Model","URL":"https://books.google.com.sa/books?id=hHQIEQAAQBAJ","author":[{"family":"Hopkinson","given":"Martin"}],"issued":{"date-parts":[["2017",3,2]]}}}],"schema":"https://github.com/citation-style-language/schema/raw/master/csl-citation.json"}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(Hopkinson, 2017)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developed a parallel </w:t>
      </w:r>
      <w:r w:rsidRPr="00DD1558">
        <w:rPr>
          <w:rFonts w:ascii="Simplified Arabic" w:eastAsia="Times New Roman" w:hAnsi="Simplified Arabic" w:cs="Simplified Arabic"/>
          <w:color w:val="1A1A1A"/>
          <w:sz w:val="28"/>
          <w:szCs w:val="28"/>
          <w14:ligatures w14:val="none"/>
        </w:rPr>
        <w:lastRenderedPageBreak/>
        <w:t xml:space="preserve">project risk maturity model on the same ladder logic. The capability-maturity lineage of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{"citationID":"60dLf0WS","properties":{"unsorted":false,"formattedCitation":"(Paulk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the five-level Initial-to-Optimizing scale — supplies the cognate process-institutionalization ladder, and ISO/IEC 33020:2019 formalizes capability levels in standards language. Because no published model uses the level names this thesis adopts, the study explicitly declares “Inform/Conform,” “Managed/Normalized,” and “Perform” as its own adapted three-band terminology, anchored to Hillson’s Naive/Novice, Normalized, and Natural levels respectively and to the corresponding capability-maturity ranges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{"citationID":"XOGEKqMj","properties":{"unsorted":false,"formattedCitation":"(Hillson,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limitation of the maturity literature for the present purpose is that it diagnoses capability without prescribing the governance anatomy that raises the deficiency </w:t>
      </w:r>
      <w:hyperlink w:anchor="section41" w:history="1">
        <w:r w:rsidR="00900AEF" w:rsidRPr="00900AEF">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’s architecture addresses.</w:t>
      </w:r>
    </w:p>
    <w:p w14:paraId="1AEBCEB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Bow-Tie method.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{"citationID":"gjoKU6bz","properties":{"unsorted":false,"formattedCitation":"(de Ruijter &amp; Guldenmund, 2016)","plainCitation":"(de Ruijter &amp; Guldenmund, 2016)","noteIndex":0},"citationItems":[{"id":429,"uris":["http://zotero.org/users/19711126/items/HU29KB4F"],"itemData":{"id":429,"type":"article-journal","abstract":"The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provide the definitive methodological review of the bow-tie method, establishing its qualitative nature, its canonical structure — Hazard, Top Event, Threats, Prevention barriers, Mitigation barriers, Consequences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{"citationID":"blNpqxXp","properties":{"unsorted":false,"formattedCitation":"(Johnson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Escalation factors — and its documented pitfalls. supply the standard terminology and construction discipline the thesis follows exactly, and IEC 31010:2019 formally defines the bow-tie as a graphical depiction of the pathways from the causes of an event to its consequences, classifying it among techniques for analyzing controls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{"citationID":"V1QNLwsR","properties":{"unsorted":false,"formattedCitation":"(31010 ISO/IEC, 2019)","plainCitation":"(31010 ISO/IEC, 2019)","noteIndex":0},"citationItems":[{"id":541,"uris":["http://zotero.org/users/19711126/items/K94YEEKI"],"itemData":{"id":541,"type":"standard","title":"ISO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{"citationID":"UcwiVICD","properties":{"unsorted":false,"formattedCitation":"(Cormier et al., 2019)","plainCitation":"(Cormier et al., 2019)","noteIndex":0},"citationItems":[{"id":425,"uris":["http://zotero.org/users/19711126/items/BSLAHZU5"],"itemData":{"id":425,"type":"article-journal","abstract":"Marine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furnish the critical precedent for the thesis’s adaptation: they demonstrate bow-tie application to environmental management and </w:t>
      </w:r>
      <w:r w:rsidRPr="00DD1558">
        <w:rPr>
          <w:rFonts w:ascii="Simplified Arabic" w:eastAsia="Times New Roman" w:hAnsi="Simplified Arabic" w:cs="Simplified Arabic"/>
          <w:i/>
          <w:iCs/>
          <w:color w:val="1A1A1A"/>
          <w:sz w:val="28"/>
          <w:szCs w:val="28"/>
          <w14:ligatures w14:val="none"/>
        </w:rPr>
        <w:t>policy</w:t>
      </w:r>
      <w:r w:rsidRPr="00DD1558">
        <w:rPr>
          <w:rFonts w:ascii="Simplified Arabic" w:eastAsia="Times New Roman" w:hAnsi="Simplified Arabic" w:cs="Simplified Arabic"/>
          <w:color w:val="1A1A1A"/>
          <w:sz w:val="28"/>
          <w:szCs w:val="28"/>
          <w14:ligatures w14:val="none"/>
        </w:rPr>
        <w:t xml:space="preserve"> problems, arguing that the method’s value lies in clarifying management controls and their ownership rather than in engineering calculation — the licence for transferring the method from process-safety hazards to inventory-management top events, an adaptation the thesis declares explicitly. The literature’s limitation is that bow-tie applications remain concentrated in safety engineering; managerial hazards such as chemical expiration and asset underutilization are not its standard objects, and the ownership handoff from barriers to governance bodies is asserted more often than executed.</w:t>
      </w:r>
    </w:p>
    <w:p w14:paraId="6366217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The FIRM taxonomy.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{"citationID":"NhLbbmWs","properties":{"unsorted":false,"formattedCitation":"(Hopkin,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presents the FIRM Scorecard in the Institute of Risk Management’s standard textbook: a risk </w:t>
      </w:r>
      <w:r w:rsidRPr="00DD1558">
        <w:rPr>
          <w:rFonts w:ascii="Simplified Arabic" w:eastAsia="Times New Roman" w:hAnsi="Simplified Arabic" w:cs="Simplified Arabic"/>
          <w:i/>
          <w:iCs/>
          <w:color w:val="1A1A1A"/>
          <w:sz w:val="28"/>
          <w:szCs w:val="28"/>
          <w14:ligatures w14:val="none"/>
        </w:rPr>
        <w:t>classification</w:t>
      </w:r>
      <w:r w:rsidRPr="00DD1558">
        <w:rPr>
          <w:rFonts w:ascii="Simplified Arabic" w:eastAsia="Times New Roman" w:hAnsi="Simplified Arabic" w:cs="Simplified Arabic"/>
          <w:color w:val="1A1A1A"/>
          <w:sz w:val="28"/>
          <w:szCs w:val="28"/>
          <w14:ligatures w14:val="none"/>
        </w:rPr>
        <w:t xml:space="preserve"> taxonomy categorizing risks by their impact on the organization’s key dependencies — Financial, Infrastructure, Reputational, and Marketplace — with structural properties (Financial and Infrastructure predominantly internal; Reputational and Marketplace predominantly external) that carry analytical value beyond labelling. The thesis uses FIRM strictly as a taxonomy — not a scoring algorithm — and declares its reading of Marketplace as the university’s service and stakeholder environment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{"citationID":"JuM1Q89C","properties":{"unsorted":false,"formattedCitation":"(Hopkin,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Its limitation is that it classifies without assessing; the thesis therefore couples it with the maturity trajectory and the bow-tie rather than treating it as self-sufficient.</w:t>
      </w:r>
    </w:p>
    <w:p w14:paraId="601F9E89" w14:textId="77777777" w:rsidR="00DD1558" w:rsidRPr="00DD1558" w:rsidRDefault="00DD1558" w:rsidP="00DD1558">
      <w:pPr>
        <w:bidi w:val="0"/>
        <w:spacing w:before="180" w:line="240" w:lineRule="auto"/>
        <w:jc w:val="both"/>
        <w:rPr>
          <w:rFonts w:ascii="Times New Roman" w:eastAsia="Times New Roman" w:hAnsi="Times New Roman" w:cs="Times New Roman"/>
          <w:color w:val="1A1A1A"/>
          <w:sz w:val="24"/>
          <w:szCs w:val="24"/>
          <w14:ligatures w14:val="none"/>
        </w:rPr>
      </w:pPr>
      <w:r w:rsidRPr="00DD1558">
        <w:rPr>
          <w:rFonts w:ascii="Simplified Arabic" w:eastAsia="Times New Roman" w:hAnsi="Simplified Arabic" w:cs="Simplified Arabic"/>
          <w:b/>
          <w:bCs/>
          <w:color w:val="1A1A1A"/>
          <w:sz w:val="28"/>
          <w:szCs w:val="28"/>
          <w14:ligatures w14:val="none"/>
        </w:rPr>
        <w:t>Standards as design references.</w:t>
      </w:r>
      <w:r w:rsidRPr="00DD1558">
        <w:rPr>
          <w:rFonts w:ascii="Simplified Arabic" w:eastAsia="Times New Roman" w:hAnsi="Simplified Arabic" w:cs="Simplified Arabic"/>
          <w:color w:val="1A1A1A"/>
          <w:sz w:val="28"/>
          <w:szCs w:val="28"/>
          <w14:ligatures w14:val="none"/>
        </w:rPr>
        <w:t xml:space="preserve"> Four standards function as design references rather than certification targets. ISO 31000:2018 supplies the umbrella risk-process framing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{"citationID":"4YLyb1BN","properties":{"unsorted":false,"formattedCitation":"(31000 ISO/IEC, 2018, p. 2018)","plainCitation":"(31000 ISO/IEC, 2018, p. 2018)","noteIndex":0},"citationItems":[{"id":464,"uris":["http://zotero.org/users/19711126/items/3P2A2GPY"],"itemData":{"id":464,"type":"standard","title":"ISO 31000:2018(en), Risk management — Guidelines","URL":"https://www.iso.org/obp/ui/#iso:std:iso:31000:ed-2:v1:en","author":[{"family":"ISO/IEC","given":"31000"}],"accessed":{"date-parts":[["2026",8,6]]},"issued":{"date-parts":[["2018"]]}},"locator":"2018","label":"page"}],"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 p.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ISO 22301:2019 contributes business-continuity logic in its 2019 vocabulary — business impact analysis (BIA), prioritized activities, maximum tolerable period of disruption (MTPD), recovery time objective (RTO), and minimum acceptable capacity — which the thesis applies qualitatively to identify scheduled practical teaching and time-sensitive research protocols as prioritized activities and shared visibility with inter-lab loans as Clause 8.3 continuity solutions; the thesis does not attribute to the 2019 edition terminology it removed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{"citationID":"DFgpxK7V","properties":{"unsorted":false,"formattedCitation":"(22301 ISO/IEC, 2019, p. 2019)","plainCitation":"(22301 ISO/IEC, 2019, p.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locator":"2019","label":"page"}],"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 p.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ISO 14001:2015 contributes the environmental management system logic — environmental aspects versus impacts, compliance obligations, the life-cycle perspective, Clause 8.2 emergency preparedness, and the operative verb </w:t>
      </w:r>
      <w:r w:rsidRPr="00DD1558">
        <w:rPr>
          <w:rFonts w:ascii="Simplified Arabic" w:eastAsia="Times New Roman" w:hAnsi="Simplified Arabic" w:cs="Simplified Arabic"/>
          <w:i/>
          <w:iCs/>
          <w:color w:val="1A1A1A"/>
          <w:sz w:val="28"/>
          <w:szCs w:val="28"/>
          <w14:ligatures w14:val="none"/>
        </w:rPr>
        <w:t>conformity</w:t>
      </w:r>
      <w:r w:rsidRPr="00DD1558">
        <w:rPr>
          <w:rFonts w:ascii="Simplified Arabic" w:eastAsia="Times New Roman" w:hAnsi="Simplified Arabic" w:cs="Simplified Arabic"/>
          <w:color w:val="1A1A1A"/>
          <w:sz w:val="28"/>
          <w:szCs w:val="28"/>
          <w14:ligatures w14:val="none"/>
        </w:rPr>
        <w:t xml:space="preserve"> rather than compliance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{"citationID":"yENrzryM","properties":{"unsorted":false,"formattedCitation":"(14001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ISO 26000:2010 is cited as non-certifiable guidance on social responsibility only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{"citationID":"6wUYsRZb","properties":{"unsorted":false,"formattedCitation":"(26000 ISO/IEC, 2010)","plainCitation":"(26000 ISO/IEC, 2010)","noteIndex":0},"citationItems":[{"id":460,"uris":["http://zotero.org/users/19711126/items/4TJPD7GL"],"itemData":{"id":460,"type":"standard","title":"ISO 26000:2010(en), Guidance on social responsibility","URL":"https://www.iso.org/obp/ui/#iso:std:iso:26000:ed-1:v1:en","author":[{"family":"ISO/IEC","given":"26000"}],"accessed":{"date-parts":[["2026",8,6]]},"issued":{"date-parts":[["2010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(26000 ISO/IEC, 2010)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PMBOK Guide’s treatment of risk within governance and value-delivery systems completes the project-management framing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{"citationID":"WjN7c0mH","properties":{"unsorted":false,"formattedCitation":"(PMI,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limitation of standards, for this purpose, is intrinsic: they specify requirements, not </w:t>
      </w:r>
      <w:r w:rsidRPr="00DD1558">
        <w:rPr>
          <w:rFonts w:ascii="Simplified Arabic" w:eastAsia="Times New Roman" w:hAnsi="Simplified Arabic" w:cs="Simplified Arabic"/>
          <w:color w:val="1A1A1A"/>
          <w:sz w:val="28"/>
          <w:szCs w:val="28"/>
          <w14:ligatures w14:val="none"/>
        </w:rPr>
        <w:lastRenderedPageBreak/>
        <w:t>institutional designs; the translation of clause logic into a named governance architecture for laboratory inventory is precisely the design work this thesis performs.</w:t>
      </w:r>
    </w:p>
    <w:p w14:paraId="3811DDB7"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55" w:name="section27"/>
      <w:bookmarkStart w:id="56" w:name="_Toc237539729"/>
      <w:bookmarkEnd w:id="55"/>
      <w:r w:rsidRPr="00DD1558">
        <w:rPr>
          <w:rFonts w:ascii="Simplified Arabic" w:eastAsiaTheme="majorEastAsia" w:hAnsi="Simplified Arabic" w:cstheme="majorBidi"/>
          <w:b/>
          <w:sz w:val="28"/>
          <w:szCs w:val="32"/>
        </w:rPr>
        <w:t>2.7 Comparative Summary of Previous Studies</w:t>
      </w:r>
      <w:bookmarkEnd w:id="56"/>
    </w:p>
    <w:p w14:paraId="20737732" w14:textId="7CE8ED3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21"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2</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1</w:t>
        </w:r>
      </w:hyperlink>
      <w:r w:rsidRPr="00DD1558">
        <w:rPr>
          <w:rFonts w:ascii="Simplified Arabic" w:eastAsia="Times New Roman" w:hAnsi="Simplified Arabic" w:cs="Simplified Arabic"/>
          <w:color w:val="1A1A1A"/>
          <w:sz w:val="28"/>
          <w:szCs w:val="28"/>
          <w14:ligatures w14:val="none"/>
        </w:rPr>
        <w:t xml:space="preserve"> consolidates the five thematic streams, contrasting each stream’s representative studies, typical methods, and typical objects of study with the specific limitation the present study addresses.</w:t>
      </w:r>
    </w:p>
    <w:p w14:paraId="08B0781C" w14:textId="02E62AF6" w:rsidR="00DD1558" w:rsidRPr="00DD1558" w:rsidRDefault="00DD1558" w:rsidP="00DD1558">
      <w:pPr>
        <w:bidi w:val="0"/>
        <w:spacing w:before="180" w:line="240" w:lineRule="auto"/>
        <w:jc w:val="both"/>
        <w:rPr>
          <w:rFonts w:ascii="Simplified Arabic" w:eastAsia="Times New Roman" w:hAnsi="Simplified Arabic" w:cs="Simplified Arabic"/>
          <w:i/>
          <w:iCs/>
          <w:sz w:val="24"/>
          <w:szCs w:val="24"/>
          <w14:ligatures w14:val="none"/>
        </w:rPr>
      </w:pPr>
    </w:p>
    <w:p w14:paraId="3BAA41D4" w14:textId="3BF1BFFE" w:rsidR="00431D1E" w:rsidRDefault="00431D1E" w:rsidP="00431D1E">
      <w:pPr>
        <w:pStyle w:val="Caption"/>
        <w:keepNext/>
        <w:bidi w:val="0"/>
      </w:pPr>
      <w:bookmarkStart w:id="57" w:name="_Toc237107830"/>
      <w:r>
        <w:t>T</w:t>
      </w:r>
      <w:bookmarkStart w:id="58" w:name="Table21"/>
      <w:bookmarkEnd w:id="58"/>
      <w:r>
        <w:t xml:space="preserve">able </w:t>
      </w:r>
      <w:r w:rsidR="00A94BAE">
        <w:t>2</w:t>
      </w:r>
      <w:r w:rsidRPr="007901DF">
        <w:t>.</w:t>
      </w:r>
      <w:r w:rsidR="00A94BAE">
        <w:t>1</w:t>
      </w:r>
      <w:r w:rsidR="00FB13EE">
        <w:t xml:space="preserve">. </w:t>
      </w:r>
      <w:r w:rsidRPr="007901DF">
        <w:t>Comparative summary of the five thematic literature streams</w:t>
      </w:r>
      <w:bookmarkEnd w:id="57"/>
    </w:p>
    <w:tbl>
      <w:tblPr>
        <w:tblStyle w:val="Table"/>
        <w:tblpPr w:leftFromText="180" w:rightFromText="180" w:vertAnchor="text" w:tblpY="1"/>
        <w:tblOverlap w:val="never"/>
        <w:tblW w:w="5000" w:type="pct"/>
        <w:tblBorders>
          <w:top w:val="single" w:sz="12" w:space="0" w:color="44546A"/>
          <w:bottom w:val="single" w:sz="12" w:space="0" w:color="44546A"/>
        </w:tblBorders>
        <w:tblLayout w:type="fixed"/>
        <w:tblCellMar>
          <w:left w:w="80" w:type="dxa"/>
          <w:right w:w="80" w:type="dxa"/>
        </w:tblCellMar>
        <w:tblLook w:val="0020" w:firstRow="1" w:lastRow="0" w:firstColumn="0" w:lastColumn="0" w:noHBand="0" w:noVBand="0"/>
      </w:tblPr>
      <w:tblGrid>
        <w:gridCol w:w="1853"/>
        <w:gridCol w:w="1833"/>
        <w:gridCol w:w="2126"/>
        <w:gridCol w:w="2148"/>
        <w:gridCol w:w="2246"/>
      </w:tblGrid>
      <w:tr w:rsidR="00DD1558" w:rsidRPr="00DD1558" w14:paraId="14865C60"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1853" w:type="dxa"/>
            <w:tcBorders>
              <w:bottom w:val="single" w:sz="8" w:space="0" w:color="44546A"/>
            </w:tcBorders>
            <w:vAlign w:val="top"/>
          </w:tcPr>
          <w:p w14:paraId="74FC6D76"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Thematic stream</w:t>
            </w:r>
          </w:p>
        </w:tc>
        <w:tc>
          <w:tcPr>
            <w:tcW w:w="1833" w:type="dxa"/>
            <w:tcBorders>
              <w:bottom w:val="single" w:sz="8" w:space="0" w:color="44546A"/>
            </w:tcBorders>
            <w:vAlign w:val="top"/>
          </w:tcPr>
          <w:p w14:paraId="130036EA"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Representative studies</w:t>
            </w:r>
          </w:p>
        </w:tc>
        <w:tc>
          <w:tcPr>
            <w:tcW w:w="2126" w:type="dxa"/>
            <w:tcBorders>
              <w:bottom w:val="single" w:sz="8" w:space="0" w:color="44546A"/>
            </w:tcBorders>
            <w:vAlign w:val="top"/>
          </w:tcPr>
          <w:p w14:paraId="0A4769FB"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Typical method</w:t>
            </w:r>
          </w:p>
        </w:tc>
        <w:tc>
          <w:tcPr>
            <w:tcW w:w="2148" w:type="dxa"/>
            <w:tcBorders>
              <w:bottom w:val="single" w:sz="8" w:space="0" w:color="44546A"/>
            </w:tcBorders>
            <w:vAlign w:val="top"/>
          </w:tcPr>
          <w:p w14:paraId="70B973C9"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Typical object of study</w:t>
            </w:r>
          </w:p>
        </w:tc>
        <w:tc>
          <w:tcPr>
            <w:tcW w:w="2246" w:type="dxa"/>
            <w:tcBorders>
              <w:bottom w:val="single" w:sz="8" w:space="0" w:color="44546A"/>
            </w:tcBorders>
            <w:vAlign w:val="top"/>
          </w:tcPr>
          <w:p w14:paraId="159BC94D"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Limitation this study addresses</w:t>
            </w:r>
          </w:p>
        </w:tc>
      </w:tr>
      <w:tr w:rsidR="00DD1558" w:rsidRPr="00DD1558" w14:paraId="1D135E15" w14:textId="77777777" w:rsidTr="00C71E92">
        <w:tc>
          <w:tcPr>
            <w:tcW w:w="1853" w:type="dxa"/>
          </w:tcPr>
          <w:p w14:paraId="01929AB5"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Inventory management in educational/university laboratories</w:t>
            </w:r>
          </w:p>
        </w:tc>
        <w:tc>
          <w:tcPr>
            <w:tcW w:w="1833" w:type="dxa"/>
          </w:tcPr>
          <w:p w14:paraId="7045BE55"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Freese et al. (2024); Durgan et al. (2023); Gutierrez et al. (2020); Leoneti et al. (2020); Ayyildiz et al. (2025); Hassanain et al. (2020)</w:t>
            </w:r>
          </w:p>
        </w:tc>
        <w:tc>
          <w:tcPr>
            <w:tcW w:w="2126" w:type="dxa"/>
          </w:tcPr>
          <w:p w14:paraId="3EA3C601"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Practice reviews and guidance; process modelling; quantitative/multi-criteria risk assessment; descriptive context studies</w:t>
            </w:r>
          </w:p>
        </w:tc>
        <w:tc>
          <w:tcPr>
            <w:tcW w:w="2148" w:type="dxa"/>
          </w:tcPr>
          <w:p w14:paraId="2BEFF4CC"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Laboratory material flows, chemical waste, safety hazards, facilities and asset management</w:t>
            </w:r>
          </w:p>
        </w:tc>
        <w:tc>
          <w:tcPr>
            <w:tcW w:w="2246" w:type="dxa"/>
          </w:tcPr>
          <w:p w14:paraId="2F8F072F"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Diagnosis without governance architecture: dysfunctions documented, but no design assigning countermeasures to named owners under ratified policy</w:t>
            </w:r>
          </w:p>
        </w:tc>
      </w:tr>
      <w:tr w:rsidR="00DD1558" w:rsidRPr="00DD1558" w14:paraId="7CEE7155" w14:textId="77777777" w:rsidTr="00C71E92">
        <w:trPr>
          <w:trHeight w:val="3370"/>
        </w:trPr>
        <w:tc>
          <w:tcPr>
            <w:tcW w:w="1853" w:type="dxa"/>
          </w:tcPr>
          <w:p w14:paraId="0B0D1476"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lastRenderedPageBreak/>
              <w:t>Participatory and resource-sharing models</w:t>
            </w:r>
          </w:p>
        </w:tc>
        <w:tc>
          <w:tcPr>
            <w:tcW w:w="1833" w:type="dxa"/>
          </w:tcPr>
          <w:p w14:paraId="0FD6BBA0"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Strom et al. (2020); Adami et al. (2021); Zhu &amp; Liu (2021); Wang &amp; Qu (2025); Sorzano &amp; Carazo (2026)</w:t>
            </w:r>
          </w:p>
        </w:tc>
        <w:tc>
          <w:tcPr>
            <w:tcW w:w="2126" w:type="dxa"/>
          </w:tcPr>
          <w:p w14:paraId="3BE8AAEA"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Case analysis; conceptual/theoretical modelling; governance analysis; acquisition trade-off modelling</w:t>
            </w:r>
          </w:p>
        </w:tc>
        <w:tc>
          <w:tcPr>
            <w:tcW w:w="2148" w:type="dxa"/>
          </w:tcPr>
          <w:p w14:paraId="67F198EA"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Research core facilities, shared large instruments, sharing-economy platforms</w:t>
            </w:r>
          </w:p>
        </w:tc>
        <w:tc>
          <w:tcPr>
            <w:tcW w:w="2246" w:type="dxa"/>
          </w:tcPr>
          <w:p w14:paraId="3A8434E8"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Concentration on research infrastructure, not teaching-laboratory inventory; governance principles not translated into ratified college-level policy (custody, loans, FEFO redistribution)</w:t>
            </w:r>
          </w:p>
        </w:tc>
      </w:tr>
      <w:tr w:rsidR="00DD1558" w:rsidRPr="00DD1558" w14:paraId="520E5948" w14:textId="77777777" w:rsidTr="00C71E92">
        <w:tc>
          <w:tcPr>
            <w:tcW w:w="1853" w:type="dxa"/>
          </w:tcPr>
          <w:p w14:paraId="627ECDE7"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Circular economy, green procurement, and sustainability in HE</w:t>
            </w:r>
          </w:p>
        </w:tc>
        <w:tc>
          <w:tcPr>
            <w:tcW w:w="1833" w:type="dxa"/>
          </w:tcPr>
          <w:p w14:paraId="35ADF2DB"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Ellen MacArthur Foundation (2013); Kirchherr et al. (2017); Vergani (2024); Sönnichsen &amp; Clement (2020); Ali et al. (2021); Ceulemans et al. (2015); Lakhno (2024); Alamoudi et al. (2023)</w:t>
            </w:r>
          </w:p>
        </w:tc>
        <w:tc>
          <w:tcPr>
            <w:tcW w:w="2126" w:type="dxa"/>
          </w:tcPr>
          <w:p w14:paraId="6D4A9086"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Conceptual consolidation; systematic reviews; case studies; reporting/governance analysis</w:t>
            </w:r>
          </w:p>
        </w:tc>
        <w:tc>
          <w:tcPr>
            <w:tcW w:w="2148" w:type="dxa"/>
          </w:tcPr>
          <w:p w14:paraId="60976422"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Campus material loops, procurement systems, USR and sustainability reporting, national strategy</w:t>
            </w:r>
          </w:p>
        </w:tc>
        <w:tc>
          <w:tcPr>
            <w:tcW w:w="2246" w:type="dxa"/>
          </w:tcPr>
          <w:p w14:paraId="2AE94525"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Altitude gap: principles and strategy without college-level operational instruments; circularity not yet specified as enforceable inventory barriers</w:t>
            </w:r>
          </w:p>
        </w:tc>
      </w:tr>
      <w:tr w:rsidR="00DD1558" w:rsidRPr="00DD1558" w14:paraId="32609981" w14:textId="77777777" w:rsidTr="00C71E92">
        <w:tc>
          <w:tcPr>
            <w:tcW w:w="1853" w:type="dxa"/>
          </w:tcPr>
          <w:p w14:paraId="0B840BE1"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Organizational readiness, digital transformation, and change</w:t>
            </w:r>
          </w:p>
        </w:tc>
        <w:tc>
          <w:tcPr>
            <w:tcW w:w="1833" w:type="dxa"/>
          </w:tcPr>
          <w:p w14:paraId="63C87FB7"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 xml:space="preserve">Rodríguez-Abitia &amp; Bribiesca-Correa (2021); Bellantuono et al. (2021); Dean </w:t>
            </w:r>
            <w:r w:rsidRPr="00DD1558">
              <w:rPr>
                <w:rFonts w:ascii="Simplified Arabic" w:hAnsi="Simplified Arabic" w:cs="Simplified Arabic"/>
                <w:szCs w:val="22"/>
              </w:rPr>
              <w:lastRenderedPageBreak/>
              <w:t>et al. (2024); Ahn &amp; Baldwin (2024); Carpitella &amp; Izquierdo (2025); Wilke et al. (2023); Fareed El-Tony &amp; Choo (2025)</w:t>
            </w:r>
          </w:p>
        </w:tc>
        <w:tc>
          <w:tcPr>
            <w:tcW w:w="2126" w:type="dxa"/>
          </w:tcPr>
          <w:p w14:paraId="1DD88C8A"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lastRenderedPageBreak/>
              <w:t xml:space="preserve">Readiness/maturity assessment; empirical change studies; governance theory; technology </w:t>
            </w:r>
            <w:r w:rsidRPr="00DD1558">
              <w:rPr>
                <w:rFonts w:ascii="Simplified Arabic" w:hAnsi="Simplified Arabic" w:cs="Simplified Arabic"/>
                <w:szCs w:val="22"/>
              </w:rPr>
              <w:lastRenderedPageBreak/>
              <w:t>implementation studies</w:t>
            </w:r>
          </w:p>
        </w:tc>
        <w:tc>
          <w:tcPr>
            <w:tcW w:w="2148" w:type="dxa"/>
          </w:tcPr>
          <w:p w14:paraId="179443AE"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lastRenderedPageBreak/>
              <w:t xml:space="preserve">Institution-wide digital transformation, collaborative </w:t>
            </w:r>
            <w:r w:rsidRPr="00DD1558">
              <w:rPr>
                <w:rFonts w:ascii="Simplified Arabic" w:hAnsi="Simplified Arabic" w:cs="Simplified Arabic"/>
                <w:szCs w:val="22"/>
              </w:rPr>
              <w:lastRenderedPageBreak/>
              <w:t>governance, smart inventory platforms</w:t>
            </w:r>
          </w:p>
        </w:tc>
        <w:tc>
          <w:tcPr>
            <w:tcW w:w="2246" w:type="dxa"/>
          </w:tcPr>
          <w:p w14:paraId="2DF530DF"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lastRenderedPageBreak/>
              <w:t xml:space="preserve">Generality: readiness and participation principles not particularized to a laboratory-inventory </w:t>
            </w:r>
            <w:r w:rsidRPr="00DD1558">
              <w:rPr>
                <w:rFonts w:ascii="Simplified Arabic" w:hAnsi="Simplified Arabic" w:cs="Simplified Arabic"/>
                <w:szCs w:val="22"/>
              </w:rPr>
              <w:lastRenderedPageBreak/>
              <w:t>reform with specific gates and bounded roles</w:t>
            </w:r>
          </w:p>
        </w:tc>
      </w:tr>
      <w:tr w:rsidR="00DD1558" w:rsidRPr="00DD1558" w14:paraId="5AE798E6" w14:textId="77777777" w:rsidTr="00C71E92">
        <w:tc>
          <w:tcPr>
            <w:tcW w:w="1853" w:type="dxa"/>
          </w:tcPr>
          <w:p w14:paraId="3EEDB012"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Risk and continuity frameworks</w:t>
            </w:r>
          </w:p>
        </w:tc>
        <w:tc>
          <w:tcPr>
            <w:tcW w:w="1833" w:type="dxa"/>
          </w:tcPr>
          <w:p w14:paraId="3F8883F2"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Hillson (1997); Paulk et al. (1993); de Ruijter &amp; Guldenmund (2016); CCPS &amp; Energy Institute (2018); Cormier et al. (2019); Hopkin (2018); ISO (2018, 2019, 2015); IEC (2019)</w:t>
            </w:r>
          </w:p>
        </w:tc>
        <w:tc>
          <w:tcPr>
            <w:tcW w:w="2126" w:type="dxa"/>
          </w:tcPr>
          <w:p w14:paraId="733AB9D8"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Methodological reviews; standards specification; textbook synthesis</w:t>
            </w:r>
          </w:p>
        </w:tc>
        <w:tc>
          <w:tcPr>
            <w:tcW w:w="2148" w:type="dxa"/>
          </w:tcPr>
          <w:p w14:paraId="2EF898FE"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Risk maturity diagnosis, bow-tie control analysis, risk classification, management-system requirements</w:t>
            </w:r>
          </w:p>
        </w:tc>
        <w:tc>
          <w:tcPr>
            <w:tcW w:w="2246" w:type="dxa"/>
          </w:tcPr>
          <w:p w14:paraId="12121621"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Technique without institutional embodiment: instruments diagnose, structure, and classify, but do not themselves constitute a governance design</w:t>
            </w:r>
          </w:p>
        </w:tc>
      </w:tr>
    </w:tbl>
    <w:p w14:paraId="01E1902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4"/>
          <w:szCs w:val="24"/>
          <w14:ligatures w14:val="none"/>
        </w:rPr>
      </w:pPr>
      <w:r w:rsidRPr="00DD1558">
        <w:rPr>
          <w:rFonts w:ascii="Times New Roman" w:eastAsia="Times New Roman" w:hAnsi="Times New Roman" w:cs="Times New Roman"/>
          <w:color w:val="1A1A1A"/>
          <w:sz w:val="24"/>
          <w:szCs w:val="24"/>
          <w14:ligatures w14:val="none"/>
        </w:rPr>
        <w:br/>
      </w:r>
      <w:r w:rsidRPr="00DD1558">
        <w:rPr>
          <w:rFonts w:ascii="Simplified Arabic" w:eastAsia="Times New Roman" w:hAnsi="Simplified Arabic" w:cs="Simplified Arabic"/>
          <w:color w:val="1A1A1A"/>
          <w:sz w:val="28"/>
          <w:szCs w:val="28"/>
          <w14:ligatures w14:val="none"/>
        </w:rPr>
        <w:t xml:space="preserve">Reading across the columns, three regularities emerge. First, applied literature is dominated by </w:t>
      </w:r>
      <w:r w:rsidRPr="00DD1558">
        <w:rPr>
          <w:rFonts w:ascii="Simplified Arabic" w:eastAsia="Times New Roman" w:hAnsi="Simplified Arabic" w:cs="Simplified Arabic"/>
          <w:i/>
          <w:iCs/>
          <w:color w:val="1A1A1A"/>
          <w:sz w:val="28"/>
          <w:szCs w:val="28"/>
          <w14:ligatures w14:val="none"/>
        </w:rPr>
        <w:t>quantitative and empirical measurement studies</w:t>
      </w:r>
      <w:r w:rsidRPr="00DD1558">
        <w:rPr>
          <w:rFonts w:ascii="Simplified Arabic" w:eastAsia="Times New Roman" w:hAnsi="Simplified Arabic" w:cs="Simplified Arabic"/>
          <w:color w:val="1A1A1A"/>
          <w:sz w:val="28"/>
          <w:szCs w:val="28"/>
          <w14:ligatures w14:val="none"/>
        </w:rPr>
        <w:t xml:space="preserve"> — multi-criteria risk assessments, readiness instruments, waste-system analyses — whose outputs are measurements of existing states rather than designs for new arrangements</w:t>
      </w:r>
      <w:r w:rsidRPr="00DD1558">
        <w:rPr>
          <w:rFonts w:ascii="Simplified Arabic" w:eastAsia="Times New Roman" w:hAnsi="Simplified Arabic" w:cs="Simplified Arabic"/>
          <w:color w:val="1A1A1A"/>
          <w:sz w:val="28"/>
          <w:szCs w:val="28"/>
          <w:rtl/>
          <w14:ligatures w14:val="none"/>
        </w:rPr>
        <w:t xml:space="preserve"> </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{"citationID":"MGovGiZB","properties":{"unsorted":false,"formattedCitation":"(Ayyildiz et al., 2025; Bravo-Jaico et al., 2025)","plainCitation":"(Ayyildiz et al., 2025; Bravo-Jaico et al., 2025)","noteIndex":0},"citationItems":[{"id":408,"uris":["http://zotero.org/users/19711126/items/QL8LLSEQ"],"itemData":{"id":408,"type":"article-journal","abstract":"Identifying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(Ayyildiz et al., 2025; Bravo-Jaico et al.,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the laboratory-sustainability literature is </w:t>
      </w:r>
      <w:r w:rsidRPr="00DD1558">
        <w:rPr>
          <w:rFonts w:ascii="Simplified Arabic" w:eastAsia="Times New Roman" w:hAnsi="Simplified Arabic" w:cs="Simplified Arabic"/>
          <w:color w:val="1A1A1A"/>
          <w:sz w:val="28"/>
          <w:szCs w:val="28"/>
          <w14:ligatures w14:val="none"/>
        </w:rPr>
        <w:lastRenderedPageBreak/>
        <w:t xml:space="preserve">overwhelmingly </w:t>
      </w:r>
      <w:r w:rsidRPr="00DD1558">
        <w:rPr>
          <w:rFonts w:ascii="Simplified Arabic" w:eastAsia="Times New Roman" w:hAnsi="Simplified Arabic" w:cs="Simplified Arabic"/>
          <w:i/>
          <w:iCs/>
          <w:color w:val="1A1A1A"/>
          <w:sz w:val="28"/>
          <w:szCs w:val="28"/>
          <w14:ligatures w14:val="none"/>
        </w:rPr>
        <w:t>guidance-oriented</w:t>
      </w:r>
      <w:r w:rsidRPr="00DD1558">
        <w:rPr>
          <w:rFonts w:ascii="Simplified Arabic" w:eastAsia="Times New Roman" w:hAnsi="Simplified Arabic" w:cs="Simplified Arabic"/>
          <w:color w:val="1A1A1A"/>
          <w:sz w:val="28"/>
          <w:szCs w:val="28"/>
          <w14:ligatures w14:val="none"/>
        </w:rPr>
        <w:t xml:space="preserve">: it prescribes good practice at the level of exhortation or professional recommendation, without specifying enforceable organizational mechanisms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{"citationID":"dysE2lWF","properties":{"unsorted":false,"formattedCitation":"(Durgan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the digitalization literature is </w:t>
      </w:r>
      <w:r w:rsidRPr="00DD1558">
        <w:rPr>
          <w:rFonts w:ascii="Simplified Arabic" w:eastAsia="Times New Roman" w:hAnsi="Simplified Arabic" w:cs="Simplified Arabic"/>
          <w:i/>
          <w:iCs/>
          <w:color w:val="1A1A1A"/>
          <w:sz w:val="28"/>
          <w:szCs w:val="28"/>
          <w14:ligatures w14:val="none"/>
        </w:rPr>
        <w:t>technology-focused</w:t>
      </w:r>
      <w:r w:rsidRPr="00DD1558">
        <w:rPr>
          <w:rFonts w:ascii="Simplified Arabic" w:eastAsia="Times New Roman" w:hAnsi="Simplified Arabic" w:cs="Simplified Arabic"/>
          <w:color w:val="1A1A1A"/>
          <w:sz w:val="28"/>
          <w:szCs w:val="28"/>
          <w14:ligatures w14:val="none"/>
        </w:rPr>
        <w:t xml:space="preserve">, treating platforms and tracking systems as the object of study and organizational preconditions as background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{"citationID":"UcGdFTG1","properties":{"unsorted":false,"formattedCitation":"(Carpitella &amp; Izquierdo, 2025; Wilke et al., 2023)","plainCitation":"(Carpitella &amp; Izquierdo, 2025;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What none of the five streams contains is an </w:t>
      </w:r>
      <w:r w:rsidRPr="00DD1558">
        <w:rPr>
          <w:rFonts w:ascii="Simplified Arabic" w:eastAsia="Times New Roman" w:hAnsi="Simplified Arabic" w:cs="Simplified Arabic"/>
          <w:i/>
          <w:iCs/>
          <w:color w:val="1A1A1A"/>
          <w:sz w:val="28"/>
          <w:szCs w:val="28"/>
          <w14:ligatures w14:val="none"/>
        </w:rPr>
        <w:t>integrated qualitative governance design</w:t>
      </w:r>
      <w:r w:rsidRPr="00DD1558">
        <w:rPr>
          <w:rFonts w:ascii="Simplified Arabic" w:eastAsia="Times New Roman" w:hAnsi="Simplified Arabic" w:cs="Simplified Arabic"/>
          <w:color w:val="1A1A1A"/>
          <w:sz w:val="28"/>
          <w:szCs w:val="28"/>
          <w14:ligatures w14:val="none"/>
        </w:rPr>
        <w:t xml:space="preserve"> for participatory laboratory inventory: a framework that simultaneously diagnoses institutional maturity, structures inventory risk pathways, specifies continuity and environmental conformity targets by standards analogue, classifies residual risk, assigns every barrier to a named organizational owner, and sequences implementation through readiness gates — still less one situated in Saudi higher education. That absence is the gap the thesis addresses.</w:t>
      </w:r>
    </w:p>
    <w:p w14:paraId="45636DB9" w14:textId="77777777" w:rsidR="00DD1558" w:rsidRPr="00DD1558" w:rsidRDefault="00DD1558" w:rsidP="00DD1558">
      <w:pPr>
        <w:keepNext/>
        <w:keepLines/>
        <w:bidi w:val="0"/>
        <w:spacing w:before="160" w:after="80"/>
        <w:jc w:val="both"/>
        <w:outlineLvl w:val="1"/>
        <w:rPr>
          <w:rFonts w:ascii="Simplified Arabic" w:eastAsiaTheme="majorEastAsia" w:hAnsi="Simplified Arabic" w:cstheme="majorBidi"/>
          <w:b/>
          <w:sz w:val="28"/>
          <w:szCs w:val="32"/>
        </w:rPr>
      </w:pPr>
      <w:bookmarkStart w:id="59" w:name="section28"/>
      <w:bookmarkStart w:id="60" w:name="_Toc237539730"/>
      <w:bookmarkEnd w:id="59"/>
      <w:r w:rsidRPr="00DD1558">
        <w:rPr>
          <w:rFonts w:ascii="Simplified Arabic" w:eastAsiaTheme="majorEastAsia" w:hAnsi="Simplified Arabic" w:cstheme="majorBidi"/>
          <w:b/>
          <w:sz w:val="28"/>
          <w:szCs w:val="32"/>
        </w:rPr>
        <w:t>2.8 Research Gap and the Study’s Qualitative Framework Variables</w:t>
      </w:r>
      <w:bookmarkEnd w:id="60"/>
    </w:p>
    <w:p w14:paraId="12753857"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61" w:name="_Toc237539731"/>
      <w:r w:rsidRPr="00DD1558">
        <w:rPr>
          <w:rFonts w:ascii="Simplified Arabic" w:eastAsiaTheme="majorEastAsia" w:hAnsi="Simplified Arabic" w:cstheme="majorBidi"/>
          <w:sz w:val="28"/>
          <w:szCs w:val="28"/>
        </w:rPr>
        <w:t>2.8.1 Statement of the gap</w:t>
      </w:r>
      <w:bookmarkEnd w:id="61"/>
    </w:p>
    <w:p w14:paraId="35FF1BD3" w14:textId="679541BC"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gap can now be stated precisely. The verified literature contains: (a) well-documented diagnoses of laboratory inventory dysfunction, without governance designs to correct them (</w:t>
      </w:r>
      <w:hyperlink w:anchor="section22" w:history="1">
        <w:r w:rsidRPr="00900AEF">
          <w:rPr>
            <w:rStyle w:val="Hyperlink"/>
            <w:rFonts w:ascii="Simplified Arabic" w:eastAsia="Times New Roman" w:hAnsi="Simplified Arabic" w:cs="Simplified Arabic"/>
            <w:sz w:val="28"/>
            <w:szCs w:val="28"/>
            <w14:ligatures w14:val="none"/>
          </w:rPr>
          <w:t>Section 2.2</w:t>
        </w:r>
      </w:hyperlink>
      <w:r w:rsidRPr="00DD1558">
        <w:rPr>
          <w:rFonts w:ascii="Simplified Arabic" w:eastAsia="Times New Roman" w:hAnsi="Simplified Arabic" w:cs="Simplified Arabic"/>
          <w:color w:val="1A1A1A"/>
          <w:sz w:val="28"/>
          <w:szCs w:val="28"/>
          <w14:ligatures w14:val="none"/>
        </w:rPr>
        <w:t>); (b) governance principles for shared research infrastructure, untranslated to teaching-laboratory inventory and to Saudi university administration (</w:t>
      </w:r>
      <w:hyperlink w:anchor="Section23" w:history="1">
        <w:r w:rsidR="0018617A" w:rsidRPr="00900AEF">
          <w:rPr>
            <w:rStyle w:val="Hyperlink"/>
            <w:rFonts w:ascii="Simplified Arabic" w:eastAsia="Times New Roman" w:hAnsi="Simplified Arabic" w:cs="Simplified Arabic"/>
            <w:sz w:val="28"/>
            <w:szCs w:val="28"/>
            <w14:ligatures w14:val="none"/>
          </w:rPr>
          <w:t>Section 2.3</w:t>
        </w:r>
      </w:hyperlink>
      <w:r w:rsidRPr="00DD1558">
        <w:rPr>
          <w:rFonts w:ascii="Simplified Arabic" w:eastAsia="Times New Roman" w:hAnsi="Simplified Arabic" w:cs="Simplified Arabic"/>
          <w:color w:val="1A1A1A"/>
          <w:sz w:val="28"/>
          <w:szCs w:val="28"/>
          <w14:ligatures w14:val="none"/>
        </w:rPr>
        <w:t>); (c) circular-economy and procurement principles, undescended to college-level operational instruments (</w:t>
      </w:r>
      <w:hyperlink w:anchor="section24" w:history="1">
        <w:r w:rsidR="0018617A" w:rsidRPr="00900AEF">
          <w:rPr>
            <w:rStyle w:val="Hyperlink"/>
            <w:rFonts w:ascii="Simplified Arabic" w:eastAsia="Times New Roman" w:hAnsi="Simplified Arabic" w:cs="Simplified Arabic"/>
            <w:sz w:val="28"/>
            <w:szCs w:val="28"/>
            <w14:ligatures w14:val="none"/>
          </w:rPr>
          <w:t>Section 2.4</w:t>
        </w:r>
      </w:hyperlink>
      <w:r w:rsidRPr="00DD1558">
        <w:rPr>
          <w:rFonts w:ascii="Simplified Arabic" w:eastAsia="Times New Roman" w:hAnsi="Simplified Arabic" w:cs="Simplified Arabic"/>
          <w:color w:val="1A1A1A"/>
          <w:sz w:val="28"/>
          <w:szCs w:val="28"/>
          <w14:ligatures w14:val="none"/>
        </w:rPr>
        <w:t>); (d) readiness-first transformation and collaborative-governance theory, unparticularized to this reform object (</w:t>
      </w:r>
      <w:hyperlink w:anchor="section25" w:history="1">
        <w:r w:rsidRPr="00900AEF">
          <w:rPr>
            <w:rStyle w:val="Hyperlink"/>
            <w:rFonts w:ascii="Simplified Arabic" w:eastAsia="Times New Roman" w:hAnsi="Simplified Arabic" w:cs="Simplified Arabic"/>
            <w:sz w:val="28"/>
            <w:szCs w:val="28"/>
            <w14:ligatures w14:val="none"/>
          </w:rPr>
          <w:t>Section 2.5</w:t>
        </w:r>
      </w:hyperlink>
      <w:r w:rsidRPr="00DD1558">
        <w:rPr>
          <w:rFonts w:ascii="Simplified Arabic" w:eastAsia="Times New Roman" w:hAnsi="Simplified Arabic" w:cs="Simplified Arabic"/>
          <w:color w:val="1A1A1A"/>
          <w:sz w:val="28"/>
          <w:szCs w:val="28"/>
          <w14:ligatures w14:val="none"/>
        </w:rPr>
        <w:t>); and (e) risk and continuity instruments, unembodied in institutional designs (</w:t>
      </w:r>
      <w:hyperlink w:anchor="section26" w:history="1">
        <w:r w:rsidRPr="00900AEF">
          <w:rPr>
            <w:rStyle w:val="Hyperlink"/>
            <w:rFonts w:ascii="Simplified Arabic" w:eastAsia="Times New Roman" w:hAnsi="Simplified Arabic" w:cs="Simplified Arabic"/>
            <w:sz w:val="28"/>
            <w:szCs w:val="28"/>
            <w14:ligatures w14:val="none"/>
          </w:rPr>
          <w:t>Section 2.6</w:t>
        </w:r>
      </w:hyperlink>
      <w:r w:rsidRPr="00DD1558">
        <w:rPr>
          <w:rFonts w:ascii="Simplified Arabic" w:eastAsia="Times New Roman" w:hAnsi="Simplified Arabic" w:cs="Simplified Arabic"/>
          <w:color w:val="1A1A1A"/>
          <w:sz w:val="28"/>
          <w:szCs w:val="28"/>
          <w14:ligatures w14:val="none"/>
        </w:rPr>
        <w:t xml:space="preserve">). No located study integrates these streams into a single qualitative governance framework for participatory inventory management in educational laboratories; none does so for a Saudi higher-education institution aligned with Vision 2030; and none couples a Bow-Tie barrier architecture to </w:t>
      </w:r>
      <w:r w:rsidRPr="00DD1558">
        <w:rPr>
          <w:rFonts w:ascii="Simplified Arabic" w:eastAsia="Times New Roman" w:hAnsi="Simplified Arabic" w:cs="Simplified Arabic"/>
          <w:color w:val="1A1A1A"/>
          <w:sz w:val="28"/>
          <w:szCs w:val="28"/>
          <w14:ligatures w14:val="none"/>
        </w:rPr>
        <w:lastRenderedPageBreak/>
        <w:t>an explicit organizational ownership structure under standards-derived conformity targets. The present study occupies this intersection.</w:t>
      </w:r>
    </w:p>
    <w:p w14:paraId="16DB4CAA"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62" w:name="_Toc237539732"/>
      <w:r w:rsidRPr="00DD1558">
        <w:rPr>
          <w:rFonts w:ascii="Simplified Arabic" w:eastAsiaTheme="majorEastAsia" w:hAnsi="Simplified Arabic" w:cstheme="majorBidi"/>
          <w:sz w:val="28"/>
          <w:szCs w:val="28"/>
        </w:rPr>
        <w:t>2.8.2 Qualitative framework variables</w:t>
      </w:r>
      <w:bookmarkEnd w:id="62"/>
    </w:p>
    <w:p w14:paraId="7618D58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Because the study is qualitative and design-oriented, it does not formulate statistical hypotheses over measured variables. It instead defines </w:t>
      </w:r>
      <w:r w:rsidRPr="00DD1558">
        <w:rPr>
          <w:rFonts w:ascii="Simplified Arabic" w:eastAsia="Times New Roman" w:hAnsi="Simplified Arabic" w:cs="Simplified Arabic"/>
          <w:i/>
          <w:iCs/>
          <w:color w:val="1A1A1A"/>
          <w:sz w:val="28"/>
          <w:szCs w:val="28"/>
          <w14:ligatures w14:val="none"/>
        </w:rPr>
        <w:t>framework dimensions</w:t>
      </w:r>
      <w:r w:rsidRPr="00DD1558">
        <w:rPr>
          <w:rFonts w:ascii="Simplified Arabic" w:eastAsia="Times New Roman" w:hAnsi="Simplified Arabic" w:cs="Simplified Arabic"/>
          <w:color w:val="1A1A1A"/>
          <w:sz w:val="28"/>
          <w:szCs w:val="28"/>
          <w14:ligatures w14:val="none"/>
        </w:rPr>
        <w:t xml:space="preserve"> — qualitative axes along which the framework’s design intent is stated and against which its structural coherence is assessed — organized into three independent dimensions (the governance levers the framework manipulates) and three dependent dimensions (the outcomes the levers are designed to advance). </w:t>
      </w:r>
      <w:hyperlink w:anchor="Table22" w:history="1">
        <w:r w:rsidRPr="00DD1558">
          <w:rPr>
            <w:rFonts w:ascii="Simplified Arabic" w:eastAsia="Times New Roman" w:hAnsi="Simplified Arabic" w:cs="Simplified Arabic"/>
            <w:color w:val="467886" w:themeColor="hyperlink"/>
            <w:sz w:val="28"/>
            <w:szCs w:val="28"/>
            <w:u w:val="single"/>
            <w14:ligatures w14:val="none"/>
          </w:rPr>
          <w:t>Table 2.2</w:t>
        </w:r>
      </w:hyperlink>
      <w:r w:rsidRPr="00DD1558">
        <w:rPr>
          <w:rFonts w:ascii="Simplified Arabic" w:eastAsia="Times New Roman" w:hAnsi="Simplified Arabic" w:cs="Simplified Arabic"/>
          <w:color w:val="1A1A1A"/>
          <w:sz w:val="28"/>
          <w:szCs w:val="28"/>
          <w14:ligatures w14:val="none"/>
        </w:rPr>
        <w:t xml:space="preserve"> defines each dimension, names the framework elements that operationalize it, and cross-references the thesis sections where it is treated.</w:t>
      </w:r>
    </w:p>
    <w:p w14:paraId="31C43F43" w14:textId="0E5D807B" w:rsidR="00DD1558" w:rsidRPr="00DD1558" w:rsidRDefault="00DD1558" w:rsidP="00DD1558">
      <w:pPr>
        <w:bidi w:val="0"/>
        <w:spacing w:before="180" w:line="240" w:lineRule="auto"/>
        <w:jc w:val="both"/>
        <w:rPr>
          <w:rFonts w:ascii="Simplified Arabic" w:eastAsia="Times New Roman" w:hAnsi="Simplified Arabic" w:cs="Simplified Arabic"/>
          <w:i/>
          <w:iCs/>
          <w:color w:val="1A1A1A"/>
          <w:sz w:val="24"/>
          <w:szCs w:val="24"/>
          <w14:ligatures w14:val="none"/>
        </w:rPr>
      </w:pPr>
    </w:p>
    <w:p w14:paraId="5C986FCF" w14:textId="3C19E737" w:rsidR="00431D1E" w:rsidRDefault="00431D1E" w:rsidP="00431D1E">
      <w:pPr>
        <w:pStyle w:val="Caption"/>
        <w:keepNext/>
        <w:bidi w:val="0"/>
      </w:pPr>
      <w:bookmarkStart w:id="63" w:name="_Toc237107831"/>
      <w:r>
        <w:t>T</w:t>
      </w:r>
      <w:bookmarkStart w:id="64" w:name="Table22"/>
      <w:bookmarkEnd w:id="64"/>
      <w:r>
        <w:t xml:space="preserve">able </w:t>
      </w:r>
      <w:fldSimple w:instr=" SEQ Table \* ARABIC ">
        <w:r w:rsidR="00273038">
          <w:rPr>
            <w:noProof/>
          </w:rPr>
          <w:t>2</w:t>
        </w:r>
      </w:fldSimple>
      <w:r w:rsidRPr="00FA0E33">
        <w:t>.2. Qualitative framework variables/axes</w:t>
      </w:r>
      <w:bookmarkEnd w:id="63"/>
    </w:p>
    <w:tbl>
      <w:tblPr>
        <w:tblStyle w:val="Table"/>
        <w:tblW w:w="5000" w:type="pct"/>
        <w:tblBorders>
          <w:top w:val="single" w:sz="12" w:space="0" w:color="44546A"/>
          <w:bottom w:val="single" w:sz="12" w:space="0" w:color="44546A"/>
        </w:tblBorders>
        <w:tblLayout w:type="fixed"/>
        <w:tblCellMar>
          <w:left w:w="80" w:type="dxa"/>
          <w:right w:w="80" w:type="dxa"/>
        </w:tblCellMar>
        <w:tblLook w:val="0020" w:firstRow="1" w:lastRow="0" w:firstColumn="0" w:lastColumn="0" w:noHBand="0" w:noVBand="0"/>
      </w:tblPr>
      <w:tblGrid>
        <w:gridCol w:w="1560"/>
        <w:gridCol w:w="1275"/>
        <w:gridCol w:w="2726"/>
        <w:gridCol w:w="2835"/>
        <w:gridCol w:w="1810"/>
      </w:tblGrid>
      <w:tr w:rsidR="00DD1558" w:rsidRPr="00DD1558" w14:paraId="10E98088"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1560" w:type="dxa"/>
            <w:tcBorders>
              <w:bottom w:val="single" w:sz="8" w:space="0" w:color="44546A"/>
            </w:tcBorders>
            <w:vAlign w:val="top"/>
          </w:tcPr>
          <w:p w14:paraId="50BBAF33"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Dimension</w:t>
            </w:r>
          </w:p>
        </w:tc>
        <w:tc>
          <w:tcPr>
            <w:tcW w:w="1275" w:type="dxa"/>
            <w:tcBorders>
              <w:bottom w:val="single" w:sz="8" w:space="0" w:color="44546A"/>
            </w:tcBorders>
            <w:vAlign w:val="top"/>
          </w:tcPr>
          <w:p w14:paraId="4B3D2AC4"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Type</w:t>
            </w:r>
          </w:p>
        </w:tc>
        <w:tc>
          <w:tcPr>
            <w:tcW w:w="2726" w:type="dxa"/>
            <w:tcBorders>
              <w:bottom w:val="single" w:sz="8" w:space="0" w:color="44546A"/>
            </w:tcBorders>
            <w:vAlign w:val="top"/>
          </w:tcPr>
          <w:p w14:paraId="049E88FC"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Qualitative definition</w:t>
            </w:r>
          </w:p>
        </w:tc>
        <w:tc>
          <w:tcPr>
            <w:tcW w:w="2835" w:type="dxa"/>
            <w:tcBorders>
              <w:bottom w:val="single" w:sz="8" w:space="0" w:color="44546A"/>
            </w:tcBorders>
            <w:vAlign w:val="top"/>
          </w:tcPr>
          <w:p w14:paraId="50F9CE9D"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Framework elements operationalizing it</w:t>
            </w:r>
          </w:p>
        </w:tc>
        <w:tc>
          <w:tcPr>
            <w:tcW w:w="1810" w:type="dxa"/>
            <w:tcBorders>
              <w:bottom w:val="single" w:sz="8" w:space="0" w:color="44546A"/>
            </w:tcBorders>
            <w:vAlign w:val="top"/>
          </w:tcPr>
          <w:p w14:paraId="1A78372D"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Chapters &amp; Sections</w:t>
            </w:r>
          </w:p>
        </w:tc>
      </w:tr>
      <w:tr w:rsidR="00DD1558" w:rsidRPr="00DD1558" w14:paraId="1AFA8D17" w14:textId="77777777" w:rsidTr="00C71E92">
        <w:tc>
          <w:tcPr>
            <w:tcW w:w="1560" w:type="dxa"/>
          </w:tcPr>
          <w:p w14:paraId="68F4AA4F"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Governance Architecture</w:t>
            </w:r>
          </w:p>
        </w:tc>
        <w:tc>
          <w:tcPr>
            <w:tcW w:w="1275" w:type="dxa"/>
          </w:tcPr>
          <w:p w14:paraId="0D368ECA"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Independent</w:t>
            </w:r>
          </w:p>
        </w:tc>
        <w:tc>
          <w:tcPr>
            <w:tcW w:w="2726" w:type="dxa"/>
          </w:tcPr>
          <w:p w14:paraId="0110990E"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inventory governance is embodied in named bodies with bounded, ratified decision rights — policy authority, standard-setting, data stewardship, and bounded operational execution — as opposed to diffuse informal practice</w:t>
            </w:r>
          </w:p>
        </w:tc>
        <w:tc>
          <w:tcPr>
            <w:tcW w:w="2835" w:type="dxa"/>
          </w:tcPr>
          <w:p w14:paraId="74CC4E01"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Three-tier structure: Academic Inventory Governance Board, Technical Standardization Committee, Digital Supply Chain Unit; technician role bounded to technical execution with escalation duties; RACI accountability matrix; barrier-ownership mapping</w:t>
            </w:r>
          </w:p>
        </w:tc>
        <w:tc>
          <w:tcPr>
            <w:tcW w:w="1810" w:type="dxa"/>
          </w:tcPr>
          <w:p w14:paraId="5CD964BD" w14:textId="62C6A97F"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Chapter 4 (Sections </w:t>
            </w:r>
            <w:hyperlink w:anchor="section411" w:history="1">
              <w:r w:rsidRPr="00900AEF">
                <w:rPr>
                  <w:rStyle w:val="Hyperlink"/>
                  <w:rFonts w:ascii="Simplified Arabic" w:hAnsi="Simplified Arabic" w:cs="Simplified Arabic"/>
                  <w:szCs w:val="22"/>
                </w:rPr>
                <w:t>4.1.1</w:t>
              </w:r>
            </w:hyperlink>
            <w:r w:rsidRPr="00DD1558">
              <w:rPr>
                <w:rFonts w:ascii="Simplified Arabic" w:hAnsi="Simplified Arabic" w:cs="Simplified Arabic"/>
                <w:szCs w:val="22"/>
              </w:rPr>
              <w:t>–</w:t>
            </w:r>
            <w:hyperlink w:anchor="section415" w:history="1">
              <w:r w:rsidRPr="00900AEF">
                <w:rPr>
                  <w:rStyle w:val="Hyperlink"/>
                  <w:rFonts w:ascii="Simplified Arabic" w:hAnsi="Simplified Arabic" w:cs="Simplified Arabic"/>
                  <w:szCs w:val="22"/>
                </w:rPr>
                <w:t>4.1.5</w:t>
              </w:r>
            </w:hyperlink>
            <w:r w:rsidRPr="00DD1558">
              <w:rPr>
                <w:rFonts w:ascii="Simplified Arabic" w:hAnsi="Simplified Arabic" w:cs="Simplified Arabic"/>
                <w:szCs w:val="22"/>
              </w:rPr>
              <w:t xml:space="preserve">, </w:t>
            </w:r>
            <w:hyperlink w:anchor="section417" w:history="1">
              <w:r w:rsidRPr="00900AEF">
                <w:rPr>
                  <w:rStyle w:val="Hyperlink"/>
                  <w:rFonts w:ascii="Simplified Arabic" w:hAnsi="Simplified Arabic" w:cs="Simplified Arabic"/>
                  <w:szCs w:val="22"/>
                </w:rPr>
                <w:t>4.1.7</w:t>
              </w:r>
            </w:hyperlink>
            <w:r w:rsidRPr="00DD1558">
              <w:rPr>
                <w:rFonts w:ascii="Simplified Arabic" w:hAnsi="Simplified Arabic" w:cs="Simplified Arabic"/>
                <w:szCs w:val="22"/>
              </w:rPr>
              <w:t>); Chapter 2 (</w:t>
            </w:r>
            <w:hyperlink w:anchor="section296" w:history="1">
              <w:r w:rsidR="009D553E" w:rsidRPr="00900AEF">
                <w:rPr>
                  <w:rStyle w:val="Hyperlink"/>
                  <w:rFonts w:ascii="Simplified Arabic" w:hAnsi="Simplified Arabic" w:cs="Simplified Arabic"/>
                  <w:szCs w:val="22"/>
                </w:rPr>
                <w:t>Section 2.9.6</w:t>
              </w:r>
            </w:hyperlink>
            <w:r w:rsidRPr="00DD1558">
              <w:rPr>
                <w:rFonts w:ascii="Simplified Arabic" w:hAnsi="Simplified Arabic" w:cs="Simplified Arabic"/>
                <w:szCs w:val="22"/>
              </w:rPr>
              <w:t>)</w:t>
            </w:r>
          </w:p>
        </w:tc>
      </w:tr>
      <w:tr w:rsidR="00DD1558" w:rsidRPr="00DD1558" w14:paraId="5ECFAEB1" w14:textId="77777777" w:rsidTr="00C71E92">
        <w:tc>
          <w:tcPr>
            <w:tcW w:w="1560" w:type="dxa"/>
          </w:tcPr>
          <w:p w14:paraId="19036A73"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lastRenderedPageBreak/>
              <w:t>Policy Control</w:t>
            </w:r>
          </w:p>
        </w:tc>
        <w:tc>
          <w:tcPr>
            <w:tcW w:w="1275" w:type="dxa"/>
          </w:tcPr>
          <w:p w14:paraId="33176F02"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Independent</w:t>
            </w:r>
          </w:p>
        </w:tc>
        <w:tc>
          <w:tcPr>
            <w:tcW w:w="2726" w:type="dxa"/>
          </w:tcPr>
          <w:p w14:paraId="250A602B"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purchasing, sharing, and disposal behavior is constrained by ratified, checkable policy instruments rather than local discretion</w:t>
            </w:r>
          </w:p>
        </w:tc>
        <w:tc>
          <w:tcPr>
            <w:tcW w:w="2835" w:type="dxa"/>
          </w:tcPr>
          <w:p w14:paraId="1A180D31"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Eligibility clauses (registry check before requisition; redistribution-before-disposal); FEFO policy standard; Inter-Lab Policy Framework (eligibility and scope, loan workflow, custody-transfer protocol, loan limits, recall rights, liability principle)</w:t>
            </w:r>
          </w:p>
        </w:tc>
        <w:tc>
          <w:tcPr>
            <w:tcW w:w="1810" w:type="dxa"/>
          </w:tcPr>
          <w:p w14:paraId="27BED3CA" w14:textId="22DB10EE"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Chapter 4 (Sections </w:t>
            </w:r>
            <w:hyperlink w:anchor="Section413" w:history="1">
              <w:r w:rsidRPr="00900AEF">
                <w:rPr>
                  <w:rStyle w:val="Hyperlink"/>
                  <w:rFonts w:ascii="Simplified Arabic" w:hAnsi="Simplified Arabic" w:cs="Simplified Arabic"/>
                  <w:szCs w:val="22"/>
                </w:rPr>
                <w:t>4.1.3</w:t>
              </w:r>
            </w:hyperlink>
            <w:r w:rsidRPr="00DD1558">
              <w:rPr>
                <w:rFonts w:ascii="Simplified Arabic" w:hAnsi="Simplified Arabic" w:cs="Simplified Arabic"/>
                <w:szCs w:val="22"/>
              </w:rPr>
              <w:t xml:space="preserve">, </w:t>
            </w:r>
            <w:hyperlink w:anchor="Section416" w:history="1">
              <w:r w:rsidRPr="00900AEF">
                <w:rPr>
                  <w:rStyle w:val="Hyperlink"/>
                  <w:rFonts w:ascii="Simplified Arabic" w:hAnsi="Simplified Arabic" w:cs="Simplified Arabic"/>
                  <w:szCs w:val="22"/>
                </w:rPr>
                <w:t>4.1.6</w:t>
              </w:r>
            </w:hyperlink>
            <w:r w:rsidRPr="00DD1558">
              <w:rPr>
                <w:rFonts w:ascii="Simplified Arabic" w:hAnsi="Simplified Arabic" w:cs="Simplified Arabic"/>
                <w:szCs w:val="22"/>
              </w:rPr>
              <w:t>); Chapter 2 (</w:t>
            </w:r>
            <w:r w:rsidR="009D553E" w:rsidRPr="009D553E">
              <w:rPr>
                <w:rFonts w:ascii="Simplified Arabic" w:hAnsi="Simplified Arabic" w:cs="Simplified Arabic"/>
                <w:szCs w:val="22"/>
              </w:rPr>
              <w:t xml:space="preserve">Section </w:t>
            </w:r>
            <w:hyperlink w:anchor="section291" w:history="1">
              <w:r w:rsidR="009D553E" w:rsidRPr="00D96154">
                <w:rPr>
                  <w:rStyle w:val="Hyperlink"/>
                  <w:rFonts w:ascii="Simplified Arabic" w:hAnsi="Simplified Arabic" w:cs="Simplified Arabic"/>
                  <w:szCs w:val="22"/>
                </w:rPr>
                <w:t>2.9.1</w:t>
              </w:r>
            </w:hyperlink>
            <w:r w:rsidRPr="00DD1558">
              <w:rPr>
                <w:rFonts w:ascii="Simplified Arabic" w:hAnsi="Simplified Arabic" w:cs="Simplified Arabic"/>
                <w:szCs w:val="22"/>
              </w:rPr>
              <w:t>)</w:t>
            </w:r>
          </w:p>
        </w:tc>
      </w:tr>
      <w:tr w:rsidR="00DD1558" w:rsidRPr="00DD1558" w14:paraId="0BE1D719" w14:textId="77777777" w:rsidTr="00C71E92">
        <w:tc>
          <w:tcPr>
            <w:tcW w:w="1560" w:type="dxa"/>
          </w:tcPr>
          <w:p w14:paraId="606DB2FC"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Standardization</w:t>
            </w:r>
          </w:p>
        </w:tc>
        <w:tc>
          <w:tcPr>
            <w:tcW w:w="1275" w:type="dxa"/>
          </w:tcPr>
          <w:p w14:paraId="6B7862F5"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Independent</w:t>
            </w:r>
          </w:p>
        </w:tc>
        <w:tc>
          <w:tcPr>
            <w:tcW w:w="2726" w:type="dxa"/>
          </w:tcPr>
          <w:p w14:paraId="0479430C"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inventory information and workflows conform to common, version-controlled standards making stock visible, comparable, and auditable across laboratories</w:t>
            </w:r>
          </w:p>
        </w:tc>
        <w:tc>
          <w:tcPr>
            <w:tcW w:w="2835" w:type="dxa"/>
          </w:tcPr>
          <w:p w14:paraId="3B0DE885"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Unified catalog and classification standard (PB1); registry data-entry protocols; data-quality indicators (EB2); documented-information discipline at every workflow step</w:t>
            </w:r>
          </w:p>
        </w:tc>
        <w:tc>
          <w:tcPr>
            <w:tcW w:w="1810" w:type="dxa"/>
          </w:tcPr>
          <w:p w14:paraId="1F9E02E5" w14:textId="0C2B4061"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Chapter 4 (Sections </w:t>
            </w:r>
            <w:hyperlink w:anchor="Section413" w:history="1">
              <w:r w:rsidRPr="00D96154">
                <w:rPr>
                  <w:rStyle w:val="Hyperlink"/>
                  <w:rFonts w:ascii="Simplified Arabic" w:hAnsi="Simplified Arabic" w:cs="Simplified Arabic"/>
                  <w:szCs w:val="22"/>
                </w:rPr>
                <w:t>4.1.3</w:t>
              </w:r>
            </w:hyperlink>
            <w:r w:rsidRPr="00DD1558">
              <w:rPr>
                <w:rFonts w:ascii="Simplified Arabic" w:hAnsi="Simplified Arabic" w:cs="Simplified Arabic"/>
                <w:szCs w:val="22"/>
              </w:rPr>
              <w:t xml:space="preserve">, </w:t>
            </w:r>
            <w:hyperlink w:anchor="Section414" w:history="1">
              <w:r w:rsidRPr="00D96154">
                <w:rPr>
                  <w:rStyle w:val="Hyperlink"/>
                  <w:rFonts w:ascii="Simplified Arabic" w:hAnsi="Simplified Arabic" w:cs="Simplified Arabic"/>
                  <w:szCs w:val="22"/>
                </w:rPr>
                <w:t>4.1.4</w:t>
              </w:r>
            </w:hyperlink>
            <w:r w:rsidRPr="00DD1558">
              <w:rPr>
                <w:rFonts w:ascii="Simplified Arabic" w:hAnsi="Simplified Arabic" w:cs="Simplified Arabic"/>
                <w:szCs w:val="22"/>
              </w:rPr>
              <w:t xml:space="preserve">, </w:t>
            </w:r>
            <w:hyperlink w:anchor="section443" w:history="1">
              <w:r w:rsidRPr="00D96154">
                <w:rPr>
                  <w:rStyle w:val="Hyperlink"/>
                  <w:rFonts w:ascii="Simplified Arabic" w:hAnsi="Simplified Arabic" w:cs="Simplified Arabic"/>
                  <w:szCs w:val="22"/>
                </w:rPr>
                <w:t>4.4.3</w:t>
              </w:r>
            </w:hyperlink>
            <w:r w:rsidRPr="00DD1558">
              <w:rPr>
                <w:rFonts w:ascii="Simplified Arabic" w:hAnsi="Simplified Arabic" w:cs="Simplified Arabic"/>
                <w:szCs w:val="22"/>
              </w:rPr>
              <w:t>); Chapter 2 (</w:t>
            </w:r>
            <w:hyperlink w:anchor="section291" w:history="1">
              <w:r w:rsidR="009D553E" w:rsidRPr="00D96154">
                <w:rPr>
                  <w:rStyle w:val="Hyperlink"/>
                  <w:rFonts w:ascii="Simplified Arabic" w:hAnsi="Simplified Arabic" w:cs="Simplified Arabic"/>
                  <w:szCs w:val="22"/>
                </w:rPr>
                <w:t>Section 2.9.1</w:t>
              </w:r>
            </w:hyperlink>
            <w:r w:rsidRPr="00DD1558">
              <w:rPr>
                <w:rFonts w:ascii="Simplified Arabic" w:hAnsi="Simplified Arabic" w:cs="Simplified Arabic"/>
                <w:szCs w:val="22"/>
              </w:rPr>
              <w:t>)</w:t>
            </w:r>
          </w:p>
        </w:tc>
      </w:tr>
      <w:tr w:rsidR="00DD1558" w:rsidRPr="00DD1558" w14:paraId="52599980" w14:textId="77777777" w:rsidTr="00C71E92">
        <w:tc>
          <w:tcPr>
            <w:tcW w:w="1560" w:type="dxa"/>
          </w:tcPr>
          <w:p w14:paraId="72058DA1"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Operational Efficiency</w:t>
            </w:r>
          </w:p>
        </w:tc>
        <w:tc>
          <w:tcPr>
            <w:tcW w:w="1275" w:type="dxa"/>
          </w:tcPr>
          <w:p w14:paraId="5A17587E"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Dependent</w:t>
            </w:r>
          </w:p>
        </w:tc>
        <w:tc>
          <w:tcPr>
            <w:tcW w:w="2726" w:type="dxa"/>
          </w:tcPr>
          <w:p w14:paraId="4CAAAF1E"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the institution’s aggregate stock delivers its intended academic value — assets utilized rather than idle, loans routine rather than exceptional, requisitions displaced by existing stock where suitable</w:t>
            </w:r>
          </w:p>
        </w:tc>
        <w:tc>
          <w:tcPr>
            <w:tcW w:w="2835" w:type="dxa"/>
          </w:tcPr>
          <w:p w14:paraId="4B0CE777"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Shared-visibility registry; inter-lab loan workflows; eligibility-checked purchasing; asset-utilization and loan-flow indicators</w:t>
            </w:r>
          </w:p>
        </w:tc>
        <w:tc>
          <w:tcPr>
            <w:tcW w:w="1810" w:type="dxa"/>
          </w:tcPr>
          <w:p w14:paraId="4918AAB4" w14:textId="2166BA33"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Chapter 4 (Sections </w:t>
            </w:r>
            <w:hyperlink w:anchor="section424" w:history="1">
              <w:r w:rsidRPr="00D96154">
                <w:rPr>
                  <w:rStyle w:val="Hyperlink"/>
                  <w:rFonts w:ascii="Simplified Arabic" w:hAnsi="Simplified Arabic" w:cs="Simplified Arabic"/>
                  <w:szCs w:val="22"/>
                </w:rPr>
                <w:t>4.2.4</w:t>
              </w:r>
            </w:hyperlink>
            <w:r w:rsidRPr="00DD1558">
              <w:rPr>
                <w:rFonts w:ascii="Simplified Arabic" w:hAnsi="Simplified Arabic" w:cs="Simplified Arabic"/>
                <w:szCs w:val="22"/>
              </w:rPr>
              <w:t xml:space="preserve">, </w:t>
            </w:r>
            <w:hyperlink w:anchor="section441" w:history="1">
              <w:r w:rsidRPr="00D96154">
                <w:rPr>
                  <w:rStyle w:val="Hyperlink"/>
                  <w:rFonts w:ascii="Simplified Arabic" w:hAnsi="Simplified Arabic" w:cs="Simplified Arabic"/>
                  <w:szCs w:val="22"/>
                </w:rPr>
                <w:t>4.4.1</w:t>
              </w:r>
            </w:hyperlink>
            <w:r w:rsidRPr="00DD1558">
              <w:rPr>
                <w:rFonts w:ascii="Simplified Arabic" w:hAnsi="Simplified Arabic" w:cs="Simplified Arabic"/>
                <w:szCs w:val="22"/>
              </w:rPr>
              <w:t>)</w:t>
            </w:r>
          </w:p>
        </w:tc>
      </w:tr>
      <w:tr w:rsidR="00DD1558" w:rsidRPr="00DD1558" w14:paraId="731853CF" w14:textId="77777777" w:rsidTr="00C71E92">
        <w:tc>
          <w:tcPr>
            <w:tcW w:w="1560" w:type="dxa"/>
          </w:tcPr>
          <w:p w14:paraId="5262A2BC"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lastRenderedPageBreak/>
              <w:t>Environmental Sustainability</w:t>
            </w:r>
          </w:p>
        </w:tc>
        <w:tc>
          <w:tcPr>
            <w:tcW w:w="1275" w:type="dxa"/>
          </w:tcPr>
          <w:p w14:paraId="2D09DAF8"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Dependent</w:t>
            </w:r>
          </w:p>
        </w:tc>
        <w:tc>
          <w:tcPr>
            <w:tcW w:w="2726" w:type="dxa"/>
          </w:tcPr>
          <w:p w14:paraId="6E22194F"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significant environmental aspects (expired chemicals, redundant assets) are controlled under a life-cycle perspective, waste is minimized through reduce–reuse loops, and fulfilment of compliance obligations is evaluated</w:t>
            </w:r>
          </w:p>
        </w:tc>
        <w:tc>
          <w:tcPr>
            <w:tcW w:w="2835" w:type="dxa"/>
          </w:tcPr>
          <w:p w14:paraId="2D31D4E6"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FEFO rotation and pre-expiry redistribution (MB1, MB2); governed disposal protocols (MB3); joint/circular procurement rules (PB3); aspect identification and compliance-obligation evaluation per ISO 14001:2015 analogue</w:t>
            </w:r>
          </w:p>
        </w:tc>
        <w:tc>
          <w:tcPr>
            <w:tcW w:w="1810" w:type="dxa"/>
          </w:tcPr>
          <w:p w14:paraId="6BC1564A" w14:textId="52E30269"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Chapter 4 (Sections </w:t>
            </w:r>
            <w:hyperlink w:anchor="section425" w:history="1">
              <w:r w:rsidRPr="00D96154">
                <w:rPr>
                  <w:rStyle w:val="Hyperlink"/>
                  <w:rFonts w:ascii="Simplified Arabic" w:hAnsi="Simplified Arabic" w:cs="Simplified Arabic"/>
                  <w:szCs w:val="22"/>
                </w:rPr>
                <w:t>4.2.5</w:t>
              </w:r>
            </w:hyperlink>
            <w:r w:rsidRPr="00DD1558">
              <w:rPr>
                <w:rFonts w:ascii="Simplified Arabic" w:hAnsi="Simplified Arabic" w:cs="Simplified Arabic"/>
                <w:szCs w:val="22"/>
              </w:rPr>
              <w:t xml:space="preserve">, </w:t>
            </w:r>
            <w:hyperlink w:anchor="section442" w:history="1">
              <w:r w:rsidRPr="00D96154">
                <w:rPr>
                  <w:rStyle w:val="Hyperlink"/>
                  <w:rFonts w:ascii="Simplified Arabic" w:hAnsi="Simplified Arabic" w:cs="Simplified Arabic"/>
                  <w:szCs w:val="22"/>
                </w:rPr>
                <w:t>4.4.2</w:t>
              </w:r>
            </w:hyperlink>
            <w:r w:rsidRPr="00DD1558">
              <w:rPr>
                <w:rFonts w:ascii="Simplified Arabic" w:hAnsi="Simplified Arabic" w:cs="Simplified Arabic"/>
                <w:szCs w:val="22"/>
              </w:rPr>
              <w:t>); Chapter 2 (</w:t>
            </w:r>
            <w:hyperlink w:anchor="section295" w:history="1">
              <w:r w:rsidR="009D553E" w:rsidRPr="00D96154">
                <w:rPr>
                  <w:rStyle w:val="Hyperlink"/>
                  <w:rFonts w:ascii="Simplified Arabic" w:hAnsi="Simplified Arabic" w:cs="Simplified Arabic"/>
                  <w:szCs w:val="22"/>
                </w:rPr>
                <w:t>Section 2.9.5</w:t>
              </w:r>
            </w:hyperlink>
            <w:r w:rsidRPr="00DD1558">
              <w:rPr>
                <w:rFonts w:ascii="Simplified Arabic" w:hAnsi="Simplified Arabic" w:cs="Simplified Arabic"/>
                <w:szCs w:val="22"/>
              </w:rPr>
              <w:t>)</w:t>
            </w:r>
          </w:p>
        </w:tc>
      </w:tr>
      <w:tr w:rsidR="00DD1558" w:rsidRPr="00DD1558" w14:paraId="55CFD1F3" w14:textId="77777777" w:rsidTr="00C71E92">
        <w:tc>
          <w:tcPr>
            <w:tcW w:w="1560" w:type="dxa"/>
          </w:tcPr>
          <w:p w14:paraId="07542104"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Business Continuity</w:t>
            </w:r>
          </w:p>
        </w:tc>
        <w:tc>
          <w:tcPr>
            <w:tcW w:w="1275" w:type="dxa"/>
          </w:tcPr>
          <w:p w14:paraId="418350D3"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Dependent</w:t>
            </w:r>
          </w:p>
        </w:tc>
        <w:tc>
          <w:tcPr>
            <w:tcW w:w="2726" w:type="dxa"/>
          </w:tcPr>
          <w:p w14:paraId="65C0753C"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The degree to which prioritized teaching and research activities are protected against supply disruption through internally reconfigurable stock, within qualitative MTPD/RTO reasoning and minimum acceptable capacity logic</w:t>
            </w:r>
          </w:p>
        </w:tc>
        <w:tc>
          <w:tcPr>
            <w:tcW w:w="2835" w:type="dxa"/>
          </w:tcPr>
          <w:p w14:paraId="235E5CAF" w14:textId="77777777" w:rsidR="00DD1558" w:rsidRPr="00DD1558" w:rsidRDefault="00DD1558" w:rsidP="00DD1558">
            <w:pPr>
              <w:bidi w:val="0"/>
              <w:spacing w:before="36" w:after="36"/>
              <w:jc w:val="both"/>
              <w:rPr>
                <w:rFonts w:ascii="Simplified Arabic" w:hAnsi="Simplified Arabic" w:cs="Simplified Arabic"/>
                <w:szCs w:val="22"/>
              </w:rPr>
            </w:pPr>
            <w:r w:rsidRPr="00DD1558">
              <w:rPr>
                <w:rFonts w:ascii="Simplified Arabic" w:hAnsi="Simplified Arabic" w:cs="Simplified Arabic"/>
                <w:szCs w:val="22"/>
              </w:rPr>
              <w:t>Qualitative BIA identifying prioritized activities; shared registry and inter-lab loans as Clause 8.3 continuity solutions; loan-escalation and communication procedures; exercise and review analogues; readiness-gated continuity indicators</w:t>
            </w:r>
          </w:p>
        </w:tc>
        <w:tc>
          <w:tcPr>
            <w:tcW w:w="1810" w:type="dxa"/>
          </w:tcPr>
          <w:p w14:paraId="76166FE6" w14:textId="05633D99"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Chapter 2 (</w:t>
            </w:r>
            <w:hyperlink w:anchor="section294" w:history="1">
              <w:r w:rsidR="009D553E" w:rsidRPr="00D96154">
                <w:rPr>
                  <w:rStyle w:val="Hyperlink"/>
                  <w:rFonts w:ascii="Simplified Arabic" w:hAnsi="Simplified Arabic" w:cs="Simplified Arabic"/>
                  <w:szCs w:val="22"/>
                </w:rPr>
                <w:t>Section 2.9.4</w:t>
              </w:r>
            </w:hyperlink>
            <w:r w:rsidRPr="00DD1558">
              <w:rPr>
                <w:rFonts w:ascii="Simplified Arabic" w:hAnsi="Simplified Arabic" w:cs="Simplified Arabic"/>
                <w:szCs w:val="22"/>
              </w:rPr>
              <w:t xml:space="preserve">); Chapter 4 (Sections </w:t>
            </w:r>
            <w:hyperlink w:anchor="section426" w:history="1">
              <w:r w:rsidRPr="00D96154">
                <w:rPr>
                  <w:rStyle w:val="Hyperlink"/>
                  <w:rFonts w:ascii="Simplified Arabic" w:hAnsi="Simplified Arabic" w:cs="Simplified Arabic"/>
                  <w:szCs w:val="22"/>
                </w:rPr>
                <w:t>4.2.6</w:t>
              </w:r>
            </w:hyperlink>
            <w:r w:rsidRPr="00DD1558">
              <w:rPr>
                <w:rFonts w:ascii="Simplified Arabic" w:hAnsi="Simplified Arabic" w:cs="Simplified Arabic"/>
                <w:szCs w:val="22"/>
              </w:rPr>
              <w:t xml:space="preserve">, </w:t>
            </w:r>
            <w:hyperlink w:anchor="section43" w:history="1">
              <w:r w:rsidRPr="00D96154">
                <w:rPr>
                  <w:rStyle w:val="Hyperlink"/>
                  <w:rFonts w:ascii="Simplified Arabic" w:hAnsi="Simplified Arabic" w:cs="Simplified Arabic"/>
                  <w:szCs w:val="22"/>
                </w:rPr>
                <w:t>4.3</w:t>
              </w:r>
            </w:hyperlink>
            <w:r w:rsidRPr="00DD1558">
              <w:rPr>
                <w:rFonts w:ascii="Simplified Arabic" w:hAnsi="Simplified Arabic" w:cs="Simplified Arabic"/>
                <w:szCs w:val="22"/>
              </w:rPr>
              <w:t xml:space="preserve">, </w:t>
            </w:r>
            <w:hyperlink w:anchor="section443" w:history="1">
              <w:r w:rsidRPr="00D96154">
                <w:rPr>
                  <w:rStyle w:val="Hyperlink"/>
                  <w:rFonts w:ascii="Simplified Arabic" w:hAnsi="Simplified Arabic" w:cs="Simplified Arabic"/>
                  <w:szCs w:val="22"/>
                </w:rPr>
                <w:t>4.4.3</w:t>
              </w:r>
            </w:hyperlink>
            <w:r w:rsidRPr="00DD1558">
              <w:rPr>
                <w:rFonts w:ascii="Simplified Arabic" w:hAnsi="Simplified Arabic" w:cs="Simplified Arabic"/>
                <w:szCs w:val="22"/>
              </w:rPr>
              <w:t>)</w:t>
            </w:r>
          </w:p>
        </w:tc>
      </w:tr>
    </w:tbl>
    <w:p w14:paraId="20B639CF" w14:textId="123054A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Two properties of this variable structure deserve emphasis. First, the classification is </w:t>
      </w:r>
      <w:r w:rsidRPr="00DD1558">
        <w:rPr>
          <w:rFonts w:ascii="Simplified Arabic" w:eastAsia="Times New Roman" w:hAnsi="Simplified Arabic" w:cs="Simplified Arabic"/>
          <w:i/>
          <w:iCs/>
          <w:color w:val="1A1A1A"/>
          <w:sz w:val="28"/>
          <w:szCs w:val="28"/>
          <w14:ligatures w14:val="none"/>
        </w:rPr>
        <w:t>functional, not causal-statistical</w:t>
      </w:r>
      <w:r w:rsidRPr="00DD1558">
        <w:rPr>
          <w:rFonts w:ascii="Simplified Arabic" w:eastAsia="Times New Roman" w:hAnsi="Simplified Arabic" w:cs="Simplified Arabic"/>
          <w:color w:val="1A1A1A"/>
          <w:sz w:val="28"/>
          <w:szCs w:val="28"/>
          <w14:ligatures w14:val="none"/>
        </w:rPr>
        <w:t>: “independent” denotes the dimensions the framework’s design directly manipulates (governance embodiment, policy instruments, standardization), and “dependent” denotes the dimensions whose advancement the design intends — a design-logic dependency, not a regression claim. Second, every operationalizing element is traceable to the risk architecture: the independent dimensions correspond to the bow-</w:t>
      </w:r>
      <w:r w:rsidRPr="00DD1558">
        <w:rPr>
          <w:rFonts w:ascii="Simplified Arabic" w:eastAsia="Times New Roman" w:hAnsi="Simplified Arabic" w:cs="Simplified Arabic"/>
          <w:color w:val="1A1A1A"/>
          <w:sz w:val="28"/>
          <w:szCs w:val="28"/>
          <w14:ligatures w14:val="none"/>
        </w:rPr>
        <w:lastRenderedPageBreak/>
        <w:t>tie’s prevention and escalation-factor barriers and their Chapter 4 (</w:t>
      </w:r>
      <w:hyperlink w:anchor="section41" w:history="1">
        <w:r w:rsidRPr="00D96154">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 xml:space="preserve">) owners, while the dependent dimensions correspond to the consequence classes the mitigation barriers address, classified under the FIRM taxonomy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{"citationID":"ZGXLB6Sh","properties":{"unsorted":false,"formattedCitation":"(Hopkin, 2018; Johnson et al., 2018)","plainCitation":"(Hopkin, 2018; Johnson et al.,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variable structure is therefore not an add-on to the framework but a restatement of it in evaluable form.</w:t>
      </w:r>
    </w:p>
    <w:p w14:paraId="09D48E92" w14:textId="77777777" w:rsidR="00DD1558" w:rsidRPr="00DD1558" w:rsidRDefault="00DD1558" w:rsidP="00DD1558">
      <w:pPr>
        <w:keepNext/>
        <w:keepLines/>
        <w:bidi w:val="0"/>
        <w:spacing w:before="160" w:after="80"/>
        <w:jc w:val="both"/>
        <w:outlineLvl w:val="2"/>
        <w:rPr>
          <w:rFonts w:ascii="Simplified Arabic" w:eastAsiaTheme="majorEastAsia" w:hAnsi="Simplified Arabic" w:cstheme="majorBidi"/>
          <w:sz w:val="28"/>
          <w:szCs w:val="28"/>
        </w:rPr>
      </w:pPr>
      <w:bookmarkStart w:id="65" w:name="_Toc237539733"/>
      <w:r w:rsidRPr="00DD1558">
        <w:rPr>
          <w:rFonts w:ascii="Simplified Arabic" w:eastAsiaTheme="majorEastAsia" w:hAnsi="Simplified Arabic" w:cstheme="majorBidi"/>
          <w:sz w:val="28"/>
          <w:szCs w:val="28"/>
        </w:rPr>
        <w:t>2.8.3 The qualitative premise in lieu of statistical hypotheses</w:t>
      </w:r>
      <w:bookmarkEnd w:id="65"/>
    </w:p>
    <w:p w14:paraId="3A6E3EB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In place of testable statistical hypotheses, the study advances a single formally stated </w:t>
      </w:r>
      <w:r w:rsidRPr="00DD1558">
        <w:rPr>
          <w:rFonts w:ascii="Simplified Arabic" w:eastAsia="Times New Roman" w:hAnsi="Simplified Arabic" w:cs="Simplified Arabic"/>
          <w:b/>
          <w:bCs/>
          <w:color w:val="1A1A1A"/>
          <w:sz w:val="28"/>
          <w:szCs w:val="28"/>
          <w14:ligatures w14:val="none"/>
        </w:rPr>
        <w:t>qualitative premise</w:t>
      </w:r>
      <w:r w:rsidRPr="00DD1558">
        <w:rPr>
          <w:rFonts w:ascii="Simplified Arabic" w:eastAsia="Times New Roman" w:hAnsi="Simplified Arabic" w:cs="Simplified Arabic"/>
          <w:color w:val="1A1A1A"/>
          <w:sz w:val="28"/>
          <w:szCs w:val="28"/>
          <w14:ligatures w14:val="none"/>
        </w:rPr>
        <w:t>:</w:t>
      </w:r>
    </w:p>
    <w:p w14:paraId="3269F8B5" w14:textId="77777777" w:rsidR="00DD1558" w:rsidRPr="00DD1558" w:rsidRDefault="00DD1558" w:rsidP="00DD1558">
      <w:pPr>
        <w:bidi w:val="0"/>
        <w:spacing w:before="100" w:after="100" w:line="240" w:lineRule="auto"/>
        <w:ind w:left="480" w:right="480"/>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i/>
          <w:iCs/>
          <w:color w:val="212121"/>
          <w:sz w:val="28"/>
          <w:szCs w:val="28"/>
          <w14:ligatures w14:val="none"/>
        </w:rPr>
        <w:t>Strengthening the three independent dimensions — governance architecture, policy control, and standardization — through the proposed framework advances the three dependent dimensions — operational efficiency, environmental sustainability, and business continuity — along the adapted maturity trajectory from Inform/Conform through Managed/Normalized toward Perform.</w:t>
      </w:r>
    </w:p>
    <w:p w14:paraId="267710FF" w14:textId="23661C2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premise is stated to be testable </w:t>
      </w:r>
      <w:r w:rsidRPr="00DD1558">
        <w:rPr>
          <w:rFonts w:ascii="Simplified Arabic" w:eastAsia="Times New Roman" w:hAnsi="Simplified Arabic" w:cs="Simplified Arabic"/>
          <w:i/>
          <w:iCs/>
          <w:color w:val="1A1A1A"/>
          <w:sz w:val="28"/>
          <w:szCs w:val="28"/>
          <w14:ligatures w14:val="none"/>
        </w:rPr>
        <w:t>in principle</w:t>
      </w:r>
      <w:r w:rsidRPr="00DD1558">
        <w:rPr>
          <w:rFonts w:ascii="Simplified Arabic" w:eastAsia="Times New Roman" w:hAnsi="Simplified Arabic" w:cs="Simplified Arabic"/>
          <w:color w:val="1A1A1A"/>
          <w:sz w:val="28"/>
          <w:szCs w:val="28"/>
          <w14:ligatures w14:val="none"/>
        </w:rPr>
        <w:t xml:space="preserve">: at each readiness gate, the framework specifies the qualitative evidence — barrier deployment, data-quality standing, loan-workflow functioning, audit outcomes — against which advancement along the trajectory could be judged, and the KPI dashboard defines the indicators through which such judgment would later be disciplined (Chapter 4, Sections </w:t>
      </w:r>
      <w:hyperlink w:anchor="section424" w:history="1">
        <w:r w:rsidRPr="00D96154">
          <w:rPr>
            <w:rStyle w:val="Hyperlink"/>
            <w:rFonts w:ascii="Simplified Arabic" w:eastAsia="Times New Roman" w:hAnsi="Simplified Arabic" w:cs="Simplified Arabic"/>
            <w:sz w:val="28"/>
            <w:szCs w:val="28"/>
            <w14:ligatures w14:val="none"/>
          </w:rPr>
          <w:t>4.2.6</w:t>
        </w:r>
      </w:hyperlink>
      <w:r w:rsidRPr="00DD1558">
        <w:rPr>
          <w:rFonts w:ascii="Simplified Arabic" w:eastAsia="Times New Roman" w:hAnsi="Simplified Arabic" w:cs="Simplified Arabic"/>
          <w:color w:val="1A1A1A"/>
          <w:sz w:val="28"/>
          <w:szCs w:val="28"/>
          <w14:ligatures w14:val="none"/>
        </w:rPr>
        <w:t xml:space="preserve"> and </w:t>
      </w:r>
      <w:hyperlink w:anchor="section44" w:history="1">
        <w:r w:rsidRPr="00D96154">
          <w:rPr>
            <w:rStyle w:val="Hyperlink"/>
            <w:rFonts w:ascii="Simplified Arabic" w:eastAsia="Times New Roman" w:hAnsi="Simplified Arabic" w:cs="Simplified Arabic"/>
            <w:sz w:val="28"/>
            <w:szCs w:val="28"/>
            <w14:ligatures w14:val="none"/>
          </w:rPr>
          <w:t>4.4</w:t>
        </w:r>
      </w:hyperlink>
      <w:r w:rsidRPr="00DD1558">
        <w:rPr>
          <w:rFonts w:ascii="Simplified Arabic" w:eastAsia="Times New Roman" w:hAnsi="Simplified Arabic" w:cs="Simplified Arabic"/>
          <w:color w:val="1A1A1A"/>
          <w:sz w:val="28"/>
          <w:szCs w:val="28"/>
          <w14:ligatures w14:val="none"/>
        </w:rPr>
        <w:t xml:space="preserve">). Within the present study, however, the premise is evaluated </w:t>
      </w:r>
      <w:r w:rsidRPr="00DD1558">
        <w:rPr>
          <w:rFonts w:ascii="Simplified Arabic" w:eastAsia="Times New Roman" w:hAnsi="Simplified Arabic" w:cs="Simplified Arabic"/>
          <w:i/>
          <w:iCs/>
          <w:color w:val="1A1A1A"/>
          <w:sz w:val="28"/>
          <w:szCs w:val="28"/>
          <w14:ligatures w14:val="none"/>
        </w:rPr>
        <w:t>structurally, not statistically</w:t>
      </w:r>
      <w:r w:rsidRPr="00DD1558">
        <w:rPr>
          <w:rFonts w:ascii="Simplified Arabic" w:eastAsia="Times New Roman" w:hAnsi="Simplified Arabic" w:cs="Simplified Arabic"/>
          <w:color w:val="1A1A1A"/>
          <w:sz w:val="28"/>
          <w:szCs w:val="28"/>
          <w14:ligatures w14:val="none"/>
        </w:rPr>
        <w:t xml:space="preserve">: the thesis demonstrates that the framework’s design coherently connects each independent dimension to each dependent dimension through named mechanisms — standardization to efficiency through shared visibility; policy control to sustainability through eligibility and rotation rules; governance architecture to continuity through owned objectives, exercised procedures, and review cadence — and that the maturity literature predicts precisely this ordering, in which standardized, governed, measured organizations outperform reactive </w:t>
      </w:r>
      <w:r w:rsidRPr="00DD1558">
        <w:rPr>
          <w:rFonts w:ascii="Simplified Arabic" w:eastAsia="Times New Roman" w:hAnsi="Simplified Arabic" w:cs="Simplified Arabic"/>
          <w:color w:val="1A1A1A"/>
          <w:sz w:val="28"/>
          <w:szCs w:val="28"/>
          <w14:ligatures w14:val="none"/>
        </w:rPr>
        <w:lastRenderedPageBreak/>
        <w:t xml:space="preserve">ones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{"citationID":"CLSut7QS","properties":{"unsorted":false,"formattedCitation":"(Hillson,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Whether the premise holds in operation is the question the framework’s gate-governed implementation is designed to answer, and it is reserved accordingly for future empirical study following adoption (Chapter 3 and Chapter 4, Section </w:t>
      </w:r>
      <w:hyperlink w:anchor="section46" w:history="1">
        <w:r w:rsidRPr="001C6E4A">
          <w:rPr>
            <w:rStyle w:val="Hyperlink"/>
            <w:rFonts w:ascii="Simplified Arabic" w:eastAsia="Times New Roman" w:hAnsi="Simplified Arabic" w:cs="Simplified Arabic"/>
            <w:sz w:val="28"/>
            <w:szCs w:val="28"/>
            <w14:ligatures w14:val="none"/>
          </w:rPr>
          <w:t>4.6</w:t>
        </w:r>
      </w:hyperlink>
      <w:r w:rsidRPr="00DD1558">
        <w:rPr>
          <w:rFonts w:ascii="Simplified Arabic" w:eastAsia="Times New Roman" w:hAnsi="Simplified Arabic" w:cs="Simplified Arabic"/>
          <w:color w:val="1A1A1A"/>
          <w:sz w:val="28"/>
          <w:szCs w:val="28"/>
          <w14:ligatures w14:val="none"/>
        </w:rPr>
        <w:t>).</w:t>
      </w:r>
    </w:p>
    <w:p w14:paraId="799718D6" w14:textId="20D99BA5" w:rsidR="00DD1558" w:rsidRDefault="00DD1558" w:rsidP="00861F15">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chapter has thereby completed the argumentative movement from literature to design: the review extracted the design lessons of five thematic streams, demonstrated the absence of their integration, and converted that absence into a precisely stated gap, a defined variable structure, and a qualitative premise. The following chapter specifies the methodology by which the framework answering that gap was constructed and assessed.</w:t>
      </w:r>
    </w:p>
    <w:p w14:paraId="1E861707" w14:textId="77777777" w:rsidR="00861F15" w:rsidRPr="00DD1558" w:rsidRDefault="00861F15" w:rsidP="00861F15">
      <w:pPr>
        <w:bidi w:val="0"/>
        <w:spacing w:before="180" w:line="240" w:lineRule="auto"/>
        <w:jc w:val="both"/>
        <w:rPr>
          <w:rFonts w:ascii="Simplified Arabic" w:eastAsia="Times New Roman" w:hAnsi="Simplified Arabic" w:cs="Simplified Arabic"/>
          <w:color w:val="1A1A1A"/>
          <w:sz w:val="28"/>
          <w:szCs w:val="28"/>
          <w14:ligatures w14:val="none"/>
        </w:rPr>
      </w:pPr>
    </w:p>
    <w:p w14:paraId="34A0C779"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66" w:name="section29"/>
      <w:bookmarkStart w:id="67" w:name="_Toc237539734"/>
      <w:bookmarkEnd w:id="66"/>
      <w:r w:rsidRPr="00DD1558">
        <w:rPr>
          <w:rFonts w:ascii="Simplified Arabic" w:eastAsiaTheme="majorEastAsia" w:hAnsi="Simplified Arabic" w:cstheme="majorBidi"/>
          <w:b/>
          <w:sz w:val="28"/>
          <w:szCs w:val="32"/>
        </w:rPr>
        <w:t>2.9 Theoretical and Risk Assessment Framework</w:t>
      </w:r>
      <w:bookmarkEnd w:id="67"/>
    </w:p>
    <w:p w14:paraId="17113F02"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68" w:name="section291"/>
      <w:bookmarkStart w:id="69" w:name="_Toc237539735"/>
      <w:bookmarkEnd w:id="68"/>
      <w:r w:rsidRPr="00DD1558">
        <w:rPr>
          <w:rFonts w:ascii="Simplified Arabic" w:eastAsiaTheme="majorEastAsia" w:hAnsi="Simplified Arabic" w:cstheme="majorBidi"/>
          <w:sz w:val="28"/>
          <w:szCs w:val="28"/>
        </w:rPr>
        <w:t>2.9.1 Architecture of the Integrated Framework</w:t>
      </w:r>
      <w:bookmarkEnd w:id="69"/>
    </w:p>
    <w:p w14:paraId="0BAADF3C" w14:textId="5D87870C" w:rsidR="00DD1558" w:rsidRPr="00DD1558" w:rsidRDefault="00144B9A"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144B9A">
        <w:rPr>
          <w:rFonts w:ascii="Simplified Arabic" w:eastAsia="Times New Roman" w:hAnsi="Simplified Arabic" w:cs="Simplified Arabic"/>
          <w:color w:val="1A1A1A"/>
          <w:sz w:val="28"/>
          <w:szCs w:val="28"/>
          <w14:ligatures w14:val="none"/>
        </w:rPr>
        <w:t>This section constructs the analytical apparatus through which the thesis reframes laboratory inventory failure within a large public higher education institution as a governable, assessable phenomenon.</w:t>
      </w:r>
      <w:r w:rsidR="00DD1558" w:rsidRPr="00DD1558">
        <w:rPr>
          <w:rFonts w:ascii="Simplified Arabic" w:eastAsia="Times New Roman" w:hAnsi="Simplified Arabic" w:cs="Simplified Arabic"/>
          <w:color w:val="1A1A1A"/>
          <w:sz w:val="28"/>
          <w:szCs w:val="28"/>
          <w14:ligatures w14:val="none"/>
        </w:rPr>
        <w:t xml:space="preserve"> Chapter 1 defined the problem as a Risk Maturity Gap: the decentralized inventory regime operates below the capability required to sustain shared, digitized, environmentally responsible stock management. The present section specifies </w:t>
      </w:r>
      <w:r w:rsidR="00DD1558" w:rsidRPr="00DD1558">
        <w:rPr>
          <w:rFonts w:ascii="Simplified Arabic" w:eastAsia="Times New Roman" w:hAnsi="Simplified Arabic" w:cs="Simplified Arabic"/>
          <w:i/>
          <w:iCs/>
          <w:color w:val="1A1A1A"/>
          <w:sz w:val="28"/>
          <w:szCs w:val="28"/>
          <w14:ligatures w14:val="none"/>
        </w:rPr>
        <w:t>how</w:t>
      </w:r>
      <w:r w:rsidR="00DD1558" w:rsidRPr="00DD1558">
        <w:rPr>
          <w:rFonts w:ascii="Simplified Arabic" w:eastAsia="Times New Roman" w:hAnsi="Simplified Arabic" w:cs="Simplified Arabic"/>
          <w:color w:val="1A1A1A"/>
          <w:sz w:val="28"/>
          <w:szCs w:val="28"/>
          <w14:ligatures w14:val="none"/>
        </w:rPr>
        <w:t xml:space="preserve"> that gap is diagnosed, structured, and addressed. Rather than adopting a single risk technique, the study proposes an integrated framework of five analytical lenses, each performing a distinct epistemic function and each governing a distinct element of the framework that </w:t>
      </w:r>
      <w:r w:rsidR="00DD1558" w:rsidRPr="00DD1558">
        <w:rPr>
          <w:rFonts w:ascii="Simplified Arabic" w:eastAsia="Times New Roman" w:hAnsi="Simplified Arabic" w:cs="Simplified Arabic"/>
          <w:sz w:val="28"/>
          <w:szCs w:val="28"/>
          <w14:ligatures w14:val="none"/>
        </w:rPr>
        <w:t xml:space="preserve">Chapter 4 (Section </w:t>
      </w:r>
      <w:hyperlink w:anchor="section41" w:history="1">
        <w:r w:rsidR="00DD1558" w:rsidRPr="001C6E4A">
          <w:rPr>
            <w:rStyle w:val="Hyperlink"/>
            <w:rFonts w:ascii="Simplified Arabic" w:eastAsia="Times New Roman" w:hAnsi="Simplified Arabic" w:cs="Simplified Arabic"/>
            <w:sz w:val="28"/>
            <w:szCs w:val="28"/>
            <w14:ligatures w14:val="none"/>
          </w:rPr>
          <w:t>4.1</w:t>
        </w:r>
      </w:hyperlink>
      <w:r w:rsidR="00DD1558" w:rsidRPr="00DD1558">
        <w:rPr>
          <w:rFonts w:ascii="Simplified Arabic" w:eastAsia="Times New Roman" w:hAnsi="Simplified Arabic" w:cs="Simplified Arabic"/>
          <w:sz w:val="28"/>
          <w:szCs w:val="28"/>
          <w14:ligatures w14:val="none"/>
        </w:rPr>
        <w:t xml:space="preserve">) </w:t>
      </w:r>
      <w:r w:rsidR="00DD1558" w:rsidRPr="00DD1558">
        <w:rPr>
          <w:rFonts w:ascii="Simplified Arabic" w:eastAsia="Times New Roman" w:hAnsi="Simplified Arabic" w:cs="Simplified Arabic"/>
          <w:color w:val="1A1A1A"/>
          <w:sz w:val="28"/>
          <w:szCs w:val="28"/>
          <w14:ligatures w14:val="none"/>
        </w:rPr>
        <w:t xml:space="preserve">will institutionalize. This compositional logic follows the project management discipline’s treatment of risk as an organizational capability rather than an isolated calculation: the PMBOK Guide situates risk management within governance, tailoring, and value-delivery systems (Project Management Institute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{"citationID":"DgARfJf8","properties":{"unsorted":false,"formattedCitation":"(PMI,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 xml:space="preserve">(PMI, </w:t>
      </w:r>
      <w:r w:rsidR="00DD1558" w:rsidRPr="00DD1558">
        <w:rPr>
          <w:rFonts w:ascii="Simplified Arabic" w:eastAsia="Times New Roman" w:hAnsi="Simplified Arabic" w:cs="Simplified Arabic"/>
          <w:color w:val="1A1A1A"/>
          <w:sz w:val="28"/>
          <w:szCs w:val="24"/>
          <w14:ligatures w14:val="none"/>
        </w:rPr>
        <w:lastRenderedPageBreak/>
        <w:t>2021)</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and ISO 31000:2018 likewise frames risk management as an integrated, customized component of organizational decision-making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{"citationID":"JUeF2NyK","properties":{"unsorted":false,"formattedCitation":"(31000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(31000 ISO/IEC, 2018)</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p>
    <w:p w14:paraId="3542BA6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five lenses interlock sequentially. First, the Risk Maturity Model (RMM) diagnoses </w:t>
      </w:r>
      <w:r w:rsidRPr="00DD1558">
        <w:rPr>
          <w:rFonts w:ascii="Simplified Arabic" w:eastAsia="Times New Roman" w:hAnsi="Simplified Arabic" w:cs="Simplified Arabic"/>
          <w:i/>
          <w:iCs/>
          <w:color w:val="1A1A1A"/>
          <w:sz w:val="28"/>
          <w:szCs w:val="28"/>
          <w14:ligatures w14:val="none"/>
        </w:rPr>
        <w:t>where the institution is</w:t>
      </w:r>
      <w:r w:rsidRPr="00DD1558">
        <w:rPr>
          <w:rFonts w:ascii="Simplified Arabic" w:eastAsia="Times New Roman" w:hAnsi="Simplified Arabic" w:cs="Simplified Arabic"/>
          <w:color w:val="1A1A1A"/>
          <w:sz w:val="28"/>
          <w:szCs w:val="28"/>
          <w14:ligatures w14:val="none"/>
        </w:rPr>
        <w:t xml:space="preserve"> — its current capability band relative to the demands of participatory inventory management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{"citationID":"n8YstY1G","properties":{"unsorted":false,"formattedCitation":"(Hillson,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the Bow-Tie method structures </w:t>
      </w:r>
      <w:r w:rsidRPr="00DD1558">
        <w:rPr>
          <w:rFonts w:ascii="Simplified Arabic" w:eastAsia="Times New Roman" w:hAnsi="Simplified Arabic" w:cs="Simplified Arabic"/>
          <w:i/>
          <w:iCs/>
          <w:color w:val="1A1A1A"/>
          <w:sz w:val="28"/>
          <w:szCs w:val="28"/>
          <w14:ligatures w14:val="none"/>
        </w:rPr>
        <w:t>the risk pathways the framework must control</w:t>
      </w:r>
      <w:r w:rsidRPr="00DD1558">
        <w:rPr>
          <w:rFonts w:ascii="Simplified Arabic" w:eastAsia="Times New Roman" w:hAnsi="Simplified Arabic" w:cs="Simplified Arabic"/>
          <w:color w:val="1A1A1A"/>
          <w:sz w:val="28"/>
          <w:szCs w:val="28"/>
          <w14:ligatures w14:val="none"/>
        </w:rPr>
        <w:t xml:space="preserve">, making explicit the causal chains from management weaknesses to loss events and the barriers that interrupt them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{"citationID":"mJ8LNddD","properties":{"unsorted":false,"formattedCitation":"(31010 ISO/IEC, 2019; Johnson et al., 2018)","plainCitation":"(31010 ISO/IEC, 2019; Johnson et al., 2018)","noteIndex":0},"citationItems":[{"id":541,"uris":["http://zotero.org/users/19711126/items/K94YEEKI"],"itemData":{"id":541,"type":"standard","title":"ISO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(31010 ISO/IEC, 2019;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ISO 22301:2019 specifies the </w:t>
      </w:r>
      <w:r w:rsidRPr="00DD1558">
        <w:rPr>
          <w:rFonts w:ascii="Simplified Arabic" w:eastAsia="Times New Roman" w:hAnsi="Simplified Arabic" w:cs="Simplified Arabic"/>
          <w:i/>
          <w:iCs/>
          <w:color w:val="1A1A1A"/>
          <w:sz w:val="28"/>
          <w:szCs w:val="28"/>
          <w14:ligatures w14:val="none"/>
        </w:rPr>
        <w:t>continuity outcomes</w:t>
      </w:r>
      <w:r w:rsidRPr="00DD1558">
        <w:rPr>
          <w:rFonts w:ascii="Simplified Arabic" w:eastAsia="Times New Roman" w:hAnsi="Simplified Arabic" w:cs="Simplified Arabic"/>
          <w:color w:val="1A1A1A"/>
          <w:sz w:val="28"/>
          <w:szCs w:val="28"/>
          <w14:ligatures w14:val="none"/>
        </w:rPr>
        <w:t xml:space="preserve"> the framework must secure — the protection of prioritized teaching and research activities against supply-chain disruption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{"citationID":"7HV51cRb","properties":{"unsorted":false,"formattedCitation":"(22301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Fourth, ISO 14001:2015, read together with the corporate and university social responsibility (CSR/USR) literature, specifies the </w:t>
      </w:r>
      <w:r w:rsidRPr="00DD1558">
        <w:rPr>
          <w:rFonts w:ascii="Simplified Arabic" w:eastAsia="Times New Roman" w:hAnsi="Simplified Arabic" w:cs="Simplified Arabic"/>
          <w:i/>
          <w:iCs/>
          <w:color w:val="1A1A1A"/>
          <w:sz w:val="28"/>
          <w:szCs w:val="28"/>
          <w14:ligatures w14:val="none"/>
        </w:rPr>
        <w:t xml:space="preserve">environmental and reputational outcomes </w:t>
      </w:r>
      <w:r w:rsidRPr="00DD1558">
        <w:rPr>
          <w:rFonts w:ascii="Simplified Arabic" w:eastAsia="Times New Roman" w:hAnsi="Simplified Arabic" w:cs="Simplified Arabic"/>
          <w:i/>
          <w:iCs/>
          <w:color w:val="1A1A1A"/>
          <w:sz w:val="28"/>
          <w:szCs w:val="28"/>
          <w14:ligatures w14:val="none"/>
        </w:rPr>
        <w:fldChar w:fldCharType="begin"/>
      </w:r>
      <w:r w:rsidRPr="00DD1558">
        <w:rPr>
          <w:rFonts w:ascii="Simplified Arabic" w:eastAsia="Times New Roman" w:hAnsi="Simplified Arabic" w:cs="Simplified Arabic"/>
          <w:i/>
          <w:iCs/>
          <w:color w:val="1A1A1A"/>
          <w:sz w:val="28"/>
          <w:szCs w:val="28"/>
          <w14:ligatures w14:val="none"/>
        </w:rPr>
        <w:instrText xml:space="preserve"> ADDIN ZOTERO_ITEM CSL_CITATION {"citationID":"xGIcN2ka","properties":{"unsorted":false,"formattedCitation":"(Ali et al., 2021; 14001 ISO/IEC, 2015)","plainCitation":"(Ali et al., 2021; 14001 ISO/IEC,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i/>
          <w:iCs/>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14001 ISO/IEC, 2015)</w:t>
      </w:r>
      <w:r w:rsidRPr="00DD1558">
        <w:rPr>
          <w:rFonts w:ascii="Simplified Arabic" w:eastAsia="Times New Roman" w:hAnsi="Simplified Arabic" w:cs="Simplified Arabic"/>
          <w:i/>
          <w:iCs/>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Fifth, the FIRM Scorecard classifies the risk register by organizational dependency and impact area, providing a stable taxonomy for governance reporting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{"citationID":"fgRl2BZg","properties":{"unsorted":false,"formattedCitation":"(Hopkin,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BF6687F" w14:textId="536B1F2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integration is deliberately non-redundant: each lens answers a question the others cannot. A maturity model cannot depict causal pathways; a Bow-Tie diagram cannot certify continuity performance; ISO 22301 says nothing about environmental aspects; ISO 14001 does not classify financial dependencies; and the FIRM taxonomy diagnoses nothing about capability. Their combination constitutes a complete assessment chain — diagnosis, structuring, outcome specification, and classification — consistent with ISO 31000:2018’s principles of integration and customization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{"citationID":"iSKmz5h9","properties":{"unsorted":false,"formattedCitation":"(31000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with the PMBOK Guide’s insistence that risk processes be tailored to context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{"citationID":"o32fUnQS","properties":{"unsorted":false,"formattedCitation":"(PMI,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hyperlink w:anchor="Table23"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2</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3</w:t>
        </w:r>
      </w:hyperlink>
      <w:r w:rsidRPr="00DD1558">
        <w:rPr>
          <w:rFonts w:ascii="Simplified Arabic" w:eastAsia="Times New Roman" w:hAnsi="Simplified Arabic" w:cs="Simplified Arabic"/>
          <w:color w:val="1A1A1A"/>
          <w:sz w:val="28"/>
          <w:szCs w:val="28"/>
          <w14:ligatures w14:val="none"/>
        </w:rPr>
        <w:t xml:space="preserve"> summarizes the architecture.</w:t>
      </w:r>
    </w:p>
    <w:p w14:paraId="1713B0DF" w14:textId="5B05B9A5" w:rsidR="00DD1558" w:rsidRPr="00DD1558" w:rsidRDefault="00DD1558" w:rsidP="00DD1558">
      <w:pPr>
        <w:bidi w:val="0"/>
        <w:spacing w:before="180" w:line="240" w:lineRule="auto"/>
        <w:rPr>
          <w:rFonts w:ascii="Simplified Arabic" w:eastAsia="Times New Roman" w:hAnsi="Simplified Arabic" w:cs="Simplified Arabic"/>
          <w:i/>
          <w:iCs/>
          <w:sz w:val="24"/>
          <w:szCs w:val="24"/>
          <w14:ligatures w14:val="none"/>
        </w:rPr>
      </w:pPr>
    </w:p>
    <w:p w14:paraId="10764657" w14:textId="1F1797FE" w:rsidR="00431D1E" w:rsidRDefault="00431D1E" w:rsidP="00431D1E">
      <w:pPr>
        <w:pStyle w:val="Caption"/>
        <w:keepNext/>
        <w:bidi w:val="0"/>
      </w:pPr>
      <w:bookmarkStart w:id="70" w:name="_Toc237107832"/>
      <w:r>
        <w:lastRenderedPageBreak/>
        <w:t>T</w:t>
      </w:r>
      <w:bookmarkStart w:id="71" w:name="Table23"/>
      <w:bookmarkEnd w:id="71"/>
      <w:r>
        <w:t xml:space="preserve">able </w:t>
      </w:r>
      <w:r w:rsidR="00A94BAE">
        <w:t>2</w:t>
      </w:r>
      <w:r w:rsidRPr="009B1564">
        <w:t>.</w:t>
      </w:r>
      <w:r w:rsidR="00A94BAE">
        <w:t>3</w:t>
      </w:r>
      <w:r w:rsidRPr="009B1564">
        <w:t xml:space="preserve"> Mapping of the five analytical lenses to framework functions and governing elements</w:t>
      </w:r>
      <w:bookmarkEnd w:id="70"/>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736"/>
        <w:gridCol w:w="2460"/>
        <w:gridCol w:w="2329"/>
        <w:gridCol w:w="2681"/>
      </w:tblGrid>
      <w:tr w:rsidR="00DD1558" w:rsidRPr="00DD1558" w14:paraId="320FF4D8"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6975219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Lens</w:t>
            </w:r>
          </w:p>
        </w:tc>
        <w:tc>
          <w:tcPr>
            <w:tcW w:w="0" w:type="auto"/>
            <w:tcBorders>
              <w:bottom w:val="single" w:sz="8" w:space="0" w:color="44546A"/>
            </w:tcBorders>
            <w:vAlign w:val="top"/>
          </w:tcPr>
          <w:p w14:paraId="4D96A21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Analytical function</w:t>
            </w:r>
          </w:p>
        </w:tc>
        <w:tc>
          <w:tcPr>
            <w:tcW w:w="0" w:type="auto"/>
            <w:tcBorders>
              <w:bottom w:val="single" w:sz="8" w:space="0" w:color="44546A"/>
            </w:tcBorders>
            <w:vAlign w:val="top"/>
          </w:tcPr>
          <w:p w14:paraId="26D5B02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Framework element it governs</w:t>
            </w:r>
          </w:p>
        </w:tc>
        <w:tc>
          <w:tcPr>
            <w:tcW w:w="0" w:type="auto"/>
            <w:tcBorders>
              <w:bottom w:val="single" w:sz="8" w:space="0" w:color="44546A"/>
            </w:tcBorders>
            <w:vAlign w:val="top"/>
          </w:tcPr>
          <w:p w14:paraId="6ED30FB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Primary standard/reference</w:t>
            </w:r>
          </w:p>
        </w:tc>
      </w:tr>
      <w:tr w:rsidR="00DD1558" w:rsidRPr="00DD1558" w14:paraId="4431FBAE" w14:textId="77777777" w:rsidTr="00C71E92">
        <w:tc>
          <w:tcPr>
            <w:tcW w:w="0" w:type="auto"/>
          </w:tcPr>
          <w:p w14:paraId="2930D00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Risk Maturity Model (adapted Inform/Conform </w:t>
            </w:r>
            <w:r w:rsidRPr="00DD1558">
              <w:rPr>
                <w:rFonts w:ascii="Times New Roman" w:hAnsi="Times New Roman" w:cs="Times New Roman"/>
              </w:rPr>
              <w:t>→</w:t>
            </w:r>
            <w:r w:rsidRPr="00DD1558">
              <w:rPr>
                <w:rFonts w:ascii="Simplified Arabic" w:hAnsi="Simplified Arabic" w:cs="Simplified Arabic"/>
              </w:rPr>
              <w:t xml:space="preserve"> Managed/Normalized </w:t>
            </w:r>
            <w:r w:rsidRPr="00DD1558">
              <w:rPr>
                <w:rFonts w:ascii="Times New Roman" w:hAnsi="Times New Roman" w:cs="Times New Roman"/>
              </w:rPr>
              <w:t>→</w:t>
            </w:r>
            <w:r w:rsidRPr="00DD1558">
              <w:rPr>
                <w:rFonts w:ascii="Simplified Arabic" w:hAnsi="Simplified Arabic" w:cs="Simplified Arabic"/>
              </w:rPr>
              <w:t xml:space="preserve"> Perform bands)</w:t>
            </w:r>
          </w:p>
        </w:tc>
        <w:tc>
          <w:tcPr>
            <w:tcW w:w="0" w:type="auto"/>
          </w:tcPr>
          <w:p w14:paraId="50A9299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Diagnoses institutional capability baseline and maturity gap</w:t>
            </w:r>
          </w:p>
        </w:tc>
        <w:tc>
          <w:tcPr>
            <w:tcW w:w="0" w:type="auto"/>
          </w:tcPr>
          <w:p w14:paraId="04AD03D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Baseline assessment; sequencing of reforms; readiness gates for digitalization</w:t>
            </w:r>
          </w:p>
        </w:tc>
        <w:tc>
          <w:tcPr>
            <w:tcW w:w="0" w:type="auto"/>
          </w:tcPr>
          <w:p w14:paraId="7C78DFE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Hillson (1997); Paulk et al. (1993); ISO/IEC 33020:2019</w:t>
            </w:r>
          </w:p>
        </w:tc>
      </w:tr>
      <w:tr w:rsidR="00DD1558" w:rsidRPr="00DD1558" w14:paraId="25428899" w14:textId="77777777" w:rsidTr="00C71E92">
        <w:tc>
          <w:tcPr>
            <w:tcW w:w="0" w:type="auto"/>
          </w:tcPr>
          <w:p w14:paraId="4C91118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Bow-Tie risk analysis</w:t>
            </w:r>
          </w:p>
        </w:tc>
        <w:tc>
          <w:tcPr>
            <w:tcW w:w="0" w:type="auto"/>
          </w:tcPr>
          <w:p w14:paraId="745B827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Structures threat–barrier–consequence pathways for inventory loss events</w:t>
            </w:r>
          </w:p>
        </w:tc>
        <w:tc>
          <w:tcPr>
            <w:tcW w:w="0" w:type="auto"/>
          </w:tcPr>
          <w:p w14:paraId="75AA4363" w14:textId="230E4218"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Barrier architecture (prevention, mitigation, escalation-factor barriers); barrier ownership handed to </w:t>
            </w:r>
            <w:hyperlink w:anchor="section41" w:history="1">
              <w:r w:rsidRPr="001C6E4A">
                <w:rPr>
                  <w:rStyle w:val="Hyperlink"/>
                  <w:rFonts w:ascii="Simplified Arabic" w:hAnsi="Simplified Arabic" w:cs="Simplified Arabic"/>
                </w:rPr>
                <w:t xml:space="preserve">Section </w:t>
              </w:r>
              <w:r w:rsidR="001C6E4A" w:rsidRPr="001C6E4A">
                <w:rPr>
                  <w:rStyle w:val="Hyperlink"/>
                  <w:rFonts w:ascii="Simplified Arabic" w:hAnsi="Simplified Arabic" w:cs="Simplified Arabic"/>
                </w:rPr>
                <w:t>4.1</w:t>
              </w:r>
            </w:hyperlink>
            <w:r w:rsidRPr="00DD1558">
              <w:rPr>
                <w:rFonts w:ascii="Simplified Arabic" w:hAnsi="Simplified Arabic" w:cs="Simplified Arabic"/>
              </w:rPr>
              <w:t xml:space="preserve"> roles</w:t>
            </w:r>
          </w:p>
        </w:tc>
        <w:tc>
          <w:tcPr>
            <w:tcW w:w="0" w:type="auto"/>
          </w:tcPr>
          <w:p w14:paraId="1FE8138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IEC 31010:2019 (IEC, 2019); CCPS &amp; Energy Institute (2018); de Ruijter &amp; Guldenmund (2016)</w:t>
            </w:r>
          </w:p>
        </w:tc>
      </w:tr>
      <w:tr w:rsidR="00DD1558" w:rsidRPr="00DD1558" w14:paraId="0436EF89" w14:textId="77777777" w:rsidTr="00C71E92">
        <w:tc>
          <w:tcPr>
            <w:tcW w:w="0" w:type="auto"/>
          </w:tcPr>
          <w:p w14:paraId="047F2BE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22301:2019 Business Continuity</w:t>
            </w:r>
          </w:p>
        </w:tc>
        <w:tc>
          <w:tcPr>
            <w:tcW w:w="0" w:type="auto"/>
          </w:tcPr>
          <w:p w14:paraId="1DC3F9F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Specifies continuity outcomes for prioritized activities</w:t>
            </w:r>
          </w:p>
        </w:tc>
        <w:tc>
          <w:tcPr>
            <w:tcW w:w="0" w:type="auto"/>
          </w:tcPr>
          <w:p w14:paraId="025A13D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Business impact analysis (BIA) logic; continuity strategies (shared registry, inter-lab loans); exercise and evaluation analogues</w:t>
            </w:r>
          </w:p>
        </w:tc>
        <w:tc>
          <w:tcPr>
            <w:tcW w:w="0" w:type="auto"/>
          </w:tcPr>
          <w:p w14:paraId="54B6CF2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22301:2019 (ISO, 2019); ISO/TS 22317:2021</w:t>
            </w:r>
          </w:p>
        </w:tc>
      </w:tr>
      <w:tr w:rsidR="00DD1558" w:rsidRPr="00DD1558" w14:paraId="688C586C" w14:textId="77777777" w:rsidTr="00C71E92">
        <w:tc>
          <w:tcPr>
            <w:tcW w:w="0" w:type="auto"/>
          </w:tcPr>
          <w:p w14:paraId="4A8FFA6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14001:2015 + CSR/USR</w:t>
            </w:r>
          </w:p>
        </w:tc>
        <w:tc>
          <w:tcPr>
            <w:tcW w:w="0" w:type="auto"/>
          </w:tcPr>
          <w:p w14:paraId="10859AD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Specifies environmental and reputational outcomes</w:t>
            </w:r>
          </w:p>
        </w:tc>
        <w:tc>
          <w:tcPr>
            <w:tcW w:w="0" w:type="auto"/>
          </w:tcPr>
          <w:p w14:paraId="7091A24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Environmental aspect control; life-cycle perspective on procurement; compliance-obligation evaluation; reputation protection</w:t>
            </w:r>
          </w:p>
        </w:tc>
        <w:tc>
          <w:tcPr>
            <w:tcW w:w="0" w:type="auto"/>
          </w:tcPr>
          <w:p w14:paraId="1E0CB51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14001:2015 (ISO, 2015); ISO 26000:2010 (ISO, 2010); Ali et al. (2021)</w:t>
            </w:r>
          </w:p>
        </w:tc>
      </w:tr>
      <w:tr w:rsidR="00DD1558" w:rsidRPr="00DD1558" w14:paraId="0A05B441" w14:textId="77777777" w:rsidTr="00C71E92">
        <w:tc>
          <w:tcPr>
            <w:tcW w:w="0" w:type="auto"/>
          </w:tcPr>
          <w:p w14:paraId="6B2906F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FIRM Scorecard (taxonomy)</w:t>
            </w:r>
          </w:p>
        </w:tc>
        <w:tc>
          <w:tcPr>
            <w:tcW w:w="0" w:type="auto"/>
          </w:tcPr>
          <w:p w14:paraId="1FFE1D5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Classifies risks by dependency/impact area</w:t>
            </w:r>
          </w:p>
        </w:tc>
        <w:tc>
          <w:tcPr>
            <w:tcW w:w="0" w:type="auto"/>
          </w:tcPr>
          <w:p w14:paraId="72B9193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Risk register categories (Financial, Infrastructure, Reputational, Marketplace-as-stakeholder-environment)</w:t>
            </w:r>
          </w:p>
        </w:tc>
        <w:tc>
          <w:tcPr>
            <w:tcW w:w="0" w:type="auto"/>
          </w:tcPr>
          <w:p w14:paraId="4209B8D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Hopkin (2018)</w:t>
            </w:r>
          </w:p>
        </w:tc>
      </w:tr>
    </w:tbl>
    <w:p w14:paraId="17E0DD69" w14:textId="68E751D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Three design commitments govern the use of these lenses. First, every adaptation of a published model is explicitly declared and anchored to its source; the thesis does not attribute its own terminology to standards bodies. Second, all analysis is qualitative: the framework yields classifications, maturity judgments, and barrier specifications, not numerical scores or empirical measurements. </w:t>
      </w:r>
      <w:r w:rsidR="000B6195" w:rsidRPr="000B6195">
        <w:rPr>
          <w:rFonts w:ascii="Simplified Arabic" w:eastAsia="Times New Roman" w:hAnsi="Simplified Arabic" w:cs="Simplified Arabic"/>
          <w:color w:val="1A1A1A"/>
          <w:sz w:val="28"/>
          <w:szCs w:val="28"/>
          <w14:ligatures w14:val="none"/>
        </w:rPr>
        <w:t>Third, the framework is written for a contextual case-study setting—a large public science faculty within a Saudi higher education institution, with a life sciences department as the embedded unit of analysis—but its constructs are stated generally enough to transfer to other educational laboratory environments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{"citationID":"MOSVqohi","properties":{"unsorted":false,"formattedCitation":"(Takagi et al., 2024)","plainCitation":"(Takagi et al., 2024)","noteIndex":0},"citationItems":[{"id":512,"uris":["http://zotero.org/users/19711126/items/MZXA8SGP"],"itemData":{"id":512,"type":"article-journal","abstract":"As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89AB6A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72" w:name="section292"/>
      <w:bookmarkStart w:id="73" w:name="_Toc237539736"/>
      <w:bookmarkEnd w:id="72"/>
      <w:r w:rsidRPr="00DD1558">
        <w:rPr>
          <w:rFonts w:ascii="Simplified Arabic" w:eastAsiaTheme="majorEastAsia" w:hAnsi="Simplified Arabic" w:cstheme="majorBidi"/>
          <w:sz w:val="28"/>
          <w:szCs w:val="28"/>
        </w:rPr>
        <w:t>2.9.2 Risk Maturity Model for Academic Laboratories</w:t>
      </w:r>
      <w:bookmarkEnd w:id="73"/>
    </w:p>
    <w:p w14:paraId="525EC0CC"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2.9.2.1 Anchors and the declaration of adapted terminology</w:t>
      </w:r>
    </w:p>
    <w:p w14:paraId="1817238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Risk maturity models assess an organization’s capability to manage risk, on the premise that effectiveness is a function of organizational culture, process, experience, and application rather than of any single tool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{"citationID":"TlihHBYY","properties":{"unsorted":false,"formattedCitation":"(Hillson,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Hillson’s original model — the first published RMM — defines four levels: Naive (unaware of the need for risk management), Novice (experimenting without structure), Normalized (structured processes embedded in routine business), and Natural (a risk-aware culture with proactive, integrated </w:t>
      </w:r>
      <w:r w:rsidRPr="00DD1558">
        <w:rPr>
          <w:rFonts w:ascii="Simplified Arabic" w:eastAsia="Times New Roman" w:hAnsi="Simplified Arabic" w:cs="Simplified Arabic"/>
          <w:color w:val="1A1A1A"/>
          <w:sz w:val="28"/>
          <w:szCs w:val="28"/>
          <w14:ligatures w14:val="none"/>
        </w:rPr>
        <w:lastRenderedPageBreak/>
        <w:t xml:space="preserve">practice), each characterized along the four attributes of culture, process, experience, and application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{"citationID":"jrxx3VhJ","properties":{"unsorted":false,"formattedCitation":"(Hillson,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 parallel lineage derives from software capability maturity: the five-level SEI/Capability Maturity Model (CMM) scale — Initial, Managed, Defined, Quantitatively Managed, optimizing — describes the institutionalization of process discipline from ad hoc practice to continuous optimization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{"citationID":"B5Yp6f0G","properties":{"unsorted":false,"formattedCitation":"(Paulk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Contemporary standards formalize a cognate ladder: ISO/IEC 33020:2019 defines capability levels from Incomplete through Performed, Managed, Established, and Predictable to Innovating, and related project-domain frameworks corroborate the same logic of staged capability growth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{"citationID":"DrVxu0qV","properties":{"unsorted":false,"formattedCitation":"(Hopkinson, 2017)","plainCitation":"(Hopkinson, 2017)","noteIndex":0},"citationItems":[{"id":454,"uris":["http://zotero.org/users/19711126/items/FKDZCBUS"],"itemData":{"id":454,"type":"book","abstract":"Top businesses recognise risk management as a core feature of their project management process and approach to the governance of projects. However, a mature risk management process is required in order to realise its benefits; one that takes into account the design and implementation of the process and the skills, experience and culture of the people who use it. To be mature in the way you manage risk you need an accepted framework to assess your risk management maturity, allowing you to benchmark against a recognised standard. A structured pathway for improvement is also needed, not just telling you where you are now, but describing the steps required to reach the next level. The Project Risk Maturity Model detailed here provides such an assessment framework and development pathway. It can be used to benchmark your project risk processes and support the introduction of effective in-house project risk management. Using this model, implementation and improvement of project risk management can be managed effectively to ensure that the expected benefits are achieved in a way that is appropriate to the needs of each organisation. Martin Hopkinson has developed The Project Risk Maturity Model into a robust framework, and this book allows you to access and apply his insights and experience. A key feature is a downloadable resource containing a working copy of the QinetiQ Project Risk Maturity Model (RMM). This will enable you to undertake maturity assessments for as many projects as you choose. The RMM has been proven over a period of 10 years, with at least 250 maturity assessments on projects and programmes with a total value exceeding £60 billion. A case study in the book demonstrates how it has been used to deliver significant and measurable benefits to the performance of major projects.","ISBN":"978-1-351-88346-7","language":"en","note":"Google-Books-ID: hHQIEQAAQBAJ","number-of-pages":"265","publisher":"Taylor &amp; Francis","source":"Google Books","title":"The Project Risk Maturity Model: Measuring and Improving Risk Management Capability","title-short":"The Project Risk Maturity Model","URL":"https://books.google.com.sa/books?id=hHQIEQAAQBAJ","author":[{"family":"Hopkinson","given":"Martin"}],"issued":{"date-parts":[["2017",3,2]]}}}],"schema":"https://github.com/citation-style-language/schema/raw/master/csl-citation.json"}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(Hopkinson, 2017)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ABBE96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No published model, however, uses the level names adopted in this thesis. This study therefore </w:t>
      </w:r>
      <w:r w:rsidRPr="00DD1558">
        <w:rPr>
          <w:rFonts w:ascii="Simplified Arabic" w:eastAsia="Times New Roman" w:hAnsi="Simplified Arabic" w:cs="Simplified Arabic"/>
          <w:b/>
          <w:bCs/>
          <w:color w:val="1A1A1A"/>
          <w:sz w:val="28"/>
          <w:szCs w:val="28"/>
          <w14:ligatures w14:val="none"/>
        </w:rPr>
        <w:t>explicitly declares “Inform/Conform,” “Managed/Normalized,” and “Perform” as its own adapted terminology</w:t>
      </w:r>
      <w:r w:rsidRPr="00DD1558">
        <w:rPr>
          <w:rFonts w:ascii="Simplified Arabic" w:eastAsia="Times New Roman" w:hAnsi="Simplified Arabic" w:cs="Simplified Arabic"/>
          <w:color w:val="1A1A1A"/>
          <w:sz w:val="28"/>
          <w:szCs w:val="28"/>
          <w14:ligatures w14:val="none"/>
        </w:rPr>
        <w:t xml:space="preserve">, a three-band trajectory constructed for the educational-laboratory context and anchored as follows: </w:t>
      </w:r>
      <w:r w:rsidRPr="00DD1558">
        <w:rPr>
          <w:rFonts w:ascii="Simplified Arabic" w:eastAsia="Times New Roman" w:hAnsi="Simplified Arabic" w:cs="Simplified Arabic"/>
          <w:i/>
          <w:iCs/>
          <w:color w:val="1A1A1A"/>
          <w:sz w:val="28"/>
          <w:szCs w:val="28"/>
          <w14:ligatures w14:val="none"/>
        </w:rPr>
        <w:t>Inform/Conform</w:t>
      </w:r>
      <w:r w:rsidRPr="00DD1558">
        <w:rPr>
          <w:rFonts w:ascii="Simplified Arabic" w:eastAsia="Times New Roman" w:hAnsi="Simplified Arabic" w:cs="Simplified Arabic"/>
          <w:color w:val="1A1A1A"/>
          <w:sz w:val="28"/>
          <w:szCs w:val="28"/>
          <w14:ligatures w14:val="none"/>
        </w:rPr>
        <w:t xml:space="preserve"> corresponds to Hillson’s Naive and Novice levels (reactive, compliance-only practice) and to the CMM Initial and lower Managed levels; </w:t>
      </w:r>
      <w:r w:rsidRPr="00DD1558">
        <w:rPr>
          <w:rFonts w:ascii="Simplified Arabic" w:eastAsia="Times New Roman" w:hAnsi="Simplified Arabic" w:cs="Simplified Arabic"/>
          <w:i/>
          <w:iCs/>
          <w:color w:val="1A1A1A"/>
          <w:sz w:val="28"/>
          <w:szCs w:val="28"/>
          <w14:ligatures w14:val="none"/>
        </w:rPr>
        <w:t>Managed/Normalized</w:t>
      </w:r>
      <w:r w:rsidRPr="00DD1558">
        <w:rPr>
          <w:rFonts w:ascii="Simplified Arabic" w:eastAsia="Times New Roman" w:hAnsi="Simplified Arabic" w:cs="Simplified Arabic"/>
          <w:color w:val="1A1A1A"/>
          <w:sz w:val="28"/>
          <w:szCs w:val="28"/>
          <w14:ligatures w14:val="none"/>
        </w:rPr>
        <w:t xml:space="preserve"> corresponds to Hillson’s Normalized level and the CMM Defined level, where standardized processes are documented and consistently applied; and </w:t>
      </w:r>
      <w:r w:rsidRPr="00DD1558">
        <w:rPr>
          <w:rFonts w:ascii="Simplified Arabic" w:eastAsia="Times New Roman" w:hAnsi="Simplified Arabic" w:cs="Simplified Arabic"/>
          <w:i/>
          <w:iCs/>
          <w:color w:val="1A1A1A"/>
          <w:sz w:val="28"/>
          <w:szCs w:val="28"/>
          <w14:ligatures w14:val="none"/>
        </w:rPr>
        <w:t>Perform</w:t>
      </w:r>
      <w:r w:rsidRPr="00DD1558">
        <w:rPr>
          <w:rFonts w:ascii="Simplified Arabic" w:eastAsia="Times New Roman" w:hAnsi="Simplified Arabic" w:cs="Simplified Arabic"/>
          <w:color w:val="1A1A1A"/>
          <w:sz w:val="28"/>
          <w:szCs w:val="28"/>
          <w14:ligatures w14:val="none"/>
        </w:rPr>
        <w:t xml:space="preserve"> corresponds to Hillson’s Natural level and the CMM Quantitatively Managed–Optimizing range (also ISO/IEC 33020’s Predictable and Innovating levels), where risk-aware practice is anticipatory, measured, and continuously improved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{"citationID":"p2o62ptR","properties":{"unsorted":false,"formattedCitation":"(Hillson,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three-band compression is a deliberate design choice: five-level granularity exceeds what a qualitative, non-instrumented assessment of a single institutional setting can defensibly discriminate, whereas three bands map cleanly onto the reform sequence this thesis proposes.</w:t>
      </w:r>
    </w:p>
    <w:p w14:paraId="25F721EA"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lastRenderedPageBreak/>
        <w:t>2.9.2.2 The three-band trajectory in a laboratory context</w:t>
      </w:r>
    </w:p>
    <w:p w14:paraId="14DCD8A4" w14:textId="6BBB7EC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2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2</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4</w:t>
        </w:r>
      </w:hyperlink>
      <w:r w:rsidRPr="00DD1558">
        <w:rPr>
          <w:rFonts w:ascii="Simplified Arabic" w:eastAsia="Times New Roman" w:hAnsi="Simplified Arabic" w:cs="Simplified Arabic"/>
          <w:color w:val="1A1A1A"/>
          <w:sz w:val="28"/>
          <w:szCs w:val="28"/>
          <w14:ligatures w14:val="none"/>
        </w:rPr>
        <w:t xml:space="preserve"> operationalizes the bands for laboratory inventory governance, re-expressing Hillson’s four attributes (culture, process, experience, application) as risk culture, inventory process, governance, and contextual evidence.</w:t>
      </w:r>
    </w:p>
    <w:p w14:paraId="776FBBC1" w14:textId="76FB995D" w:rsidR="00DD1558" w:rsidRPr="00DD1558" w:rsidRDefault="00DD1558" w:rsidP="00DD1558">
      <w:pPr>
        <w:bidi w:val="0"/>
        <w:spacing w:before="180" w:line="240" w:lineRule="auto"/>
        <w:rPr>
          <w:rFonts w:ascii="Simplified Arabic" w:eastAsia="Times New Roman" w:hAnsi="Simplified Arabic" w:cs="Simplified Arabic"/>
          <w:i/>
          <w:iCs/>
          <w:sz w:val="32"/>
          <w:szCs w:val="32"/>
          <w14:ligatures w14:val="none"/>
        </w:rPr>
      </w:pPr>
    </w:p>
    <w:p w14:paraId="208E6C99" w14:textId="0F4B0ABA" w:rsidR="00FB13EE" w:rsidRDefault="00FB13EE" w:rsidP="00FB13EE">
      <w:pPr>
        <w:pStyle w:val="Caption"/>
        <w:keepNext/>
        <w:bidi w:val="0"/>
      </w:pPr>
      <w:bookmarkStart w:id="74" w:name="_Toc237107833"/>
      <w:r>
        <w:t>T</w:t>
      </w:r>
      <w:bookmarkStart w:id="75" w:name="Table24"/>
      <w:bookmarkEnd w:id="75"/>
      <w:r>
        <w:t xml:space="preserve">able </w:t>
      </w:r>
      <w:r w:rsidR="00A94BAE">
        <w:t>2</w:t>
      </w:r>
      <w:r w:rsidRPr="00A74F8C">
        <w:t>.</w:t>
      </w:r>
      <w:r w:rsidR="00A94BAE">
        <w:t>4</w:t>
      </w:r>
      <w:r w:rsidRPr="00A74F8C">
        <w:t>. Adapted three-band risk maturity trajectory for educational laboratory inventory (thesis’s adapted terminology, anchored to (Hillson, D. A., 1997; Paulk et al., 1993))</w:t>
      </w:r>
      <w:bookmarkEnd w:id="74"/>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465"/>
        <w:gridCol w:w="1997"/>
        <w:gridCol w:w="1887"/>
        <w:gridCol w:w="1969"/>
        <w:gridCol w:w="1888"/>
      </w:tblGrid>
      <w:tr w:rsidR="00DD1558" w:rsidRPr="00DD1558" w14:paraId="4D7B8C56"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1482D37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Band</w:t>
            </w:r>
          </w:p>
        </w:tc>
        <w:tc>
          <w:tcPr>
            <w:tcW w:w="0" w:type="auto"/>
            <w:tcBorders>
              <w:bottom w:val="single" w:sz="8" w:space="0" w:color="44546A"/>
            </w:tcBorders>
            <w:vAlign w:val="top"/>
          </w:tcPr>
          <w:p w14:paraId="79F6B1D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Risk culture</w:t>
            </w:r>
          </w:p>
        </w:tc>
        <w:tc>
          <w:tcPr>
            <w:tcW w:w="0" w:type="auto"/>
            <w:tcBorders>
              <w:bottom w:val="single" w:sz="8" w:space="0" w:color="44546A"/>
            </w:tcBorders>
            <w:vAlign w:val="top"/>
          </w:tcPr>
          <w:p w14:paraId="0810DDB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Inventory process</w:t>
            </w:r>
          </w:p>
        </w:tc>
        <w:tc>
          <w:tcPr>
            <w:tcW w:w="0" w:type="auto"/>
            <w:tcBorders>
              <w:bottom w:val="single" w:sz="8" w:space="0" w:color="44546A"/>
            </w:tcBorders>
            <w:vAlign w:val="top"/>
          </w:tcPr>
          <w:p w14:paraId="0A15BAD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Governance</w:t>
            </w:r>
          </w:p>
        </w:tc>
        <w:tc>
          <w:tcPr>
            <w:tcW w:w="0" w:type="auto"/>
            <w:tcBorders>
              <w:bottom w:val="single" w:sz="8" w:space="0" w:color="44546A"/>
            </w:tcBorders>
            <w:vAlign w:val="top"/>
          </w:tcPr>
          <w:p w14:paraId="7EACFD3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Evidence of maturity in a lab context</w:t>
            </w:r>
          </w:p>
        </w:tc>
      </w:tr>
      <w:tr w:rsidR="00DD1558" w:rsidRPr="00DD1558" w14:paraId="73EE9F42" w14:textId="77777777" w:rsidTr="00C71E92">
        <w:tc>
          <w:tcPr>
            <w:tcW w:w="0" w:type="auto"/>
          </w:tcPr>
          <w:p w14:paraId="17C3993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Inform/Conform</w:t>
            </w:r>
            <w:r w:rsidRPr="00DD1558">
              <w:rPr>
                <w:rFonts w:ascii="Simplified Arabic" w:hAnsi="Simplified Arabic" w:cs="Simplified Arabic"/>
              </w:rPr>
              <w:t xml:space="preserve"> (reactive compliance)</w:t>
            </w:r>
          </w:p>
        </w:tc>
        <w:tc>
          <w:tcPr>
            <w:tcW w:w="0" w:type="auto"/>
          </w:tcPr>
          <w:p w14:paraId="45DA4C0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Risk treated as a documentation burden; incidents handled after occurrence; procurement decisions default to local convenience</w:t>
            </w:r>
          </w:p>
        </w:tc>
        <w:tc>
          <w:tcPr>
            <w:tcW w:w="0" w:type="auto"/>
          </w:tcPr>
          <w:p w14:paraId="62A4132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Each laboratory keeps its own records, formats, and requisitions; no stock-rotation discipline; no shared visibility</w:t>
            </w:r>
          </w:p>
        </w:tc>
        <w:tc>
          <w:tcPr>
            <w:tcW w:w="0" w:type="auto"/>
          </w:tcPr>
          <w:p w14:paraId="4B7F416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No dedicated inventory governance body; responsibilities diffuse; policy absent or unenforced</w:t>
            </w:r>
          </w:p>
        </w:tc>
        <w:tc>
          <w:tcPr>
            <w:tcW w:w="0" w:type="auto"/>
          </w:tcPr>
          <w:p w14:paraId="6BFD6A9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Duplicate purchasing across neighboring laboratories; expired chemicals discovered at audit; idle instruments alongside unmet demand</w:t>
            </w:r>
          </w:p>
        </w:tc>
      </w:tr>
      <w:tr w:rsidR="00DD1558" w:rsidRPr="00DD1558" w14:paraId="48812C64" w14:textId="77777777" w:rsidTr="00C71E92">
        <w:tc>
          <w:tcPr>
            <w:tcW w:w="0" w:type="auto"/>
          </w:tcPr>
          <w:p w14:paraId="24608B9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Managed/Normalized</w:t>
            </w:r>
            <w:r w:rsidRPr="00DD1558">
              <w:rPr>
                <w:rFonts w:ascii="Simplified Arabic" w:hAnsi="Simplified Arabic" w:cs="Simplified Arabic"/>
              </w:rPr>
              <w:t xml:space="preserve"> (standardized control)</w:t>
            </w:r>
          </w:p>
        </w:tc>
        <w:tc>
          <w:tcPr>
            <w:tcW w:w="0" w:type="auto"/>
          </w:tcPr>
          <w:p w14:paraId="26D8910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Risk recognized as manageable through structure; staff follow defined procedures </w:t>
            </w:r>
            <w:r w:rsidRPr="00DD1558">
              <w:rPr>
                <w:rFonts w:ascii="Simplified Arabic" w:hAnsi="Simplified Arabic" w:cs="Simplified Arabic"/>
              </w:rPr>
              <w:lastRenderedPageBreak/>
              <w:t>because they are defined</w:t>
            </w:r>
          </w:p>
        </w:tc>
        <w:tc>
          <w:tcPr>
            <w:tcW w:w="0" w:type="auto"/>
          </w:tcPr>
          <w:p w14:paraId="5D416E1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 xml:space="preserve">Standardized catalog and records; First-Expired-First-Out (FEFO) rotation rules documented; </w:t>
            </w:r>
            <w:r w:rsidRPr="00DD1558">
              <w:rPr>
                <w:rFonts w:ascii="Simplified Arabic" w:hAnsi="Simplified Arabic" w:cs="Simplified Arabic"/>
              </w:rPr>
              <w:lastRenderedPageBreak/>
              <w:t>eligibility clauses applied before requisition</w:t>
            </w:r>
          </w:p>
        </w:tc>
        <w:tc>
          <w:tcPr>
            <w:tcW w:w="0" w:type="auto"/>
          </w:tcPr>
          <w:p w14:paraId="32298EC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Named bodies own standards and data; custody rules and escalation paths documented</w:t>
            </w:r>
          </w:p>
        </w:tc>
        <w:tc>
          <w:tcPr>
            <w:tcW w:w="0" w:type="auto"/>
          </w:tcPr>
          <w:p w14:paraId="7F5705A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Consistent data quality across laboratories; rotation executed as routine; requisitions </w:t>
            </w:r>
            <w:r w:rsidRPr="00DD1558">
              <w:rPr>
                <w:rFonts w:ascii="Simplified Arabic" w:hAnsi="Simplified Arabic" w:cs="Simplified Arabic"/>
              </w:rPr>
              <w:lastRenderedPageBreak/>
              <w:t>checked against a shared registry</w:t>
            </w:r>
          </w:p>
        </w:tc>
      </w:tr>
      <w:tr w:rsidR="00DD1558" w:rsidRPr="00DD1558" w14:paraId="667D3E28" w14:textId="77777777" w:rsidTr="00C71E92">
        <w:tc>
          <w:tcPr>
            <w:tcW w:w="0" w:type="auto"/>
          </w:tcPr>
          <w:p w14:paraId="1E90C5E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Perform</w:t>
            </w:r>
            <w:r w:rsidRPr="00DD1558">
              <w:rPr>
                <w:rFonts w:ascii="Simplified Arabic" w:hAnsi="Simplified Arabic" w:cs="Simplified Arabic"/>
              </w:rPr>
              <w:t xml:space="preserve"> (excellence-oriented, anticipatory)</w:t>
            </w:r>
          </w:p>
        </w:tc>
        <w:tc>
          <w:tcPr>
            <w:tcW w:w="0" w:type="auto"/>
          </w:tcPr>
          <w:p w14:paraId="3304228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Risk awareness embedded in daily decisions; improvement proposals originate at all levels within role boundaries</w:t>
            </w:r>
          </w:p>
        </w:tc>
        <w:tc>
          <w:tcPr>
            <w:tcW w:w="0" w:type="auto"/>
          </w:tcPr>
          <w:p w14:paraId="40AC799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Shared visibility exploited for redistribution before expiry; inter-lab loans routine; continuity procedures exercised</w:t>
            </w:r>
          </w:p>
        </w:tc>
        <w:tc>
          <w:tcPr>
            <w:tcW w:w="0" w:type="auto"/>
          </w:tcPr>
          <w:p w14:paraId="33C08D3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Governance reviews performance, audits barriers, and revises policy; continuity and environmental objectives integrated</w:t>
            </w:r>
          </w:p>
        </w:tc>
        <w:tc>
          <w:tcPr>
            <w:tcW w:w="0" w:type="auto"/>
          </w:tcPr>
          <w:p w14:paraId="7CF5384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Pre-expiry redistribution displaces new purchasing; loan workflows function during supply interruptions; audit findings decline and are acted upon</w:t>
            </w:r>
          </w:p>
        </w:tc>
      </w:tr>
    </w:tbl>
    <w:p w14:paraId="6DC66543"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2.9.2.3 Maturity-gap diagnosis of the decentralized regime</w:t>
      </w:r>
    </w:p>
    <w:p w14:paraId="6F27A84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Against this trajectory, the decentralized regime described in Section 1 sits squarely in the Inform/Conform band: each laboratory maintains its own records and requisitions, with no shared visibility, no inter-lab lending policy, and no standardized data structure. The regime’s three structural consequences — duplicate purchasing as the default when existence elsewhere is unknown, depressed asset utilization while neighboring needs go unmet, and expired-chemical waste from small, isolated stocks whose shelf life lapses unnoticed — are not discrete failures but symptoms of a single capability deficit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{"citationID":"CdF1FfH7","properties":{"unsorted":false,"formattedCitation":"(Hillson,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In maturity terms, the institution lacks the </w:t>
      </w:r>
      <w:r w:rsidRPr="00DD1558">
        <w:rPr>
          <w:rFonts w:ascii="Simplified Arabic" w:eastAsia="Times New Roman" w:hAnsi="Simplified Arabic" w:cs="Simplified Arabic"/>
          <w:i/>
          <w:iCs/>
          <w:color w:val="1A1A1A"/>
          <w:sz w:val="28"/>
          <w:szCs w:val="28"/>
          <w14:ligatures w14:val="none"/>
        </w:rPr>
        <w:t>process</w:t>
      </w:r>
      <w:r w:rsidRPr="00DD1558">
        <w:rPr>
          <w:rFonts w:ascii="Simplified Arabic" w:eastAsia="Times New Roman" w:hAnsi="Simplified Arabic" w:cs="Simplified Arabic"/>
          <w:color w:val="1A1A1A"/>
          <w:sz w:val="28"/>
          <w:szCs w:val="28"/>
          <w14:ligatures w14:val="none"/>
        </w:rPr>
        <w:t xml:space="preserve"> attribute (standardization), the </w:t>
      </w:r>
      <w:r w:rsidRPr="00DD1558">
        <w:rPr>
          <w:rFonts w:ascii="Simplified Arabic" w:eastAsia="Times New Roman" w:hAnsi="Simplified Arabic" w:cs="Simplified Arabic"/>
          <w:i/>
          <w:iCs/>
          <w:color w:val="1A1A1A"/>
          <w:sz w:val="28"/>
          <w:szCs w:val="28"/>
          <w14:ligatures w14:val="none"/>
        </w:rPr>
        <w:t>experience</w:t>
      </w:r>
      <w:r w:rsidRPr="00DD1558">
        <w:rPr>
          <w:rFonts w:ascii="Simplified Arabic" w:eastAsia="Times New Roman" w:hAnsi="Simplified Arabic" w:cs="Simplified Arabic"/>
          <w:color w:val="1A1A1A"/>
          <w:sz w:val="28"/>
          <w:szCs w:val="28"/>
          <w14:ligatures w14:val="none"/>
        </w:rPr>
        <w:t xml:space="preserve"> attribute (accumulated shared practice), and the </w:t>
      </w:r>
      <w:r w:rsidRPr="00DD1558">
        <w:rPr>
          <w:rFonts w:ascii="Simplified Arabic" w:eastAsia="Times New Roman" w:hAnsi="Simplified Arabic" w:cs="Simplified Arabic"/>
          <w:i/>
          <w:iCs/>
          <w:color w:val="1A1A1A"/>
          <w:sz w:val="28"/>
          <w:szCs w:val="28"/>
          <w14:ligatures w14:val="none"/>
        </w:rPr>
        <w:t>application</w:t>
      </w:r>
      <w:r w:rsidRPr="00DD1558">
        <w:rPr>
          <w:rFonts w:ascii="Simplified Arabic" w:eastAsia="Times New Roman" w:hAnsi="Simplified Arabic" w:cs="Simplified Arabic"/>
          <w:color w:val="1A1A1A"/>
          <w:sz w:val="28"/>
          <w:szCs w:val="28"/>
          <w14:ligatures w14:val="none"/>
        </w:rPr>
        <w:t xml:space="preserve"> attribute (risk techniques used in decisions), while its </w:t>
      </w:r>
      <w:r w:rsidRPr="00DD1558">
        <w:rPr>
          <w:rFonts w:ascii="Simplified Arabic" w:eastAsia="Times New Roman" w:hAnsi="Simplified Arabic" w:cs="Simplified Arabic"/>
          <w:i/>
          <w:iCs/>
          <w:color w:val="1A1A1A"/>
          <w:sz w:val="28"/>
          <w:szCs w:val="28"/>
          <w14:ligatures w14:val="none"/>
        </w:rPr>
        <w:t>culture</w:t>
      </w:r>
      <w:r w:rsidRPr="00DD1558">
        <w:rPr>
          <w:rFonts w:ascii="Simplified Arabic" w:eastAsia="Times New Roman" w:hAnsi="Simplified Arabic" w:cs="Simplified Arabic"/>
          <w:color w:val="1A1A1A"/>
          <w:sz w:val="28"/>
          <w:szCs w:val="28"/>
          <w14:ligatures w14:val="none"/>
        </w:rPr>
        <w:t xml:space="preserve"> remains compliance-driven. The diagnosis </w:t>
      </w:r>
      <w:r w:rsidRPr="00DD1558">
        <w:rPr>
          <w:rFonts w:ascii="Simplified Arabic" w:eastAsia="Times New Roman" w:hAnsi="Simplified Arabic" w:cs="Simplified Arabic"/>
          <w:color w:val="1A1A1A"/>
          <w:sz w:val="28"/>
          <w:szCs w:val="28"/>
          <w14:ligatures w14:val="none"/>
        </w:rPr>
        <w:lastRenderedPageBreak/>
        <w:t>matters because it determines sequencing: a maturity gap of this kind cannot be closed by procurement alone and specifically cannot be closed by technology acquisition.</w:t>
      </w:r>
    </w:p>
    <w:p w14:paraId="5F6FD68E"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2.9.2.4 Transition logic and the precedence of maturity over digitalization</w:t>
      </w:r>
    </w:p>
    <w:p w14:paraId="6086DDE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Movement between bands is produced by three transitions, each corresponding to a design element of the proposed framework. First, </w:t>
      </w:r>
      <w:r w:rsidRPr="00DD1558">
        <w:rPr>
          <w:rFonts w:ascii="Simplified Arabic" w:eastAsia="Times New Roman" w:hAnsi="Simplified Arabic" w:cs="Simplified Arabic"/>
          <w:b/>
          <w:bCs/>
          <w:color w:val="1A1A1A"/>
          <w:sz w:val="28"/>
          <w:szCs w:val="28"/>
          <w14:ligatures w14:val="none"/>
        </w:rPr>
        <w:t>standardization</w:t>
      </w:r>
      <w:r w:rsidRPr="00DD1558">
        <w:rPr>
          <w:rFonts w:ascii="Simplified Arabic" w:eastAsia="Times New Roman" w:hAnsi="Simplified Arabic" w:cs="Simplified Arabic"/>
          <w:color w:val="1A1A1A"/>
          <w:sz w:val="28"/>
          <w:szCs w:val="28"/>
          <w14:ligatures w14:val="none"/>
        </w:rPr>
        <w:t xml:space="preserve"> moves an institution from Inform/Conform toward Managed/Normalized: a common catalog, common record structures, and documented rotation and eligibility rules convert idiosyncratic local practice into an organizational process in the CMM sense of the Defined level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{"citationID":"kXm4qg3x","properties":{"unsorted":false,"formattedCitation":"(Paulk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w:t>
      </w:r>
      <w:r w:rsidRPr="00DD1558">
        <w:rPr>
          <w:rFonts w:ascii="Simplified Arabic" w:eastAsia="Times New Roman" w:hAnsi="Simplified Arabic" w:cs="Simplified Arabic"/>
          <w:b/>
          <w:bCs/>
          <w:color w:val="1A1A1A"/>
          <w:sz w:val="28"/>
          <w:szCs w:val="28"/>
          <w14:ligatures w14:val="none"/>
        </w:rPr>
        <w:t>governance</w:t>
      </w:r>
      <w:r w:rsidRPr="00DD1558">
        <w:rPr>
          <w:rFonts w:ascii="Simplified Arabic" w:eastAsia="Times New Roman" w:hAnsi="Simplified Arabic" w:cs="Simplified Arabic"/>
          <w:color w:val="1A1A1A"/>
          <w:sz w:val="28"/>
          <w:szCs w:val="28"/>
          <w14:ligatures w14:val="none"/>
        </w:rPr>
        <w:t xml:space="preserve"> consolidates the Managed/Normalized band: named bodies with decision rights, custody rules, and audit cadence make the standardized process enforceable and self-correcting, addressing the accountability vacuum characteristic of Hillson’s Novice state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{"citationID":"F6Fly9FA","properties":{"unsorted":false,"formattedCitation":"(Hillson,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w:t>
      </w:r>
      <w:r w:rsidRPr="00DD1558">
        <w:rPr>
          <w:rFonts w:ascii="Simplified Arabic" w:eastAsia="Times New Roman" w:hAnsi="Simplified Arabic" w:cs="Simplified Arabic"/>
          <w:b/>
          <w:bCs/>
          <w:color w:val="1A1A1A"/>
          <w:sz w:val="28"/>
          <w:szCs w:val="28"/>
          <w14:ligatures w14:val="none"/>
        </w:rPr>
        <w:t>measurement and review</w:t>
      </w:r>
      <w:r w:rsidRPr="00DD1558">
        <w:rPr>
          <w:rFonts w:ascii="Simplified Arabic" w:eastAsia="Times New Roman" w:hAnsi="Simplified Arabic" w:cs="Simplified Arabic"/>
          <w:color w:val="1A1A1A"/>
          <w:sz w:val="28"/>
          <w:szCs w:val="28"/>
          <w14:ligatures w14:val="none"/>
        </w:rPr>
        <w:t xml:space="preserve"> open the path to Perform: monitoring of barrier performance, internal audit, and management review — the Check and Act phases of the Annex SL management-system cycle — supply the feedback loops that distinguish anticipatory from merely compliant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{"citationID":"avlN3wHQ","properties":{"unsorted":false,"formattedCitation":"(14001 ISO/IEC, 2015; 31010 ISO/IEC, 2019)","plainCitation":"(14001 ISO/IEC, 2015; 31010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0FCACDB" w14:textId="2A864695"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logic entails a strict ordering claim: </w:t>
      </w:r>
      <w:r w:rsidRPr="00DD1558">
        <w:rPr>
          <w:rFonts w:ascii="Simplified Arabic" w:eastAsia="Times New Roman" w:hAnsi="Simplified Arabic" w:cs="Simplified Arabic"/>
          <w:b/>
          <w:bCs/>
          <w:color w:val="1A1A1A"/>
          <w:sz w:val="28"/>
          <w:szCs w:val="28"/>
          <w14:ligatures w14:val="none"/>
        </w:rPr>
        <w:t>organizational maturity must precede digitalization</w:t>
      </w:r>
      <w:r w:rsidRPr="00DD1558">
        <w:rPr>
          <w:rFonts w:ascii="Simplified Arabic" w:eastAsia="Times New Roman" w:hAnsi="Simplified Arabic" w:cs="Simplified Arabic"/>
          <w:color w:val="1A1A1A"/>
          <w:sz w:val="28"/>
          <w:szCs w:val="28"/>
          <w14:ligatures w14:val="none"/>
        </w:rPr>
        <w:t xml:space="preserve">. The higher-education digital-transformation literature consistently reports that technology layered onto unstandardized processes and unclear roles reproduces existing fragmentation in digital form, and that readiness — process definition, governance clarity, data discipline — is the binding constraint on transformation outcomes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{"citationID":"BiGK5jkd","properties":{"unsorted":false,"formattedCitation":"(Bellantuono et al., 2021; Bravo-Jaico et al., 2025; Rodr\\uc0\\u237{}guez-Abitia &amp; Bribiesca-Correa, 2021)","plainCitation":"(Bellantuono et al., 2021; Bravo-Jaico et al., 2025;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Bravo-Jaico et al., 2025;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Applied here, a shared digital registry deployed into an Inform/Conform regime would merely digitize unstandardized records and ambiguous custody; the framework therefore treats digitalization as a Perform-band capability unlocked by, not substituted for, </w:t>
      </w:r>
      <w:r w:rsidRPr="00DD1558">
        <w:rPr>
          <w:rFonts w:ascii="Simplified Arabic" w:eastAsia="Times New Roman" w:hAnsi="Simplified Arabic" w:cs="Simplified Arabic"/>
          <w:color w:val="1A1A1A"/>
          <w:sz w:val="28"/>
          <w:szCs w:val="28"/>
          <w14:ligatures w14:val="none"/>
        </w:rPr>
        <w:lastRenderedPageBreak/>
        <w:t xml:space="preserve">standardization and governance reform. </w:t>
      </w:r>
      <w:hyperlink w:anchor="Figure12" w:history="1">
        <w:r w:rsidRPr="00DD1558">
          <w:rPr>
            <w:rFonts w:ascii="Simplified Arabic" w:eastAsia="Times New Roman" w:hAnsi="Simplified Arabic" w:cs="Simplified Arabic"/>
            <w:color w:val="467886" w:themeColor="hyperlink"/>
            <w:sz w:val="28"/>
            <w:szCs w:val="28"/>
            <w:u w:val="single"/>
            <w14:ligatures w14:val="none"/>
          </w:rPr>
          <w:t xml:space="preserve">Figure </w:t>
        </w:r>
        <w:r w:rsidR="00A94BAE">
          <w:rPr>
            <w:rFonts w:ascii="Simplified Arabic" w:eastAsia="Times New Roman" w:hAnsi="Simplified Arabic" w:cs="Simplified Arabic"/>
            <w:color w:val="467886" w:themeColor="hyperlink"/>
            <w:sz w:val="28"/>
            <w:szCs w:val="28"/>
            <w:u w:val="single"/>
            <w14:ligatures w14:val="none"/>
          </w:rPr>
          <w:t>2</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1</w:t>
        </w:r>
      </w:hyperlink>
      <w:r w:rsidRPr="00DD1558">
        <w:rPr>
          <w:rFonts w:ascii="Simplified Arabic" w:eastAsia="Times New Roman" w:hAnsi="Simplified Arabic" w:cs="Simplified Arabic"/>
          <w:color w:val="1A1A1A"/>
          <w:sz w:val="28"/>
          <w:szCs w:val="28"/>
          <w14:ligatures w14:val="none"/>
        </w:rPr>
        <w:t xml:space="preserve"> depicts the maturity ladder and its transition drivers.</w:t>
      </w:r>
      <w:r w:rsidRPr="00DD1558">
        <w:rPr>
          <w:rFonts w:ascii="Times New Roman" w:eastAsia="Times New Roman" w:hAnsi="Times New Roman" w:cs="Times New Roman"/>
          <w:noProof/>
          <w:color w:val="1A1A1A"/>
          <w:sz w:val="24"/>
          <w:szCs w:val="24"/>
          <w14:ligatures w14:val="none"/>
        </w:rPr>
        <w:t xml:space="preserve"> </w:t>
      </w:r>
    </w:p>
    <w:p w14:paraId="4A2904C3" w14:textId="77777777" w:rsidR="009E3D5C" w:rsidRDefault="00DD1558" w:rsidP="009E3D5C">
      <w:pPr>
        <w:keepNext/>
        <w:bidi w:val="0"/>
        <w:spacing w:before="180" w:line="360" w:lineRule="auto"/>
        <w:jc w:val="center"/>
      </w:pPr>
      <w:r w:rsidRPr="00DD1558">
        <w:rPr>
          <w:rFonts w:ascii="Times New Roman" w:eastAsia="Times New Roman" w:hAnsi="Times New Roman" w:cs="Times New Roman"/>
          <w:noProof/>
          <w:color w:val="1A1A1A"/>
          <w:sz w:val="24"/>
          <w:szCs w:val="24"/>
          <w14:ligatures w14:val="none"/>
        </w:rPr>
        <w:drawing>
          <wp:inline distT="0" distB="0" distL="0" distR="0" wp14:anchorId="3B530BE8" wp14:editId="7BFC989F">
            <wp:extent cx="1980000" cy="5868000"/>
            <wp:effectExtent l="0" t="0" r="1270" b="0"/>
            <wp:docPr id="35" name="Picture"/>
            <wp:cNvGraphicFramePr/>
            <a:graphic xmlns:a="http://schemas.openxmlformats.org/drawingml/2006/main">
              <a:graphicData uri="http://schemas.openxmlformats.org/drawingml/2006/picture">
                <pic:pic xmlns:pic="http://schemas.openxmlformats.org/drawingml/2006/picture">
                  <pic:nvPicPr>
                    <pic:cNvPr id="36" name="Picture" descr="fig1.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980000" cy="5868000"/>
                    </a:xfrm>
                    <a:prstGeom prst="rect">
                      <a:avLst/>
                    </a:prstGeom>
                    <a:noFill/>
                    <a:ln w="9525">
                      <a:noFill/>
                      <a:headEnd/>
                      <a:tailEnd/>
                    </a:ln>
                  </pic:spPr>
                </pic:pic>
              </a:graphicData>
            </a:graphic>
          </wp:inline>
        </w:drawing>
      </w:r>
    </w:p>
    <w:p w14:paraId="68802CA4" w14:textId="785D12AF" w:rsidR="00DD1558" w:rsidRPr="00DD1558" w:rsidRDefault="009E3D5C" w:rsidP="009E3D5C">
      <w:pPr>
        <w:pStyle w:val="Caption"/>
        <w:bidi w:val="0"/>
        <w:jc w:val="center"/>
        <w:rPr>
          <w:rFonts w:ascii="Times New Roman" w:eastAsia="Times New Roman" w:hAnsi="Times New Roman" w:cs="Times New Roman"/>
          <w:color w:val="1A1A1A"/>
          <w:sz w:val="24"/>
          <w:szCs w:val="24"/>
          <w14:ligatures w14:val="none"/>
        </w:rPr>
      </w:pPr>
      <w:bookmarkStart w:id="76" w:name="_Toc237109051"/>
      <w:r>
        <w:t>F</w:t>
      </w:r>
      <w:bookmarkStart w:id="77" w:name="Figure12"/>
      <w:bookmarkEnd w:id="77"/>
      <w:r>
        <w:t xml:space="preserve">igure </w:t>
      </w:r>
      <w:r w:rsidR="00A94BAE">
        <w:t>2</w:t>
      </w:r>
      <w:r w:rsidRPr="007E3C1E">
        <w:t>.</w:t>
      </w:r>
      <w:r w:rsidR="00A94BAE">
        <w:t>1</w:t>
      </w:r>
      <w:r w:rsidRPr="007E3C1E">
        <w:t>. Adapted maturity ladder for educational laboratory inventory governance (thesis’s adapted band terminology; anchors per (Hillson, D. A., 1997; 33020 ISO/IEC, 2019, p. 2019; Paulk et al., 1993)).</w:t>
      </w:r>
      <w:bookmarkEnd w:id="76"/>
    </w:p>
    <w:p w14:paraId="183D7CAD" w14:textId="25192D9E" w:rsidR="00DD1558" w:rsidRPr="00DD1558" w:rsidRDefault="00DD1558" w:rsidP="00DD1558">
      <w:pPr>
        <w:bidi w:val="0"/>
        <w:spacing w:before="180" w:line="240" w:lineRule="auto"/>
        <w:rPr>
          <w:rFonts w:ascii="Simplified Arabic" w:eastAsia="Times New Roman" w:hAnsi="Simplified Arabic" w:cs="Simplified Arabic"/>
          <w:i/>
          <w:iCs/>
          <w:sz w:val="24"/>
          <w:szCs w:val="24"/>
          <w14:ligatures w14:val="none"/>
        </w:rPr>
      </w:pPr>
    </w:p>
    <w:p w14:paraId="09E4BE4F"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78" w:name="_2.9.3_Bow-Tie_Risk"/>
      <w:bookmarkStart w:id="79" w:name="section293"/>
      <w:bookmarkStart w:id="80" w:name="_Toc237539737"/>
      <w:bookmarkEnd w:id="78"/>
      <w:bookmarkEnd w:id="79"/>
      <w:r w:rsidRPr="00DD1558">
        <w:rPr>
          <w:rFonts w:ascii="Simplified Arabic" w:eastAsiaTheme="majorEastAsia" w:hAnsi="Simplified Arabic" w:cstheme="majorBidi"/>
          <w:sz w:val="28"/>
          <w:szCs w:val="28"/>
        </w:rPr>
        <w:lastRenderedPageBreak/>
        <w:t>2.9.3 Bow-Tie Risk Analysis Adapted to Laboratory Safety and Inventory</w:t>
      </w:r>
      <w:bookmarkEnd w:id="80"/>
    </w:p>
    <w:p w14:paraId="27659ECA"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2.9.3.1 Method origin, qualitative nature, and precedent for management-domain adaptation</w:t>
      </w:r>
    </w:p>
    <w:p w14:paraId="008966C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Bow-Tie method originates in cause–consequence diagramming of the early 1970s and was standardized by Shell in the early 1990s within its Hazard and Effects Management Process following the Piper Alpha disaster, subsequently spreading to aviation, mining, maritime, healthcare, water safety, and environmental management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{"citationID":"W89XHCCM","properties":{"unsorted":false,"formattedCitation":"(de Ruijter &amp; Guldenmund, 2016; Johnson et al., 2018)","plainCitation":"(de Ruijter &amp; Guldenmund, 2016;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IEC 31010:2019 formally defines the bow-tie as a graphical depiction of the pathways from the causes of an event to its consequences, classifying it among techniques for analyzing controls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{"citationID":"PhllrSmt","properties":{"unsorted":false,"formattedCitation":"(31010 ISO/IEC, 2019)","plainCitation":"(31010 ISO/IEC, 2019)","noteIndex":0},"citationItems":[{"id":541,"uris":["http://zotero.org/users/19711126/items/K94YEEKI"],"itemData":{"id":541,"type":"standard","title":"ISO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method is </w:t>
      </w:r>
      <w:r w:rsidRPr="00DD1558">
        <w:rPr>
          <w:rFonts w:ascii="Simplified Arabic" w:eastAsia="Times New Roman" w:hAnsi="Simplified Arabic" w:cs="Simplified Arabic"/>
          <w:b/>
          <w:bCs/>
          <w:color w:val="1A1A1A"/>
          <w:sz w:val="28"/>
          <w:szCs w:val="28"/>
          <w14:ligatures w14:val="none"/>
        </w:rPr>
        <w:t>qualitative by nature</w:t>
      </w:r>
      <w:r w:rsidRPr="00DD1558">
        <w:rPr>
          <w:rFonts w:ascii="Simplified Arabic" w:eastAsia="Times New Roman" w:hAnsi="Simplified Arabic" w:cs="Simplified Arabic"/>
          <w:color w:val="1A1A1A"/>
          <w:sz w:val="28"/>
          <w:szCs w:val="28"/>
          <w14:ligatures w14:val="none"/>
        </w:rPr>
        <w:t xml:space="preserve">: it structures reasoning about threats, controls, and consequences without requiring quantification, which makes it methodologically congruent with this thesis’s qualitative design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{"citationID":"FnXd8aSB","properties":{"unsorted":false,"formattedCitation":"(de Ruijter &amp; Guldenmund, 2016; 31010 ISO/IEC, 2019)","plainCitation":"(de Ruijter &amp; Guldenmund, 2016; 31010 ISO/IEC, 2019)","noteIndex":0},"citationItems":[{"id":429,"uris":["http://zotero.org/users/19711126/items/HU29KB4F"],"itemData":{"id":429,"type":"article-journal","abstract":"The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239A1E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Critically, the method has an established precedent beyond process safety: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{"citationID":"avGaHfhs","properties":{"unsorted":false,"formattedCitation":"(Cormier et al., 2019)","plainCitation":"(Cormier et al., 2019)","noteIndex":0},"citationItems":[{"id":425,"uris":["http://zotero.org/users/19711126/items/BSLAHZU5"],"itemData":{"id":425,"type":"article-journal","abstract":"Marine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demonstrate its application to environmental </w:t>
      </w:r>
      <w:r w:rsidRPr="00DD1558">
        <w:rPr>
          <w:rFonts w:ascii="Simplified Arabic" w:eastAsia="Times New Roman" w:hAnsi="Simplified Arabic" w:cs="Simplified Arabic"/>
          <w:i/>
          <w:iCs/>
          <w:color w:val="1A1A1A"/>
          <w:sz w:val="28"/>
          <w:szCs w:val="28"/>
          <w14:ligatures w14:val="none"/>
        </w:rPr>
        <w:t>management and policy</w:t>
      </w:r>
      <w:r w:rsidRPr="00DD1558">
        <w:rPr>
          <w:rFonts w:ascii="Simplified Arabic" w:eastAsia="Times New Roman" w:hAnsi="Simplified Arabic" w:cs="Simplified Arabic"/>
          <w:color w:val="1A1A1A"/>
          <w:sz w:val="28"/>
          <w:szCs w:val="28"/>
          <w14:ligatures w14:val="none"/>
        </w:rPr>
        <w:t xml:space="preserve"> problems, arguing that its value lies in clarifying management controls and their ownership rather than in engineering calculation. This precedent license is the transfer from physical-process hazards to inventory-management hazards, provided the adaptation is declared — as it is here. The adaptation also respects the method’s canonical pitfalls: the knot of the diagram is the Top Event (the moment of loss of control), not “the risk” as a whole; prevention barriers sit between threat and Top Event; mitigation barriers sit between Top Event and consequence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{"citationID":"rrnWbAOd","properties":{"unsorted":false,"formattedCitation":"(de Ruijter &amp; Guldenmund, 2016; Johnson et al., 2018)","plainCitation":"(de Ruijter &amp; Guldenmund, 2016;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8044C04"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lastRenderedPageBreak/>
        <w:t>2.9.3.2 Specification of the adapted bow-tie</w:t>
      </w:r>
    </w:p>
    <w:p w14:paraId="07E536E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Using CCPS terminology exactly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{"citationID":"fAR3nlgs","properties":{"unsorted":false,"formattedCitation":"(Johnson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adapted bow-tie is specified as follows.</w:t>
      </w:r>
    </w:p>
    <w:p w14:paraId="7F77AD87"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Hazard.</w:t>
      </w:r>
      <w:r w:rsidRPr="00DD1558">
        <w:rPr>
          <w:rFonts w:ascii="Simplified Arabic" w:eastAsia="Times New Roman" w:hAnsi="Simplified Arabic" w:cs="Simplified Arabic"/>
          <w:color w:val="1A1A1A"/>
          <w:sz w:val="28"/>
          <w:szCs w:val="28"/>
          <w14:ligatures w14:val="none"/>
        </w:rPr>
        <w:t xml:space="preserve"> The management of chemical and asset inventories in educational laboratories — an ongoing operational activity with the potential to cause financial, environmental, health-and-safety, and academic harm when control is lost.</w:t>
      </w:r>
    </w:p>
    <w:p w14:paraId="2D49190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Top Events (loss of control).</w:t>
      </w:r>
      <w:r w:rsidRPr="00DD1558">
        <w:rPr>
          <w:rFonts w:ascii="Simplified Arabic" w:eastAsia="Times New Roman" w:hAnsi="Simplified Arabic" w:cs="Simplified Arabic"/>
          <w:color w:val="1A1A1A"/>
          <w:sz w:val="28"/>
          <w:szCs w:val="28"/>
          <w14:ligatures w14:val="none"/>
        </w:rPr>
        <w:t xml:space="preserve"> The thesis declares two adapted Top Events, corresponding to the regime’s two dominant loss pathways:</w:t>
      </w:r>
    </w:p>
    <w:p w14:paraId="68527E5B"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TE1 — Chemical expiration beyond usable shelf life:</w:t>
      </w:r>
      <w:r w:rsidRPr="00DD1558">
        <w:rPr>
          <w:rFonts w:ascii="Simplified Arabic" w:eastAsia="Cambria" w:hAnsi="Simplified Arabic" w:cs="Simplified Arabic"/>
          <w:color w:val="212121"/>
          <w:sz w:val="28"/>
          <w:szCs w:val="28"/>
          <w14:ligatures w14:val="none"/>
        </w:rPr>
        <w:t xml:space="preserve"> stock passes its expiry point while held, unnoticed, in decentralized storage.</w:t>
      </w:r>
    </w:p>
    <w:p w14:paraId="3FC64E36"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TE2 — Chronic asset underutilization:</w:t>
      </w:r>
      <w:r w:rsidRPr="00DD1558">
        <w:rPr>
          <w:rFonts w:ascii="Simplified Arabic" w:eastAsia="Cambria" w:hAnsi="Simplified Arabic" w:cs="Simplified Arabic"/>
          <w:color w:val="212121"/>
          <w:sz w:val="28"/>
          <w:szCs w:val="28"/>
          <w14:ligatures w14:val="none"/>
        </w:rPr>
        <w:t xml:space="preserve"> instruments and durable assets remain idle while demand elsewhere goes unmet, so the asset stock fails to deliver its intended academic value.</w:t>
      </w:r>
    </w:p>
    <w:p w14:paraId="35B34FB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Threats (left side).</w:t>
      </w:r>
      <w:r w:rsidRPr="00DD1558">
        <w:rPr>
          <w:rFonts w:ascii="Simplified Arabic" w:eastAsia="Times New Roman" w:hAnsi="Simplified Arabic" w:cs="Simplified Arabic"/>
          <w:color w:val="1A1A1A"/>
          <w:sz w:val="28"/>
          <w:szCs w:val="28"/>
          <w14:ligatures w14:val="none"/>
        </w:rPr>
        <w:t xml:space="preserve"> Four initiating conditions, all documented in Chapter 1 as features of the decentralized regime: (T1) over-ordering without cross-lab visibility; (T2) absent stock-rotation discipline; (T3) unstandardized records concealing stock identity, quantity, and age; and (T4) siloed custody, in which assets and chemicals are controlled by individual laboratories with no transfer mechanism.</w:t>
      </w:r>
    </w:p>
    <w:p w14:paraId="3B0556F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Prevention barriers (left side).</w:t>
      </w:r>
      <w:r w:rsidRPr="00DD1558">
        <w:rPr>
          <w:rFonts w:ascii="Simplified Arabic" w:eastAsia="Times New Roman" w:hAnsi="Simplified Arabic" w:cs="Simplified Arabic"/>
          <w:color w:val="1A1A1A"/>
          <w:sz w:val="28"/>
          <w:szCs w:val="28"/>
          <w14:ligatures w14:val="none"/>
        </w:rPr>
        <w:t xml:space="preserve"> Three barriers terminate or weaken threat pathways before loss of control: (PB1) </w:t>
      </w:r>
      <w:r w:rsidRPr="00DD1558">
        <w:rPr>
          <w:rFonts w:ascii="Simplified Arabic" w:eastAsia="Times New Roman" w:hAnsi="Simplified Arabic" w:cs="Simplified Arabic"/>
          <w:i/>
          <w:iCs/>
          <w:color w:val="1A1A1A"/>
          <w:sz w:val="28"/>
          <w:szCs w:val="28"/>
          <w14:ligatures w14:val="none"/>
        </w:rPr>
        <w:t>standardization of the catalog and records</w:t>
      </w:r>
      <w:r w:rsidRPr="00DD1558">
        <w:rPr>
          <w:rFonts w:ascii="Simplified Arabic" w:eastAsia="Times New Roman" w:hAnsi="Simplified Arabic" w:cs="Simplified Arabic"/>
          <w:color w:val="1A1A1A"/>
          <w:sz w:val="28"/>
          <w:szCs w:val="28"/>
          <w14:ligatures w14:val="none"/>
        </w:rPr>
        <w:t xml:space="preserve"> — a common data structure making stock visible, comparable, and auditable; (PB2) </w:t>
      </w:r>
      <w:r w:rsidRPr="00DD1558">
        <w:rPr>
          <w:rFonts w:ascii="Simplified Arabic" w:eastAsia="Times New Roman" w:hAnsi="Simplified Arabic" w:cs="Simplified Arabic"/>
          <w:i/>
          <w:iCs/>
          <w:color w:val="1A1A1A"/>
          <w:sz w:val="28"/>
          <w:szCs w:val="28"/>
          <w14:ligatures w14:val="none"/>
        </w:rPr>
        <w:t>eligibility clauses for purchasing</w:t>
      </w:r>
      <w:r w:rsidRPr="00DD1558">
        <w:rPr>
          <w:rFonts w:ascii="Simplified Arabic" w:eastAsia="Times New Roman" w:hAnsi="Simplified Arabic" w:cs="Simplified Arabic"/>
          <w:color w:val="1A1A1A"/>
          <w:sz w:val="28"/>
          <w:szCs w:val="28"/>
          <w14:ligatures w14:val="none"/>
        </w:rPr>
        <w:t xml:space="preserve"> — a mandatory check of the shared registry before any requisition is approved, so that existing stock displaces new purchase; and (PB3) </w:t>
      </w:r>
      <w:r w:rsidRPr="00DD1558">
        <w:rPr>
          <w:rFonts w:ascii="Simplified Arabic" w:eastAsia="Times New Roman" w:hAnsi="Simplified Arabic" w:cs="Simplified Arabic"/>
          <w:i/>
          <w:iCs/>
          <w:color w:val="1A1A1A"/>
          <w:sz w:val="28"/>
          <w:szCs w:val="28"/>
          <w14:ligatures w14:val="none"/>
        </w:rPr>
        <w:t>joint/circular procurement rules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lastRenderedPageBreak/>
        <w:t xml:space="preserve">— institution-level aggregation and circular-economy criteria that reduce incoming volume and align purchasing with consumption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{"citationID":"9kxBDcE1","properties":{"unsorted":false,"formattedCitation":"(S\\uc0\\u246{}nnichsen &amp; Clement, 2020)","plainCitation":"(Sönnichsen &amp; Clement,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6E588B5" w14:textId="710ECC7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Consequences (right side).</w:t>
      </w:r>
      <w:r w:rsidRPr="00DD1558">
        <w:rPr>
          <w:rFonts w:ascii="Simplified Arabic" w:eastAsia="Times New Roman" w:hAnsi="Simplified Arabic" w:cs="Simplified Arabic"/>
          <w:color w:val="1A1A1A"/>
          <w:sz w:val="28"/>
          <w:szCs w:val="28"/>
          <w14:ligatures w14:val="none"/>
        </w:rPr>
        <w:t xml:space="preserve"> Four consequence classes, each mapped to a FIRM category (</w:t>
      </w:r>
      <w:hyperlink w:anchor="section295" w:history="1">
        <w:r w:rsidRPr="00730A82">
          <w:rPr>
            <w:rStyle w:val="Hyperlink"/>
            <w:rFonts w:ascii="Simplified Arabic" w:eastAsia="Times New Roman" w:hAnsi="Simplified Arabic" w:cs="Simplified Arabic"/>
            <w:sz w:val="28"/>
            <w:szCs w:val="28"/>
            <w14:ligatures w14:val="none"/>
          </w:rPr>
          <w:t>Section 2.9.5</w:t>
        </w:r>
      </w:hyperlink>
      <w:r w:rsidRPr="00DD1558">
        <w:rPr>
          <w:rFonts w:ascii="Simplified Arabic" w:eastAsia="Times New Roman" w:hAnsi="Simplified Arabic" w:cs="Simplified Arabic"/>
          <w:color w:val="1A1A1A"/>
          <w:sz w:val="28"/>
          <w:szCs w:val="28"/>
          <w14:ligatures w14:val="none"/>
        </w:rPr>
        <w:t xml:space="preserve">): (C1) financial waste and expiry write-offs — </w:t>
      </w:r>
      <w:r w:rsidRPr="00DD1558">
        <w:rPr>
          <w:rFonts w:ascii="Simplified Arabic" w:eastAsia="Times New Roman" w:hAnsi="Simplified Arabic" w:cs="Simplified Arabic"/>
          <w:i/>
          <w:iCs/>
          <w:color w:val="1A1A1A"/>
          <w:sz w:val="28"/>
          <w:szCs w:val="28"/>
          <w14:ligatures w14:val="none"/>
        </w:rPr>
        <w:t>Financial</w:t>
      </w:r>
      <w:r w:rsidRPr="00DD1558">
        <w:rPr>
          <w:rFonts w:ascii="Simplified Arabic" w:eastAsia="Times New Roman" w:hAnsi="Simplified Arabic" w:cs="Simplified Arabic"/>
          <w:color w:val="1A1A1A"/>
          <w:sz w:val="28"/>
          <w:szCs w:val="28"/>
          <w14:ligatures w14:val="none"/>
        </w:rPr>
        <w:t xml:space="preserve">; (C2) hazardous-waste accumulation and health, safety, and environment (HSE) exposure — </w:t>
      </w:r>
      <w:r w:rsidRPr="00DD1558">
        <w:rPr>
          <w:rFonts w:ascii="Simplified Arabic" w:eastAsia="Times New Roman" w:hAnsi="Simplified Arabic" w:cs="Simplified Arabic"/>
          <w:i/>
          <w:iCs/>
          <w:color w:val="1A1A1A"/>
          <w:sz w:val="28"/>
          <w:szCs w:val="28"/>
          <w14:ligatures w14:val="none"/>
        </w:rPr>
        <w:t>Infrastructure</w:t>
      </w:r>
      <w:r w:rsidRPr="00DD1558">
        <w:rPr>
          <w:rFonts w:ascii="Simplified Arabic" w:eastAsia="Times New Roman" w:hAnsi="Simplified Arabic" w:cs="Simplified Arabic"/>
          <w:color w:val="1A1A1A"/>
          <w:sz w:val="28"/>
          <w:szCs w:val="28"/>
          <w14:ligatures w14:val="none"/>
        </w:rPr>
        <w:t xml:space="preserve"> (the physical estate and its safe operation); (C3) teaching and research disruption when expired stock or unavailable assets interrupt scheduled practical work — </w:t>
      </w:r>
      <w:r w:rsidRPr="00DD1558">
        <w:rPr>
          <w:rFonts w:ascii="Simplified Arabic" w:eastAsia="Times New Roman" w:hAnsi="Simplified Arabic" w:cs="Simplified Arabic"/>
          <w:i/>
          <w:iCs/>
          <w:color w:val="1A1A1A"/>
          <w:sz w:val="28"/>
          <w:szCs w:val="28"/>
          <w14:ligatures w14:val="none"/>
        </w:rPr>
        <w:t>Marketplace</w:t>
      </w:r>
      <w:r w:rsidRPr="00DD1558">
        <w:rPr>
          <w:rFonts w:ascii="Simplified Arabic" w:eastAsia="Times New Roman" w:hAnsi="Simplified Arabic" w:cs="Simplified Arabic"/>
          <w:color w:val="1A1A1A"/>
          <w:sz w:val="28"/>
          <w:szCs w:val="28"/>
          <w14:ligatures w14:val="none"/>
        </w:rPr>
        <w:t xml:space="preserve">, read as the service/stakeholder environment; and (C4) reputational damage from waste incidents or adverse audit findings — </w:t>
      </w:r>
      <w:r w:rsidRPr="00DD1558">
        <w:rPr>
          <w:rFonts w:ascii="Simplified Arabic" w:eastAsia="Times New Roman" w:hAnsi="Simplified Arabic" w:cs="Simplified Arabic"/>
          <w:i/>
          <w:iCs/>
          <w:color w:val="1A1A1A"/>
          <w:sz w:val="28"/>
          <w:szCs w:val="28"/>
          <w14:ligatures w14:val="none"/>
        </w:rPr>
        <w:t xml:space="preserve">Reputational </w:t>
      </w:r>
      <w:r w:rsidRPr="00DD1558">
        <w:rPr>
          <w:rFonts w:ascii="Simplified Arabic" w:eastAsia="Times New Roman" w:hAnsi="Simplified Arabic" w:cs="Simplified Arabic"/>
          <w:i/>
          <w:iCs/>
          <w:color w:val="1A1A1A"/>
          <w:sz w:val="28"/>
          <w:szCs w:val="28"/>
          <w14:ligatures w14:val="none"/>
        </w:rPr>
        <w:fldChar w:fldCharType="begin"/>
      </w:r>
      <w:r w:rsidRPr="00DD1558">
        <w:rPr>
          <w:rFonts w:ascii="Simplified Arabic" w:eastAsia="Times New Roman" w:hAnsi="Simplified Arabic" w:cs="Simplified Arabic"/>
          <w:i/>
          <w:iCs/>
          <w:color w:val="1A1A1A"/>
          <w:sz w:val="28"/>
          <w:szCs w:val="28"/>
          <w14:ligatures w14:val="none"/>
        </w:rPr>
        <w:instrText xml:space="preserve"> ADDIN ZOTERO_ITEM CSL_CITATION {"citationID":"9qtirFNm","properties":{"unsorted":false,"formattedCitation":"(Hopkin,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i/>
          <w:iCs/>
          <w:color w:val="1A1A1A"/>
          <w:sz w:val="28"/>
          <w:szCs w:val="28"/>
          <w14:ligatures w14:val="none"/>
        </w:rPr>
        <w:fldChar w:fldCharType="separate"/>
      </w:r>
      <w:r w:rsidRPr="00DD1558">
        <w:rPr>
          <w:rFonts w:ascii="Simplified Arabic" w:eastAsia="Times New Roman" w:hAnsi="Simplified Arabic" w:cs="Simplified Arabic"/>
          <w:i/>
          <w:iCs/>
          <w:color w:val="1A1A1A"/>
          <w:sz w:val="28"/>
          <w:szCs w:val="24"/>
          <w14:ligatures w14:val="none"/>
        </w:rPr>
        <w:t>(Hopkin, 2018)</w:t>
      </w:r>
      <w:r w:rsidRPr="00DD1558">
        <w:rPr>
          <w:rFonts w:ascii="Simplified Arabic" w:eastAsia="Times New Roman" w:hAnsi="Simplified Arabic" w:cs="Simplified Arabic"/>
          <w:i/>
          <w:iCs/>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EBA7F3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Mitigation barriers (right side).</w:t>
      </w:r>
      <w:r w:rsidRPr="00DD1558">
        <w:rPr>
          <w:rFonts w:ascii="Simplified Arabic" w:eastAsia="Times New Roman" w:hAnsi="Simplified Arabic" w:cs="Simplified Arabic"/>
          <w:color w:val="1A1A1A"/>
          <w:sz w:val="28"/>
          <w:szCs w:val="28"/>
          <w14:ligatures w14:val="none"/>
        </w:rPr>
        <w:t xml:space="preserve"> Three barriers reduce consequence severity once loss of control has begun: (MB1) </w:t>
      </w:r>
      <w:r w:rsidRPr="00DD1558">
        <w:rPr>
          <w:rFonts w:ascii="Simplified Arabic" w:eastAsia="Times New Roman" w:hAnsi="Simplified Arabic" w:cs="Simplified Arabic"/>
          <w:i/>
          <w:iCs/>
          <w:color w:val="1A1A1A"/>
          <w:sz w:val="28"/>
          <w:szCs w:val="28"/>
          <w14:ligatures w14:val="none"/>
        </w:rPr>
        <w:t>FEFO (First-Expired-First-Out) rotation rules</w:t>
      </w:r>
      <w:r w:rsidRPr="00DD1558">
        <w:rPr>
          <w:rFonts w:ascii="Simplified Arabic" w:eastAsia="Times New Roman" w:hAnsi="Simplified Arabic" w:cs="Simplified Arabic"/>
          <w:color w:val="1A1A1A"/>
          <w:sz w:val="28"/>
          <w:szCs w:val="28"/>
          <w14:ligatures w14:val="none"/>
        </w:rPr>
        <w:t xml:space="preserve">, ensuring earliest-expiring stock is consumed first; (MB2) </w:t>
      </w:r>
      <w:r w:rsidRPr="00DD1558">
        <w:rPr>
          <w:rFonts w:ascii="Simplified Arabic" w:eastAsia="Times New Roman" w:hAnsi="Simplified Arabic" w:cs="Simplified Arabic"/>
          <w:i/>
          <w:iCs/>
          <w:color w:val="1A1A1A"/>
          <w:sz w:val="28"/>
          <w:szCs w:val="28"/>
          <w14:ligatures w14:val="none"/>
        </w:rPr>
        <w:t>inter-lab sharing and redistribution before expiry</w:t>
      </w:r>
      <w:r w:rsidRPr="00DD1558">
        <w:rPr>
          <w:rFonts w:ascii="Simplified Arabic" w:eastAsia="Times New Roman" w:hAnsi="Simplified Arabic" w:cs="Simplified Arabic"/>
          <w:color w:val="1A1A1A"/>
          <w:sz w:val="28"/>
          <w:szCs w:val="28"/>
          <w14:ligatures w14:val="none"/>
        </w:rPr>
        <w:t xml:space="preserve">, moving soon-to-expire chemicals and idle assets to laboratories with live demand; and (MB3) </w:t>
      </w:r>
      <w:r w:rsidRPr="00DD1558">
        <w:rPr>
          <w:rFonts w:ascii="Simplified Arabic" w:eastAsia="Times New Roman" w:hAnsi="Simplified Arabic" w:cs="Simplified Arabic"/>
          <w:i/>
          <w:iCs/>
          <w:color w:val="1A1A1A"/>
          <w:sz w:val="28"/>
          <w:szCs w:val="28"/>
          <w14:ligatures w14:val="none"/>
        </w:rPr>
        <w:t>governed disposal protocols</w:t>
      </w:r>
      <w:r w:rsidRPr="00DD1558">
        <w:rPr>
          <w:rFonts w:ascii="Simplified Arabic" w:eastAsia="Times New Roman" w:hAnsi="Simplified Arabic" w:cs="Simplified Arabic"/>
          <w:color w:val="1A1A1A"/>
          <w:sz w:val="28"/>
          <w:szCs w:val="28"/>
          <w14:ligatures w14:val="none"/>
        </w:rPr>
        <w:t xml:space="preserve">, routing unavoidable waste through documented, compliant channels rather than unsafe accumulation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{"citationID":"oinApelP","properties":{"unsorted":false,"formattedCitation":"(Freese et al., 2024; Gutierrez et al., 2020)","plainCitation":"(Freese et al., 2024; Gutierrez et al., 2020)","noteIndex":0},"citationItems":[{"id":439,"uris":["http://zotero.org/users/19711126/items/R6RIIVN3"],"itemData":{"id":439,"type":"article-journal","abstract":"Scientists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(Freese et al., 2024; Gutierrez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13AE42C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Escalation factors and escalation-factor barriers.</w:t>
      </w:r>
      <w:r w:rsidRPr="00DD1558">
        <w:rPr>
          <w:rFonts w:ascii="Simplified Arabic" w:eastAsia="Times New Roman" w:hAnsi="Simplified Arabic" w:cs="Simplified Arabic"/>
          <w:color w:val="1A1A1A"/>
          <w:sz w:val="28"/>
          <w:szCs w:val="28"/>
          <w14:ligatures w14:val="none"/>
        </w:rPr>
        <w:t xml:space="preserve"> The method’s final element accounts for conditions that degrade barrier performance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{"citationID":"vZ5fRCxw","properties":{"unsorted":false,"formattedCitation":"(Johnson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Three escalation factors threaten the barriers above: (EF1) unenforced policies, hollowing out PB2 and MB1; (EF2) incomplete registry data, blinding PB1, PB2, and MB2 simultaneously; and (EF3) custody ambiguity during transfers, undermining MB2 by making lending laboratories bear uncompensated risk. Each receives its own barrier: (EB1) a defined </w:t>
      </w:r>
      <w:r w:rsidRPr="00DD1558">
        <w:rPr>
          <w:rFonts w:ascii="Simplified Arabic" w:eastAsia="Times New Roman" w:hAnsi="Simplified Arabic" w:cs="Simplified Arabic"/>
          <w:b/>
          <w:bCs/>
          <w:color w:val="1A1A1A"/>
          <w:sz w:val="28"/>
          <w:szCs w:val="28"/>
          <w14:ligatures w14:val="none"/>
        </w:rPr>
        <w:t>audit cadence</w:t>
      </w:r>
      <w:r w:rsidRPr="00DD1558">
        <w:rPr>
          <w:rFonts w:ascii="Simplified Arabic" w:eastAsia="Times New Roman" w:hAnsi="Simplified Arabic" w:cs="Simplified Arabic"/>
          <w:color w:val="1A1A1A"/>
          <w:sz w:val="28"/>
          <w:szCs w:val="28"/>
          <w14:ligatures w14:val="none"/>
        </w:rPr>
        <w:t xml:space="preserve"> against EF1; (EB2) </w:t>
      </w:r>
      <w:r w:rsidRPr="00DD1558">
        <w:rPr>
          <w:rFonts w:ascii="Simplified Arabic" w:eastAsia="Times New Roman" w:hAnsi="Simplified Arabic" w:cs="Simplified Arabic"/>
          <w:b/>
          <w:bCs/>
          <w:color w:val="1A1A1A"/>
          <w:sz w:val="28"/>
          <w:szCs w:val="28"/>
          <w14:ligatures w14:val="none"/>
        </w:rPr>
        <w:t>data-quality indicators</w:t>
      </w:r>
      <w:r w:rsidRPr="00DD1558">
        <w:rPr>
          <w:rFonts w:ascii="Simplified Arabic" w:eastAsia="Times New Roman" w:hAnsi="Simplified Arabic" w:cs="Simplified Arabic"/>
          <w:color w:val="1A1A1A"/>
          <w:sz w:val="28"/>
          <w:szCs w:val="28"/>
          <w14:ligatures w14:val="none"/>
        </w:rPr>
        <w:t xml:space="preserve"> against EF2; and (EB3) a </w:t>
      </w:r>
      <w:r w:rsidRPr="00DD1558">
        <w:rPr>
          <w:rFonts w:ascii="Simplified Arabic" w:eastAsia="Times New Roman" w:hAnsi="Simplified Arabic" w:cs="Simplified Arabic"/>
          <w:b/>
          <w:bCs/>
          <w:color w:val="1A1A1A"/>
          <w:sz w:val="28"/>
          <w:szCs w:val="28"/>
          <w14:ligatures w14:val="none"/>
        </w:rPr>
        <w:t>custody-transfer protocol</w:t>
      </w:r>
      <w:r w:rsidRPr="00DD1558">
        <w:rPr>
          <w:rFonts w:ascii="Simplified Arabic" w:eastAsia="Times New Roman" w:hAnsi="Simplified Arabic" w:cs="Simplified Arabic"/>
          <w:color w:val="1A1A1A"/>
          <w:sz w:val="28"/>
          <w:szCs w:val="28"/>
          <w14:ligatures w14:val="none"/>
        </w:rPr>
        <w:t xml:space="preserve"> documenting responsibility at each handover against EF3.</w:t>
      </w:r>
    </w:p>
    <w:p w14:paraId="1F45C808"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lastRenderedPageBreak/>
        <w:t>2.9.3.3 Diagram and interpretation</w:t>
      </w:r>
    </w:p>
    <w:p w14:paraId="5317A3A9" w14:textId="05735E7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Figure22" w:history="1">
        <w:r w:rsidRPr="00DD1558">
          <w:rPr>
            <w:rFonts w:ascii="Simplified Arabic" w:eastAsia="Times New Roman" w:hAnsi="Simplified Arabic" w:cs="Simplified Arabic"/>
            <w:color w:val="467886" w:themeColor="hyperlink"/>
            <w:sz w:val="28"/>
            <w:szCs w:val="28"/>
            <w:u w:val="single"/>
            <w14:ligatures w14:val="none"/>
          </w:rPr>
          <w:t>Figure 2.2</w:t>
        </w:r>
      </w:hyperlink>
      <w:r w:rsidRPr="00DD1558">
        <w:rPr>
          <w:rFonts w:ascii="Simplified Arabic" w:eastAsia="Times New Roman" w:hAnsi="Simplified Arabic" w:cs="Simplified Arabic"/>
          <w:color w:val="1A1A1A"/>
          <w:sz w:val="28"/>
          <w:szCs w:val="28"/>
          <w14:ligatures w14:val="none"/>
        </w:rPr>
        <w:t xml:space="preserve"> renders the specification as a bow-tie diagram; the parallel structure for TE2 is stated in the text and shares the same barrier architecture.</w:t>
      </w:r>
    </w:p>
    <w:p w14:paraId="23E82D0E" w14:textId="77777777" w:rsidR="00A17CC2" w:rsidRDefault="00DD1558" w:rsidP="00A17CC2">
      <w:pPr>
        <w:keepNext/>
        <w:bidi w:val="0"/>
        <w:spacing w:before="180" w:line="360" w:lineRule="auto"/>
        <w:jc w:val="center"/>
      </w:pPr>
      <w:r w:rsidRPr="00DD1558">
        <w:rPr>
          <w:rFonts w:ascii="Times New Roman" w:eastAsia="Times New Roman" w:hAnsi="Times New Roman" w:cs="Times New Roman"/>
          <w:noProof/>
          <w:color w:val="1A1A1A"/>
          <w:sz w:val="24"/>
          <w:szCs w:val="24"/>
          <w14:ligatures w14:val="none"/>
        </w:rPr>
        <w:drawing>
          <wp:inline distT="0" distB="0" distL="0" distR="0" wp14:anchorId="247807B2" wp14:editId="2BCBFBED">
            <wp:extent cx="5334000" cy="2143125"/>
            <wp:effectExtent l="0" t="0" r="0" b="0"/>
            <wp:docPr id="42" name="Picture"/>
            <wp:cNvGraphicFramePr/>
            <a:graphic xmlns:a="http://schemas.openxmlformats.org/drawingml/2006/main">
              <a:graphicData uri="http://schemas.openxmlformats.org/drawingml/2006/picture">
                <pic:pic xmlns:pic="http://schemas.openxmlformats.org/drawingml/2006/picture">
                  <pic:nvPicPr>
                    <pic:cNvPr id="43" name="Picture" descr="fig2.png"/>
                    <pic:cNvPicPr>
                      <a:picLocks noChangeAspect="1" noChangeArrowheads="1"/>
                    </pic:cNvPicPr>
                  </pic:nvPicPr>
                  <pic:blipFill>
                    <a:blip r:embed="rId12"/>
                    <a:stretch>
                      <a:fillRect/>
                    </a:stretch>
                  </pic:blipFill>
                  <pic:spPr bwMode="auto">
                    <a:xfrm>
                      <a:off x="0" y="0"/>
                      <a:ext cx="5334000" cy="2143125"/>
                    </a:xfrm>
                    <a:prstGeom prst="rect">
                      <a:avLst/>
                    </a:prstGeom>
                    <a:noFill/>
                    <a:ln w="9525">
                      <a:noFill/>
                      <a:headEnd/>
                      <a:tailEnd/>
                    </a:ln>
                  </pic:spPr>
                </pic:pic>
              </a:graphicData>
            </a:graphic>
          </wp:inline>
        </w:drawing>
      </w:r>
    </w:p>
    <w:p w14:paraId="4CEE728B" w14:textId="6A70459D" w:rsidR="00DD1558" w:rsidRPr="00DD1558" w:rsidRDefault="00A17CC2" w:rsidP="00A17CC2">
      <w:pPr>
        <w:pStyle w:val="Caption"/>
        <w:bidi w:val="0"/>
        <w:jc w:val="center"/>
        <w:rPr>
          <w:rFonts w:ascii="Times New Roman" w:eastAsia="Times New Roman" w:hAnsi="Times New Roman" w:cs="Times New Roman"/>
          <w:color w:val="1A1A1A"/>
          <w:sz w:val="24"/>
          <w:szCs w:val="24"/>
          <w14:ligatures w14:val="none"/>
        </w:rPr>
      </w:pPr>
      <w:bookmarkStart w:id="81" w:name="_Toc237109052"/>
      <w:r>
        <w:t>F</w:t>
      </w:r>
      <w:bookmarkStart w:id="82" w:name="Figure22"/>
      <w:bookmarkEnd w:id="82"/>
      <w:r>
        <w:t xml:space="preserve">igure </w:t>
      </w:r>
      <w:fldSimple w:instr=" SEQ Figure \* ARABIC ">
        <w:r w:rsidR="00CA0BCC">
          <w:rPr>
            <w:noProof/>
          </w:rPr>
          <w:t>2</w:t>
        </w:r>
      </w:fldSimple>
      <w:r w:rsidRPr="00E366D2">
        <w:t xml:space="preserve">.2. Adapted bow-tie for laboratory inventory management (CCPS &amp; Energy Institute, 2018 terminology; method per IEC 31010:2019; FIRM categories per Hopkin, 2018; M = Marketplace read as service/stakeholder environment — thesis adaptation, </w:t>
      </w:r>
      <w:hyperlink w:anchor="section295" w:history="1">
        <w:r w:rsidRPr="00730A82">
          <w:rPr>
            <w:rStyle w:val="Hyperlink"/>
          </w:rPr>
          <w:t>Section 2.9.5</w:t>
        </w:r>
        <w:bookmarkEnd w:id="81"/>
      </w:hyperlink>
    </w:p>
    <w:p w14:paraId="784E8D19" w14:textId="46BC342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Reading the diagram from left to right clarifies the intervention logic. The threats are not random mishaps but structural properties of the decentralized regime; the prevention barriers therefore target </w:t>
      </w:r>
      <w:r w:rsidRPr="00DD1558">
        <w:rPr>
          <w:rFonts w:ascii="Simplified Arabic" w:eastAsia="Times New Roman" w:hAnsi="Simplified Arabic" w:cs="Simplified Arabic"/>
          <w:i/>
          <w:iCs/>
          <w:color w:val="1A1A1A"/>
          <w:sz w:val="28"/>
          <w:szCs w:val="28"/>
          <w14:ligatures w14:val="none"/>
        </w:rPr>
        <w:t>structural</w:t>
      </w:r>
      <w:r w:rsidRPr="00DD1558">
        <w:rPr>
          <w:rFonts w:ascii="Simplified Arabic" w:eastAsia="Times New Roman" w:hAnsi="Simplified Arabic" w:cs="Simplified Arabic"/>
          <w:color w:val="1A1A1A"/>
          <w:sz w:val="28"/>
          <w:szCs w:val="28"/>
          <w14:ligatures w14:val="none"/>
        </w:rPr>
        <w:t xml:space="preserve"> corrections — shared data, registry-checked purchasing, circular procurement — rather than exhortations to individual care. The mitigation barriers accept that some expiration and underutilization will still occur and shorten the pathway to recovery: FEFO consumes risk-ordered stock, redistribution moves value to where demand exists, and governed disposal contains the residue. The escalation-factor layer performs the method’s most governance-relevant function: it names the conditions under which nominally present barriers silently fail, and assigns each a monitoring control — audit cadence, data-quality indicators, custody-transfer protocol — thereby converting policy existence into policy enforcement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{"citationID":"1uyxF3Jk","properties":{"unsorted":false,"formattedCitation":"(Cormier et al., 2019; Johnson et al., 2018)","plainCitation":"(Cormier et al., 2019; Johnson et al., 2018)","noteIndex":0},"citationItems":[{"id":425,"uris":["http://zotero.org/users/19711126/items/BSLAHZU5"],"itemData":{"id":425,"type":"article-journal","abstract":"Marine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887E77F" w14:textId="31A855D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bow-tie suits this qualitative thesis for a further reason that anticipates </w:t>
      </w:r>
      <w:r w:rsidRPr="00DD1558">
        <w:rPr>
          <w:rFonts w:ascii="Simplified Arabic" w:eastAsia="Times New Roman" w:hAnsi="Simplified Arabic" w:cs="Simplified Arabic"/>
          <w:sz w:val="28"/>
          <w:szCs w:val="28"/>
          <w14:ligatures w14:val="none"/>
        </w:rPr>
        <w:t>Chapter 4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every barrier is an ownable organizational artifact</w:t>
      </w:r>
      <w:r w:rsidRPr="00DD1558">
        <w:rPr>
          <w:rFonts w:ascii="Simplified Arabic" w:eastAsia="Times New Roman" w:hAnsi="Simplified Arabic" w:cs="Simplified Arabic"/>
          <w:color w:val="1A1A1A"/>
          <w:sz w:val="28"/>
          <w:szCs w:val="28"/>
          <w14:ligatures w14:val="none"/>
        </w:rPr>
        <w:t xml:space="preserve">, and a barrier that </w:t>
      </w:r>
      <w:r w:rsidRPr="00DD1558">
        <w:rPr>
          <w:rFonts w:ascii="Simplified Arabic" w:eastAsia="Times New Roman" w:hAnsi="Simplified Arabic" w:cs="Simplified Arabic"/>
          <w:color w:val="1A1A1A"/>
          <w:sz w:val="28"/>
          <w:szCs w:val="28"/>
          <w14:ligatures w14:val="none"/>
        </w:rPr>
        <w:lastRenderedPageBreak/>
        <w:t xml:space="preserve">nobody owns is a failed barrier by construction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{"citationID":"PiOJVE0Q","properties":{"unsorted":false,"formattedCitation":"(de Ruijter &amp; Guldenmund, 2016)","plainCitation":"(de Ruijter &amp; Guldenmund, 2016)","noteIndex":0},"citationItems":[{"id":429,"uris":["http://zotero.org/users/19711126/items/HU29KB4F"],"itemData":{"id":429,"type":"article-journal","abstract":"The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barrier architecture therefore functions as a requirements list for governance design — each prevention, mitigation, and escalation-factor barrier will be assigned, in </w:t>
      </w:r>
      <w:r w:rsidRPr="00DD1558">
        <w:rPr>
          <w:rFonts w:ascii="Simplified Arabic" w:eastAsia="Times New Roman" w:hAnsi="Simplified Arabic" w:cs="Simplified Arabic"/>
          <w:sz w:val="28"/>
          <w:szCs w:val="28"/>
          <w14:ligatures w14:val="none"/>
        </w:rPr>
        <w:t>Chapter 4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sz w:val="28"/>
          <w:szCs w:val="28"/>
          <w14:ligatures w14:val="none"/>
        </w:rPr>
        <w:t>)</w:t>
      </w:r>
      <w:r w:rsidRPr="00DD1558">
        <w:rPr>
          <w:rFonts w:ascii="Simplified Arabic" w:eastAsia="Times New Roman" w:hAnsi="Simplified Arabic" w:cs="Simplified Arabic"/>
          <w:color w:val="1A1A1A"/>
          <w:sz w:val="28"/>
          <w:szCs w:val="28"/>
          <w14:ligatures w14:val="none"/>
        </w:rPr>
        <w:t>, to a specific role (the Academic Inventory Governance Board, the Technical Standardization Committee, the Digital Supply Chain Unit, or operational-level technicians executing within their strictly technical capacity). The bow-tie thus supplies the risk skeleton onto which the governance anatomy is fitted.</w:t>
      </w:r>
    </w:p>
    <w:p w14:paraId="10C8F73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83" w:name="section294"/>
      <w:bookmarkStart w:id="84" w:name="_Toc237539738"/>
      <w:bookmarkEnd w:id="83"/>
      <w:r w:rsidRPr="00DD1558">
        <w:rPr>
          <w:rFonts w:ascii="Simplified Arabic" w:eastAsiaTheme="majorEastAsia" w:hAnsi="Simplified Arabic" w:cstheme="majorBidi"/>
          <w:sz w:val="28"/>
          <w:szCs w:val="28"/>
        </w:rPr>
        <w:t>2.9.4 Business Continuity and Resilience (ISO 22301)</w:t>
      </w:r>
      <w:bookmarkEnd w:id="84"/>
    </w:p>
    <w:p w14:paraId="08C19BA2"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2.9.4.1 Why continuity belongs in an inventory framework</w:t>
      </w:r>
    </w:p>
    <w:p w14:paraId="067C395F" w14:textId="441029B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Educational laboratory operations are unusually exposed to supply-chain interruption. Reagents, consumables, and instrument-specific parts arrive through procurement channels whose lead times the laboratory does not control, while the demand side — semester-locked practical courses, time-sensitive research protocols — is rigidly scheduled. The laboratory-inventory and logistics literature documents the fragility of consumable supply and the disruption that stock-outs and expired stock inflict on teaching and research services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{"citationID":"p3ylQ4RE","properties":{"unsorted":false,"formattedCitation":"(Adirektawon et al., 2024; Wilke et al., 2023)","plainCitation":"(Adirektawon et al., 2024; Wilke et al., 2023)","noteIndex":0},"citationItems":[{"id":390,"uris":["http://zotero.org/users/19711126/items/35IXXDIS"],"itemData":{"id":390,"type":"article-journal","abstract":"Background: Traditional procurement and price negotiation methods in public hospitals in Thailand involve group purchasing agreements and bulk orders, posing challenges to improving inventory management efficiency. The vendor-managed inventory (VMI) model is a promising alternative for enhancing hospital performance, especially during crises. This study aimed to assess the potential cost savings in implementing VMI in a large general hospital in Thailand. Methods: A simulation modeling approach was used to compare the current inventory system with three VMI models: VMI1, focused on improving inventory turnover rate (ITR); VMI2, emphasized frequent replenishment with a 1-month supply; and VMI3, eliminated safety stock. Results: The results demonstrated significant cost savings, with potential reductions in total inventory management expenses. Specifically, VMI1 improved ITR from 6.31 to 7.76, reducing average inventory by 36% and cutting management costs by 40%. VMI2, with an ITR of 12.80, reduced inventory by 44% and saved 47% in management costs, while VMI3 achieved a 70% reduction in inventory and a 69% saving in management costs. Conclusions: This study highlights the VMI’s transformative potential in hospital inventory management, demonstrating significant cost savings. However, in the public sector, the feasibility of procurement regulations requires further exploration.","container-title":"Logistics","DOI":"10.3390/logistics8030089","ISSN":"2305-6290","issue":"3","language":"en","license":"http://creativecommons.org/licenses/by/3.0/","page":"89","publisher":"Multidisciplinary Digital Publishing Institute","source":"www.mdpi.com","title":"Efficiency of Inventory in Thai Hospitals: Comparing Traditional and Vendor-Managed Inventory Systems","title-short":"Efficiency of Inventory in Thai Hospitals","volume":"8","author":[{"family":"Adirektawon","given":"Sarunya"},{"family":"Theeraroungchaisri","given":"Anuchai"},{"family":"Sakulbumrungsil","given":"Rungpetch C."}],"issued":{"date-parts":[["2024",9]]}}},{"id":529,"uris":["http://zotero.org/users/19711126/items/UJ5TQGHH"],"itemData":{"id":529,"type":"article-journal","abstract":"Manual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(Adirektawon et al., 2024;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Business continuity management (BCM) addresses exactly this exposure, and ISO 22301:2019 is its international requirements standard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{"citationID":"tfj5cbhZ","properties":{"unsorted":false,"formattedCitation":"(22301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000B6195" w:rsidRPr="000B6195">
        <w:rPr>
          <w:rFonts w:ascii="Simplified Arabic" w:eastAsia="Times New Roman" w:hAnsi="Simplified Arabic" w:cs="Simplified Arabic"/>
          <w:color w:val="1A1A1A"/>
          <w:sz w:val="28"/>
          <w:szCs w:val="28"/>
          <w14:ligatures w14:val="none"/>
        </w:rPr>
        <w:t>This study does not propose that the host institution’s laboratories operate a certifiable BCMS; it adopts the standard’s analytical logic—as a conformity target and design vocabulary—to ensure that the participatory inventory framework delivers continuity outcomes, following the standard’s Annex SL / Plan–Do–Check–Act (PDCA) architecture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{"citationID":"dGVfCHoG","properties":{"unsorted":false,"formattedCitation":"(22301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6B1A8BB"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2.9.4.2 Business impact analysis applied qualitatively to laboratory operations</w:t>
      </w:r>
    </w:p>
    <w:p w14:paraId="48A3091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Clause 8.2.2 of ISO 22301:2019 requires a business impact analysis (BIA): the process of analyzing the impact over time of a disruption, identifying prioritized activities, their </w:t>
      </w:r>
      <w:r w:rsidRPr="00DD1558">
        <w:rPr>
          <w:rFonts w:ascii="Simplified Arabic" w:eastAsia="Times New Roman" w:hAnsi="Simplified Arabic" w:cs="Simplified Arabic"/>
          <w:color w:val="1A1A1A"/>
          <w:sz w:val="28"/>
          <w:szCs w:val="28"/>
          <w14:ligatures w14:val="none"/>
        </w:rPr>
        <w:lastRenderedPageBreak/>
        <w:t xml:space="preserve">dependencies, and continuity parameters including the maximum tolerable period of disruption (MTPD) and the recovery time objective (RTO)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{"citationID":"dZnSrp14","properties":{"unsorted":false,"formattedCitation":"(22301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Times New Roman" w:eastAsia="Times New Roman" w:hAnsi="Times New Roman" w:cs="Times New Roman"/>
          <w:color w:val="1A1A1A"/>
          <w:sz w:val="24"/>
          <w:szCs w:val="24"/>
          <w14:ligatures w14:val="none"/>
        </w:rPr>
        <w:t xml:space="preserve"> </w:t>
      </w:r>
      <w:r w:rsidRPr="00DD1558">
        <w:rPr>
          <w:rFonts w:ascii="Simplified Arabic" w:eastAsia="Times New Roman" w:hAnsi="Simplified Arabic" w:cs="Simplified Arabic"/>
          <w:color w:val="1A1A1A"/>
          <w:sz w:val="28"/>
          <w:szCs w:val="28"/>
          <w14:ligatures w14:val="none"/>
        </w:rPr>
        <w:t>ISO/TS 22317, 2021). Applied qualitatively to the College of Science, with the Biology Department as the embedded case, the BIA identifies two prioritized activities:</w:t>
      </w:r>
    </w:p>
    <w:p w14:paraId="31A18F0D" w14:textId="77777777"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Scheduled practical teaching</w:t>
      </w:r>
      <w:r w:rsidRPr="00DD1558">
        <w:rPr>
          <w:rFonts w:ascii="Simplified Arabic" w:eastAsia="Cambria" w:hAnsi="Simplified Arabic" w:cs="Simplified Arabic"/>
          <w:color w:val="212121"/>
          <w:sz w:val="28"/>
          <w:szCs w:val="28"/>
          <w14:ligatures w14:val="none"/>
        </w:rPr>
        <w:t xml:space="preserve"> — laboratory sessions locked to semester timetables and cohort progression, dependent on consumables (reagents, media, glassware), functioning instruments, and prepared chemical stocks. Its MTPD is conceptually </w:t>
      </w:r>
      <w:r w:rsidRPr="00DD1558">
        <w:rPr>
          <w:rFonts w:ascii="Simplified Arabic" w:eastAsia="Cambria" w:hAnsi="Simplified Arabic" w:cs="Simplified Arabic"/>
          <w:i/>
          <w:iCs/>
          <w:color w:val="212121"/>
          <w:sz w:val="28"/>
          <w:szCs w:val="28"/>
          <w14:ligatures w14:val="none"/>
        </w:rPr>
        <w:t>short</w:t>
      </w:r>
      <w:r w:rsidRPr="00DD1558">
        <w:rPr>
          <w:rFonts w:ascii="Simplified Arabic" w:eastAsia="Cambria" w:hAnsi="Simplified Arabic" w:cs="Simplified Arabic"/>
          <w:color w:val="212121"/>
          <w:sz w:val="28"/>
          <w:szCs w:val="28"/>
          <w14:ligatures w14:val="none"/>
        </w:rPr>
        <w:t>: a practical session missed within a fixed semester cannot be postponed indefinitely, because curriculum sequencing and assessment calendars compress recovery options; the RTO must be shorter still — recovery within the teaching week, not the procurement cycle.</w:t>
      </w:r>
    </w:p>
    <w:p w14:paraId="1DF9C6AF" w14:textId="77777777" w:rsidR="00DD1558" w:rsidRPr="00DD1558" w:rsidRDefault="00DD1558" w:rsidP="00DD1558">
      <w:pPr>
        <w:numPr>
          <w:ilvl w:val="0"/>
          <w:numId w:val="5"/>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Time-sensitive research protocols</w:t>
      </w:r>
      <w:r w:rsidRPr="00DD1558">
        <w:rPr>
          <w:rFonts w:ascii="Simplified Arabic" w:eastAsia="Cambria" w:hAnsi="Simplified Arabic" w:cs="Simplified Arabic"/>
          <w:color w:val="212121"/>
          <w:sz w:val="28"/>
          <w:szCs w:val="28"/>
          <w14:ligatures w14:val="none"/>
        </w:rPr>
        <w:t xml:space="preserve"> — experiments whose biological materials, cell cultures, or instrument bookings impose continuity requirements independent of the academic calendar, dependent on specialized short-shelf-life reagents and shared instruments. Here the MTPD is protocol-specific: some protocols tolerate days of interruption; others tolerate none.</w:t>
      </w:r>
    </w:p>
    <w:p w14:paraId="1247DCB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reasoning is deliberately conceptual. Consistent with the standard’s 2019 vocabulary, the framework speaks of MTPD, RTO, prioritized activities, and minimum acceptable capacity; it does not import metrics that the 2019 edition removed from its terms clause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{"citationID":"5UBfJWOj","properties":{"unsorted":false,"formattedCitation":"(22301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qualitative BIA’s product is not a table of hours but a ranking: which activities must be protected first, and which inventory depends on their protection entails.</w:t>
      </w:r>
    </w:p>
    <w:p w14:paraId="69EA908C"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2.9.4.3 Continuity strategies: shared visibility and inter-lab loans as internal substitutes</w:t>
      </w:r>
    </w:p>
    <w:p w14:paraId="66B83CA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Clause 8.3 of ISO 22301:2019 requires the selection of strategies and solutions enabling prioritized activities to continue within their continuity objectives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{"citationID":"u8zJtUPC","properties":{"unsorted":false,"formattedCitation":"(22301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lastRenderedPageBreak/>
        <w:t xml:space="preserve">The framework’s central continuity insight is that </w:t>
      </w:r>
      <w:r w:rsidRPr="00DD1558">
        <w:rPr>
          <w:rFonts w:ascii="Simplified Arabic" w:eastAsia="Times New Roman" w:hAnsi="Simplified Arabic" w:cs="Simplified Arabic"/>
          <w:b/>
          <w:bCs/>
          <w:color w:val="1A1A1A"/>
          <w:sz w:val="28"/>
          <w:szCs w:val="28"/>
          <w14:ligatures w14:val="none"/>
        </w:rPr>
        <w:t>the institution’s own distributed stock is its first-line substitute for external supply during disruption</w:t>
      </w:r>
      <w:r w:rsidRPr="00DD1558">
        <w:rPr>
          <w:rFonts w:ascii="Simplified Arabic" w:eastAsia="Times New Roman" w:hAnsi="Simplified Arabic" w:cs="Simplified Arabic"/>
          <w:color w:val="1A1A1A"/>
          <w:sz w:val="28"/>
          <w:szCs w:val="28"/>
          <w14:ligatures w14:val="none"/>
        </w:rPr>
        <w:t>. Two elements function as Clause 8.3 continuity solutions:</w:t>
      </w:r>
    </w:p>
    <w:p w14:paraId="44FC8F51"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The shared-visibility digital registry</w:t>
      </w:r>
      <w:r w:rsidRPr="00DD1558">
        <w:rPr>
          <w:rFonts w:ascii="Simplified Arabic" w:eastAsia="Cambria" w:hAnsi="Simplified Arabic" w:cs="Simplified Arabic"/>
          <w:color w:val="212121"/>
          <w:sz w:val="28"/>
          <w:szCs w:val="28"/>
          <w14:ligatures w14:val="none"/>
        </w:rPr>
        <w:t xml:space="preserve"> converts the aggregate of decentralized stocks into a single visible resource, so that a stock-out in one laboratory can be answered from another’s holdings rather than from a disrupted supply chain.</w:t>
      </w:r>
    </w:p>
    <w:p w14:paraId="2812E16E"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The inter-lab loan and redistribution mechanism</w:t>
      </w:r>
      <w:r w:rsidRPr="00DD1558">
        <w:rPr>
          <w:rFonts w:ascii="Simplified Arabic" w:eastAsia="Cambria" w:hAnsi="Simplified Arabic" w:cs="Simplified Arabic"/>
          <w:color w:val="212121"/>
          <w:sz w:val="28"/>
          <w:szCs w:val="28"/>
          <w14:ligatures w14:val="none"/>
        </w:rPr>
        <w:t xml:space="preserve"> operationalizes that visibility: the governed procedure by which stock actually moves to the prioritized activity that needs it, under custody-transfer rules that preserve accountability.</w:t>
      </w:r>
    </w:p>
    <w:p w14:paraId="775F0BF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In continuity terms, these solutions raise the institution’s minimum acceptable capacity during disruption: teaching proceeds at reduced-but-acceptable scope using internally redistributed stock while external procurement recovers. This is the inventory-specific expression of organizational resilience — absorbing supply shocks through internal resource reconfiguration rather than passive waiting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{"citationID":"IuTOtgPv","properties":{"unsorted":false,"formattedCitation":"(Bellantuono et al., 2021; PMI, 2021)","plainCitation":"(Bellantuono et al., 2021; PMI,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145B7FEB"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2.9.4.4 Plans, exercises, and evaluation analogues</w:t>
      </w:r>
    </w:p>
    <w:p w14:paraId="154704DC" w14:textId="19B4AFF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remaining operative clauses of ISO 22301:2019 map onto framework elements as analogues, not certification claims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{"citationID":"xWIujq71","properties":{"unsorted":false,"formattedCitation":"(22301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8.4 (business continuity plans and procedures, including response structure and warning/communication) corresponds to the framework’s loan-escalation procedure and communication rules — who is alerted, through what channel, and with what authority, when a prioritized activity faces a stock shortfall. Clause 8.5 (exercise programme) corresponds to the periodic walkthrough of loan and continuity procedures, in which staff rehearse a simulated supply interruption; exercising is what converts documented procedure into recoverable capability. Clause 9 (performance evaluation — monitoring, internal audit, management review) maps onto the governance board’s review function, closing the PDCA loop: barrier performance, </w:t>
      </w:r>
      <w:r w:rsidRPr="00DD1558">
        <w:rPr>
          <w:rFonts w:ascii="Simplified Arabic" w:eastAsia="Times New Roman" w:hAnsi="Simplified Arabic" w:cs="Simplified Arabic"/>
          <w:color w:val="1A1A1A"/>
          <w:sz w:val="28"/>
          <w:szCs w:val="28"/>
          <w14:ligatures w14:val="none"/>
        </w:rPr>
        <w:lastRenderedPageBreak/>
        <w:t xml:space="preserve">registry data quality, and continuity readiness are monitored, audited, and reviewed, with nonconformities feeding corrective action under Clause 10’s logic. Clause 7’s support requirements (competence, awareness, documented information) are mirrored in the role-based duties </w:t>
      </w:r>
      <w:r w:rsidRPr="00DD1558">
        <w:rPr>
          <w:rFonts w:ascii="Simplified Arabic" w:eastAsia="Times New Roman" w:hAnsi="Simplified Arabic" w:cs="Simplified Arabic"/>
          <w:sz w:val="28"/>
          <w:szCs w:val="28"/>
          <w14:ligatures w14:val="none"/>
        </w:rPr>
        <w:t>Chapter 4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assigns — for operational-level technicians, strictly technical duties (FEFO execution, loan-workflow execution, catalog entries) with escalation duties but no administrative or financial decision-making authority, consistent with the requirement that roles, responsibilities, and authorities be defined and bounded (Clause 5.3;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{"citationID":"jT5djEDE","properties":{"unsorted":false,"formattedCitation":"(22301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0921F0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continuity lens thus reframes participatory inventory management from an efficiency measure into a resilience capability: shared stock is not merely cheaper stock; it is </w:t>
      </w:r>
      <w:r w:rsidRPr="00DD1558">
        <w:rPr>
          <w:rFonts w:ascii="Simplified Arabic" w:eastAsia="Times New Roman" w:hAnsi="Simplified Arabic" w:cs="Simplified Arabic"/>
          <w:i/>
          <w:iCs/>
          <w:color w:val="1A1A1A"/>
          <w:sz w:val="28"/>
          <w:szCs w:val="28"/>
          <w14:ligatures w14:val="none"/>
        </w:rPr>
        <w:t>available</w:t>
      </w:r>
      <w:r w:rsidRPr="00DD1558">
        <w:rPr>
          <w:rFonts w:ascii="Simplified Arabic" w:eastAsia="Times New Roman" w:hAnsi="Simplified Arabic" w:cs="Simplified Arabic"/>
          <w:color w:val="1A1A1A"/>
          <w:sz w:val="28"/>
          <w:szCs w:val="28"/>
          <w14:ligatures w14:val="none"/>
        </w:rPr>
        <w:t xml:space="preserve"> stock when the external channel fails. This reframing carries the argument into the environmental and reputational domain, addressed next.</w:t>
      </w:r>
    </w:p>
    <w:p w14:paraId="60BCFE5F"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85" w:name="section295"/>
      <w:bookmarkStart w:id="86" w:name="_Toc237539739"/>
      <w:bookmarkEnd w:id="85"/>
      <w:r w:rsidRPr="00DD1558">
        <w:rPr>
          <w:rFonts w:ascii="Simplified Arabic" w:eastAsiaTheme="majorEastAsia" w:hAnsi="Simplified Arabic" w:cstheme="majorBidi"/>
          <w:sz w:val="28"/>
          <w:szCs w:val="28"/>
        </w:rPr>
        <w:t>2.9.5 Environmental and Governance Integration (ISO 14001, CSR and FIRM Scorecard)</w:t>
      </w:r>
      <w:bookmarkEnd w:id="86"/>
    </w:p>
    <w:p w14:paraId="4D777082"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2.9.5.1 ISO 14001:2015 mapping</w:t>
      </w:r>
    </w:p>
    <w:p w14:paraId="7A23F79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ISO 14001:2015 provides the environmental management system (EMS) requirements against which the framework’s environmental outcomes are specified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{"citationID":"xM4eUdfj","properties":{"unsorted":false,"formattedCitation":"(14001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As a voluntary management-system standard, its operative verb is </w:t>
      </w:r>
      <w:r w:rsidRPr="00DD1558">
        <w:rPr>
          <w:rFonts w:ascii="Simplified Arabic" w:eastAsia="Times New Roman" w:hAnsi="Simplified Arabic" w:cs="Simplified Arabic"/>
          <w:b/>
          <w:bCs/>
          <w:color w:val="1A1A1A"/>
          <w:sz w:val="28"/>
          <w:szCs w:val="28"/>
          <w14:ligatures w14:val="none"/>
        </w:rPr>
        <w:t>conformity</w:t>
      </w:r>
      <w:r w:rsidRPr="00DD1558">
        <w:rPr>
          <w:rFonts w:ascii="Simplified Arabic" w:eastAsia="Times New Roman" w:hAnsi="Simplified Arabic" w:cs="Simplified Arabic"/>
          <w:color w:val="1A1A1A"/>
          <w:sz w:val="28"/>
          <w:szCs w:val="28"/>
          <w14:ligatures w14:val="none"/>
        </w:rPr>
        <w:t xml:space="preserve">, not compliance; “compliance” appears only within the defined term </w:t>
      </w:r>
      <w:r w:rsidRPr="00DD1558">
        <w:rPr>
          <w:rFonts w:ascii="Simplified Arabic" w:eastAsia="Times New Roman" w:hAnsi="Simplified Arabic" w:cs="Simplified Arabic"/>
          <w:i/>
          <w:iCs/>
          <w:color w:val="1A1A1A"/>
          <w:sz w:val="28"/>
          <w:szCs w:val="28"/>
          <w14:ligatures w14:val="none"/>
        </w:rPr>
        <w:t>compliance obligations</w:t>
      </w:r>
      <w:r w:rsidRPr="00DD1558">
        <w:rPr>
          <w:rFonts w:ascii="Simplified Arabic" w:eastAsia="Times New Roman" w:hAnsi="Simplified Arabic" w:cs="Simplified Arabic"/>
          <w:color w:val="1A1A1A"/>
          <w:sz w:val="28"/>
          <w:szCs w:val="28"/>
          <w14:ligatures w14:val="none"/>
        </w:rPr>
        <w:t xml:space="preserve"> (the legal and other requirements an organization must or chooses to meet), and this thesis preserves that usage exactly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{"citationID":"7w9uFtAT","properties":{"unsorted":false,"formattedCitation":"(14001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clause-level mapping proceeds as follows.</w:t>
      </w:r>
    </w:p>
    <w:p w14:paraId="50DDC62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Environmental aspects versus impacts (Clause 6.1.2).</w:t>
      </w:r>
      <w:r w:rsidRPr="00DD1558">
        <w:rPr>
          <w:rFonts w:ascii="Simplified Arabic" w:eastAsia="Times New Roman" w:hAnsi="Simplified Arabic" w:cs="Simplified Arabic"/>
          <w:color w:val="1A1A1A"/>
          <w:sz w:val="28"/>
          <w:szCs w:val="28"/>
          <w14:ligatures w14:val="none"/>
        </w:rPr>
        <w:t xml:space="preserve"> The standard distinguishes an environmental </w:t>
      </w:r>
      <w:r w:rsidRPr="00DD1558">
        <w:rPr>
          <w:rFonts w:ascii="Simplified Arabic" w:eastAsia="Times New Roman" w:hAnsi="Simplified Arabic" w:cs="Simplified Arabic"/>
          <w:i/>
          <w:iCs/>
          <w:color w:val="1A1A1A"/>
          <w:sz w:val="28"/>
          <w:szCs w:val="28"/>
          <w14:ligatures w14:val="none"/>
        </w:rPr>
        <w:t>aspect</w:t>
      </w:r>
      <w:r w:rsidRPr="00DD1558">
        <w:rPr>
          <w:rFonts w:ascii="Simplified Arabic" w:eastAsia="Times New Roman" w:hAnsi="Simplified Arabic" w:cs="Simplified Arabic"/>
          <w:color w:val="1A1A1A"/>
          <w:sz w:val="28"/>
          <w:szCs w:val="28"/>
          <w14:ligatures w14:val="none"/>
        </w:rPr>
        <w:t xml:space="preserve"> (an element of an organization’s activities that can interact with the environment) from an environmental </w:t>
      </w:r>
      <w:r w:rsidRPr="00DD1558">
        <w:rPr>
          <w:rFonts w:ascii="Simplified Arabic" w:eastAsia="Times New Roman" w:hAnsi="Simplified Arabic" w:cs="Simplified Arabic"/>
          <w:i/>
          <w:iCs/>
          <w:color w:val="1A1A1A"/>
          <w:sz w:val="28"/>
          <w:szCs w:val="28"/>
          <w14:ligatures w14:val="none"/>
        </w:rPr>
        <w:t>impact</w:t>
      </w:r>
      <w:r w:rsidRPr="00DD1558">
        <w:rPr>
          <w:rFonts w:ascii="Simplified Arabic" w:eastAsia="Times New Roman" w:hAnsi="Simplified Arabic" w:cs="Simplified Arabic"/>
          <w:color w:val="1A1A1A"/>
          <w:sz w:val="28"/>
          <w:szCs w:val="28"/>
          <w14:ligatures w14:val="none"/>
        </w:rPr>
        <w:t xml:space="preserve"> (the resulting change to the environment), </w:t>
      </w:r>
      <w:r w:rsidRPr="00DD1558">
        <w:rPr>
          <w:rFonts w:ascii="Simplified Arabic" w:eastAsia="Times New Roman" w:hAnsi="Simplified Arabic" w:cs="Simplified Arabic"/>
          <w:color w:val="1A1A1A"/>
          <w:sz w:val="28"/>
          <w:szCs w:val="28"/>
          <w14:ligatures w14:val="none"/>
        </w:rPr>
        <w:lastRenderedPageBreak/>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{"citationID":"MKxSkMpd","properties":{"unsorted":false,"formattedCitation":"(14001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framework designates two significant environmental aspects in the laboratory inventory domain: (a) </w:t>
      </w:r>
      <w:r w:rsidRPr="00DD1558">
        <w:rPr>
          <w:rFonts w:ascii="Simplified Arabic" w:eastAsia="Times New Roman" w:hAnsi="Simplified Arabic" w:cs="Simplified Arabic"/>
          <w:i/>
          <w:iCs/>
          <w:color w:val="1A1A1A"/>
          <w:sz w:val="28"/>
          <w:szCs w:val="28"/>
          <w14:ligatures w14:val="none"/>
        </w:rPr>
        <w:t>expired chemicals</w:t>
      </w:r>
      <w:r w:rsidRPr="00DD1558">
        <w:rPr>
          <w:rFonts w:ascii="Simplified Arabic" w:eastAsia="Times New Roman" w:hAnsi="Simplified Arabic" w:cs="Simplified Arabic"/>
          <w:color w:val="1A1A1A"/>
          <w:sz w:val="28"/>
          <w:szCs w:val="28"/>
          <w14:ligatures w14:val="none"/>
        </w:rPr>
        <w:t xml:space="preserve">, whose accumulation converts usable stock into hazardous waste requiring controlled disposal, with impacts on waste-treatment load and HSE exposure; and (b) </w:t>
      </w:r>
      <w:r w:rsidRPr="00DD1558">
        <w:rPr>
          <w:rFonts w:ascii="Simplified Arabic" w:eastAsia="Times New Roman" w:hAnsi="Simplified Arabic" w:cs="Simplified Arabic"/>
          <w:i/>
          <w:iCs/>
          <w:color w:val="1A1A1A"/>
          <w:sz w:val="28"/>
          <w:szCs w:val="28"/>
          <w14:ligatures w14:val="none"/>
        </w:rPr>
        <w:t>redundant assets</w:t>
      </w:r>
      <w:r w:rsidRPr="00DD1558">
        <w:rPr>
          <w:rFonts w:ascii="Simplified Arabic" w:eastAsia="Times New Roman" w:hAnsi="Simplified Arabic" w:cs="Simplified Arabic"/>
          <w:color w:val="1A1A1A"/>
          <w:sz w:val="28"/>
          <w:szCs w:val="28"/>
          <w14:ligatures w14:val="none"/>
        </w:rPr>
        <w:t xml:space="preserve">, whose premature disposal and replacement impose manufacturing, transport, and end-of-life burdens. The decentralized regime aggravates both: small, isolated stocks expire unnoticed, and idle assets are replaced rather than redeployed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{"citationID":"K84TQ9PQ","properties":{"unsorted":false,"formattedCitation":"(Durgan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706A00D" w14:textId="053C5E1C"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Risks and opportunities (Clause 6.1).</w:t>
      </w:r>
      <w:r w:rsidRPr="00DD1558">
        <w:rPr>
          <w:rFonts w:ascii="Simplified Arabic" w:eastAsia="Times New Roman" w:hAnsi="Simplified Arabic" w:cs="Simplified Arabic"/>
          <w:color w:val="1A1A1A"/>
          <w:sz w:val="28"/>
          <w:szCs w:val="28"/>
          <w14:ligatures w14:val="none"/>
        </w:rPr>
        <w:t xml:space="preserve"> EMS planning must address risks and opportunities tied to significant aspects and compliance obligations. The framework’s FIRM-classified risk register (</w:t>
      </w:r>
      <w:r w:rsidRPr="00DD1558">
        <w:rPr>
          <w:rFonts w:ascii="Simplified Arabic" w:eastAsia="Times New Roman" w:hAnsi="Simplified Arabic" w:cs="Simplified Arabic"/>
          <w:sz w:val="28"/>
          <w:szCs w:val="28"/>
          <w14:ligatures w14:val="none"/>
        </w:rPr>
        <w:t xml:space="preserve">Chapter 4, </w:t>
      </w:r>
      <w:hyperlink w:anchor="section43" w:history="1">
        <w:r w:rsidRPr="00730A82">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 xml:space="preserve">) supplies the risk side; circular procurement and redistribution supply the opportunity side, converting waste liabilities into resource loops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{"citationID":"pZNV6ZPT","properties":{"unsorted":false,"formattedCitation":"(Kirchherr et al., 2017; S\\uc0\\u246{}nnichsen &amp; Clement, 2020)","plainCitation":"(Kirchherr et al., 2017; Sönnichsen &amp; Clement, 2020)","noteIndex":0},"citationItems":[{"id":470,"uris":["http://zotero.org/users/19711126/items/WIAJWCHL"],"itemData":{"id":470,"type":"article-journal","abstract":"The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(Kirchherr et al., 2017; 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436F82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Operational planning and control with a life-cycle perspective (Clause 8.1).</w:t>
      </w:r>
      <w:r w:rsidRPr="00DD1558">
        <w:rPr>
          <w:rFonts w:ascii="Simplified Arabic" w:eastAsia="Times New Roman" w:hAnsi="Simplified Arabic" w:cs="Simplified Arabic"/>
          <w:color w:val="1A1A1A"/>
          <w:sz w:val="28"/>
          <w:szCs w:val="28"/>
          <w14:ligatures w14:val="none"/>
        </w:rPr>
        <w:t xml:space="preserve"> The standard requires operating criteria and control of procurement, design, and end-of-life from a </w:t>
      </w:r>
      <w:r w:rsidRPr="00DD1558">
        <w:rPr>
          <w:rFonts w:ascii="Simplified Arabic" w:eastAsia="Times New Roman" w:hAnsi="Simplified Arabic" w:cs="Simplified Arabic"/>
          <w:b/>
          <w:bCs/>
          <w:color w:val="1A1A1A"/>
          <w:sz w:val="28"/>
          <w:szCs w:val="28"/>
          <w14:ligatures w14:val="none"/>
        </w:rPr>
        <w:t>life-cycle perspective</w:t>
      </w:r>
      <w:r w:rsidRPr="00DD1558">
        <w:rPr>
          <w:rFonts w:ascii="Simplified Arabic" w:eastAsia="Times New Roman" w:hAnsi="Simplified Arabic" w:cs="Simplified Arabic"/>
          <w:color w:val="1A1A1A"/>
          <w:sz w:val="28"/>
          <w:szCs w:val="28"/>
          <w14:ligatures w14:val="none"/>
        </w:rPr>
        <w:t xml:space="preserve"> — explicitly a </w:t>
      </w:r>
      <w:r w:rsidRPr="00DD1558">
        <w:rPr>
          <w:rFonts w:ascii="Simplified Arabic" w:eastAsia="Times New Roman" w:hAnsi="Simplified Arabic" w:cs="Simplified Arabic"/>
          <w:i/>
          <w:iCs/>
          <w:color w:val="1A1A1A"/>
          <w:sz w:val="28"/>
          <w:szCs w:val="28"/>
          <w14:ligatures w14:val="none"/>
        </w:rPr>
        <w:t>perspective</w:t>
      </w:r>
      <w:r w:rsidRPr="00DD1558">
        <w:rPr>
          <w:rFonts w:ascii="Simplified Arabic" w:eastAsia="Times New Roman" w:hAnsi="Simplified Arabic" w:cs="Simplified Arabic"/>
          <w:color w:val="1A1A1A"/>
          <w:sz w:val="28"/>
          <w:szCs w:val="28"/>
          <w14:ligatures w14:val="none"/>
        </w:rPr>
        <w:t xml:space="preserve"> on upstream and downstream stages, not a full life-cycle assessment (LCA), a distinction this thesis maintains scrupulously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{"citationID":"95xXagCF","properties":{"unsorted":false,"formattedCitation":"(14001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Adopting that perspective, the framework’s controls extend in both directions: upstream, eligibility clauses and joint procurement reduce incoming volume and favor durable, shareable, lower-hazard items; downstream, FEFO rotation, pre-expiry redistribution, and governed disposal manage end-of-life so that disposal is the last resort of a managed cascade rather than the default fate of forgotten stock.</w:t>
      </w:r>
    </w:p>
    <w:p w14:paraId="4BDBADF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Emergency preparedness (Clause 8.2).</w:t>
      </w:r>
      <w:r w:rsidRPr="00DD1558">
        <w:rPr>
          <w:rFonts w:ascii="Simplified Arabic" w:eastAsia="Times New Roman" w:hAnsi="Simplified Arabic" w:cs="Simplified Arabic"/>
          <w:color w:val="1A1A1A"/>
          <w:sz w:val="28"/>
          <w:szCs w:val="28"/>
          <w14:ligatures w14:val="none"/>
        </w:rPr>
        <w:t xml:space="preserve"> The standard requires planned responses to potential emergencies — here, chemical incidents such as spills or the discovery of degraded expired stock — including proportionate response, periodic testing where practicable, and review after incidents or tests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{"citationID":"d45oSprR","properties":{"unsorted":false,"formattedCitation":"(14001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framework’s </w:t>
      </w:r>
      <w:r w:rsidRPr="00DD1558">
        <w:rPr>
          <w:rFonts w:ascii="Simplified Arabic" w:eastAsia="Times New Roman" w:hAnsi="Simplified Arabic" w:cs="Simplified Arabic"/>
          <w:color w:val="1A1A1A"/>
          <w:sz w:val="28"/>
          <w:szCs w:val="28"/>
          <w14:ligatures w14:val="none"/>
        </w:rPr>
        <w:lastRenderedPageBreak/>
        <w:t>disposal protocols and operational escalation duties constitute this preparedness layer at laboratory level.</w:t>
      </w:r>
    </w:p>
    <w:p w14:paraId="45ACB6FD" w14:textId="361365A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Evaluation of compliance (Clause 9.1.2).</w:t>
      </w:r>
      <w:r w:rsidRPr="00DD1558">
        <w:rPr>
          <w:rFonts w:ascii="Simplified Arabic" w:eastAsia="Times New Roman" w:hAnsi="Simplified Arabic" w:cs="Simplified Arabic"/>
          <w:color w:val="1A1A1A"/>
          <w:sz w:val="28"/>
          <w:szCs w:val="28"/>
          <w14:ligatures w14:val="none"/>
        </w:rPr>
        <w:t xml:space="preserve"> The framework assigns to its governance board the periodic evaluation of fulfilment of compliance obligations — hazardous-waste regulation, chemical-storage rules, institutional HSE policy — with results feeding management review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{"citationID":"OSOHBxne","properties":{"unsorted":false,"formattedCitation":"(14001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This function is the environmental analogue of the ISO 22301 Clause 9 mapping (</w:t>
      </w:r>
      <w:hyperlink w:anchor="section294" w:history="1">
        <w:r w:rsidRPr="00730A82">
          <w:rPr>
            <w:rStyle w:val="Hyperlink"/>
            <w:rFonts w:ascii="Simplified Arabic" w:eastAsia="Times New Roman" w:hAnsi="Simplified Arabic" w:cs="Simplified Arabic"/>
            <w:sz w:val="28"/>
            <w:szCs w:val="28"/>
            <w14:ligatures w14:val="none"/>
          </w:rPr>
          <w:t>Section 2.9.4</w:t>
        </w:r>
      </w:hyperlink>
      <w:r w:rsidRPr="00DD1558">
        <w:rPr>
          <w:rFonts w:ascii="Simplified Arabic" w:eastAsia="Times New Roman" w:hAnsi="Simplified Arabic" w:cs="Simplified Arabic"/>
          <w:color w:val="1A1A1A"/>
          <w:sz w:val="28"/>
          <w:szCs w:val="28"/>
          <w14:ligatures w14:val="none"/>
        </w:rPr>
        <w:t>); the two are deliberately consolidated in a single review body to avoid duplicate governance.</w:t>
      </w:r>
    </w:p>
    <w:p w14:paraId="0DF4E9D8"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2.9.5.2 Circular procurement as the upstream lever</w:t>
      </w:r>
    </w:p>
    <w:p w14:paraId="07BBC67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circular-economy literature supplies the operational content of the life-cycle perspective. Circular thinking replaces the linear take–make–dispose flow with nested loops of reduction, reuse, and recovery that keep materials at their highest utility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{"citationID":"cmGbvEWC","properties":{"unsorted":false,"formattedCitation":"(Ellen MacArthur Foundation., 2013; Kirchherr et al., 2017)","plainCitation":"(Ellen MacArthur Foundation., 2013; Kirchherr et al., 2017)","noteIndex":0},"citationItems":[{"id":539,"uris":["http://zotero.org/users/19711126/items/2XUL857H"],"itemData":{"id":539,"type":"report","title":"Towards the Circular Economy: Economic and business rationale for an accelerated transition (Vol. 1)","URL":"https://media1.circulareconomy.se/2016/11/Towards-The-Circular-Economy-vol-1-2012.pdf","author":[{"family":"Ellen MacArthur Foundation.","given":""}],"accessed":{"date-parts":[["2026",8,6]]},"issued":{"date-parts":[["2013"]]}}},{"id":470,"uris":["http://zotero.org/users/19711126/items/WIAJWCHL"],"itemData":{"id":470,"type":"article-journal","abstract":"The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(Ellen MacArthur Foundation., 2013; Kirchherr et al., 2017)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reviews of sustainable procurement identify purchasing as the decisive upstream control point: what and how an institution buys determines the waste it must later manage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{"citationID":"gTt8pjLS","properties":{"unsorted":false,"formattedCitation":"(S\\uc0\\u246{}nnichsen &amp; Clement, 2020)","plainCitation":"(Sönnichsen &amp; Clement,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In the laboratory domain, green-laboratory scholarship documents how over-purchasing, poor visibility, and absent rotation generate avoidable chemical waste, and how sharing and redistribution recover value that isolated storage destroys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{"citationID":"voABuK71","properties":{"unsorted":false,"formattedCitation":"(Durgan et al., 2023; Freese et al., 2024; Gutierrez et al., 2020)","plainCitation":"(Durgan et al., 2023; Freese et al., 2024; Gutierrez et al., 2020)","noteIndex":0},"citationItems":[{"id":432,"uris":["http://zotero.org/users/19711126/items/Q74PR9A9"],"itemData":{"id":432,"type":"article-journal","abstract":"Scientific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 Gutierrez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9B938D1" w14:textId="309DFF8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framework concretizes the </w:t>
      </w:r>
      <w:r w:rsidRPr="00DD1558">
        <w:rPr>
          <w:rFonts w:ascii="Simplified Arabic" w:eastAsia="Times New Roman" w:hAnsi="Simplified Arabic" w:cs="Simplified Arabic"/>
          <w:i/>
          <w:iCs/>
          <w:color w:val="1A1A1A"/>
          <w:sz w:val="28"/>
          <w:szCs w:val="28"/>
          <w14:ligatures w14:val="none"/>
        </w:rPr>
        <w:t>reduce</w:t>
      </w:r>
      <w:r w:rsidRPr="00DD1558">
        <w:rPr>
          <w:rFonts w:ascii="Simplified Arabic" w:eastAsia="Times New Roman" w:hAnsi="Simplified Arabic" w:cs="Simplified Arabic"/>
          <w:color w:val="1A1A1A"/>
          <w:sz w:val="28"/>
          <w:szCs w:val="28"/>
          <w14:ligatures w14:val="none"/>
        </w:rPr>
        <w:t xml:space="preserve"> and </w:t>
      </w:r>
      <w:r w:rsidRPr="00DD1558">
        <w:rPr>
          <w:rFonts w:ascii="Simplified Arabic" w:eastAsia="Times New Roman" w:hAnsi="Simplified Arabic" w:cs="Simplified Arabic"/>
          <w:i/>
          <w:iCs/>
          <w:color w:val="1A1A1A"/>
          <w:sz w:val="28"/>
          <w:szCs w:val="28"/>
          <w14:ligatures w14:val="none"/>
        </w:rPr>
        <w:t>reuse</w:t>
      </w:r>
      <w:r w:rsidRPr="00DD1558">
        <w:rPr>
          <w:rFonts w:ascii="Simplified Arabic" w:eastAsia="Times New Roman" w:hAnsi="Simplified Arabic" w:cs="Simplified Arabic"/>
          <w:color w:val="1A1A1A"/>
          <w:sz w:val="28"/>
          <w:szCs w:val="28"/>
          <w14:ligatures w14:val="none"/>
        </w:rPr>
        <w:t xml:space="preserve"> loops in three mechanisms already specified by the bow-tie (</w:t>
      </w:r>
      <w:hyperlink w:anchor="section293" w:history="1">
        <w:r w:rsidRPr="00730A82">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joint purchasing</w:t>
      </w:r>
      <w:r w:rsidRPr="00DD1558">
        <w:rPr>
          <w:rFonts w:ascii="Simplified Arabic" w:eastAsia="Times New Roman" w:hAnsi="Simplified Arabic" w:cs="Simplified Arabic"/>
          <w:color w:val="1A1A1A"/>
          <w:sz w:val="28"/>
          <w:szCs w:val="28"/>
          <w14:ligatures w14:val="none"/>
        </w:rPr>
        <w:t xml:space="preserve"> (reduce: aggregate demand, eliminate duplicate orders, right-size incoming volume); </w:t>
      </w:r>
      <w:r w:rsidRPr="00DD1558">
        <w:rPr>
          <w:rFonts w:ascii="Simplified Arabic" w:eastAsia="Times New Roman" w:hAnsi="Simplified Arabic" w:cs="Simplified Arabic"/>
          <w:b/>
          <w:bCs/>
          <w:color w:val="1A1A1A"/>
          <w:sz w:val="28"/>
          <w:szCs w:val="28"/>
          <w14:ligatures w14:val="none"/>
        </w:rPr>
        <w:t>pre-expiry redistribution</w:t>
      </w:r>
      <w:r w:rsidRPr="00DD1558">
        <w:rPr>
          <w:rFonts w:ascii="Simplified Arabic" w:eastAsia="Times New Roman" w:hAnsi="Simplified Arabic" w:cs="Simplified Arabic"/>
          <w:color w:val="1A1A1A"/>
          <w:sz w:val="28"/>
          <w:szCs w:val="28"/>
          <w14:ligatures w14:val="none"/>
        </w:rPr>
        <w:t xml:space="preserve"> (reuse: move soon-to-expire chemicals and idle assets to laboratories with live demand); and </w:t>
      </w:r>
      <w:r w:rsidRPr="00DD1558">
        <w:rPr>
          <w:rFonts w:ascii="Simplified Arabic" w:eastAsia="Times New Roman" w:hAnsi="Simplified Arabic" w:cs="Simplified Arabic"/>
          <w:b/>
          <w:bCs/>
          <w:color w:val="1A1A1A"/>
          <w:sz w:val="28"/>
          <w:szCs w:val="28"/>
          <w14:ligatures w14:val="none"/>
        </w:rPr>
        <w:t>FEFO discipline</w:t>
      </w:r>
      <w:r w:rsidRPr="00DD1558">
        <w:rPr>
          <w:rFonts w:ascii="Simplified Arabic" w:eastAsia="Times New Roman" w:hAnsi="Simplified Arabic" w:cs="Simplified Arabic"/>
          <w:color w:val="1A1A1A"/>
          <w:sz w:val="28"/>
          <w:szCs w:val="28"/>
          <w14:ligatures w14:val="none"/>
        </w:rPr>
        <w:t xml:space="preserve"> (reduce/reuse interface: consume stock in risk order so that expiry is structurally unlikely rather than accidentally avoided). Higher-education institutions are </w:t>
      </w:r>
      <w:r w:rsidRPr="00DD1558">
        <w:rPr>
          <w:rFonts w:ascii="Simplified Arabic" w:eastAsia="Times New Roman" w:hAnsi="Simplified Arabic" w:cs="Simplified Arabic"/>
          <w:color w:val="1A1A1A"/>
          <w:sz w:val="28"/>
          <w:szCs w:val="28"/>
          <w14:ligatures w14:val="none"/>
        </w:rPr>
        <w:lastRenderedPageBreak/>
        <w:t xml:space="preserve">increasingly analyzed as microcosms in which such loops can be closed at campus scale, and equipment-sharing scholarship shows that shared-access models raise utilization while reducing redundant acquisition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{"citationID":"3IJ22L0a","properties":{"unsorted":false,"formattedCitation":"(Adami et al., 2021; Strom et al., 2020; Vergani, 2024)","plainCitation":"(Adami et al., 2021; Strom et al., 2020; Vergani, 2024)","noteIndex":0},"citationItems":[{"id":388,"uris":["http://zotero.org/users/19711126/items/UMKLAE3V"],"itemData":{"id":388,"type":"article-journal","abstract":"Core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519,"uris":["http://zotero.org/users/19711126/items/EQ35QIGQ"],"itemData":{"id":519,"type":"article-journal","abstract":"Higher education institutions (HEIs) can play a key role in the transition to the circular economy (CE) given their missions, characteristics and role in shaping the coming generations of citizens and leaders. The aim of this paper is to provide a comprehensive examination of HEIs as microcosms for transitioning to circular models. Through a semi-systematic literature review, it focuses on the systemic transformation of HEIs and uses quantitative and qualitative content analysis to map 72 research papers covering the topic. The paper also introduces a methodological approach to address the complex nature of HEIs as intricate systems. The analysis reveals the presence of six main themes relevant to CE implementation in HEIs: education and research; campus physical facilities; tools and activities for greening the campus; material flows and waste management; collaboration, stakeholder engagement and behaviours; and frameworks for CE implementation. The analysis showed a growing interest in CE implementation in HEIs and evidence of the potential of HEIs to foster the transition towards it. However, an organized approach is currently lacking as is an understanding of how to apply CE practices within HEI systems. Recommendations for future research include comparing academic research findings with grey literature from HEI networks and other credible organizations.","container-title":"Journal of Cleaner Production","DOI":"10.1016/j.jclepro.2024.140592","ISSN":"0959-6526","journalAbbreviation":"Journal of Cleaner Production","page":"140592","source":"ScienceDirect","title":"Higher education institutions as a microcosm of the circular economy","volume":"435","author":[{"family":"Vergani","given":"Francesca"}],"issued":{"date-parts":[["2024",1,5]]}}}],"schema":"https://github.com/citation-style-language/schema/raw/master/csl-citation.json"}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 Vergani,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Circular procurement is therefore not an ornamental sustainability commitment; it is the upstream prevention barrier (PB3) with an environmental justification derived from the EMS’s life-cycle perspective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{"citationID":"TFQyBupK","properties":{"unsorted":false,"formattedCitation":"(14001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1C57A3F"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2.9.5.3 CSR/USR and reputation protection</w:t>
      </w:r>
    </w:p>
    <w:p w14:paraId="6FEFB84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Corporate social responsibility applied to higher education institutions is conventionally termed University Social Responsibility (USR): the integration of social and environmental concern into a university’s operations, teaching, research, and community engagement, with effects on reputation, stakeholder trust, and legitimacy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{"citationID":"b49FD70h","properties":{"unsorted":false,"formattedCitation":"(Ali et al., 2021)","plainCitation":"(Ali et al., 2021)","noteIndex":0},"citationItems":[{"id":399,"uris":["http://zotero.org/users/19711126/items/BYHJP3NR"],"itemData":{"id":399,"type":"article-journal","abstract":"The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ISO 26000:2010 provides guidance on social responsibility for all organization types; it is explicitly a guidance standard and </w:t>
      </w:r>
      <w:r w:rsidRPr="00DD1558">
        <w:rPr>
          <w:rFonts w:ascii="Simplified Arabic" w:eastAsia="Times New Roman" w:hAnsi="Simplified Arabic" w:cs="Simplified Arabic"/>
          <w:b/>
          <w:bCs/>
          <w:color w:val="1A1A1A"/>
          <w:sz w:val="28"/>
          <w:szCs w:val="28"/>
          <w14:ligatures w14:val="none"/>
        </w:rPr>
        <w:t>not certifiable</w:t>
      </w:r>
      <w:r w:rsidRPr="00DD1558">
        <w:rPr>
          <w:rFonts w:ascii="Simplified Arabic" w:eastAsia="Times New Roman" w:hAnsi="Simplified Arabic" w:cs="Simplified Arabic"/>
          <w:color w:val="1A1A1A"/>
          <w:sz w:val="28"/>
          <w:szCs w:val="28"/>
          <w14:ligatures w14:val="none"/>
        </w:rPr>
        <w:t xml:space="preserve">, and this thesis cites it as orientation, not as a conformity target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{"citationID":"AZPVasmF","properties":{"unsorted":false,"formattedCitation":"(26000 ISO/IEC, 2010)","plainCitation":"(26000 ISO/IEC, 2010)","noteIndex":0},"citationItems":[{"id":460,"uris":["http://zotero.org/users/19711126/items/4TJPD7GL"],"itemData":{"id":460,"type":"standard","title":"ISO 26000:2010(en), Guidance on social responsibility","URL":"https://www.iso.org/obp/ui/#iso:std:iso:26000:ed-1:v1:en","author":[{"family":"ISO/IEC","given":"26000"}],"accessed":{"date-parts":[["2026",8,6]]},"issued":{"date-parts":[["2010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(26000 ISO/IEC, 2010)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Sustainability reporting in higher education has become the visible surface of USR, but the reporting literature warns that disclosure decoupled from operational practice erodes rather than builds trust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{"citationID":"jXNbLUpa","properties":{"unsorted":false,"formattedCitation":"(Alshuwaikhat &amp; Abubakar, 2008; Ceulemans et al., 2015)","plainCitation":"(Alshuwaikhat &amp; Abubakar, 2008; Ceulemans et al., 2015)","noteIndex":0},"citationItems":[{"id":405,"uris":["http://zotero.org/users/19711126/items/MBG694EL"],"itemData":{"id":405,"type":"article-journal","abstract":"Universities can nowadays be regarded as ‘small cities’ due to their large size, population, and the various complex activities taking place in campuses, which have some serious direct and indirect impacts on the environment. The environmental pollution and degradation caused by universities in form of energy and material consumption via activities and operations in teaching and research, provision of support services and in residential areas could be considerably reduced by an effective choice of organizational and technical measures. Although many environmental protection measures can be seen at some universities, but a more systematic and sustainable approach to reducing the negative impacts of those activities and making the campuses more sustainable, is generally lacking. Therefore, this paper proposes a framework of a more suitable approach to achieving campus sustainability that could remedy the limitations of the current environmental management practices in universities and ensures more sustainability through the integration of three strategies, namely: university Environmental Management System (EMS); public participation and social responsibility; and promoting sustainability in teaching and research.","container-title":"Journal of Cleaner Production","DOI":"10.1016/j.jclepro.2007.12.002","ISSN":"0959-6526","issue":"16","journalAbbreviation":"Journal of Cleaner Production","page":"1777-1785","source":"ScienceDirect","title":"An integrated approach to achieving campus sustainability: assessment of the current campus environmental management practices","title-short":"An integrated approach to achieving campus sustainability","volume":"16","author":[{"family":"Alshuwaikhat","given":"Habib M."},{"family":"Abubakar","given":"Ismaila"}],"issued":{"date-parts":[["2008",11,1]]}}},{"id":421,"uris":["http://zotero.org/users/19711126/items/6DMAUJJR"],"itemData":{"id":421,"type":"article-journal","abstract":"Over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(Alshuwaikhat &amp; Abubakar, 2008; Ceulemans et al.,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greenwashing critique sharpens this warning: institutions that advertise sustainability commitments their operations cannot substantiate incur reputational damage exceeding any benefit of the advertisement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{"citationID":"gxUNeagn","properties":{"unsorted":false,"formattedCitation":"(Lakhno, 2024)","plainCitation":"(Lakhno, 2024)","noteIndex":0},"citationItems":[{"id":476,"uris":["http://zotero.org/users/19711126/items/V8SQG4MB"],"itemData":{"id":476,"type":"article-journal","abstract":"Sustainability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(Lakhno,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A7E2DA6" w14:textId="5006AFE7" w:rsidR="00DD1558" w:rsidRPr="00DD1558" w:rsidRDefault="000B6195"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0B6195">
        <w:rPr>
          <w:rFonts w:ascii="Simplified Arabic" w:eastAsia="Times New Roman" w:hAnsi="Simplified Arabic" w:cs="Simplified Arabic"/>
          <w:color w:val="1A1A1A"/>
          <w:sz w:val="28"/>
          <w:szCs w:val="28"/>
          <w14:ligatures w14:val="none"/>
        </w:rPr>
        <w:t>For the host institution—an entity whose public identity is bound to Saudi Vision 2030 commitments on fiscal efficiency, sustainability, and digital transformation—the reputational stakes of laboratory waste are asymmetric: a hazardous-waste incident or adverse audit finding would contradict the very narrative the institution projects.</w:t>
      </w:r>
      <w:r w:rsidR="00DD1558" w:rsidRPr="00DD1558">
        <w:rPr>
          <w:rFonts w:ascii="Simplified Arabic" w:eastAsia="Times New Roman" w:hAnsi="Simplified Arabic" w:cs="Simplified Arabic"/>
          <w:color w:val="1A1A1A"/>
          <w:sz w:val="28"/>
          <w:szCs w:val="28"/>
          <w14:ligatures w14:val="none"/>
        </w:rPr>
        <w:t xml:space="preserve"> The framework’s response is architectural rather than communicational: </w:t>
      </w:r>
      <w:r w:rsidR="00DD1558" w:rsidRPr="00DD1558">
        <w:rPr>
          <w:rFonts w:ascii="Simplified Arabic" w:eastAsia="Times New Roman" w:hAnsi="Simplified Arabic" w:cs="Simplified Arabic"/>
          <w:b/>
          <w:bCs/>
          <w:color w:val="1A1A1A"/>
          <w:sz w:val="28"/>
          <w:szCs w:val="28"/>
          <w14:ligatures w14:val="none"/>
        </w:rPr>
        <w:t>it makes practice precede reporting</w:t>
      </w:r>
      <w:r w:rsidR="00DD1558" w:rsidRPr="00DD1558">
        <w:rPr>
          <w:rFonts w:ascii="Simplified Arabic" w:eastAsia="Times New Roman" w:hAnsi="Simplified Arabic" w:cs="Simplified Arabic"/>
          <w:color w:val="1A1A1A"/>
          <w:sz w:val="28"/>
          <w:szCs w:val="28"/>
          <w14:ligatures w14:val="none"/>
        </w:rPr>
        <w:t xml:space="preserve">. By embedding environmental controls (aspect management, life-cycle </w:t>
      </w:r>
      <w:r w:rsidR="00DD1558" w:rsidRPr="00DD1558">
        <w:rPr>
          <w:rFonts w:ascii="Simplified Arabic" w:eastAsia="Times New Roman" w:hAnsi="Simplified Arabic" w:cs="Simplified Arabic"/>
          <w:color w:val="1A1A1A"/>
          <w:sz w:val="28"/>
          <w:szCs w:val="28"/>
          <w14:ligatures w14:val="none"/>
        </w:rPr>
        <w:lastRenderedPageBreak/>
        <w:t xml:space="preserve">procurement, governed disposal) and their evaluation into routine governance, the framework generates the operational substance that any disclosure would later report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{"citationID":"8dnSc6FI","properties":{"unsorted":false,"formattedCitation":"(Ali et al., 2021; Lakhno, 2024)","plainCitation":"(Ali et al., 2021; Lakhno, 2024)","noteIndex":0},"citationItems":[{"id":399,"uris":["http://zotero.org/users/19711126/items/BYHJP3NR"],"itemData":{"id":399,"type":"article-journal","abstract":"The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(Ali et al., 2021; Lakhno, 2024)</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Reputation protection is thus a by-product of conformity with ISO 14001 logic, not a public-relations objective — the sequencing the USR literature identifies as the difference between substantive and symbolic responsibility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{"citationID":"QF6CIkBh","properties":{"unsorted":false,"formattedCitation":"(Ceulemans et al., 2015; Lakhno, 2024)","plainCitation":"(Ceulemans et al., 2015; Lakhno, 2024)","noteIndex":0},"citationItems":[{"id":421,"uris":["http://zotero.org/users/19711126/items/6DMAUJJR"],"itemData":{"id":421,"type":"article-journal","abstract":"Over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(Ceulemans et al., 2015; Lakhno, 2024)</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p>
    <w:p w14:paraId="35AA24D4"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 xml:space="preserve">2.9.5.4 </w:t>
      </w:r>
      <w:bookmarkStart w:id="87" w:name="Section2954"/>
      <w:bookmarkEnd w:id="87"/>
      <w:r w:rsidRPr="00DD1558">
        <w:rPr>
          <w:rFonts w:ascii="Simplified Arabic" w:eastAsiaTheme="majorEastAsia" w:hAnsi="Simplified Arabic" w:cstheme="majorBidi"/>
          <w:i/>
          <w:iCs/>
          <w:sz w:val="28"/>
        </w:rPr>
        <w:t>The FIRM Scorecard as classification taxonomy</w:t>
      </w:r>
    </w:p>
    <w:p w14:paraId="5B53A597"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final lens organizes the risk register. The FIRM Scorecard, presented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{"citationID":"9ktqPkkr","properties":{"unsorted":false,"formattedCitation":"(Hopkin,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in the Institute of Risk Management’s standard textbook, is a </w:t>
      </w:r>
      <w:r w:rsidRPr="00DD1558">
        <w:rPr>
          <w:rFonts w:ascii="Simplified Arabic" w:eastAsia="Times New Roman" w:hAnsi="Simplified Arabic" w:cs="Simplified Arabic"/>
          <w:b/>
          <w:bCs/>
          <w:color w:val="1A1A1A"/>
          <w:sz w:val="28"/>
          <w:szCs w:val="28"/>
          <w14:ligatures w14:val="none"/>
        </w:rPr>
        <w:t>risk classification system</w:t>
      </w:r>
      <w:r w:rsidRPr="00DD1558">
        <w:rPr>
          <w:rFonts w:ascii="Simplified Arabic" w:eastAsia="Times New Roman" w:hAnsi="Simplified Arabic" w:cs="Simplified Arabic"/>
          <w:color w:val="1A1A1A"/>
          <w:sz w:val="28"/>
          <w:szCs w:val="28"/>
          <w14:ligatures w14:val="none"/>
        </w:rPr>
        <w:t xml:space="preserve"> that categorizes risks by their impact on the organization’s key dependencies: </w:t>
      </w:r>
      <w:r w:rsidRPr="00DD1558">
        <w:rPr>
          <w:rFonts w:ascii="Simplified Arabic" w:eastAsia="Times New Roman" w:hAnsi="Simplified Arabic" w:cs="Simplified Arabic"/>
          <w:b/>
          <w:bCs/>
          <w:color w:val="1A1A1A"/>
          <w:sz w:val="28"/>
          <w:szCs w:val="28"/>
          <w14:ligatures w14:val="none"/>
        </w:rPr>
        <w:t xml:space="preserve">F — Financial, I — Infrastructure, R — Reputational, M — Marketplace </w:t>
      </w:r>
      <w:r w:rsidRPr="00DD1558">
        <w:rPr>
          <w:rFonts w:ascii="Simplified Arabic" w:eastAsia="Times New Roman" w:hAnsi="Simplified Arabic" w:cs="Simplified Arabic"/>
          <w:b/>
          <w:bCs/>
          <w:color w:val="1A1A1A"/>
          <w:sz w:val="28"/>
          <w:szCs w:val="28"/>
          <w14:ligatures w14:val="none"/>
        </w:rPr>
        <w:fldChar w:fldCharType="begin"/>
      </w:r>
      <w:r w:rsidRPr="00DD1558">
        <w:rPr>
          <w:rFonts w:ascii="Simplified Arabic" w:eastAsia="Times New Roman" w:hAnsi="Simplified Arabic" w:cs="Simplified Arabic"/>
          <w:b/>
          <w:bCs/>
          <w:color w:val="1A1A1A"/>
          <w:sz w:val="28"/>
          <w:szCs w:val="28"/>
          <w14:ligatures w14:val="none"/>
        </w:rPr>
        <w:instrText xml:space="preserve"> ADDIN ZOTERO_ITEM CSL_CITATION {"citationID":"LQEYZxEG","properties":{"unsorted":false,"formattedCitation":"(Hopkin,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b/>
          <w:bCs/>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b/>
          <w:bCs/>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Two clarifications govern its use here. First, FIRM is a </w:t>
      </w:r>
      <w:r w:rsidRPr="00DD1558">
        <w:rPr>
          <w:rFonts w:ascii="Simplified Arabic" w:eastAsia="Times New Roman" w:hAnsi="Simplified Arabic" w:cs="Simplified Arabic"/>
          <w:i/>
          <w:iCs/>
          <w:color w:val="1A1A1A"/>
          <w:sz w:val="28"/>
          <w:szCs w:val="28"/>
          <w14:ligatures w14:val="none"/>
        </w:rPr>
        <w:t>taxonomy, not a scoring algorithm</w:t>
      </w:r>
      <w:r w:rsidRPr="00DD1558">
        <w:rPr>
          <w:rFonts w:ascii="Simplified Arabic" w:eastAsia="Times New Roman" w:hAnsi="Simplified Arabic" w:cs="Simplified Arabic"/>
          <w:color w:val="1A1A1A"/>
          <w:sz w:val="28"/>
          <w:szCs w:val="28"/>
          <w14:ligatures w14:val="none"/>
        </w:rPr>
        <w:t xml:space="preserve">: it says where a risk bites, not how severely, and it is neither a likelihood–impact matrix nor a quantification device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{"citationID":"FvrnulxL","properties":{"unsorted":false,"formattedCitation":"(Hopkin,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It contrasts in kind with PESTLE (external drivers) and with the COSO categories (strategic, operations, reporting, compliance); it is chosen here because its dependency-based logic matches a register whose entries are operational dependencies of a laboratory system. Second, </w:t>
      </w:r>
      <w:r w:rsidRPr="00DD1558">
        <w:rPr>
          <w:rFonts w:ascii="Simplified Arabic" w:eastAsia="Times New Roman" w:hAnsi="Simplified Arabic" w:cs="Simplified Arabic"/>
          <w:i/>
          <w:iCs/>
          <w:color w:val="1A1A1A"/>
          <w:sz w:val="28"/>
          <w:szCs w:val="28"/>
          <w14:ligatures w14:val="none"/>
        </w:rPr>
        <w:t>Marketplace</w:t>
      </w:r>
      <w:r w:rsidRPr="00DD1558">
        <w:rPr>
          <w:rFonts w:ascii="Simplified Arabic" w:eastAsia="Times New Roman" w:hAnsi="Simplified Arabic" w:cs="Simplified Arabic"/>
          <w:color w:val="1A1A1A"/>
          <w:sz w:val="28"/>
          <w:szCs w:val="28"/>
          <w14:ligatures w14:val="none"/>
        </w:rPr>
        <w:t xml:space="preserve"> requires declared adaptation: a public university has no marketplace in the commercial sense, so this thesis reads M as the institution’s </w:t>
      </w:r>
      <w:r w:rsidRPr="00DD1558">
        <w:rPr>
          <w:rFonts w:ascii="Simplified Arabic" w:eastAsia="Times New Roman" w:hAnsi="Simplified Arabic" w:cs="Simplified Arabic"/>
          <w:b/>
          <w:bCs/>
          <w:color w:val="1A1A1A"/>
          <w:sz w:val="28"/>
          <w:szCs w:val="28"/>
          <w14:ligatures w14:val="none"/>
        </w:rPr>
        <w:t>service/stakeholder environment</w:t>
      </w:r>
      <w:r w:rsidRPr="00DD1558">
        <w:rPr>
          <w:rFonts w:ascii="Simplified Arabic" w:eastAsia="Times New Roman" w:hAnsi="Simplified Arabic" w:cs="Simplified Arabic"/>
          <w:color w:val="1A1A1A"/>
          <w:sz w:val="28"/>
          <w:szCs w:val="28"/>
          <w14:ligatures w14:val="none"/>
        </w:rPr>
        <w:t xml:space="preserve"> — student experience, research competitiveness, and standing with regulators and funders — an adaptation declared here and used consistently thereafter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{"citationID":"1qcaU2Bh","properties":{"unsorted":false,"formattedCitation":"(Hopkin,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304841F" w14:textId="3CB600F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taxonomy’s structural properties add analytical value beyond labelling. Financial and Infrastructure risks are predominantly </w:t>
      </w:r>
      <w:r w:rsidRPr="00DD1558">
        <w:rPr>
          <w:rFonts w:ascii="Simplified Arabic" w:eastAsia="Times New Roman" w:hAnsi="Simplified Arabic" w:cs="Simplified Arabic"/>
          <w:i/>
          <w:iCs/>
          <w:color w:val="1A1A1A"/>
          <w:sz w:val="28"/>
          <w:szCs w:val="28"/>
          <w14:ligatures w14:val="none"/>
        </w:rPr>
        <w:t>internal</w:t>
      </w:r>
      <w:r w:rsidRPr="00DD1558">
        <w:rPr>
          <w:rFonts w:ascii="Simplified Arabic" w:eastAsia="Times New Roman" w:hAnsi="Simplified Arabic" w:cs="Simplified Arabic"/>
          <w:color w:val="1A1A1A"/>
          <w:sz w:val="28"/>
          <w:szCs w:val="28"/>
          <w14:ligatures w14:val="none"/>
        </w:rPr>
        <w:t xml:space="preserve">; Reputational and Marketplace risks are predominantly </w:t>
      </w:r>
      <w:r w:rsidRPr="00DD1558">
        <w:rPr>
          <w:rFonts w:ascii="Simplified Arabic" w:eastAsia="Times New Roman" w:hAnsi="Simplified Arabic" w:cs="Simplified Arabic"/>
          <w:i/>
          <w:iCs/>
          <w:color w:val="1A1A1A"/>
          <w:sz w:val="28"/>
          <w:szCs w:val="28"/>
          <w14:ligatures w14:val="none"/>
        </w:rPr>
        <w:t>external</w:t>
      </w:r>
      <w:r w:rsidRPr="00DD1558">
        <w:rPr>
          <w:rFonts w:ascii="Simplified Arabic" w:eastAsia="Times New Roman" w:hAnsi="Simplified Arabic" w:cs="Simplified Arabic"/>
          <w:color w:val="1A1A1A"/>
          <w:sz w:val="28"/>
          <w:szCs w:val="28"/>
          <w14:ligatures w14:val="none"/>
        </w:rPr>
        <w:t xml:space="preserve">; and Financial and Marketplace impacts are comparatively easy to express monetarily, whereas Infrastructure and Reputational impacts resist quantification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{"citationID":"Pl3qe7HA","properties":{"unsorted":false,"formattedCitation":"(Hopkin,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Applied to the bow-tie consequences (</w:t>
      </w:r>
      <w:hyperlink w:anchor="section293" w:history="1">
        <w:r w:rsidRPr="00730A82">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 xml:space="preserve">), the classification </w:t>
      </w:r>
      <w:r w:rsidRPr="00DD1558">
        <w:rPr>
          <w:rFonts w:ascii="Simplified Arabic" w:eastAsia="Times New Roman" w:hAnsi="Simplified Arabic" w:cs="Simplified Arabic"/>
          <w:color w:val="1A1A1A"/>
          <w:sz w:val="28"/>
          <w:szCs w:val="28"/>
          <w14:ligatures w14:val="none"/>
        </w:rPr>
        <w:lastRenderedPageBreak/>
        <w:t xml:space="preserve">is: expiry write-offs and duplicate purchasing — </w:t>
      </w:r>
      <w:r w:rsidRPr="00DD1558">
        <w:rPr>
          <w:rFonts w:ascii="Simplified Arabic" w:eastAsia="Times New Roman" w:hAnsi="Simplified Arabic" w:cs="Simplified Arabic"/>
          <w:b/>
          <w:bCs/>
          <w:color w:val="1A1A1A"/>
          <w:sz w:val="28"/>
          <w:szCs w:val="28"/>
          <w14:ligatures w14:val="none"/>
        </w:rPr>
        <w:t>Financial</w:t>
      </w:r>
      <w:r w:rsidRPr="00DD1558">
        <w:rPr>
          <w:rFonts w:ascii="Simplified Arabic" w:eastAsia="Times New Roman" w:hAnsi="Simplified Arabic" w:cs="Simplified Arabic"/>
          <w:color w:val="1A1A1A"/>
          <w:sz w:val="28"/>
          <w:szCs w:val="28"/>
          <w14:ligatures w14:val="none"/>
        </w:rPr>
        <w:t xml:space="preserve">; asset idleness, custody failures, and hazardous-waste accumulation affecting the physical estate — </w:t>
      </w:r>
      <w:r w:rsidRPr="00DD1558">
        <w:rPr>
          <w:rFonts w:ascii="Simplified Arabic" w:eastAsia="Times New Roman" w:hAnsi="Simplified Arabic" w:cs="Simplified Arabic"/>
          <w:b/>
          <w:bCs/>
          <w:color w:val="1A1A1A"/>
          <w:sz w:val="28"/>
          <w:szCs w:val="28"/>
          <w14:ligatures w14:val="none"/>
        </w:rPr>
        <w:t>Infrastructure</w:t>
      </w:r>
      <w:r w:rsidRPr="00DD1558">
        <w:rPr>
          <w:rFonts w:ascii="Simplified Arabic" w:eastAsia="Times New Roman" w:hAnsi="Simplified Arabic" w:cs="Simplified Arabic"/>
          <w:color w:val="1A1A1A"/>
          <w:sz w:val="28"/>
          <w:szCs w:val="28"/>
          <w14:ligatures w14:val="none"/>
        </w:rPr>
        <w:t xml:space="preserve">; waste incidents and audit findings contradicting the Vision 2030 narrative — </w:t>
      </w:r>
      <w:r w:rsidRPr="00DD1558">
        <w:rPr>
          <w:rFonts w:ascii="Simplified Arabic" w:eastAsia="Times New Roman" w:hAnsi="Simplified Arabic" w:cs="Simplified Arabic"/>
          <w:b/>
          <w:bCs/>
          <w:color w:val="1A1A1A"/>
          <w:sz w:val="28"/>
          <w:szCs w:val="28"/>
          <w14:ligatures w14:val="none"/>
        </w:rPr>
        <w:t>Reputational</w:t>
      </w:r>
      <w:r w:rsidRPr="00DD1558">
        <w:rPr>
          <w:rFonts w:ascii="Simplified Arabic" w:eastAsia="Times New Roman" w:hAnsi="Simplified Arabic" w:cs="Simplified Arabic"/>
          <w:color w:val="1A1A1A"/>
          <w:sz w:val="28"/>
          <w:szCs w:val="28"/>
          <w14:ligatures w14:val="none"/>
        </w:rPr>
        <w:t xml:space="preserve">; and teaching/research disruption degrading student experience and research standing — </w:t>
      </w:r>
      <w:r w:rsidRPr="00DD1558">
        <w:rPr>
          <w:rFonts w:ascii="Simplified Arabic" w:eastAsia="Times New Roman" w:hAnsi="Simplified Arabic" w:cs="Simplified Arabic"/>
          <w:b/>
          <w:bCs/>
          <w:color w:val="1A1A1A"/>
          <w:sz w:val="28"/>
          <w:szCs w:val="28"/>
          <w14:ligatures w14:val="none"/>
        </w:rPr>
        <w:t>Marketplace (service/stakeholder environment)</w:t>
      </w:r>
      <w:r w:rsidRPr="00DD1558">
        <w:rPr>
          <w:rFonts w:ascii="Simplified Arabic" w:eastAsia="Times New Roman" w:hAnsi="Simplified Arabic" w:cs="Simplified Arabic"/>
          <w:color w:val="1A1A1A"/>
          <w:sz w:val="28"/>
          <w:szCs w:val="28"/>
          <w14:ligatures w14:val="none"/>
        </w:rPr>
        <w:t xml:space="preserve">. Because this thesis is qualitative by design, the quantifiability gradient serves only as a caution: the categories least amenable to numbers (I and R) are precisely those where preventive barriers must do the most work, since reputational and infrastructure losses, once realized, cannot be recovered by later financial compensation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{"citationID":"Mn8TnD8U","properties":{"unsorted":false,"formattedCitation":"(Hopkin,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F4D732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88" w:name="section296"/>
      <w:bookmarkStart w:id="89" w:name="_Toc237539740"/>
      <w:bookmarkEnd w:id="88"/>
      <w:r w:rsidRPr="00DD1558">
        <w:rPr>
          <w:rFonts w:ascii="Simplified Arabic" w:eastAsiaTheme="majorEastAsia" w:hAnsi="Simplified Arabic" w:cstheme="majorBidi"/>
          <w:sz w:val="28"/>
          <w:szCs w:val="28"/>
        </w:rPr>
        <w:t>2.9.6 Theoretical Framework Synthesis and Operational Definitions</w:t>
      </w:r>
      <w:bookmarkEnd w:id="89"/>
    </w:p>
    <w:p w14:paraId="69485DFC"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2.9.6.1 How the lenses integrate into a single assessment chain</w:t>
      </w:r>
    </w:p>
    <w:p w14:paraId="184A882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five lenses now compose a single chain of reasoning, each link supplying what the next requires. The </w:t>
      </w:r>
      <w:r w:rsidRPr="00DD1558">
        <w:rPr>
          <w:rFonts w:ascii="Simplified Arabic" w:eastAsia="Times New Roman" w:hAnsi="Simplified Arabic" w:cs="Simplified Arabic"/>
          <w:b/>
          <w:bCs/>
          <w:color w:val="1A1A1A"/>
          <w:sz w:val="28"/>
          <w:szCs w:val="28"/>
          <w14:ligatures w14:val="none"/>
        </w:rPr>
        <w:t>maturity bands set the baseline the bow-tie barriers must raise</w:t>
      </w:r>
      <w:r w:rsidRPr="00DD1558">
        <w:rPr>
          <w:rFonts w:ascii="Simplified Arabic" w:eastAsia="Times New Roman" w:hAnsi="Simplified Arabic" w:cs="Simplified Arabic"/>
          <w:color w:val="1A1A1A"/>
          <w:sz w:val="28"/>
          <w:szCs w:val="28"/>
          <w14:ligatures w14:val="none"/>
        </w:rPr>
        <w:t xml:space="preserve">: an institution in the Inform/Conform band cannot sustain barriers such as eligibility clauses or FEFO discipline, because those barriers presuppose standardized records and enforced policy; the barrier architecture therefore doubles as a maturity specification, and barrier deployment as the transition mechanism out of the lowest band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{"citationID":"bG00tfpb","properties":{"unsorted":false,"formattedCitation":"(Hillson, D. A., 1997; Johnson et al., 2018)","plainCitation":"(Hillson, D. A., 1997; Johnson et al., 2018)","noteIndex":0},"citationItems":[{"id":540,"uris":["http://zotero.org/users/19711126/items/IB7NEYQH"],"itemData":{"id":540,"type":"report","title":"Towards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Conversely, the bow-tie gives maturity model operational content: advancing a band </w:t>
      </w:r>
      <w:r w:rsidRPr="00DD1558">
        <w:rPr>
          <w:rFonts w:ascii="Simplified Arabic" w:eastAsia="Times New Roman" w:hAnsi="Simplified Arabic" w:cs="Simplified Arabic"/>
          <w:i/>
          <w:iCs/>
          <w:color w:val="1A1A1A"/>
          <w:sz w:val="28"/>
          <w:szCs w:val="28"/>
          <w14:ligatures w14:val="none"/>
        </w:rPr>
        <w:t>means</w:t>
      </w:r>
      <w:r w:rsidRPr="00DD1558">
        <w:rPr>
          <w:rFonts w:ascii="Simplified Arabic" w:eastAsia="Times New Roman" w:hAnsi="Simplified Arabic" w:cs="Simplified Arabic"/>
          <w:color w:val="1A1A1A"/>
          <w:sz w:val="28"/>
          <w:szCs w:val="28"/>
          <w14:ligatures w14:val="none"/>
        </w:rPr>
        <w:t xml:space="preserve"> installing and enforcing named barriers, not acquiring a generalized risk-awareness. </w:t>
      </w:r>
      <w:r w:rsidRPr="00DD1558">
        <w:rPr>
          <w:rFonts w:ascii="Simplified Arabic" w:eastAsia="Times New Roman" w:hAnsi="Simplified Arabic" w:cs="Simplified Arabic"/>
          <w:b/>
          <w:bCs/>
          <w:color w:val="1A1A1A"/>
          <w:sz w:val="28"/>
          <w:szCs w:val="28"/>
          <w14:ligatures w14:val="none"/>
        </w:rPr>
        <w:t>ISO 22301 and ISO 14001 supply the conformity targets</w:t>
      </w:r>
      <w:r w:rsidRPr="00DD1558">
        <w:rPr>
          <w:rFonts w:ascii="Simplified Arabic" w:eastAsia="Times New Roman" w:hAnsi="Simplified Arabic" w:cs="Simplified Arabic"/>
          <w:color w:val="1A1A1A"/>
          <w:sz w:val="28"/>
          <w:szCs w:val="28"/>
          <w14:ligatures w14:val="none"/>
        </w:rPr>
        <w:t xml:space="preserve">: continuity of prioritized activities within MTPD/RTO reasoning on one side, control of significant environmental aspects with a life-cycle perspective on the other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{"citationID":"OFFksdBU","properties":{"unsorted":false,"formattedCitation":"(14001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The FIRM taxonomy organizes the risk register</w:t>
      </w:r>
      <w:r w:rsidRPr="00DD1558">
        <w:rPr>
          <w:rFonts w:ascii="Simplified Arabic" w:eastAsia="Times New Roman" w:hAnsi="Simplified Arabic" w:cs="Simplified Arabic"/>
          <w:color w:val="1A1A1A"/>
          <w:sz w:val="28"/>
          <w:szCs w:val="28"/>
          <w14:ligatures w14:val="none"/>
        </w:rPr>
        <w:t xml:space="preserve"> into which all threats, consequences, and barrier failures are entered, classifying every risk by the dependency it endangers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{"citationID":"Is1aDgSR","properties":{"unsorted":false,"formattedCitation":"(Hopkin,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result is an assessment framework </w:t>
      </w:r>
      <w:r w:rsidRPr="00DD1558">
        <w:rPr>
          <w:rFonts w:ascii="Simplified Arabic" w:eastAsia="Times New Roman" w:hAnsi="Simplified Arabic" w:cs="Simplified Arabic"/>
          <w:color w:val="1A1A1A"/>
          <w:sz w:val="28"/>
          <w:szCs w:val="28"/>
          <w14:ligatures w14:val="none"/>
        </w:rPr>
        <w:lastRenderedPageBreak/>
        <w:t>that can diagnose (maturity), structure (bow-tie), specify outcomes (ISO standards), and classify (FIRM) without overlap or gap.</w:t>
      </w:r>
    </w:p>
    <w:p w14:paraId="7E571B4F" w14:textId="7991BA2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Two integration rules preserve coherence. First, </w:t>
      </w:r>
      <w:r w:rsidRPr="00DD1558">
        <w:rPr>
          <w:rFonts w:ascii="Simplified Arabic" w:eastAsia="Times New Roman" w:hAnsi="Simplified Arabic" w:cs="Simplified Arabic"/>
          <w:b/>
          <w:bCs/>
          <w:color w:val="1A1A1A"/>
          <w:sz w:val="28"/>
          <w:szCs w:val="28"/>
          <w14:ligatures w14:val="none"/>
        </w:rPr>
        <w:t>every barrier has an owner, and ownership follows competence</w:t>
      </w:r>
      <w:r w:rsidRPr="00DD1558">
        <w:rPr>
          <w:rFonts w:ascii="Simplified Arabic" w:eastAsia="Times New Roman" w:hAnsi="Simplified Arabic" w:cs="Simplified Arabic"/>
          <w:color w:val="1A1A1A"/>
          <w:sz w:val="28"/>
          <w:szCs w:val="28"/>
          <w14:ligatures w14:val="none"/>
        </w:rPr>
        <w:t xml:space="preserve">: the escalation-factor analysis showed that unowned or unenforced barriers fail silently, so the barrier list is handed to </w:t>
      </w:r>
      <w:r w:rsidRPr="00DD1558">
        <w:rPr>
          <w:rFonts w:ascii="Simplified Arabic" w:eastAsia="Times New Roman" w:hAnsi="Simplified Arabic" w:cs="Simplified Arabic"/>
          <w:sz w:val="28"/>
          <w:szCs w:val="28"/>
          <w14:ligatures w14:val="none"/>
        </w:rPr>
        <w:t>Chapter 4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as an assignment problem. Second, </w:t>
      </w:r>
      <w:r w:rsidRPr="00DD1558">
        <w:rPr>
          <w:rFonts w:ascii="Simplified Arabic" w:eastAsia="Times New Roman" w:hAnsi="Simplified Arabic" w:cs="Simplified Arabic"/>
          <w:b/>
          <w:bCs/>
          <w:color w:val="1A1A1A"/>
          <w:sz w:val="28"/>
          <w:szCs w:val="28"/>
          <w14:ligatures w14:val="none"/>
        </w:rPr>
        <w:t>execution is separated from authority</w:t>
      </w:r>
      <w:r w:rsidRPr="00DD1558">
        <w:rPr>
          <w:rFonts w:ascii="Simplified Arabic" w:eastAsia="Times New Roman" w:hAnsi="Simplified Arabic" w:cs="Simplified Arabic"/>
          <w:color w:val="1A1A1A"/>
          <w:sz w:val="28"/>
          <w:szCs w:val="28"/>
          <w14:ligatures w14:val="none"/>
        </w:rPr>
        <w:t xml:space="preserve">: operational-level technicians execute the technical substance of several barriers — FEFO rotation, loan-workflow execution, catalog and registry entries, escalation of anomalies — but hold no administrative decision-making authority, no procurement approval, and no financial authority; barrier </w:t>
      </w:r>
      <w:r w:rsidRPr="00DD1558">
        <w:rPr>
          <w:rFonts w:ascii="Simplified Arabic" w:eastAsia="Times New Roman" w:hAnsi="Simplified Arabic" w:cs="Simplified Arabic"/>
          <w:i/>
          <w:iCs/>
          <w:color w:val="1A1A1A"/>
          <w:sz w:val="28"/>
          <w:szCs w:val="28"/>
          <w14:ligatures w14:val="none"/>
        </w:rPr>
        <w:t>ownership</w:t>
      </w:r>
      <w:r w:rsidRPr="00DD1558">
        <w:rPr>
          <w:rFonts w:ascii="Simplified Arabic" w:eastAsia="Times New Roman" w:hAnsi="Simplified Arabic" w:cs="Simplified Arabic"/>
          <w:color w:val="1A1A1A"/>
          <w:sz w:val="28"/>
          <w:szCs w:val="28"/>
          <w14:ligatures w14:val="none"/>
        </w:rPr>
        <w:t xml:space="preserve"> rests with governance roles, while barrier </w:t>
      </w:r>
      <w:r w:rsidRPr="00DD1558">
        <w:rPr>
          <w:rFonts w:ascii="Simplified Arabic" w:eastAsia="Times New Roman" w:hAnsi="Simplified Arabic" w:cs="Simplified Arabic"/>
          <w:i/>
          <w:iCs/>
          <w:color w:val="1A1A1A"/>
          <w:sz w:val="28"/>
          <w:szCs w:val="28"/>
          <w14:ligatures w14:val="none"/>
        </w:rPr>
        <w:t>execution</w:t>
      </w:r>
      <w:r w:rsidRPr="00DD1558">
        <w:rPr>
          <w:rFonts w:ascii="Simplified Arabic" w:eastAsia="Times New Roman" w:hAnsi="Simplified Arabic" w:cs="Simplified Arabic"/>
          <w:color w:val="1A1A1A"/>
          <w:sz w:val="28"/>
          <w:szCs w:val="28"/>
          <w14:ligatures w14:val="none"/>
        </w:rPr>
        <w:t xml:space="preserve"> rests with operational roles within their technical capacity. This separation derives from the standards shared Clause 5.3 requirement that roles, responsibilities, and authorities be defined and bounded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{"citationID":"FpOgh1Cp","properties":{"unsorted":false,"formattedCitation":"(14001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EBF944A"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2.9.6.2 Operational definitions of key constructs</w:t>
      </w:r>
    </w:p>
    <w:p w14:paraId="46A8DEFB" w14:textId="52E0470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25"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2</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5</w:t>
        </w:r>
      </w:hyperlink>
      <w:r w:rsidRPr="00DD1558">
        <w:rPr>
          <w:rFonts w:ascii="Simplified Arabic" w:eastAsia="Times New Roman" w:hAnsi="Simplified Arabic" w:cs="Simplified Arabic"/>
          <w:color w:val="1A1A1A"/>
          <w:sz w:val="28"/>
          <w:szCs w:val="28"/>
          <w14:ligatures w14:val="none"/>
        </w:rPr>
        <w:t xml:space="preserve"> fixes the meaning of the framework’s core constructs for the remainder of the thesis; all definitions are qualitative and none implies measurement.</w:t>
      </w:r>
    </w:p>
    <w:p w14:paraId="577F2603" w14:textId="4726D17B"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p>
    <w:p w14:paraId="6E84BE59" w14:textId="6DBEAF08" w:rsidR="00FB13EE" w:rsidRDefault="00FB13EE" w:rsidP="00FB13EE">
      <w:pPr>
        <w:pStyle w:val="Caption"/>
        <w:keepNext/>
        <w:bidi w:val="0"/>
      </w:pPr>
      <w:bookmarkStart w:id="90" w:name="Table25"/>
      <w:bookmarkStart w:id="91" w:name="_Toc237107834"/>
      <w:bookmarkEnd w:id="90"/>
      <w:r>
        <w:t xml:space="preserve">Table </w:t>
      </w:r>
      <w:r w:rsidR="00A94BAE">
        <w:t>2</w:t>
      </w:r>
      <w:r>
        <w:t>.</w:t>
      </w:r>
      <w:r w:rsidR="00A94BAE">
        <w:t>5</w:t>
      </w:r>
      <w:r w:rsidRPr="007D184F">
        <w:t>.</w:t>
      </w:r>
      <w:r>
        <w:t xml:space="preserve"> </w:t>
      </w:r>
      <w:r w:rsidRPr="007D184F">
        <w:t>Operational definitions of key constructs</w:t>
      </w:r>
      <w:bookmarkEnd w:id="91"/>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098"/>
        <w:gridCol w:w="8108"/>
      </w:tblGrid>
      <w:tr w:rsidR="00DD1558" w:rsidRPr="00DD1558" w14:paraId="1A0D150D"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43E2315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Construct</w:t>
            </w:r>
          </w:p>
        </w:tc>
        <w:tc>
          <w:tcPr>
            <w:tcW w:w="0" w:type="auto"/>
            <w:tcBorders>
              <w:bottom w:val="single" w:sz="8" w:space="0" w:color="44546A"/>
            </w:tcBorders>
            <w:vAlign w:val="top"/>
          </w:tcPr>
          <w:p w14:paraId="578B677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Operational definition (as used in this thesis)</w:t>
            </w:r>
          </w:p>
        </w:tc>
      </w:tr>
      <w:tr w:rsidR="00DD1558" w:rsidRPr="00DD1558" w14:paraId="0CA9D05F" w14:textId="77777777" w:rsidTr="00C71E92">
        <w:tc>
          <w:tcPr>
            <w:tcW w:w="0" w:type="auto"/>
          </w:tcPr>
          <w:p w14:paraId="02ED5EE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Participatory inventory management</w:t>
            </w:r>
          </w:p>
        </w:tc>
        <w:tc>
          <w:tcPr>
            <w:tcW w:w="0" w:type="auto"/>
          </w:tcPr>
          <w:p w14:paraId="675D985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governance arrangement in which multiple laboratories share visibility of, and governed access to, a common pool of chemical and asset stock, under institution-level rules for purchasing, custody, rotation, and redistribution — participation with defined decision rights, not informal cooperation.</w:t>
            </w:r>
          </w:p>
        </w:tc>
      </w:tr>
      <w:tr w:rsidR="00DD1558" w:rsidRPr="00DD1558" w14:paraId="47A5E617" w14:textId="77777777" w:rsidTr="00C71E92">
        <w:tc>
          <w:tcPr>
            <w:tcW w:w="0" w:type="auto"/>
          </w:tcPr>
          <w:p w14:paraId="69AB8EA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Risk maturity gap</w:t>
            </w:r>
          </w:p>
        </w:tc>
        <w:tc>
          <w:tcPr>
            <w:tcW w:w="0" w:type="auto"/>
          </w:tcPr>
          <w:p w14:paraId="758D453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The distance, expressed in the thesis’s adapted three-band trajectory, between the institution’s current inventory-governance capability and the capability </w:t>
            </w:r>
            <w:r w:rsidRPr="00DD1558">
              <w:rPr>
                <w:rFonts w:ascii="Simplified Arabic" w:hAnsi="Simplified Arabic" w:cs="Simplified Arabic"/>
              </w:rPr>
              <w:lastRenderedPageBreak/>
              <w:t>required to sustain participatory, digitized, standards-aligned stock management.</w:t>
            </w:r>
          </w:p>
        </w:tc>
      </w:tr>
      <w:tr w:rsidR="00DD1558" w:rsidRPr="00DD1558" w14:paraId="3AA6E1C8" w14:textId="77777777" w:rsidTr="00C71E92">
        <w:tc>
          <w:tcPr>
            <w:tcW w:w="0" w:type="auto"/>
          </w:tcPr>
          <w:p w14:paraId="4278CB5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Prevention barrier</w:t>
            </w:r>
          </w:p>
        </w:tc>
        <w:tc>
          <w:tcPr>
            <w:tcW w:w="0" w:type="auto"/>
          </w:tcPr>
          <w:p w14:paraId="2F1E5B7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documented control positioned on a threat pathway that terminates or weakens the pathway before loss of control (e.g., standardized catalog, eligibility clause, joint procurement rule).</w:t>
            </w:r>
          </w:p>
        </w:tc>
      </w:tr>
      <w:tr w:rsidR="00DD1558" w:rsidRPr="00DD1558" w14:paraId="285EEDD2" w14:textId="77777777" w:rsidTr="00C71E92">
        <w:tc>
          <w:tcPr>
            <w:tcW w:w="0" w:type="auto"/>
          </w:tcPr>
          <w:p w14:paraId="2F30866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Mitigation barrier</w:t>
            </w:r>
          </w:p>
        </w:tc>
        <w:tc>
          <w:tcPr>
            <w:tcW w:w="0" w:type="auto"/>
          </w:tcPr>
          <w:p w14:paraId="73A1FC7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documented control positioned between a Top Event and its consequences that reduces consequence severity after loss of control has begun (e.g., FEFO rotation, inter-lab redistribution, governed disposal).</w:t>
            </w:r>
          </w:p>
        </w:tc>
      </w:tr>
      <w:tr w:rsidR="00DD1558" w:rsidRPr="00DD1558" w14:paraId="45AE71E6" w14:textId="77777777" w:rsidTr="00C71E92">
        <w:tc>
          <w:tcPr>
            <w:tcW w:w="0" w:type="auto"/>
          </w:tcPr>
          <w:p w14:paraId="5CD6588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Prioritized activity</w:t>
            </w:r>
          </w:p>
        </w:tc>
        <w:tc>
          <w:tcPr>
            <w:tcW w:w="0" w:type="auto"/>
          </w:tcPr>
          <w:p w14:paraId="260FC2B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teaching or research activity whose disruption would exceed the institution’s tolerance within a short maximum tolerable period of disruption, and whose dependencies the continuity arrangements must protect (ISO 22301:2019 usage).</w:t>
            </w:r>
          </w:p>
        </w:tc>
      </w:tr>
      <w:tr w:rsidR="00DD1558" w:rsidRPr="00DD1558" w14:paraId="54E68DC2" w14:textId="77777777" w:rsidTr="00C71E92">
        <w:tc>
          <w:tcPr>
            <w:tcW w:w="0" w:type="auto"/>
          </w:tcPr>
          <w:p w14:paraId="505468F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Custody</w:t>
            </w:r>
          </w:p>
        </w:tc>
        <w:tc>
          <w:tcPr>
            <w:tcW w:w="0" w:type="auto"/>
          </w:tcPr>
          <w:p w14:paraId="514B682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The documented, transferable state of responsibility for a specific stock item or asset, including accountability for its condition, location, and return; custody is unambiguous at every moment and changes only through the custody-transfer protocol.</w:t>
            </w:r>
          </w:p>
        </w:tc>
      </w:tr>
      <w:tr w:rsidR="00DD1558" w:rsidRPr="00DD1558" w14:paraId="5EC25E51" w14:textId="77777777" w:rsidTr="00C71E92">
        <w:tc>
          <w:tcPr>
            <w:tcW w:w="0" w:type="auto"/>
          </w:tcPr>
          <w:p w14:paraId="2BD9282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Eligibility clause</w:t>
            </w:r>
          </w:p>
        </w:tc>
        <w:tc>
          <w:tcPr>
            <w:tcW w:w="0" w:type="auto"/>
          </w:tcPr>
          <w:p w14:paraId="44E6A12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purchasing rule requiring that a requisition be checked against the shared registry, and existing stock be used or transferred where suitable, before any new purchase is approved.</w:t>
            </w:r>
          </w:p>
        </w:tc>
      </w:tr>
      <w:tr w:rsidR="00DD1558" w:rsidRPr="00DD1558" w14:paraId="1A06EB71" w14:textId="77777777" w:rsidTr="00C71E92">
        <w:tc>
          <w:tcPr>
            <w:tcW w:w="0" w:type="auto"/>
          </w:tcPr>
          <w:p w14:paraId="61A925E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FEFO discipline</w:t>
            </w:r>
          </w:p>
        </w:tc>
        <w:tc>
          <w:tcPr>
            <w:tcW w:w="0" w:type="auto"/>
          </w:tcPr>
          <w:p w14:paraId="311F54D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The enforced practice of consuming stock in First-Expired-First-Out order, executed at the operational level, so that the earliest-expiring usable items leave storage first.</w:t>
            </w:r>
          </w:p>
        </w:tc>
      </w:tr>
      <w:tr w:rsidR="00DD1558" w:rsidRPr="00DD1558" w14:paraId="1F0AB0AF" w14:textId="77777777" w:rsidTr="00C71E92">
        <w:tc>
          <w:tcPr>
            <w:tcW w:w="0" w:type="auto"/>
          </w:tcPr>
          <w:p w14:paraId="1683030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Inter-lab loan</w:t>
            </w:r>
          </w:p>
        </w:tc>
        <w:tc>
          <w:tcPr>
            <w:tcW w:w="0" w:type="auto"/>
          </w:tcPr>
          <w:p w14:paraId="3B17E72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governed, temporary transfer of an asset or chemical from the custody of one laboratory to another under the inter-lab policy framework, with documented request, approval, custody transfer, and return.</w:t>
            </w:r>
          </w:p>
        </w:tc>
      </w:tr>
      <w:tr w:rsidR="00DD1558" w:rsidRPr="00DD1558" w14:paraId="6282BD30" w14:textId="77777777" w:rsidTr="00C71E92">
        <w:tc>
          <w:tcPr>
            <w:tcW w:w="0" w:type="auto"/>
          </w:tcPr>
          <w:p w14:paraId="7828FF4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Environmental aspect</w:t>
            </w:r>
          </w:p>
        </w:tc>
        <w:tc>
          <w:tcPr>
            <w:tcW w:w="0" w:type="auto"/>
          </w:tcPr>
          <w:p w14:paraId="57D6B24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An element of laboratory inventory activity that can interact with the environment — in this framework, principally expired chemicals and redundant assets — as distinct from the environmental impact that may result (ISO 14001:2015 usage).</w:t>
            </w:r>
          </w:p>
        </w:tc>
      </w:tr>
    </w:tbl>
    <w:p w14:paraId="4CA0C163"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lastRenderedPageBreak/>
        <w:t>2.9.6.3 Transition to the governance architecture</w:t>
      </w:r>
    </w:p>
    <w:p w14:paraId="4E27E2D5" w14:textId="43C93D8F"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section has built the assessment framework while deliberately stopping short of assigning it to an organization. The bow-tie specified </w:t>
      </w:r>
      <w:r w:rsidRPr="00DD1558">
        <w:rPr>
          <w:rFonts w:ascii="Simplified Arabic" w:eastAsia="Times New Roman" w:hAnsi="Simplified Arabic" w:cs="Simplified Arabic"/>
          <w:i/>
          <w:iCs/>
          <w:color w:val="1A1A1A"/>
          <w:sz w:val="28"/>
          <w:szCs w:val="28"/>
          <w14:ligatures w14:val="none"/>
        </w:rPr>
        <w:t>which</w:t>
      </w:r>
      <w:r w:rsidRPr="00DD1558">
        <w:rPr>
          <w:rFonts w:ascii="Simplified Arabic" w:eastAsia="Times New Roman" w:hAnsi="Simplified Arabic" w:cs="Simplified Arabic"/>
          <w:color w:val="1A1A1A"/>
          <w:sz w:val="28"/>
          <w:szCs w:val="28"/>
          <w14:ligatures w14:val="none"/>
        </w:rPr>
        <w:t xml:space="preserve"> barriers must exist and </w:t>
      </w:r>
      <w:r w:rsidRPr="00DD1558">
        <w:rPr>
          <w:rFonts w:ascii="Simplified Arabic" w:eastAsia="Times New Roman" w:hAnsi="Simplified Arabic" w:cs="Simplified Arabic"/>
          <w:i/>
          <w:iCs/>
          <w:color w:val="1A1A1A"/>
          <w:sz w:val="28"/>
          <w:szCs w:val="28"/>
          <w14:ligatures w14:val="none"/>
        </w:rPr>
        <w:t>why</w:t>
      </w:r>
      <w:r w:rsidRPr="00DD1558">
        <w:rPr>
          <w:rFonts w:ascii="Simplified Arabic" w:eastAsia="Times New Roman" w:hAnsi="Simplified Arabic" w:cs="Simplified Arabic"/>
          <w:color w:val="1A1A1A"/>
          <w:sz w:val="28"/>
          <w:szCs w:val="28"/>
          <w14:ligatures w14:val="none"/>
        </w:rPr>
        <w:t xml:space="preserve"> they fail; the maturity model specified the capability trajectory those barriers must serve; the ISO lenses specified the conformity targets; and FIRM specified the register in which residual risks are recorded. What remains undetermined is </w:t>
      </w:r>
      <w:r w:rsidRPr="00DD1558">
        <w:rPr>
          <w:rFonts w:ascii="Simplified Arabic" w:eastAsia="Times New Roman" w:hAnsi="Simplified Arabic" w:cs="Simplified Arabic"/>
          <w:i/>
          <w:iCs/>
          <w:color w:val="1A1A1A"/>
          <w:sz w:val="28"/>
          <w:szCs w:val="28"/>
          <w14:ligatures w14:val="none"/>
        </w:rPr>
        <w:t>who</w:t>
      </w:r>
      <w:r w:rsidRPr="00DD1558">
        <w:rPr>
          <w:rFonts w:ascii="Simplified Arabic" w:eastAsia="Times New Roman" w:hAnsi="Simplified Arabic" w:cs="Simplified Arabic"/>
          <w:color w:val="1A1A1A"/>
          <w:sz w:val="28"/>
          <w:szCs w:val="28"/>
          <w14:ligatures w14:val="none"/>
        </w:rPr>
        <w:t xml:space="preserve"> owns, executes, audits, and reviews each barrier — the governance question. </w:t>
      </w:r>
      <w:r w:rsidRPr="00DD1558">
        <w:rPr>
          <w:rFonts w:ascii="Simplified Arabic" w:eastAsia="Times New Roman" w:hAnsi="Simplified Arabic" w:cs="Simplified Arabic"/>
          <w:sz w:val="28"/>
          <w:szCs w:val="28"/>
          <w14:ligatures w14:val="none"/>
        </w:rPr>
        <w:t>Chapter 4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takes up exactly this handoff: it assigns the prevention, mitigation, and escalation-factor barriers specified here to a three-tier governance architecture — an Academic Inventory Governance Board, a Technical Standardization Committee, and a Digital Supply Chain Unit, with laboratory technicians executing at the operational level within strictly technical boundaries — and specifies the Inter-Lab Policy Framework governing custody transfers, loan approvals, and redistribution. The assessment framework thereby becomes what it was designed to be: the risk skeleton onto which a concrete governance anatomy is fitted.</w:t>
      </w:r>
    </w:p>
    <w:p w14:paraId="6B35E67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0DD80C7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3463475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5FB39B3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0857181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104465F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2B08FB1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12948D7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6803392F" w14:textId="77777777" w:rsidR="00DD1558" w:rsidRPr="00DD1558" w:rsidRDefault="00DD1558" w:rsidP="00DD1558">
      <w:pPr>
        <w:keepNext/>
        <w:keepLines/>
        <w:bidi w:val="0"/>
        <w:spacing w:before="360" w:after="80"/>
        <w:outlineLvl w:val="0"/>
        <w:rPr>
          <w:rFonts w:ascii="Simplified Arabic" w:eastAsiaTheme="majorEastAsia" w:hAnsi="Simplified Arabic" w:cstheme="majorBidi"/>
          <w:b/>
          <w:sz w:val="32"/>
          <w:szCs w:val="40"/>
        </w:rPr>
      </w:pPr>
      <w:bookmarkStart w:id="92" w:name="_Toc237539741"/>
      <w:r w:rsidRPr="00DD1558">
        <w:rPr>
          <w:rFonts w:ascii="Simplified Arabic" w:eastAsiaTheme="majorEastAsia" w:hAnsi="Simplified Arabic" w:cstheme="majorBidi"/>
          <w:b/>
          <w:sz w:val="32"/>
          <w:szCs w:val="40"/>
        </w:rPr>
        <w:lastRenderedPageBreak/>
        <w:t>CHAPTER 3 — RESEARCH METHODOLOGY</w:t>
      </w:r>
      <w:bookmarkEnd w:id="92"/>
    </w:p>
    <w:p w14:paraId="7DB79E92" w14:textId="77777777" w:rsidR="006B3E91" w:rsidRDefault="006B3E91" w:rsidP="00DD1558">
      <w:pPr>
        <w:bidi w:val="0"/>
        <w:spacing w:before="180" w:line="240" w:lineRule="auto"/>
        <w:jc w:val="both"/>
        <w:rPr>
          <w:rFonts w:ascii="Simplified Arabic" w:eastAsia="Times New Roman" w:hAnsi="Simplified Arabic" w:cs="Simplified Arabic"/>
          <w:color w:val="1A1A1A"/>
          <w:sz w:val="28"/>
          <w:szCs w:val="28"/>
          <w:rtl/>
          <w14:ligatures w14:val="none"/>
        </w:rPr>
      </w:pPr>
    </w:p>
    <w:p w14:paraId="4C0FD1BA"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2129B670"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3E8A530B"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365609D3"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0CA68FD6"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37FEFDDB"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5A0434D8"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48A9D8FA"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748BDF96"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2B819DA3"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710B0DCA"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7B3C8F66"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1D8558EF"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21FE2524"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1ECD11F4"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7AD77C41"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035F8450" w14:textId="77777777" w:rsidR="006B3E91" w:rsidRDefault="006B3E91" w:rsidP="006B3E91">
      <w:pPr>
        <w:bidi w:val="0"/>
        <w:spacing w:before="180" w:line="240" w:lineRule="auto"/>
        <w:jc w:val="both"/>
        <w:rPr>
          <w:rFonts w:ascii="Simplified Arabic" w:eastAsia="Times New Roman" w:hAnsi="Simplified Arabic" w:cs="Simplified Arabic"/>
          <w:color w:val="1A1A1A"/>
          <w:sz w:val="28"/>
          <w:szCs w:val="28"/>
          <w:rtl/>
          <w14:ligatures w14:val="none"/>
        </w:rPr>
      </w:pPr>
    </w:p>
    <w:p w14:paraId="5EB5BA0E" w14:textId="525FD326" w:rsidR="00DD1558" w:rsidRPr="00DD1558" w:rsidRDefault="00144B9A" w:rsidP="006B3E91">
      <w:pPr>
        <w:bidi w:val="0"/>
        <w:spacing w:before="180" w:line="240" w:lineRule="auto"/>
        <w:jc w:val="both"/>
        <w:rPr>
          <w:rFonts w:ascii="Simplified Arabic" w:eastAsia="Times New Roman" w:hAnsi="Simplified Arabic" w:cs="Simplified Arabic"/>
          <w:color w:val="1A1A1A"/>
          <w:sz w:val="28"/>
          <w:szCs w:val="28"/>
          <w14:ligatures w14:val="none"/>
        </w:rPr>
      </w:pPr>
      <w:r w:rsidRPr="00144B9A">
        <w:rPr>
          <w:rFonts w:ascii="Simplified Arabic" w:eastAsia="Times New Roman" w:hAnsi="Simplified Arabic" w:cs="Simplified Arabic"/>
          <w:color w:val="1A1A1A"/>
          <w:sz w:val="28"/>
          <w:szCs w:val="28"/>
          <w14:ligatures w14:val="none"/>
        </w:rPr>
        <w:lastRenderedPageBreak/>
        <w:t>Chapters One and Two established the problem—the Risk Maturity Gap in educational laboratory inventory governance within a large public higher education institution in Saudi Arabia—and the verified literature and standards base on which the study reasons. The present chapter formalizes the methodology through which the study’s framework was designed, assessed, and sequenced. Because the thesis is a qualitative, structural, policy, and governance study, this chapter describes not a data-collection apparatus but an analytical one: the design logic, the documentary evidence base, the analytical toolset that stands in lieu of statistical sampling, the stepwise procedures by which the framework was constructed, and the boundaries, limitations, and integrity commitments within which all claims must be read. Nothing in this chapter introduces empirical content; the chapter’s function is to make the study’s reasoning auditable, so that every deliverable can be traced to a declared source, a declared procedure, and a declared verification rule</w:t>
      </w:r>
      <w:r w:rsidR="00DD1558" w:rsidRPr="00DD1558">
        <w:rPr>
          <w:rFonts w:ascii="Simplified Arabic" w:eastAsia="Times New Roman" w:hAnsi="Simplified Arabic" w:cs="Simplified Arabic"/>
          <w:color w:val="1A1A1A"/>
          <w:sz w:val="28"/>
          <w:szCs w:val="28"/>
          <w:rtl/>
          <w14:ligatures w14:val="none"/>
        </w:rPr>
        <w:t xml:space="preserve"> </w:t>
      </w:r>
      <w:r w:rsidR="00DD1558" w:rsidRPr="00DD1558">
        <w:rPr>
          <w:rFonts w:ascii="Simplified Arabic" w:eastAsia="Times New Roman" w:hAnsi="Simplified Arabic" w:cs="Simplified Arabic"/>
          <w:color w:val="1A1A1A"/>
          <w:sz w:val="28"/>
          <w:szCs w:val="28"/>
          <w:rtl/>
          <w14:ligatures w14:val="none"/>
        </w:rPr>
        <w:fldChar w:fldCharType="begin"/>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ADDIN ZOTERO_ITEM CSL_CITATION {"citationID":"krwsYIwQ","properties":{"unsorted":false,"formattedCitation":"(Al Qur\\uc0\\u8217{}an, 2025; Knott et al., 2022)","plainCitation":"(Al Qur’an, 2025; Knott et al., 2022)","noteIndex":0},"citationItems":[{"id</w:instrText>
      </w:r>
      <w:r w:rsidR="00DD1558" w:rsidRPr="00DD1558">
        <w:rPr>
          <w:rFonts w:ascii="Simplified Arabic" w:eastAsia="Times New Roman" w:hAnsi="Simplified Arabic" w:cs="Simplified Arabic"/>
          <w:color w:val="1A1A1A"/>
          <w:sz w:val="28"/>
          <w:szCs w:val="28"/>
          <w:rtl/>
          <w14:ligatures w14:val="none"/>
        </w:rPr>
        <w:instrText>":395,"</w:instrText>
      </w:r>
      <w:r w:rsidR="00DD1558" w:rsidRPr="00DD1558">
        <w:rPr>
          <w:rFonts w:ascii="Simplified Arabic" w:eastAsia="Times New Roman" w:hAnsi="Simplified Arabic" w:cs="Simplified Arabic"/>
          <w:color w:val="1A1A1A"/>
          <w:sz w:val="28"/>
          <w:szCs w:val="28"/>
          <w14:ligatures w14:val="none"/>
        </w:rPr>
        <w:instrText>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for Qualitative Case Study","title-short":"Conducting Case Study Research in International Entrepreneurship","volume":"24","author":[{"family":"Al Qur’an","given":"Marwan N."}],"issued":{"date-parts</w:instrText>
      </w:r>
      <w:r w:rsidR="00DD1558" w:rsidRPr="00DD1558">
        <w:rPr>
          <w:rFonts w:ascii="Simplified Arabic" w:eastAsia="Times New Roman" w:hAnsi="Simplified Arabic" w:cs="Simplified Arabic"/>
          <w:color w:val="1A1A1A"/>
          <w:sz w:val="28"/>
          <w:szCs w:val="28"/>
          <w:rtl/>
          <w14:ligatures w14:val="none"/>
        </w:rPr>
        <w:instrText>":[["2025",7,1]]</w:instrText>
      </w:r>
      <w:r w:rsidR="00DD1558" w:rsidRPr="00DD1558">
        <w:rPr>
          <w:rFonts w:ascii="Simplified Arabic" w:eastAsia="Times New Roman" w:hAnsi="Simplified Arabic" w:cs="Simplified Arabic"/>
          <w:color w:val="1A1A1A"/>
          <w:sz w:val="28"/>
          <w:szCs w:val="28"/>
          <w14:ligatures w14:val="none"/>
        </w:rPr>
        <w:instrText>}}},{"id":473,"uris":["http://zotero.org</w:instrText>
      </w:r>
      <w:r w:rsidR="00DD1558" w:rsidRPr="00DD1558">
        <w:rPr>
          <w:rFonts w:ascii="Simplified Arabic" w:eastAsia="Times New Roman" w:hAnsi="Simplified Arabic" w:cs="Simplified Arabic"/>
          <w:color w:val="1A1A1A"/>
          <w:sz w:val="28"/>
          <w:szCs w:val="28"/>
          <w:rtl/>
          <w14:ligatures w14:val="none"/>
        </w:rPr>
        <w:instrText>/</w:instrText>
      </w:r>
      <w:r w:rsidR="00DD1558" w:rsidRPr="00DD1558">
        <w:rPr>
          <w:rFonts w:ascii="Simplified Arabic" w:eastAsia="Times New Roman" w:hAnsi="Simplified Arabic" w:cs="Simplified Arabic"/>
          <w:color w:val="1A1A1A"/>
          <w:sz w:val="28"/>
          <w:szCs w:val="28"/>
          <w14:ligatures w14:val="none"/>
        </w:rPr>
        <w:instrText>users/19711126/items/QSRBIQTB"],"itemData":{"id":473,"type":"article-journal","abstract":"In-depth interviews are a versatile form of qualitative data collection used by researchers across the social sciences. They allow individuals to explain, in their</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own words, how they understand and interpret the world around them. Interviews represent a deceptively familiar social encounter in which people interact by asking and answering questions. They are, however, a very particular type of conversation, guided</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by the researcher and used for specific ends. This dynamic introduces a range of methodological, analytical and ethical challenges, for novice researchers in particular. In this Primer, we focus on the stages and challenges of designing and conducting an</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14:ligatures w14:val="none"/>
        </w:rPr>
        <w:instrText>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w:instrText>
      </w:r>
      <w:r w:rsidR="00DD1558" w:rsidRPr="00DD1558">
        <w:rPr>
          <w:rFonts w:ascii="Simplified Arabic" w:eastAsia="Times New Roman" w:hAnsi="Simplified Arabic" w:cs="Simplified Arabic"/>
          <w:color w:val="1A1A1A"/>
          <w:sz w:val="28"/>
          <w:szCs w:val="28"/>
          <w:rtl/>
          <w14:ligatures w14:val="none"/>
        </w:rPr>
        <w:instrText>":"</w:instrText>
      </w:r>
      <w:r w:rsidR="00DD1558" w:rsidRPr="00DD1558">
        <w:rPr>
          <w:rFonts w:ascii="Simplified Arabic" w:eastAsia="Times New Roman" w:hAnsi="Simplified Arabic" w:cs="Simplified Arabic"/>
          <w:color w:val="1A1A1A"/>
          <w:sz w:val="28"/>
          <w:szCs w:val="28"/>
          <w14:ligatures w14:val="none"/>
        </w:rPr>
        <w:instrText>Rao","given":"Aliya Hamid"},{"family":"Summers","given":"Kate"},{"family":"Teeger","given":"Chana"}],"issued":{"date-parts":[["2022",9,15]]}}}],"schema":"https://github.com/citation-style-language/schema/raw/master/csl-citation.json</w:instrText>
      </w:r>
      <w:r w:rsidR="00DD1558" w:rsidRPr="00DD1558">
        <w:rPr>
          <w:rFonts w:ascii="Simplified Arabic" w:eastAsia="Times New Roman" w:hAnsi="Simplified Arabic" w:cs="Simplified Arabic"/>
          <w:color w:val="1A1A1A"/>
          <w:sz w:val="28"/>
          <w:szCs w:val="28"/>
          <w:rtl/>
          <w14:ligatures w14:val="none"/>
        </w:rPr>
        <w:instrText xml:space="preserve">"} </w:instrText>
      </w:r>
      <w:r w:rsidR="00DD1558" w:rsidRPr="00DD1558">
        <w:rPr>
          <w:rFonts w:ascii="Simplified Arabic" w:eastAsia="Times New Roman" w:hAnsi="Simplified Arabic" w:cs="Simplified Arabic"/>
          <w:color w:val="1A1A1A"/>
          <w:sz w:val="28"/>
          <w:szCs w:val="28"/>
          <w:rtl/>
          <w14:ligatures w14:val="none"/>
        </w:rPr>
        <w:fldChar w:fldCharType="separate"/>
      </w:r>
      <w:r w:rsidR="00DD1558" w:rsidRPr="00DD1558">
        <w:rPr>
          <w:rFonts w:ascii="Simplified Arabic" w:eastAsia="Times New Roman" w:hAnsi="Simplified Arabic" w:cs="Simplified Arabic"/>
          <w:color w:val="1A1A1A"/>
          <w:sz w:val="28"/>
          <w:szCs w:val="24"/>
          <w14:ligatures w14:val="none"/>
        </w:rPr>
        <w:t>(Al Qur’an, 2025; Knott et al., 2022)</w:t>
      </w:r>
      <w:r w:rsidR="00DD1558" w:rsidRPr="00DD1558">
        <w:rPr>
          <w:rFonts w:ascii="Simplified Arabic" w:eastAsia="Times New Roman" w:hAnsi="Simplified Arabic" w:cs="Simplified Arabic"/>
          <w:color w:val="1A1A1A"/>
          <w:sz w:val="28"/>
          <w:szCs w:val="28"/>
          <w:rtl/>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p>
    <w:p w14:paraId="7CAFA032"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93" w:name="_Toc237539742"/>
      <w:r w:rsidRPr="00DD1558">
        <w:rPr>
          <w:rFonts w:ascii="Simplified Arabic" w:eastAsiaTheme="majorEastAsia" w:hAnsi="Simplified Arabic" w:cstheme="majorBidi"/>
          <w:b/>
          <w:sz w:val="28"/>
          <w:szCs w:val="32"/>
        </w:rPr>
        <w:t>3.1 Methodological Orientation and Research Design</w:t>
      </w:r>
      <w:bookmarkEnd w:id="93"/>
    </w:p>
    <w:p w14:paraId="78A19AB1" w14:textId="501D13B6"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study is a </w:t>
      </w:r>
      <w:r w:rsidRPr="00DD1558">
        <w:rPr>
          <w:rFonts w:ascii="Simplified Arabic" w:eastAsia="Times New Roman" w:hAnsi="Simplified Arabic" w:cs="Simplified Arabic"/>
          <w:b/>
          <w:bCs/>
          <w:color w:val="1A1A1A"/>
          <w:sz w:val="28"/>
          <w:szCs w:val="28"/>
          <w14:ligatures w14:val="none"/>
        </w:rPr>
        <w:t>descriptive-analytical, qualitative, design-oriented single embedded case study</w:t>
      </w:r>
      <w:r w:rsidRPr="00DD1558">
        <w:rPr>
          <w:rFonts w:ascii="Simplified Arabic" w:eastAsia="Times New Roman" w:hAnsi="Simplified Arabic" w:cs="Simplified Arabic"/>
          <w:color w:val="1A1A1A"/>
          <w:sz w:val="28"/>
          <w:szCs w:val="28"/>
          <w14:ligatures w14:val="none"/>
        </w:rPr>
        <w:t xml:space="preserve"> </w:t>
      </w:r>
      <w:r w:rsidR="000B6195" w:rsidRPr="000B6195">
        <w:rPr>
          <w:rFonts w:ascii="Simplified Arabic" w:eastAsia="Times New Roman" w:hAnsi="Simplified Arabic" w:cs="Simplified Arabic"/>
          <w:color w:val="1A1A1A"/>
          <w:sz w:val="28"/>
          <w:szCs w:val="28"/>
          <w14:ligatures w14:val="none"/>
        </w:rPr>
        <w:t>of laboratory inventory governance within a large public science faculty at a Saudi higher education institution, with a life sciences department as the embedded unit of analysis.</w:t>
      </w:r>
      <w:r w:rsidRPr="00DD1558">
        <w:rPr>
          <w:rFonts w:ascii="Simplified Arabic" w:eastAsia="Times New Roman" w:hAnsi="Simplified Arabic" w:cs="Simplified Arabic"/>
          <w:color w:val="1A1A1A"/>
          <w:sz w:val="28"/>
          <w:szCs w:val="28"/>
          <w14:ligatures w14:val="none"/>
        </w:rPr>
        <w:t xml:space="preserve"> Each element of that designation carries methodological content. The study is </w:t>
      </w:r>
      <w:r w:rsidRPr="00DD1558">
        <w:rPr>
          <w:rFonts w:ascii="Simplified Arabic" w:eastAsia="Times New Roman" w:hAnsi="Simplified Arabic" w:cs="Simplified Arabic"/>
          <w:i/>
          <w:iCs/>
          <w:color w:val="1A1A1A"/>
          <w:sz w:val="28"/>
          <w:szCs w:val="28"/>
          <w14:ligatures w14:val="none"/>
        </w:rPr>
        <w:t>descriptive</w:t>
      </w:r>
      <w:r w:rsidRPr="00DD1558">
        <w:rPr>
          <w:rFonts w:ascii="Simplified Arabic" w:eastAsia="Times New Roman" w:hAnsi="Simplified Arabic" w:cs="Simplified Arabic"/>
          <w:color w:val="1A1A1A"/>
          <w:sz w:val="28"/>
          <w:szCs w:val="28"/>
          <w14:ligatures w14:val="none"/>
        </w:rPr>
        <w:t xml:space="preserve"> in that it renders the prevailing decentralized inventory regime with structural precision — its record-keeping practices, requisition pathways, custody arrangements, and procurement defaults — before evaluating it. It is </w:t>
      </w:r>
      <w:r w:rsidRPr="00DD1558">
        <w:rPr>
          <w:rFonts w:ascii="Simplified Arabic" w:eastAsia="Times New Roman" w:hAnsi="Simplified Arabic" w:cs="Simplified Arabic"/>
          <w:i/>
          <w:iCs/>
          <w:color w:val="1A1A1A"/>
          <w:sz w:val="28"/>
          <w:szCs w:val="28"/>
          <w14:ligatures w14:val="none"/>
        </w:rPr>
        <w:t>analytical</w:t>
      </w:r>
      <w:r w:rsidRPr="00DD1558">
        <w:rPr>
          <w:rFonts w:ascii="Simplified Arabic" w:eastAsia="Times New Roman" w:hAnsi="Simplified Arabic" w:cs="Simplified Arabic"/>
          <w:color w:val="1A1A1A"/>
          <w:sz w:val="28"/>
          <w:szCs w:val="28"/>
          <w14:ligatures w14:val="none"/>
        </w:rPr>
        <w:t xml:space="preserve"> in that it interrogates that regime through five integrated lenses: risk maturity modeling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{"citationID":"AkM4MZ0P","properties":{"unsorted":false,"formattedCitation":"(Hillson,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Bow-Tie risk analysis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{"citationID":"MtmTliMO","properties":{"unsorted":false,"formattedCitation":"(de Ruijter &amp; Guldenmund, 2016; 31010 ISO/IEC, 2019; Johnson et al., 2018)","plainCitation":"(de Ruijter &amp; Guldenmund, 2016; 31010 ISO/IEC, 2019;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31010 ISO/IEC, 2019;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business continuity management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{"citationID":"FRrnJadn","properties":{"unsorted":false,"formattedCitation":"(22301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environmental management and university social responsibility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{"citationID":"yoL6KCPu","properties":{"unsorted":false,"formattedCitation":"(Ali et al., 2021; 14001 ISO/IEC, 2015)","plainCitation":"(Ali et al., 2021; 14001 ISO/IEC,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FIRM risk classification taxonomy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{"citationID":"IQGmLsef","properties":{"unsorted":false,"formattedCitation":"(Hopkin,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It is </w:t>
      </w:r>
      <w:r w:rsidRPr="00DD1558">
        <w:rPr>
          <w:rFonts w:ascii="Simplified Arabic" w:eastAsia="Times New Roman" w:hAnsi="Simplified Arabic" w:cs="Simplified Arabic"/>
          <w:i/>
          <w:iCs/>
          <w:color w:val="1A1A1A"/>
          <w:sz w:val="28"/>
          <w:szCs w:val="28"/>
          <w14:ligatures w14:val="none"/>
        </w:rPr>
        <w:t>design-</w:t>
      </w:r>
      <w:r w:rsidRPr="00DD1558">
        <w:rPr>
          <w:rFonts w:ascii="Simplified Arabic" w:eastAsia="Times New Roman" w:hAnsi="Simplified Arabic" w:cs="Simplified Arabic"/>
          <w:i/>
          <w:iCs/>
          <w:color w:val="1A1A1A"/>
          <w:sz w:val="28"/>
          <w:szCs w:val="28"/>
          <w14:ligatures w14:val="none"/>
        </w:rPr>
        <w:lastRenderedPageBreak/>
        <w:t>oriented</w:t>
      </w:r>
      <w:r w:rsidRPr="00DD1558">
        <w:rPr>
          <w:rFonts w:ascii="Simplified Arabic" w:eastAsia="Times New Roman" w:hAnsi="Simplified Arabic" w:cs="Simplified Arabic"/>
          <w:color w:val="1A1A1A"/>
          <w:sz w:val="28"/>
          <w:szCs w:val="28"/>
          <w14:ligatures w14:val="none"/>
        </w:rPr>
        <w:t xml:space="preserve"> in that its terminal products are not findings about a population but design artifacts: an organizational framework, a feasibility matrix, a classified risk register, a key performance indicator (KPI) set, and a phased implementation roadmap. And it is a </w:t>
      </w:r>
      <w:r w:rsidRPr="00DD1558">
        <w:rPr>
          <w:rFonts w:ascii="Simplified Arabic" w:eastAsia="Times New Roman" w:hAnsi="Simplified Arabic" w:cs="Simplified Arabic"/>
          <w:i/>
          <w:iCs/>
          <w:color w:val="1A1A1A"/>
          <w:sz w:val="28"/>
          <w:szCs w:val="28"/>
          <w14:ligatures w14:val="none"/>
        </w:rPr>
        <w:t>single embedded case study</w:t>
      </w:r>
      <w:r w:rsidRPr="00DD1558">
        <w:rPr>
          <w:rFonts w:ascii="Simplified Arabic" w:eastAsia="Times New Roman" w:hAnsi="Simplified Arabic" w:cs="Simplified Arabic"/>
          <w:color w:val="1A1A1A"/>
          <w:sz w:val="28"/>
          <w:szCs w:val="28"/>
          <w14:ligatures w14:val="none"/>
        </w:rPr>
        <w:t xml:space="preserve"> in that one institutional case hosts one analytically privileged sub-unit, examined for what it reveals about the governance of the whole.</w:t>
      </w:r>
    </w:p>
    <w:p w14:paraId="6AB8744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case-study warrant follows the logic articulated in contemporary qualitative methodology: a case is selected not to represent a population statistically but to permit intensive, contextualized analysis of a phenomenon whose mechanisms are structural and whose generalization is </w:t>
      </w:r>
      <w:r w:rsidRPr="00DD1558">
        <w:rPr>
          <w:rFonts w:ascii="Simplified Arabic" w:eastAsia="Times New Roman" w:hAnsi="Simplified Arabic" w:cs="Simplified Arabic"/>
          <w:i/>
          <w:iCs/>
          <w:color w:val="1A1A1A"/>
          <w:sz w:val="28"/>
          <w:szCs w:val="28"/>
          <w14:ligatures w14:val="none"/>
        </w:rPr>
        <w:t>analytic</w:t>
      </w:r>
      <w:r w:rsidRPr="00DD1558">
        <w:rPr>
          <w:rFonts w:ascii="Simplified Arabic" w:eastAsia="Times New Roman" w:hAnsi="Simplified Arabic" w:cs="Simplified Arabic"/>
          <w:color w:val="1A1A1A"/>
          <w:sz w:val="28"/>
          <w:szCs w:val="28"/>
          <w14:ligatures w14:val="none"/>
        </w:rPr>
        <w:t xml:space="preserve"> — the transfer of reasoned propositions to structurally similar settings — rather than statistical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{"citationID":"uNkJA1mj","properties":{"unsorted":false,"formattedCitation":"(Al Qur\\uc0\\u8217{}an, 2025)","plainCitation":"(Al Qur’an, 2025)","noteIndex":0},"citationItems":[{"id":395,"uris":["http://zotero.org/users/19711126/items/YNX87PB6"],"itemData":{"id":395,"type":"article-journal","abstract":"This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 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 for Qualitative Case Study","title-short":"Conducting Case Study Research in International Entrepreneurship","volume":"24","author":[{"family":"Al Qur’an","given":"Marwan N."}],"issued":{"date-parts":[["2025",7,1]]}}}],"schema":"https://github.com/citation-style-language/schema/raw/master/csl-citation.json"}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 Qur’an,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study’s propositions are accordingly structural claims about how participatory inventory governance must be organized to function: that shared visibility requires a standardized record structure; that sharing without decision rights decays into nominal compliance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{"citationID":"1IpSUJ1C","properties":{"unsorted":false,"formattedCitation":"(Ahn &amp; Baldwin, 2024; X. Wang &amp; Qu, 2025)","plainCitation":"(Ahn &amp; Baldwin, 2024; X. Wang &amp; Qu, 2025)","noteIndex":0},"citationItems":[{"id":392,"uris":["http://zotero.org/users/19711126/items/875J4EC5"],"itemData":{"id":392,"type":"article-journal","abstract":"Collaborative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that organizational standardization must precede digitalization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{"citationID":"nIrypYIx","properties":{"unsorted":false,"formattedCitation":"(Bellantuono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These propositions are evaluated by documentary evidence, standards conformity, and internal coherence, and they transfer to comparable settings by reasoned analogy, not by extrapolation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{"citationID":"i9Yj5RxM","properties":{"unsorted":false,"formattedCitation":"(Al Qur\\uc0\\u8217{}an, 2025; Knott et al., 2022)","plainCitation":"(Al Qur’an, 2025; Knott et al., 2022)","noteIndex":0},"citationItems":[{"id":395,"uris":["http://zotero.org/users/19711126/items/YNX87PB6"],"itemData":{"id":395,"type":"article-journal","abstract":"This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 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 for Qualitative Case Study","title-short":"Conducting Case Study Research in International Entrepreneurship","volume":"24","author":[{"family":"Al Qur’an","given":"Marwan N."}],"issued":{"date-parts":[["2025",7,1]]}}},{"id":473,"uris":["http://zotero.org/users/19711126/items/QSRBIQTB"],"itemData":{"id":473,"type":"article-journal","abstract":"In-depth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 Qur’an, 2025; Knott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152C5D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study is also, in disciplinary terms, </w:t>
      </w:r>
      <w:r w:rsidRPr="00DD1558">
        <w:rPr>
          <w:rFonts w:ascii="Simplified Arabic" w:eastAsia="Times New Roman" w:hAnsi="Simplified Arabic" w:cs="Simplified Arabic"/>
          <w:b/>
          <w:bCs/>
          <w:color w:val="1A1A1A"/>
          <w:sz w:val="28"/>
          <w:szCs w:val="28"/>
          <w14:ligatures w14:val="none"/>
        </w:rPr>
        <w:t>policy and governance design research</w:t>
      </w:r>
      <w:r w:rsidRPr="00DD1558">
        <w:rPr>
          <w:rFonts w:ascii="Simplified Arabic" w:eastAsia="Times New Roman" w:hAnsi="Simplified Arabic" w:cs="Simplified Arabic"/>
          <w:color w:val="1A1A1A"/>
          <w:sz w:val="28"/>
          <w:szCs w:val="28"/>
          <w14:ligatures w14:val="none"/>
        </w:rPr>
        <w:t xml:space="preserve">: it treats an internal university operational reform as an undertaking amenable to the feasibility-and-risk discipline of project management, conducted before execution and tailored to context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{"citationID":"lf1OEL6f","properties":{"unsorted":false,"formattedCitation":"(PMI, 2021; Takagi et al., 2024)","plainCitation":"(PMI, 2021; Takagi et al., 2024)","noteIndex":0},"citationItems":[{"id":490,"uris":["http://zotero.org/users/19711126/items/LY4H4ZEI"],"itemData":{"id":490,"type":"book","abstract":"PMBOK®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Its evidence is documentary — policies, record structures, standards texts, verified scholarship — and its contribution is a framework whose validity rests on structural soundness and standards alignment, awaiting gate-governed implementation for empirical confirmation.</w:t>
      </w:r>
    </w:p>
    <w:p w14:paraId="1F7D1D2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In lieu of statistical hypotheses, the study restates its </w:t>
      </w:r>
      <w:r w:rsidRPr="00DD1558">
        <w:rPr>
          <w:rFonts w:ascii="Simplified Arabic" w:eastAsia="Times New Roman" w:hAnsi="Simplified Arabic" w:cs="Simplified Arabic"/>
          <w:b/>
          <w:bCs/>
          <w:color w:val="1A1A1A"/>
          <w:sz w:val="28"/>
          <w:szCs w:val="28"/>
          <w14:ligatures w14:val="none"/>
        </w:rPr>
        <w:t>qualitative premise</w:t>
      </w:r>
      <w:r w:rsidRPr="00DD1558">
        <w:rPr>
          <w:rFonts w:ascii="Simplified Arabic" w:eastAsia="Times New Roman" w:hAnsi="Simplified Arabic" w:cs="Simplified Arabic"/>
          <w:color w:val="1A1A1A"/>
          <w:sz w:val="28"/>
          <w:szCs w:val="28"/>
          <w14:ligatures w14:val="none"/>
        </w:rPr>
        <w:t xml:space="preserve">, first articulated in </w:t>
      </w:r>
      <w:hyperlink w:anchor="_2.5_Organizational_Readiness," w:history="1">
        <w:r w:rsidRPr="00DD1558">
          <w:rPr>
            <w:rFonts w:ascii="Simplified Arabic" w:eastAsia="Times New Roman" w:hAnsi="Simplified Arabic" w:cs="Simplified Arabic"/>
            <w:color w:val="467886" w:themeColor="hyperlink"/>
            <w:sz w:val="28"/>
            <w:szCs w:val="28"/>
            <w:u w:val="single"/>
            <w14:ligatures w14:val="none"/>
          </w:rPr>
          <w:t>Section 2.8.</w:t>
        </w:r>
      </w:hyperlink>
      <w:r w:rsidRPr="00DD1558">
        <w:rPr>
          <w:rFonts w:ascii="Simplified Arabic" w:eastAsia="Times New Roman" w:hAnsi="Simplified Arabic" w:cs="Simplified Arabic"/>
          <w:color w:val="1A1A1A"/>
          <w:sz w:val="28"/>
          <w:szCs w:val="28"/>
          <w14:ligatures w14:val="none"/>
        </w:rPr>
        <w:t xml:space="preserve"> The premise links three independent dimensions — </w:t>
      </w:r>
      <w:r w:rsidRPr="00DD1558">
        <w:rPr>
          <w:rFonts w:ascii="Simplified Arabic" w:eastAsia="Times New Roman" w:hAnsi="Simplified Arabic" w:cs="Simplified Arabic"/>
          <w:i/>
          <w:iCs/>
          <w:color w:val="1A1A1A"/>
          <w:sz w:val="28"/>
          <w:szCs w:val="28"/>
          <w14:ligatures w14:val="none"/>
        </w:rPr>
        <w:t>Governance Architecture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Policy Control</w:t>
      </w:r>
      <w:r w:rsidRPr="00DD1558">
        <w:rPr>
          <w:rFonts w:ascii="Simplified Arabic" w:eastAsia="Times New Roman" w:hAnsi="Simplified Arabic" w:cs="Simplified Arabic"/>
          <w:color w:val="1A1A1A"/>
          <w:sz w:val="28"/>
          <w:szCs w:val="28"/>
          <w14:ligatures w14:val="none"/>
        </w:rPr>
        <w:t xml:space="preserve">, and </w:t>
      </w:r>
      <w:r w:rsidRPr="00DD1558">
        <w:rPr>
          <w:rFonts w:ascii="Simplified Arabic" w:eastAsia="Times New Roman" w:hAnsi="Simplified Arabic" w:cs="Simplified Arabic"/>
          <w:i/>
          <w:iCs/>
          <w:color w:val="1A1A1A"/>
          <w:sz w:val="28"/>
          <w:szCs w:val="28"/>
          <w14:ligatures w14:val="none"/>
        </w:rPr>
        <w:t>Standardization</w:t>
      </w:r>
      <w:r w:rsidRPr="00DD1558">
        <w:rPr>
          <w:rFonts w:ascii="Simplified Arabic" w:eastAsia="Times New Roman" w:hAnsi="Simplified Arabic" w:cs="Simplified Arabic"/>
          <w:color w:val="1A1A1A"/>
          <w:sz w:val="28"/>
          <w:szCs w:val="28"/>
          <w14:ligatures w14:val="none"/>
        </w:rPr>
        <w:t xml:space="preserve"> — to three dependent dimensions — </w:t>
      </w:r>
      <w:r w:rsidRPr="00DD1558">
        <w:rPr>
          <w:rFonts w:ascii="Simplified Arabic" w:eastAsia="Times New Roman" w:hAnsi="Simplified Arabic" w:cs="Simplified Arabic"/>
          <w:i/>
          <w:iCs/>
          <w:color w:val="1A1A1A"/>
          <w:sz w:val="28"/>
          <w:szCs w:val="28"/>
          <w14:ligatures w14:val="none"/>
        </w:rPr>
        <w:t>Operational Efficiency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Environmental Sustainability</w:t>
      </w:r>
      <w:r w:rsidRPr="00DD1558">
        <w:rPr>
          <w:rFonts w:ascii="Simplified Arabic" w:eastAsia="Times New Roman" w:hAnsi="Simplified Arabic" w:cs="Simplified Arabic"/>
          <w:color w:val="1A1A1A"/>
          <w:sz w:val="28"/>
          <w:szCs w:val="28"/>
          <w14:ligatures w14:val="none"/>
        </w:rPr>
        <w:t xml:space="preserve">, and </w:t>
      </w:r>
      <w:r w:rsidRPr="00DD1558">
        <w:rPr>
          <w:rFonts w:ascii="Simplified Arabic" w:eastAsia="Times New Roman" w:hAnsi="Simplified Arabic" w:cs="Simplified Arabic"/>
          <w:i/>
          <w:iCs/>
          <w:color w:val="1A1A1A"/>
          <w:sz w:val="28"/>
          <w:szCs w:val="28"/>
          <w14:ligatures w14:val="none"/>
        </w:rPr>
        <w:t>Business Continuity</w:t>
      </w:r>
      <w:r w:rsidRPr="00DD1558">
        <w:rPr>
          <w:rFonts w:ascii="Simplified Arabic" w:eastAsia="Times New Roman" w:hAnsi="Simplified Arabic" w:cs="Simplified Arabic"/>
          <w:color w:val="1A1A1A"/>
          <w:sz w:val="28"/>
          <w:szCs w:val="28"/>
          <w14:ligatures w14:val="none"/>
        </w:rPr>
        <w:t xml:space="preserve">. It asserts, as a structural proposition rather than a testable coefficient, that strengthening the independent dimensions through the framework’s specified mechanisms (a ratified governance architecture with allocated decision rights; enforceable policy instruments such as the eligibility clauses and the FEFO standard; and a unified catalog and records structure) is designed to improve the dependent dimensions (displaced duplicate procurement and raised asset utilization; prevented expired-chemical waste and governed disposal; protected prioritized teaching activities during supply interruption), and that this linkage is mediated by the institution’s progression along the adapted maturity trajectory from Inform/Conform toward Perform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{"citationID":"wUwX9Dum","properties":{"unsorted":false,"formattedCitation":"(Hillson,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Every analytical procedure in </w:t>
      </w:r>
      <w:hyperlink w:anchor="_9.5_Analytical_Procedures" w:history="1">
        <w:r w:rsidRPr="00DD1558">
          <w:rPr>
            <w:rFonts w:ascii="Simplified Arabic" w:eastAsia="Times New Roman" w:hAnsi="Simplified Arabic" w:cs="Simplified Arabic"/>
            <w:color w:val="467886" w:themeColor="hyperlink"/>
            <w:sz w:val="28"/>
            <w:szCs w:val="28"/>
            <w:u w:val="single"/>
            <w14:ligatures w14:val="none"/>
          </w:rPr>
          <w:t>Section 3.5</w:t>
        </w:r>
      </w:hyperlink>
      <w:r w:rsidRPr="00DD1558">
        <w:rPr>
          <w:rFonts w:ascii="Simplified Arabic" w:eastAsia="Times New Roman" w:hAnsi="Simplified Arabic" w:cs="Simplified Arabic"/>
          <w:color w:val="1A1A1A"/>
          <w:sz w:val="28"/>
          <w:szCs w:val="28"/>
          <w14:ligatures w14:val="none"/>
        </w:rPr>
        <w:t xml:space="preserve"> is an operation upon one or more of these dimensions; the premise therefore functions as the study’s integrative logic, not as an empirical claim.</w:t>
      </w:r>
    </w:p>
    <w:p w14:paraId="1DD43CA8"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94" w:name="_Toc237539743"/>
      <w:r w:rsidRPr="00DD1558">
        <w:rPr>
          <w:rFonts w:ascii="Simplified Arabic" w:eastAsiaTheme="majorEastAsia" w:hAnsi="Simplified Arabic" w:cstheme="majorBidi"/>
          <w:b/>
          <w:sz w:val="28"/>
          <w:szCs w:val="32"/>
        </w:rPr>
        <w:t>3.2 Case Context and Population-in-Context</w:t>
      </w:r>
      <w:bookmarkEnd w:id="94"/>
    </w:p>
    <w:p w14:paraId="7227CA8D" w14:textId="0F5F2A22" w:rsidR="00DD1558" w:rsidRPr="00DD1558" w:rsidRDefault="000B6195"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0B6195">
        <w:rPr>
          <w:rFonts w:ascii="Simplified Arabic" w:eastAsia="Times New Roman" w:hAnsi="Simplified Arabic" w:cs="Simplified Arabic"/>
          <w:color w:val="1A1A1A"/>
          <w:sz w:val="28"/>
          <w:szCs w:val="28"/>
          <w14:ligatures w14:val="none"/>
        </w:rPr>
        <w:t>The case is laboratory inventory governance within a large public science faculty at a Saudi higher education institution in Riyadh. As a major higher education environment with centralized academic operations, the institution operates on a single integrated mega-campus that concentrates procurement volume and laboratory capacity within one institutional boundary—a concentration that amplifies both the coordination failures of decentralization and the gains available from participatory coordination.</w:t>
      </w:r>
      <w:r w:rsidR="00DD1558" w:rsidRPr="00DD1558">
        <w:rPr>
          <w:rFonts w:ascii="Simplified Arabic" w:eastAsia="Times New Roman" w:hAnsi="Simplified Arabic" w:cs="Simplified Arabic"/>
          <w:color w:val="1A1A1A"/>
          <w:sz w:val="28"/>
          <w:szCs w:val="28"/>
          <w14:ligatures w14:val="none"/>
        </w:rPr>
        <w:t xml:space="preserve"> (</w:t>
      </w:r>
      <w:hyperlink w:anchor="_1.1_Background_and" w:history="1">
        <w:r w:rsidR="00DD1558" w:rsidRPr="00DD1558">
          <w:rPr>
            <w:rFonts w:ascii="Simplified Arabic" w:eastAsia="Times New Roman" w:hAnsi="Simplified Arabic" w:cs="Simplified Arabic"/>
            <w:color w:val="467886" w:themeColor="hyperlink"/>
            <w:sz w:val="28"/>
            <w:szCs w:val="28"/>
            <w:u w:val="single"/>
            <w14:ligatures w14:val="none"/>
          </w:rPr>
          <w:t>Section 1.1</w:t>
        </w:r>
      </w:hyperlink>
      <w:r w:rsidR="00DD1558" w:rsidRPr="00DD1558">
        <w:rPr>
          <w:rFonts w:ascii="Simplified Arabic" w:eastAsia="Times New Roman" w:hAnsi="Simplified Arabic" w:cs="Simplified Arabic"/>
          <w:color w:val="1A1A1A"/>
          <w:sz w:val="28"/>
          <w:szCs w:val="28"/>
          <w14:ligatures w14:val="none"/>
        </w:rPr>
        <w:t xml:space="preserve">). The College of Science hosts extensive teaching and research laboratories across multiple departments. Within it, the </w:t>
      </w:r>
      <w:r w:rsidR="00DD1558" w:rsidRPr="00DD1558">
        <w:rPr>
          <w:rFonts w:ascii="Simplified Arabic" w:eastAsia="Times New Roman" w:hAnsi="Simplified Arabic" w:cs="Simplified Arabic"/>
          <w:b/>
          <w:bCs/>
          <w:color w:val="1A1A1A"/>
          <w:sz w:val="28"/>
          <w:szCs w:val="28"/>
          <w14:ligatures w14:val="none"/>
        </w:rPr>
        <w:t>Biology Department</w:t>
      </w:r>
      <w:r w:rsidR="00DD1558" w:rsidRPr="00DD1558">
        <w:rPr>
          <w:rFonts w:ascii="Simplified Arabic" w:eastAsia="Times New Roman" w:hAnsi="Simplified Arabic" w:cs="Simplified Arabic"/>
          <w:color w:val="1A1A1A"/>
          <w:sz w:val="28"/>
          <w:szCs w:val="28"/>
          <w14:ligatures w14:val="none"/>
        </w:rPr>
        <w:t xml:space="preserve"> serves as the embedded unit of analysis, selected as an information-rich case because its structural features present the college’s inventory problem in full: a large and diverse inventory spanning instruments, glassware, </w:t>
      </w:r>
      <w:r w:rsidR="00DD1558" w:rsidRPr="00DD1558">
        <w:rPr>
          <w:rFonts w:ascii="Simplified Arabic" w:eastAsia="Times New Roman" w:hAnsi="Simplified Arabic" w:cs="Simplified Arabic"/>
          <w:color w:val="1A1A1A"/>
          <w:sz w:val="28"/>
          <w:szCs w:val="28"/>
          <w14:ligatures w14:val="none"/>
        </w:rPr>
        <w:lastRenderedPageBreak/>
        <w:t xml:space="preserve">consumables, and chemicals; high student throughput on fixed semester cycles; recurring consumable orders driven by chemically intensive courses; and episodic research demand superimposed on routine teaching loads. The selection logic is purposive and structural — maximum structural variation within a single department — not probabilistic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{"citationID":"4UBhNTZh","properties":{"unsorted":false,"formattedCitation":"(Knott et al., 2022)","plainCitation":"(Knott et al., 2022)","noteIndex":0},"citationItems":[{"id":473,"uris":["http://zotero.org/users/19711126/items/QSRBIQTB"],"itemData":{"id":473,"type":"article-journal","abstract":"In-depth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(Knott et al., 2022)</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The institutional environment is shaped by Saudi Vision 2030’s expectations of fiscal efficiency, environmental sustainability, and digital transformation in public institutions, which supply the strategic mandate against which the framework is assessed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{"citationID":"T577tHuM","properties":{"unsorted":false,"formattedCitation":"(Alamoudi et al., 2023; Alshammari, 2025; Hassanain et al., 2019)","plainCitation":"(Alamoudi et al., 2023; Alshammari, 2025; Hassanain et al., 2019)","noteIndex":0},"citationItems":[{"id":397,"uris":["http://zotero.org/users/19711126/items/NXW23TK2"],"itemData":{"id":397,"type":"article-journal","abstract":"Cities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(Alamoudi et al., 2023; Alshammari, 2025; Hassanain et al., 2019)</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p>
    <w:p w14:paraId="7B927509" w14:textId="3CE0656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Because the study is structural rather than behavioral, the conventional notion of a “population” of respondents is reframed. </w:t>
      </w:r>
      <w:r w:rsidRPr="00DD1558">
        <w:rPr>
          <w:rFonts w:ascii="Simplified Arabic" w:eastAsia="Times New Roman" w:hAnsi="Simplified Arabic" w:cs="Simplified Arabic"/>
          <w:b/>
          <w:bCs/>
          <w:color w:val="1A1A1A"/>
          <w:sz w:val="28"/>
          <w:szCs w:val="28"/>
          <w14:ligatures w14:val="none"/>
        </w:rPr>
        <w:t>The unit of analysis is the inventory regime itself</w:t>
      </w:r>
      <w:r w:rsidRPr="00DD1558">
        <w:rPr>
          <w:rFonts w:ascii="Simplified Arabic" w:eastAsia="Times New Roman" w:hAnsi="Simplified Arabic" w:cs="Simplified Arabic"/>
          <w:color w:val="1A1A1A"/>
          <w:sz w:val="28"/>
          <w:szCs w:val="28"/>
          <w14:ligatures w14:val="none"/>
        </w:rPr>
        <w:t xml:space="preserve"> — the full configuration of policies, record structures, role definitions, custody arrangements, procurement workflows, and disposal pathways through which laboratory materials are governed — not the people who operate it. Human actors enter the analysis only as occupants of structurally defined roles (Board, Committee, Unit, custodian supervisors, laboratory technicians), and the framework specifies their decision rights and boundaries rather than measuring their attitudes or behaviors. The </w:t>
      </w:r>
      <w:r w:rsidRPr="00DD1558">
        <w:rPr>
          <w:rFonts w:ascii="Simplified Arabic" w:eastAsia="Times New Roman" w:hAnsi="Simplified Arabic" w:cs="Simplified Arabic"/>
          <w:b/>
          <w:bCs/>
          <w:color w:val="1A1A1A"/>
          <w:sz w:val="28"/>
          <w:szCs w:val="28"/>
          <w14:ligatures w14:val="none"/>
        </w:rPr>
        <w:t>population-in-context</w:t>
      </w:r>
      <w:r w:rsidRPr="00DD1558">
        <w:rPr>
          <w:rFonts w:ascii="Simplified Arabic" w:eastAsia="Times New Roman" w:hAnsi="Simplified Arabic" w:cs="Simplified Arabic"/>
          <w:color w:val="1A1A1A"/>
          <w:sz w:val="28"/>
          <w:szCs w:val="28"/>
          <w14:ligatures w14:val="none"/>
        </w:rPr>
        <w:t xml:space="preserve"> is therefore the complete set of educational laboratory inventory units within the College of Science: every departmental laboratory whose instruments, glassware, consumables, and chemicals fall under the decentralized regime. The Biology Department functions within this population as the information-rich embedded case — the unit through which the regime’s mechanisms are examined in detail and in which the roadmap’s pilot phase (</w:t>
      </w:r>
      <w:hyperlink w:anchor="Section416" w:history="1">
        <w:r w:rsidR="000A422D" w:rsidRPr="00730A82">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is located — while the framework’s governance architecture, policies, and workflows are designed for the population as a whole. This reframing is the methodological counterpart of the thesis’s central claim that the problem is organizational design, not individual performance: where the object of reform is a regime, the object of study is the regime’s structure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{"citationID":"2TaqhGQB","properties":{"unsorted":false,"formattedCitation":"(Ahn &amp; Baldwin, 2024; Al Qur\\uc0\\u8217{}an, 2025)","plainCitation":"(Ahn &amp; Baldwin, 2024; Al Qur’an, 2025)","noteIndex":0},"citationItems":[{"id":392,"uris":["http://zotero.org/users/19711126/items/875J4EC5"],"itemData":{"id":392,"type":"article-journal","abstract":"Collaborative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395,"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 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 for Qualitative Case Study","title-short":"Conducting Case Study Research in International Entrepreneurship","volume":"24","author":[{"family":"Al Qur’an","given":"Marwan N."}],"issued":{"date-parts":[["2025",7,1]]}}}],"schema":"https://github.com/citation-style-language/schema/raw/master/csl-citation.json"}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Al Qur’an,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CA0D72D" w14:textId="4F6593BA" w:rsidR="00DD1558" w:rsidRPr="00E275BE" w:rsidRDefault="00E275BE" w:rsidP="00E275BE">
      <w:pPr>
        <w:keepNext/>
        <w:keepLines/>
        <w:bidi w:val="0"/>
        <w:spacing w:before="160" w:after="80"/>
        <w:outlineLvl w:val="1"/>
        <w:rPr>
          <w:rFonts w:ascii="Simplified Arabic" w:eastAsiaTheme="majorEastAsia" w:hAnsi="Simplified Arabic" w:cstheme="majorBidi"/>
          <w:b/>
          <w:sz w:val="28"/>
          <w:szCs w:val="32"/>
        </w:rPr>
      </w:pPr>
      <w:bookmarkStart w:id="95" w:name="_Data_Sources_and"/>
      <w:bookmarkStart w:id="96" w:name="section33"/>
      <w:bookmarkStart w:id="97" w:name="_Toc237539744"/>
      <w:bookmarkEnd w:id="95"/>
      <w:bookmarkEnd w:id="96"/>
      <w:r>
        <w:rPr>
          <w:rFonts w:ascii="Simplified Arabic" w:eastAsiaTheme="majorEastAsia" w:hAnsi="Simplified Arabic" w:cstheme="majorBidi"/>
          <w:b/>
          <w:sz w:val="28"/>
          <w:szCs w:val="32"/>
        </w:rPr>
        <w:lastRenderedPageBreak/>
        <w:t xml:space="preserve">3.3 </w:t>
      </w:r>
      <w:r w:rsidR="00DD1558" w:rsidRPr="00E275BE">
        <w:rPr>
          <w:rFonts w:ascii="Simplified Arabic" w:eastAsiaTheme="majorEastAsia" w:hAnsi="Simplified Arabic" w:cstheme="majorBidi"/>
          <w:b/>
          <w:sz w:val="28"/>
          <w:szCs w:val="32"/>
        </w:rPr>
        <w:t>Data Sources and Collection Procedures</w:t>
      </w:r>
      <w:bookmarkEnd w:id="97"/>
    </w:p>
    <w:p w14:paraId="016BAB6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study draws on five categories of documentary and structural sources, and only these:</w:t>
      </w:r>
    </w:p>
    <w:p w14:paraId="1A9B1790" w14:textId="1F65B9B3" w:rsidR="00DD1558" w:rsidRPr="00DD1558" w:rsidRDefault="00DD1558" w:rsidP="00DD1558">
      <w:pPr>
        <w:numPr>
          <w:ilvl w:val="1"/>
          <w:numId w:val="5"/>
        </w:numPr>
        <w:bidi w:val="0"/>
        <w:spacing w:before="180" w:line="240" w:lineRule="auto"/>
        <w:ind w:left="567"/>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Institutional policy and procurement documents.</w:t>
      </w:r>
      <w:r w:rsidRPr="00DD1558">
        <w:rPr>
          <w:rFonts w:ascii="Simplified Arabic" w:eastAsia="Times New Roman" w:hAnsi="Simplified Arabic" w:cs="Simplified Arabic"/>
          <w:color w:val="1A1A1A"/>
          <w:sz w:val="28"/>
          <w:szCs w:val="28"/>
          <w14:ligatures w14:val="none"/>
        </w:rPr>
        <w:t xml:space="preserve"> The prevailing rules governing purchasing, requisition, custody, and disposal in the case setting, together with the university’s strategic alignment documents under Vision 2030. These supply the current-state characterization of the decentralized regime (</w:t>
      </w:r>
      <w:hyperlink w:anchor="section1" w:history="1">
        <w:r w:rsidRPr="00730A82">
          <w:rPr>
            <w:rStyle w:val="Hyperlink"/>
            <w:rFonts w:ascii="Simplified Arabic" w:eastAsia="Times New Roman" w:hAnsi="Simplified Arabic" w:cs="Simplified Arabic"/>
            <w:sz w:val="28"/>
            <w:szCs w:val="28"/>
            <w14:ligatures w14:val="none"/>
          </w:rPr>
          <w:t>Section 1</w:t>
        </w:r>
      </w:hyperlink>
      <w:r w:rsidRPr="00DD1558">
        <w:rPr>
          <w:rFonts w:ascii="Simplified Arabic" w:eastAsia="Times New Roman" w:hAnsi="Simplified Arabic" w:cs="Simplified Arabic"/>
          <w:color w:val="1A1A1A"/>
          <w:sz w:val="28"/>
          <w:szCs w:val="28"/>
          <w14:ligatures w14:val="none"/>
        </w:rPr>
        <w:t xml:space="preserve">) and the delegation structures through which the governance architecture of </w:t>
      </w:r>
      <w:hyperlink w:anchor="section41" w:history="1">
        <w:r w:rsidRPr="00730A82">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 xml:space="preserve"> is constituted.</w:t>
      </w:r>
    </w:p>
    <w:p w14:paraId="4AE3A8EF" w14:textId="77777777" w:rsidR="00DD1558" w:rsidRPr="00DD1558" w:rsidRDefault="00DD1558" w:rsidP="00DD1558">
      <w:pPr>
        <w:numPr>
          <w:ilvl w:val="1"/>
          <w:numId w:val="5"/>
        </w:numPr>
        <w:bidi w:val="0"/>
        <w:spacing w:before="180" w:line="240" w:lineRule="auto"/>
        <w:ind w:left="567"/>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Inventory record structures and catalog practices.</w:t>
      </w:r>
      <w:r w:rsidRPr="00DD1558">
        <w:rPr>
          <w:rFonts w:ascii="Simplified Arabic" w:eastAsia="Times New Roman" w:hAnsi="Simplified Arabic" w:cs="Simplified Arabic"/>
          <w:color w:val="1A1A1A"/>
          <w:sz w:val="28"/>
          <w:szCs w:val="28"/>
          <w14:ligatures w14:val="none"/>
        </w:rPr>
        <w:t xml:space="preserve"> The existing forms, registers, and departmental record-keeping conventions through which holdings are documented. These supply the structural evidence for prevention barrier PB1 (the unified catalog and records standard) and for the data-quality problem formalized as escalation factor EF2.</w:t>
      </w:r>
    </w:p>
    <w:p w14:paraId="1AD4B1F4" w14:textId="77777777" w:rsidR="00DD1558" w:rsidRPr="00DD1558" w:rsidRDefault="00DD1558" w:rsidP="00DD1558">
      <w:pPr>
        <w:numPr>
          <w:ilvl w:val="1"/>
          <w:numId w:val="5"/>
        </w:numPr>
        <w:bidi w:val="0"/>
        <w:spacing w:before="180" w:line="240" w:lineRule="auto"/>
        <w:ind w:left="567"/>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Standards texts.</w:t>
      </w:r>
      <w:r w:rsidRPr="00DD1558">
        <w:rPr>
          <w:rFonts w:ascii="Simplified Arabic" w:eastAsia="Times New Roman" w:hAnsi="Simplified Arabic" w:cs="Simplified Arabic"/>
          <w:color w:val="1A1A1A"/>
          <w:sz w:val="28"/>
          <w:szCs w:val="28"/>
          <w14:ligatures w14:val="none"/>
        </w:rPr>
        <w:t xml:space="preserve"> ISO 14001:2015 (ISO, 2015), ISO 22301:2019 (ISO, 2019), ISO 31000:2018 (ISO, 2018), IEC 31010:2019 (IEC, 2019), and ISO 26000:2010 (ISO, 2010), read as requirement and guidance texts whose clauses the framework adopts by structural analogue.</w:t>
      </w:r>
    </w:p>
    <w:p w14:paraId="6CBBA69E" w14:textId="77777777" w:rsidR="00DD1558" w:rsidRPr="00DD1558" w:rsidRDefault="00DD1558" w:rsidP="00DD1558">
      <w:pPr>
        <w:numPr>
          <w:ilvl w:val="1"/>
          <w:numId w:val="5"/>
        </w:numPr>
        <w:bidi w:val="0"/>
        <w:spacing w:before="180" w:line="240" w:lineRule="auto"/>
        <w:ind w:left="567"/>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Verified scholarly literature.</w:t>
      </w:r>
      <w:r w:rsidRPr="00DD1558">
        <w:rPr>
          <w:rFonts w:ascii="Simplified Arabic" w:eastAsia="Times New Roman" w:hAnsi="Simplified Arabic" w:cs="Simplified Arabic"/>
          <w:color w:val="1A1A1A"/>
          <w:sz w:val="28"/>
          <w:szCs w:val="28"/>
          <w14:ligatures w14:val="none"/>
        </w:rPr>
        <w:t xml:space="preserve"> The Chapter 2 base: peer-reviewed work on green and sustainable laboratories, equipment sharing and core facilities, circular economy in higher education, organizational readiness and digital transformation, collaborative governance and change management, sustainable procurement, laboratory risk, and Saudi higher education. Every cited work was verified against publisher records before use.</w:t>
      </w:r>
    </w:p>
    <w:p w14:paraId="75F3F873" w14:textId="77777777" w:rsidR="00DD1558" w:rsidRPr="00DD1558" w:rsidRDefault="00DD1558" w:rsidP="00DD1558">
      <w:pPr>
        <w:numPr>
          <w:ilvl w:val="1"/>
          <w:numId w:val="5"/>
        </w:numPr>
        <w:bidi w:val="0"/>
        <w:spacing w:before="180" w:line="240" w:lineRule="auto"/>
        <w:ind w:left="567"/>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Documented international practice for benchmarking.</w:t>
      </w:r>
      <w:r w:rsidRPr="00DD1558">
        <w:rPr>
          <w:rFonts w:ascii="Simplified Arabic" w:eastAsia="Times New Roman" w:hAnsi="Simplified Arabic" w:cs="Simplified Arabic"/>
          <w:color w:val="1A1A1A"/>
          <w:sz w:val="28"/>
          <w:szCs w:val="28"/>
          <w14:ligatures w14:val="none"/>
        </w:rPr>
        <w:t xml:space="preserve"> Published accounts of governed equipment sharing, redistribution, and laboratory inventory practice — including shared-facility operation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{"citationID":"H4LKAv5E","properties":{"unsorted":false,"formattedCitation":"(Strom et al., 2020)","plainCitation":"(Strom et al., 2020)","noteIndex":0},"citationItems":[{"id":508,"uris":["http://zotero.org/users/19711126/items/IFVMEKJ2"],"itemData":{"id":508,"type":"article-journal","container-title":"MRS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instrument-sharing governance with its documented cautions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{"citationID":"LQcVi3yH","properties":{"unsorted":false,"formattedCitation":"(X.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documented redistribution and shared-access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{"citationID":"rFMqKTwn","properties":{"unsorted":false,"formattedCitation":"(Tu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used strictly as qualitative precedent for mechanisms, never as sources of transferable magnitudes.</w:t>
      </w:r>
    </w:p>
    <w:p w14:paraId="2B8F5A20" w14:textId="5D7C3275"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collection and treatment procedures are four. </w:t>
      </w:r>
      <w:r w:rsidRPr="00DD1558">
        <w:rPr>
          <w:rFonts w:ascii="Simplified Arabic" w:eastAsia="Times New Roman" w:hAnsi="Simplified Arabic" w:cs="Simplified Arabic"/>
          <w:b/>
          <w:bCs/>
          <w:color w:val="1A1A1A"/>
          <w:sz w:val="28"/>
          <w:szCs w:val="28"/>
          <w14:ligatures w14:val="none"/>
        </w:rPr>
        <w:t>Document analysis</w:t>
      </w:r>
      <w:r w:rsidRPr="00DD1558">
        <w:rPr>
          <w:rFonts w:ascii="Simplified Arabic" w:eastAsia="Times New Roman" w:hAnsi="Simplified Arabic" w:cs="Simplified Arabic"/>
          <w:color w:val="1A1A1A"/>
          <w:sz w:val="28"/>
          <w:szCs w:val="28"/>
          <w14:ligatures w14:val="none"/>
        </w:rPr>
        <w:t xml:space="preserve"> renders the current-state regime and its policy environment (procedure of </w:t>
      </w:r>
      <w:hyperlink w:anchor="section415" w:history="1">
        <w:r w:rsidR="002C0C03" w:rsidRPr="00730A82">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 step 1). </w:t>
      </w:r>
      <w:r w:rsidRPr="00DD1558">
        <w:rPr>
          <w:rFonts w:ascii="Simplified Arabic" w:eastAsia="Times New Roman" w:hAnsi="Simplified Arabic" w:cs="Simplified Arabic"/>
          <w:b/>
          <w:bCs/>
          <w:color w:val="1A1A1A"/>
          <w:sz w:val="28"/>
          <w:szCs w:val="28"/>
          <w14:ligatures w14:val="none"/>
        </w:rPr>
        <w:t>Structural mapping</w:t>
      </w:r>
      <w:r w:rsidRPr="00DD1558">
        <w:rPr>
          <w:rFonts w:ascii="Simplified Arabic" w:eastAsia="Times New Roman" w:hAnsi="Simplified Arabic" w:cs="Simplified Arabic"/>
          <w:color w:val="1A1A1A"/>
          <w:sz w:val="28"/>
          <w:szCs w:val="28"/>
          <w14:ligatures w14:val="none"/>
        </w:rPr>
        <w:t xml:space="preserve"> converts that account into the maturity-gap diagnosis, the Bow-Tie pathway structure, and the governance architecture (steps 1, 3, 4). </w:t>
      </w:r>
      <w:r w:rsidRPr="00DD1558">
        <w:rPr>
          <w:rFonts w:ascii="Simplified Arabic" w:eastAsia="Times New Roman" w:hAnsi="Simplified Arabic" w:cs="Simplified Arabic"/>
          <w:b/>
          <w:bCs/>
          <w:color w:val="1A1A1A"/>
          <w:sz w:val="28"/>
          <w:szCs w:val="28"/>
          <w14:ligatures w14:val="none"/>
        </w:rPr>
        <w:t>Comparative benchmarking</w:t>
      </w:r>
      <w:r w:rsidRPr="00DD1558">
        <w:rPr>
          <w:rFonts w:ascii="Simplified Arabic" w:eastAsia="Times New Roman" w:hAnsi="Simplified Arabic" w:cs="Simplified Arabic"/>
          <w:color w:val="1A1A1A"/>
          <w:sz w:val="28"/>
          <w:szCs w:val="28"/>
          <w14:ligatures w14:val="none"/>
        </w:rPr>
        <w:t xml:space="preserve"> tests each proposed mechanism against documented practice in comparable settings, as corroboration or caution (steps 3, 5). </w:t>
      </w:r>
      <w:r w:rsidRPr="00DD1558">
        <w:rPr>
          <w:rFonts w:ascii="Simplified Arabic" w:eastAsia="Times New Roman" w:hAnsi="Simplified Arabic" w:cs="Simplified Arabic"/>
          <w:b/>
          <w:bCs/>
          <w:color w:val="1A1A1A"/>
          <w:sz w:val="28"/>
          <w:szCs w:val="28"/>
          <w14:ligatures w14:val="none"/>
        </w:rPr>
        <w:t>Framework synthesis</w:t>
      </w:r>
      <w:r w:rsidRPr="00DD1558">
        <w:rPr>
          <w:rFonts w:ascii="Simplified Arabic" w:eastAsia="Times New Roman" w:hAnsi="Simplified Arabic" w:cs="Simplified Arabic"/>
          <w:color w:val="1A1A1A"/>
          <w:sz w:val="28"/>
          <w:szCs w:val="28"/>
          <w14:ligatures w14:val="none"/>
        </w:rPr>
        <w:t xml:space="preserve"> integrates the five lenses into the unified design, feasibility assessment, risk register, KPI set, and roadmap (steps 3–8).</w:t>
      </w:r>
    </w:p>
    <w:p w14:paraId="35814B5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It is stated explicitly: </w:t>
      </w:r>
      <w:r w:rsidRPr="00DD1558">
        <w:rPr>
          <w:rFonts w:ascii="Simplified Arabic" w:eastAsia="Times New Roman" w:hAnsi="Simplified Arabic" w:cs="Simplified Arabic"/>
          <w:b/>
          <w:bCs/>
          <w:color w:val="1A1A1A"/>
          <w:sz w:val="28"/>
          <w:szCs w:val="28"/>
          <w14:ligatures w14:val="none"/>
        </w:rPr>
        <w:t>this thesis uses no questionnaires, no interviews-with-results, no sampling, and no field measurement of any kind.</w:t>
      </w:r>
      <w:r w:rsidRPr="00DD1558">
        <w:rPr>
          <w:rFonts w:ascii="Simplified Arabic" w:eastAsia="Times New Roman" w:hAnsi="Simplified Arabic" w:cs="Simplified Arabic"/>
          <w:color w:val="1A1A1A"/>
          <w:sz w:val="28"/>
          <w:szCs w:val="28"/>
          <w14:ligatures w14:val="none"/>
        </w:rPr>
        <w:t xml:space="preserve"> Where international benchmarking reports quantified outcomes elsewhere (for example,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{"citationID":"f4lsvpzH","properties":{"unsorted":false,"formattedCitation":"(Tu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those accounts are used only to establish that a mechanism is documented practice; no figure is imported, projected, or simulated for the case setting.</w:t>
      </w:r>
    </w:p>
    <w:p w14:paraId="3C3396D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Qualitative rigor is adapted to this documentary design through four commitments. </w:t>
      </w:r>
      <w:r w:rsidRPr="00DD1558">
        <w:rPr>
          <w:rFonts w:ascii="Simplified Arabic" w:eastAsia="Times New Roman" w:hAnsi="Simplified Arabic" w:cs="Simplified Arabic"/>
          <w:b/>
          <w:bCs/>
          <w:color w:val="1A1A1A"/>
          <w:sz w:val="28"/>
          <w:szCs w:val="28"/>
          <w14:ligatures w14:val="none"/>
        </w:rPr>
        <w:t>Credibility</w:t>
      </w:r>
      <w:r w:rsidRPr="00DD1558">
        <w:rPr>
          <w:rFonts w:ascii="Simplified Arabic" w:eastAsia="Times New Roman" w:hAnsi="Simplified Arabic" w:cs="Simplified Arabic"/>
          <w:color w:val="1A1A1A"/>
          <w:sz w:val="28"/>
          <w:szCs w:val="28"/>
          <w14:ligatures w14:val="none"/>
        </w:rPr>
        <w:t xml:space="preserve"> is pursued through triangulation across documentary domains: every load-bearing structural claim is corroborated across at least two independent source categories — for example, the feasibility of eligibility-check controls rests jointly on the procurement literature, the standards’ operational-control clauses, and documented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{"citationID":"gnIRrCr3","properties":{"unsorted":false,"formattedCitation":"(14001 ISO/IEC, 2015; S\\uc0\\u246{}nnichsen &amp; Clement, 2020; Strom et al., 2020)","plainCitation":"(14001 ISO/IEC, 2015; Sönnichsen &amp; Clement, 2020; Strom et al., 2020)","noteIndex":0},"citationItems":[{"id":462,"uris":["http://zotero.org/users/19711126/items/IVKJ9HPD"],"itemData":{"id":462,"type":"standard","title":"ISO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Sönnichsen &amp; Clement, 2020; 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Dependability</w:t>
      </w:r>
      <w:r w:rsidRPr="00DD1558">
        <w:rPr>
          <w:rFonts w:ascii="Simplified Arabic" w:eastAsia="Times New Roman" w:hAnsi="Simplified Arabic" w:cs="Simplified Arabic"/>
          <w:color w:val="1A1A1A"/>
          <w:sz w:val="28"/>
          <w:szCs w:val="28"/>
          <w14:ligatures w14:val="none"/>
        </w:rPr>
        <w:t xml:space="preserve"> is </w:t>
      </w:r>
      <w:r w:rsidRPr="00DD1558">
        <w:rPr>
          <w:rFonts w:ascii="Simplified Arabic" w:eastAsia="Times New Roman" w:hAnsi="Simplified Arabic" w:cs="Simplified Arabic"/>
          <w:color w:val="1A1A1A"/>
          <w:sz w:val="28"/>
          <w:szCs w:val="28"/>
          <w14:ligatures w14:val="none"/>
        </w:rPr>
        <w:lastRenderedPageBreak/>
        <w:t xml:space="preserve">pursued through an audit trail of analytical decisions: every adaptation of a model (the Inform/Conform–Perform maturity labels; chemical expiration and asset underutilization as adapted Bow-Tie top events; the Marketplace-as-service-environment reading of FIRM) is declared at the point of use, anchored to its published antecedent, and justified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{"citationID":"I2ItjLe0","properties":{"unsorted":false,"formattedCitation":"(Hillson, D. A., 1997; Hopkin, 2018; Johnson et al., 2018)","plainCitation":"(Hillson, D. A., 1997; Hopkin, 2018; Johnson et al., 2018)","noteIndex":0},"citationItems":[{"id":540,"uris":["http://zotero.org/users/19711126/items/IB7NEYQH"],"itemData":{"id":540,"type":"report","title":"Towards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Hopkin, 2018;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Confirmability</w:t>
      </w:r>
      <w:r w:rsidRPr="00DD1558">
        <w:rPr>
          <w:rFonts w:ascii="Simplified Arabic" w:eastAsia="Times New Roman" w:hAnsi="Simplified Arabic" w:cs="Simplified Arabic"/>
          <w:color w:val="1A1A1A"/>
          <w:sz w:val="28"/>
          <w:szCs w:val="28"/>
          <w14:ligatures w14:val="none"/>
        </w:rPr>
        <w:t xml:space="preserve"> is pursued through terminology discipline — one meaning per term throughout the thesis — and through verification of all sources against publisher records before citation. </w:t>
      </w:r>
      <w:r w:rsidRPr="00DD1558">
        <w:rPr>
          <w:rFonts w:ascii="Simplified Arabic" w:eastAsia="Times New Roman" w:hAnsi="Simplified Arabic" w:cs="Simplified Arabic"/>
          <w:b/>
          <w:bCs/>
          <w:color w:val="1A1A1A"/>
          <w:sz w:val="28"/>
          <w:szCs w:val="28"/>
          <w14:ligatures w14:val="none"/>
        </w:rPr>
        <w:t>Thematic saturation</w:t>
      </w:r>
      <w:r w:rsidRPr="00DD1558">
        <w:rPr>
          <w:rFonts w:ascii="Simplified Arabic" w:eastAsia="Times New Roman" w:hAnsi="Simplified Arabic" w:cs="Simplified Arabic"/>
          <w:color w:val="1A1A1A"/>
          <w:sz w:val="28"/>
          <w:szCs w:val="28"/>
          <w14:ligatures w14:val="none"/>
        </w:rPr>
        <w:t xml:space="preserve"> is interpreted, following the saturation logic articulated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{"citationID":"85JGgO8x","properties":{"unsorted":false,"formattedCitation":"(Hennink &amp; Kaiser, 2022)","plainCitation":"(Hennink &amp; Kaiser, 2022)","noteIndex":0},"citationItems":[{"id":448,"uris":["http://zotero.org/users/19711126/items/BZR87HGI"],"itemData":{"id":448,"type":"article-journal","abstract":"Objective\nTo review empirical studies that assess saturation in qualitative research in order to identify sample sizes for saturation, strategies used to assess saturation, and guidance we can draw from these studies.\nMethods\nWe conducted a systematic review of four databases to identify studies empirically assessing sample sizes for saturation in qualitative research, supplemented by searching citing articles and reference lists.\nResults\nWe identified 23 articles that used empirical data (n = 17) or statistical modeling (n = 6) to assess saturation. Studies using empirical data reached saturation within a narrow range of interviews (9–17) or focus group discussions (4–8), particularly those with relatively homogenous study populations and narrowly defined objectives. Most studies had a relatively homogenous study population and assessed code saturation; the few outliers (e.g., multi-country research, meta-themes, “code meaning” saturation) needed larger samples for saturation.\nConclusions\nDespite varied research topics and approaches to assessing saturation, studies converged on a relatively consistent sample size for saturation for commonly used qualitative research methods. However, these findings apply to certain types of studies (e.g., those with homogenous study populations). These results provide strong empirical guidance on effective sample sizes for qualitative research, which can be used in conjunction with the characteristics of individual studies to estimate an appropriate sample size prior to data collection. This synthesis also provides an important resource for researchers, academic journals, journal reviewers, ethical review boards, and funding agencies to facilitate greater transparency in justifying and reporting sample sizes in qualitative research. Future empirical research is needed to explore how various parameters affect sample sizes for saturation.","container-title":"Social Science &amp; Medicine","DOI":"10.1016/j.socscimed.2021.114523","ISSN":"0277-9536","journalAbbreviation":"Social Science &amp; Medicine","page":"114523","source":"ScienceDirect","title":"Sample sizes for saturation in qualitative research: A systematic review of empirical tests","title-short":"Sample sizes for saturation in qualitative research","volume":"292","author":[{"family":"Hennink","given":"Monique"},{"family":"Kaiser","given":"Bonnie N."}],"issued":{"date-parts":[["2022",1,1]]}}}],"schema":"https://github.com/citation-style-language/schema/raw/master/csl-citation.json"}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(Hennink &amp; Kaiser,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as </w:t>
      </w:r>
      <w:r w:rsidRPr="00DD1558">
        <w:rPr>
          <w:rFonts w:ascii="Simplified Arabic" w:eastAsia="Times New Roman" w:hAnsi="Simplified Arabic" w:cs="Simplified Arabic"/>
          <w:i/>
          <w:iCs/>
          <w:color w:val="1A1A1A"/>
          <w:sz w:val="28"/>
          <w:szCs w:val="28"/>
          <w14:ligatures w14:val="none"/>
        </w:rPr>
        <w:t>coverage of documentary domains</w:t>
      </w:r>
      <w:r w:rsidRPr="00DD1558">
        <w:rPr>
          <w:rFonts w:ascii="Simplified Arabic" w:eastAsia="Times New Roman" w:hAnsi="Simplified Arabic" w:cs="Simplified Arabic"/>
          <w:color w:val="1A1A1A"/>
          <w:sz w:val="28"/>
          <w:szCs w:val="28"/>
          <w14:ligatures w14:val="none"/>
        </w:rPr>
        <w:t>: the literature base was treated as sufficient when additional reading within each thematic stream (</w:t>
      </w:r>
      <w:hyperlink w:anchor="_2.1_Review_Approach" w:history="1">
        <w:r w:rsidRPr="00DD1558">
          <w:rPr>
            <w:rFonts w:ascii="Simplified Arabic" w:eastAsia="Times New Roman" w:hAnsi="Simplified Arabic" w:cs="Simplified Arabic"/>
            <w:color w:val="467886" w:themeColor="hyperlink"/>
            <w:sz w:val="28"/>
            <w:szCs w:val="28"/>
            <w:u w:val="single"/>
            <w14:ligatures w14:val="none"/>
          </w:rPr>
          <w:t>Section 2.1</w:t>
        </w:r>
      </w:hyperlink>
      <w:r w:rsidRPr="00DD1558">
        <w:rPr>
          <w:rFonts w:ascii="Simplified Arabic" w:eastAsia="Times New Roman" w:hAnsi="Simplified Arabic" w:cs="Simplified Arabic"/>
          <w:color w:val="1A1A1A"/>
          <w:sz w:val="28"/>
          <w:szCs w:val="28"/>
          <w14:ligatures w14:val="none"/>
        </w:rPr>
        <w:t xml:space="preserve">) ceased to introduce new structural mechanisms, new counter-considerations, or new design requirements for the framework; the concept is applied here to documentary domains, not to interview data, which this study does not collect. Analytical quality practices follow the reflexive, theme-developing discipline articulated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{"citationID":"GFCOcB9A","properties":{"unsorted":false,"formattedCitation":"(Braun &amp; Clarke, 2021)","plainCitation":"(Braun &amp; Clarke, 2021)","noteIndex":0},"citationItems":[{"id":414,"uris":["http://zotero.org/users/19711126/items/KEFAV9NK"],"itemData":{"id":414,"type":"article-journal","abstract":"Developing a universal quality standard for thematic analysis (TA) is complicated by the existence of numerous iterations of TA that differ paradigmatically, philosophically and procedurally. This plurality in TA is often not recognised by editors, reviewers or authors, who promote ‘coding reliability measures’ as universal requirements of quality TA. Focusing particularly on our reflexive TA approach, we discuss quality in TA with reference to ten common problems we have identified in published TA research that cites or claims to follow our guidance. Many of the common problems are underpinned by an assumption of homogeneity in TA. We end by outlining guidelines for reviewers and editors – in the form of twenty critical questions – to support them in promoting high(er) standards in TA research, and more deliberative and reflexive engagement with TA as method and practice.","container-title":"Qualitative Research in Psychology","DOI":"10.1080/14780887.2020.1769238","ISSN":"1478-0887","issue":"3","page":"328-352","publisher":"Routledge","source":"Taylor and Francis+NEJM","title":"One size fits all? What counts as quality practice in (reflexive) thematic analysis?","title-short":"One size fits all?","volume":"18","author":[{"family":"Braun","given":"Virginia"},{"family":"Clarke","given":"Victoria"}],"issued":{"date-parts":[["2021",7,3]]}}}],"schema":"https://github.com/citation-style-language/schema/raw/master/csl-citation.json"}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(Braun &amp; Clarke,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applied to documentary synthesis rather than to transcripts — and the case-analysis practices for rigorous qualitative inference synthesized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{"citationID":"ldqCT9w1","properties":{"unsorted":false,"formattedCitation":"(Knott et al., 2022)","plainCitation":"(Knott et al., 2022)","noteIndex":0},"citationItems":[{"id":473,"uris":["http://zotero.org/users/19711126/items/QSRBIQTB"],"itemData":{"id":473,"type":"article-journal","abstract":"In-depth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(Knott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internal consistency of the analysis — coherence between the problem account, the framework, and the evaluation instruments — is checked in the sense of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{"citationID":"aw12K1v0","properties":{"unsorted":false,"formattedCitation":"(Cole, 2024)","plainCitation":"(Cole, 2024)","noteIndex":0},"citationItems":[{"id":423,"uris":["http://zotero.org/users/19711126/items/USQCR6GR"],"itemData":{"id":423,"type":"article-journal","abstract":"The use of inter-rater reliability (IRR) methods may provide an opportunity to improve the transparency and consistency of qualitative case study data analysis in terms of the rigor of how codes and constructs have been developed from the raw data. Few articles on qualitative research methods in the literature conduct IRR assessments or neglect to report them, despite some disclosure of multiple researcher teams and coding reconciliation in the work. The article argues that the in-depth discussion and reconciliation initiated by IRR may enhance the findings and theory that emerges from qualitative case study data analysis, where the main data source is often interview transcripts or field notes. To achieve this, the article provides a missing link in the literature between data gathering and analysis by expanding an existing process model from five to six stages. The article also identifies seven factors that researchers can consider to determine the suitability of IRR to their work and it offers an IRR checklist, thereby providing a contribution to the broader literature on qualitative research methods.","container-title":"Sociological Methods &amp; Research","DOI":"10.1177/00491241231156971","ISSN":"0049-1241","issue":"4","language":"EN","page":"1944-1975","publisher":"SAGE Publications Inc","source":"SAGE Journals","title":"Inter-Rater Reliability Methods in Qualitative Case Study Research","volume":"53","author":[{"family":"Cole","given":"Rosanna"}],"issued":{"date-parts":[["2024",11,1]]}}}],"schema":"https://github.com/citation-style-language/schema/raw/master/csl-citation.json"}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(Cole,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whose account of consistency as a quality criterion in qualitative work is applied here to the alignment of constructs, claims, and design artifacts across sections.</w:t>
      </w:r>
    </w:p>
    <w:p w14:paraId="222F1206"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98" w:name="section34"/>
      <w:bookmarkStart w:id="99" w:name="_Toc237539745"/>
      <w:bookmarkEnd w:id="98"/>
      <w:r w:rsidRPr="00DD1558">
        <w:rPr>
          <w:rFonts w:ascii="Simplified Arabic" w:eastAsiaTheme="majorEastAsia" w:hAnsi="Simplified Arabic" w:cstheme="majorBidi"/>
          <w:b/>
          <w:sz w:val="28"/>
          <w:szCs w:val="32"/>
        </w:rPr>
        <w:t>3.4 The Analytical Toolset instead of Statistical Sampling</w:t>
      </w:r>
      <w:bookmarkEnd w:id="99"/>
    </w:p>
    <w:p w14:paraId="02D3281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study’s research questions are </w:t>
      </w:r>
      <w:r w:rsidRPr="00DD1558">
        <w:rPr>
          <w:rFonts w:ascii="Simplified Arabic" w:eastAsia="Times New Roman" w:hAnsi="Simplified Arabic" w:cs="Simplified Arabic"/>
          <w:b/>
          <w:bCs/>
          <w:color w:val="1A1A1A"/>
          <w:sz w:val="28"/>
          <w:szCs w:val="28"/>
          <w14:ligatures w14:val="none"/>
        </w:rPr>
        <w:t>design questions</w:t>
      </w:r>
      <w:r w:rsidRPr="00DD1558">
        <w:rPr>
          <w:rFonts w:ascii="Simplified Arabic" w:eastAsia="Times New Roman" w:hAnsi="Simplified Arabic" w:cs="Simplified Arabic"/>
          <w:color w:val="1A1A1A"/>
          <w:sz w:val="28"/>
          <w:szCs w:val="28"/>
          <w14:ligatures w14:val="none"/>
        </w:rPr>
        <w:t xml:space="preserve">: how should a framework be structured (RQ3), how should its feasibility and risks be assessed (RQ2), how should the current state be characterized structurally (RQ1), and how should adoption be sequenced (RQ4). Statistical sampling cannot answer such questions at the pre-implementation stage, for three reasons. First, there is no operating framework from which outcome data could </w:t>
      </w:r>
      <w:r w:rsidRPr="00DD1558">
        <w:rPr>
          <w:rFonts w:ascii="Simplified Arabic" w:eastAsia="Times New Roman" w:hAnsi="Simplified Arabic" w:cs="Simplified Arabic"/>
          <w:color w:val="1A1A1A"/>
          <w:sz w:val="28"/>
          <w:szCs w:val="28"/>
          <w14:ligatures w14:val="none"/>
        </w:rPr>
        <w:lastRenderedPageBreak/>
        <w:t xml:space="preserve">be sampled; any measurement would measure the regime being replaced, not the design being assessed. Second, the phenomena at issue — decision rights, barrier integrity, policy enforceability, gate criteria — are structural properties whose adequate description is categorical and relational, not distributional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{"citationID":"gtc45Uc4","properties":{"unsorted":false,"formattedCitation":"(31000 ISO/IEC, 2018; PMI, 2021)","plainCitation":"(31000 ISO/IEC, 2018; PMI, 2021)","noteIndex":0},"citationItems":[{"id":464,"uris":["http://zotero.org/users/19711126/items/3P2A2GPY"],"itemData":{"id":464,"type":"standard","title":"ISO 31000:2018(en), Risk management — Guidelines","URL":"https://www.iso.org/obp/ui/#iso:std:iso:31000:ed-2:v1:en","author":[{"family":"ISO/IEC","given":"31000"}],"accessed":{"date-parts":[["2026",8,6]]},"issued":{"date-parts":[["2018"]]}}},{"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 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the study’s claims are conditional design claims (“feasible once gate G1 is met”), whose evidentiary basis is conformity of the design to standards and documented practice, not probabilistic inference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{"citationID":"1aaQtP5J","properties":{"unsorted":false,"formattedCitation":"(14001 ISO/IEC, 2015; 33020 ISO/IEC, 2019)","plainCitation":"(14001 ISO/IEC, 2015; 33020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468,"uris":["http://zotero.org/users/19711126/items/M5DQ7CRZ"],"itemData":{"id":468,"type":"standard","title":"ISO 33020:2019(en), Information technology — Process assessment — Process measurement framework for assessment of process capability","URL":"https://www.iso.org/obp/ui/es/#iso:std:iso-iec:33020:ed-2:v1:en","author":[{"family":"ISO/IEC","given":"33020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33020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study therefore substitutes an analytical toolset for a sampling plan. Each tool answers the class of design questions that statistics could not:</w:t>
      </w:r>
    </w:p>
    <w:p w14:paraId="79B54E12"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Bow-Tie analysis</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{"citationID":"6V7u9Yrg","properties":{"unsorted":false,"formattedCitation":"(de Ruijter &amp; Guldenmund, 2016; 31010 ISO/IEC, 2019; Johnson et al., 2018)","plainCitation":"(de Ruijter &amp; Guldenmund, 2016; 31010 ISO/IEC, 2019;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(de Ruijter &amp; Guldenmund, 2016; 31010 ISO/IEC, 2019; Johnson et al.,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structures risk pathways. It decomposes the regime’s failure modes into Hazards, adapted Top Events (chemical expiration; asset underutilization — the adaptation declared in </w:t>
      </w:r>
      <w:hyperlink w:anchor="_2.9.3_Bow-Tie_Risk" w:history="1">
        <w:r w:rsidRPr="00DD1558">
          <w:rPr>
            <w:rFonts w:ascii="Simplified Arabic" w:eastAsia="Cambria" w:hAnsi="Simplified Arabic" w:cs="Simplified Arabic"/>
            <w:color w:val="467886" w:themeColor="hyperlink"/>
            <w:sz w:val="28"/>
            <w:szCs w:val="28"/>
            <w:u w:val="single"/>
            <w14:ligatures w14:val="none"/>
          </w:rPr>
          <w:t>Section 2.9.3</w:t>
        </w:r>
      </w:hyperlink>
      <w:r w:rsidRPr="00DD1558">
        <w:rPr>
          <w:rFonts w:ascii="Simplified Arabic" w:eastAsia="Cambria" w:hAnsi="Simplified Arabic" w:cs="Simplified Arabic"/>
          <w:color w:val="212121"/>
          <w:sz w:val="28"/>
          <w:szCs w:val="28"/>
          <w14:ligatures w14:val="none"/>
        </w:rPr>
        <w:t xml:space="preserve">), Threats (T1–T4), Prevention barriers (PB1–PB3), Mitigation barriers (MB1–MB3), Consequences (C1–C4), Escalation factors (EF1–EF3) and escalation-factor barriers (EB1–EB3), using the terminology of CCPS and Energy Institute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{"citationID":"jE6zAx9r","properties":{"unsorted":false,"formattedCitation":"(Johnson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(Johnson et al.,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exactly. Bow-tie is classified by IEC 31010:2019 as a technique for analyzing controls, and it is qualitative by nature — a property that suits this study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{"citationID":"2BAnOfeC","properties":{"unsorted":false,"formattedCitation":"(de Ruijter &amp; Guldenmund, 2016; 31010 ISO/IEC, 2019)","plainCitation":"(de Ruijter &amp; Guldenmund, 2016; 31010 ISO/IEC, 2019)","noteIndex":0},"citationItems":[{"id":429,"uris":["http://zotero.org/users/19711126/items/HU29KB4F"],"itemData":{"id":429,"type":"article-journal","abstract":"The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(de Ruijter &amp; Guldenmund, 2016; 31010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Its extension from process safety into management and policy analysis follows documented precedent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{"citationID":"55qdzeZg","properties":{"unsorted":false,"formattedCitation":"(Cormier et al., 2019)","plainCitation":"(Cormier et al., 2019)","noteIndex":0},"citationItems":[{"id":425,"uris":["http://zotero.org/users/19711126/items/BSLAHZU5"],"itemData":{"id":425,"type":"article-journal","abstract":"Marine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(Cormier et al.,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3B80FB55"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The FIRM taxonomy</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{"citationID":"KsyRCrdd","properties":{"unsorted":false,"formattedCitation":"(Hopkin,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(Hopkin,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classifies risks and consequences by the organizational dependency each endangers — Financial, Infrastructure, Reputational, Marketplace — with the declared adaptation that Marketplace is read as the university’s service and stakeholder environment. FIRM is used strictly as a classification taxonomy, never as a scoring algorithm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{"citationID":"roebQ82v","properties":{"unsorted":false,"formattedCitation":"(Hopkin,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(Hopkin,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5E36C0EC" w14:textId="7A6C876A"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lastRenderedPageBreak/>
        <w:t>ISO 31000:2018</w:t>
      </w:r>
      <w:r w:rsidRPr="00DD1558">
        <w:rPr>
          <w:rFonts w:ascii="Simplified Arabic" w:eastAsia="Cambria" w:hAnsi="Simplified Arabic" w:cs="Simplified Arabic"/>
          <w:color w:val="212121"/>
          <w:sz w:val="28"/>
          <w:szCs w:val="28"/>
          <w14:ligatures w14:val="none"/>
        </w:rPr>
        <w:t xml:space="preserve"> frames the risk process — identification, analysis, evaluation, treatment — within which the register of </w:t>
      </w:r>
      <w:hyperlink w:anchor="section292" w:history="1">
        <w:r w:rsidR="000A422D" w:rsidRPr="00730A82">
          <w:rPr>
            <w:rStyle w:val="Hyperlink"/>
            <w:rFonts w:ascii="Simplified Arabic" w:eastAsia="Cambria" w:hAnsi="Simplified Arabic" w:cs="Simplified Arabic"/>
            <w:sz w:val="28"/>
            <w:szCs w:val="28"/>
            <w14:ligatures w14:val="none"/>
          </w:rPr>
          <w:t>Section 2.9.2</w:t>
        </w:r>
      </w:hyperlink>
      <w:r w:rsidRPr="00DD1558">
        <w:rPr>
          <w:rFonts w:ascii="Simplified Arabic" w:eastAsia="Cambria" w:hAnsi="Simplified Arabic" w:cs="Simplified Arabic"/>
          <w:color w:val="212121"/>
          <w:sz w:val="28"/>
          <w:szCs w:val="28"/>
          <w14:ligatures w14:val="none"/>
        </w:rPr>
        <w:t xml:space="preserve"> is constructed and owned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{"citationID":"slAaeoQt","properties":{"unsorted":false,"formattedCitation":"(31000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(31000 ISO/IEC,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7593FDCA"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ISO 14001:2015 and ISO 22301:2019 clause analogues</w:t>
      </w:r>
      <w:r w:rsidRPr="00DD1558">
        <w:rPr>
          <w:rFonts w:ascii="Simplified Arabic" w:eastAsia="Cambria" w:hAnsi="Simplified Arabic" w:cs="Simplified Arabic"/>
          <w:color w:val="212121"/>
          <w:sz w:val="28"/>
          <w:szCs w:val="28"/>
          <w14:ligatures w14:val="none"/>
        </w:rPr>
        <w:t xml:space="preserve"> supply conformity targets: environmental aspect determination with a life-cycle perspective, compliance obligations and their evaluation, emergency preparedness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{"citationID":"rFEfae8N","properties":{"unsorted":false,"formattedCitation":"(14001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6.1.2, 6.1.3, 9.1.2, 8.2); business impact analysis (BIA) logic, prioritized activities, maximum tolerable period of disruption (MTPD), recovery time objective (RTO), minimum acceptable capacity, and exercise-programme logic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{"citationID":"SuIoq3vl","properties":{"unsorted":false,"formattedCitation":"(22301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8.2.2, 8.2.3, 8.5). Alignment is by structural analogue, not certification.</w:t>
      </w:r>
    </w:p>
    <w:p w14:paraId="497C2957"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Risk maturity models</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{"citationID":"v6zlssA3","properties":{"unsorted":false,"formattedCitation":"(Hillson,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(Hillson, D. A., 1997; Paulk et al., 1993)</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supply the baseline and trajectory: the thesis’s adapted three-band labels — Inform/Conform, Managed/Normalized, Perform — are anchored to Hillson’s Naive-to-Natural levels and the capability scale of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{"citationID":"GIN5Y6Km","properties":{"unsorted":false,"formattedCitation":"(Paulk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(Paulk et al., 1993)</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and are declared as adapted terminology nowhere attributed to a published model.</w:t>
      </w:r>
    </w:p>
    <w:p w14:paraId="3B4ACB4B" w14:textId="27CC80CB"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Qualitative matrices, analytical readiness gates, and policy controls</w:t>
      </w:r>
      <w:r w:rsidRPr="00DD1558">
        <w:rPr>
          <w:rFonts w:ascii="Simplified Arabic" w:eastAsia="Cambria" w:hAnsi="Simplified Arabic" w:cs="Simplified Arabic"/>
          <w:color w:val="212121"/>
          <w:sz w:val="28"/>
          <w:szCs w:val="28"/>
          <w14:ligatures w14:val="none"/>
        </w:rPr>
        <w:t xml:space="preserve"> are the evaluation instruments proper: the feasibility matrix with its Strong/Conditional/Contingent rating vocabulary (</w:t>
      </w:r>
      <w:hyperlink w:anchor="section41" w:history="1">
        <w:r w:rsidRPr="00730A82">
          <w:rPr>
            <w:rStyle w:val="Hyperlink"/>
            <w:rFonts w:ascii="Simplified Arabic" w:eastAsia="Cambria" w:hAnsi="Simplified Arabic" w:cs="Simplified Arabic"/>
            <w:sz w:val="28"/>
            <w:szCs w:val="28"/>
            <w14:ligatures w14:val="none"/>
          </w:rPr>
          <w:t>Section 4.1</w:t>
        </w:r>
      </w:hyperlink>
      <w:r w:rsidRPr="00DD1558">
        <w:rPr>
          <w:rFonts w:ascii="Simplified Arabic" w:eastAsia="Cambria" w:hAnsi="Simplified Arabic" w:cs="Simplified Arabic"/>
          <w:color w:val="212121"/>
          <w:sz w:val="28"/>
          <w:szCs w:val="28"/>
          <w14:ligatures w14:val="none"/>
        </w:rPr>
        <w:t>), gates G1–G4 with structural criteria verified by inspection of documented information (</w:t>
      </w:r>
      <w:hyperlink w:anchor="section46" w:history="1">
        <w:r w:rsidRPr="00730A82">
          <w:rPr>
            <w:rStyle w:val="Hyperlink"/>
            <w:rFonts w:ascii="Simplified Arabic" w:eastAsia="Cambria" w:hAnsi="Simplified Arabic" w:cs="Simplified Arabic"/>
            <w:sz w:val="28"/>
            <w:szCs w:val="28"/>
            <w14:ligatures w14:val="none"/>
          </w:rPr>
          <w:t>Section 4.6</w:t>
        </w:r>
      </w:hyperlink>
      <w:r w:rsidRPr="00DD1558">
        <w:rPr>
          <w:rFonts w:ascii="Simplified Arabic" w:eastAsia="Cambria" w:hAnsi="Simplified Arabic" w:cs="Simplified Arabic"/>
          <w:color w:val="212121"/>
          <w:sz w:val="28"/>
          <w:szCs w:val="28"/>
          <w14:ligatures w14:val="none"/>
        </w:rPr>
        <w:t>), and the KPI definitions with method, source, owner, frequency, and directional target (</w:t>
      </w:r>
      <w:hyperlink w:anchor="section417" w:history="1">
        <w:r w:rsidR="000F1211" w:rsidRPr="00730A82">
          <w:rPr>
            <w:rStyle w:val="Hyperlink"/>
            <w:rFonts w:ascii="Simplified Arabic" w:eastAsia="Cambria" w:hAnsi="Simplified Arabic" w:cs="Simplified Arabic"/>
            <w:sz w:val="28"/>
            <w:szCs w:val="28"/>
            <w14:ligatures w14:val="none"/>
          </w:rPr>
          <w:t>Section 4.1.7</w:t>
        </w:r>
      </w:hyperlink>
      <w:r w:rsidRPr="00DD1558">
        <w:rPr>
          <w:rFonts w:ascii="Simplified Arabic" w:eastAsia="Cambria" w:hAnsi="Simplified Arabic" w:cs="Simplified Arabic"/>
          <w:color w:val="212121"/>
          <w:sz w:val="28"/>
          <w:szCs w:val="28"/>
          <w14:ligatures w14:val="none"/>
        </w:rPr>
        <w:t>).</w:t>
      </w:r>
    </w:p>
    <w:p w14:paraId="3F65CA2C" w14:textId="072C529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63"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6A4950">
          <w:rPr>
            <w:rFonts w:ascii="Simplified Arabic" w:eastAsia="Times New Roman" w:hAnsi="Simplified Arabic" w:cs="Simplified Arabic"/>
            <w:color w:val="467886" w:themeColor="hyperlink"/>
            <w:sz w:val="28"/>
            <w:szCs w:val="28"/>
            <w:u w:val="single"/>
            <w14:ligatures w14:val="none"/>
          </w:rPr>
          <w:t>6</w:t>
        </w:r>
        <w:r w:rsidRPr="00DD1558">
          <w:rPr>
            <w:rFonts w:ascii="Simplified Arabic" w:eastAsia="Times New Roman" w:hAnsi="Simplified Arabic" w:cs="Simplified Arabic"/>
            <w:color w:val="467886" w:themeColor="hyperlink"/>
            <w:sz w:val="28"/>
            <w:szCs w:val="28"/>
            <w:u w:val="single"/>
            <w14:ligatures w14:val="none"/>
          </w:rPr>
          <w:t>.</w:t>
        </w:r>
        <w:r w:rsidR="00FB13EE">
          <w:rPr>
            <w:rFonts w:ascii="Simplified Arabic" w:eastAsia="Times New Roman" w:hAnsi="Simplified Arabic" w:cs="Simplified Arabic"/>
            <w:color w:val="467886" w:themeColor="hyperlink"/>
            <w:sz w:val="28"/>
            <w:szCs w:val="28"/>
            <w:u w:val="single"/>
            <w14:ligatures w14:val="none"/>
          </w:rPr>
          <w:t>3</w:t>
        </w:r>
      </w:hyperlink>
      <w:r w:rsidRPr="00DD1558">
        <w:rPr>
          <w:rFonts w:ascii="Simplified Arabic" w:eastAsia="Times New Roman" w:hAnsi="Simplified Arabic" w:cs="Simplified Arabic"/>
          <w:color w:val="1A1A1A"/>
          <w:sz w:val="28"/>
          <w:szCs w:val="28"/>
          <w14:ligatures w14:val="none"/>
        </w:rPr>
        <w:t xml:space="preserve"> maps each research question to its analytical tools, the sections where they are applied, and the qualitative output each produces.</w:t>
      </w:r>
    </w:p>
    <w:p w14:paraId="3F09D03A" w14:textId="0B61F035"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p>
    <w:p w14:paraId="5774D7D0" w14:textId="395BEA76" w:rsidR="00FB13EE" w:rsidRDefault="00FB13EE" w:rsidP="00FB13EE">
      <w:pPr>
        <w:pStyle w:val="Caption"/>
        <w:keepNext/>
        <w:bidi w:val="0"/>
      </w:pPr>
    </w:p>
    <w:p w14:paraId="041C706A" w14:textId="6EA08417" w:rsidR="006A4950" w:rsidRDefault="006A4950" w:rsidP="006A4950">
      <w:pPr>
        <w:pStyle w:val="Caption"/>
        <w:keepNext/>
        <w:bidi w:val="0"/>
      </w:pPr>
      <w:bookmarkStart w:id="100" w:name="_Toc237107835"/>
      <w:r>
        <w:t>T</w:t>
      </w:r>
      <w:bookmarkStart w:id="101" w:name="Table63"/>
      <w:bookmarkEnd w:id="101"/>
      <w:r>
        <w:t xml:space="preserve">able </w:t>
      </w:r>
      <w:r w:rsidR="00A94BAE">
        <w:t>3</w:t>
      </w:r>
      <w:r>
        <w:t>.</w:t>
      </w:r>
      <w:r w:rsidR="00A94BAE">
        <w:t>1</w:t>
      </w:r>
      <w:r w:rsidRPr="009076A1">
        <w:t>. Mapping of research questions to analytical tools, application sites, and qualitative outputs</w:t>
      </w:r>
      <w:bookmarkEnd w:id="100"/>
    </w:p>
    <w:tbl>
      <w:tblPr>
        <w:tblStyle w:val="Table"/>
        <w:tblW w:w="5000" w:type="pct"/>
        <w:tblBorders>
          <w:top w:val="single" w:sz="12" w:space="0" w:color="44546A"/>
          <w:bottom w:val="single" w:sz="12" w:space="0" w:color="44546A"/>
        </w:tblBorders>
        <w:tblLayout w:type="fixed"/>
        <w:tblCellMar>
          <w:left w:w="80" w:type="dxa"/>
          <w:right w:w="80" w:type="dxa"/>
        </w:tblCellMar>
        <w:tblLook w:val="0020" w:firstRow="1" w:lastRow="0" w:firstColumn="0" w:lastColumn="0" w:noHBand="0" w:noVBand="0"/>
      </w:tblPr>
      <w:tblGrid>
        <w:gridCol w:w="1636"/>
        <w:gridCol w:w="3162"/>
        <w:gridCol w:w="2508"/>
        <w:gridCol w:w="2900"/>
      </w:tblGrid>
      <w:tr w:rsidR="00DD1558" w:rsidRPr="00DD1558" w14:paraId="5887E1BA"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1500" w:type="dxa"/>
            <w:tcBorders>
              <w:bottom w:val="single" w:sz="8" w:space="0" w:color="44546A"/>
            </w:tcBorders>
            <w:vAlign w:val="top"/>
          </w:tcPr>
          <w:p w14:paraId="76861D87"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Research question</w:t>
            </w:r>
          </w:p>
        </w:tc>
        <w:tc>
          <w:tcPr>
            <w:tcW w:w="2900" w:type="dxa"/>
            <w:tcBorders>
              <w:bottom w:val="single" w:sz="8" w:space="0" w:color="44546A"/>
            </w:tcBorders>
            <w:vAlign w:val="top"/>
          </w:tcPr>
          <w:p w14:paraId="1227C9CB"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Analytical tool(s)</w:t>
            </w:r>
          </w:p>
        </w:tc>
        <w:tc>
          <w:tcPr>
            <w:tcW w:w="2300" w:type="dxa"/>
            <w:tcBorders>
              <w:bottom w:val="single" w:sz="8" w:space="0" w:color="44546A"/>
            </w:tcBorders>
            <w:vAlign w:val="top"/>
          </w:tcPr>
          <w:p w14:paraId="1B752D11"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Where applied</w:t>
            </w:r>
          </w:p>
        </w:tc>
        <w:tc>
          <w:tcPr>
            <w:tcW w:w="2660" w:type="dxa"/>
            <w:tcBorders>
              <w:bottom w:val="single" w:sz="8" w:space="0" w:color="44546A"/>
            </w:tcBorders>
            <w:vAlign w:val="top"/>
          </w:tcPr>
          <w:p w14:paraId="794EA11E"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Qualitative output produced</w:t>
            </w:r>
          </w:p>
        </w:tc>
      </w:tr>
      <w:tr w:rsidR="00DD1558" w:rsidRPr="00DD1558" w14:paraId="7AA11D28" w14:textId="77777777" w:rsidTr="00C71E92">
        <w:tc>
          <w:tcPr>
            <w:tcW w:w="1500" w:type="dxa"/>
          </w:tcPr>
          <w:p w14:paraId="6FEB70B6"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RQ1</w:t>
            </w:r>
            <w:r w:rsidRPr="00DD1558">
              <w:rPr>
                <w:rFonts w:ascii="Simplified Arabic" w:hAnsi="Simplified Arabic" w:cs="Simplified Arabic"/>
                <w:szCs w:val="22"/>
              </w:rPr>
              <w:t xml:space="preserve"> — Structural characterization of the decentralized regime and its risk consequences</w:t>
            </w:r>
          </w:p>
        </w:tc>
        <w:tc>
          <w:tcPr>
            <w:tcW w:w="2900" w:type="dxa"/>
          </w:tcPr>
          <w:p w14:paraId="364FF5A5"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Document analysis; structural mapping; risk maturity models (Hillson, 1997; Paulk et al., 1993); Bow-Tie threat-pathway structuring (IEC, 2019)</w:t>
            </w:r>
          </w:p>
        </w:tc>
        <w:tc>
          <w:tcPr>
            <w:tcW w:w="2300" w:type="dxa"/>
          </w:tcPr>
          <w:p w14:paraId="348F9AC7" w14:textId="79E70C6B"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Sections </w:t>
            </w:r>
            <w:hyperlink w:anchor="section11" w:history="1">
              <w:r w:rsidRPr="00730A82">
                <w:rPr>
                  <w:rStyle w:val="Hyperlink"/>
                  <w:rFonts w:ascii="Simplified Arabic" w:hAnsi="Simplified Arabic" w:cs="Simplified Arabic"/>
                  <w:szCs w:val="22"/>
                </w:rPr>
                <w:t>1.1</w:t>
              </w:r>
            </w:hyperlink>
            <w:r w:rsidRPr="00DD1558">
              <w:rPr>
                <w:rFonts w:ascii="Simplified Arabic" w:hAnsi="Simplified Arabic" w:cs="Simplified Arabic"/>
                <w:szCs w:val="22"/>
              </w:rPr>
              <w:t>–</w:t>
            </w:r>
            <w:r w:rsidR="00730A82">
              <w:rPr>
                <w:rFonts w:ascii="Simplified Arabic" w:hAnsi="Simplified Arabic" w:cs="Simplified Arabic"/>
                <w:szCs w:val="22"/>
              </w:rPr>
              <w:t xml:space="preserve"> </w:t>
            </w:r>
            <w:hyperlink w:anchor="section12" w:history="1">
              <w:r w:rsidRPr="00730A82">
                <w:rPr>
                  <w:rStyle w:val="Hyperlink"/>
                  <w:rFonts w:ascii="Simplified Arabic" w:hAnsi="Simplified Arabic" w:cs="Simplified Arabic"/>
                  <w:szCs w:val="22"/>
                </w:rPr>
                <w:t>1.2</w:t>
              </w:r>
            </w:hyperlink>
            <w:r w:rsidRPr="00DD1558">
              <w:rPr>
                <w:rFonts w:ascii="Simplified Arabic" w:hAnsi="Simplified Arabic" w:cs="Simplified Arabic"/>
                <w:szCs w:val="22"/>
              </w:rPr>
              <w:t xml:space="preserve"> (current-state account); </w:t>
            </w:r>
            <w:hyperlink w:anchor="section22" w:history="1">
              <w:r w:rsidRPr="00730A82">
                <w:rPr>
                  <w:rStyle w:val="Hyperlink"/>
                  <w:rFonts w:ascii="Simplified Arabic" w:hAnsi="Simplified Arabic" w:cs="Simplified Arabic"/>
                  <w:szCs w:val="22"/>
                </w:rPr>
                <w:t>2.2</w:t>
              </w:r>
            </w:hyperlink>
            <w:r w:rsidRPr="00DD1558">
              <w:rPr>
                <w:rFonts w:ascii="Simplified Arabic" w:hAnsi="Simplified Arabic" w:cs="Simplified Arabic"/>
                <w:szCs w:val="22"/>
              </w:rPr>
              <w:t xml:space="preserve"> (maturity-gap diagnosis); </w:t>
            </w:r>
            <w:hyperlink w:anchor="Section23" w:history="1">
              <w:r w:rsidRPr="00730A82">
                <w:rPr>
                  <w:rStyle w:val="Hyperlink"/>
                  <w:rFonts w:ascii="Simplified Arabic" w:hAnsi="Simplified Arabic" w:cs="Simplified Arabic"/>
                  <w:szCs w:val="22"/>
                </w:rPr>
                <w:t>2.3</w:t>
              </w:r>
            </w:hyperlink>
            <w:r w:rsidRPr="00DD1558">
              <w:rPr>
                <w:rFonts w:ascii="Simplified Arabic" w:hAnsi="Simplified Arabic" w:cs="Simplified Arabic"/>
                <w:szCs w:val="22"/>
              </w:rPr>
              <w:t xml:space="preserve"> (threats and top events)</w:t>
            </w:r>
          </w:p>
        </w:tc>
        <w:tc>
          <w:tcPr>
            <w:tcW w:w="2660" w:type="dxa"/>
          </w:tcPr>
          <w:p w14:paraId="043183FC"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The Risk Maturity Gap diagnosis; the adapted three-band maturity trajectory; the Bow-Tie threat structure (T1–T4) and consequence classes (C1–C4)</w:t>
            </w:r>
          </w:p>
        </w:tc>
      </w:tr>
      <w:tr w:rsidR="00DD1558" w:rsidRPr="00DD1558" w14:paraId="598723BC" w14:textId="77777777" w:rsidTr="00C71E92">
        <w:tc>
          <w:tcPr>
            <w:tcW w:w="1500" w:type="dxa"/>
          </w:tcPr>
          <w:p w14:paraId="11E873BB"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RQ2</w:t>
            </w:r>
            <w:r w:rsidRPr="00DD1558">
              <w:rPr>
                <w:rFonts w:ascii="Simplified Arabic" w:hAnsi="Simplified Arabic" w:cs="Simplified Arabic"/>
                <w:szCs w:val="22"/>
              </w:rPr>
              <w:t xml:space="preserve"> — Feasibility assessment and risk classification of the transition</w:t>
            </w:r>
          </w:p>
        </w:tc>
        <w:tc>
          <w:tcPr>
            <w:tcW w:w="2900" w:type="dxa"/>
          </w:tcPr>
          <w:p w14:paraId="1DAC8B80"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Bow-Tie barrier analysis (CCPS &amp; Energy Institute, 2018); FIRM taxonomy (Hopkin, 2018); ISO 31000:2018 process framing (ISO, 2018); qualitative feasibility matrix with Strong/Conditional/Contingent ratings and gates G1–G4 (PMI, 2021)</w:t>
            </w:r>
          </w:p>
        </w:tc>
        <w:tc>
          <w:tcPr>
            <w:tcW w:w="2300" w:type="dxa"/>
          </w:tcPr>
          <w:p w14:paraId="7F707AAC" w14:textId="7E18C61F"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Sections </w:t>
            </w:r>
            <w:hyperlink w:anchor="Section23" w:history="1">
              <w:r w:rsidRPr="00730A82">
                <w:rPr>
                  <w:rStyle w:val="Hyperlink"/>
                  <w:rFonts w:ascii="Simplified Arabic" w:hAnsi="Simplified Arabic" w:cs="Simplified Arabic"/>
                  <w:szCs w:val="22"/>
                </w:rPr>
                <w:t>2.3</w:t>
              </w:r>
            </w:hyperlink>
            <w:r w:rsidRPr="00DD1558">
              <w:rPr>
                <w:rFonts w:ascii="Simplified Arabic" w:hAnsi="Simplified Arabic" w:cs="Simplified Arabic"/>
                <w:szCs w:val="22"/>
              </w:rPr>
              <w:t>–</w:t>
            </w:r>
            <w:hyperlink w:anchor="section25" w:history="1">
              <w:r w:rsidRPr="00730A82">
                <w:rPr>
                  <w:rStyle w:val="Hyperlink"/>
                  <w:rFonts w:ascii="Simplified Arabic" w:hAnsi="Simplified Arabic" w:cs="Simplified Arabic"/>
                  <w:szCs w:val="22"/>
                </w:rPr>
                <w:t>2.5</w:t>
              </w:r>
            </w:hyperlink>
            <w:r w:rsidRPr="00DD1558">
              <w:rPr>
                <w:rFonts w:ascii="Simplified Arabic" w:hAnsi="Simplified Arabic" w:cs="Simplified Arabic"/>
                <w:szCs w:val="22"/>
              </w:rPr>
              <w:t xml:space="preserve"> (barriers, continuity and environmental readings); </w:t>
            </w:r>
            <w:hyperlink w:anchor="section42" w:history="1">
              <w:r w:rsidRPr="00945B28">
                <w:rPr>
                  <w:rStyle w:val="Hyperlink"/>
                  <w:rFonts w:ascii="Simplified Arabic" w:hAnsi="Simplified Arabic" w:cs="Simplified Arabic"/>
                  <w:szCs w:val="22"/>
                </w:rPr>
                <w:t>4</w:t>
              </w:r>
              <w:r w:rsidR="00945B28" w:rsidRPr="00945B28">
                <w:rPr>
                  <w:rStyle w:val="Hyperlink"/>
                  <w:rFonts w:ascii="Simplified Arabic" w:hAnsi="Simplified Arabic" w:cs="Simplified Arabic"/>
                  <w:szCs w:val="22"/>
                </w:rPr>
                <w:t>.2</w:t>
              </w:r>
            </w:hyperlink>
            <w:r w:rsidRPr="00DD1558">
              <w:rPr>
                <w:rFonts w:ascii="Simplified Arabic" w:hAnsi="Simplified Arabic" w:cs="Simplified Arabic"/>
                <w:szCs w:val="22"/>
              </w:rPr>
              <w:t xml:space="preserve"> (feasibility); </w:t>
            </w:r>
            <w:hyperlink w:anchor="section433" w:history="1">
              <w:r w:rsidR="00945B28" w:rsidRPr="00945B28">
                <w:rPr>
                  <w:rStyle w:val="Hyperlink"/>
                  <w:rFonts w:ascii="Simplified Arabic" w:hAnsi="Simplified Arabic" w:cs="Simplified Arabic"/>
                  <w:szCs w:val="22"/>
                </w:rPr>
                <w:t>4.3.3</w:t>
              </w:r>
            </w:hyperlink>
            <w:r w:rsidRPr="00DD1558">
              <w:rPr>
                <w:rFonts w:ascii="Simplified Arabic" w:hAnsi="Simplified Arabic" w:cs="Simplified Arabic"/>
                <w:szCs w:val="22"/>
              </w:rPr>
              <w:t xml:space="preserve"> (risk register)</w:t>
            </w:r>
          </w:p>
        </w:tc>
        <w:tc>
          <w:tcPr>
            <w:tcW w:w="2660" w:type="dxa"/>
          </w:tcPr>
          <w:p w14:paraId="191F1C23"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The consolidated feasibility matrix with the conditionally strong verdict; the classified risk register (RR-01–RR-15) with verbally defined High/Moderate/Low priority bands</w:t>
            </w:r>
          </w:p>
        </w:tc>
      </w:tr>
      <w:tr w:rsidR="00DD1558" w:rsidRPr="00DD1558" w14:paraId="5D7C3B71" w14:textId="77777777" w:rsidTr="00C71E92">
        <w:tc>
          <w:tcPr>
            <w:tcW w:w="1500" w:type="dxa"/>
          </w:tcPr>
          <w:p w14:paraId="3072C5E7"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RQ3</w:t>
            </w:r>
            <w:r w:rsidRPr="00DD1558">
              <w:rPr>
                <w:rFonts w:ascii="Simplified Arabic" w:hAnsi="Simplified Arabic" w:cs="Simplified Arabic"/>
                <w:szCs w:val="22"/>
              </w:rPr>
              <w:t xml:space="preserve"> — Governance structures, roles, policies, procedures, and performance indicators</w:t>
            </w:r>
          </w:p>
        </w:tc>
        <w:tc>
          <w:tcPr>
            <w:tcW w:w="2900" w:type="dxa"/>
          </w:tcPr>
          <w:p w14:paraId="3E1F0A42"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ISO 14001:2015 and ISO 22301:2019 clause analogues (leadership and roles, competence, documented information, performance evaluation; ISO, 2015, clauses 5.3, 7.2–7.5, 9.1; ISO, 2019, clauses 5.3, 7.2–7.5, 9.1); collaborative-</w:t>
            </w:r>
            <w:r w:rsidRPr="00DD1558">
              <w:rPr>
                <w:rFonts w:ascii="Simplified Arabic" w:hAnsi="Simplified Arabic" w:cs="Simplified Arabic"/>
                <w:szCs w:val="22"/>
              </w:rPr>
              <w:lastRenderedPageBreak/>
              <w:t>governance literature (Ahn &amp; Baldwin, 2024; Lopes &amp; Farias, 2022); policy-control design (eligibility clauses, FEFO standard, Inter-Lab Policy Framework)</w:t>
            </w:r>
          </w:p>
        </w:tc>
        <w:tc>
          <w:tcPr>
            <w:tcW w:w="2300" w:type="dxa"/>
          </w:tcPr>
          <w:p w14:paraId="47D94990" w14:textId="2E78BCA4" w:rsidR="00DD1558" w:rsidRPr="00DD1558" w:rsidRDefault="00DD1558" w:rsidP="00DD1558">
            <w:pPr>
              <w:bidi w:val="0"/>
              <w:spacing w:before="36" w:after="36"/>
              <w:rPr>
                <w:rFonts w:ascii="Simplified Arabic" w:hAnsi="Simplified Arabic" w:cs="Simplified Arabic"/>
                <w:szCs w:val="22"/>
              </w:rPr>
            </w:pPr>
            <w:hyperlink w:anchor="section41" w:history="1">
              <w:r w:rsidRPr="00945B28">
                <w:rPr>
                  <w:rStyle w:val="Hyperlink"/>
                  <w:rFonts w:ascii="Simplified Arabic" w:hAnsi="Simplified Arabic" w:cs="Simplified Arabic"/>
                  <w:szCs w:val="22"/>
                </w:rPr>
                <w:t xml:space="preserve">Section </w:t>
              </w:r>
              <w:r w:rsidR="00945B28" w:rsidRPr="00945B28">
                <w:rPr>
                  <w:rStyle w:val="Hyperlink"/>
                  <w:rFonts w:ascii="Simplified Arabic" w:hAnsi="Simplified Arabic" w:cs="Simplified Arabic"/>
                  <w:szCs w:val="22"/>
                </w:rPr>
                <w:t>4.1</w:t>
              </w:r>
            </w:hyperlink>
            <w:r w:rsidRPr="00DD1558">
              <w:rPr>
                <w:rFonts w:ascii="Simplified Arabic" w:hAnsi="Simplified Arabic" w:cs="Simplified Arabic"/>
                <w:szCs w:val="22"/>
              </w:rPr>
              <w:t xml:space="preserve"> (governance architecture); </w:t>
            </w:r>
            <w:r w:rsidR="000F1211" w:rsidRPr="000F1211">
              <w:rPr>
                <w:rFonts w:ascii="Simplified Arabic" w:hAnsi="Simplified Arabic" w:cs="Simplified Arabic"/>
                <w:szCs w:val="22"/>
              </w:rPr>
              <w:t xml:space="preserve">Section </w:t>
            </w:r>
            <w:hyperlink w:anchor="section417" w:history="1">
              <w:r w:rsidR="000F1211" w:rsidRPr="00945B28">
                <w:rPr>
                  <w:rStyle w:val="Hyperlink"/>
                  <w:rFonts w:ascii="Simplified Arabic" w:hAnsi="Simplified Arabic" w:cs="Simplified Arabic"/>
                  <w:szCs w:val="22"/>
                </w:rPr>
                <w:t>4.1.7</w:t>
              </w:r>
            </w:hyperlink>
            <w:r w:rsidRPr="00DD1558">
              <w:rPr>
                <w:rFonts w:ascii="Simplified Arabic" w:hAnsi="Simplified Arabic" w:cs="Simplified Arabic"/>
                <w:szCs w:val="22"/>
              </w:rPr>
              <w:t xml:space="preserve"> (KPI definitions and dashboard)</w:t>
            </w:r>
          </w:p>
        </w:tc>
        <w:tc>
          <w:tcPr>
            <w:tcW w:w="2660" w:type="dxa"/>
          </w:tcPr>
          <w:p w14:paraId="75E7ED01"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 xml:space="preserve">The three-tier governance architecture with allocated decision rights and the technician non-authority clause; the policy core (PB1–PB3, MB1–MB3, EB1–EB3); the KPI set (KPI-O1–O4, KPI-E1–E4, KPI-G1–G6) each with </w:t>
            </w:r>
            <w:r w:rsidRPr="00DD1558">
              <w:rPr>
                <w:rFonts w:ascii="Simplified Arabic" w:hAnsi="Simplified Arabic" w:cs="Simplified Arabic"/>
                <w:szCs w:val="22"/>
              </w:rPr>
              <w:lastRenderedPageBreak/>
              <w:t>method, source, owner, frequency, directional target</w:t>
            </w:r>
          </w:p>
        </w:tc>
      </w:tr>
      <w:tr w:rsidR="00DD1558" w:rsidRPr="00DD1558" w14:paraId="231906AD" w14:textId="77777777" w:rsidTr="00C71E92">
        <w:tc>
          <w:tcPr>
            <w:tcW w:w="1500" w:type="dxa"/>
          </w:tcPr>
          <w:p w14:paraId="02015677" w14:textId="77777777"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b/>
                <w:bCs/>
                <w:szCs w:val="22"/>
              </w:rPr>
              <w:t>RQ4</w:t>
            </w:r>
            <w:r w:rsidRPr="00DD1558">
              <w:rPr>
                <w:rFonts w:ascii="Simplified Arabic" w:hAnsi="Simplified Arabic" w:cs="Simplified Arabic"/>
                <w:szCs w:val="22"/>
              </w:rPr>
              <w:t xml:space="preserve"> — Phased implementation roadmap toward the Perform band</w:t>
            </w:r>
          </w:p>
        </w:tc>
        <w:tc>
          <w:tcPr>
            <w:tcW w:w="2900" w:type="dxa"/>
          </w:tcPr>
          <w:p w14:paraId="085EC2BD" w14:textId="5D545506"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Maturity-trajectory sequencing (Hillson, 1997; Paulk et al., 1993); readiness-gate logic (</w:t>
            </w:r>
            <w:hyperlink w:anchor="section46" w:history="1">
              <w:r w:rsidRPr="00945B28">
                <w:rPr>
                  <w:rStyle w:val="Hyperlink"/>
                  <w:rFonts w:ascii="Simplified Arabic" w:hAnsi="Simplified Arabic" w:cs="Simplified Arabic"/>
                  <w:szCs w:val="22"/>
                </w:rPr>
                <w:t>Section 4.6</w:t>
              </w:r>
            </w:hyperlink>
            <w:r w:rsidRPr="00DD1558">
              <w:rPr>
                <w:rFonts w:ascii="Simplified Arabic" w:hAnsi="Simplified Arabic" w:cs="Simplified Arabic"/>
                <w:szCs w:val="22"/>
              </w:rPr>
              <w:t>); project-management tailoring and progressive elaboration (PMI, 2021; Takagi et al., 2024); change-management literature (Vlachopoulos, 2021; Dean et al., 2024); digital-readiness literature (Rodríguez-Abitia &amp; Bribiesca-Correa, 2021; Bellantuono et al., 2021)</w:t>
            </w:r>
          </w:p>
        </w:tc>
        <w:tc>
          <w:tcPr>
            <w:tcW w:w="2300" w:type="dxa"/>
          </w:tcPr>
          <w:p w14:paraId="36618649" w14:textId="27BE00FF" w:rsidR="00DD1558" w:rsidRPr="00DD1558" w:rsidRDefault="000F1211" w:rsidP="00DD1558">
            <w:pPr>
              <w:bidi w:val="0"/>
              <w:spacing w:before="36" w:after="36"/>
              <w:rPr>
                <w:rFonts w:ascii="Simplified Arabic" w:hAnsi="Simplified Arabic" w:cs="Simplified Arabic"/>
                <w:szCs w:val="22"/>
              </w:rPr>
            </w:pPr>
            <w:r w:rsidRPr="000F1211">
              <w:rPr>
                <w:rFonts w:ascii="Simplified Arabic" w:hAnsi="Simplified Arabic" w:cs="Simplified Arabic"/>
                <w:szCs w:val="22"/>
              </w:rPr>
              <w:t xml:space="preserve">Section </w:t>
            </w:r>
            <w:hyperlink w:anchor="Section416" w:history="1">
              <w:r w:rsidRPr="00945B28">
                <w:rPr>
                  <w:rStyle w:val="Hyperlink"/>
                  <w:rFonts w:ascii="Simplified Arabic" w:hAnsi="Simplified Arabic" w:cs="Simplified Arabic"/>
                  <w:szCs w:val="22"/>
                </w:rPr>
                <w:t>4.1.6</w:t>
              </w:r>
            </w:hyperlink>
            <w:r w:rsidR="00DD1558" w:rsidRPr="00DD1558">
              <w:rPr>
                <w:rFonts w:ascii="Simplified Arabic" w:hAnsi="Simplified Arabic" w:cs="Simplified Arabic"/>
                <w:szCs w:val="22"/>
              </w:rPr>
              <w:t xml:space="preserve"> (roadmap); Section </w:t>
            </w:r>
            <w:hyperlink w:anchor="section46" w:history="1">
              <w:r w:rsidR="00DD1558" w:rsidRPr="00945B28">
                <w:rPr>
                  <w:rStyle w:val="Hyperlink"/>
                  <w:rFonts w:ascii="Simplified Arabic" w:hAnsi="Simplified Arabic" w:cs="Simplified Arabic"/>
                  <w:szCs w:val="22"/>
                </w:rPr>
                <w:t>4.6</w:t>
              </w:r>
            </w:hyperlink>
            <w:r w:rsidR="00DD1558" w:rsidRPr="00DD1558">
              <w:rPr>
                <w:rFonts w:ascii="Simplified Arabic" w:hAnsi="Simplified Arabic" w:cs="Simplified Arabic"/>
                <w:szCs w:val="22"/>
              </w:rPr>
              <w:t xml:space="preserve"> (gate definitions)</w:t>
            </w:r>
          </w:p>
        </w:tc>
        <w:tc>
          <w:tcPr>
            <w:tcW w:w="2660" w:type="dxa"/>
          </w:tcPr>
          <w:p w14:paraId="56695CC6" w14:textId="783E20B5" w:rsidR="00DD1558" w:rsidRPr="00DD1558" w:rsidRDefault="00DD1558" w:rsidP="00DD1558">
            <w:pPr>
              <w:bidi w:val="0"/>
              <w:spacing w:before="36" w:after="36"/>
              <w:rPr>
                <w:rFonts w:ascii="Simplified Arabic" w:hAnsi="Simplified Arabic" w:cs="Simplified Arabic"/>
                <w:szCs w:val="22"/>
              </w:rPr>
            </w:pPr>
            <w:r w:rsidRPr="00DD1558">
              <w:rPr>
                <w:rFonts w:ascii="Simplified Arabic" w:hAnsi="Simplified Arabic" w:cs="Simplified Arabic"/>
                <w:szCs w:val="22"/>
              </w:rPr>
              <w:t>The four-phase roadmap (</w:t>
            </w:r>
            <w:hyperlink w:anchor="Phase1" w:history="1">
              <w:r w:rsidRPr="00935DA7">
                <w:rPr>
                  <w:rStyle w:val="Hyperlink"/>
                  <w:rFonts w:ascii="Simplified Arabic" w:hAnsi="Simplified Arabic" w:cs="Simplified Arabic"/>
                  <w:szCs w:val="22"/>
                </w:rPr>
                <w:t>Phase 1</w:t>
              </w:r>
            </w:hyperlink>
            <w:r w:rsidRPr="00DD1558">
              <w:rPr>
                <w:rFonts w:ascii="Simplified Arabic" w:hAnsi="Simplified Arabic" w:cs="Simplified Arabic"/>
                <w:szCs w:val="22"/>
              </w:rPr>
              <w:t xml:space="preserve"> policy ratification, </w:t>
            </w:r>
            <w:hyperlink w:anchor="Phase2" w:history="1">
              <w:r w:rsidRPr="00935DA7">
                <w:rPr>
                  <w:rStyle w:val="Hyperlink"/>
                  <w:rFonts w:ascii="Simplified Arabic" w:hAnsi="Simplified Arabic" w:cs="Simplified Arabic"/>
                  <w:szCs w:val="22"/>
                </w:rPr>
                <w:t>Phase 2</w:t>
              </w:r>
            </w:hyperlink>
            <w:r w:rsidRPr="00DD1558">
              <w:rPr>
                <w:rFonts w:ascii="Simplified Arabic" w:hAnsi="Simplified Arabic" w:cs="Simplified Arabic"/>
                <w:szCs w:val="22"/>
              </w:rPr>
              <w:t xml:space="preserve"> standardization and onboarding, </w:t>
            </w:r>
            <w:hyperlink w:anchor="Phase3" w:history="1">
              <w:r w:rsidRPr="00935DA7">
                <w:rPr>
                  <w:rStyle w:val="Hyperlink"/>
                  <w:rFonts w:ascii="Simplified Arabic" w:hAnsi="Simplified Arabic" w:cs="Simplified Arabic"/>
                  <w:szCs w:val="22"/>
                </w:rPr>
                <w:t>Phase 3</w:t>
              </w:r>
            </w:hyperlink>
            <w:r w:rsidRPr="00DD1558">
              <w:rPr>
                <w:rFonts w:ascii="Simplified Arabic" w:hAnsi="Simplified Arabic" w:cs="Simplified Arabic"/>
                <w:szCs w:val="22"/>
              </w:rPr>
              <w:t xml:space="preserve"> pilot, </w:t>
            </w:r>
            <w:hyperlink w:anchor="Phase4" w:history="1">
              <w:r w:rsidRPr="00935DA7">
                <w:rPr>
                  <w:rStyle w:val="Hyperlink"/>
                  <w:rFonts w:ascii="Simplified Arabic" w:hAnsi="Simplified Arabic" w:cs="Simplified Arabic"/>
                  <w:szCs w:val="22"/>
                </w:rPr>
                <w:t>Phase 4</w:t>
              </w:r>
            </w:hyperlink>
            <w:r w:rsidRPr="00DD1558">
              <w:rPr>
                <w:rFonts w:ascii="Simplified Arabic" w:hAnsi="Simplified Arabic" w:cs="Simplified Arabic"/>
                <w:szCs w:val="22"/>
              </w:rPr>
              <w:t xml:space="preserve"> scaling and continuous improvement), each phase terminating at a readiness gate with named transition risks discharged</w:t>
            </w:r>
          </w:p>
        </w:tc>
      </w:tr>
    </w:tbl>
    <w:p w14:paraId="1221E029"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102" w:name="_9.5_Analytical_Procedures"/>
      <w:bookmarkStart w:id="103" w:name="_Toc237539746"/>
      <w:bookmarkEnd w:id="102"/>
      <w:r w:rsidRPr="00DD1558">
        <w:rPr>
          <w:rFonts w:ascii="Simplified Arabic" w:eastAsiaTheme="majorEastAsia" w:hAnsi="Simplified Arabic" w:cstheme="majorBidi"/>
          <w:b/>
          <w:sz w:val="28"/>
          <w:szCs w:val="32"/>
        </w:rPr>
        <w:t>3.5 Analytical Procedures</w:t>
      </w:r>
      <w:bookmarkEnd w:id="103"/>
    </w:p>
    <w:p w14:paraId="38A1390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analysis proceeded through eight ordered steps. Each step is specified by its input, its procedure, its output, and the verification rule by which the output was checked before the next step began.</w:t>
      </w:r>
    </w:p>
    <w:p w14:paraId="1C164506" w14:textId="48ACB31C"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Problem structuring (the Risk Maturity Gap).</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institutional policy and record-structure sources (</w:t>
      </w:r>
      <w:hyperlink w:anchor="_Data_Sources_and" w:history="1">
        <w:r w:rsidR="002C0C03" w:rsidRPr="002C0C03">
          <w:rPr>
            <w:rFonts w:ascii="Simplified Arabic" w:eastAsia="Cambria" w:hAnsi="Simplified Arabic" w:cs="Simplified Arabic"/>
            <w:color w:val="467886" w:themeColor="hyperlink"/>
            <w:sz w:val="28"/>
            <w:szCs w:val="28"/>
            <w:u w:val="single"/>
            <w14:ligatures w14:val="none"/>
          </w:rPr>
          <w:t xml:space="preserve">Section </w:t>
        </w:r>
        <w:r w:rsidR="002C0C03">
          <w:rPr>
            <w:rFonts w:ascii="Simplified Arabic" w:eastAsia="Cambria" w:hAnsi="Simplified Arabic" w:cs="Simplified Arabic"/>
            <w:color w:val="467886" w:themeColor="hyperlink"/>
            <w:sz w:val="28"/>
            <w:szCs w:val="28"/>
            <w:u w:val="single"/>
            <w14:ligatures w14:val="none"/>
          </w:rPr>
          <w:t>3</w:t>
        </w:r>
        <w:r w:rsidR="002C0C03" w:rsidRPr="002C0C03">
          <w:rPr>
            <w:rFonts w:ascii="Simplified Arabic" w:eastAsia="Cambria" w:hAnsi="Simplified Arabic" w:cs="Simplified Arabic"/>
            <w:color w:val="467886" w:themeColor="hyperlink"/>
            <w:sz w:val="28"/>
            <w:szCs w:val="28"/>
            <w:u w:val="single"/>
            <w14:ligatures w14:val="none"/>
          </w:rPr>
          <w:t>.3</w:t>
        </w:r>
      </w:hyperlink>
      <w:r w:rsidRPr="00DD1558">
        <w:rPr>
          <w:rFonts w:ascii="Simplified Arabic" w:eastAsia="Cambria" w:hAnsi="Simplified Arabic" w:cs="Simplified Arabic"/>
          <w:color w:val="212121"/>
          <w:sz w:val="28"/>
          <w:szCs w:val="28"/>
          <w14:ligatures w14:val="none"/>
        </w:rPr>
        <w:t xml:space="preserve">, categories 1–2) and the descriptive account </w:t>
      </w:r>
      <w:r w:rsidRPr="00DD1558">
        <w:rPr>
          <w:rFonts w:ascii="Simplified Arabic" w:eastAsia="Cambria" w:hAnsi="Simplified Arabic" w:cs="Simplified Arabic"/>
          <w:color w:val="212121"/>
          <w:sz w:val="28"/>
          <w:szCs w:val="28"/>
          <w14:ligatures w14:val="none"/>
        </w:rPr>
        <w:lastRenderedPageBreak/>
        <w:t xml:space="preserve">of the decentralized regime.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structural characterization of procurement defaults, custody arrangements, record practices, and disposal pathways, followed by diagnosis of the regime against the adapted maturity trajectory.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Risk Maturity Gap problem statement and the four structural consequences (duplicate purchasing, depressed asset utilization, expired-chemical accumulation, absent digitalization baseline).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consequence must be traceable to a structural feature of the regime, not to individual behavior; no magnitude may be asserted without a documented source.</w:t>
      </w:r>
    </w:p>
    <w:p w14:paraId="1D62AB7B" w14:textId="5D8F30D4"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Literature synthesis.</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verified scholarly base (category 4).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thematic organization of the literature into the streams of Chapter 2; extraction of documented mechanisms, success and failure conditions, and design requirements relevant to participatory inventory governance.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thematic synthesis and comparative summary of </w:t>
      </w:r>
      <w:hyperlink w:anchor="section27" w:history="1">
        <w:r w:rsidR="00945B28" w:rsidRPr="00945B28">
          <w:rPr>
            <w:rStyle w:val="Hyperlink"/>
            <w:rFonts w:ascii="Simplified Arabic" w:eastAsia="Cambria" w:hAnsi="Simplified Arabic" w:cs="Simplified Arabic"/>
            <w:sz w:val="28"/>
            <w:szCs w:val="28"/>
            <w14:ligatures w14:val="none"/>
          </w:rPr>
          <w:t>Section 2.7</w:t>
        </w:r>
      </w:hyperlink>
      <w:r w:rsidRPr="00DD1558">
        <w:rPr>
          <w:rFonts w:ascii="Simplified Arabic" w:eastAsia="Cambria" w:hAnsi="Simplified Arabic" w:cs="Simplified Arabic"/>
          <w:color w:val="212121"/>
          <w:sz w:val="28"/>
          <w:szCs w:val="28"/>
          <w14:ligatures w14:val="none"/>
        </w:rPr>
        <w:t xml:space="preserve">, and the design requirements carried into framework integration.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documentary-domain saturation in the sense defined in </w:t>
      </w:r>
      <w:hyperlink w:anchor="_Data_Sources_and" w:history="1">
        <w:r w:rsidRPr="00DD1558">
          <w:rPr>
            <w:rFonts w:ascii="Simplified Arabic" w:eastAsia="Cambria" w:hAnsi="Simplified Arabic" w:cs="Simplified Arabic"/>
            <w:color w:val="467886" w:themeColor="hyperlink"/>
            <w:sz w:val="28"/>
            <w:szCs w:val="28"/>
            <w:u w:val="single"/>
            <w14:ligatures w14:val="none"/>
          </w:rPr>
          <w:t>Section 3.3</w:t>
        </w:r>
      </w:hyperlink>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{"citationID":"TS9uMwNK","properties":{"unsorted":false,"formattedCitation":"(Hennink &amp; Kaiser, 2022)","plainCitation":"(Hennink &amp; Kaiser, 2022)","noteIndex":0},"citationItems":[{"id":448,"uris":["http://zotero.org/users/19711126/items/BZR87HGI"],"itemData":{"id":448,"type":"article-journal","abstract":"Objective\nTo review empirical studies that assess saturation in qualitative research in order to identify sample sizes for saturation, strategies used to assess saturation, and guidance we can draw from these studies.\nMethods\nWe conducted a systematic review of four databases to identify studies empirically assessing sample sizes for saturation in qualitative research, supplemented by searching citing articles and reference lists.\nResults\nWe identified 23 articles that used empirical data (n = 17) or statistical modeling (n = 6) to assess saturation. Studies using empirical data reached saturation within a narrow range of interviews (9–17) or focus group discussions (4–8), particularly those with relatively homogenous study populations and narrowly defined objectives. Most studies had a relatively homogenous study population and assessed code saturation; the few outliers (e.g., multi-country research, meta-themes, “code meaning” saturation) needed larger samples for saturation.\nConclusions\nDespite varied research topics and approaches to assessing saturation, studies converged on a relatively consistent sample size for saturation for commonly used qualitative research methods. However, these findings apply to certain types of studies (e.g., those with homogenous study populations). These results provide strong empirical guidance on effective sample sizes for qualitative research, which can be used in conjunction with the characteristics of individual studies to estimate an appropriate sample size prior to data collection. This synthesis also provides an important resource for researchers, academic journals, journal reviewers, ethical review boards, and funding agencies to facilitate greater transparency in justifying and reporting sample sizes in qualitative research. Future empirical research is needed to explore how various parameters affect sample sizes for saturation.","container-title":"Social Science &amp; Medicine","DOI":"10.1016/j.socscimed.2021.114523","ISSN":"0277-9536","journalAbbreviation":"Social Science &amp; Medicine","page":"114523","source":"ScienceDirect","title":"Sample sizes for saturation in qualitative research: A systematic review of empirical tests","title-short":"Sample sizes for saturation in qualitative research","volume":"292","author":[{"family":"Hennink","given":"Monique"},{"family":"Kaiser","given":"Bonnie N."}],"issued":{"date-parts":[["2022",1,1]]}}}],"schema":"https://github.com/citation-style-language/schema/raw/master/csl-citation.json"}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(Hennink &amp; Kaiser, 2022)</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every source verified against publisher records; consistency of extracted requirements with the problem account (Cole, 2024).</w:t>
      </w:r>
    </w:p>
    <w:p w14:paraId="6D595F47" w14:textId="14B78674"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Framework integration (five lenses).</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problem diagnosis and the synthesized design requirements.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integration of risk maturity modeling, Bow-Tie analysis, business continuity, environmental management and USR, and FIRM classification into a single assessment structure; construction of the Bow-Tie pathway diagrams with adapted top events; alignment of the framework with ISO 14001:2015 and ISO 22301:2019 by clause analogue.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integrated framework of </w:t>
      </w:r>
      <w:hyperlink w:anchor="section291" w:history="1">
        <w:r w:rsidR="00945B28" w:rsidRPr="00945B28">
          <w:rPr>
            <w:rStyle w:val="Hyperlink"/>
            <w:rFonts w:ascii="Simplified Arabic" w:eastAsia="Cambria" w:hAnsi="Simplified Arabic" w:cs="Simplified Arabic"/>
            <w:sz w:val="28"/>
            <w:szCs w:val="28"/>
            <w14:ligatures w14:val="none"/>
          </w:rPr>
          <w:t>Section 2.9.1</w:t>
        </w:r>
      </w:hyperlink>
      <w:r w:rsidRPr="00DD1558">
        <w:rPr>
          <w:rFonts w:ascii="Simplified Arabic" w:eastAsia="Cambria" w:hAnsi="Simplified Arabic" w:cs="Simplified Arabic"/>
          <w:color w:val="212121"/>
          <w:sz w:val="28"/>
          <w:szCs w:val="28"/>
          <w14:ligatures w14:val="none"/>
        </w:rPr>
        <w:t xml:space="preserve">, including barriers PB1–PB3, MB1–MB3, EB1–EB3 and escalation factors EF1–EF3.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threat pathway terminates in a named prevention barrier; every consequence pathway carries at least one mitigation </w:t>
      </w:r>
      <w:r w:rsidRPr="00DD1558">
        <w:rPr>
          <w:rFonts w:ascii="Simplified Arabic" w:eastAsia="Cambria" w:hAnsi="Simplified Arabic" w:cs="Simplified Arabic"/>
          <w:color w:val="212121"/>
          <w:sz w:val="28"/>
          <w:szCs w:val="28"/>
          <w14:ligatures w14:val="none"/>
        </w:rPr>
        <w:lastRenderedPageBreak/>
        <w:t xml:space="preserve">barrier; every escalation factor is paired with an escalation-factor barrier; all Bow-Tie terms conform to CCPS and Energy Institute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{"citationID":"Uofd02LI","properties":{"unsorted":false,"formattedCitation":"(Johnson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(Johnson et al.,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18A91F95" w14:textId="4CA82F4C"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Governance architecture design.</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integrated framework and the collaborative-governance requirements from step 2.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specification of the three-tier architecture (Academic Inventory Governance Board, Technical Standardization Committee, Digital Supply Chain Unit), of custodian-department rights and obligations, of the technician operational mandate, and of the Inter-Lab Policy Framework with its loan workflow and custody-transfer protocol.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governance architecture and policy core of </w:t>
      </w:r>
      <w:hyperlink w:anchor="section41" w:history="1">
        <w:r w:rsidR="0018617A" w:rsidRPr="00945B28">
          <w:rPr>
            <w:rStyle w:val="Hyperlink"/>
            <w:rFonts w:ascii="Simplified Arabic" w:eastAsia="Cambria" w:hAnsi="Simplified Arabic" w:cs="Simplified Arabic"/>
            <w:sz w:val="28"/>
            <w:szCs w:val="28"/>
            <w14:ligatures w14:val="none"/>
          </w:rPr>
          <w:t>Section 4.1</w:t>
        </w:r>
      </w:hyperlink>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barrier has a named owner within the architecture; every decision right is allocated to exactly one body; the technician role is bounded to execution and escalation with no administrative decision-making, procurement approval, financial authority, or policy-setting power; role specifications conform to the clause 5.3 analogues of both anchor standards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{"citationID":"AEBXesUA","properties":{"unsorted":false,"formattedCitation":"(14001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 5.3;</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{"citationID":"EUkRwgq4","properties":{"unsorted":false,"formattedCitation":"(22301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 5.3).</w:t>
      </w:r>
    </w:p>
    <w:p w14:paraId="2B2D431D" w14:textId="0AFD4ED6"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Feasibility matrix assessment.</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governance design and the three admissible evidence kinds (structural analysis, standards conformity, documented practice).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decomposition of feasibility into four dimensions and their sub-criteria; rating of each sub-criterion against the Strong/Conditional/Contingent vocabulary; consolidation of named conditions into readiness gates G1–G4.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consolidated feasibility matrix (</w:t>
      </w:r>
      <w:hyperlink w:anchor="Table94" w:history="1">
        <w:r w:rsidRPr="00F76374">
          <w:rPr>
            <w:rStyle w:val="Hyperlink"/>
            <w:rFonts w:ascii="Simplified Arabic" w:eastAsia="Cambria" w:hAnsi="Simplified Arabic" w:cs="Simplified Arabic"/>
            <w:sz w:val="28"/>
            <w:szCs w:val="28"/>
            <w14:ligatures w14:val="none"/>
          </w:rPr>
          <w:t xml:space="preserve">Table </w:t>
        </w:r>
        <w:r w:rsidR="00F76374" w:rsidRPr="00F76374">
          <w:rPr>
            <w:rStyle w:val="Hyperlink"/>
            <w:rFonts w:ascii="Simplified Arabic" w:eastAsia="Cambria" w:hAnsi="Simplified Arabic" w:cs="Simplified Arabic"/>
            <w:sz w:val="28"/>
            <w:szCs w:val="28"/>
            <w14:ligatures w14:val="none"/>
          </w:rPr>
          <w:t>9</w:t>
        </w:r>
        <w:r w:rsidRPr="00F76374">
          <w:rPr>
            <w:rStyle w:val="Hyperlink"/>
            <w:rFonts w:ascii="Simplified Arabic" w:eastAsia="Cambria" w:hAnsi="Simplified Arabic" w:cs="Simplified Arabic"/>
            <w:sz w:val="28"/>
            <w:szCs w:val="28"/>
            <w14:ligatures w14:val="none"/>
          </w:rPr>
          <w:t>.</w:t>
        </w:r>
        <w:r w:rsidR="00FB13EE" w:rsidRPr="00F76374">
          <w:rPr>
            <w:rStyle w:val="Hyperlink"/>
            <w:rFonts w:ascii="Simplified Arabic" w:eastAsia="Cambria" w:hAnsi="Simplified Arabic" w:cs="Simplified Arabic"/>
            <w:sz w:val="28"/>
            <w:szCs w:val="28"/>
            <w14:ligatures w14:val="none"/>
          </w:rPr>
          <w:t>4</w:t>
        </w:r>
      </w:hyperlink>
      <w:r w:rsidRPr="00DD1558">
        <w:rPr>
          <w:rFonts w:ascii="Simplified Arabic" w:eastAsia="Cambria" w:hAnsi="Simplified Arabic" w:cs="Simplified Arabic"/>
          <w:color w:val="212121"/>
          <w:sz w:val="28"/>
          <w:szCs w:val="28"/>
          <w14:ligatures w14:val="none"/>
        </w:rPr>
        <w:t xml:space="preserve">) with the conditionally strong verdict.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Conditional rating name it governing condition explicitly; every rating cites its evidence base; no rating depends on resources the college does not possess; the reasoning discipline of feasibility analysis as pre-execution structured judgment is maintained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{"citationID":"hUglmNRg","properties":{"unsorted":false,"formattedCitation":"(PMI,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(PMI,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02747AEB" w14:textId="0537D18E"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Risk register construction.</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Bow-Tie barrier architecture, the gate conditions, and the change-management and collaborative-governance literature. </w:t>
      </w:r>
      <w:r w:rsidRPr="00DD1558">
        <w:rPr>
          <w:rFonts w:ascii="Simplified Arabic" w:eastAsia="Cambria" w:hAnsi="Simplified Arabic" w:cs="Simplified Arabic"/>
          <w:i/>
          <w:iCs/>
          <w:color w:val="212121"/>
          <w:sz w:val="28"/>
          <w:szCs w:val="28"/>
          <w14:ligatures w14:val="none"/>
        </w:rPr>
        <w:lastRenderedPageBreak/>
        <w:t>Procedure:</w:t>
      </w:r>
      <w:r w:rsidRPr="00DD1558">
        <w:rPr>
          <w:rFonts w:ascii="Simplified Arabic" w:eastAsia="Cambria" w:hAnsi="Simplified Arabic" w:cs="Simplified Arabic"/>
          <w:color w:val="212121"/>
          <w:sz w:val="28"/>
          <w:szCs w:val="28"/>
          <w14:ligatures w14:val="none"/>
        </w:rPr>
        <w:t xml:space="preserve"> analytical derivation of operational risks from threats, escalation factors, and consequence pathways; derivation of transition risks from documented change themes; FIRM classification; prioritization into verbally defined High/Moderate/Low bands; assignment of owners and mitigations.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classified risk register (</w:t>
      </w:r>
      <w:hyperlink w:anchor="Table114" w:history="1">
        <w:r w:rsidRPr="00E25CEC">
          <w:rPr>
            <w:rStyle w:val="Hyperlink"/>
            <w:rFonts w:ascii="Simplified Arabic" w:eastAsia="Cambria" w:hAnsi="Simplified Arabic" w:cs="Simplified Arabic"/>
            <w:sz w:val="28"/>
            <w:szCs w:val="28"/>
            <w14:ligatures w14:val="none"/>
          </w:rPr>
          <w:t xml:space="preserve">Table </w:t>
        </w:r>
        <w:r w:rsidR="00E25CEC" w:rsidRPr="00E25CEC">
          <w:rPr>
            <w:rStyle w:val="Hyperlink"/>
            <w:rFonts w:ascii="Simplified Arabic" w:eastAsia="Cambria" w:hAnsi="Simplified Arabic" w:cs="Simplified Arabic"/>
            <w:sz w:val="28"/>
            <w:szCs w:val="28"/>
            <w14:ligatures w14:val="none"/>
          </w:rPr>
          <w:t>4</w:t>
        </w:r>
        <w:r w:rsidRPr="00E25CEC">
          <w:rPr>
            <w:rStyle w:val="Hyperlink"/>
            <w:rFonts w:ascii="Simplified Arabic" w:eastAsia="Cambria" w:hAnsi="Simplified Arabic" w:cs="Simplified Arabic"/>
            <w:sz w:val="28"/>
            <w:szCs w:val="28"/>
            <w14:ligatures w14:val="none"/>
          </w:rPr>
          <w:t>.</w:t>
        </w:r>
        <w:r w:rsidR="00E25CEC" w:rsidRPr="00E25CEC">
          <w:rPr>
            <w:rStyle w:val="Hyperlink"/>
            <w:rFonts w:ascii="Simplified Arabic" w:eastAsia="Cambria" w:hAnsi="Simplified Arabic" w:cs="Simplified Arabic"/>
            <w:sz w:val="28"/>
            <w:szCs w:val="28"/>
            <w14:ligatures w14:val="none"/>
          </w:rPr>
          <w:t>6</w:t>
        </w:r>
      </w:hyperlink>
      <w:r w:rsidRPr="00DD1558">
        <w:rPr>
          <w:rFonts w:ascii="Simplified Arabic" w:eastAsia="Cambria" w:hAnsi="Simplified Arabic" w:cs="Simplified Arabic"/>
          <w:color w:val="212121"/>
          <w:sz w:val="28"/>
          <w:szCs w:val="28"/>
          <w14:ligatures w14:val="none"/>
        </w:rPr>
        <w:t xml:space="preserve">, RR-01–RR-15).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registered risk traces either to a Bow-Tie element or to a cited change theme; every barrier appears in at least one register row; FIRM is used for classification only, never scoring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{"citationID":"NrxhwIm3","properties":{"unsorted":false,"formattedCitation":"(Hopkin,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(Hopkin,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no numeric likelihood or impact values appear; technician assignments are execution-level only, with accountability resting with custodian supervisors or the Unit.</w:t>
      </w:r>
    </w:p>
    <w:p w14:paraId="499C3282" w14:textId="1E19210F"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KPI definition.</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barrier architecture, the register, and the standards’ performance-evaluation clauses.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specification of each indicator under the definition-before-data principle — definition, measurement method, data source, owner, frequency, directional target — across the operational (KPI-O), environmental (KPI-E), and governance (KPI-G) families.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KPI set and governance dashboard specification of </w:t>
      </w:r>
      <w:hyperlink w:anchor="section417" w:history="1">
        <w:r w:rsidR="000F1211" w:rsidRPr="00945B28">
          <w:rPr>
            <w:rStyle w:val="Hyperlink"/>
            <w:rFonts w:ascii="Simplified Arabic" w:eastAsia="Cambria" w:hAnsi="Simplified Arabic" w:cs="Simplified Arabic"/>
            <w:sz w:val="28"/>
            <w:szCs w:val="28"/>
            <w14:ligatures w14:val="none"/>
          </w:rPr>
          <w:t>Section 4.1.7</w:t>
        </w:r>
      </w:hyperlink>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every KPI has a method and a named owner within the </w:t>
      </w:r>
      <w:hyperlink w:anchor="section41" w:history="1">
        <w:r w:rsidR="0018617A" w:rsidRPr="00945B28">
          <w:rPr>
            <w:rStyle w:val="Hyperlink"/>
            <w:rFonts w:ascii="Simplified Arabic" w:eastAsia="Cambria" w:hAnsi="Simplified Arabic" w:cs="Simplified Arabic"/>
            <w:sz w:val="28"/>
            <w:szCs w:val="28"/>
            <w14:ligatures w14:val="none"/>
          </w:rPr>
          <w:t>Section 4.1</w:t>
        </w:r>
      </w:hyperlink>
      <w:r w:rsidRPr="00DD1558">
        <w:rPr>
          <w:rFonts w:ascii="Simplified Arabic" w:eastAsia="Cambria" w:hAnsi="Simplified Arabic" w:cs="Simplified Arabic"/>
          <w:color w:val="212121"/>
          <w:sz w:val="28"/>
          <w:szCs w:val="28"/>
          <w14:ligatures w14:val="none"/>
        </w:rPr>
        <w:t xml:space="preserve"> architecture; every KPI maps to at least one barrier and is informed by at least one register entry; targets are directional only, with no numeric baseline or threshold asserted; the conformity/compliance terminology distinction is maintained exactly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{"citationID":"Nii48dIW","properties":{"unsorted":false,"formattedCitation":"(14001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9.1.1–9.1.2;</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{"citationID":"BYS5TsZg","properties":{"unsorted":false,"formattedCitation":"(22301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 9.1).</w:t>
      </w:r>
    </w:p>
    <w:p w14:paraId="084A745B" w14:textId="23AD36F4" w:rsidR="00DD1558" w:rsidRPr="00DD1558" w:rsidRDefault="00DD1558" w:rsidP="00DD1558">
      <w:pPr>
        <w:numPr>
          <w:ilvl w:val="0"/>
          <w:numId w:val="6"/>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Roadmap sequencing.</w:t>
      </w:r>
      <w:r w:rsidRPr="00DD1558">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i/>
          <w:iCs/>
          <w:color w:val="212121"/>
          <w:sz w:val="28"/>
          <w:szCs w:val="28"/>
          <w14:ligatures w14:val="none"/>
        </w:rPr>
        <w:t>Input:</w:t>
      </w:r>
      <w:r w:rsidRPr="00DD1558">
        <w:rPr>
          <w:rFonts w:ascii="Simplified Arabic" w:eastAsia="Cambria" w:hAnsi="Simplified Arabic" w:cs="Simplified Arabic"/>
          <w:color w:val="212121"/>
          <w:sz w:val="28"/>
          <w:szCs w:val="28"/>
          <w14:ligatures w14:val="none"/>
        </w:rPr>
        <w:t xml:space="preserve"> the maturity trajectory, the gates, the register’s transition risks, and the change-management literature. </w:t>
      </w:r>
      <w:r w:rsidRPr="00DD1558">
        <w:rPr>
          <w:rFonts w:ascii="Simplified Arabic" w:eastAsia="Cambria" w:hAnsi="Simplified Arabic" w:cs="Simplified Arabic"/>
          <w:i/>
          <w:iCs/>
          <w:color w:val="212121"/>
          <w:sz w:val="28"/>
          <w:szCs w:val="28"/>
          <w14:ligatures w14:val="none"/>
        </w:rPr>
        <w:t>Procedure:</w:t>
      </w:r>
      <w:r w:rsidRPr="00DD1558">
        <w:rPr>
          <w:rFonts w:ascii="Simplified Arabic" w:eastAsia="Cambria" w:hAnsi="Simplified Arabic" w:cs="Simplified Arabic"/>
          <w:color w:val="212121"/>
          <w:sz w:val="28"/>
          <w:szCs w:val="28"/>
          <w14:ligatures w14:val="none"/>
        </w:rPr>
        <w:t xml:space="preserve"> derivation of the four-phase sequence from the maturity-band transitions; assignment of every activity to a named governance body; termination of each phase at its readiness gate; mapping of gate closures to discharged transition risks. </w:t>
      </w:r>
      <w:r w:rsidRPr="00DD1558">
        <w:rPr>
          <w:rFonts w:ascii="Simplified Arabic" w:eastAsia="Cambria" w:hAnsi="Simplified Arabic" w:cs="Simplified Arabic"/>
          <w:i/>
          <w:iCs/>
          <w:color w:val="212121"/>
          <w:sz w:val="28"/>
          <w:szCs w:val="28"/>
          <w14:ligatures w14:val="none"/>
        </w:rPr>
        <w:t>Output:</w:t>
      </w:r>
      <w:r w:rsidRPr="00DD1558">
        <w:rPr>
          <w:rFonts w:ascii="Simplified Arabic" w:eastAsia="Cambria" w:hAnsi="Simplified Arabic" w:cs="Simplified Arabic"/>
          <w:color w:val="212121"/>
          <w:sz w:val="28"/>
          <w:szCs w:val="28"/>
          <w14:ligatures w14:val="none"/>
        </w:rPr>
        <w:t xml:space="preserve"> the phased implementation roadmap of </w:t>
      </w:r>
      <w:hyperlink w:anchor="Section416" w:history="1">
        <w:r w:rsidR="000F1211" w:rsidRPr="00945B28">
          <w:rPr>
            <w:rStyle w:val="Hyperlink"/>
            <w:rFonts w:ascii="Simplified Arabic" w:eastAsia="Cambria" w:hAnsi="Simplified Arabic" w:cs="Simplified Arabic"/>
            <w:sz w:val="28"/>
            <w:szCs w:val="28"/>
            <w14:ligatures w14:val="none"/>
          </w:rPr>
          <w:t>Section 4.1.6</w:t>
        </w:r>
      </w:hyperlink>
      <w:r w:rsidRPr="00DD1558">
        <w:rPr>
          <w:rFonts w:ascii="Simplified Arabic" w:eastAsia="Cambria" w:hAnsi="Simplified Arabic" w:cs="Simplified Arabic"/>
          <w:color w:val="212121"/>
          <w:sz w:val="28"/>
          <w:szCs w:val="28"/>
          <w14:ligatures w14:val="none"/>
        </w:rPr>
        <w:t xml:space="preserve"> (</w:t>
      </w:r>
      <w:hyperlink w:anchor="Phase1" w:history="1">
        <w:r w:rsidRPr="00935DA7">
          <w:rPr>
            <w:rStyle w:val="Hyperlink"/>
            <w:rFonts w:ascii="Simplified Arabic" w:eastAsia="Cambria" w:hAnsi="Simplified Arabic" w:cs="Simplified Arabic"/>
            <w:sz w:val="28"/>
            <w:szCs w:val="28"/>
            <w14:ligatures w14:val="none"/>
          </w:rPr>
          <w:t>Phase 1</w:t>
        </w:r>
      </w:hyperlink>
      <w:r w:rsidRPr="00DD1558">
        <w:rPr>
          <w:rFonts w:ascii="Simplified Arabic" w:eastAsia="Cambria" w:hAnsi="Simplified Arabic" w:cs="Simplified Arabic"/>
          <w:color w:val="212121"/>
          <w:sz w:val="28"/>
          <w:szCs w:val="28"/>
          <w14:ligatures w14:val="none"/>
        </w:rPr>
        <w:t>–</w:t>
      </w:r>
      <w:r w:rsidR="00935DA7">
        <w:rPr>
          <w:rFonts w:ascii="Simplified Arabic" w:eastAsia="Cambria" w:hAnsi="Simplified Arabic" w:cs="Simplified Arabic"/>
          <w:color w:val="212121"/>
          <w:sz w:val="28"/>
          <w:szCs w:val="28"/>
          <w14:ligatures w14:val="none"/>
        </w:rPr>
        <w:t xml:space="preserve"> </w:t>
      </w:r>
      <w:hyperlink w:anchor="Phase4" w:history="1">
        <w:r w:rsidR="00935DA7" w:rsidRPr="00935DA7">
          <w:rPr>
            <w:rStyle w:val="Hyperlink"/>
            <w:rFonts w:ascii="Simplified Arabic" w:eastAsia="Cambria" w:hAnsi="Simplified Arabic" w:cs="Simplified Arabic"/>
            <w:sz w:val="28"/>
            <w:szCs w:val="28"/>
            <w14:ligatures w14:val="none"/>
          </w:rPr>
          <w:t xml:space="preserve">Phase </w:t>
        </w:r>
        <w:r w:rsidRPr="00935DA7">
          <w:rPr>
            <w:rStyle w:val="Hyperlink"/>
            <w:rFonts w:ascii="Simplified Arabic" w:eastAsia="Cambria" w:hAnsi="Simplified Arabic" w:cs="Simplified Arabic"/>
            <w:sz w:val="28"/>
            <w:szCs w:val="28"/>
            <w14:ligatures w14:val="none"/>
          </w:rPr>
          <w:t>4</w:t>
        </w:r>
      </w:hyperlink>
      <w:r w:rsidRPr="00DD1558">
        <w:rPr>
          <w:rFonts w:ascii="Simplified Arabic" w:eastAsia="Cambria" w:hAnsi="Simplified Arabic" w:cs="Simplified Arabic"/>
          <w:color w:val="212121"/>
          <w:sz w:val="28"/>
          <w:szCs w:val="28"/>
          <w14:ligatures w14:val="none"/>
        </w:rPr>
        <w:t xml:space="preserve"> with schedule </w:t>
      </w:r>
      <w:r w:rsidRPr="00DD1558">
        <w:rPr>
          <w:rFonts w:ascii="Simplified Arabic" w:eastAsia="Cambria" w:hAnsi="Simplified Arabic" w:cs="Simplified Arabic"/>
          <w:color w:val="212121"/>
          <w:sz w:val="28"/>
          <w:szCs w:val="28"/>
          <w14:ligatures w14:val="none"/>
        </w:rPr>
        <w:lastRenderedPageBreak/>
        <w:t xml:space="preserve">designations; G1–G4 as phase terminators). </w:t>
      </w:r>
      <w:r w:rsidRPr="00DD1558">
        <w:rPr>
          <w:rFonts w:ascii="Simplified Arabic" w:eastAsia="Cambria" w:hAnsi="Simplified Arabic" w:cs="Simplified Arabic"/>
          <w:i/>
          <w:iCs/>
          <w:color w:val="212121"/>
          <w:sz w:val="28"/>
          <w:szCs w:val="28"/>
          <w14:ligatures w14:val="none"/>
        </w:rPr>
        <w:t>Verification rule:</w:t>
      </w:r>
      <w:r w:rsidRPr="00DD1558">
        <w:rPr>
          <w:rFonts w:ascii="Simplified Arabic" w:eastAsia="Cambria" w:hAnsi="Simplified Arabic" w:cs="Simplified Arabic"/>
          <w:color w:val="212121"/>
          <w:sz w:val="28"/>
          <w:szCs w:val="28"/>
          <w14:ligatures w14:val="none"/>
        </w:rPr>
        <w:t xml:space="preserve"> the sequence respects the organization-before-technology ordering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{"citationID":"ETXJc6Se","properties":{"unsorted":false,"formattedCitation":"(Carpitella &amp; Izquierdo, 2025; Rodr\\uc0\\u237{}guez-Abitia &amp; Bribiesca-Correa, 2021)","plainCitation":"(Carpitella &amp; Izquierdo, 2025; Rodríguez-Abitia &amp; Bribiesca-Correa, 2021)","noteIndex":0},"citationItems":[{"id":419,"uris":["http://zotero.org/users/19711126/items/TZRZHV7D"],"itemData":{"id":419,"type":"article-journal","abstract":"This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(Carpitella &amp; Izquierdo, 2025; Rodríguez-Abitia &amp; Bribiesca-Correa,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no successor phase begins before its predecessor’s gate closes; every phase names the transition risks it treats and the KPIs it activates; month ranges are schedule designations, not measured durations.</w:t>
      </w:r>
    </w:p>
    <w:p w14:paraId="2B5E8A5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eight steps form a single chain of custody for the study’s reasoning: each output becomes a named input downstream, and each verification rule is stated so that an external reader can re-perform the check. This auditability is the methodological substance of the chapter: in a documentary design study, the audit trail of analytical decisions is what a field protocol is to empirical work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{"citationID":"cYWPmw37","properties":{"unsorted":false,"formattedCitation":"(Braun &amp; Clarke, 2021; Knott et al., 2022)","plainCitation":"(Braun &amp; Clarke, 2021; Knott et al., 2022)","noteIndex":0},"citationItems":[{"id":414,"uris":["http://zotero.org/users/19711126/items/KEFAV9NK"],"itemData":{"id":414,"type":"article-journal","abstract":"Developing a universal quality standard for thematic analysis (TA) is complicated by the existence of numerous iterations of TA that differ paradigmatically, philosophically and procedurally. This plurality in TA is often not recognised by editors, reviewers or authors, who promote ‘coding reliability measures’ as universal requirements of quality TA. Focusing particularly on our reflexive TA approach, we discuss quality in TA with reference to ten common problems we have identified in published TA research that cites or claims to follow our guidance. Many of the common problems are underpinned by an assumption of homogeneity in TA. We end by outlining guidelines for reviewers and editors – in the form of twenty critical questions – to support them in promoting high(er) standards in TA research, and more deliberative and reflexive engagement with TA as method and practice.","container-title":"Qualitative Research in Psychology","DOI":"10.1080/14780887.2020.1769238","ISSN":"1478-0887","issue":"3","page":"328-352","publisher":"Routledge","source":"Taylor and Francis+NEJM","title":"One size fits all? What counts as quality practice in (reflexive) thematic analysis?","title-short":"One size fits all?","volume":"18","author":[{"family":"Braun","given":"Virginia"},{"family":"Clarke","given":"Victoria"}],"issued":{"date-parts":[["2021",7,3]]}}},{"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(Braun &amp; Clarke, 2021; Knott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4EE3027"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104" w:name="_Toc237539747"/>
      <w:r w:rsidRPr="00DD1558">
        <w:rPr>
          <w:rFonts w:ascii="Simplified Arabic" w:eastAsiaTheme="majorEastAsia" w:hAnsi="Simplified Arabic" w:cstheme="majorBidi"/>
          <w:b/>
          <w:sz w:val="28"/>
          <w:szCs w:val="32"/>
        </w:rPr>
        <w:t>3.6 Boundaries and Limitations</w:t>
      </w:r>
      <w:bookmarkEnd w:id="104"/>
    </w:p>
    <w:p w14:paraId="20BA2E5F" w14:textId="373D304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Spatial boundary.</w:t>
      </w:r>
      <w:r w:rsidRPr="00DD1558">
        <w:rPr>
          <w:rFonts w:ascii="Simplified Arabic" w:eastAsia="Times New Roman" w:hAnsi="Simplified Arabic" w:cs="Simplified Arabic"/>
          <w:color w:val="1A1A1A"/>
          <w:sz w:val="28"/>
          <w:szCs w:val="28"/>
          <w14:ligatures w14:val="none"/>
        </w:rPr>
        <w:t xml:space="preserve"> </w:t>
      </w:r>
      <w:r w:rsidR="000B6195" w:rsidRPr="000B6195">
        <w:rPr>
          <w:rFonts w:ascii="Simplified Arabic" w:eastAsia="Times New Roman" w:hAnsi="Simplified Arabic" w:cs="Simplified Arabic"/>
          <w:color w:val="1A1A1A"/>
          <w:sz w:val="28"/>
          <w:szCs w:val="28"/>
          <w14:ligatures w14:val="none"/>
        </w:rPr>
        <w:t>The study is confined to a large public science faculty within a Saudi higher education institution, with a life sciences department as the embedded unit of analysis.</w:t>
      </w:r>
      <w:r w:rsidRPr="00DD1558">
        <w:rPr>
          <w:rFonts w:ascii="Simplified Arabic" w:eastAsia="Times New Roman" w:hAnsi="Simplified Arabic" w:cs="Simplified Arabic"/>
          <w:color w:val="1A1A1A"/>
          <w:sz w:val="28"/>
          <w:szCs w:val="28"/>
          <w14:ligatures w14:val="none"/>
        </w:rPr>
        <w:t xml:space="preserve"> Cross-institutional material appears only as documented benchmarking precedent (category 5 sources), never as primary data.</w:t>
      </w:r>
    </w:p>
    <w:p w14:paraId="2191C310" w14:textId="13FA54B5"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Temporal boundary.</w:t>
      </w:r>
      <w:r w:rsidRPr="00DD1558">
        <w:rPr>
          <w:rFonts w:ascii="Simplified Arabic" w:eastAsia="Times New Roman" w:hAnsi="Simplified Arabic" w:cs="Simplified Arabic"/>
          <w:color w:val="1A1A1A"/>
          <w:sz w:val="28"/>
          <w:szCs w:val="28"/>
          <w14:ligatures w14:val="none"/>
        </w:rPr>
        <w:t xml:space="preserve"> The study is a design-phase study conducted within the current policy cycle. The roadmap’s month ranges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months 1–2;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months 3–4; </w:t>
      </w:r>
      <w:hyperlink w:anchor="Phase3" w:history="1">
        <w:r w:rsidRPr="00935DA7">
          <w:rPr>
            <w:rStyle w:val="Hyperlink"/>
            <w:rFonts w:ascii="Simplified Arabic" w:eastAsia="Times New Roman" w:hAnsi="Simplified Arabic" w:cs="Simplified Arabic"/>
            <w:sz w:val="28"/>
            <w:szCs w:val="28"/>
            <w14:ligatures w14:val="none"/>
          </w:rPr>
          <w:t>Phase 3</w:t>
        </w:r>
      </w:hyperlink>
      <w:r w:rsidRPr="00DD1558">
        <w:rPr>
          <w:rFonts w:ascii="Simplified Arabic" w:eastAsia="Times New Roman" w:hAnsi="Simplified Arabic" w:cs="Simplified Arabic"/>
          <w:color w:val="1A1A1A"/>
          <w:sz w:val="28"/>
          <w:szCs w:val="28"/>
          <w14:ligatures w14:val="none"/>
        </w:rPr>
        <w:t xml:space="preserve">, months 5–6; </w:t>
      </w:r>
      <w:hyperlink w:anchor="Phase4" w:history="1">
        <w:r w:rsidRPr="00935DA7">
          <w:rPr>
            <w:rStyle w:val="Hyperlink"/>
            <w:rFonts w:ascii="Simplified Arabic" w:eastAsia="Times New Roman" w:hAnsi="Simplified Arabic" w:cs="Simplified Arabic"/>
            <w:sz w:val="28"/>
            <w:szCs w:val="28"/>
            <w14:ligatures w14:val="none"/>
          </w:rPr>
          <w:t>Phase 4</w:t>
        </w:r>
      </w:hyperlink>
      <w:r w:rsidRPr="00DD1558">
        <w:rPr>
          <w:rFonts w:ascii="Simplified Arabic" w:eastAsia="Times New Roman" w:hAnsi="Simplified Arabic" w:cs="Simplified Arabic"/>
          <w:color w:val="1A1A1A"/>
          <w:sz w:val="28"/>
          <w:szCs w:val="28"/>
          <w14:ligatures w14:val="none"/>
        </w:rPr>
        <w:t>, continuous) are schedule designations fixed by the study’s terms of reference, not observed durations; no implementation has occurred within the study’s timeframe, and none of its findings depends on one having occurred.</w:t>
      </w:r>
    </w:p>
    <w:p w14:paraId="6FF4FA67"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Subject-matter boundary.</w:t>
      </w:r>
      <w:r w:rsidRPr="00DD1558">
        <w:rPr>
          <w:rFonts w:ascii="Simplified Arabic" w:eastAsia="Times New Roman" w:hAnsi="Simplified Arabic" w:cs="Simplified Arabic"/>
          <w:color w:val="1A1A1A"/>
          <w:sz w:val="28"/>
          <w:szCs w:val="28"/>
          <w14:ligatures w14:val="none"/>
        </w:rPr>
        <w:t xml:space="preserve"> The study addresses educational laboratory inventory only — instruments, glassware, consumables, and chemicals. It excludes facilities and buildings maintenance, research-only core facilities (whose sharing arrangements appear only as benchmarking precedent), and the detail of commercial procurement law, which the </w:t>
      </w:r>
      <w:r w:rsidRPr="00DD1558">
        <w:rPr>
          <w:rFonts w:ascii="Simplified Arabic" w:eastAsia="Times New Roman" w:hAnsi="Simplified Arabic" w:cs="Simplified Arabic"/>
          <w:color w:val="1A1A1A"/>
          <w:sz w:val="28"/>
          <w:szCs w:val="28"/>
          <w14:ligatures w14:val="none"/>
        </w:rPr>
        <w:lastRenderedPageBreak/>
        <w:t>framework references only through the eligibility and joint-procurement rules it proposes within institutional authority.</w:t>
      </w:r>
    </w:p>
    <w:p w14:paraId="24372719" w14:textId="070E654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Methodological limitations.</w:t>
      </w:r>
      <w:r w:rsidRPr="00DD1558">
        <w:rPr>
          <w:rFonts w:ascii="Simplified Arabic" w:eastAsia="Times New Roman" w:hAnsi="Simplified Arabic" w:cs="Simplified Arabic"/>
          <w:color w:val="1A1A1A"/>
          <w:sz w:val="28"/>
          <w:szCs w:val="28"/>
          <w14:ligatures w14:val="none"/>
        </w:rPr>
        <w:t xml:space="preserve"> Four limitations are acknowledged. First, the framework has </w:t>
      </w:r>
      <w:r w:rsidRPr="00DD1558">
        <w:rPr>
          <w:rFonts w:ascii="Simplified Arabic" w:eastAsia="Times New Roman" w:hAnsi="Simplified Arabic" w:cs="Simplified Arabic"/>
          <w:b/>
          <w:bCs/>
          <w:color w:val="1A1A1A"/>
          <w:sz w:val="28"/>
          <w:szCs w:val="28"/>
          <w14:ligatures w14:val="none"/>
        </w:rPr>
        <w:t>no empirical validation yet</w:t>
      </w:r>
      <w:r w:rsidRPr="00DD1558">
        <w:rPr>
          <w:rFonts w:ascii="Simplified Arabic" w:eastAsia="Times New Roman" w:hAnsi="Simplified Arabic" w:cs="Simplified Arabic"/>
          <w:color w:val="1A1A1A"/>
          <w:sz w:val="28"/>
          <w:szCs w:val="28"/>
          <w14:ligatures w14:val="none"/>
        </w:rPr>
        <w:t xml:space="preserve">: it is a design artifact whose feasibility verdict is conditional and whose definitive test is the gate-governed implementation it specifies; the thesis claims structural soundness and standards alignment, not demonstrated outcomes. Second, the </w:t>
      </w:r>
      <w:r w:rsidRPr="00DD1558">
        <w:rPr>
          <w:rFonts w:ascii="Simplified Arabic" w:eastAsia="Times New Roman" w:hAnsi="Simplified Arabic" w:cs="Simplified Arabic"/>
          <w:b/>
          <w:bCs/>
          <w:color w:val="1A1A1A"/>
          <w:sz w:val="28"/>
          <w:szCs w:val="28"/>
          <w14:ligatures w14:val="none"/>
        </w:rPr>
        <w:t>single-institution design</w:t>
      </w:r>
      <w:r w:rsidRPr="00DD1558">
        <w:rPr>
          <w:rFonts w:ascii="Simplified Arabic" w:eastAsia="Times New Roman" w:hAnsi="Simplified Arabic" w:cs="Simplified Arabic"/>
          <w:color w:val="1A1A1A"/>
          <w:sz w:val="28"/>
          <w:szCs w:val="28"/>
          <w14:ligatures w14:val="none"/>
        </w:rPr>
        <w:t xml:space="preserve"> </w:t>
      </w:r>
      <w:r w:rsidR="000B6195" w:rsidRPr="000B6195">
        <w:rPr>
          <w:rFonts w:ascii="Simplified Arabic" w:eastAsia="Times New Roman" w:hAnsi="Simplified Arabic" w:cs="Simplified Arabic"/>
          <w:color w:val="1A1A1A"/>
          <w:sz w:val="28"/>
          <w:szCs w:val="28"/>
          <w14:ligatures w14:val="none"/>
        </w:rPr>
        <w:t>means that contextual features of the host institution—the mega-campus concentration, the Vision 2030 alignment—shape the analysis; transfer to other institutions proceeds by analytic generalization and requires the receiving institution to re-verify the framework’s structural assumptions against its own governance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{"citationID":"eQ0I6cDJ","properties":{"unsorted":false,"formattedCitation":"(Al Qur\\uc0\\u8217{}an, 2025)","plainCitation":"(Al Qur’an, 2025)","noteIndex":0},"citationItems":[{"id":395,"uris":["http://zotero.org/users/19711126/items/YNX87PB6"],"itemData":{"id":395,"type":"article-journal","abstract":"This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 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 for Qualitative Case Study","title-short":"Conducting Case Study Research in International Entrepreneurship","volume":"24","author":[{"family":"Al Qur’an","given":"Marwan N."}],"issued":{"date-parts":[["2025",7,1]]}}}],"schema":"https://github.com/citation-style-language/schema/raw/master/csl-citation.json"}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 Qur’an,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w:t>
      </w:r>
      <w:r w:rsidRPr="00DD1558">
        <w:rPr>
          <w:rFonts w:ascii="Simplified Arabic" w:eastAsia="Times New Roman" w:hAnsi="Simplified Arabic" w:cs="Simplified Arabic"/>
          <w:b/>
          <w:bCs/>
          <w:color w:val="1A1A1A"/>
          <w:sz w:val="28"/>
          <w:szCs w:val="28"/>
          <w14:ligatures w14:val="none"/>
        </w:rPr>
        <w:t>standards alignment is by structural analogue, not certification</w:t>
      </w:r>
      <w:r w:rsidRPr="00DD1558">
        <w:rPr>
          <w:rFonts w:ascii="Simplified Arabic" w:eastAsia="Times New Roman" w:hAnsi="Simplified Arabic" w:cs="Simplified Arabic"/>
          <w:color w:val="1A1A1A"/>
          <w:sz w:val="28"/>
          <w:szCs w:val="28"/>
          <w14:ligatures w14:val="none"/>
        </w:rPr>
        <w:t xml:space="preserve">: the framework adopts the clause logic of ISO 14001:2015 and ISO 22301:2019 as design targets, and no claim of conformity assessment, audit, or certification under either standard is made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{"citationID":"j74dxXKC","properties":{"unsorted":false,"formattedCitation":"(14001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Fourth, </w:t>
      </w:r>
      <w:r w:rsidRPr="00DD1558">
        <w:rPr>
          <w:rFonts w:ascii="Simplified Arabic" w:eastAsia="Times New Roman" w:hAnsi="Simplified Arabic" w:cs="Simplified Arabic"/>
          <w:b/>
          <w:bCs/>
          <w:color w:val="1A1A1A"/>
          <w:sz w:val="28"/>
          <w:szCs w:val="28"/>
          <w14:ligatures w14:val="none"/>
        </w:rPr>
        <w:t>generalization is analytic</w:t>
      </w:r>
      <w:r w:rsidRPr="00DD1558">
        <w:rPr>
          <w:rFonts w:ascii="Simplified Arabic" w:eastAsia="Times New Roman" w:hAnsi="Simplified Arabic" w:cs="Simplified Arabic"/>
          <w:color w:val="1A1A1A"/>
          <w:sz w:val="28"/>
          <w:szCs w:val="28"/>
          <w14:ligatures w14:val="none"/>
        </w:rPr>
        <w:t xml:space="preserve">: the study’s propositions are structural claims transferable by reasoned analogy to comparable laboratory-intensive settings, not statistical inferences to a population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{"citationID":"r4pqtMQO","properties":{"unsorted":false,"formattedCitation":"(Al Qur\\uc0\\u8217{}an, 2025; Knott et al., 2022)","plainCitation":"(Al Qur’an, 2025; Knott et al., 2022)","noteIndex":0},"citationItems":[{"id":395,"uris":["http://zotero.org/users/19711126/items/YNX87PB6"],"itemData":{"id":395,"type":"article-journal","abstract":"This paper offers a stepwise research protocol and guide that outlines the plan and procedures to conduct qualitative case study research in international entrepreneurship, ensuring a methodical and rigorous approach to data collection, analysis, and interpretation. The paper is based on the authors’ practical reflections on past and recent experiences and learning in conducting in-depth multiple case studies on the foreign market entry in international entrepreneurship. Based on the authors past multiple investigations, it is stated that the qualitative case study strategy is a powerful research method for exploring the complexities and processes of international entrepreneurship. Further, multiple case study design is the most appropriate design for undertaking cross-cultural research on the internationalization process of entrepreneurs. It enables the researcher to bring together the entire vital knowledge and experiences of decision-makers involved in the internationalization process. Moreover, the purposive and theoretical selection of the study cases from among different countries and industries allows the researcher to compare the findings of these different cases and develop a general model for successful international market selection. This paper makes significant methodological and theoretical contributions to literature on qualitative case study research in entrepreneurship by presenting a practical comprehensive protocol and step-by-step guide to assist researchers and business practitioners in successfully conducting case study research in international entrepreneurship.","container-title":"International Journal of Qualitative Methods","DOI":"10.1177/16094069251394934","ISSN":"1609-4069","language":"EN","page":"16094069251394934","publisher":"SAGE Publications Inc","source":"SAGE Journals","title":"Conducting Case Study Research in International Entrepreneurship: A Protocol for Qualitative Case Study","title-short":"Conducting Case Study Research in International Entrepreneurship","volume":"24","author":[{"family":"Al Qur’an","given":"Marwan N."}],"issued":{"date-parts":[["2025",7,1]]}}},{"id":473,"uris":["http://zotero.org/users/19711126/items/QSRBIQTB"],"itemData":{"id":473,"type":"article-journal","abstract":"In-depth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 Qur’an, 2025; Knott et al.,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2E3B049"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105" w:name="Section37"/>
      <w:bookmarkStart w:id="106" w:name="_Toc237539748"/>
      <w:bookmarkEnd w:id="105"/>
      <w:r w:rsidRPr="00DD1558">
        <w:rPr>
          <w:rFonts w:ascii="Simplified Arabic" w:eastAsiaTheme="majorEastAsia" w:hAnsi="Simplified Arabic" w:cstheme="majorBidi"/>
          <w:b/>
          <w:sz w:val="28"/>
          <w:szCs w:val="32"/>
        </w:rPr>
        <w:t>3.7 Ethical and Integrity Considerations</w:t>
      </w:r>
      <w:bookmarkEnd w:id="106"/>
    </w:p>
    <w:p w14:paraId="23EEE84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Human subjects.</w:t>
      </w:r>
      <w:r w:rsidRPr="00DD1558">
        <w:rPr>
          <w:rFonts w:ascii="Simplified Arabic" w:eastAsia="Times New Roman" w:hAnsi="Simplified Arabic" w:cs="Simplified Arabic"/>
          <w:color w:val="1A1A1A"/>
          <w:sz w:val="28"/>
          <w:szCs w:val="28"/>
          <w14:ligatures w14:val="none"/>
        </w:rPr>
        <w:t xml:space="preserve"> The study collects no human-subject data: no questionnaires, no interviews, no observations of identifiable persons, and no behavioral records are used anywhere in the thesis. Consequently, no consent instruments are required for the documentary phase. Should the framework proceed to implementation, subsequent phases involving participants — pilot operation, training, or post-implementation evaluation — would be routed through the university’s institutional review procedures before any data collection, and the present study pre-commits to that routing.</w:t>
      </w:r>
    </w:p>
    <w:p w14:paraId="1F523DD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Institutional permissions.</w:t>
      </w:r>
      <w:r w:rsidRPr="00DD1558">
        <w:rPr>
          <w:rFonts w:ascii="Simplified Arabic" w:eastAsia="Times New Roman" w:hAnsi="Simplified Arabic" w:cs="Simplified Arabic"/>
          <w:color w:val="1A1A1A"/>
          <w:sz w:val="28"/>
          <w:szCs w:val="28"/>
          <w14:ligatures w14:val="none"/>
        </w:rPr>
        <w:t xml:space="preserve"> Document analysis of institutional policy and record structures is conducted under institutional permission and within the university’s governance conventions; no confidential personal data are accessed, and the analysis addresses structures and roles, never identified individuals.</w:t>
      </w:r>
    </w:p>
    <w:p w14:paraId="311A5A1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Citation integrity.</w:t>
      </w:r>
      <w:r w:rsidRPr="00DD1558">
        <w:rPr>
          <w:rFonts w:ascii="Simplified Arabic" w:eastAsia="Times New Roman" w:hAnsi="Simplified Arabic" w:cs="Simplified Arabic"/>
          <w:color w:val="1A1A1A"/>
          <w:sz w:val="28"/>
          <w:szCs w:val="28"/>
          <w14:ligatures w14:val="none"/>
        </w:rPr>
        <w:t xml:space="preserve"> Every source cited in this thesis was verified against publisher records before use; no reference, finding, or quotation is asserted that cannot be traced to a verified text. Where published practice elsewhere is quantified, the quantification remains with its authors and is never imported into the case setting (for example,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{"citationID":"k8Wwk4G4","properties":{"unsorted":false,"formattedCitation":"(Tu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AFECBB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Research-integrity commitment against fabricated or assumed data.</w:t>
      </w:r>
      <w:r w:rsidRPr="00DD1558">
        <w:rPr>
          <w:rFonts w:ascii="Simplified Arabic" w:eastAsia="Times New Roman" w:hAnsi="Simplified Arabic" w:cs="Simplified Arabic"/>
          <w:color w:val="1A1A1A"/>
          <w:sz w:val="28"/>
          <w:szCs w:val="28"/>
          <w14:ligatures w14:val="none"/>
        </w:rPr>
        <w:t xml:space="preserve"> The study adopts, as an explicit methodological principle, the prohibition of fabricated, projected, or assumed data. Where evidence is unavailable — as pilot outcomes, baselines, and numeric targets necessarily are at the design stage — the study says so and designs the instrument by which the evidence would later be produced (the readiness gates, the KPI definitions, the exercise logic of ISO 22301:2019 clause 8.5), rather than simulating the evidence itself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{"citationID":"M56mzfZZ","properties":{"unsorted":false,"formattedCitation":"(22301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This principle is not merely an ethical posture but a quality criterion of the method: in a design study whose deliverables are decision-grade artifacts for university leadership, the credibility of the entire framework depends on every claim carrying an accurate statement of its evidentiary status — structural reasoning, standards conformity, or documented practice — and on nothing claiming the authority of measurement that was never performed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{"citationID":"Rr01a2eq","properties":{"unsorted":false,"formattedCitation":"(Braun &amp; Clarke, 2021; Cole, 2024)","plainCitation":"(Braun &amp; Clarke, 2021; Cole, 2024)","noteIndex":0},"citationItems":[{"id":414,"uris":["http://zotero.org/users/19711126/items/KEFAV9NK"],"itemData":{"id":414,"type":"article-journal","abstract":"Developing a universal quality standard for thematic analysis (TA) is complicated by the existence of numerous iterations of TA that differ paradigmatically, philosophically and procedurally. This plurality in TA is often not recognised by editors, reviewers or authors, who promote ‘coding reliability measures’ as universal requirements of quality TA. Focusing particularly on our reflexive TA approach, we discuss quality in TA with reference to ten common problems we have identified in published TA research that cites or claims to follow our guidance. Many of the common problems are underpinned by an assumption of homogeneity in TA. We end by outlining guidelines for reviewers and editors – in the form of twenty critical questions – to support them in promoting high(er) standards in TA research, and more deliberative and reflexive engagement with TA as method and practice.","container-title":"Qualitative Research in Psychology","DOI":"10.1080/14780887.2020.1769238","ISSN":"1478-0887","issue":"3","page":"328-352","publisher":"Routledge","source":"Taylor and Francis+NEJM","title":"One size fits all? What counts as quality practice in (reflexive) thematic analysis?","title-short":"One size fits all?","volume":"18","author":[{"family":"Braun","given":"Virginia"},{"family":"Clarke","given":"Victoria"}],"issued":{"date-parts":[["2021",7,3]]}}},{"id":423,"uris":["http://zotero.org/users/19711126/items/USQCR6GR"],"itemData":{"id":423,"type":"article-journal","abstract":"The use of inter-rater reliability (IRR) methods may provide an opportunity to improve the transparency and consistency of qualitative case study data analysis in terms of the rigor of how codes and constructs have been developed from the raw data. Few articles on qualitative research methods in the literature conduct IRR assessments or neglect to report them, despite some disclosure of multiple researcher teams and coding reconciliation in the work. The article argues that the in-depth discussion and reconciliation initiated by IRR may enhance the findings and theory that emerges from qualitative case study data analysis, where the main data source is often interview transcripts or field notes. To achieve this, the article provides a missing link in the literature between data gathering and analysis by expanding an existing process model from five to six stages. The article also identifies seven factors that researchers can consider to determine the suitability of IRR to their work and it offers an IRR checklist, thereby providing a contribution to the broader literature on qualitative research methods.","container-title":"Sociological Methods &amp; Research","DOI":"10.1177/00491241231156971","ISSN":"0049-1241","issue":"4","language":"EN","page":"1944-1975","publisher":"SAGE Publications Inc","source":"SAGE Journals","title":"Inter-Rater Reliability Methods in Qualitative Case Study Research","volume":"53","author":[{"family":"Cole","given":"Rosanna"}],"issued":{"date-parts":[["2024",11,1]]}}}],"schema":"https://github.com/citation-style-language/schema/raw/master/csl-citation.json"}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(Braun &amp; Clarke, 2021; Cole,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thesis’s terminology discipline, its declared adaptations, and its refusal of unearned precision are the operational form of that commitment, and they bind every section of this study equally.</w:t>
      </w:r>
    </w:p>
    <w:p w14:paraId="7BD92D0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55A041D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000A19F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1E93CCB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2720443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p>
    <w:p w14:paraId="1BE6F0DE" w14:textId="77777777" w:rsidR="00DD1558" w:rsidRPr="00DD1558" w:rsidRDefault="00DD1558" w:rsidP="00DD1558">
      <w:pPr>
        <w:keepNext/>
        <w:keepLines/>
        <w:bidi w:val="0"/>
        <w:spacing w:before="360" w:after="80"/>
        <w:outlineLvl w:val="0"/>
        <w:rPr>
          <w:rFonts w:ascii="Simplified Arabic" w:eastAsiaTheme="majorEastAsia" w:hAnsi="Simplified Arabic" w:cstheme="majorBidi"/>
          <w:b/>
          <w:sz w:val="32"/>
          <w:szCs w:val="40"/>
        </w:rPr>
      </w:pPr>
      <w:bookmarkStart w:id="107" w:name="_Toc237539749"/>
      <w:r w:rsidRPr="00DD1558">
        <w:rPr>
          <w:rFonts w:ascii="Simplified Arabic" w:eastAsiaTheme="majorEastAsia" w:hAnsi="Simplified Arabic" w:cstheme="majorBidi"/>
          <w:b/>
          <w:sz w:val="32"/>
          <w:szCs w:val="40"/>
        </w:rPr>
        <w:t>CHAPTER 4: STRUCTURAL AND FEASIBILITY STUDY</w:t>
      </w:r>
      <w:bookmarkEnd w:id="107"/>
    </w:p>
    <w:p w14:paraId="05B32F2C" w14:textId="77777777" w:rsidR="00DD1558" w:rsidRPr="00DD1558" w:rsidRDefault="00DD1558" w:rsidP="00DD1558">
      <w:pPr>
        <w:bidi w:val="0"/>
        <w:spacing w:line="240" w:lineRule="auto"/>
        <w:jc w:val="both"/>
        <w:rPr>
          <w:rFonts w:ascii="Simplified Arabic" w:hAnsi="Simplified Arabic" w:cs="Simplified Arabic"/>
          <w:sz w:val="28"/>
        </w:rPr>
      </w:pPr>
    </w:p>
    <w:p w14:paraId="46255924" w14:textId="77777777" w:rsidR="00DD1558" w:rsidRPr="00DD1558" w:rsidRDefault="00DD1558" w:rsidP="00DD1558">
      <w:pPr>
        <w:bidi w:val="0"/>
        <w:spacing w:line="240" w:lineRule="auto"/>
        <w:jc w:val="both"/>
        <w:rPr>
          <w:rFonts w:ascii="Simplified Arabic" w:hAnsi="Simplified Arabic" w:cs="Simplified Arabic"/>
          <w:sz w:val="28"/>
        </w:rPr>
      </w:pPr>
    </w:p>
    <w:p w14:paraId="21D98FB9" w14:textId="77777777" w:rsidR="00DD1558" w:rsidRPr="00DD1558" w:rsidRDefault="00DD1558" w:rsidP="00DD1558">
      <w:pPr>
        <w:bidi w:val="0"/>
        <w:spacing w:line="240" w:lineRule="auto"/>
        <w:jc w:val="both"/>
        <w:rPr>
          <w:rFonts w:ascii="Simplified Arabic" w:hAnsi="Simplified Arabic" w:cs="Simplified Arabic"/>
          <w:sz w:val="28"/>
        </w:rPr>
      </w:pPr>
    </w:p>
    <w:p w14:paraId="326B7749" w14:textId="77777777" w:rsidR="00DD1558" w:rsidRPr="00DD1558" w:rsidRDefault="00DD1558" w:rsidP="00DD1558">
      <w:pPr>
        <w:bidi w:val="0"/>
        <w:spacing w:line="240" w:lineRule="auto"/>
        <w:jc w:val="both"/>
        <w:rPr>
          <w:rFonts w:ascii="Simplified Arabic" w:hAnsi="Simplified Arabic" w:cs="Simplified Arabic"/>
          <w:sz w:val="28"/>
        </w:rPr>
      </w:pPr>
    </w:p>
    <w:p w14:paraId="5FCC0582" w14:textId="77777777" w:rsidR="00DD1558" w:rsidRPr="00DD1558" w:rsidRDefault="00DD1558" w:rsidP="00DD1558">
      <w:pPr>
        <w:bidi w:val="0"/>
        <w:spacing w:line="240" w:lineRule="auto"/>
        <w:jc w:val="both"/>
        <w:rPr>
          <w:rFonts w:ascii="Simplified Arabic" w:hAnsi="Simplified Arabic" w:cs="Simplified Arabic"/>
          <w:sz w:val="28"/>
        </w:rPr>
      </w:pPr>
    </w:p>
    <w:p w14:paraId="30FC2BD6" w14:textId="77777777" w:rsidR="00DD1558" w:rsidRPr="00DD1558" w:rsidRDefault="00DD1558" w:rsidP="00DD1558">
      <w:pPr>
        <w:bidi w:val="0"/>
        <w:spacing w:line="240" w:lineRule="auto"/>
        <w:jc w:val="both"/>
        <w:rPr>
          <w:rFonts w:ascii="Simplified Arabic" w:hAnsi="Simplified Arabic" w:cs="Simplified Arabic"/>
          <w:sz w:val="28"/>
        </w:rPr>
      </w:pPr>
    </w:p>
    <w:p w14:paraId="552A81E3" w14:textId="77777777" w:rsidR="00DD1558" w:rsidRPr="00DD1558" w:rsidRDefault="00DD1558" w:rsidP="00DD1558">
      <w:pPr>
        <w:bidi w:val="0"/>
        <w:spacing w:line="240" w:lineRule="auto"/>
        <w:jc w:val="both"/>
        <w:rPr>
          <w:rFonts w:ascii="Simplified Arabic" w:hAnsi="Simplified Arabic" w:cs="Simplified Arabic"/>
          <w:sz w:val="28"/>
        </w:rPr>
      </w:pPr>
    </w:p>
    <w:p w14:paraId="5AC5D6CD" w14:textId="77777777" w:rsidR="00DD1558" w:rsidRPr="00DD1558" w:rsidRDefault="00DD1558" w:rsidP="00DD1558">
      <w:pPr>
        <w:bidi w:val="0"/>
        <w:spacing w:line="240" w:lineRule="auto"/>
        <w:jc w:val="both"/>
        <w:rPr>
          <w:rFonts w:ascii="Simplified Arabic" w:hAnsi="Simplified Arabic" w:cs="Simplified Arabic"/>
          <w:sz w:val="28"/>
        </w:rPr>
      </w:pPr>
    </w:p>
    <w:p w14:paraId="72CE618B" w14:textId="77777777" w:rsidR="00DD1558" w:rsidRPr="00DD1558" w:rsidRDefault="00DD1558" w:rsidP="00DD1558">
      <w:pPr>
        <w:bidi w:val="0"/>
        <w:spacing w:line="240" w:lineRule="auto"/>
        <w:jc w:val="both"/>
        <w:rPr>
          <w:rFonts w:ascii="Simplified Arabic" w:hAnsi="Simplified Arabic" w:cs="Simplified Arabic"/>
          <w:sz w:val="28"/>
        </w:rPr>
      </w:pPr>
    </w:p>
    <w:p w14:paraId="728100FD" w14:textId="77777777" w:rsidR="00DD1558" w:rsidRPr="00DD1558" w:rsidRDefault="00DD1558" w:rsidP="00DD1558">
      <w:pPr>
        <w:bidi w:val="0"/>
        <w:spacing w:line="240" w:lineRule="auto"/>
        <w:jc w:val="both"/>
        <w:rPr>
          <w:rFonts w:ascii="Simplified Arabic" w:hAnsi="Simplified Arabic" w:cs="Simplified Arabic"/>
          <w:sz w:val="28"/>
        </w:rPr>
      </w:pPr>
    </w:p>
    <w:p w14:paraId="5A0FCE8A" w14:textId="77777777" w:rsidR="00DD1558" w:rsidRPr="00DD1558" w:rsidRDefault="00DD1558" w:rsidP="00DD1558">
      <w:pPr>
        <w:bidi w:val="0"/>
        <w:spacing w:line="240" w:lineRule="auto"/>
        <w:jc w:val="both"/>
        <w:rPr>
          <w:rFonts w:ascii="Simplified Arabic" w:hAnsi="Simplified Arabic" w:cs="Simplified Arabic"/>
          <w:sz w:val="28"/>
        </w:rPr>
      </w:pPr>
    </w:p>
    <w:p w14:paraId="2B735BE0" w14:textId="77777777" w:rsidR="00DD1558" w:rsidRPr="00DD1558" w:rsidRDefault="00DD1558" w:rsidP="00DD1558">
      <w:pPr>
        <w:bidi w:val="0"/>
        <w:spacing w:line="240" w:lineRule="auto"/>
        <w:jc w:val="both"/>
        <w:rPr>
          <w:rFonts w:ascii="Simplified Arabic" w:hAnsi="Simplified Arabic" w:cs="Simplified Arabic"/>
          <w:sz w:val="28"/>
        </w:rPr>
      </w:pPr>
    </w:p>
    <w:p w14:paraId="03986EC1" w14:textId="77777777" w:rsidR="00DD1558" w:rsidRPr="00DD1558" w:rsidRDefault="00DD1558" w:rsidP="00DD1558">
      <w:pPr>
        <w:bidi w:val="0"/>
        <w:spacing w:line="240" w:lineRule="auto"/>
        <w:jc w:val="both"/>
        <w:rPr>
          <w:rFonts w:ascii="Simplified Arabic" w:hAnsi="Simplified Arabic" w:cs="Simplified Arabic"/>
          <w:sz w:val="28"/>
        </w:rPr>
      </w:pPr>
    </w:p>
    <w:p w14:paraId="09DD9571" w14:textId="77777777" w:rsidR="00DD1558" w:rsidRPr="00DD1558" w:rsidRDefault="00DD1558" w:rsidP="00DD1558">
      <w:pPr>
        <w:bidi w:val="0"/>
        <w:spacing w:line="240" w:lineRule="auto"/>
        <w:jc w:val="both"/>
        <w:rPr>
          <w:rFonts w:ascii="Simplified Arabic" w:hAnsi="Simplified Arabic" w:cs="Simplified Arabic"/>
          <w:sz w:val="28"/>
        </w:rPr>
      </w:pPr>
    </w:p>
    <w:p w14:paraId="14BAD3CA" w14:textId="77777777" w:rsidR="00DD1558" w:rsidRPr="00DD1558" w:rsidRDefault="00DD1558" w:rsidP="00DD1558">
      <w:pPr>
        <w:bidi w:val="0"/>
        <w:spacing w:line="240" w:lineRule="auto"/>
        <w:jc w:val="both"/>
        <w:rPr>
          <w:rFonts w:ascii="Simplified Arabic" w:hAnsi="Simplified Arabic" w:cs="Simplified Arabic"/>
          <w:sz w:val="28"/>
        </w:rPr>
      </w:pPr>
    </w:p>
    <w:p w14:paraId="5E5BA7A6" w14:textId="77777777" w:rsidR="00DD1558" w:rsidRPr="00DD1558" w:rsidRDefault="00DD1558" w:rsidP="00DD1558">
      <w:pPr>
        <w:bidi w:val="0"/>
        <w:spacing w:line="240" w:lineRule="auto"/>
        <w:jc w:val="both"/>
        <w:rPr>
          <w:rFonts w:ascii="Simplified Arabic" w:hAnsi="Simplified Arabic" w:cs="Simplified Arabic"/>
          <w:sz w:val="28"/>
        </w:rPr>
      </w:pPr>
    </w:p>
    <w:p w14:paraId="7D3B7F24" w14:textId="77777777" w:rsidR="00DD1558" w:rsidRPr="00DD1558" w:rsidRDefault="00DD1558" w:rsidP="00DD1558">
      <w:pPr>
        <w:bidi w:val="0"/>
        <w:spacing w:line="240" w:lineRule="auto"/>
        <w:jc w:val="both"/>
        <w:rPr>
          <w:rFonts w:ascii="Simplified Arabic" w:hAnsi="Simplified Arabic" w:cs="Simplified Arabic"/>
          <w:sz w:val="28"/>
        </w:rPr>
      </w:pPr>
    </w:p>
    <w:p w14:paraId="2C2FD010" w14:textId="77777777" w:rsidR="00DD1558" w:rsidRPr="00DD1558" w:rsidRDefault="00DD1558" w:rsidP="00DD1558">
      <w:pPr>
        <w:bidi w:val="0"/>
        <w:spacing w:line="240" w:lineRule="auto"/>
        <w:jc w:val="both"/>
        <w:rPr>
          <w:rFonts w:ascii="Simplified Arabic" w:hAnsi="Simplified Arabic" w:cs="Simplified Arabic"/>
          <w:sz w:val="28"/>
        </w:rPr>
      </w:pPr>
    </w:p>
    <w:p w14:paraId="414DB3A1" w14:textId="77777777" w:rsidR="00DD1558" w:rsidRPr="00DD1558" w:rsidRDefault="00DD1558" w:rsidP="00DD1558">
      <w:pPr>
        <w:keepNext/>
        <w:keepLines/>
        <w:bidi w:val="0"/>
        <w:spacing w:before="160" w:after="80"/>
        <w:ind w:left="360"/>
        <w:outlineLvl w:val="1"/>
        <w:rPr>
          <w:rFonts w:ascii="Simplified Arabic" w:eastAsiaTheme="majorEastAsia" w:hAnsi="Simplified Arabic" w:cstheme="majorBidi"/>
          <w:b/>
          <w:sz w:val="28"/>
          <w:szCs w:val="32"/>
        </w:rPr>
      </w:pPr>
      <w:bookmarkStart w:id="108" w:name="section41"/>
      <w:bookmarkStart w:id="109" w:name="_Toc237539750"/>
      <w:bookmarkEnd w:id="108"/>
      <w:r w:rsidRPr="00DD1558">
        <w:rPr>
          <w:rFonts w:ascii="Simplified Arabic" w:eastAsiaTheme="majorEastAsia" w:hAnsi="Simplified Arabic" w:cstheme="majorBidi"/>
          <w:b/>
          <w:sz w:val="28"/>
          <w:szCs w:val="32"/>
        </w:rPr>
        <w:t>4.1 Organizational and Governance Architecture</w:t>
      </w:r>
      <w:bookmarkEnd w:id="109"/>
    </w:p>
    <w:p w14:paraId="5CF0FBB5" w14:textId="798D9058" w:rsidR="00DD1558" w:rsidRPr="00DD1558" w:rsidRDefault="00144B9A"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144B9A">
        <w:rPr>
          <w:rFonts w:ascii="Simplified Arabic" w:eastAsia="Times New Roman" w:hAnsi="Simplified Arabic" w:cs="Simplified Arabic"/>
          <w:color w:val="1A1A1A"/>
          <w:sz w:val="28"/>
          <w:szCs w:val="28"/>
          <w14:ligatures w14:val="none"/>
        </w:rPr>
        <w:t>Section 1 characterized the decentralized inventory regime of a large public science faculty within a Saudi higher education institution—with a life sciences department as the embedded unit of analysis—as a Risk Maturity Gap;</w:t>
      </w:r>
      <w:r>
        <w:rPr>
          <w:rFonts w:ascii="Simplified Arabic" w:eastAsia="Times New Roman" w:hAnsi="Simplified Arabic" w:cs="Simplified Arabic"/>
          <w:color w:val="1A1A1A"/>
          <w:sz w:val="28"/>
          <w:szCs w:val="28"/>
          <w14:ligatures w14:val="none"/>
        </w:rPr>
        <w:t xml:space="preserve"> </w:t>
      </w:r>
      <w:r w:rsidR="00DD1558" w:rsidRPr="00DD1558">
        <w:rPr>
          <w:rFonts w:ascii="Simplified Arabic" w:eastAsia="Times New Roman" w:hAnsi="Simplified Arabic" w:cs="Simplified Arabic"/>
          <w:color w:val="1A1A1A"/>
          <w:sz w:val="28"/>
          <w:szCs w:val="28"/>
          <w14:ligatures w14:val="none"/>
        </w:rPr>
        <w:t xml:space="preserve">Section 2 converted that diagnosis into an integrated framework spanning an adapted three-band maturity trajectory, a Bow-Tie barrier architecture, an ISO 22301:2019 continuity reading of shared visibility and inter-lab loans, and an ISO 14001:2015/USR/FIRM classification of environmental and reputational outcomes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{"citationID":"YB3topgg","properties":{"unsorted":false,"formattedCitation":"(Hillson, D. A., 1997; Hopkin, 2018; 14001 ISO/IEC, 2015; 22301 ISO/IEC, 2019; 31010 ISO/IEC, 2019)","plainCitation":"(Hillson, D. A., 1997; Hopkin, 2018; 14001 ISO/IEC, 2015; 22301 ISO/IEC, 2019; 31010 ISO/IEC, 2019)","noteIndex":0},"citationItems":[{"id":540,"uris":["http://zotero.org/users/19711126/items/IB7NEYQH"],"itemData":{"id":540,"type":"report","title":"Towards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(Hillson, D. A., 1997; Hopkin, 2018; 14001 ISO/IEC, 2015; 22301 ISO/IEC, 2019; 31010 ISO/IEC, 2019)</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The present section addresses Research Objective O3 (organizational framework development) and prepares O4 (implementation roadmap) by answering the question the Bow-Tie method itself poses who owns each barrier, and with what authority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{"citationID":"O6S2EUTU","properties":{"unsorted":false,"formattedCitation":"(de Ruijter &amp; Guldenmund, 2016; Johnson et al., 2018)","plainCitation":"(de Ruijter &amp; Guldenmund, 2016;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(de Ruijter &amp; Guldenmund, 2016; Johnson et al., 2018)</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The answer is a three-tier governance design — an Academic Inventory Governance Board, a Technical Standardization Committee, and a Digital Supply Chain Unit — operating above an operational level at which laboratory technicians execute defined technical workflows and bound together by an Inter-Lab Policy Framework governing temporary asset loans and First-Expired-First-Out (FEFO) chemical redistribution. Consistent with the study’s binding methodology, everything specified here is a design artifact: a reasoned, standards-anchored proposal with no empirical claims attached.</w:t>
      </w:r>
    </w:p>
    <w:p w14:paraId="23F52EE4"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10" w:name="section411"/>
      <w:bookmarkStart w:id="111" w:name="_Toc237539751"/>
      <w:bookmarkEnd w:id="110"/>
      <w:r w:rsidRPr="00DD1558">
        <w:rPr>
          <w:rFonts w:ascii="Simplified Arabic" w:eastAsiaTheme="majorEastAsia" w:hAnsi="Simplified Arabic" w:cstheme="majorBidi"/>
          <w:sz w:val="28"/>
          <w:szCs w:val="28"/>
        </w:rPr>
        <w:t>4.1.1 Design Principles of the Governance Architecture</w:t>
      </w:r>
      <w:bookmarkEnd w:id="111"/>
    </w:p>
    <w:p w14:paraId="1014960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Organizational design for participatory inventory cannot proceed by fiat; each structural choice requires an explicit principle defensible against the governance literature and the management-system standards the framework adopts. Six principles govern architecture.</w:t>
      </w:r>
    </w:p>
    <w:p w14:paraId="00CC630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P</w:t>
      </w:r>
      <w:bookmarkStart w:id="112" w:name="Principle1"/>
      <w:bookmarkEnd w:id="112"/>
      <w:r w:rsidRPr="00DD1558">
        <w:rPr>
          <w:rFonts w:ascii="Simplified Arabic" w:eastAsia="Times New Roman" w:hAnsi="Simplified Arabic" w:cs="Simplified Arabic"/>
          <w:b/>
          <w:bCs/>
          <w:color w:val="1A1A1A"/>
          <w:sz w:val="28"/>
          <w:szCs w:val="28"/>
          <w14:ligatures w14:val="none"/>
        </w:rPr>
        <w:t>rinciple 1 — Separation of decision and execution.</w:t>
      </w:r>
      <w:r w:rsidRPr="00DD1558">
        <w:rPr>
          <w:rFonts w:ascii="Simplified Arabic" w:eastAsia="Times New Roman" w:hAnsi="Simplified Arabic" w:cs="Simplified Arabic"/>
          <w:color w:val="1A1A1A"/>
          <w:sz w:val="28"/>
          <w:szCs w:val="28"/>
          <w14:ligatures w14:val="none"/>
        </w:rPr>
        <w:t xml:space="preserve"> Policy, decision rights, and standard-setting are assigned to governance bodies, and execution to operational actors, so that no role both makes and marks their own work. This is the organizational expression of the management-system requirement that roles, responsibilities, and authorities be defined, assigned, and communicated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{"citationID":"jxl5Hv08","properties":{"unsorted":false,"formattedCitation":"(14001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5.3;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{"citationID":"pUvwaCKf","properties":{"unsorted":false,"formattedCitation":"(22301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5.3), and it reflects the collaborative-governance finding that participation decays into nominal compliance when decision rights and accountability are not explicitly allocated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{"citationID":"Hn1W4ELh","properties":{"unsorted":false,"formattedCitation":"(Ahn &amp; Baldwin, 2024; Lopes &amp; Farias, 2022)","plainCitation":"(Ahn &amp; Baldwin, 2024;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In practice: the Board decides policy, the Committee drafts standards, the Unit operates data infrastructure, and technicians execute technical workflows — each tier checking the tier adjacent to it.</w:t>
      </w:r>
    </w:p>
    <w:p w14:paraId="3C00179A" w14:textId="0347BDAC"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bookmarkStart w:id="113" w:name="Principle2"/>
      <w:bookmarkEnd w:id="113"/>
      <w:r w:rsidRPr="00DD1558">
        <w:rPr>
          <w:rFonts w:ascii="Simplified Arabic" w:eastAsia="Times New Roman" w:hAnsi="Simplified Arabic" w:cs="Simplified Arabic"/>
          <w:b/>
          <w:bCs/>
          <w:color w:val="1A1A1A"/>
          <w:sz w:val="28"/>
          <w:szCs w:val="28"/>
          <w14:ligatures w14:val="none"/>
        </w:rPr>
        <w:t>Principle 2 — Stewardship over ownership.</w:t>
      </w:r>
      <w:r w:rsidRPr="00DD1558">
        <w:rPr>
          <w:rFonts w:ascii="Simplified Arabic" w:eastAsia="Times New Roman" w:hAnsi="Simplified Arabic" w:cs="Simplified Arabic"/>
          <w:color w:val="1A1A1A"/>
          <w:sz w:val="28"/>
          <w:szCs w:val="28"/>
          <w14:ligatures w14:val="none"/>
        </w:rPr>
        <w:t xml:space="preserve"> Participatory inventory rests on an access-over-ownership logic: the value of laboratory stock is realized through availability and use, not through departmental possession. The equipment-sharing and core-facility literature shows that shared-access regimes raise utilization only when stewardship — booking, custody, maintenance responsibility — is institutionally specified rather than assumed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{"citationID":"fSjUBksC","properties":{"unsorted":false,"formattedCitation":"(Adami et al., 2021; Strom et al., 2020; Zhu &amp; Liu, 2021)","plainCitation":"(Adami et al., 2021; Strom et al., 2020; Zhu &amp; Liu, 2021)","noteIndex":0},"citationItems":[{"id":388,"uris":["http://zotero.org/users/19711126/items/UMKLAE3V"],"itemData":{"id":388,"type":"article-journal","abstract":"Core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 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while the sharing-economy governance literature warns that pooled-resource arrangements fail through free-riding, ambiguous responsibility, and eroded trust when platform rules are weak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{"citationID":"8CcbKnAX","properties":{"unsorted":false,"formattedCitation":"(X.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architecture therefore keeps every shared asset under the stewardship of a custodian department, with loans regulated by the Inter-Lab Policy Framework (</w:t>
      </w:r>
      <w:hyperlink w:anchor="Section416" w:history="1">
        <w:r w:rsidR="002C0C03" w:rsidRPr="00945B28">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rather than by collegial goodwill.</w:t>
      </w:r>
    </w:p>
    <w:p w14:paraId="6A9645C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bookmarkStart w:id="114" w:name="Principle3"/>
      <w:bookmarkEnd w:id="114"/>
      <w:r w:rsidRPr="00DD1558">
        <w:rPr>
          <w:rFonts w:ascii="Simplified Arabic" w:eastAsia="Times New Roman" w:hAnsi="Simplified Arabic" w:cs="Simplified Arabic"/>
          <w:b/>
          <w:bCs/>
          <w:color w:val="1A1A1A"/>
          <w:sz w:val="28"/>
          <w:szCs w:val="28"/>
          <w14:ligatures w14:val="none"/>
        </w:rPr>
        <w:t>Principle 3 — Proportionate authority.</w:t>
      </w:r>
      <w:r w:rsidRPr="00DD1558">
        <w:rPr>
          <w:rFonts w:ascii="Simplified Arabic" w:eastAsia="Times New Roman" w:hAnsi="Simplified Arabic" w:cs="Simplified Arabic"/>
          <w:color w:val="1A1A1A"/>
          <w:sz w:val="28"/>
          <w:szCs w:val="28"/>
          <w14:ligatures w14:val="none"/>
        </w:rPr>
        <w:t xml:space="preserve"> Authority is allocated commensurate with accountability and competence; no role carries authority beyond what its competence warrants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{"citationID":"SeZWlCLr","properties":{"unsorted":false,"formattedCitation":"(14001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5.3;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{"citationID":"py3Zea9e","properties":{"unsorted":false,"formattedCitation":"(22301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5.3). The framework operationalizes this by giving the Board policy authority but no operational tasks, the Committee standard-setting authority but no purchasing decisions, the Unit data </w:t>
      </w:r>
      <w:r w:rsidRPr="00DD1558">
        <w:rPr>
          <w:rFonts w:ascii="Simplified Arabic" w:eastAsia="Times New Roman" w:hAnsi="Simplified Arabic" w:cs="Simplified Arabic"/>
          <w:color w:val="1A1A1A"/>
          <w:sz w:val="28"/>
          <w:szCs w:val="28"/>
          <w14:ligatures w14:val="none"/>
        </w:rPr>
        <w:lastRenderedPageBreak/>
        <w:t xml:space="preserve">stewardship but no loan or procurement decisions, and technicians execution responsibility with escalation duties but no administrative or financial authority. Proportionate authority is also a maturity instrument: it is precisely the absence of bounded, named roles that holds the decentralized regime in the Inform/Conform band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{"citationID":"VoLnZXSQ","properties":{"unsorted":false,"formattedCitation":"(Hillson,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200295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w:t>
      </w:r>
      <w:bookmarkStart w:id="115" w:name="Principle4"/>
      <w:bookmarkEnd w:id="115"/>
      <w:r w:rsidRPr="00DD1558">
        <w:rPr>
          <w:rFonts w:ascii="Simplified Arabic" w:eastAsia="Times New Roman" w:hAnsi="Simplified Arabic" w:cs="Simplified Arabic"/>
          <w:b/>
          <w:bCs/>
          <w:color w:val="1A1A1A"/>
          <w:sz w:val="28"/>
          <w:szCs w:val="28"/>
          <w14:ligatures w14:val="none"/>
        </w:rPr>
        <w:t>rinciple 4 — Auditability by design.</w:t>
      </w:r>
      <w:r w:rsidRPr="00DD1558">
        <w:rPr>
          <w:rFonts w:ascii="Simplified Arabic" w:eastAsia="Times New Roman" w:hAnsi="Simplified Arabic" w:cs="Simplified Arabic"/>
          <w:color w:val="1A1A1A"/>
          <w:sz w:val="28"/>
          <w:szCs w:val="28"/>
          <w14:ligatures w14:val="none"/>
        </w:rPr>
        <w:t xml:space="preserve"> Every consequential action — a catalog change, eligibility check, a loan approval, a custody transfer, a disposal — must produce documented information at the moment it occurs, not retrospectively. Both anchor standards require controlled documented information as the evidentiary substrate of a management system (ISO, 2015, clause 7.5; ISO, 2019, clause 7.5), and auditability is what converts policy existence into the policy enforcement that the Bow-Tie’s escalation-factor analysis demands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{"citationID":"9CBxRqpu","properties":{"unsorted":false,"formattedCitation":"(Johnson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Auditability is thus designed into workflows as automatic logging, not appended as a separate reporting burden.</w:t>
      </w:r>
    </w:p>
    <w:p w14:paraId="7B3E5846" w14:textId="48762FC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w:t>
      </w:r>
      <w:bookmarkStart w:id="116" w:name="Principle5"/>
      <w:bookmarkEnd w:id="116"/>
      <w:r w:rsidRPr="00DD1558">
        <w:rPr>
          <w:rFonts w:ascii="Simplified Arabic" w:eastAsia="Times New Roman" w:hAnsi="Simplified Arabic" w:cs="Simplified Arabic"/>
          <w:b/>
          <w:bCs/>
          <w:color w:val="1A1A1A"/>
          <w:sz w:val="28"/>
          <w:szCs w:val="28"/>
          <w14:ligatures w14:val="none"/>
        </w:rPr>
        <w:t>rinciple 5 — Barrier ownership.</w:t>
      </w:r>
      <w:r w:rsidRPr="00DD1558">
        <w:rPr>
          <w:rFonts w:ascii="Simplified Arabic" w:eastAsia="Times New Roman" w:hAnsi="Simplified Arabic" w:cs="Simplified Arabic"/>
          <w:color w:val="1A1A1A"/>
          <w:sz w:val="28"/>
          <w:szCs w:val="28"/>
          <w14:ligatures w14:val="none"/>
        </w:rPr>
        <w:t xml:space="preserve"> Section 2 established that a barrier nobody owns is a failed barrier by construction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{"citationID":"U5oeqY0a","properties":{"unsorted":false,"formattedCitation":"(de Ruijter &amp; Guldenmund, 2016)","plainCitation":"(de Ruijter &amp; Guldenmund, 2016)","noteIndex":0},"citationItems":[{"id":429,"uris":["http://zotero.org/users/19711126/items/HU29KB4F"],"itemData":{"id":429,"type":"article-journal","abstract":"The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that the Bow-Tie’s management value lies in making control ownership explicit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{"citationID":"znZuiVRS","properties":{"unsorted":false,"formattedCitation":"(Cormier et al., 2019; Johnson et al., 2018)","plainCitation":"(Cormier et al., 2019; Johnson et al., 2018)","noteIndex":0},"citationItems":[{"id":425,"uris":["http://zotero.org/users/19711126/items/BSLAHZU5"],"itemData":{"id":425,"type":"article-journal","abstract":"Marine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Every prevention, mitigation, and escalation-factor barrier is therefore assigned below to a named organizational owner; the complete mapping is consolidated in </w:t>
      </w:r>
      <w:hyperlink w:anchor="section417" w:history="1">
        <w:r w:rsidR="00752112" w:rsidRPr="00945B28">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w:t>
      </w:r>
    </w:p>
    <w:p w14:paraId="21CD70B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w:t>
      </w:r>
      <w:bookmarkStart w:id="117" w:name="Principle6"/>
      <w:bookmarkEnd w:id="117"/>
      <w:r w:rsidRPr="00DD1558">
        <w:rPr>
          <w:rFonts w:ascii="Simplified Arabic" w:eastAsia="Times New Roman" w:hAnsi="Simplified Arabic" w:cs="Simplified Arabic"/>
          <w:b/>
          <w:bCs/>
          <w:color w:val="1A1A1A"/>
          <w:sz w:val="28"/>
          <w:szCs w:val="28"/>
          <w14:ligatures w14:val="none"/>
        </w:rPr>
        <w:t>rinciple 6 — Gradualism and pilot-first sequencing.</w:t>
      </w:r>
      <w:r w:rsidRPr="00DD1558">
        <w:rPr>
          <w:rFonts w:ascii="Simplified Arabic" w:eastAsia="Times New Roman" w:hAnsi="Simplified Arabic" w:cs="Simplified Arabic"/>
          <w:color w:val="1A1A1A"/>
          <w:sz w:val="28"/>
          <w:szCs w:val="28"/>
          <w14:ligatures w14:val="none"/>
        </w:rPr>
        <w:t xml:space="preserve"> The framework is designed for phased adoption — pilot-first within the Biology Department, then scaled across the College of Science, with readiness gates drawn from Section 2’s maturity trajectory. This reflects the change-management evidence that university reform succeeds through staged, capability-building transitions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{"citationID":"eQEzmrjJ","properties":{"unsorted":false,"formattedCitation":"(Dean et al., 2024; Vlachopoulos, 2021)","plainCitation":"(Dean et al., 2024;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project-management principle that implementation be tailored and progressively elaborated to context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{"citationID":"1bGsRKKG","properties":{"unsorted":false,"formattedCitation":"(PMI, 2021; Takagi et al., 2024)","plainCitation":"(PMI, 2021; Takagi et al., 2024)","noteIndex":0},"citationItems":[{"id":490,"uris":["http://zotero.org/users/19711126/items/LY4H4ZEI"],"itemData":{"id":490,"type":"book","abstract":"PMBOK®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Gradualism also disciplines digitalization: technology acquisition follows, never precedes, standardized processes and clear roles.</w:t>
      </w:r>
    </w:p>
    <w:p w14:paraId="6168E222" w14:textId="71DCCBB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Taken together, the six principles position the architecture as an instance of collaborative governance: semi-autonomous units pooling resources under shared rules whose legitimacy depends on procedural clarity, trust, and equitable benefit distribution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{"citationID":"cH26crbX","properties":{"unsorted":false,"formattedCitation":"(Ahn &amp; Baldwin, 2024; Gestel &amp; Grotenbreg, 2021)","plainCitation":"(Ahn &amp; Baldwin, 2024; Gestel &amp; Grotenbreg, 2021)","noteIndex":0},"citationItems":[{"id":392,"uris":["http://zotero.org/users/19711126/items/875J4EC5"],"itemData":{"id":392,"type":"article-journal","abstract":"Collaborative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Gestel &amp; Grotenbreg,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The framework’s design wager is that participatory inventory within the host institution is sustainable only when collaboration is institutionalized as bounded roles with explicit decision rights, rather than left as informal cooperation</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{"citationID":"JbojDMck","properties":{"unsorted":false,"formattedCitation":"(Lopes &amp; Farias, 2022)","plainCitation":"(Lopes &amp; Farias, 2022)","noteIndex":0},"citationItems":[{"id":483,"uris":["http://zotero.org/users/19711126/items/6HVLP7QZ"],"itemData":{"id":483,"type":"article-journal","abstract":"Collaborative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FB81629"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18" w:name="Section412"/>
      <w:bookmarkStart w:id="119" w:name="_Toc237539752"/>
      <w:bookmarkEnd w:id="118"/>
      <w:r w:rsidRPr="00DD1558">
        <w:rPr>
          <w:rFonts w:ascii="Simplified Arabic" w:eastAsiaTheme="majorEastAsia" w:hAnsi="Simplified Arabic" w:cstheme="majorBidi"/>
          <w:sz w:val="28"/>
          <w:szCs w:val="28"/>
        </w:rPr>
        <w:t>4.1.2 The Academic Inventory Governance Board</w:t>
      </w:r>
      <w:bookmarkEnd w:id="119"/>
    </w:p>
    <w:p w14:paraId="2436D44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w:t>
      </w:r>
      <w:r w:rsidRPr="00DD1558">
        <w:rPr>
          <w:rFonts w:ascii="Simplified Arabic" w:eastAsia="Times New Roman" w:hAnsi="Simplified Arabic" w:cs="Simplified Arabic"/>
          <w:b/>
          <w:bCs/>
          <w:color w:val="1A1A1A"/>
          <w:sz w:val="28"/>
          <w:szCs w:val="28"/>
          <w14:ligatures w14:val="none"/>
        </w:rPr>
        <w:t>Academic Inventory Governance Board</w:t>
      </w:r>
      <w:r w:rsidRPr="00DD1558">
        <w:rPr>
          <w:rFonts w:ascii="Simplified Arabic" w:eastAsia="Times New Roman" w:hAnsi="Simplified Arabic" w:cs="Simplified Arabic"/>
          <w:color w:val="1A1A1A"/>
          <w:sz w:val="28"/>
          <w:szCs w:val="28"/>
          <w14:ligatures w14:val="none"/>
        </w:rPr>
        <w:t xml:space="preserve"> (hereafter “the Board”) is the apex decision body for participatory inventory management at the College of Science. It is a governance organ, not an operational one: its mandate is to own the rules of sharing, not to move stock.</w:t>
      </w:r>
    </w:p>
    <w:p w14:paraId="667A4FCD" w14:textId="3C932FD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Mandate.</w:t>
      </w:r>
      <w:r w:rsidRPr="00DD1558">
        <w:rPr>
          <w:rFonts w:ascii="Simplified Arabic" w:eastAsia="Times New Roman" w:hAnsi="Simplified Arabic" w:cs="Simplified Arabic"/>
          <w:color w:val="1A1A1A"/>
          <w:sz w:val="28"/>
          <w:szCs w:val="28"/>
          <w14:ligatures w14:val="none"/>
        </w:rPr>
        <w:t xml:space="preserve"> The Board holds five delegated mandates. First, </w:t>
      </w:r>
      <w:r w:rsidRPr="00DD1558">
        <w:rPr>
          <w:rFonts w:ascii="Simplified Arabic" w:eastAsia="Times New Roman" w:hAnsi="Simplified Arabic" w:cs="Simplified Arabic"/>
          <w:i/>
          <w:iCs/>
          <w:color w:val="1A1A1A"/>
          <w:sz w:val="28"/>
          <w:szCs w:val="28"/>
          <w14:ligatures w14:val="none"/>
        </w:rPr>
        <w:t>policy approval</w:t>
      </w:r>
      <w:r w:rsidRPr="00DD1558">
        <w:rPr>
          <w:rFonts w:ascii="Simplified Arabic" w:eastAsia="Times New Roman" w:hAnsi="Simplified Arabic" w:cs="Simplified Arabic"/>
          <w:color w:val="1A1A1A"/>
          <w:sz w:val="28"/>
          <w:szCs w:val="28"/>
          <w14:ligatures w14:val="none"/>
        </w:rPr>
        <w:t xml:space="preserve">: it ratifies, amends, or retires all framework policies, including the Inter-Lab Policy Framework and the Committee’s standards. Second, </w:t>
      </w:r>
      <w:r w:rsidRPr="00DD1558">
        <w:rPr>
          <w:rFonts w:ascii="Simplified Arabic" w:eastAsia="Times New Roman" w:hAnsi="Simplified Arabic" w:cs="Simplified Arabic"/>
          <w:i/>
          <w:iCs/>
          <w:color w:val="1A1A1A"/>
          <w:sz w:val="28"/>
          <w:szCs w:val="28"/>
          <w14:ligatures w14:val="none"/>
        </w:rPr>
        <w:t>eligibility-clause ratification</w:t>
      </w:r>
      <w:r w:rsidRPr="00DD1558">
        <w:rPr>
          <w:rFonts w:ascii="Simplified Arabic" w:eastAsia="Times New Roman" w:hAnsi="Simplified Arabic" w:cs="Simplified Arabic"/>
          <w:color w:val="1A1A1A"/>
          <w:sz w:val="28"/>
          <w:szCs w:val="28"/>
          <w14:ligatures w14:val="none"/>
        </w:rPr>
        <w:t xml:space="preserve">: the mandatory shared-registry check before requisition and the redistribution-before-disposal rules acquire force only upon Board ratification, because they constrain departmental purchasing behavior and so require authority above any single department. Third, </w:t>
      </w:r>
      <w:r w:rsidRPr="00DD1558">
        <w:rPr>
          <w:rFonts w:ascii="Simplified Arabic" w:eastAsia="Times New Roman" w:hAnsi="Simplified Arabic" w:cs="Simplified Arabic"/>
          <w:i/>
          <w:iCs/>
          <w:color w:val="1A1A1A"/>
          <w:sz w:val="28"/>
          <w:szCs w:val="28"/>
          <w14:ligatures w14:val="none"/>
        </w:rPr>
        <w:t>risk-register ownership</w:t>
      </w:r>
      <w:r w:rsidRPr="00DD1558">
        <w:rPr>
          <w:rFonts w:ascii="Simplified Arabic" w:eastAsia="Times New Roman" w:hAnsi="Simplified Arabic" w:cs="Simplified Arabic"/>
          <w:color w:val="1A1A1A"/>
          <w:sz w:val="28"/>
          <w:szCs w:val="28"/>
          <w14:ligatures w14:val="none"/>
        </w:rPr>
        <w:t xml:space="preserve">: the Board owns the framework’s risk register, classified under the FIRM taxonomy (Financial, Infrastructure, Reputational, Marketplace — read in the university adaptation as the service and stakeholder environment) as a classification taxonomy, not a scoring algorithm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{"citationID":"5ocGxtAk","properties":{"unsorted":false,"formattedCitation":"(Hopkin,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Fourth, </w:t>
      </w:r>
      <w:r w:rsidRPr="00DD1558">
        <w:rPr>
          <w:rFonts w:ascii="Simplified Arabic" w:eastAsia="Times New Roman" w:hAnsi="Simplified Arabic" w:cs="Simplified Arabic"/>
          <w:i/>
          <w:iCs/>
          <w:color w:val="1A1A1A"/>
          <w:sz w:val="28"/>
          <w:szCs w:val="28"/>
          <w14:ligatures w14:val="none"/>
        </w:rPr>
        <w:t>continuity objectives</w:t>
      </w:r>
      <w:r w:rsidRPr="00DD1558">
        <w:rPr>
          <w:rFonts w:ascii="Simplified Arabic" w:eastAsia="Times New Roman" w:hAnsi="Simplified Arabic" w:cs="Simplified Arabic"/>
          <w:color w:val="1A1A1A"/>
          <w:sz w:val="28"/>
          <w:szCs w:val="28"/>
          <w14:ligatures w14:val="none"/>
        </w:rPr>
        <w:t xml:space="preserve">: the Board sets and confirms the continuity objectives for prioritized teaching and research activities — the qualitative maximum tolerable period of disruption (MTPD), recovery time objective (RTO), and minimum acceptable capacity reasoning of </w:t>
      </w:r>
      <w:hyperlink w:anchor="section294" w:history="1">
        <w:r w:rsidR="009D553E" w:rsidRPr="00BD4D84">
          <w:rPr>
            <w:rStyle w:val="Hyperlink"/>
            <w:rFonts w:ascii="Simplified Arabic" w:eastAsia="Times New Roman" w:hAnsi="Simplified Arabic" w:cs="Simplified Arabic"/>
            <w:sz w:val="28"/>
            <w:szCs w:val="28"/>
            <w14:ligatures w14:val="none"/>
          </w:rPr>
          <w:t>Section 2.9.4</w:t>
        </w:r>
      </w:hyperlink>
      <w:r w:rsidRPr="00DD1558">
        <w:rPr>
          <w:rFonts w:ascii="Simplified Arabic" w:eastAsia="Times New Roman" w:hAnsi="Simplified Arabic" w:cs="Simplified Arabic"/>
          <w:color w:val="1A1A1A"/>
          <w:sz w:val="28"/>
          <w:szCs w:val="28"/>
          <w14:ligatures w14:val="none"/>
        </w:rPr>
        <w:t xml:space="preserve"> — consistent with the standard’s assignment of business continuity objectives to top management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{"citationID":"le3nV6ff","properties":{"unsorted":false,"formattedCitation":"(22301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lastRenderedPageBreak/>
        <w:t xml:space="preserve">clauses 5.3, 6.2). Fifth, </w:t>
      </w:r>
      <w:r w:rsidRPr="00DD1558">
        <w:rPr>
          <w:rFonts w:ascii="Simplified Arabic" w:eastAsia="Times New Roman" w:hAnsi="Simplified Arabic" w:cs="Simplified Arabic"/>
          <w:i/>
          <w:iCs/>
          <w:color w:val="1A1A1A"/>
          <w:sz w:val="28"/>
          <w:szCs w:val="28"/>
          <w14:ligatures w14:val="none"/>
        </w:rPr>
        <w:t>performance review</w:t>
      </w:r>
      <w:r w:rsidRPr="00DD1558">
        <w:rPr>
          <w:rFonts w:ascii="Simplified Arabic" w:eastAsia="Times New Roman" w:hAnsi="Simplified Arabic" w:cs="Simplified Arabic"/>
          <w:color w:val="1A1A1A"/>
          <w:sz w:val="28"/>
          <w:szCs w:val="28"/>
          <w14:ligatures w14:val="none"/>
        </w:rPr>
        <w:t>: the Board conducts the framework’s audit cadence and management review — escalation-factor barrier EB1 against unenforced policy (</w:t>
      </w:r>
      <w:hyperlink w:anchor="section293" w:history="1">
        <w:r w:rsidR="009D553E" w:rsidRPr="00BD4D84">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w:t>
      </w:r>
    </w:p>
    <w:p w14:paraId="7D546B8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Composition.</w:t>
      </w:r>
      <w:r w:rsidRPr="00DD1558">
        <w:rPr>
          <w:rFonts w:ascii="Simplified Arabic" w:eastAsia="Times New Roman" w:hAnsi="Simplified Arabic" w:cs="Simplified Arabic"/>
          <w:color w:val="1A1A1A"/>
          <w:sz w:val="28"/>
          <w:szCs w:val="28"/>
          <w14:ligatures w14:val="none"/>
        </w:rPr>
        <w:t xml:space="preserve"> The Board is composed of roles, not personalities: a college leadership delegate (chair), one representative from each participating department, the college safety and compliance officer, and the heads of the Committee and the Unit as standing members — balancing decision legitimacy, operational knowledge, and the safety-and-environmental voice required wherever environmental aspects and compliance obligations are governed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{"citationID":"aDCsrxuY","properties":{"unsorted":false,"formattedCitation":"(14001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5.3, 6.1.2–6.1.3).</w:t>
      </w:r>
    </w:p>
    <w:p w14:paraId="2AADDDC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Decision rights and escalation.</w:t>
      </w:r>
      <w:r w:rsidRPr="00DD1558">
        <w:rPr>
          <w:rFonts w:ascii="Simplified Arabic" w:eastAsia="Times New Roman" w:hAnsi="Simplified Arabic" w:cs="Simplified Arabic"/>
          <w:color w:val="1A1A1A"/>
          <w:sz w:val="28"/>
          <w:szCs w:val="28"/>
          <w14:ligatures w14:val="none"/>
        </w:rPr>
        <w:t xml:space="preserve"> The Board decides: policy ratification and amendment; eligibility-clause adoption; risk-register acceptance; continuity objectives; adjudication of disputes escalated from custodian departments; and corrective actions arising from audit and review, following the Annex SL improvement logic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{"citationID":"hRxBPbFv","properties":{"unsorted":false,"formattedCitation":"(14001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10;</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{"citationID":"5jwOXD4j","properties":{"unsorted":false,"formattedCitation":"(22301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10). Delegated downward are all operational matters: standard drafting to the Committee, registry operation to the Unit, workflow execution to technicians, and individual loan approvals to custodian departments under Board-ratified rules. Escalated upward are matters that cross departmental boundaries or exhaust lower-level authority: unresolved loan disputes, repeated eligibility-clause violations, systemic data-quality failures, and continuity-objective revisions.</w:t>
      </w:r>
    </w:p>
    <w:p w14:paraId="6B21FCE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Cadence.</w:t>
      </w:r>
      <w:r w:rsidRPr="00DD1558">
        <w:rPr>
          <w:rFonts w:ascii="Simplified Arabic" w:eastAsia="Times New Roman" w:hAnsi="Simplified Arabic" w:cs="Simplified Arabic"/>
          <w:color w:val="1A1A1A"/>
          <w:sz w:val="28"/>
          <w:szCs w:val="28"/>
          <w14:ligatures w14:val="none"/>
        </w:rPr>
        <w:t xml:space="preserve"> The Board meets each academic term for ordinary business — risk-register review, policy amendments, dispute records — and convenes an annual management review analogous to clause 9.3 of both anchor standards, at which barrier performance, audit results, data-quality indicators, and continuity readiness are reviewed and corrective actions assigned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{"citationID":"raphqWBv","properties":{"unsorted":false,"formattedCitation":"(14001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{"citationID":"0Rnx5gdC","properties":{"unsorted":false,"formattedCitation":"(22301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9.3). Extraordinary sessions address incident-driven reviews, following the emergency-preparedness review logic of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{"citationID":"e94rCSHe","properties":{"unsorted":false,"formattedCitation":"(14001 ISO/IEC, 2015, p. 2015)","plainCitation":"(14001 ISO/IEC, 2015, p.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locator":"2015","label":"page"}],"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p.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8.2.</w:t>
      </w:r>
    </w:p>
    <w:p w14:paraId="11F0DD94" w14:textId="75E68775" w:rsidR="00DD1558" w:rsidRPr="00DD1558" w:rsidRDefault="00DD1558" w:rsidP="00DD1558">
      <w:pPr>
        <w:bidi w:val="0"/>
        <w:spacing w:before="180" w:line="240" w:lineRule="auto"/>
        <w:jc w:val="both"/>
        <w:rPr>
          <w:rFonts w:ascii="Times New Roman" w:eastAsia="Times New Roman" w:hAnsi="Times New Roman" w:cs="Times New Roman"/>
          <w:color w:val="1A1A1A"/>
          <w:sz w:val="24"/>
          <w:szCs w:val="24"/>
          <w14:ligatures w14:val="none"/>
        </w:rPr>
      </w:pPr>
      <w:r w:rsidRPr="00DD1558">
        <w:rPr>
          <w:rFonts w:ascii="Simplified Arabic" w:eastAsia="Times New Roman" w:hAnsi="Simplified Arabic" w:cs="Simplified Arabic"/>
          <w:b/>
          <w:bCs/>
          <w:color w:val="1A1A1A"/>
          <w:sz w:val="28"/>
          <w:szCs w:val="28"/>
          <w14:ligatures w14:val="none"/>
        </w:rPr>
        <w:lastRenderedPageBreak/>
        <w:t>Boundaries.</w:t>
      </w:r>
      <w:r w:rsidRPr="00DD1558">
        <w:rPr>
          <w:rFonts w:ascii="Simplified Arabic" w:eastAsia="Times New Roman" w:hAnsi="Simplified Arabic" w:cs="Simplified Arabic"/>
          <w:color w:val="1A1A1A"/>
          <w:sz w:val="28"/>
          <w:szCs w:val="28"/>
          <w14:ligatures w14:val="none"/>
        </w:rPr>
        <w:t xml:space="preserve"> Two boundaries are explicit. First, the Board does not execute operational tasks: it never approves individual loans, edits registry records, or directs stock rotation. Second, it does not bypass departmental budget authority: it governs the </w:t>
      </w:r>
      <w:r w:rsidRPr="00DD1558">
        <w:rPr>
          <w:rFonts w:ascii="Simplified Arabic" w:eastAsia="Times New Roman" w:hAnsi="Simplified Arabic" w:cs="Simplified Arabic"/>
          <w:i/>
          <w:iCs/>
          <w:color w:val="1A1A1A"/>
          <w:sz w:val="28"/>
          <w:szCs w:val="28"/>
          <w14:ligatures w14:val="none"/>
        </w:rPr>
        <w:t>rules of sharing</w:t>
      </w:r>
      <w:r w:rsidRPr="00DD1558">
        <w:rPr>
          <w:rFonts w:ascii="Simplified Arabic" w:eastAsia="Times New Roman" w:hAnsi="Simplified Arabic" w:cs="Simplified Arabic"/>
          <w:color w:val="1A1A1A"/>
          <w:sz w:val="28"/>
          <w:szCs w:val="28"/>
          <w14:ligatures w14:val="none"/>
        </w:rPr>
        <w:t xml:space="preserve"> — eligibility, custody, review — while purchasing decisions and their financing remain with departments under existing university financial regulations. The Board constrains how departments buy (through the ratified eligibility check) without commanding what they may fund, keeping the framework compatible with established financial governance while still interrupting the duplicate-purchasing pathway identified as Threat T1 in </w:t>
      </w:r>
      <w:hyperlink w:anchor="section293" w:history="1">
        <w:r w:rsidR="009D553E" w:rsidRPr="00BD4D84">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w:t>
      </w:r>
    </w:p>
    <w:p w14:paraId="60712359"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20" w:name="Section413"/>
      <w:bookmarkStart w:id="121" w:name="_Toc237539753"/>
      <w:bookmarkEnd w:id="120"/>
      <w:r w:rsidRPr="00DD1558">
        <w:rPr>
          <w:rFonts w:ascii="Simplified Arabic" w:eastAsiaTheme="majorEastAsia" w:hAnsi="Simplified Arabic" w:cstheme="majorBidi"/>
          <w:sz w:val="28"/>
          <w:szCs w:val="28"/>
        </w:rPr>
        <w:t>4.1.3 The Technical Standardization Committee</w:t>
      </w:r>
      <w:bookmarkEnd w:id="121"/>
    </w:p>
    <w:p w14:paraId="6F65EA17"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w:t>
      </w:r>
      <w:r w:rsidRPr="00DD1558">
        <w:rPr>
          <w:rFonts w:ascii="Simplified Arabic" w:eastAsia="Times New Roman" w:hAnsi="Simplified Arabic" w:cs="Simplified Arabic"/>
          <w:b/>
          <w:bCs/>
          <w:color w:val="1A1A1A"/>
          <w:sz w:val="28"/>
          <w:szCs w:val="28"/>
          <w14:ligatures w14:val="none"/>
        </w:rPr>
        <w:t>Technical Standardization Committee</w:t>
      </w:r>
      <w:r w:rsidRPr="00DD1558">
        <w:rPr>
          <w:rFonts w:ascii="Simplified Arabic" w:eastAsia="Times New Roman" w:hAnsi="Simplified Arabic" w:cs="Simplified Arabic"/>
          <w:color w:val="1A1A1A"/>
          <w:sz w:val="28"/>
          <w:szCs w:val="28"/>
          <w14:ligatures w14:val="none"/>
        </w:rPr>
        <w:t xml:space="preserve"> (hereafter “the Committee”) owns the framework’s prevention barriers: where the Board decides, the Committee </w:t>
      </w:r>
      <w:r w:rsidRPr="00DD1558">
        <w:rPr>
          <w:rFonts w:ascii="Simplified Arabic" w:eastAsia="Times New Roman" w:hAnsi="Simplified Arabic" w:cs="Simplified Arabic"/>
          <w:i/>
          <w:iCs/>
          <w:color w:val="1A1A1A"/>
          <w:sz w:val="28"/>
          <w:szCs w:val="28"/>
          <w14:ligatures w14:val="none"/>
        </w:rPr>
        <w:t>drafts and maintains the technical content</w:t>
      </w:r>
      <w:r w:rsidRPr="00DD1558">
        <w:rPr>
          <w:rFonts w:ascii="Simplified Arabic" w:eastAsia="Times New Roman" w:hAnsi="Simplified Arabic" w:cs="Simplified Arabic"/>
          <w:color w:val="1A1A1A"/>
          <w:sz w:val="28"/>
          <w:szCs w:val="28"/>
          <w14:ligatures w14:val="none"/>
        </w:rPr>
        <w:t xml:space="preserve"> of what is decided. Its logic follows from Section 2’s maturity analysis: standardization is the first transition out of the Inform/Conform band, and it requires a standing body with the technical competence to define one catalog where the decentralized regime maintained many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{"citationID":"QqEdLavu","properties":{"unsorted":false,"formattedCitation":"(Hillson,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Committee carries four standing duties.</w:t>
      </w:r>
    </w:p>
    <w:p w14:paraId="33D26F9D" w14:textId="77777777" w:rsidR="00DD1558" w:rsidRPr="00DD1558" w:rsidRDefault="00DD1558" w:rsidP="00DD1558">
      <w:pPr>
        <w:numPr>
          <w:ilvl w:val="0"/>
          <w:numId w:val="15"/>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Unified catalog and classification standard.</w:t>
      </w:r>
      <w:r w:rsidRPr="00DD1558">
        <w:rPr>
          <w:rFonts w:ascii="Simplified Arabic" w:eastAsia="Times New Roman" w:hAnsi="Simplified Arabic" w:cs="Simplified Arabic"/>
          <w:color w:val="1A1A1A"/>
          <w:sz w:val="28"/>
          <w:szCs w:val="28"/>
          <w14:ligatures w14:val="none"/>
        </w:rPr>
        <w:t xml:space="preserve"> The Committee defines and maintains the common data structure for chemicals, instruments, glassware, and consumables: naming conventions, classification hierarchies, units of measure, hazard annotations, and the minimum attribute set every registry record must carry (identity, quantity, location, custody, acquisition date, and — for chemicals — expiry date and hazard class). This duty owns prevention barrier PB1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{"citationID":"Y3deaa0M","properties":{"unsorted":false,"formattedCitation":"(Johnson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and the standard is drafted for Board ratification and thereafter maintained under version control as documented information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{"citationID":"2TFNppxn","properties":{"unsorted":false,"formattedCitation":"(14001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7.5).</w:t>
      </w:r>
    </w:p>
    <w:p w14:paraId="2B10AC3C" w14:textId="77777777" w:rsidR="00DD1558" w:rsidRPr="00DD1558" w:rsidRDefault="00DD1558" w:rsidP="00DD1558">
      <w:pPr>
        <w:numPr>
          <w:ilvl w:val="0"/>
          <w:numId w:val="15"/>
        </w:numPr>
        <w:bidi w:val="0"/>
        <w:spacing w:before="180" w:line="240" w:lineRule="auto"/>
        <w:jc w:val="both"/>
        <w:rPr>
          <w:rFonts w:ascii="Simplified Arabic" w:eastAsia="Times New Roman" w:hAnsi="Simplified Arabic" w:cs="Simplified Arabic"/>
          <w:color w:val="1A1A1A"/>
          <w:sz w:val="32"/>
          <w:szCs w:val="32"/>
          <w14:ligatures w14:val="none"/>
        </w:rPr>
      </w:pPr>
      <w:r w:rsidRPr="00DD1558">
        <w:rPr>
          <w:rFonts w:ascii="Simplified Arabic" w:eastAsia="Times New Roman" w:hAnsi="Simplified Arabic" w:cs="Simplified Arabic"/>
          <w:b/>
          <w:bCs/>
          <w:color w:val="1A1A1A"/>
          <w:sz w:val="28"/>
          <w:szCs w:val="32"/>
          <w14:ligatures w14:val="none"/>
        </w:rPr>
        <w:lastRenderedPageBreak/>
        <w:t>Eligibility clauses.</w:t>
      </w:r>
      <w:r w:rsidRPr="00DD1558">
        <w:rPr>
          <w:rFonts w:ascii="Simplified Arabic" w:eastAsia="Times New Roman" w:hAnsi="Simplified Arabic" w:cs="Simplified Arabic"/>
          <w:color w:val="1A1A1A"/>
          <w:sz w:val="28"/>
          <w:szCs w:val="32"/>
          <w14:ligatures w14:val="none"/>
        </w:rPr>
        <w:t xml:space="preserve"> The Committee drafts the two clauses that convert shared visibility into purchasing discipline: (a) the </w:t>
      </w:r>
      <w:r w:rsidRPr="00DD1558">
        <w:rPr>
          <w:rFonts w:ascii="Simplified Arabic" w:eastAsia="Times New Roman" w:hAnsi="Simplified Arabic" w:cs="Simplified Arabic"/>
          <w:i/>
          <w:iCs/>
          <w:color w:val="1A1A1A"/>
          <w:sz w:val="28"/>
          <w:szCs w:val="32"/>
          <w14:ligatures w14:val="none"/>
        </w:rPr>
        <w:t>mandatory shared-registry check before requisition</w:t>
      </w:r>
      <w:r w:rsidRPr="00DD1558">
        <w:rPr>
          <w:rFonts w:ascii="Simplified Arabic" w:eastAsia="Times New Roman" w:hAnsi="Simplified Arabic" w:cs="Simplified Arabic"/>
          <w:color w:val="1A1A1A"/>
          <w:sz w:val="28"/>
          <w:szCs w:val="32"/>
          <w14:ligatures w14:val="none"/>
        </w:rPr>
        <w:t xml:space="preserve"> — no requisition for a loanable item class may proceed without a documented registry check for serviceable stock elsewhere in the college; and (b) the </w:t>
      </w:r>
      <w:r w:rsidRPr="00DD1558">
        <w:rPr>
          <w:rFonts w:ascii="Simplified Arabic" w:eastAsia="Times New Roman" w:hAnsi="Simplified Arabic" w:cs="Simplified Arabic"/>
          <w:i/>
          <w:iCs/>
          <w:color w:val="1A1A1A"/>
          <w:sz w:val="28"/>
          <w:szCs w:val="32"/>
          <w14:ligatures w14:val="none"/>
        </w:rPr>
        <w:t>redistribution-before-disposal rule</w:t>
      </w:r>
      <w:r w:rsidRPr="00DD1558">
        <w:rPr>
          <w:rFonts w:ascii="Simplified Arabic" w:eastAsia="Times New Roman" w:hAnsi="Simplified Arabic" w:cs="Simplified Arabic"/>
          <w:color w:val="1A1A1A"/>
          <w:sz w:val="28"/>
          <w:szCs w:val="32"/>
          <w14:ligatures w14:val="none"/>
        </w:rPr>
        <w:t xml:space="preserve"> — no item may enter a disposal pathway until the registry has been checked for live demand elsewhere. These clauses own prevention barrier PB2 and operationalize circular-economy logic at the point of purchase, privileging reuse of existing stock over new acquisition </w:t>
      </w:r>
      <w:r w:rsidRPr="00DD1558">
        <w:rPr>
          <w:rFonts w:ascii="Simplified Arabic" w:eastAsia="Times New Roman" w:hAnsi="Simplified Arabic" w:cs="Simplified Arabic"/>
          <w:color w:val="1A1A1A"/>
          <w:sz w:val="28"/>
          <w:szCs w:val="32"/>
          <w14:ligatures w14:val="none"/>
        </w:rPr>
        <w:fldChar w:fldCharType="begin"/>
      </w:r>
      <w:r w:rsidRPr="00DD1558">
        <w:rPr>
          <w:rFonts w:ascii="Simplified Arabic" w:eastAsia="Times New Roman" w:hAnsi="Simplified Arabic" w:cs="Simplified Arabic"/>
          <w:color w:val="1A1A1A"/>
          <w:sz w:val="28"/>
          <w:szCs w:val="32"/>
          <w14:ligatures w14:val="none"/>
        </w:rPr>
        <w:instrText xml:space="preserve"> ADDIN ZOTERO_ITEM CSL_CITATION {"citationID":"XAFW7tTj","properties":{"unsorted":false,"formattedCitation":"(Ellen MacArthur Foundation., 2013; Kirchherr et al., 2017; S\\uc0\\u246{}nnichsen &amp; Clement, 2020)","plainCitation":"(Ellen MacArthur Foundation., 2013; Kirchherr et al., 2017; Sönnichsen &amp; Clement, 2020)","noteIndex":0},"citationItems":[{"id":539,"uris":["http://zotero.org/users/19711126/items/2XUL857H"],"itemData":{"id":539,"type":"report","title":"Towards the Circular Economy: Economic and business rationale for an accelerated transition (Vol. 1)","URL":"https://media1.circulareconomy.se/2016/11/Towards-The-Circular-Economy-vol-1-2012.pdf","author":[{"family":"Ellen MacArthur Foundation.","given":""}],"accessed":{"date-parts":[["2026",8,6]]},"issued":{"date-parts":[["2013"]]}}},{"id":470,"uris":["http://zotero.org/users/19711126/items/WIAJWCHL"],"itemData":{"id":470,"type":"article-journal","abstract":"The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32"/>
          <w14:ligatures w14:val="none"/>
        </w:rPr>
        <w:fldChar w:fldCharType="separate"/>
      </w:r>
      <w:r w:rsidRPr="00DD1558">
        <w:rPr>
          <w:rFonts w:ascii="Simplified Arabic" w:eastAsia="Times New Roman" w:hAnsi="Simplified Arabic" w:cs="Simplified Arabic"/>
          <w:color w:val="1A1A1A"/>
          <w:sz w:val="28"/>
          <w:szCs w:val="24"/>
          <w14:ligatures w14:val="none"/>
        </w:rPr>
        <w:t>(Ellen MacArthur Foundation., 2013; Kirchherr et al., 2017; Sönnichsen &amp; Clement, 2020)</w:t>
      </w:r>
      <w:r w:rsidRPr="00DD1558">
        <w:rPr>
          <w:rFonts w:ascii="Simplified Arabic" w:eastAsia="Times New Roman" w:hAnsi="Simplified Arabic" w:cs="Simplified Arabic"/>
          <w:color w:val="1A1A1A"/>
          <w:sz w:val="28"/>
          <w:szCs w:val="32"/>
          <w14:ligatures w14:val="none"/>
        </w:rPr>
        <w:fldChar w:fldCharType="end"/>
      </w:r>
      <w:r w:rsidRPr="00DD1558">
        <w:rPr>
          <w:rFonts w:ascii="Simplified Arabic" w:eastAsia="Times New Roman" w:hAnsi="Simplified Arabic" w:cs="Simplified Arabic"/>
          <w:color w:val="1A1A1A"/>
          <w:sz w:val="28"/>
          <w:szCs w:val="32"/>
          <w14:ligatures w14:val="none"/>
        </w:rPr>
        <w:t>.</w:t>
      </w:r>
    </w:p>
    <w:p w14:paraId="39AC373D" w14:textId="490DA99A" w:rsidR="00DD1558" w:rsidRPr="00DD1558" w:rsidRDefault="00DD1558" w:rsidP="00DD1558">
      <w:pPr>
        <w:numPr>
          <w:ilvl w:val="0"/>
          <w:numId w:val="15"/>
        </w:numPr>
        <w:bidi w:val="0"/>
        <w:spacing w:before="180" w:line="240" w:lineRule="auto"/>
        <w:jc w:val="both"/>
        <w:rPr>
          <w:rFonts w:ascii="Simplified Arabic" w:eastAsia="Times New Roman" w:hAnsi="Simplified Arabic" w:cs="Simplified Arabic"/>
          <w:color w:val="1A1A1A"/>
          <w:sz w:val="32"/>
          <w:szCs w:val="32"/>
          <w14:ligatures w14:val="none"/>
        </w:rPr>
      </w:pPr>
      <w:r w:rsidRPr="00DD1558">
        <w:rPr>
          <w:rFonts w:ascii="Simplified Arabic" w:eastAsia="Times New Roman" w:hAnsi="Simplified Arabic" w:cs="Simplified Arabic"/>
          <w:b/>
          <w:bCs/>
          <w:color w:val="1A1A1A"/>
          <w:sz w:val="28"/>
          <w:szCs w:val="32"/>
          <w14:ligatures w14:val="none"/>
        </w:rPr>
        <w:t>FEFO policy standard.</w:t>
      </w:r>
      <w:r w:rsidRPr="00DD1558">
        <w:rPr>
          <w:rFonts w:ascii="Simplified Arabic" w:eastAsia="Times New Roman" w:hAnsi="Simplified Arabic" w:cs="Simplified Arabic"/>
          <w:color w:val="1A1A1A"/>
          <w:sz w:val="28"/>
          <w:szCs w:val="32"/>
          <w14:ligatures w14:val="none"/>
        </w:rPr>
        <w:t xml:space="preserve"> The Committee defines First-Expired-First-Out as a policy standard rather than a shelf habit: the formal definition (the item with the earliest expiry date is issued, consumed, or offered for redistribution first), labeling and date-marking requirements, rotation discipline, and the expiry-flagging thresholds at which technicians must escalate. The green-laboratory and laboratory-supply literature identifies unnoticed shelf-life lapse as a principal driver of chemical waste and date-ordered rotation as the standard operational control against it </w:t>
      </w:r>
      <w:r w:rsidRPr="00DD1558">
        <w:rPr>
          <w:rFonts w:ascii="Simplified Arabic" w:eastAsia="Times New Roman" w:hAnsi="Simplified Arabic" w:cs="Simplified Arabic"/>
          <w:color w:val="1A1A1A"/>
          <w:sz w:val="28"/>
          <w:szCs w:val="32"/>
          <w14:ligatures w14:val="none"/>
        </w:rPr>
        <w:fldChar w:fldCharType="begin"/>
      </w:r>
      <w:r w:rsidRPr="00DD1558">
        <w:rPr>
          <w:rFonts w:ascii="Simplified Arabic" w:eastAsia="Times New Roman" w:hAnsi="Simplified Arabic" w:cs="Simplified Arabic"/>
          <w:color w:val="1A1A1A"/>
          <w:sz w:val="28"/>
          <w:szCs w:val="32"/>
          <w14:ligatures w14:val="none"/>
        </w:rPr>
        <w:instrText xml:space="preserve"> ADDIN ZOTERO_ITEM CSL_CITATION {"citationID":"TLsSyEB4","properties":{"unsorted":false,"formattedCitation":"(Durgan et al., 2023; Wilke et al., 2023)","plainCitation":"(Durgan et al., 2023; Wilke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32"/>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Wilke et al., 2023)</w:t>
      </w:r>
      <w:r w:rsidRPr="00DD1558">
        <w:rPr>
          <w:rFonts w:ascii="Simplified Arabic" w:eastAsia="Times New Roman" w:hAnsi="Simplified Arabic" w:cs="Simplified Arabic"/>
          <w:color w:val="1A1A1A"/>
          <w:sz w:val="28"/>
          <w:szCs w:val="32"/>
          <w14:ligatures w14:val="none"/>
        </w:rPr>
        <w:fldChar w:fldCharType="end"/>
      </w:r>
      <w:r w:rsidRPr="00DD1558">
        <w:rPr>
          <w:rFonts w:ascii="Simplified Arabic" w:eastAsia="Times New Roman" w:hAnsi="Simplified Arabic" w:cs="Simplified Arabic"/>
          <w:color w:val="1A1A1A"/>
          <w:sz w:val="28"/>
          <w:szCs w:val="32"/>
          <w14:ligatures w14:val="none"/>
        </w:rPr>
        <w:t xml:space="preserve">. This duty owns the </w:t>
      </w:r>
      <w:r w:rsidRPr="00DD1558">
        <w:rPr>
          <w:rFonts w:ascii="Simplified Arabic" w:eastAsia="Times New Roman" w:hAnsi="Simplified Arabic" w:cs="Simplified Arabic"/>
          <w:i/>
          <w:iCs/>
          <w:color w:val="1A1A1A"/>
          <w:sz w:val="28"/>
          <w:szCs w:val="32"/>
          <w14:ligatures w14:val="none"/>
        </w:rPr>
        <w:t>standard</w:t>
      </w:r>
      <w:r w:rsidRPr="00DD1558">
        <w:rPr>
          <w:rFonts w:ascii="Simplified Arabic" w:eastAsia="Times New Roman" w:hAnsi="Simplified Arabic" w:cs="Simplified Arabic"/>
          <w:color w:val="1A1A1A"/>
          <w:sz w:val="28"/>
          <w:szCs w:val="32"/>
          <w14:ligatures w14:val="none"/>
        </w:rPr>
        <w:t xml:space="preserve"> dimension of mitigation barrier MB1; execution remains with technicians (</w:t>
      </w:r>
      <w:hyperlink w:anchor="section415" w:history="1">
        <w:r w:rsidR="002C0C03" w:rsidRPr="00BD4D84">
          <w:rPr>
            <w:rStyle w:val="Hyperlink"/>
            <w:rFonts w:ascii="Simplified Arabic" w:eastAsia="Times New Roman" w:hAnsi="Simplified Arabic" w:cs="Simplified Arabic"/>
            <w:sz w:val="28"/>
            <w:szCs w:val="32"/>
            <w14:ligatures w14:val="none"/>
          </w:rPr>
          <w:t>Section 4.1.5</w:t>
        </w:r>
      </w:hyperlink>
      <w:r w:rsidRPr="00DD1558">
        <w:rPr>
          <w:rFonts w:ascii="Simplified Arabic" w:eastAsia="Times New Roman" w:hAnsi="Simplified Arabic" w:cs="Simplified Arabic"/>
          <w:color w:val="1A1A1A"/>
          <w:sz w:val="28"/>
          <w:szCs w:val="32"/>
          <w14:ligatures w14:val="none"/>
        </w:rPr>
        <w:t>).</w:t>
      </w:r>
    </w:p>
    <w:p w14:paraId="1ECFF6E7" w14:textId="77777777" w:rsidR="00DD1558" w:rsidRPr="00DD1558" w:rsidRDefault="00DD1558" w:rsidP="00DD1558">
      <w:pPr>
        <w:numPr>
          <w:ilvl w:val="0"/>
          <w:numId w:val="15"/>
        </w:numPr>
        <w:bidi w:val="0"/>
        <w:spacing w:before="180" w:line="240" w:lineRule="auto"/>
        <w:jc w:val="both"/>
        <w:rPr>
          <w:rFonts w:ascii="Simplified Arabic" w:eastAsia="Times New Roman" w:hAnsi="Simplified Arabic" w:cs="Simplified Arabic"/>
          <w:color w:val="1A1A1A"/>
          <w:sz w:val="32"/>
          <w:szCs w:val="32"/>
          <w14:ligatures w14:val="none"/>
        </w:rPr>
      </w:pPr>
      <w:r w:rsidRPr="00DD1558">
        <w:rPr>
          <w:rFonts w:ascii="Simplified Arabic" w:eastAsia="Times New Roman" w:hAnsi="Simplified Arabic" w:cs="Simplified Arabic"/>
          <w:b/>
          <w:bCs/>
          <w:color w:val="1A1A1A"/>
          <w:sz w:val="28"/>
          <w:szCs w:val="32"/>
          <w14:ligatures w14:val="none"/>
        </w:rPr>
        <w:t>Safety and compliance interface.</w:t>
      </w:r>
      <w:r w:rsidRPr="00DD1558">
        <w:rPr>
          <w:rFonts w:ascii="Simplified Arabic" w:eastAsia="Times New Roman" w:hAnsi="Simplified Arabic" w:cs="Simplified Arabic"/>
          <w:color w:val="1A1A1A"/>
          <w:sz w:val="28"/>
          <w:szCs w:val="32"/>
          <w14:ligatures w14:val="none"/>
        </w:rPr>
        <w:t xml:space="preserve"> The Committee aligns all standards with hazardous-substance rules and with the framework’s environmental requirements: operational planning and control of significant environmental aspects (</w:t>
      </w:r>
      <w:r w:rsidRPr="00DD1558">
        <w:rPr>
          <w:rFonts w:ascii="Simplified Arabic" w:eastAsia="Times New Roman" w:hAnsi="Simplified Arabic" w:cs="Simplified Arabic"/>
          <w:color w:val="1A1A1A"/>
          <w:sz w:val="28"/>
          <w:szCs w:val="32"/>
          <w14:ligatures w14:val="none"/>
        </w:rPr>
        <w:fldChar w:fldCharType="begin"/>
      </w:r>
      <w:r w:rsidRPr="00DD1558">
        <w:rPr>
          <w:rFonts w:ascii="Simplified Arabic" w:eastAsia="Times New Roman" w:hAnsi="Simplified Arabic" w:cs="Simplified Arabic"/>
          <w:color w:val="1A1A1A"/>
          <w:sz w:val="28"/>
          <w:szCs w:val="32"/>
          <w14:ligatures w14:val="none"/>
        </w:rPr>
        <w:instrText xml:space="preserve"> ADDIN ZOTERO_ITEM CSL_CITATION {"citationID":"XWDVlUcS","properties":{"unsorted":false,"formattedCitation":"(14001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32"/>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32"/>
          <w14:ligatures w14:val="none"/>
        </w:rPr>
        <w:fldChar w:fldCharType="end"/>
      </w:r>
      <w:r w:rsidRPr="00DD1558">
        <w:rPr>
          <w:rFonts w:ascii="Simplified Arabic" w:eastAsia="Times New Roman" w:hAnsi="Simplified Arabic" w:cs="Simplified Arabic"/>
          <w:color w:val="1A1A1A"/>
          <w:sz w:val="28"/>
          <w:szCs w:val="32"/>
          <w14:ligatures w14:val="none"/>
        </w:rPr>
        <w:t>, clause 8.1), emergency preparedness and response for chemical incidents (</w:t>
      </w:r>
      <w:r w:rsidRPr="00DD1558">
        <w:rPr>
          <w:rFonts w:ascii="Simplified Arabic" w:eastAsia="Times New Roman" w:hAnsi="Simplified Arabic" w:cs="Simplified Arabic"/>
          <w:color w:val="1A1A1A"/>
          <w:sz w:val="28"/>
          <w:szCs w:val="32"/>
          <w14:ligatures w14:val="none"/>
        </w:rPr>
        <w:fldChar w:fldCharType="begin"/>
      </w:r>
      <w:r w:rsidRPr="00DD1558">
        <w:rPr>
          <w:rFonts w:ascii="Simplified Arabic" w:eastAsia="Times New Roman" w:hAnsi="Simplified Arabic" w:cs="Simplified Arabic"/>
          <w:color w:val="1A1A1A"/>
          <w:sz w:val="28"/>
          <w:szCs w:val="32"/>
          <w14:ligatures w14:val="none"/>
        </w:rPr>
        <w:instrText xml:space="preserve"> ADDIN ZOTERO_ITEM CSL_CITATION {"citationID":"5OWH8wB4","properties":{"unsorted":false,"formattedCitation":"(14001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32"/>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32"/>
          <w14:ligatures w14:val="none"/>
        </w:rPr>
        <w:fldChar w:fldCharType="end"/>
      </w:r>
      <w:r w:rsidRPr="00DD1558">
        <w:rPr>
          <w:rFonts w:ascii="Simplified Arabic" w:eastAsia="Times New Roman" w:hAnsi="Simplified Arabic" w:cs="Simplified Arabic"/>
          <w:color w:val="1A1A1A"/>
          <w:sz w:val="28"/>
          <w:szCs w:val="32"/>
          <w14:ligatures w14:val="none"/>
        </w:rPr>
        <w:t>, clause 8.2), and evaluation of compliance obligations (</w:t>
      </w:r>
      <w:r w:rsidRPr="00DD1558">
        <w:rPr>
          <w:rFonts w:ascii="Simplified Arabic" w:eastAsia="Times New Roman" w:hAnsi="Simplified Arabic" w:cs="Simplified Arabic"/>
          <w:color w:val="1A1A1A"/>
          <w:sz w:val="28"/>
          <w:szCs w:val="32"/>
          <w14:ligatures w14:val="none"/>
        </w:rPr>
        <w:fldChar w:fldCharType="begin"/>
      </w:r>
      <w:r w:rsidRPr="00DD1558">
        <w:rPr>
          <w:rFonts w:ascii="Simplified Arabic" w:eastAsia="Times New Roman" w:hAnsi="Simplified Arabic" w:cs="Simplified Arabic"/>
          <w:color w:val="1A1A1A"/>
          <w:sz w:val="28"/>
          <w:szCs w:val="32"/>
          <w14:ligatures w14:val="none"/>
        </w:rPr>
        <w:instrText xml:space="preserve"> ADDIN ZOTERO_ITEM CSL_CITATION {"citationID":"hwF3CqnB","properties":{"unsorted":false,"formattedCitation":"(14001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32"/>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32"/>
          <w14:ligatures w14:val="none"/>
        </w:rPr>
        <w:fldChar w:fldCharType="end"/>
      </w:r>
      <w:r w:rsidRPr="00DD1558">
        <w:rPr>
          <w:rFonts w:ascii="Simplified Arabic" w:eastAsia="Times New Roman" w:hAnsi="Simplified Arabic" w:cs="Simplified Arabic"/>
          <w:color w:val="1A1A1A"/>
          <w:sz w:val="28"/>
          <w:szCs w:val="32"/>
          <w14:ligatures w14:val="none"/>
        </w:rPr>
        <w:t>, clauses 6.1.3, 9.1.2). The college safety and compliance officer sits on the Committee in an advisory capacity to guarantee this interface.</w:t>
      </w:r>
    </w:p>
    <w:p w14:paraId="2B3FCA4B" w14:textId="7E94A85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Composition and working mode.</w:t>
      </w:r>
      <w:r w:rsidRPr="00DD1558">
        <w:rPr>
          <w:rFonts w:ascii="Simplified Arabic" w:eastAsia="Times New Roman" w:hAnsi="Simplified Arabic" w:cs="Simplified Arabic"/>
          <w:color w:val="1A1A1A"/>
          <w:sz w:val="28"/>
          <w:szCs w:val="28"/>
          <w14:ligatures w14:val="none"/>
        </w:rPr>
        <w:t xml:space="preserve"> The Committee comprises senior technical staff nominated by participating departments, a registry-standards liaison from the Unit, and the safety and compliance officer. It works by drafting cycles: each standard or clause is drafted, circulated to departments for comment, revised, and submitted to the Board for ratification — drafting by the technically closest staff, ratification by the Board, and operation by the Unit instantiating </w:t>
      </w:r>
      <w:hyperlink w:anchor="Principle1" w:history="1">
        <w:r w:rsidRPr="00752112">
          <w:rPr>
            <w:rStyle w:val="Hyperlink"/>
            <w:rFonts w:ascii="Simplified Arabic" w:eastAsia="Times New Roman" w:hAnsi="Simplified Arabic" w:cs="Simplified Arabic"/>
            <w:sz w:val="28"/>
            <w:szCs w:val="28"/>
            <w14:ligatures w14:val="none"/>
          </w:rPr>
          <w:t>Principle 1</w:t>
        </w:r>
      </w:hyperlink>
      <w:r w:rsidRPr="00DD1558">
        <w:rPr>
          <w:rFonts w:ascii="Simplified Arabic" w:eastAsia="Times New Roman" w:hAnsi="Simplified Arabic" w:cs="Simplified Arabic"/>
          <w:color w:val="1A1A1A"/>
          <w:sz w:val="28"/>
          <w:szCs w:val="28"/>
          <w14:ligatures w14:val="none"/>
        </w:rPr>
        <w:t xml:space="preserve"> at the level of the standards themselves.</w:t>
      </w:r>
    </w:p>
    <w:p w14:paraId="494078E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Boundary.</w:t>
      </w:r>
      <w:r w:rsidRPr="00DD1558">
        <w:rPr>
          <w:rFonts w:ascii="Simplified Arabic" w:eastAsia="Times New Roman" w:hAnsi="Simplified Arabic" w:cs="Simplified Arabic"/>
          <w:color w:val="1A1A1A"/>
          <w:sz w:val="28"/>
          <w:szCs w:val="28"/>
          <w14:ligatures w14:val="none"/>
        </w:rPr>
        <w:t xml:space="preserve"> The Committee sets standards; it does not approve individual purchases, does not adjudicate loans, and holds no budget authority. Its products constrain behavior only after Board ratification — a boundary that prevents the accumulation of de facto administrative power in a technical body, a failure mode the collaborative-governance literature associates with blurred mandates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{"citationID":"zZ2YLe3g","properties":{"unsorted":false,"formattedCitation":"(Gestel &amp; Grotenbreg, 2021)","plainCitation":"(Gestel &amp; Grotenbreg, 2021)","noteIndex":0},"citationItems":[{"id":517,"uris":["http://zotero.org/users/19711126/items/7LQEB697"],"itemData":{"id":517,"type":"article-journal","abstract":"Collaborative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(Gestel &amp; Grotenbreg,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96C52EC"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22" w:name="Section414"/>
      <w:bookmarkStart w:id="123" w:name="_Toc237539754"/>
      <w:bookmarkEnd w:id="122"/>
      <w:r w:rsidRPr="00DD1558">
        <w:rPr>
          <w:rFonts w:ascii="Simplified Arabic" w:eastAsiaTheme="majorEastAsia" w:hAnsi="Simplified Arabic" w:cstheme="majorBidi"/>
          <w:sz w:val="28"/>
          <w:szCs w:val="28"/>
        </w:rPr>
        <w:t>4.1.4 The Digital Supply Chain Unit</w:t>
      </w:r>
      <w:bookmarkEnd w:id="123"/>
    </w:p>
    <w:p w14:paraId="5BB6095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w:t>
      </w:r>
      <w:r w:rsidRPr="00DD1558">
        <w:rPr>
          <w:rFonts w:ascii="Simplified Arabic" w:eastAsia="Times New Roman" w:hAnsi="Simplified Arabic" w:cs="Simplified Arabic"/>
          <w:b/>
          <w:bCs/>
          <w:color w:val="1A1A1A"/>
          <w:sz w:val="28"/>
          <w:szCs w:val="28"/>
          <w14:ligatures w14:val="none"/>
        </w:rPr>
        <w:t>Digital Supply Chain Unit</w:t>
      </w:r>
      <w:r w:rsidRPr="00DD1558">
        <w:rPr>
          <w:rFonts w:ascii="Simplified Arabic" w:eastAsia="Times New Roman" w:hAnsi="Simplified Arabic" w:cs="Simplified Arabic"/>
          <w:color w:val="1A1A1A"/>
          <w:sz w:val="28"/>
          <w:szCs w:val="28"/>
          <w14:ligatures w14:val="none"/>
        </w:rPr>
        <w:t xml:space="preserve"> (hereafter “the Unit”) owns shared visibility and data integrity — the informational substrate on which every other governance function depends. Its defining insight, drawn from Section 2, is that incomplete registry data is an escalation factor (EF2) capable of blinding the eligibility clause, the redistribution mechanism, and the catalog standard simultaneously; data quality is therefore a barrier to be owned, not a by-product to be hoped for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{"citationID":"pfxRSZFv","properties":{"unsorted":false,"formattedCitation":"(Johnson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Unit carries four standing duties.</w:t>
      </w:r>
    </w:p>
    <w:p w14:paraId="7192289F" w14:textId="5473E1B0" w:rsidR="00DD1558" w:rsidRPr="00DD1558" w:rsidRDefault="00DD1558" w:rsidP="00DD1558">
      <w:pPr>
        <w:numPr>
          <w:ilvl w:val="0"/>
          <w:numId w:val="16"/>
        </w:numPr>
        <w:bidi w:val="0"/>
        <w:spacing w:after="200" w:line="240" w:lineRule="auto"/>
        <w:contextualSpacing/>
        <w:rPr>
          <w:rFonts w:ascii="Simplified Arabic" w:hAnsi="Simplified Arabic"/>
          <w:sz w:val="28"/>
        </w:rPr>
      </w:pPr>
      <w:r w:rsidRPr="00DD1558">
        <w:rPr>
          <w:rFonts w:ascii="Simplified Arabic" w:hAnsi="Simplified Arabic"/>
          <w:b/>
          <w:bCs/>
          <w:sz w:val="28"/>
        </w:rPr>
        <w:t>Shared inventory registry stewardship.</w:t>
      </w:r>
      <w:r w:rsidRPr="00DD1558">
        <w:rPr>
          <w:rFonts w:ascii="Simplified Arabic" w:hAnsi="Simplified Arabic"/>
          <w:sz w:val="28"/>
        </w:rPr>
        <w:t xml:space="preserve"> The Unit operates the college’s shared inventory registry: it defines data-entry protocols derived from the Committee’s catalog standard, onboards departmental inventories, and administers the data-quality rules — completeness, currency, and consistency indicators — that constitute escalation-factor barrier EB2. Stewardship here means responsibility for the integrity of the shared record, not ownership of the stock the record describes (</w:t>
      </w:r>
      <w:hyperlink w:anchor="section411" w:history="1">
        <w:r w:rsidR="00A20664" w:rsidRPr="00BD4D84">
          <w:rPr>
            <w:rStyle w:val="Hyperlink"/>
            <w:rFonts w:ascii="Simplified Arabic" w:hAnsi="Simplified Arabic"/>
            <w:sz w:val="28"/>
          </w:rPr>
          <w:t>Section 4.1.1</w:t>
        </w:r>
      </w:hyperlink>
      <w:r w:rsidRPr="00DD1558">
        <w:rPr>
          <w:rFonts w:ascii="Simplified Arabic" w:hAnsi="Simplified Arabic"/>
          <w:sz w:val="28"/>
        </w:rPr>
        <w:t xml:space="preserve">, </w:t>
      </w:r>
      <w:hyperlink w:anchor="Principle2" w:history="1">
        <w:r w:rsidRPr="00DD1558">
          <w:rPr>
            <w:rFonts w:ascii="Simplified Arabic" w:hAnsi="Simplified Arabic"/>
            <w:color w:val="467886" w:themeColor="hyperlink"/>
            <w:sz w:val="28"/>
            <w:u w:val="single"/>
          </w:rPr>
          <w:t>Principle 2</w:t>
        </w:r>
      </w:hyperlink>
      <w:r w:rsidRPr="00DD1558">
        <w:rPr>
          <w:rFonts w:ascii="Simplified Arabic" w:hAnsi="Simplified Arabic"/>
          <w:sz w:val="28"/>
        </w:rPr>
        <w:t>;</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{"citationID":"QJV0U0IX","properties":{"unsorted":false,"formattedCitation":"(Zhu &amp; Liu, 2021)","plainCitation":"(Zhu &amp; Liu, 2021)","noteIndex":0},"citationItems":[{"id":534,"uris":["http://zotero.org/users/19711126/items/HFQSD64T"],"itemData":{"id":534,"type":"article-journal","abstract":"With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(Zhu &amp; Liu, 2021)</w:t>
      </w:r>
      <w:r w:rsidRPr="00DD1558">
        <w:rPr>
          <w:rFonts w:ascii="Simplified Arabic" w:hAnsi="Simplified Arabic"/>
          <w:sz w:val="28"/>
        </w:rPr>
        <w:fldChar w:fldCharType="end"/>
      </w:r>
      <w:r w:rsidRPr="00DD1558">
        <w:rPr>
          <w:rFonts w:ascii="Simplified Arabic" w:hAnsi="Simplified Arabic"/>
          <w:sz w:val="28"/>
        </w:rPr>
        <w:t>).</w:t>
      </w:r>
    </w:p>
    <w:p w14:paraId="0F2D54ED" w14:textId="77777777" w:rsidR="00DD1558" w:rsidRPr="00DD1558" w:rsidRDefault="00DD1558" w:rsidP="00DD1558">
      <w:pPr>
        <w:numPr>
          <w:ilvl w:val="0"/>
          <w:numId w:val="16"/>
        </w:numPr>
        <w:bidi w:val="0"/>
        <w:spacing w:after="200" w:line="240" w:lineRule="auto"/>
        <w:contextualSpacing/>
        <w:rPr>
          <w:rFonts w:ascii="Simplified Arabic" w:hAnsi="Simplified Arabic"/>
          <w:sz w:val="28"/>
        </w:rPr>
      </w:pPr>
      <w:r w:rsidRPr="00DD1558">
        <w:rPr>
          <w:rFonts w:ascii="Simplified Arabic" w:hAnsi="Simplified Arabic"/>
          <w:b/>
          <w:bCs/>
          <w:sz w:val="28"/>
        </w:rPr>
        <w:lastRenderedPageBreak/>
        <w:t>Visibility and reporting.</w:t>
      </w:r>
      <w:r w:rsidRPr="00DD1558">
        <w:rPr>
          <w:rFonts w:ascii="Simplified Arabic" w:hAnsi="Simplified Arabic"/>
          <w:sz w:val="28"/>
        </w:rPr>
        <w:t xml:space="preserve"> The Unit maintains the cross-laboratory holdings view that makes the eligibility check possible and produces the reporting the Board’s review cadence requires: data-quality trends, expiry-flag summaries, loan-flow records, and continuity-relevant holdings reports. In continuity terms, this reporting is what allows the institution to know its minimum acceptable capacity during a supply disruption — which prioritized activities can be served from internal stock, and for how long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{"citationID":"gn0Ci5fb","properties":{"unsorted":false,"formattedCitation":"(22301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(22301 ISO/IEC, 2019)</w:t>
      </w:r>
      <w:r w:rsidRPr="00DD1558">
        <w:rPr>
          <w:rFonts w:ascii="Simplified Arabic" w:hAnsi="Simplified Arabic"/>
          <w:sz w:val="28"/>
        </w:rPr>
        <w:fldChar w:fldCharType="end"/>
      </w:r>
      <w:r w:rsidRPr="00DD1558">
        <w:rPr>
          <w:rFonts w:ascii="Simplified Arabic" w:hAnsi="Simplified Arabic"/>
          <w:sz w:val="28"/>
        </w:rPr>
        <w:t>, clauses 8.2.2, 8.3). The Unit reports; it does not interpret reports into decisions.</w:t>
      </w:r>
    </w:p>
    <w:p w14:paraId="591FB0A2" w14:textId="77777777" w:rsidR="00DD1558" w:rsidRPr="00DD1558" w:rsidRDefault="00DD1558" w:rsidP="00DD1558">
      <w:pPr>
        <w:numPr>
          <w:ilvl w:val="0"/>
          <w:numId w:val="16"/>
        </w:numPr>
        <w:bidi w:val="0"/>
        <w:spacing w:after="200" w:line="240" w:lineRule="auto"/>
        <w:contextualSpacing/>
        <w:rPr>
          <w:rFonts w:ascii="Simplified Arabic" w:hAnsi="Simplified Arabic"/>
          <w:sz w:val="28"/>
        </w:rPr>
      </w:pPr>
      <w:r w:rsidRPr="00DD1558">
        <w:rPr>
          <w:rFonts w:ascii="Simplified Arabic" w:hAnsi="Simplified Arabic"/>
          <w:b/>
          <w:bCs/>
          <w:sz w:val="28"/>
        </w:rPr>
        <w:t>Platform readiness.</w:t>
      </w:r>
      <w:r w:rsidRPr="00DD1558">
        <w:rPr>
          <w:rFonts w:ascii="Simplified Arabic" w:hAnsi="Simplified Arabic"/>
          <w:sz w:val="28"/>
        </w:rPr>
        <w:t xml:space="preserve"> The Unit maintains the requirements baseline for a future smart-inventory platform (for example, barcode- or RFID-assisted tracking). Structured data, defined workflows, and role clarity constitute the organizational readiness that the digital-transformation literature identifies as the binding constraint on technology value in higher education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{"citationID":"nt3vpefz","properties":{"unsorted":false,"formattedCitation":"(Bellantuono et al., 2021; Bravo-Jaico et al., 2025; Rodr\\uc0\\u237{}guez-Abitia &amp; Bribiesca-Correa, 2021)","plainCitation":"(Bellantuono et al., 2021; Bravo-Jaico et al., 2025;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(Bellantuono et al., 2021; Bravo-Jaico et al., 2025; Rodríguez-Abitia &amp; Bribiesca-Correa, 2021)</w:t>
      </w:r>
      <w:r w:rsidRPr="00DD1558">
        <w:rPr>
          <w:rFonts w:ascii="Simplified Arabic" w:hAnsi="Simplified Arabic"/>
          <w:sz w:val="28"/>
        </w:rPr>
        <w:fldChar w:fldCharType="end"/>
      </w:r>
      <w:r w:rsidRPr="00DD1558">
        <w:rPr>
          <w:rFonts w:ascii="Simplified Arabic" w:hAnsi="Simplified Arabic"/>
          <w:sz w:val="28"/>
        </w:rPr>
        <w:t xml:space="preserve">, and smart-inventory research confirms that automated tracking delivers value only where inventory processes and data semantics are already standardized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{"citationID":"3JxjhR4r","properties":{"unsorted":false,"formattedCitation":"(Carpitella &amp; Izquierdo, 2025)","plainCitation":"(Carpitella &amp; Izquierdo, 2025)","noteIndex":0},"citationItems":[{"id":419,"uris":["http://zotero.org/users/19711126/items/TZRZHV7D"],"itemData":{"id":419,"type":"article-journal","abstract":"This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(Carpitella &amp; Izquierdo, 2025)</w:t>
      </w:r>
      <w:r w:rsidRPr="00DD1558">
        <w:rPr>
          <w:rFonts w:ascii="Simplified Arabic" w:hAnsi="Simplified Arabic"/>
          <w:sz w:val="28"/>
        </w:rPr>
        <w:fldChar w:fldCharType="end"/>
      </w:r>
      <w:r w:rsidRPr="00DD1558">
        <w:rPr>
          <w:rFonts w:ascii="Simplified Arabic" w:hAnsi="Simplified Arabic"/>
          <w:sz w:val="28"/>
        </w:rPr>
        <w:t>. The readiness function thus treats the platform as a Perform-band capability unlocked by readiness gates, not a shortcut around them.</w:t>
      </w:r>
    </w:p>
    <w:p w14:paraId="2FC81AF5" w14:textId="77777777" w:rsidR="00DD1558" w:rsidRPr="00DD1558" w:rsidRDefault="00DD1558" w:rsidP="00DD1558">
      <w:pPr>
        <w:numPr>
          <w:ilvl w:val="0"/>
          <w:numId w:val="16"/>
        </w:numPr>
        <w:bidi w:val="0"/>
        <w:spacing w:after="200" w:line="240" w:lineRule="auto"/>
        <w:contextualSpacing/>
        <w:rPr>
          <w:rFonts w:ascii="Simplified Arabic" w:hAnsi="Simplified Arabic"/>
          <w:sz w:val="28"/>
        </w:rPr>
      </w:pPr>
      <w:r w:rsidRPr="00DD1558">
        <w:rPr>
          <w:rFonts w:ascii="Simplified Arabic" w:hAnsi="Simplified Arabic"/>
          <w:b/>
          <w:bCs/>
          <w:sz w:val="28"/>
        </w:rPr>
        <w:t>Liaison with university IT and procurement.</w:t>
      </w:r>
      <w:r w:rsidRPr="00DD1558">
        <w:rPr>
          <w:rFonts w:ascii="Simplified Arabic" w:hAnsi="Simplified Arabic"/>
          <w:sz w:val="28"/>
        </w:rPr>
        <w:t xml:space="preserve"> The Unit is the framework’s interface to university-level information technology and procurement services: it negotiates hosting, access, and interoperability arrangements and channels procurement-system requirements upward, without itself acquiring procurement authority — keeping college-level participatory inventory compatible with institution-wide systems, a condition the public-sector digitalization literature identifies as decisive for sustainable reform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{"citationID":"k9FbFDAq","properties":{"unsorted":false,"formattedCitation":"(Mohamed Hashim et al., 2022; Shibambu, 2024)","plainCitation":"(Mohamed Hashim et al., 2022; Shibambu, 2024)","noteIndex":0},"citationItems":[{"id":486,"uris":["http://zotero.org/users/19711126/items/Y94NUF62"],"itemData":{"id":486,"type":"article-journal","abstract":"Universities focus on digital transformation strategy to stay competitive in global education, staying competitive is taking on quite a different meaning in the 21st century – it includes the long-term implications of Covid-19 – the interaction of politics and economics, the emergence of China as a superpower, the end of neoliberalism, the emergence of distributed autonomous organisations particularly in the area of research and education.","container-title":"Education and Information Technologies","DOI":"10.1007/s10639-022-10968-y","ISSN":"1573-7608","issue":"7","journalAbbreviation":"Educ Inf Technol","language":"en","page":"8961-8996","source":"Springer Link","title":"A sustainable University: Digital Transformation and Beyond","title-short":"A sustainable University","volume":"27","author":[{"family":"Mohamed Hashim","given":"Mohamed Ashmel"},{"family":"Tlemsani","given":"Issam"},{"family":"Duncan Matthews","given":"Robin"}],"issued":{"date-parts":[["2022",8,1]]}}},{"id":502,"uris":["http://zotero.org/users/19711126/items/L37ZUVUF"],"itemData":{"id":502,"type":"article-journal","abstract":"Africa's Public Service Delivery &amp; Performance Review is a peer reviewed journal, aimed at the promotion and sharing of knowledge, skills and innovations in government and the wider Public-Sector environment in South Africa and abroad. With a multi-disciplinary outlook, the journal will stimulate service delivery and performance challenges being faced in government.","archive_location":"Literature review","container-title":"Africa’s Public Service Delivery &amp; Performance Review","DOI":"10.4102/apsdpr.v12i1.753","ISSN":"2310-2152","issue":"1","language":"en","license":"Copyright (c) 2024 Amos Shibambu","note":"number: 1","page":"7","source":"apsdpr.org","title":"Transformation of digital government services in the public sector in South Africa","volume":"12","author":[{"family":"Shibambu","given":"Amos"}],"issued":{"date-parts":[["2024",5,8]]}}}],"schema":"https://github.com/citation-style-language/schema/raw/master/csl-citation.json"}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(Mohamed Hashim et al., 2022; Shibambu, 2024)</w:t>
      </w:r>
      <w:r w:rsidRPr="00DD1558">
        <w:rPr>
          <w:rFonts w:ascii="Simplified Arabic" w:hAnsi="Simplified Arabic"/>
          <w:sz w:val="28"/>
        </w:rPr>
        <w:fldChar w:fldCharType="end"/>
      </w:r>
      <w:r w:rsidRPr="00DD1558">
        <w:rPr>
          <w:rFonts w:ascii="Simplified Arabic" w:hAnsi="Simplified Arabic"/>
          <w:sz w:val="28"/>
        </w:rPr>
        <w:t>.</w:t>
      </w:r>
    </w:p>
    <w:p w14:paraId="2ABEF64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Boundary.</w:t>
      </w:r>
      <w:r w:rsidRPr="00DD1558">
        <w:rPr>
          <w:rFonts w:ascii="Simplified Arabic" w:eastAsia="Times New Roman" w:hAnsi="Simplified Arabic" w:cs="Simplified Arabic"/>
          <w:color w:val="1A1A1A"/>
          <w:sz w:val="28"/>
          <w:szCs w:val="28"/>
          <w14:ligatures w14:val="none"/>
        </w:rPr>
        <w:t xml:space="preserve"> The Unit operates the registry and reports on it; it does not decide loans or purchases — those rest with custodian departments under Board-ratified policy and with departments subject to the eligibility clause. The Unit may decline to certify a registry check as complete when data-quality rules are unmet — a negative, procedural power — but may not direct a department’s procurement outcome. This bounded mandate keeps informational power from converting into decisional power, preserving </w:t>
      </w:r>
      <w:hyperlink w:anchor="Principle3" w:history="1">
        <w:r w:rsidRPr="00DD1558">
          <w:rPr>
            <w:rFonts w:ascii="Simplified Arabic" w:eastAsia="Times New Roman" w:hAnsi="Simplified Arabic" w:cs="Simplified Arabic"/>
            <w:color w:val="467886" w:themeColor="hyperlink"/>
            <w:sz w:val="28"/>
            <w:szCs w:val="28"/>
            <w:u w:val="single"/>
            <w14:ligatures w14:val="none"/>
          </w:rPr>
          <w:t>Principle 3</w:t>
        </w:r>
      </w:hyperlink>
      <w:r w:rsidRPr="00DD1558">
        <w:rPr>
          <w:rFonts w:ascii="Simplified Arabic" w:eastAsia="Times New Roman" w:hAnsi="Simplified Arabic" w:cs="Simplified Arabic"/>
          <w:color w:val="1A1A1A"/>
          <w:sz w:val="28"/>
          <w:szCs w:val="28"/>
          <w14:ligatures w14:val="none"/>
        </w:rPr>
        <w:t xml:space="preserve"> (proportionate authority;</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{"citationID":"6uihfwhp","properties":{"unsorted":false,"formattedCitation":"(22301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5.3).</w:t>
      </w:r>
    </w:p>
    <w:p w14:paraId="7AF9FFD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24" w:name="section415"/>
      <w:bookmarkStart w:id="125" w:name="_Toc237539755"/>
      <w:bookmarkEnd w:id="124"/>
      <w:r w:rsidRPr="00DD1558">
        <w:rPr>
          <w:rFonts w:ascii="Simplified Arabic" w:eastAsiaTheme="majorEastAsia" w:hAnsi="Simplified Arabic" w:cstheme="majorBidi"/>
          <w:sz w:val="28"/>
          <w:szCs w:val="28"/>
        </w:rPr>
        <w:t>4.1.5 Laboratory Technicians at the Operational Level</w:t>
      </w:r>
      <w:bookmarkEnd w:id="125"/>
    </w:p>
    <w:p w14:paraId="63D9C2D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framework assigns laboratory technicians a role that is deliberately narrow and deliberately strong: narrow, because it is confined to the operational and technical level; strong, because within that confinement technicians are the named executors of the framework’s most consequential barriers. The role is specified exactly here because the architecture’s integrity depends on technicians neither exceeding their authority nor carrying responsibility without the competence and support the standards require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{"citationID":"JsLG1awv","properties":{"unsorted":false,"formattedCitation":"(14001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7.2–7.3;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{"citationID":"2G3G2UaD","properties":{"unsorted":false,"formattedCitation":"(22301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7.2–7.3).</w:t>
      </w:r>
    </w:p>
    <w:p w14:paraId="341467D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Duties.</w:t>
      </w:r>
      <w:r w:rsidRPr="00DD1558">
        <w:rPr>
          <w:rFonts w:ascii="Simplified Arabic" w:eastAsia="Times New Roman" w:hAnsi="Simplified Arabic" w:cs="Simplified Arabic"/>
          <w:color w:val="1A1A1A"/>
          <w:sz w:val="28"/>
          <w:szCs w:val="28"/>
          <w14:ligatures w14:val="none"/>
        </w:rPr>
        <w:t xml:space="preserve"> Technicians execute three defined workflow families.</w:t>
      </w:r>
    </w:p>
    <w:p w14:paraId="0DE012ED" w14:textId="77777777" w:rsidR="00DD1558" w:rsidRPr="00DD1558" w:rsidRDefault="00DD1558" w:rsidP="00DD1558">
      <w:pPr>
        <w:numPr>
          <w:ilvl w:val="0"/>
          <w:numId w:val="9"/>
        </w:numPr>
        <w:bidi w:val="0"/>
        <w:spacing w:after="200" w:line="240" w:lineRule="auto"/>
        <w:rPr>
          <w:rFonts w:ascii="Simplified Arabic" w:hAnsi="Simplified Arabic"/>
          <w:sz w:val="28"/>
        </w:rPr>
      </w:pPr>
      <w:r w:rsidRPr="00DD1558">
        <w:rPr>
          <w:rFonts w:ascii="Simplified Arabic" w:hAnsi="Simplified Arabic"/>
          <w:b/>
          <w:bCs/>
          <w:sz w:val="28"/>
        </w:rPr>
        <w:t>FEFO execution.</w:t>
      </w:r>
      <w:r w:rsidRPr="00DD1558">
        <w:rPr>
          <w:rFonts w:ascii="Simplified Arabic" w:hAnsi="Simplified Arabic"/>
          <w:sz w:val="28"/>
        </w:rPr>
        <w:t xml:space="preserve"> Technicians perform first-expired-first-out shelf discipline: date-checking on receipt and issue, physical rotation so earliest-expiring items issue first, expiry labeling per the Committee’s standard, and flagging of items approaching expiry. This is the operational enactment of mitigation barrier MB1; the technician’s rotation work is where the barrier either holds or fails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{"citationID":"G1jaV5eZ","properties":{"unsorted":false,"formattedCitation":"(Durgan et al., 2023; Wilke et al., 2023)","plainCitation":"(Durgan et al., 2023; Wilke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(Durgan et al., 2023; Wilke et al., 2023)</w:t>
      </w:r>
      <w:r w:rsidRPr="00DD1558">
        <w:rPr>
          <w:rFonts w:ascii="Simplified Arabic" w:hAnsi="Simplified Arabic"/>
          <w:sz w:val="28"/>
        </w:rPr>
        <w:fldChar w:fldCharType="end"/>
      </w:r>
      <w:r w:rsidRPr="00DD1558">
        <w:rPr>
          <w:rFonts w:ascii="Simplified Arabic" w:hAnsi="Simplified Arabic"/>
          <w:sz w:val="28"/>
        </w:rPr>
        <w:t>.</w:t>
      </w:r>
    </w:p>
    <w:p w14:paraId="6842B894" w14:textId="67FC10F4" w:rsidR="00DD1558" w:rsidRPr="00DD1558" w:rsidRDefault="00DD1558" w:rsidP="00DD1558">
      <w:pPr>
        <w:numPr>
          <w:ilvl w:val="0"/>
          <w:numId w:val="9"/>
        </w:numPr>
        <w:bidi w:val="0"/>
        <w:spacing w:after="200" w:line="240" w:lineRule="auto"/>
        <w:rPr>
          <w:rFonts w:ascii="Simplified Arabic" w:hAnsi="Simplified Arabic"/>
          <w:sz w:val="28"/>
        </w:rPr>
      </w:pPr>
      <w:r w:rsidRPr="00DD1558">
        <w:rPr>
          <w:rFonts w:ascii="Simplified Arabic" w:hAnsi="Simplified Arabic"/>
          <w:b/>
          <w:bCs/>
          <w:sz w:val="28"/>
        </w:rPr>
        <w:t>Inter-lab loan workflow execution.</w:t>
      </w:r>
      <w:r w:rsidRPr="00DD1558">
        <w:rPr>
          <w:rFonts w:ascii="Simplified Arabic" w:hAnsi="Simplified Arabic"/>
          <w:sz w:val="28"/>
        </w:rPr>
        <w:t xml:space="preserve"> For loans approved by custodian departments under the Inter-Lab Policy Framework (</w:t>
      </w:r>
      <w:hyperlink w:anchor="Section416" w:history="1">
        <w:r w:rsidR="002C0C03" w:rsidRPr="00BD4D84">
          <w:rPr>
            <w:rStyle w:val="Hyperlink"/>
            <w:rFonts w:ascii="Simplified Arabic" w:hAnsi="Simplified Arabic"/>
            <w:sz w:val="28"/>
          </w:rPr>
          <w:t>Section 4.1.6</w:t>
        </w:r>
      </w:hyperlink>
      <w:r w:rsidRPr="00DD1558">
        <w:rPr>
          <w:rFonts w:ascii="Simplified Arabic" w:hAnsi="Simplified Arabic"/>
          <w:sz w:val="28"/>
        </w:rPr>
        <w:t xml:space="preserve">), technicians prepare items for transfer, complete condition records, log dispatches and returns, </w:t>
      </w:r>
      <w:r w:rsidRPr="00DD1558">
        <w:rPr>
          <w:rFonts w:ascii="Simplified Arabic" w:hAnsi="Simplified Arabic"/>
          <w:sz w:val="28"/>
        </w:rPr>
        <w:lastRenderedPageBreak/>
        <w:t>and receive items back with return-condition checks. They execute the custody-transfer protocol (EB3) at the bench level; they do not approve, refuse, or negotiate loans.</w:t>
      </w:r>
    </w:p>
    <w:p w14:paraId="62B00597" w14:textId="77777777" w:rsidR="00DD1558" w:rsidRPr="00DD1558" w:rsidRDefault="00DD1558" w:rsidP="00DD1558">
      <w:pPr>
        <w:numPr>
          <w:ilvl w:val="0"/>
          <w:numId w:val="9"/>
        </w:numPr>
        <w:bidi w:val="0"/>
        <w:spacing w:after="200" w:line="240" w:lineRule="auto"/>
        <w:rPr>
          <w:rFonts w:ascii="Simplified Arabic" w:hAnsi="Simplified Arabic"/>
          <w:sz w:val="28"/>
        </w:rPr>
      </w:pPr>
      <w:r w:rsidRPr="00DD1558">
        <w:rPr>
          <w:rFonts w:ascii="Simplified Arabic" w:hAnsi="Simplified Arabic"/>
          <w:b/>
          <w:bCs/>
          <w:sz w:val="28"/>
        </w:rPr>
        <w:t>Catalog entries and registry data upkeep.</w:t>
      </w:r>
      <w:r w:rsidRPr="00DD1558">
        <w:rPr>
          <w:rFonts w:ascii="Simplified Arabic" w:hAnsi="Simplified Arabic"/>
          <w:sz w:val="28"/>
        </w:rPr>
        <w:t xml:space="preserve"> Technicians make accurate, timely registry entries — receipts, issues, transfers, disposals — conforming to the Committee’s catalog standard and the Unit’s data-entry protocols. Because incomplete registry data degrades multiple barriers at once (EF2), this data discipline is itself barrier work, not clerical residue.</w:t>
      </w:r>
    </w:p>
    <w:p w14:paraId="15D36D6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Explicit non-authority clause.</w:t>
      </w:r>
      <w:r w:rsidRPr="00DD1558">
        <w:rPr>
          <w:rFonts w:ascii="Simplified Arabic" w:eastAsia="Times New Roman" w:hAnsi="Simplified Arabic" w:cs="Simplified Arabic"/>
          <w:color w:val="1A1A1A"/>
          <w:sz w:val="28"/>
          <w:szCs w:val="28"/>
          <w14:ligatures w14:val="none"/>
        </w:rPr>
        <w:t xml:space="preserve"> The technician role carries </w:t>
      </w:r>
      <w:r w:rsidRPr="00DD1558">
        <w:rPr>
          <w:rFonts w:ascii="Simplified Arabic" w:eastAsia="Times New Roman" w:hAnsi="Simplified Arabic" w:cs="Simplified Arabic"/>
          <w:b/>
          <w:bCs/>
          <w:color w:val="1A1A1A"/>
          <w:sz w:val="28"/>
          <w:szCs w:val="28"/>
          <w14:ligatures w14:val="none"/>
        </w:rPr>
        <w:t>no administrative decision-making authority, no procurement approval, no financial commitments, no policy-setting role, and no unilateral loan approval</w:t>
      </w:r>
      <w:r w:rsidRPr="00DD1558">
        <w:rPr>
          <w:rFonts w:ascii="Simplified Arabic" w:eastAsia="Times New Roman" w:hAnsi="Simplified Arabic" w:cs="Simplified Arabic"/>
          <w:color w:val="1A1A1A"/>
          <w:sz w:val="28"/>
          <w:szCs w:val="28"/>
          <w14:ligatures w14:val="none"/>
        </w:rPr>
        <w:t xml:space="preserve">. Technicians execute within approved workflows and </w:t>
      </w:r>
      <w:r w:rsidRPr="00DD1558">
        <w:rPr>
          <w:rFonts w:ascii="Simplified Arabic" w:eastAsia="Times New Roman" w:hAnsi="Simplified Arabic" w:cs="Simplified Arabic"/>
          <w:b/>
          <w:bCs/>
          <w:color w:val="1A1A1A"/>
          <w:sz w:val="28"/>
          <w:szCs w:val="28"/>
          <w14:ligatures w14:val="none"/>
        </w:rPr>
        <w:t>escalate exceptions</w:t>
      </w:r>
      <w:r w:rsidRPr="00DD1558">
        <w:rPr>
          <w:rFonts w:ascii="Simplified Arabic" w:eastAsia="Times New Roman" w:hAnsi="Simplified Arabic" w:cs="Simplified Arabic"/>
          <w:color w:val="1A1A1A"/>
          <w:sz w:val="28"/>
          <w:szCs w:val="28"/>
          <w14:ligatures w14:val="none"/>
        </w:rPr>
        <w:t xml:space="preserve"> — damaged items, overdue loans, imminent expiry clusters, data discrepancies — to the Digital Supply Chain Unit and their custodian supervisor per protocol. Escalation is a duty, not a discretion: the framework specifies the triggers, channels, and expected content of escalations so that anomalies reach decision-holders quickly and in documented form, mirroring the warning-and-communication logic of ISO 22301:2019 clause 8.4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{"citationID":"hmO52gM4","properties":{"unsorted":false,"formattedCitation":"(22301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Technicians may recommend — bench-level observation is the framework’s richest early-warning source — but never decide beyond their technical capacity.</w:t>
      </w:r>
    </w:p>
    <w:p w14:paraId="6B19432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Competence and awareness.</w:t>
      </w:r>
      <w:r w:rsidRPr="00DD1558">
        <w:rPr>
          <w:rFonts w:ascii="Simplified Arabic" w:eastAsia="Times New Roman" w:hAnsi="Simplified Arabic" w:cs="Simplified Arabic"/>
          <w:color w:val="1A1A1A"/>
          <w:sz w:val="28"/>
          <w:szCs w:val="28"/>
          <w14:ligatures w14:val="none"/>
        </w:rPr>
        <w:t xml:space="preserve"> Both anchor standards require that persons performing work under the management system be competent on the basis of education, training, or experience, and be aware of the policy, their contribution, and the consequences of nonconformity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{"citationID":"IFTYcMF9","properties":{"unsorted":false,"formattedCitation":"(14001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7.2–7.3;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{"citationID":"kBRhYYzo","properties":{"unsorted":false,"formattedCitation":"(22301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7.2–7.3). The framework accordingly specifies role-based competence requirements — FEFO discipline, custody-transfer documentation, registry data standards, and chemical-</w:t>
      </w:r>
      <w:r w:rsidRPr="00DD1558">
        <w:rPr>
          <w:rFonts w:ascii="Simplified Arabic" w:eastAsia="Times New Roman" w:hAnsi="Simplified Arabic" w:cs="Simplified Arabic"/>
          <w:color w:val="1A1A1A"/>
          <w:sz w:val="28"/>
          <w:szCs w:val="28"/>
          <w14:ligatures w14:val="none"/>
        </w:rPr>
        <w:lastRenderedPageBreak/>
        <w:t>handling safety — maintained through onboarding and periodic refreshers administered by custodian departments with Unit support materials.</w:t>
      </w:r>
    </w:p>
    <w:p w14:paraId="4331886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The bounded role as governance strength.</w:t>
      </w:r>
      <w:r w:rsidRPr="00DD1558">
        <w:rPr>
          <w:rFonts w:ascii="Simplified Arabic" w:eastAsia="Times New Roman" w:hAnsi="Simplified Arabic" w:cs="Simplified Arabic"/>
          <w:color w:val="1A1A1A"/>
          <w:sz w:val="28"/>
          <w:szCs w:val="28"/>
          <w14:ligatures w14:val="none"/>
        </w:rPr>
        <w:t xml:space="preserve"> The technician’s boundary should not be read as a limitation; the analysis of this thesis suggests the opposite. Bounded roles make barrier ownership auditable: when FEFO fails, the failure is traceable to a defined executor, standard, and escalation path rather than dissolving into the diffuse responsibility of the Inform/Conform band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{"citationID":"GYG3YxxF","properties":{"unsorted":false,"formattedCitation":"(Hillson,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Separating execution from decision also protects technicians from authority inflation — the documented failure mode of participatory arrangements that delegate responsibility without rights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{"citationID":"UXTG9h6a","properties":{"unsorted":false,"formattedCitation":"(Ahn &amp; Baldwin, 2024; Lopes &amp; Farias, 2022)","plainCitation":"(Ahn &amp; Baldwin, 2024;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while the escalation duty gives the operational level a formal voice in governance without decision rights, the architecture’s concrete answer to the requirement that participation be real but bounded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{"citationID":"jSROtRpi","properties":{"unsorted":false,"formattedCitation":"(Gestel &amp; Grotenbreg, 2021)","plainCitation":"(Gestel &amp; Grotenbreg, 2021)","noteIndex":0},"citationItems":[{"id":517,"uris":["http://zotero.org/users/19711126/items/7LQEB697"],"itemData":{"id":517,"type":"article-journal","abstract":"Collaborative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(Gestel &amp; Grotenbreg,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E4BC165"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26" w:name="Section416"/>
      <w:bookmarkStart w:id="127" w:name="_Toc237539756"/>
      <w:bookmarkEnd w:id="126"/>
      <w:r w:rsidRPr="00DD1558">
        <w:rPr>
          <w:rFonts w:ascii="Simplified Arabic" w:eastAsiaTheme="majorEastAsia" w:hAnsi="Simplified Arabic" w:cstheme="majorBidi"/>
          <w:sz w:val="28"/>
          <w:szCs w:val="28"/>
        </w:rPr>
        <w:t>4.1.6 The Inter-Lab Policy Framework</w:t>
      </w:r>
      <w:bookmarkEnd w:id="127"/>
    </w:p>
    <w:p w14:paraId="1B472CF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w:t>
      </w:r>
      <w:r w:rsidRPr="00DD1558">
        <w:rPr>
          <w:rFonts w:ascii="Simplified Arabic" w:eastAsia="Times New Roman" w:hAnsi="Simplified Arabic" w:cs="Simplified Arabic"/>
          <w:b/>
          <w:bCs/>
          <w:color w:val="1A1A1A"/>
          <w:sz w:val="28"/>
          <w:szCs w:val="28"/>
          <w14:ligatures w14:val="none"/>
        </w:rPr>
        <w:t>Inter-Lab Policy Framework</w:t>
      </w:r>
      <w:r w:rsidRPr="00DD1558">
        <w:rPr>
          <w:rFonts w:ascii="Simplified Arabic" w:eastAsia="Times New Roman" w:hAnsi="Simplified Arabic" w:cs="Simplified Arabic"/>
          <w:color w:val="1A1A1A"/>
          <w:sz w:val="28"/>
          <w:szCs w:val="28"/>
          <w14:ligatures w14:val="none"/>
        </w:rPr>
        <w:t xml:space="preserve"> is the operative instrument of participatory inventory: the Board-ratified policy governing temporary inter-laboratory asset loans and FEFO-based chemical redistribution. It is the organizational form of mitigation barrier MB2 and escalation-factor barrier EB3, and the element that most directly engages the sharing-governance caution that pooled assets fail through ambiguous responsibility: every loan must therefore carry an explicit, documented allocation of custody at every state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{"citationID":"D33Z2wFM","properties":{"unsorted":false,"formattedCitation":"(Strom et al., 2020; X. Wang &amp; Qu, 2025)","plainCitation":"(Strom et al., 2020; X. Wang &amp; Qu,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policy is specified in five components.</w:t>
      </w:r>
    </w:p>
    <w:p w14:paraId="1493C696" w14:textId="77777777" w:rsidR="00DD1558" w:rsidRPr="00DD1558" w:rsidRDefault="00DD1558" w:rsidP="00DD1558">
      <w:pPr>
        <w:numPr>
          <w:ilvl w:val="0"/>
          <w:numId w:val="14"/>
        </w:numPr>
        <w:bidi w:val="0"/>
        <w:spacing w:line="240" w:lineRule="auto"/>
        <w:contextualSpacing/>
        <w:jc w:val="both"/>
        <w:rPr>
          <w:rFonts w:ascii="Simplified Arabic" w:hAnsi="Simplified Arabic" w:cs="Simplified Arabic"/>
          <w:b/>
          <w:bCs/>
          <w:sz w:val="28"/>
          <w:szCs w:val="28"/>
        </w:rPr>
      </w:pPr>
      <w:r w:rsidRPr="00DD1558">
        <w:rPr>
          <w:rFonts w:ascii="Simplified Arabic" w:hAnsi="Simplified Arabic" w:cs="Simplified Arabic"/>
          <w:b/>
          <w:bCs/>
          <w:sz w:val="28"/>
          <w:szCs w:val="28"/>
        </w:rPr>
        <w:t>Eligibility and scope</w:t>
      </w:r>
    </w:p>
    <w:p w14:paraId="04362257" w14:textId="17D41F2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policy distinguishes </w:t>
      </w:r>
      <w:r w:rsidRPr="00DD1558">
        <w:rPr>
          <w:rFonts w:ascii="Simplified Arabic" w:eastAsia="Times New Roman" w:hAnsi="Simplified Arabic" w:cs="Simplified Arabic"/>
          <w:i/>
          <w:iCs/>
          <w:color w:val="1A1A1A"/>
          <w:sz w:val="28"/>
          <w:szCs w:val="28"/>
          <w14:ligatures w14:val="none"/>
        </w:rPr>
        <w:t>loanable</w:t>
      </w:r>
      <w:r w:rsidRPr="00DD1558">
        <w:rPr>
          <w:rFonts w:ascii="Simplified Arabic" w:eastAsia="Times New Roman" w:hAnsi="Simplified Arabic" w:cs="Simplified Arabic"/>
          <w:color w:val="1A1A1A"/>
          <w:sz w:val="28"/>
          <w:szCs w:val="28"/>
          <w14:ligatures w14:val="none"/>
        </w:rPr>
        <w:t xml:space="preserve"> from </w:t>
      </w:r>
      <w:r w:rsidRPr="00DD1558">
        <w:rPr>
          <w:rFonts w:ascii="Simplified Arabic" w:eastAsia="Times New Roman" w:hAnsi="Simplified Arabic" w:cs="Simplified Arabic"/>
          <w:i/>
          <w:iCs/>
          <w:color w:val="1A1A1A"/>
          <w:sz w:val="28"/>
          <w:szCs w:val="28"/>
          <w14:ligatures w14:val="none"/>
        </w:rPr>
        <w:t>excluded</w:t>
      </w:r>
      <w:r w:rsidRPr="00DD1558">
        <w:rPr>
          <w:rFonts w:ascii="Simplified Arabic" w:eastAsia="Times New Roman" w:hAnsi="Simplified Arabic" w:cs="Simplified Arabic"/>
          <w:color w:val="1A1A1A"/>
          <w:sz w:val="28"/>
          <w:szCs w:val="28"/>
          <w14:ligatures w14:val="none"/>
        </w:rPr>
        <w:t xml:space="preserve"> item classes. Loanable classes comprise durable instruments and equipment, glassware, and consumables whose transfer does not compromise their function, together with chemical stocks eligible for redistribution under the FEFO rules. Excluded are: controlled and regulated substances, whose movement is </w:t>
      </w:r>
      <w:r w:rsidRPr="00DD1558">
        <w:rPr>
          <w:rFonts w:ascii="Simplified Arabic" w:eastAsia="Times New Roman" w:hAnsi="Simplified Arabic" w:cs="Simplified Arabic"/>
          <w:color w:val="1A1A1A"/>
          <w:sz w:val="28"/>
          <w:szCs w:val="28"/>
          <w14:ligatures w14:val="none"/>
        </w:rPr>
        <w:lastRenderedPageBreak/>
        <w:t>governed by external regulation and institutional hazardous-substance rules rather than by this policy; calibrated-critical instruments, whose relocation would invalidate calibration, unless the Committee has approved a specific transfer protocol for the instrument class; and items under active booking by the custodian’s own scheduled teaching, against which the custodian’s recall right applies (</w:t>
      </w:r>
      <w:hyperlink w:anchor="Section416" w:history="1">
        <w:r w:rsidR="00525C8C" w:rsidRPr="00525C8C">
          <w:rPr>
            <w:rStyle w:val="Hyperlink"/>
            <w:rFonts w:ascii="Simplified Arabic" w:eastAsia="Times New Roman" w:hAnsi="Simplified Arabic" w:cs="Simplified Arabic"/>
            <w:sz w:val="28"/>
            <w:szCs w:val="28"/>
            <w14:ligatures w14:val="none"/>
          </w:rPr>
          <w:t>Section 4.1.6</w:t>
        </w:r>
      </w:hyperlink>
      <w:r w:rsidR="00525C8C" w:rsidRPr="00525C8C">
        <w:rPr>
          <w:rFonts w:ascii="Simplified Arabic" w:eastAsia="Times New Roman" w:hAnsi="Simplified Arabic" w:cs="Simplified Arabic"/>
          <w:sz w:val="28"/>
          <w:szCs w:val="28"/>
          <w14:ligatures w14:val="none"/>
        </w:rPr>
        <w:t xml:space="preserve"> (Inter-Lab Policy Framework)</w:t>
      </w:r>
      <w:r w:rsidRPr="00DD1558">
        <w:rPr>
          <w:rFonts w:ascii="Simplified Arabic" w:eastAsia="Times New Roman" w:hAnsi="Simplified Arabic" w:cs="Simplified Arabic"/>
          <w:color w:val="1A1A1A"/>
          <w:sz w:val="28"/>
          <w:szCs w:val="28"/>
          <w14:ligatures w14:val="none"/>
        </w:rPr>
        <w:t>). The classification is drafted by the Committee, ratified by the Board, and encoded in the registry by the Unit, so that eligibility is checkable at the moment of request rather than negotiable after 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{"citationID":"AklcHFqg","properties":{"unsorted":false,"formattedCitation":"(14001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{"citationID":"ZXNinzbA","properties":{"unsorted":false,"formattedCitation":"(Johnson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BD01FC6" w14:textId="77777777" w:rsidR="00DD1558" w:rsidRPr="00DD1558" w:rsidRDefault="00DD1558" w:rsidP="00DD1558">
      <w:pPr>
        <w:numPr>
          <w:ilvl w:val="0"/>
          <w:numId w:val="14"/>
        </w:numPr>
        <w:bidi w:val="0"/>
        <w:spacing w:before="180" w:line="240" w:lineRule="auto"/>
        <w:jc w:val="both"/>
        <w:rPr>
          <w:rFonts w:ascii="Simplified Arabic" w:eastAsia="Times New Roman" w:hAnsi="Simplified Arabic" w:cs="Simplified Arabic"/>
          <w:b/>
          <w:bCs/>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Loan request–approval workflow</w:t>
      </w:r>
    </w:p>
    <w:p w14:paraId="6A5FC34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workflow is specified as numbered steps, each producing documented information at the moment of execution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{"citationID":"HwVgSH46","properties":{"unsorted":false,"formattedCitation":"(14001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7.5):</w:t>
      </w:r>
    </w:p>
    <w:p w14:paraId="76D428AD" w14:textId="77777777"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Registry availability check.</w:t>
      </w:r>
      <w:r w:rsidRPr="00DD1558">
        <w:rPr>
          <w:rFonts w:ascii="Simplified Arabic" w:eastAsia="Cambria" w:hAnsi="Simplified Arabic" w:cs="Simplified Arabic"/>
          <w:color w:val="212121"/>
          <w:sz w:val="28"/>
          <w:szCs w:val="28"/>
          <w14:ligatures w14:val="none"/>
        </w:rPr>
        <w:t xml:space="preserve"> The borrowing laboratory’s designated staff query the shared registry for the required item class; the registry response — holdings, location, custody — is logged automatically. This is the eligibility clause (PB2) operating in its loan-direction mode.</w:t>
      </w:r>
    </w:p>
    <w:p w14:paraId="44296E88" w14:textId="77777777"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Borrower request.</w:t>
      </w:r>
      <w:r w:rsidRPr="00DD1558">
        <w:rPr>
          <w:rFonts w:ascii="Simplified Arabic" w:eastAsia="Cambria" w:hAnsi="Simplified Arabic" w:cs="Simplified Arabic"/>
          <w:color w:val="212121"/>
          <w:sz w:val="28"/>
          <w:szCs w:val="28"/>
          <w14:ligatures w14:val="none"/>
        </w:rPr>
        <w:t xml:space="preserve"> The borrower submits a request stating item, quantity, purpose (course or protocol), requested duration, and collection arrangements; requests are routed to the custodian department, with the Unit copied for logging.</w:t>
      </w:r>
    </w:p>
    <w:p w14:paraId="048230A6" w14:textId="77777777"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Custodian approval.</w:t>
      </w:r>
      <w:r w:rsidRPr="00DD1558">
        <w:rPr>
          <w:rFonts w:ascii="Simplified Arabic" w:eastAsia="Cambria" w:hAnsi="Simplified Arabic" w:cs="Simplified Arabic"/>
          <w:color w:val="212121"/>
          <w:sz w:val="28"/>
          <w:szCs w:val="28"/>
          <w14:ligatures w14:val="none"/>
        </w:rPr>
        <w:t xml:space="preserve"> The custodian department approves or declines under Board-ratified rules, weighing its own scheduled demand, item-class eligibility, and outstanding loan load. Approval authority rests with the custodian supervisor; technicians do not approve. Declined requests state the ratified rule applied.</w:t>
      </w:r>
    </w:p>
    <w:p w14:paraId="11911099" w14:textId="30D9B37A"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Loan terms.</w:t>
      </w:r>
      <w:r w:rsidRPr="00DD1558">
        <w:rPr>
          <w:rFonts w:ascii="Simplified Arabic" w:eastAsia="Cambria" w:hAnsi="Simplified Arabic" w:cs="Simplified Arabic"/>
          <w:color w:val="212121"/>
          <w:sz w:val="28"/>
          <w:szCs w:val="28"/>
          <w14:ligatures w14:val="none"/>
        </w:rPr>
        <w:t xml:space="preserve"> An approved loan is issued with duration, a condition baseline (from </w:t>
      </w:r>
      <w:hyperlink w:anchor="Section416" w:history="1">
        <w:r w:rsidR="00525C8C" w:rsidRPr="00525C8C">
          <w:rPr>
            <w:rStyle w:val="Hyperlink"/>
            <w:rFonts w:ascii="Simplified Arabic" w:eastAsia="Cambria" w:hAnsi="Simplified Arabic" w:cs="Simplified Arabic"/>
            <w:sz w:val="28"/>
            <w:szCs w:val="28"/>
            <w14:ligatures w14:val="none"/>
          </w:rPr>
          <w:t>Section 4.1.6</w:t>
        </w:r>
      </w:hyperlink>
      <w:r w:rsidR="00525C8C" w:rsidRPr="00525C8C">
        <w:rPr>
          <w:rFonts w:ascii="Simplified Arabic" w:eastAsia="Cambria" w:hAnsi="Simplified Arabic" w:cs="Simplified Arabic"/>
          <w:sz w:val="28"/>
          <w:szCs w:val="28"/>
          <w14:ligatures w14:val="none"/>
        </w:rPr>
        <w:t xml:space="preserve"> (Scope &amp; Eligibility)</w:t>
      </w:r>
      <w:r w:rsidRPr="00DD1558">
        <w:rPr>
          <w:rFonts w:ascii="Simplified Arabic" w:eastAsia="Cambria" w:hAnsi="Simplified Arabic" w:cs="Simplified Arabic"/>
          <w:color w:val="212121"/>
          <w:sz w:val="28"/>
          <w:szCs w:val="28"/>
          <w14:ligatures w14:val="none"/>
        </w:rPr>
        <w:t>), and return criteria, logged in the registry by the executing technician.</w:t>
      </w:r>
    </w:p>
    <w:p w14:paraId="05366B38" w14:textId="77777777"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lastRenderedPageBreak/>
        <w:t>Execution and logging.</w:t>
      </w:r>
      <w:r w:rsidRPr="00DD1558">
        <w:rPr>
          <w:rFonts w:ascii="Simplified Arabic" w:eastAsia="Cambria" w:hAnsi="Simplified Arabic" w:cs="Simplified Arabic"/>
          <w:color w:val="212121"/>
          <w:sz w:val="28"/>
          <w:szCs w:val="28"/>
          <w14:ligatures w14:val="none"/>
        </w:rPr>
        <w:t xml:space="preserve"> Technicians prepare, hand over, and log the loan per the custody-transfer protocol; the registry loan state moves to </w:t>
      </w:r>
      <w:r w:rsidRPr="00DD1558">
        <w:rPr>
          <w:rFonts w:ascii="Simplified Arabic" w:eastAsia="Cambria" w:hAnsi="Simplified Arabic" w:cs="Simplified Arabic"/>
          <w:i/>
          <w:iCs/>
          <w:color w:val="212121"/>
          <w:sz w:val="28"/>
          <w:szCs w:val="28"/>
          <w14:ligatures w14:val="none"/>
        </w:rPr>
        <w:t>on-loan</w:t>
      </w:r>
      <w:r w:rsidRPr="00DD1558">
        <w:rPr>
          <w:rFonts w:ascii="Simplified Arabic" w:eastAsia="Cambria" w:hAnsi="Simplified Arabic" w:cs="Simplified Arabic"/>
          <w:color w:val="212121"/>
          <w:sz w:val="28"/>
          <w:szCs w:val="28"/>
          <w14:ligatures w14:val="none"/>
        </w:rPr>
        <w:t xml:space="preserve"> with custodian and borrower recorded.</w:t>
      </w:r>
    </w:p>
    <w:p w14:paraId="13BBE836" w14:textId="77777777" w:rsidR="00DD1558" w:rsidRPr="00DD1558" w:rsidRDefault="00DD1558" w:rsidP="00DD1558">
      <w:pPr>
        <w:numPr>
          <w:ilvl w:val="0"/>
          <w:numId w:val="10"/>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Return and closure.</w:t>
      </w:r>
      <w:r w:rsidRPr="00DD1558">
        <w:rPr>
          <w:rFonts w:ascii="Simplified Arabic" w:eastAsia="Cambria" w:hAnsi="Simplified Arabic" w:cs="Simplified Arabic"/>
          <w:color w:val="212121"/>
          <w:sz w:val="28"/>
          <w:szCs w:val="28"/>
          <w14:ligatures w14:val="none"/>
        </w:rPr>
        <w:t xml:space="preserve"> On return, technicians perform the return-condition check and log closure or escalate damage; the loan state closes.</w:t>
      </w:r>
    </w:p>
    <w:p w14:paraId="2AC8212E" w14:textId="77777777" w:rsidR="00DD1558" w:rsidRPr="00DD1558" w:rsidRDefault="00DD1558" w:rsidP="00DD1558">
      <w:pPr>
        <w:bidi w:val="0"/>
        <w:spacing w:before="36" w:after="36" w:line="240" w:lineRule="auto"/>
        <w:ind w:left="240"/>
        <w:jc w:val="both"/>
        <w:rPr>
          <w:rFonts w:ascii="Simplified Arabic" w:eastAsia="Cambria" w:hAnsi="Simplified Arabic" w:cs="Simplified Arabic"/>
          <w:color w:val="212121"/>
          <w:sz w:val="28"/>
          <w:szCs w:val="28"/>
          <w14:ligatures w14:val="none"/>
        </w:rPr>
      </w:pPr>
    </w:p>
    <w:p w14:paraId="5AADB913" w14:textId="77777777" w:rsidR="00DD1558" w:rsidRPr="00DD1558" w:rsidRDefault="00DD1558" w:rsidP="00DD1558">
      <w:pPr>
        <w:numPr>
          <w:ilvl w:val="0"/>
          <w:numId w:val="14"/>
        </w:numPr>
        <w:bidi w:val="0"/>
        <w:spacing w:before="36" w:after="36" w:line="240" w:lineRule="auto"/>
        <w:jc w:val="both"/>
        <w:rPr>
          <w:rFonts w:ascii="Simplified Arabic" w:eastAsia="Cambria" w:hAnsi="Simplified Arabic" w:cs="Simplified Arabic"/>
          <w:b/>
          <w:bCs/>
          <w:color w:val="212121"/>
          <w:sz w:val="28"/>
          <w:szCs w:val="28"/>
          <w14:ligatures w14:val="none"/>
        </w:rPr>
      </w:pPr>
      <w:r w:rsidRPr="00DD1558">
        <w:rPr>
          <w:rFonts w:ascii="Simplified Arabic" w:eastAsia="Cambria" w:hAnsi="Simplified Arabic" w:cs="Simplified Arabic"/>
          <w:b/>
          <w:bCs/>
          <w:color w:val="212121"/>
          <w:sz w:val="28"/>
          <w:szCs w:val="28"/>
          <w14:ligatures w14:val="none"/>
        </w:rPr>
        <w:t>Custody transfer protocol</w:t>
      </w:r>
    </w:p>
    <w:p w14:paraId="55A20629" w14:textId="637D410C"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Custody transfer is the policy’s evidentiary core, designed against escalation factor EF3 (custody ambiguity). Every handover is documented through three artifacts: a </w:t>
      </w:r>
      <w:r w:rsidRPr="00DD1558">
        <w:rPr>
          <w:rFonts w:ascii="Simplified Arabic" w:eastAsia="Times New Roman" w:hAnsi="Simplified Arabic" w:cs="Simplified Arabic"/>
          <w:i/>
          <w:iCs/>
          <w:color w:val="1A1A1A"/>
          <w:sz w:val="28"/>
          <w:szCs w:val="28"/>
          <w14:ligatures w14:val="none"/>
        </w:rPr>
        <w:t>condition record</w:t>
      </w:r>
      <w:r w:rsidRPr="00DD1558">
        <w:rPr>
          <w:rFonts w:ascii="Simplified Arabic" w:eastAsia="Times New Roman" w:hAnsi="Simplified Arabic" w:cs="Simplified Arabic"/>
          <w:color w:val="1A1A1A"/>
          <w:sz w:val="28"/>
          <w:szCs w:val="28"/>
          <w14:ligatures w14:val="none"/>
        </w:rPr>
        <w:t xml:space="preserve"> (the item’s state at transfer, constituting the condition baseline), a </w:t>
      </w:r>
      <w:r w:rsidRPr="00DD1558">
        <w:rPr>
          <w:rFonts w:ascii="Simplified Arabic" w:eastAsia="Times New Roman" w:hAnsi="Simplified Arabic" w:cs="Simplified Arabic"/>
          <w:i/>
          <w:iCs/>
          <w:color w:val="1A1A1A"/>
          <w:sz w:val="28"/>
          <w:szCs w:val="28"/>
          <w14:ligatures w14:val="none"/>
        </w:rPr>
        <w:t>custody acknowledgment</w:t>
      </w:r>
      <w:r w:rsidRPr="00DD1558">
        <w:rPr>
          <w:rFonts w:ascii="Simplified Arabic" w:eastAsia="Times New Roman" w:hAnsi="Simplified Arabic" w:cs="Simplified Arabic"/>
          <w:color w:val="1A1A1A"/>
          <w:sz w:val="28"/>
          <w:szCs w:val="28"/>
          <w14:ligatures w14:val="none"/>
        </w:rPr>
        <w:t xml:space="preserve"> (the receiving party’s signed or system-logged acceptance), and a </w:t>
      </w:r>
      <w:r w:rsidRPr="00DD1558">
        <w:rPr>
          <w:rFonts w:ascii="Simplified Arabic" w:eastAsia="Times New Roman" w:hAnsi="Simplified Arabic" w:cs="Simplified Arabic"/>
          <w:i/>
          <w:iCs/>
          <w:color w:val="1A1A1A"/>
          <w:sz w:val="28"/>
          <w:szCs w:val="28"/>
          <w14:ligatures w14:val="none"/>
        </w:rPr>
        <w:t>chain-of-custody log</w:t>
      </w:r>
      <w:r w:rsidRPr="00DD1558">
        <w:rPr>
          <w:rFonts w:ascii="Simplified Arabic" w:eastAsia="Times New Roman" w:hAnsi="Simplified Arabic" w:cs="Simplified Arabic"/>
          <w:color w:val="1A1A1A"/>
          <w:sz w:val="28"/>
          <w:szCs w:val="28"/>
          <w14:ligatures w14:val="none"/>
        </w:rPr>
        <w:t xml:space="preserve"> (the time-ordered record of custody states from dispatch to return). The governing principle is that </w:t>
      </w:r>
      <w:r w:rsidRPr="00DD1558">
        <w:rPr>
          <w:rFonts w:ascii="Simplified Arabic" w:eastAsia="Times New Roman" w:hAnsi="Simplified Arabic" w:cs="Simplified Arabic"/>
          <w:b/>
          <w:bCs/>
          <w:color w:val="1A1A1A"/>
          <w:sz w:val="28"/>
          <w:szCs w:val="28"/>
          <w14:ligatures w14:val="none"/>
        </w:rPr>
        <w:t>custody is responsibility for care, not transfer of ownership</w:t>
      </w:r>
      <w:r w:rsidRPr="00DD1558">
        <w:rPr>
          <w:rFonts w:ascii="Simplified Arabic" w:eastAsia="Times New Roman" w:hAnsi="Simplified Arabic" w:cs="Simplified Arabic"/>
          <w:color w:val="1A1A1A"/>
          <w:sz w:val="28"/>
          <w:szCs w:val="28"/>
          <w14:ligatures w14:val="none"/>
        </w:rPr>
        <w:t>: the lending department retains ownership and stewardship, while the borrower holds custodial responsibility for the loan’s duration (</w:t>
      </w:r>
      <w:hyperlink w:anchor="section411" w:history="1">
        <w:r w:rsidR="002C0C03" w:rsidRPr="00BD4D84">
          <w:rPr>
            <w:rStyle w:val="Hyperlink"/>
            <w:rFonts w:ascii="Simplified Arabic" w:eastAsia="Times New Roman" w:hAnsi="Simplified Arabic" w:cs="Simplified Arabic"/>
            <w:sz w:val="28"/>
            <w:szCs w:val="36"/>
            <w14:ligatures w14:val="none"/>
          </w:rPr>
          <w:t>Section 4.1.1</w:t>
        </w:r>
      </w:hyperlink>
      <w:r w:rsidRPr="00DD1558">
        <w:rPr>
          <w:rFonts w:ascii="Simplified Arabic" w:eastAsia="Times New Roman" w:hAnsi="Simplified Arabic" w:cs="Simplified Arabic"/>
          <w:color w:val="1A1A1A"/>
          <w:sz w:val="28"/>
          <w:szCs w:val="28"/>
          <w14:ligatures w14:val="none"/>
        </w:rPr>
        <w:t xml:space="preserve">, </w:t>
      </w:r>
      <w:hyperlink w:anchor="Principle2" w:history="1">
        <w:r w:rsidRPr="00DD1558">
          <w:rPr>
            <w:rFonts w:ascii="Simplified Arabic" w:eastAsia="Times New Roman" w:hAnsi="Simplified Arabic" w:cs="Simplified Arabic"/>
            <w:color w:val="467886" w:themeColor="hyperlink"/>
            <w:sz w:val="28"/>
            <w:szCs w:val="28"/>
            <w:u w:val="single"/>
            <w14:ligatures w14:val="none"/>
          </w:rPr>
          <w:t>Principle 2</w:t>
        </w:r>
      </w:hyperlink>
      <w:r w:rsidRPr="00DD1558">
        <w:rPr>
          <w:rFonts w:ascii="Simplified Arabic" w:eastAsia="Times New Roman" w:hAnsi="Simplified Arabic" w:cs="Simplified Arabic"/>
          <w:color w:val="1A1A1A"/>
          <w:sz w:val="28"/>
          <w:szCs w:val="28"/>
          <w14:ligatures w14:val="none"/>
        </w:rPr>
        <w:t>;</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{"citationID":"g9rfulUD","properties":{"unsorted":false,"formattedCitation":"(Zhu &amp; Liu, 2021)","plainCitation":"(Zhu &amp; Liu, 2021)","noteIndex":0},"citationItems":[{"id":534,"uris":["http://zotero.org/users/19711126/items/HFQSD64T"],"itemData":{"id":534,"type":"article-journal","abstract":"With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For chemical redistribution, the custody protocol operates jointly with FEFO: near-expiry stock moves first, so that a transfer is, where possible, a consumption transfer — the receiving laboratory consumes stock that would otherwise expire in the custodian’s store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{"citationID":"1q4Z4aC7","properties":{"unsorted":false,"formattedCitation":"(Durgan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Consumption transfers close without return; returnable transfers follow the full chain-of-custody cycle.</w:t>
      </w:r>
    </w:p>
    <w:p w14:paraId="43D34130" w14:textId="77777777" w:rsidR="00DD1558" w:rsidRPr="00DD1558" w:rsidRDefault="00DD1558" w:rsidP="00DD1558">
      <w:pPr>
        <w:numPr>
          <w:ilvl w:val="0"/>
          <w:numId w:val="14"/>
        </w:numPr>
        <w:bidi w:val="0"/>
        <w:spacing w:line="240" w:lineRule="auto"/>
        <w:contextualSpacing/>
        <w:jc w:val="both"/>
        <w:rPr>
          <w:rFonts w:ascii="Simplified Arabic" w:hAnsi="Simplified Arabic" w:cs="Simplified Arabic"/>
          <w:b/>
          <w:bCs/>
          <w:sz w:val="28"/>
          <w:szCs w:val="28"/>
        </w:rPr>
      </w:pPr>
      <w:r w:rsidRPr="00DD1558">
        <w:rPr>
          <w:rFonts w:ascii="Simplified Arabic" w:hAnsi="Simplified Arabic" w:cs="Simplified Arabic"/>
          <w:b/>
          <w:bCs/>
          <w:sz w:val="28"/>
          <w:szCs w:val="28"/>
        </w:rPr>
        <w:t>Responsibility tracking</w:t>
      </w:r>
    </w:p>
    <w:p w14:paraId="1A78B6A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policy defines four custody states and assigns accountability in each: </w:t>
      </w:r>
      <w:r w:rsidRPr="00DD1558">
        <w:rPr>
          <w:rFonts w:ascii="Simplified Arabic" w:eastAsia="Times New Roman" w:hAnsi="Simplified Arabic" w:cs="Simplified Arabic"/>
          <w:i/>
          <w:iCs/>
          <w:color w:val="1A1A1A"/>
          <w:sz w:val="28"/>
          <w:szCs w:val="28"/>
          <w14:ligatures w14:val="none"/>
        </w:rPr>
        <w:t>in-custody</w:t>
      </w:r>
      <w:r w:rsidRPr="00DD1558">
        <w:rPr>
          <w:rFonts w:ascii="Simplified Arabic" w:eastAsia="Times New Roman" w:hAnsi="Simplified Arabic" w:cs="Simplified Arabic"/>
          <w:color w:val="1A1A1A"/>
          <w:sz w:val="28"/>
          <w:szCs w:val="28"/>
          <w14:ligatures w14:val="none"/>
        </w:rPr>
        <w:t xml:space="preserve"> (custodian department accountable; technicians maintain records), </w:t>
      </w:r>
      <w:r w:rsidRPr="00DD1558">
        <w:rPr>
          <w:rFonts w:ascii="Simplified Arabic" w:eastAsia="Times New Roman" w:hAnsi="Simplified Arabic" w:cs="Simplified Arabic"/>
          <w:i/>
          <w:iCs/>
          <w:color w:val="1A1A1A"/>
          <w:sz w:val="28"/>
          <w:szCs w:val="28"/>
          <w14:ligatures w14:val="none"/>
        </w:rPr>
        <w:t>in-transit</w:t>
      </w:r>
      <w:r w:rsidRPr="00DD1558">
        <w:rPr>
          <w:rFonts w:ascii="Simplified Arabic" w:eastAsia="Times New Roman" w:hAnsi="Simplified Arabic" w:cs="Simplified Arabic"/>
          <w:color w:val="1A1A1A"/>
          <w:sz w:val="28"/>
          <w:szCs w:val="28"/>
          <w14:ligatures w14:val="none"/>
        </w:rPr>
        <w:t xml:space="preserve"> (accountability assigned per the custody acknowledgment, defaulting to the borrower once logged), </w:t>
      </w:r>
      <w:r w:rsidRPr="00DD1558">
        <w:rPr>
          <w:rFonts w:ascii="Simplified Arabic" w:eastAsia="Times New Roman" w:hAnsi="Simplified Arabic" w:cs="Simplified Arabic"/>
          <w:i/>
          <w:iCs/>
          <w:color w:val="1A1A1A"/>
          <w:sz w:val="28"/>
          <w:szCs w:val="28"/>
          <w14:ligatures w14:val="none"/>
        </w:rPr>
        <w:t>on-loan</w:t>
      </w:r>
      <w:r w:rsidRPr="00DD1558">
        <w:rPr>
          <w:rFonts w:ascii="Simplified Arabic" w:eastAsia="Times New Roman" w:hAnsi="Simplified Arabic" w:cs="Simplified Arabic"/>
          <w:color w:val="1A1A1A"/>
          <w:sz w:val="28"/>
          <w:szCs w:val="28"/>
          <w14:ligatures w14:val="none"/>
        </w:rPr>
        <w:t xml:space="preserve"> (borrower accountable for care, return, and damage reporting), and </w:t>
      </w:r>
      <w:r w:rsidRPr="00DD1558">
        <w:rPr>
          <w:rFonts w:ascii="Simplified Arabic" w:eastAsia="Times New Roman" w:hAnsi="Simplified Arabic" w:cs="Simplified Arabic"/>
          <w:i/>
          <w:iCs/>
          <w:color w:val="1A1A1A"/>
          <w:sz w:val="28"/>
          <w:szCs w:val="28"/>
          <w14:ligatures w14:val="none"/>
        </w:rPr>
        <w:t>returned-damaged</w:t>
      </w:r>
      <w:r w:rsidRPr="00DD1558">
        <w:rPr>
          <w:rFonts w:ascii="Simplified Arabic" w:eastAsia="Times New Roman" w:hAnsi="Simplified Arabic" w:cs="Simplified Arabic"/>
          <w:color w:val="1A1A1A"/>
          <w:sz w:val="28"/>
          <w:szCs w:val="28"/>
          <w14:ligatures w14:val="none"/>
        </w:rPr>
        <w:t xml:space="preserve"> (an exception state triggering escalation, not informal settlement). Exceptions </w:t>
      </w:r>
      <w:r w:rsidRPr="00DD1558">
        <w:rPr>
          <w:rFonts w:ascii="Simplified Arabic" w:eastAsia="Times New Roman" w:hAnsi="Simplified Arabic" w:cs="Simplified Arabic"/>
          <w:color w:val="1A1A1A"/>
          <w:sz w:val="28"/>
          <w:szCs w:val="28"/>
          <w14:ligatures w14:val="none"/>
        </w:rPr>
        <w:lastRenderedPageBreak/>
        <w:t xml:space="preserve">follow a defined escalation ladder — </w:t>
      </w:r>
      <w:r w:rsidRPr="00DD1558">
        <w:rPr>
          <w:rFonts w:ascii="Simplified Arabic" w:eastAsia="Times New Roman" w:hAnsi="Simplified Arabic" w:cs="Simplified Arabic"/>
          <w:b/>
          <w:bCs/>
          <w:color w:val="1A1A1A"/>
          <w:sz w:val="28"/>
          <w:szCs w:val="28"/>
          <w14:ligatures w14:val="none"/>
        </w:rPr>
        <w:t xml:space="preserve">technician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Digital Supply Chain Unit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custodian supervisor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Board</w:t>
      </w:r>
      <w:r w:rsidRPr="00DD1558">
        <w:rPr>
          <w:rFonts w:ascii="Simplified Arabic" w:eastAsia="Times New Roman" w:hAnsi="Simplified Arabic" w:cs="Simplified Arabic"/>
          <w:color w:val="1A1A1A"/>
          <w:sz w:val="28"/>
          <w:szCs w:val="28"/>
          <w14:ligatures w14:val="none"/>
        </w:rPr>
        <w:t xml:space="preserve"> — with each rung activated when the lower rung cannot resolve within its authority: technicians’ flag, the Unit routes and documents, the custodian supervisor decides within policy, and the Board adjudicates cross-departmental disputes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{"citationID":"8zt5t5d6","properties":{"unsorted":false,"formattedCitation":"(22301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8.4 analogue).</w:t>
      </w:r>
    </w:p>
    <w:p w14:paraId="240464A3" w14:textId="77777777" w:rsidR="00DD1558" w:rsidRPr="00DD1558" w:rsidRDefault="00DD1558" w:rsidP="00DD1558">
      <w:pPr>
        <w:numPr>
          <w:ilvl w:val="0"/>
          <w:numId w:val="14"/>
        </w:numPr>
        <w:bidi w:val="0"/>
        <w:spacing w:line="240" w:lineRule="auto"/>
        <w:contextualSpacing/>
        <w:jc w:val="both"/>
        <w:rPr>
          <w:rFonts w:ascii="Simplified Arabic" w:hAnsi="Simplified Arabic" w:cs="Simplified Arabic"/>
          <w:b/>
          <w:bCs/>
          <w:sz w:val="28"/>
          <w:szCs w:val="28"/>
        </w:rPr>
      </w:pPr>
      <w:r w:rsidRPr="00DD1558">
        <w:rPr>
          <w:rFonts w:ascii="Simplified Arabic" w:hAnsi="Simplified Arabic" w:cs="Simplified Arabic"/>
          <w:b/>
          <w:bCs/>
          <w:sz w:val="28"/>
          <w:szCs w:val="28"/>
        </w:rPr>
        <w:t>Risk controls</w:t>
      </w:r>
    </w:p>
    <w:p w14:paraId="579582A0" w14:textId="613290C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Five controls protect the lending regime. </w:t>
      </w:r>
      <w:r w:rsidRPr="00DD1558">
        <w:rPr>
          <w:rFonts w:ascii="Simplified Arabic" w:eastAsia="Times New Roman" w:hAnsi="Simplified Arabic" w:cs="Simplified Arabic"/>
          <w:b/>
          <w:bCs/>
          <w:color w:val="1A1A1A"/>
          <w:sz w:val="28"/>
          <w:szCs w:val="28"/>
          <w14:ligatures w14:val="none"/>
        </w:rPr>
        <w:t>First</w:t>
      </w:r>
      <w:r w:rsidRPr="00DD1558">
        <w:rPr>
          <w:rFonts w:ascii="Simplified Arabic" w:eastAsia="Times New Roman" w:hAnsi="Simplified Arabic" w:cs="Simplified Arabic"/>
          <w:color w:val="1A1A1A"/>
          <w:sz w:val="28"/>
          <w:szCs w:val="28"/>
          <w14:ligatures w14:val="none"/>
        </w:rPr>
        <w:t xml:space="preserve">, the </w:t>
      </w:r>
      <w:r w:rsidRPr="00DD1558">
        <w:rPr>
          <w:rFonts w:ascii="Simplified Arabic" w:eastAsia="Times New Roman" w:hAnsi="Simplified Arabic" w:cs="Simplified Arabic"/>
          <w:i/>
          <w:iCs/>
          <w:color w:val="1A1A1A"/>
          <w:sz w:val="28"/>
          <w:szCs w:val="28"/>
          <w14:ligatures w14:val="none"/>
        </w:rPr>
        <w:t>damage/loss liability principle</w:t>
      </w:r>
      <w:r w:rsidRPr="00DD1558">
        <w:rPr>
          <w:rFonts w:ascii="Simplified Arabic" w:eastAsia="Times New Roman" w:hAnsi="Simplified Arabic" w:cs="Simplified Arabic"/>
          <w:color w:val="1A1A1A"/>
          <w:sz w:val="28"/>
          <w:szCs w:val="28"/>
          <w14:ligatures w14:val="none"/>
        </w:rPr>
        <w:t xml:space="preserve">: the party holding custody when damage or loss occurs bears responsibility for remediation through departmental channels, with the chain-of-custody log as the evidentiary basis — a design response to the free-riding and responsibility-ambiguity failure modes of sharing arrangements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{"citationID":"T0xJ3AWx","properties":{"unsorted":false,"formattedCitation":"(X.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Second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loan limits</w:t>
      </w:r>
      <w:r w:rsidRPr="00DD1558">
        <w:rPr>
          <w:rFonts w:ascii="Simplified Arabic" w:eastAsia="Times New Roman" w:hAnsi="Simplified Arabic" w:cs="Simplified Arabic"/>
          <w:color w:val="1A1A1A"/>
          <w:sz w:val="28"/>
          <w:szCs w:val="28"/>
          <w14:ligatures w14:val="none"/>
        </w:rPr>
        <w:t xml:space="preserve">: per-item-class caps on simultaneous outward loans protect the custodian’s own teaching base. </w:t>
      </w:r>
      <w:r w:rsidRPr="00DD1558">
        <w:rPr>
          <w:rFonts w:ascii="Simplified Arabic" w:eastAsia="Times New Roman" w:hAnsi="Simplified Arabic" w:cs="Simplified Arabic"/>
          <w:b/>
          <w:bCs/>
          <w:color w:val="1A1A1A"/>
          <w:sz w:val="28"/>
          <w:szCs w:val="28"/>
          <w14:ligatures w14:val="none"/>
        </w:rPr>
        <w:t>Third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recall rights</w:t>
      </w:r>
      <w:r w:rsidRPr="00DD1558">
        <w:rPr>
          <w:rFonts w:ascii="Simplified Arabic" w:eastAsia="Times New Roman" w:hAnsi="Simplified Arabic" w:cs="Simplified Arabic"/>
          <w:color w:val="1A1A1A"/>
          <w:sz w:val="28"/>
          <w:szCs w:val="28"/>
          <w14:ligatures w14:val="none"/>
        </w:rPr>
        <w:t>: the custodian may recall loaned items when its own scheduled teaching requires them — the ISO 22301:2019 priority of prioritized activities over sharing convenience, since continuity solutions exist to protect prioritized activities, not to redistribute their dependencies away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{"citationID":"nvt5go4c","properties":{"unsorted":false,"formattedCitation":"(22301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8.3). </w:t>
      </w:r>
      <w:r w:rsidRPr="00DD1558">
        <w:rPr>
          <w:rFonts w:ascii="Simplified Arabic" w:eastAsia="Times New Roman" w:hAnsi="Simplified Arabic" w:cs="Simplified Arabic"/>
          <w:b/>
          <w:bCs/>
          <w:color w:val="1A1A1A"/>
          <w:sz w:val="28"/>
          <w:szCs w:val="28"/>
          <w14:ligatures w14:val="none"/>
        </w:rPr>
        <w:t>Fourth</w:t>
      </w:r>
      <w:r w:rsidRPr="00DD1558">
        <w:rPr>
          <w:rFonts w:ascii="Simplified Arabic" w:eastAsia="Times New Roman" w:hAnsi="Simplified Arabic" w:cs="Simplified Arabic"/>
          <w:color w:val="1A1A1A"/>
          <w:sz w:val="28"/>
          <w:szCs w:val="28"/>
          <w14:ligatures w14:val="none"/>
        </w:rPr>
        <w:t xml:space="preserve">, the </w:t>
      </w:r>
      <w:r w:rsidRPr="00DD1558">
        <w:rPr>
          <w:rFonts w:ascii="Simplified Arabic" w:eastAsia="Times New Roman" w:hAnsi="Simplified Arabic" w:cs="Simplified Arabic"/>
          <w:i/>
          <w:iCs/>
          <w:color w:val="1A1A1A"/>
          <w:sz w:val="28"/>
          <w:szCs w:val="28"/>
          <w14:ligatures w14:val="none"/>
        </w:rPr>
        <w:t>audit trail</w:t>
      </w:r>
      <w:r w:rsidRPr="00DD1558">
        <w:rPr>
          <w:rFonts w:ascii="Simplified Arabic" w:eastAsia="Times New Roman" w:hAnsi="Simplified Arabic" w:cs="Simplified Arabic"/>
          <w:color w:val="1A1A1A"/>
          <w:sz w:val="28"/>
          <w:szCs w:val="28"/>
          <w14:ligatures w14:val="none"/>
        </w:rPr>
        <w:t xml:space="preserve">: every workflow step produces registry-logged documented information, so loans are reconstructible at audit without reliance on memory or email. </w:t>
      </w:r>
      <w:r w:rsidRPr="00DD1558">
        <w:rPr>
          <w:rFonts w:ascii="Simplified Arabic" w:eastAsia="Times New Roman" w:hAnsi="Simplified Arabic" w:cs="Simplified Arabic"/>
          <w:b/>
          <w:bCs/>
          <w:color w:val="1A1A1A"/>
          <w:sz w:val="28"/>
          <w:szCs w:val="28"/>
          <w14:ligatures w14:val="none"/>
        </w:rPr>
        <w:t>Fifth</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review</w:t>
      </w:r>
      <w:r w:rsidRPr="00DD1558">
        <w:rPr>
          <w:rFonts w:ascii="Simplified Arabic" w:eastAsia="Times New Roman" w:hAnsi="Simplified Arabic" w:cs="Simplified Arabic"/>
          <w:color w:val="1A1A1A"/>
          <w:sz w:val="28"/>
          <w:szCs w:val="28"/>
          <w14:ligatures w14:val="none"/>
        </w:rPr>
        <w:t>: aggregate loan-flow and damage records feed the Board’s termly review, closing the PDCA loop on the policy itself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{"citationID":"k5XhOXQu","properties":{"unsorted":false,"formattedCitation":"(14001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clauses 9.3, 10). </w:t>
      </w:r>
      <w:hyperlink w:anchor="Figure34" w:history="1">
        <w:r w:rsidRPr="00DD1558">
          <w:rPr>
            <w:rFonts w:ascii="Simplified Arabic" w:eastAsia="Times New Roman" w:hAnsi="Simplified Arabic" w:cs="Simplified Arabic"/>
            <w:color w:val="467886" w:themeColor="hyperlink"/>
            <w:sz w:val="28"/>
            <w:szCs w:val="28"/>
            <w:u w:val="single"/>
            <w14:ligatures w14:val="none"/>
          </w:rPr>
          <w:t xml:space="preserve">Figure </w:t>
        </w:r>
        <w:r w:rsidR="00A94BAE">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1</w:t>
        </w:r>
      </w:hyperlink>
      <w:r w:rsidRPr="00DD1558">
        <w:rPr>
          <w:rFonts w:ascii="Simplified Arabic" w:eastAsia="Times New Roman" w:hAnsi="Simplified Arabic" w:cs="Simplified Arabic"/>
          <w:color w:val="1A1A1A"/>
          <w:sz w:val="28"/>
          <w:szCs w:val="28"/>
          <w14:ligatures w14:val="none"/>
        </w:rPr>
        <w:t xml:space="preserve"> renders the workflow and its escalation ladder.</w:t>
      </w:r>
    </w:p>
    <w:p w14:paraId="766C6078" w14:textId="77777777" w:rsidR="00A17CC2" w:rsidRDefault="00DD1558" w:rsidP="00A17CC2">
      <w:pPr>
        <w:keepNext/>
        <w:bidi w:val="0"/>
        <w:spacing w:before="180" w:line="360" w:lineRule="auto"/>
        <w:jc w:val="center"/>
      </w:pPr>
      <w:r w:rsidRPr="00DD1558">
        <w:rPr>
          <w:rFonts w:ascii="Times New Roman" w:eastAsia="Times New Roman" w:hAnsi="Times New Roman" w:cs="Times New Roman"/>
          <w:noProof/>
          <w:color w:val="1A1A1A"/>
          <w:sz w:val="24"/>
          <w:szCs w:val="24"/>
          <w14:ligatures w14:val="none"/>
        </w:rPr>
        <w:lastRenderedPageBreak/>
        <w:drawing>
          <wp:inline distT="0" distB="0" distL="0" distR="0" wp14:anchorId="4B8C78C8" wp14:editId="670267A5">
            <wp:extent cx="4320000" cy="7128000"/>
            <wp:effectExtent l="0" t="0" r="4445" b="0"/>
            <wp:docPr id="71" name="Picture"/>
            <wp:cNvGraphicFramePr/>
            <a:graphic xmlns:a="http://schemas.openxmlformats.org/drawingml/2006/main">
              <a:graphicData uri="http://schemas.openxmlformats.org/drawingml/2006/picture">
                <pic:pic xmlns:pic="http://schemas.openxmlformats.org/drawingml/2006/picture">
                  <pic:nvPicPr>
                    <pic:cNvPr id="72" name="Picture" descr="fig3.png"/>
                    <pic:cNvPicPr>
                      <a:picLocks noChangeAspect="1" noChangeArrowheads="1"/>
                    </pic:cNvPicPr>
                  </pic:nvPicPr>
                  <pic:blipFill>
                    <a:blip r:embed="rId13"/>
                    <a:stretch>
                      <a:fillRect/>
                    </a:stretch>
                  </pic:blipFill>
                  <pic:spPr bwMode="auto">
                    <a:xfrm>
                      <a:off x="0" y="0"/>
                      <a:ext cx="4320000" cy="7128000"/>
                    </a:xfrm>
                    <a:prstGeom prst="rect">
                      <a:avLst/>
                    </a:prstGeom>
                    <a:noFill/>
                    <a:ln w="9525">
                      <a:noFill/>
                      <a:headEnd/>
                      <a:tailEnd/>
                    </a:ln>
                  </pic:spPr>
                </pic:pic>
              </a:graphicData>
            </a:graphic>
          </wp:inline>
        </w:drawing>
      </w:r>
    </w:p>
    <w:p w14:paraId="1DC123EC" w14:textId="41152E94" w:rsidR="00DD1558" w:rsidRPr="00DD1558" w:rsidRDefault="00A17CC2" w:rsidP="00A17CC2">
      <w:pPr>
        <w:pStyle w:val="Caption"/>
        <w:bidi w:val="0"/>
        <w:jc w:val="center"/>
        <w:rPr>
          <w:rFonts w:ascii="Times New Roman" w:eastAsia="Times New Roman" w:hAnsi="Times New Roman" w:cs="Times New Roman"/>
          <w:color w:val="1A1A1A"/>
          <w:sz w:val="24"/>
          <w:szCs w:val="24"/>
          <w14:ligatures w14:val="none"/>
        </w:rPr>
      </w:pPr>
      <w:bookmarkStart w:id="128" w:name="_Toc237109053"/>
      <w:r>
        <w:t>F</w:t>
      </w:r>
      <w:bookmarkStart w:id="129" w:name="Figure34"/>
      <w:bookmarkEnd w:id="129"/>
      <w:r>
        <w:t xml:space="preserve">igure </w:t>
      </w:r>
      <w:r w:rsidR="00A94BAE">
        <w:t>4</w:t>
      </w:r>
      <w:r>
        <w:t>.</w:t>
      </w:r>
      <w:r w:rsidR="00A94BAE">
        <w:t>1</w:t>
      </w:r>
      <w:r w:rsidRPr="00B701EF">
        <w:t xml:space="preserve">. Inter-lab loan workflow and escalation ladder under the Inter-Lab Policy Framework (design specification; custody states and controls per </w:t>
      </w:r>
      <w:hyperlink w:anchor="Section416" w:history="1">
        <w:r w:rsidR="002C0C03" w:rsidRPr="00BD4D84">
          <w:rPr>
            <w:rStyle w:val="Hyperlink"/>
          </w:rPr>
          <w:t>Section 4.1.6</w:t>
        </w:r>
      </w:hyperlink>
      <w:r w:rsidRPr="00B701EF">
        <w:t>).</w:t>
      </w:r>
      <w:bookmarkEnd w:id="128"/>
    </w:p>
    <w:p w14:paraId="2E9810C6"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30" w:name="section417"/>
      <w:bookmarkStart w:id="131" w:name="_Toc237539757"/>
      <w:bookmarkEnd w:id="130"/>
      <w:r w:rsidRPr="00DD1558">
        <w:rPr>
          <w:rFonts w:ascii="Simplified Arabic" w:eastAsiaTheme="majorEastAsia" w:hAnsi="Simplified Arabic" w:cstheme="majorBidi"/>
          <w:sz w:val="28"/>
          <w:szCs w:val="28"/>
        </w:rPr>
        <w:lastRenderedPageBreak/>
        <w:t>4.1.7 Governance Interfaces and Accountability Matrix</w:t>
      </w:r>
      <w:bookmarkEnd w:id="131"/>
    </w:p>
    <w:p w14:paraId="1AC844D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architecture functions only if its interfaces are as explicit as its bodies. The Committee and the Unit report to the Board; custodian departments interface with the Board through their representatives and with the Unit through registry protocols; technicians report within their custodian departments and escalate to the Unit per protocol; and the Board reports to college leadership through its chair. Information flows upward as documented reporting (Unit reports, Committee drafts, escalation records) and downward as ratified policy and standards — never as informal instruction, which would defeat auditability by design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{"citationID":"z6vtxmE9","properties":{"unsorted":false,"formattedCitation":"(14001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7.5;</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{"citationID":"okj88gW3","properties":{"unsorted":false,"formattedCitation":"(22301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7.5).</w:t>
      </w:r>
    </w:p>
    <w:p w14:paraId="10059578" w14:textId="3C12784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7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1</w:t>
        </w:r>
      </w:hyperlink>
      <w:r w:rsidRPr="00DD1558">
        <w:rPr>
          <w:rFonts w:ascii="Simplified Arabic" w:eastAsia="Times New Roman" w:hAnsi="Simplified Arabic" w:cs="Simplified Arabic"/>
          <w:color w:val="1A1A1A"/>
          <w:sz w:val="28"/>
          <w:szCs w:val="28"/>
          <w14:ligatures w14:val="none"/>
        </w:rPr>
        <w:t xml:space="preserve"> consolidates accountability across the framework’s key processes in a RACI-style matrix (R = Responsible, executes; A = Accountable, owns the outcome; C = Consulted; I = Informed), following the roles-and-authorities discipline of clause 5.3 of both anchor standards</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{"citationID":"RHqJT8We","properties":{"unsorted":false,"formattedCitation":"(14001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143DA43" w14:textId="490063F5"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p>
    <w:p w14:paraId="4559FFF0" w14:textId="4F4809EF" w:rsidR="006A4950" w:rsidRDefault="006A4950" w:rsidP="006A4950">
      <w:pPr>
        <w:pStyle w:val="Caption"/>
        <w:keepNext/>
        <w:bidi w:val="0"/>
      </w:pPr>
      <w:bookmarkStart w:id="132" w:name="_Toc237107836"/>
      <w:r>
        <w:t>T</w:t>
      </w:r>
      <w:bookmarkStart w:id="133" w:name="Table74"/>
      <w:bookmarkEnd w:id="133"/>
      <w:r>
        <w:t xml:space="preserve">able </w:t>
      </w:r>
      <w:r w:rsidR="00A94BAE">
        <w:t>4</w:t>
      </w:r>
      <w:r>
        <w:t>.</w:t>
      </w:r>
      <w:r w:rsidR="00A94BAE">
        <w:t>1</w:t>
      </w:r>
      <w:r w:rsidRPr="005F0590">
        <w:t>. RACI-style accountability matrix for key framework processes</w:t>
      </w:r>
      <w:bookmarkEnd w:id="132"/>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1583"/>
        <w:gridCol w:w="1515"/>
        <w:gridCol w:w="1958"/>
        <w:gridCol w:w="1946"/>
        <w:gridCol w:w="1674"/>
        <w:gridCol w:w="1530"/>
      </w:tblGrid>
      <w:tr w:rsidR="00DD1558" w:rsidRPr="00DD1558" w14:paraId="6D0F6A2A"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6319029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Process</w:t>
            </w:r>
          </w:p>
        </w:tc>
        <w:tc>
          <w:tcPr>
            <w:tcW w:w="0" w:type="auto"/>
            <w:tcBorders>
              <w:bottom w:val="single" w:sz="8" w:space="0" w:color="44546A"/>
            </w:tcBorders>
            <w:vAlign w:val="top"/>
          </w:tcPr>
          <w:p w14:paraId="5186762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Governance Board</w:t>
            </w:r>
          </w:p>
        </w:tc>
        <w:tc>
          <w:tcPr>
            <w:tcW w:w="0" w:type="auto"/>
            <w:tcBorders>
              <w:bottom w:val="single" w:sz="8" w:space="0" w:color="44546A"/>
            </w:tcBorders>
            <w:vAlign w:val="top"/>
          </w:tcPr>
          <w:p w14:paraId="2E6EF78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Technical Standardization Committee</w:t>
            </w:r>
          </w:p>
        </w:tc>
        <w:tc>
          <w:tcPr>
            <w:tcW w:w="0" w:type="auto"/>
            <w:tcBorders>
              <w:bottom w:val="single" w:sz="8" w:space="0" w:color="44546A"/>
            </w:tcBorders>
            <w:vAlign w:val="top"/>
          </w:tcPr>
          <w:p w14:paraId="721AD59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Digital Supply Chain Unit</w:t>
            </w:r>
          </w:p>
        </w:tc>
        <w:tc>
          <w:tcPr>
            <w:tcW w:w="0" w:type="auto"/>
            <w:tcBorders>
              <w:bottom w:val="single" w:sz="8" w:space="0" w:color="44546A"/>
            </w:tcBorders>
            <w:vAlign w:val="top"/>
          </w:tcPr>
          <w:p w14:paraId="0A8058F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Custodian Department</w:t>
            </w:r>
          </w:p>
        </w:tc>
        <w:tc>
          <w:tcPr>
            <w:tcW w:w="0" w:type="auto"/>
            <w:tcBorders>
              <w:bottom w:val="single" w:sz="8" w:space="0" w:color="44546A"/>
            </w:tcBorders>
            <w:vAlign w:val="top"/>
          </w:tcPr>
          <w:p w14:paraId="78E10F2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Laboratory Technicians</w:t>
            </w:r>
          </w:p>
        </w:tc>
      </w:tr>
      <w:tr w:rsidR="00DD1558" w:rsidRPr="00DD1558" w14:paraId="2BAE0FD0" w14:textId="77777777" w:rsidTr="00C71E92">
        <w:tc>
          <w:tcPr>
            <w:tcW w:w="0" w:type="auto"/>
          </w:tcPr>
          <w:p w14:paraId="0368B82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Catalog standard-setting</w:t>
            </w:r>
          </w:p>
        </w:tc>
        <w:tc>
          <w:tcPr>
            <w:tcW w:w="0" w:type="auto"/>
          </w:tcPr>
          <w:p w14:paraId="636E9E5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(ratifies)</w:t>
            </w:r>
          </w:p>
        </w:tc>
        <w:tc>
          <w:tcPr>
            <w:tcW w:w="0" w:type="auto"/>
          </w:tcPr>
          <w:p w14:paraId="25BD637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(drafts, maintains)</w:t>
            </w:r>
          </w:p>
        </w:tc>
        <w:tc>
          <w:tcPr>
            <w:tcW w:w="0" w:type="auto"/>
          </w:tcPr>
          <w:p w14:paraId="6D9CDF3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(registry feasibility)</w:t>
            </w:r>
          </w:p>
        </w:tc>
        <w:tc>
          <w:tcPr>
            <w:tcW w:w="0" w:type="auto"/>
          </w:tcPr>
          <w:p w14:paraId="362BE97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(departmental comment)</w:t>
            </w:r>
          </w:p>
        </w:tc>
        <w:tc>
          <w:tcPr>
            <w:tcW w:w="0" w:type="auto"/>
          </w:tcPr>
          <w:p w14:paraId="4DA7713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r>
      <w:tr w:rsidR="00DD1558" w:rsidRPr="00DD1558" w14:paraId="0C971020" w14:textId="77777777" w:rsidTr="00C71E92">
        <w:tc>
          <w:tcPr>
            <w:tcW w:w="0" w:type="auto"/>
          </w:tcPr>
          <w:p w14:paraId="4FA15C1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Eligibility check before requisition</w:t>
            </w:r>
          </w:p>
        </w:tc>
        <w:tc>
          <w:tcPr>
            <w:tcW w:w="0" w:type="auto"/>
          </w:tcPr>
          <w:p w14:paraId="7C5649F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1560C61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(clause owner)</w:t>
            </w:r>
          </w:p>
        </w:tc>
        <w:tc>
          <w:tcPr>
            <w:tcW w:w="0" w:type="auto"/>
          </w:tcPr>
          <w:p w14:paraId="3C9BA10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(operates/verifies check)</w:t>
            </w:r>
          </w:p>
        </w:tc>
        <w:tc>
          <w:tcPr>
            <w:tcW w:w="0" w:type="auto"/>
          </w:tcPr>
          <w:p w14:paraId="397DEA2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(must comply)</w:t>
            </w:r>
          </w:p>
        </w:tc>
        <w:tc>
          <w:tcPr>
            <w:tcW w:w="0" w:type="auto"/>
          </w:tcPr>
          <w:p w14:paraId="2E8DAF9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(data accuracy)</w:t>
            </w:r>
          </w:p>
        </w:tc>
      </w:tr>
      <w:tr w:rsidR="00DD1558" w:rsidRPr="00DD1558" w14:paraId="51A9F6CA" w14:textId="77777777" w:rsidTr="00C71E92">
        <w:tc>
          <w:tcPr>
            <w:tcW w:w="0" w:type="auto"/>
          </w:tcPr>
          <w:p w14:paraId="1A52594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Loan approval</w:t>
            </w:r>
          </w:p>
        </w:tc>
        <w:tc>
          <w:tcPr>
            <w:tcW w:w="0" w:type="auto"/>
          </w:tcPr>
          <w:p w14:paraId="6438588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60A91B6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528DB2A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(logs; data support)</w:t>
            </w:r>
          </w:p>
        </w:tc>
        <w:tc>
          <w:tcPr>
            <w:tcW w:w="0" w:type="auto"/>
          </w:tcPr>
          <w:p w14:paraId="210CC31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A/R (custodian supervisor approves)</w:t>
            </w:r>
          </w:p>
        </w:tc>
        <w:tc>
          <w:tcPr>
            <w:tcW w:w="0" w:type="auto"/>
          </w:tcPr>
          <w:p w14:paraId="01A5D35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 (no approval role)</w:t>
            </w:r>
          </w:p>
        </w:tc>
      </w:tr>
      <w:tr w:rsidR="00DD1558" w:rsidRPr="00DD1558" w14:paraId="0DBDC59B" w14:textId="77777777" w:rsidTr="00C71E92">
        <w:tc>
          <w:tcPr>
            <w:tcW w:w="0" w:type="auto"/>
          </w:tcPr>
          <w:p w14:paraId="006D8E1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FEFO execution</w:t>
            </w:r>
          </w:p>
        </w:tc>
        <w:tc>
          <w:tcPr>
            <w:tcW w:w="0" w:type="auto"/>
          </w:tcPr>
          <w:p w14:paraId="05F093C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7960D13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(standard owner)</w:t>
            </w:r>
          </w:p>
        </w:tc>
        <w:tc>
          <w:tcPr>
            <w:tcW w:w="0" w:type="auto"/>
          </w:tcPr>
          <w:p w14:paraId="1248081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 (flag reports)</w:t>
            </w:r>
          </w:p>
        </w:tc>
        <w:tc>
          <w:tcPr>
            <w:tcW w:w="0" w:type="auto"/>
          </w:tcPr>
          <w:p w14:paraId="706BC07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(supervisor accountable)</w:t>
            </w:r>
          </w:p>
        </w:tc>
        <w:tc>
          <w:tcPr>
            <w:tcW w:w="0" w:type="auto"/>
          </w:tcPr>
          <w:p w14:paraId="70C341B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(rotation, flagging)</w:t>
            </w:r>
          </w:p>
        </w:tc>
      </w:tr>
      <w:tr w:rsidR="00DD1558" w:rsidRPr="00DD1558" w14:paraId="0795D510" w14:textId="77777777" w:rsidTr="00C71E92">
        <w:tc>
          <w:tcPr>
            <w:tcW w:w="0" w:type="auto"/>
          </w:tcPr>
          <w:p w14:paraId="44528BF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Custody transfer</w:t>
            </w:r>
          </w:p>
        </w:tc>
        <w:tc>
          <w:tcPr>
            <w:tcW w:w="0" w:type="auto"/>
          </w:tcPr>
          <w:p w14:paraId="2DD09FE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37944A7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4EF8E13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(chain-of-custody log)</w:t>
            </w:r>
          </w:p>
        </w:tc>
        <w:tc>
          <w:tcPr>
            <w:tcW w:w="0" w:type="auto"/>
          </w:tcPr>
          <w:p w14:paraId="3CE4C0B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w:t>
            </w:r>
          </w:p>
        </w:tc>
        <w:tc>
          <w:tcPr>
            <w:tcW w:w="0" w:type="auto"/>
          </w:tcPr>
          <w:p w14:paraId="2EC2F09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(records, handover)</w:t>
            </w:r>
          </w:p>
        </w:tc>
      </w:tr>
      <w:tr w:rsidR="00DD1558" w:rsidRPr="00DD1558" w14:paraId="30E949B2" w14:textId="77777777" w:rsidTr="00C71E92">
        <w:tc>
          <w:tcPr>
            <w:tcW w:w="0" w:type="auto"/>
          </w:tcPr>
          <w:p w14:paraId="1A1B7D5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Registry upkeep</w:t>
            </w:r>
          </w:p>
        </w:tc>
        <w:tc>
          <w:tcPr>
            <w:tcW w:w="0" w:type="auto"/>
          </w:tcPr>
          <w:p w14:paraId="2BA5154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772D287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(data standard)</w:t>
            </w:r>
          </w:p>
        </w:tc>
        <w:tc>
          <w:tcPr>
            <w:tcW w:w="0" w:type="auto"/>
          </w:tcPr>
          <w:p w14:paraId="1A77475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(stewardship)</w:t>
            </w:r>
          </w:p>
        </w:tc>
        <w:tc>
          <w:tcPr>
            <w:tcW w:w="0" w:type="auto"/>
          </w:tcPr>
          <w:p w14:paraId="6CF9695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374A1A8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(entries)</w:t>
            </w:r>
          </w:p>
        </w:tc>
      </w:tr>
      <w:tr w:rsidR="00DD1558" w:rsidRPr="00DD1558" w14:paraId="14BF7B3E" w14:textId="77777777" w:rsidTr="00C71E92">
        <w:tc>
          <w:tcPr>
            <w:tcW w:w="0" w:type="auto"/>
          </w:tcPr>
          <w:p w14:paraId="00BD0D8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Expiry escalation</w:t>
            </w:r>
          </w:p>
        </w:tc>
        <w:tc>
          <w:tcPr>
            <w:tcW w:w="0" w:type="auto"/>
          </w:tcPr>
          <w:p w14:paraId="6FBCC20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376CFD3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6B3ABE2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(routes, coordinates)</w:t>
            </w:r>
          </w:p>
        </w:tc>
        <w:tc>
          <w:tcPr>
            <w:tcW w:w="0" w:type="auto"/>
          </w:tcPr>
          <w:p w14:paraId="479CFD1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(decides redistribution)</w:t>
            </w:r>
          </w:p>
        </w:tc>
        <w:tc>
          <w:tcPr>
            <w:tcW w:w="0" w:type="auto"/>
          </w:tcPr>
          <w:p w14:paraId="6CA5191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(flags, escalates)</w:t>
            </w:r>
          </w:p>
        </w:tc>
      </w:tr>
      <w:tr w:rsidR="00DD1558" w:rsidRPr="00DD1558" w14:paraId="21F6E7AF" w14:textId="77777777" w:rsidTr="00C71E92">
        <w:tc>
          <w:tcPr>
            <w:tcW w:w="0" w:type="auto"/>
          </w:tcPr>
          <w:p w14:paraId="10E7B9E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Audit &amp; management review</w:t>
            </w:r>
          </w:p>
        </w:tc>
        <w:tc>
          <w:tcPr>
            <w:tcW w:w="0" w:type="auto"/>
          </w:tcPr>
          <w:p w14:paraId="24D3146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A/R (cadence, review)</w:t>
            </w:r>
          </w:p>
        </w:tc>
        <w:tc>
          <w:tcPr>
            <w:tcW w:w="0" w:type="auto"/>
          </w:tcPr>
          <w:p w14:paraId="50C3871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78217F7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(reporting support)</w:t>
            </w:r>
          </w:p>
        </w:tc>
        <w:tc>
          <w:tcPr>
            <w:tcW w:w="0" w:type="auto"/>
          </w:tcPr>
          <w:p w14:paraId="38243F2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619811F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r>
    </w:tbl>
    <w:p w14:paraId="1822F713" w14:textId="0E6FCB1D"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r w:rsidRPr="00DD1558">
        <w:rPr>
          <w:rFonts w:ascii="Simplified Arabic" w:eastAsia="Times New Roman" w:hAnsi="Simplified Arabic" w:cs="Simplified Arabic"/>
          <w:i/>
          <w:iCs/>
          <w:sz w:val="24"/>
          <w:szCs w:val="32"/>
          <w14:ligatures w14:val="none"/>
        </w:rPr>
        <w:t>Note on accountability versus ratification:</w:t>
      </w:r>
      <w:r w:rsidRPr="00DD1558">
        <w:rPr>
          <w:rFonts w:ascii="Simplified Arabic" w:eastAsia="Times New Roman" w:hAnsi="Simplified Arabic" w:cs="Simplified Arabic"/>
          <w:sz w:val="24"/>
          <w:szCs w:val="32"/>
          <w14:ligatures w14:val="none"/>
        </w:rPr>
        <w:t xml:space="preserve"> in Table </w:t>
      </w:r>
      <w:r w:rsidR="00A94BAE">
        <w:rPr>
          <w:rFonts w:ascii="Simplified Arabic" w:eastAsia="Times New Roman" w:hAnsi="Simplified Arabic" w:cs="Simplified Arabic"/>
          <w:sz w:val="24"/>
          <w:szCs w:val="32"/>
          <w14:ligatures w14:val="none"/>
        </w:rPr>
        <w:t>4</w:t>
      </w:r>
      <w:r w:rsidRPr="00DD1558">
        <w:rPr>
          <w:rFonts w:ascii="Simplified Arabic" w:eastAsia="Times New Roman" w:hAnsi="Simplified Arabic" w:cs="Simplified Arabic"/>
          <w:sz w:val="24"/>
          <w:szCs w:val="32"/>
          <w14:ligatures w14:val="none"/>
        </w:rPr>
        <w:t>.</w:t>
      </w:r>
      <w:r w:rsidR="00A94BAE">
        <w:rPr>
          <w:rFonts w:ascii="Simplified Arabic" w:eastAsia="Times New Roman" w:hAnsi="Simplified Arabic" w:cs="Simplified Arabic"/>
          <w:sz w:val="24"/>
          <w:szCs w:val="32"/>
          <w14:ligatures w14:val="none"/>
        </w:rPr>
        <w:t>1</w:t>
      </w:r>
      <w:r w:rsidRPr="00DD1558">
        <w:rPr>
          <w:rFonts w:ascii="Simplified Arabic" w:eastAsia="Times New Roman" w:hAnsi="Simplified Arabic" w:cs="Simplified Arabic"/>
          <w:sz w:val="24"/>
          <w:szCs w:val="32"/>
          <w14:ligatures w14:val="none"/>
        </w:rPr>
        <w:t xml:space="preserve">, accountability (A) denotes ownership of the process as operated; where a rule itself requires ratification — as with eligibility clauses — ratification authority remains with the Governance Board as specified in </w:t>
      </w:r>
      <w:hyperlink w:anchor="Section412" w:history="1">
        <w:r w:rsidR="00A20664" w:rsidRPr="00BD4D84">
          <w:rPr>
            <w:rStyle w:val="Hyperlink"/>
            <w:rFonts w:ascii="Simplified Arabic" w:eastAsia="Times New Roman" w:hAnsi="Simplified Arabic" w:cs="Simplified Arabic"/>
            <w:sz w:val="24"/>
            <w:szCs w:val="32"/>
            <w14:ligatures w14:val="none"/>
          </w:rPr>
          <w:t>Section 4.1.2</w:t>
        </w:r>
      </w:hyperlink>
      <w:r w:rsidRPr="00DD1558">
        <w:rPr>
          <w:rFonts w:ascii="Simplified Arabic" w:eastAsia="Times New Roman" w:hAnsi="Simplified Arabic" w:cs="Simplified Arabic"/>
          <w:sz w:val="24"/>
          <w:szCs w:val="32"/>
          <w14:ligatures w14:val="none"/>
        </w:rPr>
        <w:t>, while the Committee retains accountability for the clause’s content, maintenance, and correct operation. The two assignments are complementary, not conflicting.</w:t>
      </w:r>
    </w:p>
    <w:p w14:paraId="106D46DB" w14:textId="3BB682F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Two features of the matrix deserve note. </w:t>
      </w:r>
      <w:r w:rsidRPr="00DD1558">
        <w:rPr>
          <w:rFonts w:ascii="Simplified Arabic" w:eastAsia="Times New Roman" w:hAnsi="Simplified Arabic" w:cs="Simplified Arabic"/>
          <w:b/>
          <w:bCs/>
          <w:color w:val="1A1A1A"/>
          <w:sz w:val="28"/>
          <w:szCs w:val="28"/>
          <w14:ligatures w14:val="none"/>
        </w:rPr>
        <w:t>First</w:t>
      </w:r>
      <w:r w:rsidRPr="00DD1558">
        <w:rPr>
          <w:rFonts w:ascii="Simplified Arabic" w:eastAsia="Times New Roman" w:hAnsi="Simplified Arabic" w:cs="Simplified Arabic"/>
          <w:color w:val="1A1A1A"/>
          <w:sz w:val="28"/>
          <w:szCs w:val="28"/>
          <w14:ligatures w14:val="none"/>
        </w:rPr>
        <w:t xml:space="preserve">, no row assigns technicians an A, and their R assignments are confined to execution and escalation — the matrix is the formal proof of the non-authority clause of </w:t>
      </w:r>
      <w:hyperlink w:anchor="section415" w:history="1">
        <w:r w:rsidR="002C0C03" w:rsidRPr="00BD4D84">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Second</w:t>
      </w:r>
      <w:r w:rsidRPr="00DD1558">
        <w:rPr>
          <w:rFonts w:ascii="Simplified Arabic" w:eastAsia="Times New Roman" w:hAnsi="Simplified Arabic" w:cs="Simplified Arabic"/>
          <w:color w:val="1A1A1A"/>
          <w:sz w:val="28"/>
          <w:szCs w:val="28"/>
          <w14:ligatures w14:val="none"/>
        </w:rPr>
        <w:t xml:space="preserve">, accountability for every prevention, mitigation, and escalation-factor barrier from Section 2 is traceable through these rows to a named body, satisfying </w:t>
      </w:r>
      <w:hyperlink w:anchor="Principle5" w:history="1">
        <w:r w:rsidRPr="00DD1558">
          <w:rPr>
            <w:rFonts w:ascii="Simplified Arabic" w:eastAsia="Times New Roman" w:hAnsi="Simplified Arabic" w:cs="Simplified Arabic"/>
            <w:color w:val="467886" w:themeColor="hyperlink"/>
            <w:sz w:val="28"/>
            <w:szCs w:val="28"/>
            <w:u w:val="single"/>
            <w14:ligatures w14:val="none"/>
          </w:rPr>
          <w:t>Principle 5</w:t>
        </w:r>
      </w:hyperlink>
      <w:r w:rsidRPr="00DD1558">
        <w:rPr>
          <w:rFonts w:ascii="Simplified Arabic" w:eastAsia="Times New Roman" w:hAnsi="Simplified Arabic" w:cs="Simplified Arabic"/>
          <w:color w:val="1A1A1A"/>
          <w:sz w:val="28"/>
          <w:szCs w:val="28"/>
          <w14:ligatures w14:val="none"/>
        </w:rPr>
        <w:t xml:space="preserve">. </w:t>
      </w:r>
      <w:hyperlink w:anchor="Figure44" w:history="1">
        <w:r w:rsidRPr="00DD1558">
          <w:rPr>
            <w:rFonts w:ascii="Simplified Arabic" w:eastAsia="Times New Roman" w:hAnsi="Simplified Arabic" w:cs="Simplified Arabic"/>
            <w:color w:val="467886" w:themeColor="hyperlink"/>
            <w:sz w:val="28"/>
            <w:szCs w:val="28"/>
            <w:u w:val="single"/>
            <w14:ligatures w14:val="none"/>
          </w:rPr>
          <w:t>Figure 4.</w:t>
        </w:r>
        <w:r w:rsidR="00A94BAE">
          <w:rPr>
            <w:rFonts w:ascii="Simplified Arabic" w:eastAsia="Times New Roman" w:hAnsi="Simplified Arabic" w:cs="Simplified Arabic"/>
            <w:color w:val="467886" w:themeColor="hyperlink"/>
            <w:sz w:val="28"/>
            <w:szCs w:val="28"/>
            <w:u w:val="single"/>
            <w14:ligatures w14:val="none"/>
          </w:rPr>
          <w:t>2</w:t>
        </w:r>
      </w:hyperlink>
      <w:r w:rsidRPr="00DD1558">
        <w:rPr>
          <w:rFonts w:ascii="Simplified Arabic" w:eastAsia="Times New Roman" w:hAnsi="Simplified Arabic" w:cs="Simplified Arabic"/>
          <w:color w:val="1A1A1A"/>
          <w:sz w:val="28"/>
          <w:szCs w:val="28"/>
          <w14:ligatures w14:val="none"/>
        </w:rPr>
        <w:t xml:space="preserve"> presents the organizational chart; </w:t>
      </w:r>
      <w:hyperlink w:anchor="Table8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2</w:t>
        </w:r>
      </w:hyperlink>
      <w:r w:rsidRPr="00DD1558">
        <w:rPr>
          <w:rFonts w:ascii="Simplified Arabic" w:eastAsia="Times New Roman" w:hAnsi="Simplified Arabic" w:cs="Simplified Arabic"/>
          <w:color w:val="1A1A1A"/>
          <w:sz w:val="28"/>
          <w:szCs w:val="28"/>
          <w14:ligatures w14:val="none"/>
        </w:rPr>
        <w:t xml:space="preserve"> closes the loop with the explicit barrier-ownership mapping.</w:t>
      </w:r>
    </w:p>
    <w:p w14:paraId="1BBD3DC7" w14:textId="77777777" w:rsidR="00CA0BCC" w:rsidRDefault="00DD1558" w:rsidP="00CA0BCC">
      <w:pPr>
        <w:keepNext/>
        <w:bidi w:val="0"/>
        <w:spacing w:before="180" w:line="360" w:lineRule="auto"/>
        <w:jc w:val="center"/>
      </w:pPr>
      <w:r w:rsidRPr="00DD1558">
        <w:rPr>
          <w:rFonts w:ascii="Times New Roman" w:eastAsia="Times New Roman" w:hAnsi="Times New Roman" w:cs="Times New Roman"/>
          <w:noProof/>
          <w:color w:val="1A1A1A"/>
          <w:sz w:val="24"/>
          <w:szCs w:val="24"/>
          <w14:ligatures w14:val="none"/>
        </w:rPr>
        <w:lastRenderedPageBreak/>
        <w:drawing>
          <wp:inline distT="0" distB="0" distL="0" distR="0" wp14:anchorId="624F20B9" wp14:editId="10A735BF">
            <wp:extent cx="4104420" cy="6583680"/>
            <wp:effectExtent l="0" t="0" r="0" b="0"/>
            <wp:docPr id="76" name="Picture"/>
            <wp:cNvGraphicFramePr/>
            <a:graphic xmlns:a="http://schemas.openxmlformats.org/drawingml/2006/main">
              <a:graphicData uri="http://schemas.openxmlformats.org/drawingml/2006/picture">
                <pic:pic xmlns:pic="http://schemas.openxmlformats.org/drawingml/2006/picture">
                  <pic:nvPicPr>
                    <pic:cNvPr id="77" name="Picture" descr="fig4.png"/>
                    <pic:cNvPicPr>
                      <a:picLocks noChangeAspect="1" noChangeArrowheads="1"/>
                    </pic:cNvPicPr>
                  </pic:nvPicPr>
                  <pic:blipFill>
                    <a:blip r:embed="rId14"/>
                    <a:stretch>
                      <a:fillRect/>
                    </a:stretch>
                  </pic:blipFill>
                  <pic:spPr bwMode="auto">
                    <a:xfrm>
                      <a:off x="0" y="0"/>
                      <a:ext cx="4104420" cy="6583680"/>
                    </a:xfrm>
                    <a:prstGeom prst="rect">
                      <a:avLst/>
                    </a:prstGeom>
                    <a:noFill/>
                    <a:ln w="9525">
                      <a:noFill/>
                      <a:headEnd/>
                      <a:tailEnd/>
                    </a:ln>
                  </pic:spPr>
                </pic:pic>
              </a:graphicData>
            </a:graphic>
          </wp:inline>
        </w:drawing>
      </w:r>
    </w:p>
    <w:p w14:paraId="4B4406D1" w14:textId="72A02107" w:rsidR="00DD1558" w:rsidRPr="00DD1558" w:rsidRDefault="00CA0BCC" w:rsidP="00CA0BCC">
      <w:pPr>
        <w:pStyle w:val="Caption"/>
        <w:bidi w:val="0"/>
        <w:jc w:val="center"/>
        <w:rPr>
          <w:rFonts w:ascii="Times New Roman" w:eastAsia="Times New Roman" w:hAnsi="Times New Roman" w:cs="Times New Roman"/>
          <w:color w:val="1A1A1A"/>
          <w:sz w:val="24"/>
          <w:szCs w:val="24"/>
          <w14:ligatures w14:val="none"/>
        </w:rPr>
      </w:pPr>
      <w:bookmarkStart w:id="134" w:name="_Toc237109054"/>
      <w:r>
        <w:t>F</w:t>
      </w:r>
      <w:bookmarkStart w:id="135" w:name="Figure44"/>
      <w:bookmarkEnd w:id="135"/>
      <w:r>
        <w:t xml:space="preserve">igure </w:t>
      </w:r>
      <w:fldSimple w:instr=" SEQ Figure \* ARABIC ">
        <w:r>
          <w:rPr>
            <w:noProof/>
          </w:rPr>
          <w:t>4</w:t>
        </w:r>
      </w:fldSimple>
      <w:r>
        <w:t>.</w:t>
      </w:r>
      <w:r w:rsidR="00A94BAE">
        <w:t>2</w:t>
      </w:r>
      <w:r w:rsidRPr="00071EAA">
        <w:t>. Organizational chart of the participatory inventory governance architecture (solid lines: reporting/governing; dashed lines: drafting, reporting, escalation, and protocol interfaces).</w:t>
      </w:r>
      <w:bookmarkEnd w:id="134"/>
    </w:p>
    <w:p w14:paraId="0BC64FCE" w14:textId="230ACF39" w:rsidR="00DD1558" w:rsidRPr="00DD1558" w:rsidRDefault="00DD1558" w:rsidP="00DD1558">
      <w:pPr>
        <w:bidi w:val="0"/>
        <w:spacing w:before="180" w:line="240" w:lineRule="auto"/>
        <w:rPr>
          <w:rFonts w:ascii="Simplified Arabic" w:eastAsia="Times New Roman" w:hAnsi="Simplified Arabic" w:cs="Simplified Arabic"/>
          <w:sz w:val="28"/>
          <w:szCs w:val="28"/>
          <w14:ligatures w14:val="none"/>
        </w:rPr>
      </w:pPr>
    </w:p>
    <w:p w14:paraId="51F03713" w14:textId="2D39EECF"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p>
    <w:p w14:paraId="07CAFAF4" w14:textId="2E232A54" w:rsidR="00F76374" w:rsidRDefault="00F76374" w:rsidP="00F76374">
      <w:pPr>
        <w:pStyle w:val="Caption"/>
        <w:keepNext/>
        <w:bidi w:val="0"/>
      </w:pPr>
      <w:bookmarkStart w:id="136" w:name="_Toc237107837"/>
      <w:r>
        <w:lastRenderedPageBreak/>
        <w:t>T</w:t>
      </w:r>
      <w:bookmarkStart w:id="137" w:name="Table84"/>
      <w:bookmarkEnd w:id="137"/>
      <w:r>
        <w:t xml:space="preserve">able </w:t>
      </w:r>
      <w:r w:rsidR="00A94BAE">
        <w:t>4</w:t>
      </w:r>
      <w:r>
        <w:t>.</w:t>
      </w:r>
      <w:r w:rsidR="00A94BAE">
        <w:t>2</w:t>
      </w:r>
      <w:r w:rsidRPr="00316868">
        <w:t xml:space="preserve">. Barrier-ownership mapping from the </w:t>
      </w:r>
      <w:hyperlink w:anchor="section293" w:history="1">
        <w:r w:rsidR="00FA26FF" w:rsidRPr="00BD4D84">
          <w:rPr>
            <w:rStyle w:val="Hyperlink"/>
          </w:rPr>
          <w:t>Section 2.9.3</w:t>
        </w:r>
      </w:hyperlink>
      <w:r w:rsidRPr="00316868">
        <w:t xml:space="preserve"> Bow-Tie architecture to </w:t>
      </w:r>
      <w:hyperlink w:anchor="section41" w:history="1">
        <w:r w:rsidR="00752112" w:rsidRPr="00BD4D84">
          <w:rPr>
            <w:rStyle w:val="Hyperlink"/>
          </w:rPr>
          <w:t>Section 4.1</w:t>
        </w:r>
      </w:hyperlink>
      <w:r w:rsidRPr="00316868">
        <w:t xml:space="preserve"> bodies</w:t>
      </w:r>
      <w:bookmarkEnd w:id="136"/>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800"/>
        <w:gridCol w:w="4026"/>
        <w:gridCol w:w="3380"/>
      </w:tblGrid>
      <w:tr w:rsidR="00DD1558" w:rsidRPr="00DD1558" w14:paraId="18003D0E"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077DB84F" w14:textId="59222076"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Barrier (</w:t>
            </w:r>
            <w:hyperlink w:anchor="section293" w:history="1">
              <w:r w:rsidR="00FA26FF" w:rsidRPr="00BD4D84">
                <w:rPr>
                  <w:rStyle w:val="Hyperlink"/>
                  <w:rFonts w:ascii="Simplified Arabic" w:hAnsi="Simplified Arabic" w:cs="Simplified Arabic"/>
                  <w:b/>
                  <w:szCs w:val="28"/>
                </w:rPr>
                <w:t>Section 2.9.3</w:t>
              </w:r>
            </w:hyperlink>
            <w:r w:rsidRPr="00DD1558">
              <w:rPr>
                <w:rFonts w:ascii="Simplified Arabic" w:hAnsi="Simplified Arabic" w:cs="Simplified Arabic"/>
                <w:b/>
                <w:szCs w:val="28"/>
              </w:rPr>
              <w:t>)</w:t>
            </w:r>
          </w:p>
        </w:tc>
        <w:tc>
          <w:tcPr>
            <w:tcW w:w="0" w:type="auto"/>
            <w:tcBorders>
              <w:bottom w:val="single" w:sz="8" w:space="0" w:color="44546A"/>
            </w:tcBorders>
            <w:vAlign w:val="top"/>
          </w:tcPr>
          <w:p w14:paraId="7D147175"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Organizational owner</w:t>
            </w:r>
          </w:p>
        </w:tc>
        <w:tc>
          <w:tcPr>
            <w:tcW w:w="0" w:type="auto"/>
            <w:tcBorders>
              <w:bottom w:val="single" w:sz="8" w:space="0" w:color="44546A"/>
            </w:tcBorders>
            <w:vAlign w:val="top"/>
          </w:tcPr>
          <w:p w14:paraId="14518FA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Execution level</w:t>
            </w:r>
          </w:p>
        </w:tc>
      </w:tr>
      <w:tr w:rsidR="00DD1558" w:rsidRPr="00DD1558" w14:paraId="71C0FCE2" w14:textId="77777777" w:rsidTr="00C71E92">
        <w:tc>
          <w:tcPr>
            <w:tcW w:w="0" w:type="auto"/>
          </w:tcPr>
          <w:p w14:paraId="5C32F795"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PB1 Standardized catalog &amp; records</w:t>
            </w:r>
          </w:p>
        </w:tc>
        <w:tc>
          <w:tcPr>
            <w:tcW w:w="0" w:type="auto"/>
          </w:tcPr>
          <w:p w14:paraId="2A51037F"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Technical Standardization Committee</w:t>
            </w:r>
          </w:p>
        </w:tc>
        <w:tc>
          <w:tcPr>
            <w:tcW w:w="0" w:type="auto"/>
          </w:tcPr>
          <w:p w14:paraId="00FFD5F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(entries); Unit (registry)</w:t>
            </w:r>
          </w:p>
        </w:tc>
      </w:tr>
      <w:tr w:rsidR="00DD1558" w:rsidRPr="00DD1558" w14:paraId="3CE8B24E" w14:textId="77777777" w:rsidTr="00C71E92">
        <w:tc>
          <w:tcPr>
            <w:tcW w:w="0" w:type="auto"/>
          </w:tcPr>
          <w:p w14:paraId="13B2703A"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PB2 Eligibility clauses</w:t>
            </w:r>
          </w:p>
        </w:tc>
        <w:tc>
          <w:tcPr>
            <w:tcW w:w="0" w:type="auto"/>
          </w:tcPr>
          <w:p w14:paraId="3F882555"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(drafts); Board (ratifies)</w:t>
            </w:r>
          </w:p>
        </w:tc>
        <w:tc>
          <w:tcPr>
            <w:tcW w:w="0" w:type="auto"/>
          </w:tcPr>
          <w:p w14:paraId="650CF38F"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Unit (check operation); custodians (compliance)</w:t>
            </w:r>
          </w:p>
        </w:tc>
      </w:tr>
      <w:tr w:rsidR="00DD1558" w:rsidRPr="00DD1558" w14:paraId="5FB2EC84" w14:textId="77777777" w:rsidTr="00C71E92">
        <w:tc>
          <w:tcPr>
            <w:tcW w:w="0" w:type="auto"/>
          </w:tcPr>
          <w:p w14:paraId="460D2FC1"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PB3 Joint/circular procurement rules</w:t>
            </w:r>
          </w:p>
        </w:tc>
        <w:tc>
          <w:tcPr>
            <w:tcW w:w="0" w:type="auto"/>
          </w:tcPr>
          <w:p w14:paraId="02EDDBA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(ratifies); Committee (drafts)</w:t>
            </w:r>
          </w:p>
        </w:tc>
        <w:tc>
          <w:tcPr>
            <w:tcW w:w="0" w:type="auto"/>
          </w:tcPr>
          <w:p w14:paraId="7A1055A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Departments, via Unit procurement liaison</w:t>
            </w:r>
          </w:p>
        </w:tc>
      </w:tr>
      <w:tr w:rsidR="00DD1558" w:rsidRPr="00DD1558" w14:paraId="1F8C6BA1" w14:textId="77777777" w:rsidTr="00C71E92">
        <w:tc>
          <w:tcPr>
            <w:tcW w:w="0" w:type="auto"/>
          </w:tcPr>
          <w:p w14:paraId="6E2876AA"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MB1 FEFO rotation</w:t>
            </w:r>
          </w:p>
        </w:tc>
        <w:tc>
          <w:tcPr>
            <w:tcW w:w="0" w:type="auto"/>
          </w:tcPr>
          <w:p w14:paraId="215D5B7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(standard); custodian supervisor (accountable)</w:t>
            </w:r>
          </w:p>
        </w:tc>
        <w:tc>
          <w:tcPr>
            <w:tcW w:w="0" w:type="auto"/>
          </w:tcPr>
          <w:p w14:paraId="158B641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(rotation, flagging)</w:t>
            </w:r>
          </w:p>
        </w:tc>
      </w:tr>
      <w:tr w:rsidR="00DD1558" w:rsidRPr="00DD1558" w14:paraId="29D24C58" w14:textId="77777777" w:rsidTr="00C71E92">
        <w:tc>
          <w:tcPr>
            <w:tcW w:w="0" w:type="auto"/>
          </w:tcPr>
          <w:p w14:paraId="6909B0B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MB2 Inter-lab sharing / redistribution</w:t>
            </w:r>
          </w:p>
        </w:tc>
        <w:tc>
          <w:tcPr>
            <w:tcW w:w="0" w:type="auto"/>
          </w:tcPr>
          <w:p w14:paraId="33CD4348"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(Inter-Lab Policy Framework)</w:t>
            </w:r>
          </w:p>
        </w:tc>
        <w:tc>
          <w:tcPr>
            <w:tcW w:w="0" w:type="auto"/>
          </w:tcPr>
          <w:p w14:paraId="649B0316"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Custodians (approval); technicians (execution)</w:t>
            </w:r>
          </w:p>
        </w:tc>
      </w:tr>
      <w:tr w:rsidR="00DD1558" w:rsidRPr="00DD1558" w14:paraId="349FD0FA" w14:textId="77777777" w:rsidTr="00C71E92">
        <w:tc>
          <w:tcPr>
            <w:tcW w:w="0" w:type="auto"/>
          </w:tcPr>
          <w:p w14:paraId="03C78E49"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MB3 Governed disposal protocols</w:t>
            </w:r>
          </w:p>
        </w:tc>
        <w:tc>
          <w:tcPr>
            <w:tcW w:w="0" w:type="auto"/>
          </w:tcPr>
          <w:p w14:paraId="19AA307B"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with safety &amp; compliance officer</w:t>
            </w:r>
          </w:p>
        </w:tc>
        <w:tc>
          <w:tcPr>
            <w:tcW w:w="0" w:type="auto"/>
          </w:tcPr>
          <w:p w14:paraId="3112ADB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Departments under Unit reporting</w:t>
            </w:r>
          </w:p>
        </w:tc>
      </w:tr>
      <w:tr w:rsidR="00DD1558" w:rsidRPr="00DD1558" w14:paraId="42C18E9B" w14:textId="77777777" w:rsidTr="00C71E92">
        <w:tc>
          <w:tcPr>
            <w:tcW w:w="0" w:type="auto"/>
          </w:tcPr>
          <w:p w14:paraId="7220CBD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EB1 Audit cadence</w:t>
            </w:r>
          </w:p>
        </w:tc>
        <w:tc>
          <w:tcPr>
            <w:tcW w:w="0" w:type="auto"/>
          </w:tcPr>
          <w:p w14:paraId="6F38690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Governance Board</w:t>
            </w:r>
          </w:p>
        </w:tc>
        <w:tc>
          <w:tcPr>
            <w:tcW w:w="0" w:type="auto"/>
          </w:tcPr>
          <w:p w14:paraId="6221B8F6"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Unit (reporting support)</w:t>
            </w:r>
          </w:p>
        </w:tc>
      </w:tr>
      <w:tr w:rsidR="00DD1558" w:rsidRPr="00DD1558" w14:paraId="4511D104" w14:textId="77777777" w:rsidTr="00C71E92">
        <w:tc>
          <w:tcPr>
            <w:tcW w:w="0" w:type="auto"/>
          </w:tcPr>
          <w:p w14:paraId="1688B6F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EB2 Data-quality indicators</w:t>
            </w:r>
          </w:p>
        </w:tc>
        <w:tc>
          <w:tcPr>
            <w:tcW w:w="0" w:type="auto"/>
          </w:tcPr>
          <w:p w14:paraId="15DFCF5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Digital Supply Chain Unit</w:t>
            </w:r>
          </w:p>
        </w:tc>
        <w:tc>
          <w:tcPr>
            <w:tcW w:w="0" w:type="auto"/>
          </w:tcPr>
          <w:p w14:paraId="4622EE03"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(entry discipline)</w:t>
            </w:r>
          </w:p>
        </w:tc>
      </w:tr>
      <w:tr w:rsidR="00DD1558" w:rsidRPr="00DD1558" w14:paraId="2C205E60" w14:textId="77777777" w:rsidTr="00C71E92">
        <w:tc>
          <w:tcPr>
            <w:tcW w:w="0" w:type="auto"/>
          </w:tcPr>
          <w:p w14:paraId="578C5DD2"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EB3 Custody-transfer protocol</w:t>
            </w:r>
          </w:p>
        </w:tc>
        <w:tc>
          <w:tcPr>
            <w:tcW w:w="0" w:type="auto"/>
          </w:tcPr>
          <w:p w14:paraId="3EF81330"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(policy); Committee (protocol content)</w:t>
            </w:r>
          </w:p>
        </w:tc>
        <w:tc>
          <w:tcPr>
            <w:tcW w:w="0" w:type="auto"/>
          </w:tcPr>
          <w:p w14:paraId="4E04E05E"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(condition records, logs)</w:t>
            </w:r>
          </w:p>
        </w:tc>
      </w:tr>
    </w:tbl>
    <w:p w14:paraId="70D155C0" w14:textId="4E27620F" w:rsidR="00DD1558" w:rsidRPr="00DD1558" w:rsidRDefault="00DD1558" w:rsidP="00DD1558">
      <w:pPr>
        <w:bidi w:val="0"/>
        <w:spacing w:line="240" w:lineRule="auto"/>
        <w:ind w:left="360"/>
        <w:jc w:val="both"/>
        <w:rPr>
          <w:rFonts w:ascii="Simplified Arabic" w:hAnsi="Simplified Arabic"/>
          <w:sz w:val="28"/>
        </w:rPr>
      </w:pPr>
      <w:r w:rsidRPr="00DD1558">
        <w:rPr>
          <w:rFonts w:ascii="Simplified Arabic" w:hAnsi="Simplified Arabic"/>
          <w:sz w:val="28"/>
        </w:rPr>
        <w:t>This architecture operationalizes Section 2’s framework in the precise sense its design principles demand: the Bow-Tie’s barrier list has been converted into an ownership list, the maturity model’s standardization-and-governance transitions have been embodied in standing bodies, and the continuity and environmental requirements of ISO 22301:2019 and ISO 14001:2015 have been located in specific mandates — continuity objectives and review in the Board, aspect control and the emergency interface in the Committee, capacity visibility in the Unit, and conformity-supporting execution in the technician role</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{"citationID":"1m3mp6hY","properties":{"unsorted":false,"formattedCitation":"(14001 ISO/IEC, 2015; 22301 ISO/IEC, 2019; Johnson et al., 2018)","plainCitation":"(14001 ISO/IEC, 2015; 22301 ISO/IEC, 2019; Johnson et al., 2018)","noteIndex":0},"citationItems":[{"id":462,"uris":["http://zotero.org/users/19711126/items/IVKJ9HPD"],"itemData":{"id":462,"type":"standard","title":"ISO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(14001 ISO/IEC, 2015; 22301 ISO/IEC, 2019; Johnson et al., 2018)</w:t>
      </w:r>
      <w:r w:rsidRPr="00DD1558">
        <w:rPr>
          <w:rFonts w:ascii="Simplified Arabic" w:hAnsi="Simplified Arabic"/>
          <w:sz w:val="28"/>
        </w:rPr>
        <w:fldChar w:fldCharType="end"/>
      </w:r>
      <w:r w:rsidRPr="00DD1558">
        <w:rPr>
          <w:rFonts w:ascii="Simplified Arabic" w:hAnsi="Simplified Arabic"/>
          <w:sz w:val="28"/>
        </w:rPr>
        <w:t xml:space="preserve">. </w:t>
      </w:r>
      <w:hyperlink w:anchor="Phase1" w:history="1">
        <w:r w:rsidRPr="00935DA7">
          <w:rPr>
            <w:rStyle w:val="Hyperlink"/>
            <w:rFonts w:ascii="Simplified Arabic" w:hAnsi="Simplified Arabic"/>
            <w:sz w:val="28"/>
          </w:rPr>
          <w:t>Phase 1</w:t>
        </w:r>
      </w:hyperlink>
      <w:r w:rsidRPr="00DD1558">
        <w:rPr>
          <w:rFonts w:ascii="Simplified Arabic" w:hAnsi="Simplified Arabic"/>
          <w:sz w:val="28"/>
        </w:rPr>
        <w:t xml:space="preserve"> (Governance Design)</w:t>
      </w:r>
      <w:r w:rsidRPr="00DD1558">
        <w:rPr>
          <w:rFonts w:ascii="Simplified Arabic" w:hAnsi="Simplified Arabic"/>
          <w:sz w:val="28"/>
          <w:rtl/>
        </w:rPr>
        <w:t xml:space="preserve"> </w:t>
      </w:r>
      <w:r w:rsidRPr="00DD1558">
        <w:rPr>
          <w:rFonts w:ascii="Simplified Arabic" w:hAnsi="Simplified Arabic"/>
          <w:sz w:val="28"/>
        </w:rPr>
        <w:t xml:space="preserve">therefore closes where Objective O4 opens: the </w:t>
      </w:r>
      <w:r w:rsidRPr="00DD1558">
        <w:rPr>
          <w:rFonts w:ascii="Simplified Arabic" w:hAnsi="Simplified Arabic"/>
          <w:sz w:val="28"/>
        </w:rPr>
        <w:lastRenderedPageBreak/>
        <w:t xml:space="preserve">implementation roadmap of later phases will sequence this architecture’s adoption — pilot-first in the Biology Department, readiness-gated by the maturity bands, digitalization deferred until the institution moves from Inform/Conform toward Managed/Normalized — so that implementation becomes the staged realization of a governed design rather than a leap into technological substitution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{"citationID":"QLR1jaoF","properties":{"unsorted":false,"formattedCitation":"(Dean et al., 2024; PMI, 2021; Rodr\\uc0\\u237{}guez-Abitia &amp; Bribiesca-Correa, 2021)","plainCitation":"(Dean et al., 2024; PMI, 2021; Rodríguez-Abitia &amp; Bribiesca-Correa,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(Dean et al., 2024; PMI, 2021; Rodríguez-Abitia &amp; Bribiesca-Correa, 2021)</w:t>
      </w:r>
      <w:r w:rsidRPr="00DD1558">
        <w:rPr>
          <w:rFonts w:ascii="Simplified Arabic" w:hAnsi="Simplified Arabic"/>
          <w:sz w:val="28"/>
        </w:rPr>
        <w:fldChar w:fldCharType="end"/>
      </w:r>
      <w:r w:rsidRPr="00DD1558">
        <w:rPr>
          <w:rFonts w:ascii="Simplified Arabic" w:hAnsi="Simplified Arabic"/>
          <w:sz w:val="28"/>
        </w:rPr>
        <w:t>.</w:t>
      </w:r>
    </w:p>
    <w:p w14:paraId="29D38E87" w14:textId="3FC5D6CC" w:rsidR="00DD1558" w:rsidRPr="00DD1558" w:rsidRDefault="00E275BE" w:rsidP="00E275BE">
      <w:pPr>
        <w:keepNext/>
        <w:keepLines/>
        <w:bidi w:val="0"/>
        <w:spacing w:before="160" w:after="80"/>
        <w:outlineLvl w:val="1"/>
        <w:rPr>
          <w:rFonts w:ascii="Simplified Arabic" w:eastAsiaTheme="majorEastAsia" w:hAnsi="Simplified Arabic" w:cstheme="majorBidi"/>
          <w:b/>
          <w:sz w:val="28"/>
          <w:szCs w:val="32"/>
        </w:rPr>
      </w:pPr>
      <w:bookmarkStart w:id="138" w:name="section42"/>
      <w:bookmarkStart w:id="139" w:name="_Toc237539758"/>
      <w:bookmarkEnd w:id="138"/>
      <w:r>
        <w:rPr>
          <w:rFonts w:ascii="Simplified Arabic" w:eastAsiaTheme="majorEastAsia" w:hAnsi="Simplified Arabic" w:cstheme="majorBidi"/>
          <w:b/>
          <w:sz w:val="28"/>
          <w:szCs w:val="32"/>
        </w:rPr>
        <w:t xml:space="preserve">4.2 </w:t>
      </w:r>
      <w:r w:rsidR="00DD1558" w:rsidRPr="00DD1558">
        <w:rPr>
          <w:rFonts w:ascii="Simplified Arabic" w:eastAsiaTheme="majorEastAsia" w:hAnsi="Simplified Arabic" w:cstheme="majorBidi"/>
          <w:b/>
          <w:sz w:val="28"/>
          <w:szCs w:val="32"/>
        </w:rPr>
        <w:t>Multi-Dimensional Feasibility Assessment</w:t>
      </w:r>
      <w:bookmarkEnd w:id="139"/>
    </w:p>
    <w:p w14:paraId="340F9A8C" w14:textId="39C3D20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w:t>
      </w:r>
      <w:r w:rsidR="00144B9A" w:rsidRPr="00144B9A">
        <w:rPr>
          <w:rFonts w:ascii="Simplified Arabic" w:eastAsia="Times New Roman" w:hAnsi="Simplified Arabic" w:cs="Simplified Arabic"/>
          <w:color w:val="1A1A1A"/>
          <w:sz w:val="28"/>
          <w:szCs w:val="28"/>
          <w14:ligatures w14:val="none"/>
        </w:rPr>
        <w:t>of this thesis diagnosed the decentralized inventory regime of a large public science faculty within a Saudi higher education institution as a Risk Maturity Gap (Section 1), constructed an integrated framework to close that gap (Section 2), and institutionalized the framework in a three-tier governance architecture—an Academic Inventory Governance Board, a Technical Standardization Committee, and a Digital Supply Chain Unit, with laboratory technicians executing bounded operational workflows</w:t>
      </w:r>
      <w:r w:rsidRPr="00DD1558">
        <w:rPr>
          <w:rFonts w:ascii="Simplified Arabic" w:eastAsia="Times New Roman" w:hAnsi="Simplified Arabic" w:cs="Simplified Arabic"/>
          <w:color w:val="1A1A1A"/>
          <w:sz w:val="28"/>
          <w:szCs w:val="28"/>
          <w14:ligatures w14:val="none"/>
        </w:rPr>
        <w:t xml:space="preserve"> (</w:t>
      </w:r>
      <w:hyperlink w:anchor="section41" w:history="1">
        <w:r w:rsidR="00752112" w:rsidRPr="00BD4D84">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 xml:space="preserve">).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now subjects that design to evaluation before any implementation is proposed, beginning with the present section: a multi-dimensional feasibility assessment across organizational and governance, financial and fiscal, technical and operational, and environmental and sustainability dimensions. The assessment addresses Research Objective O2 (evaluation of the participatory inventory approach) and supplies the analytical structure — the rating vocabulary and the readiness gates G1–G4 — upon which </w:t>
      </w:r>
      <w:hyperlink w:anchor="section292" w:history="1">
        <w:r w:rsidR="000A422D" w:rsidRPr="00BD4D84">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’s risk register, </w:t>
      </w:r>
      <w:hyperlink w:anchor="section417" w:history="1">
        <w:r w:rsidR="000F1211" w:rsidRPr="00BD4D84">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’s indicator set, and </w:t>
      </w:r>
      <w:hyperlink w:anchor="Section416" w:history="1">
        <w:r w:rsidR="000F1211" w:rsidRPr="00BD4D84">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’s implementation roadmap are built. Consistent with the study’s binding methodology, the assessment is wholly qualitative: it reasons from the structural analysis of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from the requirements of the anchor standards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{"citationID":"FL8d7eRs","properties":{"unsorted":false,"formattedCitation":"(14001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and from documented practice in the verified literature, and it advances no empirical claims of any kind.</w:t>
      </w:r>
    </w:p>
    <w:p w14:paraId="55A8CDF7"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0" w:name="_Toc237539759"/>
      <w:r w:rsidRPr="00DD1558">
        <w:rPr>
          <w:rFonts w:ascii="Simplified Arabic" w:eastAsiaTheme="majorEastAsia" w:hAnsi="Simplified Arabic" w:cstheme="majorBidi"/>
          <w:sz w:val="28"/>
          <w:szCs w:val="28"/>
        </w:rPr>
        <w:lastRenderedPageBreak/>
        <w:t>4.2.1 Assessment Logic: Qualitative Feasibility in a Design Study</w:t>
      </w:r>
      <w:bookmarkEnd w:id="140"/>
    </w:p>
    <w:p w14:paraId="47F2662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Feasibility assessment conventionally invokes measured evidence — pilot results, cost figures, adoption statistics. None of these is available to, or appropriate for, a pre-implementation design study, and this thesis does not simulate them. The project management discipline itself licenses the alternative adopted here: the PMBOK Guide treats feasibility analysis as structured judgment about alignment between a proposed undertaking and the organization’s strategy, governance, capability, and constraints, conducted before execution begins and tailored to context (Project Management Institute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{"citationID":"M2767dnc","properties":{"unsorted":false,"formattedCitation":"(PMI, 2021; Takagi et al., 2024)","plainCitation":"(PMI, 2021; Takagi et al., 2024)","noteIndex":0},"citationItems":[{"id":490,"uris":["http://zotero.org/users/19711126/items/LY4H4ZEI"],"itemData":{"id":490,"type":"book","abstract":"PMBOK®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correct question in such a setting is not “what score does the design achieve?” but “does the design fit the institution’s governance, resources, processes, and obligations — and where it does not yet fit, what must be true for it to fit?” Feasibility is therefore judged by three kinds of evidence, and only these:</w:t>
      </w:r>
    </w:p>
    <w:p w14:paraId="3945D5D0" w14:textId="5E228335" w:rsidR="00DD1558" w:rsidRPr="00DD1558" w:rsidRDefault="00DD1558" w:rsidP="00DD1558">
      <w:pPr>
        <w:numPr>
          <w:ilvl w:val="0"/>
          <w:numId w:val="17"/>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Structural analysis from Phase 1.</w:t>
      </w:r>
      <w:r w:rsidRPr="00DD1558">
        <w:rPr>
          <w:rFonts w:ascii="Simplified Arabic" w:eastAsia="Cambria" w:hAnsi="Simplified Arabic" w:cs="Simplified Arabic"/>
          <w:color w:val="212121"/>
          <w:sz w:val="28"/>
          <w:szCs w:val="28"/>
          <w14:ligatures w14:val="none"/>
        </w:rPr>
        <w:t xml:space="preserve"> The maturity-gap diagnosis (</w:t>
      </w:r>
      <w:hyperlink w:anchor="section22" w:history="1">
        <w:r w:rsidRPr="00BD4D84">
          <w:rPr>
            <w:rStyle w:val="Hyperlink"/>
            <w:rFonts w:ascii="Simplified Arabic" w:eastAsia="Cambria" w:hAnsi="Simplified Arabic" w:cs="Simplified Arabic"/>
            <w:sz w:val="28"/>
            <w:szCs w:val="28"/>
            <w14:ligatures w14:val="none"/>
          </w:rPr>
          <w:t>Section 2.2</w:t>
        </w:r>
      </w:hyperlink>
      <w:r w:rsidRPr="00DD1558">
        <w:rPr>
          <w:rFonts w:ascii="Simplified Arabic" w:eastAsia="Cambria" w:hAnsi="Simplified Arabic" w:cs="Simplified Arabic"/>
          <w:color w:val="212121"/>
          <w:sz w:val="28"/>
          <w:szCs w:val="28"/>
          <w14:ligatures w14:val="none"/>
        </w:rPr>
        <w:t>), the Bow-Tie barrier architecture (</w:t>
      </w:r>
      <w:hyperlink w:anchor="section293" w:history="1">
        <w:r w:rsidR="009D553E" w:rsidRPr="00BD4D84">
          <w:rPr>
            <w:rStyle w:val="Hyperlink"/>
            <w:rFonts w:ascii="Simplified Arabic" w:eastAsia="Cambria" w:hAnsi="Simplified Arabic" w:cs="Simplified Arabic"/>
            <w:sz w:val="28"/>
            <w:szCs w:val="28"/>
            <w14:ligatures w14:val="none"/>
          </w:rPr>
          <w:t>Section 2.9.3</w:t>
        </w:r>
      </w:hyperlink>
      <w:r w:rsidRPr="00DD1558">
        <w:rPr>
          <w:rFonts w:ascii="Simplified Arabic" w:eastAsia="Cambria" w:hAnsi="Simplified Arabic" w:cs="Simplified Arabic"/>
          <w:color w:val="212121"/>
          <w:sz w:val="28"/>
          <w:szCs w:val="28"/>
          <w14:ligatures w14:val="none"/>
        </w:rPr>
        <w:t>), and the governance design (</w:t>
      </w:r>
      <w:hyperlink w:anchor="section41" w:history="1">
        <w:r w:rsidR="00752112" w:rsidRPr="00BD4D84">
          <w:rPr>
            <w:rStyle w:val="Hyperlink"/>
            <w:rFonts w:ascii="Simplified Arabic" w:eastAsia="Cambria" w:hAnsi="Simplified Arabic" w:cs="Simplified Arabic"/>
            <w:sz w:val="28"/>
            <w:szCs w:val="28"/>
            <w14:ligatures w14:val="none"/>
          </w:rPr>
          <w:t>Section 4.1</w:t>
        </w:r>
      </w:hyperlink>
      <w:r w:rsidRPr="00DD1558">
        <w:rPr>
          <w:rFonts w:ascii="Simplified Arabic" w:eastAsia="Cambria" w:hAnsi="Simplified Arabic" w:cs="Simplified Arabic"/>
          <w:color w:val="212121"/>
          <w:sz w:val="28"/>
          <w:szCs w:val="28"/>
          <w14:ligatures w14:val="none"/>
        </w:rPr>
        <w:t>) specify what the framework demands of the institution and what the institution already provides; a feasibility judgment is, in the first instance, a comparison of design demand against institutional supply.</w:t>
      </w:r>
    </w:p>
    <w:p w14:paraId="472858C4" w14:textId="77777777" w:rsidR="00DD1558" w:rsidRPr="00DD1558" w:rsidRDefault="00DD1558" w:rsidP="00DD1558">
      <w:pPr>
        <w:numPr>
          <w:ilvl w:val="0"/>
          <w:numId w:val="17"/>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Standards conformity.</w:t>
      </w:r>
      <w:r w:rsidRPr="00DD1558">
        <w:rPr>
          <w:rFonts w:ascii="Simplified Arabic" w:eastAsia="Cambria" w:hAnsi="Simplified Arabic" w:cs="Simplified Arabic"/>
          <w:color w:val="212121"/>
          <w:sz w:val="28"/>
          <w:szCs w:val="28"/>
          <w14:ligatures w14:val="none"/>
        </w:rPr>
        <w:t xml:space="preserve"> Where the framework adopts the requirements of ISO 22301:2019 and ISO 14001:2015 — business impact analysis (BIA) logic, prioritized activities, competence and awareness provisions, environmental aspect control, evaluation of compliance obligations — conformity is itself evidence of feasibility, because the standards encode internationally consolidated practice for exactly the organizational capabilities at issue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{"citationID":"FpM5m6sp","properties":{"unsorted":false,"formattedCitation":"(14001 ISO/IEC, 2015; 22301 ISO/IEC, 2019; 31000 ISO/IEC, 2018)","plainCitation":"(14001 ISO/IEC, 2015; 22301 ISO/IEC, 2019; 31000 ISO/IEC, 2018)","noteIndex":0},"citationItems":[{"id":462,"uris":["http://zotero.org/users/19711126/items/IVKJ9HPD"],"itemData":{"id":462,"type":"standard","title":"ISO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 22301 ISO/IEC, 2019; 31000 ISO/IEC, 2018)</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71E226A0" w14:textId="77777777" w:rsidR="00DD1558" w:rsidRPr="00DD1558" w:rsidRDefault="00DD1558" w:rsidP="00DD1558">
      <w:pPr>
        <w:numPr>
          <w:ilvl w:val="0"/>
          <w:numId w:val="17"/>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Documented practice in verified literature.</w:t>
      </w:r>
      <w:r w:rsidRPr="00DD1558">
        <w:rPr>
          <w:rFonts w:ascii="Simplified Arabic" w:eastAsia="Cambria" w:hAnsi="Simplified Arabic" w:cs="Simplified Arabic"/>
          <w:color w:val="212121"/>
          <w:sz w:val="28"/>
          <w:szCs w:val="28"/>
          <w14:ligatures w14:val="none"/>
        </w:rPr>
        <w:t xml:space="preserve"> Feasibility claims are corroborated where the mechanism specified — eligibility checks before requisition, shared-</w:t>
      </w:r>
      <w:r w:rsidRPr="00DD1558">
        <w:rPr>
          <w:rFonts w:ascii="Simplified Arabic" w:eastAsia="Cambria" w:hAnsi="Simplified Arabic" w:cs="Simplified Arabic"/>
          <w:color w:val="212121"/>
          <w:sz w:val="28"/>
          <w:szCs w:val="28"/>
          <w14:ligatures w14:val="none"/>
        </w:rPr>
        <w:lastRenderedPageBreak/>
        <w:t xml:space="preserve">access regimes, date-ordered stock rotation, governed disposal — is documented as functioning practice in comparable laboratory, campus, or public-sector settings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{"citationID":"CSp5QbmS","properties":{"unsorted":false,"formattedCitation":"(Durgan et al., 2023; S\\uc0\\u246{}nnichsen &amp; Clement, 2020; Strom et al., 2020; Zhu &amp; Liu, 2021)","plainCitation":"(Durgan et al., 2023; Sönnichsen &amp; Clement, 2020; Strom et al., 2020; Zhu &amp; Liu, 2021)","noteIndex":0},"citationItems":[{"id":432,"uris":["http://zotero.org/users/19711126/items/Q74PR9A9"],"itemData":{"id":432,"type":"article-journal","abstract":"Scientific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(Durgan et al., 2023; Sönnichsen &amp; Clement, 2020; Strom et al., 2020; Zhu &amp; Liu,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0BF0B6A6" w14:textId="774B3D8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To express these judgments without pretending to measurement, the study defines a three-level qualitative rating vocabulary, used consistently throughout Sections </w:t>
      </w:r>
      <w:hyperlink w:anchor="section42" w:history="1">
        <w:r w:rsidRPr="00BD4D84">
          <w:rPr>
            <w:rStyle w:val="Hyperlink"/>
            <w:rFonts w:ascii="Simplified Arabic" w:eastAsia="Times New Roman" w:hAnsi="Simplified Arabic" w:cs="Simplified Arabic"/>
            <w:sz w:val="28"/>
            <w:szCs w:val="28"/>
            <w14:ligatures w14:val="none"/>
          </w:rPr>
          <w:t>4</w:t>
        </w:r>
        <w:r w:rsidR="00BD4D84" w:rsidRPr="00BD4D84">
          <w:rPr>
            <w:rStyle w:val="Hyperlink"/>
            <w:rFonts w:ascii="Simplified Arabic" w:eastAsia="Times New Roman" w:hAnsi="Simplified Arabic" w:cs="Simplified Arabic"/>
            <w:sz w:val="28"/>
            <w:szCs w:val="28"/>
            <w14:ligatures w14:val="none"/>
          </w:rPr>
          <w:t>.2</w:t>
        </w:r>
      </w:hyperlink>
      <w:r w:rsidR="00BD4D84">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w:t>
      </w:r>
      <w:r w:rsidR="00BD4D84">
        <w:rPr>
          <w:rFonts w:ascii="Simplified Arabic" w:eastAsia="Times New Roman" w:hAnsi="Simplified Arabic" w:cs="Simplified Arabic"/>
          <w:color w:val="1A1A1A"/>
          <w:sz w:val="28"/>
          <w:szCs w:val="28"/>
          <w14:ligatures w14:val="none"/>
        </w:rPr>
        <w:t xml:space="preserve"> </w:t>
      </w:r>
      <w:hyperlink w:anchor="section45" w:history="1">
        <w:r w:rsidR="00BD4D84" w:rsidRPr="00BD4D84">
          <w:rPr>
            <w:rStyle w:val="Hyperlink"/>
            <w:rFonts w:ascii="Simplified Arabic" w:eastAsia="Times New Roman" w:hAnsi="Simplified Arabic" w:cs="Simplified Arabic"/>
            <w:sz w:val="28"/>
            <w:szCs w:val="28"/>
            <w14:ligatures w14:val="none"/>
          </w:rPr>
          <w:t>4.5</w:t>
        </w:r>
      </w:hyperlink>
      <w:r w:rsidRPr="00DD1558">
        <w:rPr>
          <w:rFonts w:ascii="Simplified Arabic" w:eastAsia="Times New Roman" w:hAnsi="Simplified Arabic" w:cs="Simplified Arabic"/>
          <w:color w:val="1A1A1A"/>
          <w:sz w:val="28"/>
          <w:szCs w:val="28"/>
          <w14:ligatures w14:val="none"/>
        </w:rPr>
        <w:t>:</w:t>
      </w:r>
    </w:p>
    <w:p w14:paraId="2C9BAEC9"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Strong</w:t>
      </w:r>
      <w:r w:rsidRPr="00DD1558">
        <w:rPr>
          <w:rFonts w:ascii="Simplified Arabic" w:eastAsia="Cambria" w:hAnsi="Simplified Arabic" w:cs="Simplified Arabic"/>
          <w:color w:val="212121"/>
          <w:sz w:val="28"/>
          <w:szCs w:val="28"/>
          <w14:ligatures w14:val="none"/>
        </w:rPr>
        <w:t xml:space="preserve"> — feasible under current conditions, with existing resources, roles, and authority; no policy precondition must be satisfied first. A Strong rating asserts that nothing in the design exceeds what the institution can do today by decision of competent existing bodies.</w:t>
      </w:r>
    </w:p>
    <w:p w14:paraId="6B8D1C80"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Conditional</w:t>
      </w:r>
      <w:r w:rsidRPr="00DD1558">
        <w:rPr>
          <w:rFonts w:ascii="Simplified Arabic" w:eastAsia="Cambria" w:hAnsi="Simplified Arabic" w:cs="Simplified Arabic"/>
          <w:color w:val="212121"/>
          <w:sz w:val="28"/>
          <w:szCs w:val="28"/>
          <w14:ligatures w14:val="none"/>
        </w:rPr>
        <w:t xml:space="preserve"> — feasible once a specified policy condition or readiness gate is met. A Conditional rating names the condition explicitly: it is not a reservation but a design statement, identifying precisely which ratification, appointment, or standard converts the sub-criterion from latent to actual.</w:t>
      </w:r>
    </w:p>
    <w:p w14:paraId="1F8B3F48"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Contingent</w:t>
      </w:r>
      <w:r w:rsidRPr="00DD1558">
        <w:rPr>
          <w:rFonts w:ascii="Simplified Arabic" w:eastAsia="Cambria" w:hAnsi="Simplified Arabic" w:cs="Simplified Arabic"/>
          <w:color w:val="212121"/>
          <w:sz w:val="28"/>
          <w:szCs w:val="28"/>
          <w14:ligatures w14:val="none"/>
        </w:rPr>
        <w:t xml:space="preserve"> — feasibility depends on factors outside the framework’s direct control (for example, university-level information technology provision); the element requires monitoring rather than a single gate, and the framework is designed so that its core functions do not depend on the contingent element succeeding.</w:t>
      </w:r>
    </w:p>
    <w:p w14:paraId="3C076C79" w14:textId="309FEBA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Complementing the ratings, the study defines </w:t>
      </w:r>
      <w:r w:rsidRPr="00DD1558">
        <w:rPr>
          <w:rFonts w:ascii="Simplified Arabic" w:eastAsia="Times New Roman" w:hAnsi="Simplified Arabic" w:cs="Simplified Arabic"/>
          <w:b/>
          <w:bCs/>
          <w:color w:val="1A1A1A"/>
          <w:sz w:val="28"/>
          <w:szCs w:val="28"/>
          <w14:ligatures w14:val="none"/>
        </w:rPr>
        <w:t>analytical readiness gates</w:t>
      </w:r>
      <w:r w:rsidRPr="00DD1558">
        <w:rPr>
          <w:rFonts w:ascii="Simplified Arabic" w:eastAsia="Times New Roman" w:hAnsi="Simplified Arabic" w:cs="Simplified Arabic"/>
          <w:color w:val="1A1A1A"/>
          <w:sz w:val="28"/>
          <w:szCs w:val="28"/>
          <w14:ligatures w14:val="none"/>
        </w:rPr>
        <w:t xml:space="preserve"> as policy-controlled checkpoints with explicit criteria: points in the adoption sequence at which a named governance body verifies, against documented evidence, that defined conditions hold before the next phase is activated. Gates are analytical rather than empirical: their criteria are structural (policies ratified, roles appointed, records conformant, workflows demonstrated), verified by inspection of documented information in the sense of clause 7.5 of both anchor standards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{"citationID":"elZTgcp3","properties":{"unsorted":false,"formattedCitation":"(14001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not by sampled metrics. Four gates — G1 policy ratification, G2 data readiness, G3 pilot workflow integrity, </w:t>
      </w:r>
      <w:r w:rsidRPr="00DD1558">
        <w:rPr>
          <w:rFonts w:ascii="Simplified Arabic" w:eastAsia="Times New Roman" w:hAnsi="Simplified Arabic" w:cs="Simplified Arabic"/>
          <w:color w:val="1A1A1A"/>
          <w:sz w:val="28"/>
          <w:szCs w:val="28"/>
          <w14:ligatures w14:val="none"/>
        </w:rPr>
        <w:lastRenderedPageBreak/>
        <w:t xml:space="preserve">and G4 digital platform readiness — are specified in </w:t>
      </w:r>
      <w:hyperlink w:anchor="section46" w:history="1">
        <w:r w:rsidRPr="00BD4D84">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and structure the roadmap of </w:t>
      </w:r>
      <w:hyperlink w:anchor="Section416" w:history="1">
        <w:r w:rsidR="000F1211" w:rsidRPr="00BD4D84">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Every judgment in Sections </w:t>
      </w:r>
      <w:hyperlink w:anchor="section42" w:history="1">
        <w:r w:rsidRPr="00BD4D84">
          <w:rPr>
            <w:rStyle w:val="Hyperlink"/>
            <w:rFonts w:ascii="Simplified Arabic" w:eastAsia="Times New Roman" w:hAnsi="Simplified Arabic" w:cs="Simplified Arabic"/>
            <w:sz w:val="28"/>
            <w:szCs w:val="28"/>
            <w14:ligatures w14:val="none"/>
          </w:rPr>
          <w:t>4.2</w:t>
        </w:r>
      </w:hyperlink>
      <w:r w:rsidR="00BD4D84">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w:t>
      </w:r>
      <w:r w:rsidR="00BD4D84">
        <w:rPr>
          <w:rFonts w:ascii="Simplified Arabic" w:eastAsia="Times New Roman" w:hAnsi="Simplified Arabic" w:cs="Simplified Arabic"/>
          <w:color w:val="1A1A1A"/>
          <w:sz w:val="28"/>
          <w:szCs w:val="28"/>
          <w14:ligatures w14:val="none"/>
        </w:rPr>
        <w:t xml:space="preserve"> </w:t>
      </w:r>
      <w:hyperlink w:anchor="section45" w:history="1">
        <w:r w:rsidRPr="00BD4D84">
          <w:rPr>
            <w:rStyle w:val="Hyperlink"/>
            <w:rFonts w:ascii="Simplified Arabic" w:eastAsia="Times New Roman" w:hAnsi="Simplified Arabic" w:cs="Simplified Arabic"/>
            <w:sz w:val="28"/>
            <w:szCs w:val="28"/>
            <w14:ligatures w14:val="none"/>
          </w:rPr>
          <w:t>4.5</w:t>
        </w:r>
      </w:hyperlink>
      <w:r w:rsidRPr="00DD1558">
        <w:rPr>
          <w:rFonts w:ascii="Simplified Arabic" w:eastAsia="Times New Roman" w:hAnsi="Simplified Arabic" w:cs="Simplified Arabic"/>
          <w:color w:val="1A1A1A"/>
          <w:sz w:val="28"/>
          <w:szCs w:val="28"/>
          <w14:ligatures w14:val="none"/>
        </w:rPr>
        <w:t xml:space="preserve"> closes by stating its rating and, where Conditional or Contingent, the exact governing condition, so that the section’s conclusions are auditable against the same evidentiary discipline the framework demands of the institution.</w:t>
      </w:r>
    </w:p>
    <w:p w14:paraId="03D92418"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1" w:name="_Toc237539760"/>
      <w:r w:rsidRPr="00DD1558">
        <w:rPr>
          <w:rFonts w:ascii="Simplified Arabic" w:eastAsiaTheme="majorEastAsia" w:hAnsi="Simplified Arabic" w:cstheme="majorBidi"/>
          <w:sz w:val="28"/>
          <w:szCs w:val="28"/>
        </w:rPr>
        <w:t>4.2.2 Organizational &amp; Governance Feasibility</w:t>
      </w:r>
      <w:bookmarkEnd w:id="141"/>
    </w:p>
    <w:p w14:paraId="3C4A60CB" w14:textId="1C31B4E6"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organizational question is whether the governance architecture of </w:t>
      </w:r>
      <w:hyperlink w:anchor="section411" w:history="1">
        <w:r w:rsidR="00752112" w:rsidRPr="00BD4D84">
          <w:rPr>
            <w:rStyle w:val="Hyperlink"/>
            <w:rFonts w:ascii="Simplified Arabic" w:eastAsia="Times New Roman" w:hAnsi="Simplified Arabic" w:cs="Simplified Arabic"/>
            <w:sz w:val="28"/>
            <w:szCs w:val="28"/>
            <w14:ligatures w14:val="none"/>
          </w:rPr>
          <w:t>Section 4.1.1</w:t>
        </w:r>
      </w:hyperlink>
      <w:r w:rsidRPr="00DD1558">
        <w:rPr>
          <w:rFonts w:ascii="Simplified Arabic" w:eastAsia="Times New Roman" w:hAnsi="Simplified Arabic" w:cs="Simplified Arabic"/>
          <w:color w:val="1A1A1A"/>
          <w:sz w:val="28"/>
          <w:szCs w:val="28"/>
          <w14:ligatures w14:val="none"/>
        </w:rPr>
        <w:t xml:space="preserve"> can be constituted and sustained within the College of Science as it exists. The structural analysis suggests that it can, for three reasons.</w:t>
      </w:r>
    </w:p>
    <w:p w14:paraId="0C702ECE" w14:textId="743238B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First, the architecture is </w:t>
      </w:r>
      <w:r w:rsidRPr="00DD1558">
        <w:rPr>
          <w:rFonts w:ascii="Simplified Arabic" w:eastAsia="Times New Roman" w:hAnsi="Simplified Arabic" w:cs="Simplified Arabic"/>
          <w:b/>
          <w:bCs/>
          <w:color w:val="1A1A1A"/>
          <w:sz w:val="28"/>
          <w:szCs w:val="28"/>
          <w14:ligatures w14:val="none"/>
        </w:rPr>
        <w:t>ratifiable within existing governance</w:t>
      </w:r>
      <w:r w:rsidRPr="00DD1558">
        <w:rPr>
          <w:rFonts w:ascii="Simplified Arabic" w:eastAsia="Times New Roman" w:hAnsi="Simplified Arabic" w:cs="Simplified Arabic"/>
          <w:color w:val="1A1A1A"/>
          <w:sz w:val="28"/>
          <w:szCs w:val="28"/>
          <w14:ligatures w14:val="none"/>
        </w:rPr>
        <w:t xml:space="preserve">: it creates no statutory body, no new faculty rank, and no authority that crosses university financial regulations. The Board, the Committee, and the Unit are constituted by delegation from existing college leadership, with mandates attached to roles the college already possesses in analogous form (departmental councils, safety committees, administrative support units). This is a deliberate design property: </w:t>
      </w:r>
      <w:r w:rsidR="00752112" w:rsidRPr="00752112">
        <w:rPr>
          <w:rFonts w:ascii="Simplified Arabic" w:eastAsia="Times New Roman" w:hAnsi="Simplified Arabic" w:cs="Simplified Arabic"/>
          <w:color w:val="1A1A1A"/>
          <w:sz w:val="28"/>
          <w:szCs w:val="28"/>
          <w14:ligatures w14:val="none"/>
        </w:rPr>
        <w:t>Section 4.1.1</w:t>
      </w:r>
      <w:r w:rsidRPr="00DD1558">
        <w:rPr>
          <w:rFonts w:ascii="Simplified Arabic" w:eastAsia="Times New Roman" w:hAnsi="Simplified Arabic" w:cs="Simplified Arabic"/>
          <w:color w:val="1A1A1A"/>
          <w:sz w:val="28"/>
          <w:szCs w:val="28"/>
          <w14:ligatures w14:val="none"/>
        </w:rPr>
        <w:t xml:space="preserve">’s </w:t>
      </w:r>
      <w:hyperlink w:anchor="Principle3" w:history="1">
        <w:r w:rsidRPr="00DD1558">
          <w:rPr>
            <w:rFonts w:ascii="Simplified Arabic" w:eastAsia="Times New Roman" w:hAnsi="Simplified Arabic" w:cs="Simplified Arabic"/>
            <w:color w:val="467886" w:themeColor="hyperlink"/>
            <w:sz w:val="28"/>
            <w:szCs w:val="28"/>
            <w:u w:val="single"/>
            <w14:ligatures w14:val="none"/>
          </w:rPr>
          <w:t>Principle 3</w:t>
        </w:r>
      </w:hyperlink>
      <w:r w:rsidRPr="00DD1558">
        <w:rPr>
          <w:rFonts w:ascii="Simplified Arabic" w:eastAsia="Times New Roman" w:hAnsi="Simplified Arabic" w:cs="Simplified Arabic"/>
          <w:color w:val="1A1A1A"/>
          <w:sz w:val="28"/>
          <w:szCs w:val="28"/>
          <w14:ligatures w14:val="none"/>
        </w:rPr>
        <w:t xml:space="preserve"> (proportionate authority) confined everybody to authority commensurate with existing accountability, precisely so that constitution would require delegation rather than legislation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{"citationID":"ppjOMzwE","properties":{"unsorted":false,"formattedCitation":"(14001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5.3;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{"citationID":"vO6p7eGl","properties":{"unsorted":false,"formattedCitation":"(22301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5.3). The collaborative-governance literature supports this logic: participatory arrangements succeed where decision rights, procedural clarity, and facilitation by legitimate authority are present, and decay into nominal compliance where participation is invited without allocated rights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{"citationID":"Gsp1olTL","properties":{"unsorted":false,"formattedCitation":"(Ahn &amp; Baldwin, 2024; Gestel &amp; Grotenbreg, 2021; Lopes &amp; Farias, 2022)","plainCitation":"(Ahn &amp; Baldwin, 2024; Gestel &amp; Grotenbreg, 2021;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Gestel &amp; Grotenbreg, 2021;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architecture allocates rights explicitly — the Board decides, the Committee drafts, the Unit operates, custodian departments approve loans, technicians execute and escalate — which is exactly the condition the literature identifies as decisive.</w:t>
      </w:r>
    </w:p>
    <w:p w14:paraId="46C04D4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Second, the architecture is </w:t>
      </w:r>
      <w:r w:rsidRPr="00DD1558">
        <w:rPr>
          <w:rFonts w:ascii="Simplified Arabic" w:eastAsia="Times New Roman" w:hAnsi="Simplified Arabic" w:cs="Simplified Arabic"/>
          <w:b/>
          <w:bCs/>
          <w:color w:val="1A1A1A"/>
          <w:sz w:val="28"/>
          <w:szCs w:val="28"/>
          <w14:ligatures w14:val="none"/>
        </w:rPr>
        <w:t>enforceable through instruments the standards already define</w:t>
      </w:r>
      <w:r w:rsidRPr="00DD1558">
        <w:rPr>
          <w:rFonts w:ascii="Simplified Arabic" w:eastAsia="Times New Roman" w:hAnsi="Simplified Arabic" w:cs="Simplified Arabic"/>
          <w:color w:val="1A1A1A"/>
          <w:sz w:val="28"/>
          <w:szCs w:val="28"/>
          <w14:ligatures w14:val="none"/>
        </w:rPr>
        <w:t>. Policy existence is not policy enforcement: Section 2 identified unenforced policy as escalation factor EF1 and assigned escalation-factor barrier EB1 — an audit cadence with management review — against it. Both anchor standards supply the machinery in clauses 9.2 (internal audit) and 9.3 (management review), adopted here by analogue as termly Board review, annual management review, and documented corrective action under the Annex SL improvement cycle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{"citationID":"HQ5UAStL","properties":{"unsorted":false,"formattedCitation":"(14001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9.2–9.3, 10;</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{"citationID":"mtMeVTxK","properties":{"unsorted":false,"formattedCitation":"(22301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9.2–9.3, 10). Enforceability thus rests on documented information and review cadence rather than on any new disciplinary power, keeping the framework compatible with academic self-governance.</w:t>
      </w:r>
    </w:p>
    <w:p w14:paraId="5A60AE33" w14:textId="37DDAD8C"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Third, the </w:t>
      </w:r>
      <w:r w:rsidRPr="00DD1558">
        <w:rPr>
          <w:rFonts w:ascii="Simplified Arabic" w:eastAsia="Times New Roman" w:hAnsi="Simplified Arabic" w:cs="Simplified Arabic"/>
          <w:b/>
          <w:bCs/>
          <w:color w:val="1A1A1A"/>
          <w:sz w:val="28"/>
          <w:szCs w:val="28"/>
          <w14:ligatures w14:val="none"/>
        </w:rPr>
        <w:t>institutional setting is an enabler rather than an obstacle</w:t>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The host institution’s single integrated mega-campus concentrates the science faculty’s laboratories in physical and administrative proximity, so that loans and redistribution operate within one campus rather than across a distributed estate—a structural advantage for custody transfer and supervision that the equipment-sharing literature treats as non-trivial</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{"citationID":"UcGtLqrj","properties":{"unsorted":false,"formattedCitation":"(Adami et al., 2021; Strom et al., 2020)","plainCitation":"(Adami et al., 2021; Strom et al., 2020)","noteIndex":0},"citationItems":[{"id":388,"uris":["http://zotero.org/users/19711126/items/UMKLAE3V"],"itemData":{"id":388,"type":"article-journal","abstract":"Core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At the strategic level, Saudi Vision 2030’s emphasis on fiscal efficiency, sustainability, and digital transformation provides institutional sponsorship: reforms of this kind are legible to university leadership as contributions to national priorities, and the Saudi higher-education literature documents both the pull of that alignment and the governance effort it demands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{"citationID":"EDTsQeDg","properties":{"unsorted":false,"formattedCitation":"(Alamoudi et al., 2023; Alshammari, 2025)","plainCitation":"(Alamoudi et al., 2023; Alshammari, 2025)","noteIndex":0},"citationItems":[{"id":397,"uris":["http://zotero.org/users/19711126/items/NXW23TK2"],"itemData":{"id":397,"type":"article-journal","abstract":"Cities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Alshammari,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A07B07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dimension is nonetheless rated </w:t>
      </w:r>
      <w:r w:rsidRPr="00DD1558">
        <w:rPr>
          <w:rFonts w:ascii="Simplified Arabic" w:eastAsia="Times New Roman" w:hAnsi="Simplified Arabic" w:cs="Simplified Arabic"/>
          <w:b/>
          <w:bCs/>
          <w:color w:val="1A1A1A"/>
          <w:sz w:val="28"/>
          <w:szCs w:val="28"/>
          <w14:ligatures w14:val="none"/>
        </w:rPr>
        <w:t>Conditional</w:t>
      </w:r>
      <w:r w:rsidRPr="00DD1558">
        <w:rPr>
          <w:rFonts w:ascii="Simplified Arabic" w:eastAsia="Times New Roman" w:hAnsi="Simplified Arabic" w:cs="Simplified Arabic"/>
          <w:color w:val="1A1A1A"/>
          <w:sz w:val="28"/>
          <w:szCs w:val="28"/>
          <w14:ligatures w14:val="none"/>
        </w:rPr>
        <w:t xml:space="preserve">, not Strong, because two governing conditions must be met before the architecture exists in fact: (a) </w:t>
      </w:r>
      <w:r w:rsidRPr="00DD1558">
        <w:rPr>
          <w:rFonts w:ascii="Simplified Arabic" w:eastAsia="Times New Roman" w:hAnsi="Simplified Arabic" w:cs="Simplified Arabic"/>
          <w:b/>
          <w:bCs/>
          <w:color w:val="1A1A1A"/>
          <w:sz w:val="28"/>
          <w:szCs w:val="28"/>
          <w14:ligatures w14:val="none"/>
        </w:rPr>
        <w:t>ratification</w:t>
      </w:r>
      <w:r w:rsidRPr="00DD1558">
        <w:rPr>
          <w:rFonts w:ascii="Simplified Arabic" w:eastAsia="Times New Roman" w:hAnsi="Simplified Arabic" w:cs="Simplified Arabic"/>
          <w:color w:val="1A1A1A"/>
          <w:sz w:val="28"/>
          <w:szCs w:val="28"/>
          <w14:ligatures w14:val="none"/>
        </w:rPr>
        <w:t xml:space="preserve"> — college leadership must constitute the Board and ratify the catalog standard, eligibility clauses, FEFO standard, and Inter-Lab Policy Framework (gate G1); and (b) </w:t>
      </w:r>
      <w:r w:rsidRPr="00DD1558">
        <w:rPr>
          <w:rFonts w:ascii="Simplified Arabic" w:eastAsia="Times New Roman" w:hAnsi="Simplified Arabic" w:cs="Simplified Arabic"/>
          <w:b/>
          <w:bCs/>
          <w:color w:val="1A1A1A"/>
          <w:sz w:val="28"/>
          <w:szCs w:val="28"/>
          <w14:ligatures w14:val="none"/>
        </w:rPr>
        <w:t>leadership sponsorship</w:t>
      </w:r>
      <w:r w:rsidRPr="00DD1558">
        <w:rPr>
          <w:rFonts w:ascii="Simplified Arabic" w:eastAsia="Times New Roman" w:hAnsi="Simplified Arabic" w:cs="Simplified Arabic"/>
          <w:color w:val="1A1A1A"/>
          <w:sz w:val="28"/>
          <w:szCs w:val="28"/>
          <w14:ligatures w14:val="none"/>
        </w:rPr>
        <w:t xml:space="preserve"> — a visible, sustained mandate, since the evidence is unambiguous that cross-unit pooling arrangements fail where sponsorship lapses and departments revert to </w:t>
      </w:r>
      <w:r w:rsidRPr="00DD1558">
        <w:rPr>
          <w:rFonts w:ascii="Simplified Arabic" w:eastAsia="Times New Roman" w:hAnsi="Simplified Arabic" w:cs="Simplified Arabic"/>
          <w:color w:val="1A1A1A"/>
          <w:sz w:val="28"/>
          <w:szCs w:val="28"/>
          <w14:ligatures w14:val="none"/>
        </w:rPr>
        <w:lastRenderedPageBreak/>
        <w:t xml:space="preserve">siloed defaults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{"citationID":"pF3WMOPY","properties":{"unsorted":false,"formattedCitation":"(Ahn &amp; Baldwin, 2024; X. Wang &amp; Qu, 2025)","plainCitation":"(Ahn &amp; Baldwin, 2024; X. Wang &amp; Qu, 2025)","noteIndex":0},"citationItems":[{"id":392,"uris":["http://zotero.org/users/19711126/items/875J4EC5"],"itemData":{"id":392,"type":"article-journal","abstract":"Collaborative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Neither condition requires resources the college lacks; both require decisions only it can take.</w:t>
      </w:r>
    </w:p>
    <w:p w14:paraId="2409D28C"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2" w:name="_Toc237539761"/>
      <w:r w:rsidRPr="00DD1558">
        <w:rPr>
          <w:rFonts w:ascii="Simplified Arabic" w:eastAsiaTheme="majorEastAsia" w:hAnsi="Simplified Arabic" w:cstheme="majorBidi"/>
          <w:sz w:val="28"/>
          <w:szCs w:val="28"/>
        </w:rPr>
        <w:t>4.2.3 Financial &amp; Fiscal Feasibility</w:t>
      </w:r>
      <w:bookmarkEnd w:id="142"/>
    </w:p>
    <w:p w14:paraId="27DF0E5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financial assessment proceeds mechanism-first, because the study’s methodology excludes monetary quantification: the question is not how much the framework saves but whether its cost-avoidance mechanisms are structurally sound and whether the framework imposes new fiscal burdens. Three mechanisms are examined.</w:t>
      </w:r>
    </w:p>
    <w:p w14:paraId="3336E6E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Duplicate-procurement displacement.</w:t>
      </w:r>
      <w:r w:rsidRPr="00DD1558">
        <w:rPr>
          <w:rFonts w:ascii="Simplified Arabic" w:eastAsia="Times New Roman" w:hAnsi="Simplified Arabic" w:cs="Simplified Arabic"/>
          <w:color w:val="1A1A1A"/>
          <w:sz w:val="28"/>
          <w:szCs w:val="28"/>
          <w14:ligatures w14:val="none"/>
        </w:rPr>
        <w:t xml:space="preserve"> Section 1 identified duplicate purchasing as the default behavior of a regime in which existence elsewhere is unknowable (threat T1). Prevention barrier PB2 — the eligibility clause requiring a documented shared-registry check before any requisition for a loanable item class — interrupts this pathway at the point of decision: a purchase that would duplicate serviceable stock becomes visible as such before funds are committed. Prevention barrier PB3 extends the logic to joint and circular procurement rules, aggregating recurring consumable demand so that small, isolated, expiry-prone orders give way to planned collective purchasing. The sustainable-procurement literature documents exactly this control logic — visibility and eligibility discipline at the requisition point — as the operative mechanism by which organizations displace redundant acquisition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{"citationID":"XVuIJho2","properties":{"unsorted":false,"formattedCitation":"(S\\uc0\\u246{}nnichsen &amp; Clement, 2020; Q. Wang et al., 2020)","plainCitation":"(Sönnichsen &amp; Clement, 2020; Q. Wang et al.,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Dahl"},{"family":"Clement","given":"Jesper"}],"issued":{"date-parts":[["2020",2,1]]}}},{"id":524,"uris":["http://zotero.org/users/19711126/items/CDUUFFDC"],"itemData":{"id":524,"type":"article-journal","abstract":"High efficiency is one of the important goals of public procurement (PP); however, research on PP efficiency is still not sufficient, especially in the context of developing countries. With a focus on the purchasing phase, this study measures three aspects of procurement efficiency of public authorities: price, time and intellectual efficiency. The relevant factors of these three aspects are explored and examined. 838 PP contracts in Chengdu city, China were collected in the first half of 2018 using a web crawler programme. Regression method is used to analyse the data. This study finds that the price efficiency of PP is negatively associated with the implementation of green public procurement (GPP) but is positively associated with the evaluation method (the weight of bidding price during evaluation) and the number of bidders. Time efficiency is negatively associated with GPP implementation. Intellectual efficiency is negatively associated with the size of the procurement. This study accomplishes the following: I. extends research to a still relatively unexplored context: developing countries; II. adds to the studies on public procurement efficiency; and III. investigates the influence of GPP implementation on PP efficiency in a developing country.","container-title":"Journal of Purchasing and Supply Management","DOI":"10.1016/j.pursup.2020.100622","ISSN":"1478-4092","issue":"3","journalAbbreviation":"Journal of Purchasing and Supply Management","page":"100622","source":"ScienceDirect","title":"Price/time/intellectual efficiency of procurement: Uncovering the related factors in Chinese public authorities","title-short":"Price/time/intellectual efficiency of procurement","volume":"26","author":[{"family":"Wang","given":"Qi"},{"family":"Zhang","given":"Renjie"},{"family":"Liu","given":"Junqi"}],"issued":{"date-parts":[["2020",6,1]]}}}],"schema":"https://github.com/citation-style-language/schema/raw/master/csl-citation.json"}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 Q. Wang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circular-economy literature establishes privileging reuse over new acquisition as the canonical first loop of circular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{"citationID":"nLD7Hg3b","properties":{"unsorted":false,"formattedCitation":"(Ellen MacArthur Foundation., 2013; Kirchherr et al., 2017)","plainCitation":"(Ellen MacArthur Foundation., 2013; Kirchherr et al., 2017)","noteIndex":0},"citationItems":[{"id":539,"uris":["http://zotero.org/users/19711126/items/2XUL857H"],"itemData":{"id":539,"type":"report","title":"Towards the Circular Economy: Economic and business rationale for an accelerated transition (Vol. 1)","URL":"https://media1.circulareconomy.se/2016/11/Towards-The-Circular-Economy-vol-1-2012.pdf","author":[{"family":"Ellen MacArthur Foundation.","given":""}],"accessed":{"date-parts":[["2026",8,6]]},"issued":{"date-parts":[["2013"]]}}},{"id":470,"uris":["http://zotero.org/users/19711126/items/WIAJWCHL"],"itemData":{"id":470,"type":"article-journal","abstract":"The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(Ellen MacArthur Foundation., 2013; Kirchherr et al., 2017)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C44A240" w14:textId="764BFC1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Resource-allocation optimization.</w:t>
      </w:r>
      <w:r w:rsidRPr="00DD1558">
        <w:rPr>
          <w:rFonts w:ascii="Simplified Arabic" w:eastAsia="Times New Roman" w:hAnsi="Simplified Arabic" w:cs="Simplified Arabic"/>
          <w:color w:val="1A1A1A"/>
          <w:sz w:val="28"/>
          <w:szCs w:val="28"/>
          <w14:ligatures w14:val="none"/>
        </w:rPr>
        <w:t xml:space="preserve"> Mitigation barrier MB2 — inter-lab sharing and pre-expiry redistribution under the Inter-Lab Policy Framework — substitutes access for ownership: the value of stock is realized through use rather than possession. The documented practice of shared facilities and core laboratories shows that such regimes </w:t>
      </w:r>
      <w:r w:rsidRPr="00DD1558">
        <w:rPr>
          <w:rFonts w:ascii="Simplified Arabic" w:eastAsia="Times New Roman" w:hAnsi="Simplified Arabic" w:cs="Simplified Arabic"/>
          <w:color w:val="1A1A1A"/>
          <w:sz w:val="28"/>
          <w:szCs w:val="28"/>
          <w14:ligatures w14:val="none"/>
        </w:rPr>
        <w:lastRenderedPageBreak/>
        <w:t xml:space="preserve">raise asset utilization and defer capital acquisition where stewardship, booking, and custody are institutionally specified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{"citationID":"4UZN1tGD","properties":{"unsorted":false,"formattedCitation":"(Adami et al., 2021; Strom et al., 2020; Zhu &amp; Liu, 2021)","plainCitation":"(Adami et al., 2021; Strom et al., 2020; Zhu &amp; Liu, 2021)","noteIndex":0},"citationItems":[{"id":388,"uris":["http://zotero.org/users/19711126/items/UMKLAE3V"],"itemData":{"id":388,"type":"article-journal","abstract":"Core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 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documented laboratory practice reports material savings from redistribution and shared access — referenced here qualitatively, without quoting figures, because the transferability of the mechanism, not its magnitude elsewhere, is what a design study can claim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{"citationID":"uZv6DBhC","properties":{"unsorted":false,"formattedCitation":"(Tu &amp; Greever-Wilson, 2025)","plainCitation":"(Tu &amp; Greever-Wilson, 2025)","noteIndex":0},"citationItems":[{"id":514,"uris":["http://zotero.org/users/19711126/items/JNQJSXYF"],"itemData":{"id":514,"type":"article-journal","abstract":"Research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cautionary evidence is equally relevant: pooled-resource arrangements erode through free-riding and ambiguous responsibility when platform rules are weak, which is why MB2 is inseparable from the custody-transfer protocol EB3 and the liability controls of </w:t>
      </w:r>
      <w:hyperlink w:anchor="Section416" w:history="1">
        <w:r w:rsidR="002C0C03" w:rsidRPr="00BD4D84">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{"citationID":"OC0XLJwP","properties":{"unsorted":false,"formattedCitation":"(X.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01160E4" w14:textId="469DCC50"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Fiscal neutrality.</w:t>
      </w:r>
      <w:r w:rsidRPr="00DD1558">
        <w:rPr>
          <w:rFonts w:ascii="Simplified Arabic" w:eastAsia="Times New Roman" w:hAnsi="Simplified Arabic" w:cs="Simplified Arabic"/>
          <w:color w:val="1A1A1A"/>
          <w:sz w:val="28"/>
          <w:szCs w:val="28"/>
          <w14:ligatures w14:val="none"/>
        </w:rPr>
        <w:t xml:space="preserve"> The framework is designed to require no new budgetary line beyond transitional coordination costs. Governance duties are attached to existing roles (</w:t>
      </w:r>
      <w:hyperlink w:anchor="section41" w:history="1">
        <w:r w:rsidRPr="00BD4D84">
          <w:rPr>
            <w:rStyle w:val="Hyperlink"/>
            <w:rFonts w:ascii="Simplified Arabic" w:eastAsia="Times New Roman" w:hAnsi="Simplified Arabic" w:cs="Simplified Arabic"/>
            <w:sz w:val="28"/>
            <w:szCs w:val="28"/>
            <w14:ligatures w14:val="none"/>
          </w:rPr>
          <w:t xml:space="preserve">Section </w:t>
        </w:r>
        <w:r w:rsidR="00BD4D84" w:rsidRPr="00BD4D84">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w:t>
      </w:r>
      <w:hyperlink w:anchor="Principle3" w:history="1">
        <w:r w:rsidRPr="00DD1558">
          <w:rPr>
            <w:rFonts w:ascii="Simplified Arabic" w:eastAsia="Times New Roman" w:hAnsi="Simplified Arabic" w:cs="Simplified Arabic"/>
            <w:color w:val="467886" w:themeColor="hyperlink"/>
            <w:sz w:val="28"/>
            <w:szCs w:val="28"/>
            <w:u w:val="single"/>
            <w14:ligatures w14:val="none"/>
          </w:rPr>
          <w:t>Principle 3</w:t>
        </w:r>
      </w:hyperlink>
      <w:r w:rsidRPr="00DD1558">
        <w:rPr>
          <w:rFonts w:ascii="Simplified Arabic" w:eastAsia="Times New Roman" w:hAnsi="Simplified Arabic" w:cs="Simplified Arabic"/>
          <w:color w:val="1A1A1A"/>
          <w:sz w:val="28"/>
          <w:szCs w:val="28"/>
          <w14:ligatures w14:val="none"/>
        </w:rPr>
        <w:t>); the shared registry is specified to run on existing university information technology infrastructure, with the Unit liaising rather than procuring; and the technician duties are re-specifications of work technicians already perform, not additions to headcount. The cost logic is qualitative cost-avoidance: every duplicate purchase displaced is an avoided expenditure; every near-expiry stock redistributed before lapse is an avoided write-off and an avoided hazardous-waste disposal; every instrument borrowed rather than purchased is a deferred capital acquisition. Such claims are structural — they assert that a loss pathway has been closed, not that a sum has been measured — and are therefore the strongest claim a pre-implementation study can honestly make.</w:t>
      </w:r>
    </w:p>
    <w:p w14:paraId="45BEFD65" w14:textId="12847FF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dimension is rated </w:t>
      </w:r>
      <w:r w:rsidRPr="00DD1558">
        <w:rPr>
          <w:rFonts w:ascii="Simplified Arabic" w:eastAsia="Times New Roman" w:hAnsi="Simplified Arabic" w:cs="Simplified Arabic"/>
          <w:b/>
          <w:bCs/>
          <w:color w:val="1A1A1A"/>
          <w:sz w:val="28"/>
          <w:szCs w:val="28"/>
          <w14:ligatures w14:val="none"/>
        </w:rPr>
        <w:t>Conditional</w:t>
      </w:r>
      <w:r w:rsidRPr="00DD1558">
        <w:rPr>
          <w:rFonts w:ascii="Simplified Arabic" w:eastAsia="Times New Roman" w:hAnsi="Simplified Arabic" w:cs="Simplified Arabic"/>
          <w:color w:val="1A1A1A"/>
          <w:sz w:val="28"/>
          <w:szCs w:val="28"/>
          <w14:ligatures w14:val="none"/>
        </w:rPr>
        <w:t>. The condition is gate G1: the cost-avoidance mechanisms acquire force only upon ratification of the eligibility clauses (PB2) and joint procurement rules (PB3), because they constrain departmental purchasing behavior and so require authority above any single department (</w:t>
      </w:r>
      <w:hyperlink w:anchor="Section412" w:history="1">
        <w:r w:rsidR="002C0C03" w:rsidRPr="00BD4D84">
          <w:rPr>
            <w:rStyle w:val="Hyperlink"/>
            <w:rFonts w:ascii="Simplified Arabic" w:eastAsia="Times New Roman" w:hAnsi="Simplified Arabic" w:cs="Simplified Arabic"/>
            <w:sz w:val="28"/>
            <w:szCs w:val="28"/>
            <w14:ligatures w14:val="none"/>
          </w:rPr>
          <w:t>Section 4.1.2</w:t>
        </w:r>
      </w:hyperlink>
      <w:r w:rsidRPr="00DD1558">
        <w:rPr>
          <w:rFonts w:ascii="Simplified Arabic" w:eastAsia="Times New Roman" w:hAnsi="Simplified Arabic" w:cs="Simplified Arabic"/>
          <w:color w:val="1A1A1A"/>
          <w:sz w:val="28"/>
          <w:szCs w:val="28"/>
          <w14:ligatures w14:val="none"/>
        </w:rPr>
        <w:t xml:space="preserve">). A secondary condition is fiscal recognition within existing budget processes — that displaced purchases genuinely </w:t>
      </w:r>
      <w:r w:rsidRPr="00DD1558">
        <w:rPr>
          <w:rFonts w:ascii="Simplified Arabic" w:eastAsia="Times New Roman" w:hAnsi="Simplified Arabic" w:cs="Simplified Arabic"/>
          <w:color w:val="1A1A1A"/>
          <w:sz w:val="28"/>
          <w:szCs w:val="28"/>
          <w14:ligatures w14:val="none"/>
        </w:rPr>
        <w:lastRenderedPageBreak/>
        <w:t>displaced rather than merely delay requisitions — which the Board’s termly review monitors as policy conformity, not accounting measurement.</w:t>
      </w:r>
    </w:p>
    <w:p w14:paraId="4B0BDB1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3" w:name="section424"/>
      <w:bookmarkStart w:id="144" w:name="_Toc237539762"/>
      <w:bookmarkEnd w:id="143"/>
      <w:r w:rsidRPr="00DD1558">
        <w:rPr>
          <w:rFonts w:ascii="Simplified Arabic" w:eastAsiaTheme="majorEastAsia" w:hAnsi="Simplified Arabic" w:cstheme="majorBidi"/>
          <w:sz w:val="28"/>
          <w:szCs w:val="28"/>
        </w:rPr>
        <w:t>4.2.4 Technical &amp; Operational Feasibility</w:t>
      </w:r>
      <w:bookmarkEnd w:id="144"/>
    </w:p>
    <w:p w14:paraId="20E1D60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technical question is divided into two: whether the specified workflows are within the demonstrated competence of the staff who must execute them, and whether the institution is ready for the digital platform the framework defers. The answers differ, and the difference structures this dimension’s rating.</w:t>
      </w:r>
    </w:p>
    <w:p w14:paraId="12DDADDB" w14:textId="341EB21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Staff capability within the operational boundary.</w:t>
      </w:r>
      <w:r w:rsidRPr="00DD1558">
        <w:rPr>
          <w:rFonts w:ascii="Simplified Arabic" w:eastAsia="Times New Roman" w:hAnsi="Simplified Arabic" w:cs="Simplified Arabic"/>
          <w:color w:val="1A1A1A"/>
          <w:sz w:val="28"/>
          <w:szCs w:val="28"/>
          <w14:ligatures w14:val="none"/>
        </w:rPr>
        <w:t xml:space="preserve"> The duties assigned to laboratory technicians — FEFO rotation and expiry flagging, loan workflow execution, custody-transfer documentation, and catalog entries conforming to the Committee’s standard — are routine technical competencies of laboratory operations, not new professional skills: date-ordered rotation is standard practice in well-run laboratory and clinical supply settings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{"citationID":"gfRGX3Ar","properties":{"unsorted":false,"formattedCitation":"(Durgan et al., 2023; Wilke et al., 2023)","plainCitation":"(Durgan et al., 2023; Wilke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condition recording and chain-of-custody logging are ordinary features of shared-facility operation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{"citationID":"XyxLnD5o","properties":{"unsorted":false,"formattedCitation":"(Strom et al., 2020)","plainCitation":"(Strom et al., 2020)","noteIndex":0},"citationItems":[{"id":508,"uris":["http://zotero.org/users/19711126/items/IFVMEKJ2"],"itemData":{"id":508,"type":"article-journal","container-title":"MRS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Crucially, the competence claim is bounded by design: technicians hold no administrative decision-making authority, no procurement approval, no financial authority, and no policy-setting role; they execute within approved workflows and escalate exceptions per </w:t>
      </w:r>
      <w:hyperlink w:anchor="Section416" w:history="1">
        <w:r w:rsidR="002C0C03" w:rsidRPr="00BD4D84">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Feasibility must therefore be judged only against technical execution, not against decision capacity that was never assigned. Both anchor standards supply the support machinery that makes execution reliable: persons performing work under the management system must be competent on the basis of education, training, or experience, and aware of the policy, their contribution, and the consequences of nonconformity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{"citationID":"JWuZNnKl","properties":{"unsorted":false,"formattedCitation":"(14001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7.2–7.3;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{"citationID":"GTq0MS7B","properties":{"unsorted":false,"formattedCitation":"(22301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clauses 7.2–7.3). The framework’s role-based competence requirements — FEFO discipline, custody documentation, registry data standards, chemical-handling safety — apply those clauses directly, and their delivery </w:t>
      </w:r>
      <w:r w:rsidRPr="00DD1558">
        <w:rPr>
          <w:rFonts w:ascii="Simplified Arabic" w:eastAsia="Times New Roman" w:hAnsi="Simplified Arabic" w:cs="Simplified Arabic"/>
          <w:color w:val="1A1A1A"/>
          <w:sz w:val="28"/>
          <w:szCs w:val="28"/>
          <w14:ligatures w14:val="none"/>
        </w:rPr>
        <w:lastRenderedPageBreak/>
        <w:t>through onboarding and periodic refreshers administered by custodian departments imposes no capability the college does not already possess.</w:t>
      </w:r>
    </w:p>
    <w:p w14:paraId="5D636B1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Data standardization.</w:t>
      </w:r>
      <w:r w:rsidRPr="00DD1558">
        <w:rPr>
          <w:rFonts w:ascii="Simplified Arabic" w:eastAsia="Times New Roman" w:hAnsi="Simplified Arabic" w:cs="Simplified Arabic"/>
          <w:color w:val="1A1A1A"/>
          <w:sz w:val="28"/>
          <w:szCs w:val="28"/>
          <w14:ligatures w14:val="none"/>
        </w:rPr>
        <w:t xml:space="preserve"> Prevention barrier PB1 — the unified catalog and records standard — is a one-time structural effort (naming conventions, classification hierarchies, units of measure, hazard annotations, the minimum attribute set) followed by routine upkeep through ordinary registry entries. The effort is front-loaded but bounded: drafting work by technically close staff under the Committee, not a systems project. The principal risk to PB1 is not difficulty but decaying incomplete registry data as escalation factor EF2 — which is why data quality is institutionalized as escalation-factor barrier EB2 with the Unit as steward, rather than left as an assumption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{"citationID":"ySMqW0LO","properties":{"unsorted":false,"formattedCitation":"(Johnson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A0F7A7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Platform readiness as the Contingent element.</w:t>
      </w:r>
      <w:r w:rsidRPr="00DD1558">
        <w:rPr>
          <w:rFonts w:ascii="Simplified Arabic" w:eastAsia="Times New Roman" w:hAnsi="Simplified Arabic" w:cs="Simplified Arabic"/>
          <w:color w:val="1A1A1A"/>
          <w:sz w:val="28"/>
          <w:szCs w:val="28"/>
          <w14:ligatures w14:val="none"/>
        </w:rPr>
        <w:t xml:space="preserve"> The one component of this dimension that is not currently feasible is the smart-inventory platform (barcode- or RFID-assisted tracking and related Internet of Things instrumentation), and the framework treats this as a design finding rather than a deficiency. The higher-education digital-transformation literature consistently reports that technology layered onto unstandardized processes and unclear roles reproduces fragmentation in digital form, and that organizational readiness — process definition, governance clarity, data discipline — is the binding constraint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{"citationID":"14aBL213","properties":{"unsorted":false,"formattedCitation":"(Bellantuono et al., 2021; Bravo-Jaico et al., 2025; Rodr\\uc0\\u237{}guez-Abitia &amp; Bribiesca-Correa, 2021)","plainCitation":"(Bellantuono et al., 2021; Bravo-Jaico et al., 2025;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Bravo-Jaico et al., 2025;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Smart-inventory research confirms the sequencing claim in the inventory domain specifically: automated tracking delivers value only where inventory processes and data semantics are already standardized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{"citationID":"tDJbdM5C","properties":{"unsorted":false,"formattedCitation":"(Carpitella &amp; Izquierdo, 2025)","plainCitation":"(Carpitella &amp; Izquierdo, 2025)","noteIndex":0},"citationItems":[{"id":419,"uris":["http://zotero.org/users/19711126/items/TZRZHV7D"],"itemData":{"id":419,"type":"article-journal","abstract":"This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documented RFID-assisted stock control presupposes exactly the standardized records and rotation discipline the framework installs first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{"citationID":"GeAI8jIq","properties":{"unsorted":false,"formattedCitation":"(Wilke et al., 2023)","plainCitation":"(Wilke et al., 2023)","noteIndex":0},"citationItems":[{"id":529,"uris":["http://zotero.org/users/19711126/items/UJ5TQGHH"],"itemData":{"id":529,"type":"article-journal","abstract":"Manual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platform is therefore a Perform-band capability gated by G4, and its feasibility additionally depends on university-level IT provision outside the framework’s control.</w:t>
      </w:r>
    </w:p>
    <w:p w14:paraId="4ED8FFE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The dimension is rated </w:t>
      </w:r>
      <w:r w:rsidRPr="00DD1558">
        <w:rPr>
          <w:rFonts w:ascii="Simplified Arabic" w:eastAsia="Times New Roman" w:hAnsi="Simplified Arabic" w:cs="Simplified Arabic"/>
          <w:b/>
          <w:bCs/>
          <w:color w:val="1A1A1A"/>
          <w:sz w:val="28"/>
          <w:szCs w:val="28"/>
          <w14:ligatures w14:val="none"/>
        </w:rPr>
        <w:t>Conditional</w:t>
      </w:r>
      <w:r w:rsidRPr="00DD1558">
        <w:rPr>
          <w:rFonts w:ascii="Simplified Arabic" w:eastAsia="Times New Roman" w:hAnsi="Simplified Arabic" w:cs="Simplified Arabic"/>
          <w:color w:val="1A1A1A"/>
          <w:sz w:val="28"/>
          <w:szCs w:val="28"/>
          <w14:ligatures w14:val="none"/>
        </w:rPr>
        <w:t xml:space="preserve"> overall: staff capability, FEFO executability, and data standardization are Conditional on gates G1–G2 (ratified standards; completed registry onboarding with data-quality conformity per EB2), while platform readiness is </w:t>
      </w:r>
      <w:r w:rsidRPr="00DD1558">
        <w:rPr>
          <w:rFonts w:ascii="Simplified Arabic" w:eastAsia="Times New Roman" w:hAnsi="Simplified Arabic" w:cs="Simplified Arabic"/>
          <w:b/>
          <w:bCs/>
          <w:color w:val="1A1A1A"/>
          <w:sz w:val="28"/>
          <w:szCs w:val="28"/>
          <w14:ligatures w14:val="none"/>
        </w:rPr>
        <w:t>Contingent</w:t>
      </w:r>
      <w:r w:rsidRPr="00DD1558">
        <w:rPr>
          <w:rFonts w:ascii="Simplified Arabic" w:eastAsia="Times New Roman" w:hAnsi="Simplified Arabic" w:cs="Simplified Arabic"/>
          <w:color w:val="1A1A1A"/>
          <w:sz w:val="28"/>
          <w:szCs w:val="28"/>
          <w14:ligatures w14:val="none"/>
        </w:rPr>
        <w:t>, monitored through the Unit’s requirements baseline until the digital readiness gate is met.</w:t>
      </w:r>
    </w:p>
    <w:p w14:paraId="75DE9D0E"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5" w:name="section425"/>
      <w:bookmarkStart w:id="146" w:name="_Toc237539763"/>
      <w:bookmarkEnd w:id="145"/>
      <w:r w:rsidRPr="00DD1558">
        <w:rPr>
          <w:rFonts w:ascii="Simplified Arabic" w:eastAsiaTheme="majorEastAsia" w:hAnsi="Simplified Arabic" w:cstheme="majorBidi"/>
          <w:sz w:val="28"/>
          <w:szCs w:val="28"/>
        </w:rPr>
        <w:t>4.2.5 Environmental &amp; Sustainability Feasibility</w:t>
      </w:r>
      <w:bookmarkEnd w:id="146"/>
    </w:p>
    <w:p w14:paraId="783C153F" w14:textId="617417E9" w:rsidR="00DD1558" w:rsidRPr="00DD1558" w:rsidRDefault="00F84E0F"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F84E0F">
        <w:rPr>
          <w:rFonts w:ascii="Simplified Arabic" w:eastAsia="Times New Roman" w:hAnsi="Simplified Arabic" w:cs="Simplified Arabic"/>
          <w:color w:val="1A1A1A"/>
          <w:sz w:val="28"/>
          <w:szCs w:val="28"/>
          <w14:ligatures w14:val="none"/>
        </w:rPr>
        <w:t>The environmental question is whether the framework’s waste-reduction and aspect-control mechanisms satisfy the requirements the study has adopted from ISO 14001:2015, and whether they are institutionally feasible within the host institution.</w:t>
      </w:r>
      <w:r w:rsidR="00DD1558" w:rsidRPr="00DD1558">
        <w:rPr>
          <w:rFonts w:ascii="Simplified Arabic" w:eastAsia="Times New Roman" w:hAnsi="Simplified Arabic" w:cs="Simplified Arabic"/>
          <w:color w:val="1A1A1A"/>
          <w:sz w:val="28"/>
          <w:szCs w:val="28"/>
          <w14:ligatures w14:val="none"/>
        </w:rPr>
        <w:t xml:space="preserve"> The assessment follows the standard’s own logic.</w:t>
      </w:r>
    </w:p>
    <w:p w14:paraId="34081922"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Aspect identification and operational control.</w:t>
      </w:r>
      <w:r w:rsidRPr="00DD1558">
        <w:rPr>
          <w:rFonts w:ascii="Simplified Arabic" w:eastAsia="Times New Roman" w:hAnsi="Simplified Arabic" w:cs="Simplified Arabic"/>
          <w:color w:val="1A1A1A"/>
          <w:sz w:val="28"/>
          <w:szCs w:val="28"/>
          <w14:ligatures w14:val="none"/>
        </w:rPr>
        <w:t xml:space="preserve"> Under clause 6.1.2, the organization must determine the environmental aspects of its activities — and their potential impacts — considering a life-cycle perspective, and must identify significant aspects for control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{"citationID":"nzssa5Cv","properties":{"unsorted":false,"formattedCitation":"(14001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6.1.2). The framework’s structural analysis identifies two significant environmental aspects of educational laboratory inventory: expired-chemical stocks destined for hazardous-waste streams (consequence C2) and redundant asset acquisition with its embedded production and disposal burdens. The standard’s </w:t>
      </w:r>
      <w:r w:rsidRPr="00DD1558">
        <w:rPr>
          <w:rFonts w:ascii="Simplified Arabic" w:eastAsia="Times New Roman" w:hAnsi="Simplified Arabic" w:cs="Simplified Arabic"/>
          <w:i/>
          <w:iCs/>
          <w:color w:val="1A1A1A"/>
          <w:sz w:val="28"/>
          <w:szCs w:val="28"/>
          <w14:ligatures w14:val="none"/>
        </w:rPr>
        <w:t>life-cycle perspective</w:t>
      </w:r>
      <w:r w:rsidRPr="00DD1558">
        <w:rPr>
          <w:rFonts w:ascii="Simplified Arabic" w:eastAsia="Times New Roman" w:hAnsi="Simplified Arabic" w:cs="Simplified Arabic"/>
          <w:color w:val="1A1A1A"/>
          <w:sz w:val="28"/>
          <w:szCs w:val="28"/>
          <w14:ligatures w14:val="none"/>
        </w:rPr>
        <w:t xml:space="preserve"> is, precisely, a perspective — the requirement to consider upstream acquisition and downstream end-of-life when planning controls, not to perform a full life-cycle assessment — and the framework honors it as such: procurement planning (PB2, PB3) addresses the acquisition end of the life cycle and governed disposal (MB3) the end-of-life end, through operational planning and control with defined operating criteria under clause 8.1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{"citationID":"SIoZtXpz","properties":{"unsorted":false,"formattedCitation":"(14001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8.1).</w:t>
      </w:r>
    </w:p>
    <w:p w14:paraId="35B901F2" w14:textId="7C1572B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Waste-reduction mechanisms.</w:t>
      </w:r>
      <w:r w:rsidRPr="00DD1558">
        <w:rPr>
          <w:rFonts w:ascii="Simplified Arabic" w:eastAsia="Times New Roman" w:hAnsi="Simplified Arabic" w:cs="Simplified Arabic"/>
          <w:color w:val="1A1A1A"/>
          <w:sz w:val="28"/>
          <w:szCs w:val="28"/>
          <w14:ligatures w14:val="none"/>
        </w:rPr>
        <w:t xml:space="preserve"> The three mitigation barriers form a sequenced control chain against the expired-chemical pathway: MB1 (FEFO rotation) reduces the incidence of expiry in place; MB2 (pre-expiry redistribution) converts residual near-expiry stock into </w:t>
      </w:r>
      <w:r w:rsidRPr="00DD1558">
        <w:rPr>
          <w:rFonts w:ascii="Simplified Arabic" w:eastAsia="Times New Roman" w:hAnsi="Simplified Arabic" w:cs="Simplified Arabic"/>
          <w:color w:val="1A1A1A"/>
          <w:sz w:val="28"/>
          <w:szCs w:val="28"/>
          <w14:ligatures w14:val="none"/>
        </w:rPr>
        <w:lastRenderedPageBreak/>
        <w:t xml:space="preserve">consumption transfers where live demand exists elsewhere; MB3 (governed disposal) ensures that what cannot be consumed enters a documented, conformity-controlled pathway rather than informal accumulation. Each mechanism is documented practice in the green-laboratory literature: date-ordered rotation and inventory visibility as the principal operational controls on chemical waste, redistribution before expiry as the standard circular response, and responsible purchasing and governed disposal as the institutional complements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{"citationID":"WajQwIrV","properties":{"unsorted":false,"formattedCitation":"(Durgan et al., 2023; Freese et al., 2024; Gutierrez et al., 2020)","plainCitation":"(Durgan et al., 2023; Freese et al., 2024; Gutierrez et al., 2020)","noteIndex":0},"citationItems":[{"id":432,"uris":["http://zotero.org/users/19711126/items/Q74PR9A9"],"itemData":{"id":432,"type":"article-journal","abstract":"Scientific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 Gutierrez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The mechanisms are feasible within the host institution because they require discipline and policy, not plant or capital.</w:t>
      </w:r>
    </w:p>
    <w:p w14:paraId="158C7D87"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Compliance obligations and emergency preparedness.</w:t>
      </w:r>
      <w:r w:rsidRPr="00DD1558">
        <w:rPr>
          <w:rFonts w:ascii="Simplified Arabic" w:eastAsia="Times New Roman" w:hAnsi="Simplified Arabic" w:cs="Simplified Arabic"/>
          <w:color w:val="1A1A1A"/>
          <w:sz w:val="28"/>
          <w:szCs w:val="28"/>
          <w14:ligatures w14:val="none"/>
        </w:rPr>
        <w:t xml:space="preserve"> Clause 6.1.3 requires the organization to determine its compliance obligations — the legal and other requirements applicable to its environmental aspects, including hazardous-substance regulation — and clause 9.1.2 requires periodic evaluation of compliance — the fulfilment of those obligations; the Committee’s safety and compliance interface owns exactly this function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{"citationID":"6fKz8G7K","properties":{"unsorted":false,"formattedCitation":"(14001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6.1.3, 9.1.2). For chemical incidents, clause 8.2 requires planned responses to identified emergency situations, periodic testing where practicable, and review after emergencies or tests; the framework locates this preparedness within the Committee’s standards and the Board’s incident-driven review cadence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{"citationID":"m5aGTUMT","properties":{"unsorted":false,"formattedCitation":"(14001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8.2). Because ISO 14001:2015 is a voluntary management-system standard, the thesis speaks throughout of </w:t>
      </w:r>
      <w:r w:rsidRPr="00DD1558">
        <w:rPr>
          <w:rFonts w:ascii="Simplified Arabic" w:eastAsia="Times New Roman" w:hAnsi="Simplified Arabic" w:cs="Simplified Arabic"/>
          <w:i/>
          <w:iCs/>
          <w:color w:val="1A1A1A"/>
          <w:sz w:val="28"/>
          <w:szCs w:val="28"/>
          <w14:ligatures w14:val="none"/>
        </w:rPr>
        <w:t>conformity</w:t>
      </w:r>
      <w:r w:rsidRPr="00DD1558">
        <w:rPr>
          <w:rFonts w:ascii="Simplified Arabic" w:eastAsia="Times New Roman" w:hAnsi="Simplified Arabic" w:cs="Simplified Arabic"/>
          <w:color w:val="1A1A1A"/>
          <w:sz w:val="28"/>
          <w:szCs w:val="28"/>
          <w14:ligatures w14:val="none"/>
        </w:rPr>
        <w:t xml:space="preserve"> with the standard and </w:t>
      </w:r>
      <w:r w:rsidRPr="00DD1558">
        <w:rPr>
          <w:rFonts w:ascii="Simplified Arabic" w:eastAsia="Times New Roman" w:hAnsi="Simplified Arabic" w:cs="Simplified Arabic"/>
          <w:i/>
          <w:iCs/>
          <w:color w:val="1A1A1A"/>
          <w:sz w:val="28"/>
          <w:szCs w:val="28"/>
          <w14:ligatures w14:val="none"/>
        </w:rPr>
        <w:t>evaluation of compliance</w:t>
      </w:r>
      <w:r w:rsidRPr="00DD1558">
        <w:rPr>
          <w:rFonts w:ascii="Simplified Arabic" w:eastAsia="Times New Roman" w:hAnsi="Simplified Arabic" w:cs="Simplified Arabic"/>
          <w:color w:val="1A1A1A"/>
          <w:sz w:val="28"/>
          <w:szCs w:val="28"/>
          <w14:ligatures w14:val="none"/>
        </w:rPr>
        <w:t xml:space="preserve"> with obligations — a distinction maintained exactly.</w:t>
      </w:r>
    </w:p>
    <w:p w14:paraId="49B86B0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Institutional context.</w:t>
      </w:r>
      <w:r w:rsidRPr="00DD1558">
        <w:rPr>
          <w:rFonts w:ascii="Simplified Arabic" w:eastAsia="Times New Roman" w:hAnsi="Simplified Arabic" w:cs="Simplified Arabic"/>
          <w:color w:val="1A1A1A"/>
          <w:sz w:val="28"/>
          <w:szCs w:val="28"/>
          <w14:ligatures w14:val="none"/>
        </w:rPr>
        <w:t xml:space="preserve"> The Saudi institutional literature documents a policy environment increasingly attentive to campus sustainability and facilities stewardship under Vision 2030, alongside the practical gap between that ambition and operational routine — a gap this framework is designed to close at the laboratory level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{"citationID":"rVjshhFx","properties":{"unsorted":false,"formattedCitation":"(Alshammari, 2025; Hassanain et al., 2019; Mohsen, 2025)","plainCitation":"(Alshammari, 2025; Hassanain et al., 2019; Mohsen, 2025)","noteIndex":0},"citationItems":[{"id":403,"uris":["http://zotero.org/users/19711126/items/RH4GS6Q7"],"itemData":{"id":403,"type":"article-journal","abstract":"Saudi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universities","volume":"12","author":[{"family":"Alshammari","given":"Adel"}],"issued":{"date-parts":[["2025",8,26]]}}},{"id":446,"uris":["http://zotero.org/users/19711126/items/G73ZZ2MX"],"itemData":{"id":446,"type":"article-journal","abstract":"The purpose of this paper is to present the post-occupancy evaluation (POE) of academic and research laboratory facilities. This is based on the premise that the performance of such facilities is directly connected to the productivity, health and wellbeing of its users.The paper was carried out in two phases, first, the performance requirements for academic and laboratory facilities were identified through the extant literature. Furthermore, a questionnaire survey was developed to carry out a POE of existing academic and research laboratory facilities in a university campus in Saudi Arabia. The questionnaire was designed using a Likert scale of one to five. Finally, the satisfaction index was computed, and rates of satisfaction with the various performance requirements were determined.The paper resulted into 74 performance requirements grouped into three categories. The respondents showed general satisfaction with most of the performance requirements. However, dissatisfaction was observed in performance requirements related to technical features and the availability of sustainability features. Such findings suggest the growing importance of such technical and sustainable features in modern-day laboratories.Though few studies have employed POE in assessing the performance of academic facilities, there is still a gap regarding its application to the laboratory facilities. Thus, the originality of this study is evident in its presentation of a set of performance requirements and its further application as a case study.","container-title":"International Journal of Building Pathology and Adaptation","DOI":"10.1108/IJBPA-12-2018-0097","ISSN":"2398-4708","issue":"5","journalAbbreviation":"International Journal of Building Pathology and Adaptation","page":"797-810","source":"Silverchair","title":"Post-occupancy evaluation of research and academic laboratory facilities","volume":"38","author":[{"family":"Hassanain","given":"Mohammad A."},{"family":"Sanni-Anibire","given":"Muizz O."},{"family":"Mahmoud","given":"Abubakar Sadiq"},{"family":"Ahmed","given":"Wahhaj"}],"issued":{"date-parts":[["2019",10,11]]}}},{"id":393,"uris":["http://zotero.org/users/19711126/items/MIBC5ERC"],"itemData":{"id":393,"type":"article-journal","abstract":"Background: A number of accidents with safety implications happen within laboratories due to inadequate regulations, improper execution of safety protocols, or a lack of awareness and adherence to safety measures. Consequently, it is imperative to establish effective regulations and cultivate safe behaviors concerning workplace safety to avert or reduce such incidents. In this context, we are delving into the extent of awareness and to examine the laboratory safety and security concepts that are essential among Clinical Laboratory Sciences students Materials and Methods: A descriptive and analytical study about laboratory safety, was directed by researchers on a sample comprising over 100 participants from students, and instructors of both genders from various colleges and scientific centers. A specially designed questionnaire to collect data. The questionnaire consisted of multiple sections, covering topics such as personal information (e.g., gender, qualification, age, experience) and subjects' knowledge of laboratory safety skills, accidents, fires, guidelines, infectious materials, safety protocols, mistakes, research execution rules, laws and regulations, and training. Data collection employed a stratified random sampling method, with over 100 participants exceeding a response rate of 60%. Results: The study provides an overview of the current safety practices in clinical laboratories, identifies common risks and hazards, and explores strategies to enhance safety and security awareness. The results indicated that students had lower knowledge of laboratory safety compared to university staff members. However, overall knowledge of safety and security in chemistry laboratories among the subjects in this study exceeded 80%, possibly due to comprehensive workshops organized in most colleges. Conclusion: The findings emphasize the importance of incorporating safety and security education into the curriculum to ensure the well-being of students, universities staff, and the overall laboratory environment. Keywords: Lab safety, Clinical laboratories, Students, Instructors.","container-title":"Journal of Education Technology in Health Sciences","DOI":"10.18231/j.jeths.2023.010","ISSN":"2454-4396","issue":"2","language":"en","page":"42-46","publisher":"IP Innovative Publication Pvt. Ltd.","source":"jeths.org","title":"Laboratory safety and security concepts for clinical laboratory students and universities staff in Saudi Arabia","volume":"10","author":[{"family":"Mohsen","given":"Zahra Al"}],"issued":{"date-parts":[["2025",7,22]]}}}],"schema":"https://github.com/citation-style-language/schema/raw/master/csl-citation.json"}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(Alshammari, 2025; Hassanain et al., 2019; Mohsen,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Alignment with green-laboratory practice also carries a </w:t>
      </w:r>
      <w:r w:rsidRPr="00DD1558">
        <w:rPr>
          <w:rFonts w:ascii="Simplified Arabic" w:eastAsia="Times New Roman" w:hAnsi="Simplified Arabic" w:cs="Simplified Arabic"/>
          <w:color w:val="1A1A1A"/>
          <w:sz w:val="28"/>
          <w:szCs w:val="28"/>
          <w14:ligatures w14:val="none"/>
        </w:rPr>
        <w:lastRenderedPageBreak/>
        <w:t xml:space="preserve">reputational dimension under the FIRM taxonomy (consequences C3–C4), though FIRM functions here strictly as a classification taxonomy, not a scoring algorithm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{"citationID":"vGBA5cJs","properties":{"unsorted":false,"formattedCitation":"(Hopkin,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2EDB95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dimension is rated </w:t>
      </w:r>
      <w:r w:rsidRPr="00DD1558">
        <w:rPr>
          <w:rFonts w:ascii="Simplified Arabic" w:eastAsia="Times New Roman" w:hAnsi="Simplified Arabic" w:cs="Simplified Arabic"/>
          <w:b/>
          <w:bCs/>
          <w:color w:val="1A1A1A"/>
          <w:sz w:val="28"/>
          <w:szCs w:val="28"/>
          <w14:ligatures w14:val="none"/>
        </w:rPr>
        <w:t>Conditional</w:t>
      </w:r>
      <w:r w:rsidRPr="00DD1558">
        <w:rPr>
          <w:rFonts w:ascii="Simplified Arabic" w:eastAsia="Times New Roman" w:hAnsi="Simplified Arabic" w:cs="Simplified Arabic"/>
          <w:color w:val="1A1A1A"/>
          <w:sz w:val="28"/>
          <w:szCs w:val="28"/>
          <w14:ligatures w14:val="none"/>
        </w:rPr>
        <w:t xml:space="preserve"> on gate G1 (ratification of the FEFO standard, the Inter-Lab Policy Framework, and disposal protocols) and gate G3 (demonstrated workflow integrity in the Biology Department pilot). It is not rated Strong because aspect control exists only once the operating criteria are ratified policy; it is not Contingent because no factor outside the college’s authority is required.</w:t>
      </w:r>
    </w:p>
    <w:p w14:paraId="34ED00DF"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47" w:name="section426"/>
      <w:bookmarkStart w:id="148" w:name="_Toc237539764"/>
      <w:bookmarkEnd w:id="147"/>
      <w:r w:rsidRPr="00DD1558">
        <w:rPr>
          <w:rFonts w:ascii="Simplified Arabic" w:eastAsiaTheme="majorEastAsia" w:hAnsi="Simplified Arabic" w:cstheme="majorBidi"/>
          <w:sz w:val="28"/>
          <w:szCs w:val="28"/>
        </w:rPr>
        <w:t>4.2.6 Consolidated Feasibility Matrix and Readiness Gates</w:t>
      </w:r>
      <w:bookmarkEnd w:id="148"/>
    </w:p>
    <w:p w14:paraId="03474DEC" w14:textId="6E3A1D0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9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3</w:t>
        </w:r>
      </w:hyperlink>
      <w:r w:rsidRPr="00DD1558">
        <w:rPr>
          <w:rFonts w:ascii="Simplified Arabic" w:eastAsia="Times New Roman" w:hAnsi="Simplified Arabic" w:cs="Simplified Arabic"/>
          <w:color w:val="1A1A1A"/>
          <w:sz w:val="28"/>
          <w:szCs w:val="28"/>
          <w14:ligatures w14:val="none"/>
        </w:rPr>
        <w:t xml:space="preserve"> consolidates the assessment. Each dimension is decomposed into sub-criteria; each sub-criterion carries a qualitative rating from the vocabulary of </w:t>
      </w:r>
      <w:hyperlink w:anchor="section41" w:history="1">
        <w:r w:rsidRPr="00BD4D84">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 a structural justification with its evidence base, and the governing barrier, policy, or standards clause that converts the sub-criterion from latent to actual.</w:t>
      </w:r>
    </w:p>
    <w:p w14:paraId="61850138" w14:textId="7C517157"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p>
    <w:p w14:paraId="151F7180" w14:textId="0ADDC82E" w:rsidR="00F76374" w:rsidRDefault="00F76374" w:rsidP="00F76374">
      <w:pPr>
        <w:pStyle w:val="Caption"/>
        <w:keepNext/>
        <w:bidi w:val="0"/>
      </w:pPr>
      <w:bookmarkStart w:id="149" w:name="_Toc237107838"/>
      <w:r>
        <w:t>T</w:t>
      </w:r>
      <w:bookmarkStart w:id="150" w:name="Table94"/>
      <w:bookmarkEnd w:id="150"/>
      <w:r>
        <w:t xml:space="preserve">able </w:t>
      </w:r>
      <w:r w:rsidR="00A94BAE">
        <w:t>4</w:t>
      </w:r>
      <w:r w:rsidRPr="006B524A">
        <w:t>.</w:t>
      </w:r>
      <w:r w:rsidR="00A94BAE">
        <w:t>3</w:t>
      </w:r>
      <w:r w:rsidRPr="006B524A">
        <w:t>. Consolidated qualitative feasibility matrix (ratings: Strong / Conditional / Contingent per Section 4.1)</w:t>
      </w:r>
      <w:bookmarkEnd w:id="149"/>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089"/>
        <w:gridCol w:w="1382"/>
        <w:gridCol w:w="4632"/>
        <w:gridCol w:w="2103"/>
      </w:tblGrid>
      <w:tr w:rsidR="00DD1558" w:rsidRPr="00DD1558" w14:paraId="044EE27A"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468C9AC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Sub-criterion</w:t>
            </w:r>
          </w:p>
        </w:tc>
        <w:tc>
          <w:tcPr>
            <w:tcW w:w="0" w:type="auto"/>
            <w:tcBorders>
              <w:bottom w:val="single" w:sz="8" w:space="0" w:color="44546A"/>
            </w:tcBorders>
            <w:vAlign w:val="top"/>
          </w:tcPr>
          <w:p w14:paraId="1B1BE36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Qualitative rating</w:t>
            </w:r>
          </w:p>
        </w:tc>
        <w:tc>
          <w:tcPr>
            <w:tcW w:w="0" w:type="auto"/>
            <w:tcBorders>
              <w:bottom w:val="single" w:sz="8" w:space="0" w:color="44546A"/>
            </w:tcBorders>
            <w:vAlign w:val="top"/>
          </w:tcPr>
          <w:p w14:paraId="17EF7E9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Justification (structural)</w:t>
            </w:r>
          </w:p>
        </w:tc>
        <w:tc>
          <w:tcPr>
            <w:tcW w:w="0" w:type="auto"/>
            <w:tcBorders>
              <w:bottom w:val="single" w:sz="8" w:space="0" w:color="44546A"/>
            </w:tcBorders>
            <w:vAlign w:val="top"/>
          </w:tcPr>
          <w:p w14:paraId="59D966F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Governing barrier / policy / clause</w:t>
            </w:r>
          </w:p>
        </w:tc>
      </w:tr>
      <w:tr w:rsidR="00DD1558" w:rsidRPr="00DD1558" w14:paraId="264B982F" w14:textId="77777777" w:rsidTr="00C71E92">
        <w:tc>
          <w:tcPr>
            <w:tcW w:w="0" w:type="auto"/>
          </w:tcPr>
          <w:p w14:paraId="61531B4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Organizational &amp; governance</w:t>
            </w:r>
          </w:p>
        </w:tc>
        <w:tc>
          <w:tcPr>
            <w:tcW w:w="0" w:type="auto"/>
          </w:tcPr>
          <w:p w14:paraId="4C49DB57" w14:textId="77777777" w:rsidR="00DD1558" w:rsidRPr="00DD1558" w:rsidRDefault="00DD1558" w:rsidP="00DD1558">
            <w:pPr>
              <w:bidi w:val="0"/>
              <w:spacing w:before="36" w:after="36"/>
              <w:rPr>
                <w:rFonts w:ascii="Simplified Arabic" w:hAnsi="Simplified Arabic" w:cs="Simplified Arabic"/>
              </w:rPr>
            </w:pPr>
          </w:p>
        </w:tc>
        <w:tc>
          <w:tcPr>
            <w:tcW w:w="0" w:type="auto"/>
          </w:tcPr>
          <w:p w14:paraId="48707810" w14:textId="77777777" w:rsidR="00DD1558" w:rsidRPr="00DD1558" w:rsidRDefault="00DD1558" w:rsidP="00DD1558">
            <w:pPr>
              <w:bidi w:val="0"/>
              <w:spacing w:before="36" w:after="36"/>
              <w:rPr>
                <w:rFonts w:ascii="Simplified Arabic" w:hAnsi="Simplified Arabic" w:cs="Simplified Arabic"/>
              </w:rPr>
            </w:pPr>
          </w:p>
        </w:tc>
        <w:tc>
          <w:tcPr>
            <w:tcW w:w="0" w:type="auto"/>
          </w:tcPr>
          <w:p w14:paraId="1DBAE764" w14:textId="77777777" w:rsidR="00DD1558" w:rsidRPr="00DD1558" w:rsidRDefault="00DD1558" w:rsidP="00DD1558">
            <w:pPr>
              <w:bidi w:val="0"/>
              <w:spacing w:before="36" w:after="36"/>
              <w:rPr>
                <w:rFonts w:ascii="Simplified Arabic" w:hAnsi="Simplified Arabic" w:cs="Simplified Arabic"/>
              </w:rPr>
            </w:pPr>
          </w:p>
        </w:tc>
      </w:tr>
      <w:tr w:rsidR="00DD1558" w:rsidRPr="00DD1558" w14:paraId="771267FD" w14:textId="77777777" w:rsidTr="00C71E92">
        <w:tc>
          <w:tcPr>
            <w:tcW w:w="0" w:type="auto"/>
          </w:tcPr>
          <w:p w14:paraId="3D1A070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Governance ratifiability</w:t>
            </w:r>
          </w:p>
        </w:tc>
        <w:tc>
          <w:tcPr>
            <w:tcW w:w="0" w:type="auto"/>
          </w:tcPr>
          <w:p w14:paraId="2A8CB47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72F33A8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Board/Committee/Unit constitutable by delegation within existing college governance; no new statutory bodies; collaborative governance succeeds where decision rights are explicit (Ahn &amp; Baldwin, 2024; Lopes &amp; Farias, 2022)</w:t>
            </w:r>
          </w:p>
        </w:tc>
        <w:tc>
          <w:tcPr>
            <w:tcW w:w="0" w:type="auto"/>
          </w:tcPr>
          <w:p w14:paraId="781920F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Gate G1; ISO 5.3 analogues (ISO, 2015; ISO, 2019)</w:t>
            </w:r>
          </w:p>
        </w:tc>
      </w:tr>
      <w:tr w:rsidR="00DD1558" w:rsidRPr="00DD1558" w14:paraId="2FD50F6E" w14:textId="77777777" w:rsidTr="00C71E92">
        <w:tc>
          <w:tcPr>
            <w:tcW w:w="0" w:type="auto"/>
          </w:tcPr>
          <w:p w14:paraId="182C410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Policy enforceability</w:t>
            </w:r>
          </w:p>
        </w:tc>
        <w:tc>
          <w:tcPr>
            <w:tcW w:w="0" w:type="auto"/>
          </w:tcPr>
          <w:p w14:paraId="74C7ADF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2B68CED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Enforceability via audit cadence and management review machinery the </w:t>
            </w:r>
            <w:r w:rsidRPr="00DD1558">
              <w:rPr>
                <w:rFonts w:ascii="Simplified Arabic" w:hAnsi="Simplified Arabic" w:cs="Simplified Arabic"/>
              </w:rPr>
              <w:lastRenderedPageBreak/>
              <w:t>standards already define; rests on documented information, not new disciplinary power</w:t>
            </w:r>
          </w:p>
        </w:tc>
        <w:tc>
          <w:tcPr>
            <w:tcW w:w="0" w:type="auto"/>
          </w:tcPr>
          <w:p w14:paraId="6ED300D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 xml:space="preserve">EB1; ISO 9.2–9.3, 10 analogues; </w:t>
            </w:r>
            <w:r w:rsidRPr="00DD1558">
              <w:rPr>
                <w:rFonts w:ascii="Simplified Arabic" w:hAnsi="Simplified Arabic" w:cs="Simplified Arabic"/>
              </w:rPr>
              <w:lastRenderedPageBreak/>
              <w:t>clause 7.5 documented information</w:t>
            </w:r>
          </w:p>
        </w:tc>
      </w:tr>
      <w:tr w:rsidR="00DD1558" w:rsidRPr="00DD1558" w14:paraId="52FA2145" w14:textId="77777777" w:rsidTr="00C71E92">
        <w:tc>
          <w:tcPr>
            <w:tcW w:w="0" w:type="auto"/>
          </w:tcPr>
          <w:p w14:paraId="1BBDAD3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Sponsorship &amp; strategic alignment</w:t>
            </w:r>
          </w:p>
        </w:tc>
        <w:tc>
          <w:tcPr>
            <w:tcW w:w="0" w:type="auto"/>
          </w:tcPr>
          <w:p w14:paraId="56AB61B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07D1571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Vision 2030 alignment provides institutional sponsorship; sustained leadership mandate is the documented success condition for pooling arrangements (Alamoudi et al., 2023; Alshammari, 2025; Wang &amp; Qu, 2025)</w:t>
            </w:r>
          </w:p>
        </w:tc>
        <w:tc>
          <w:tcPr>
            <w:tcW w:w="0" w:type="auto"/>
          </w:tcPr>
          <w:p w14:paraId="050604FD" w14:textId="05941680"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Board chairing; leadership delegation; </w:t>
            </w:r>
            <w:hyperlink w:anchor="Section412" w:history="1">
              <w:r w:rsidR="002C0C03" w:rsidRPr="00CD2E5F">
                <w:rPr>
                  <w:rStyle w:val="Hyperlink"/>
                  <w:rFonts w:ascii="Simplified Arabic" w:hAnsi="Simplified Arabic" w:cs="Simplified Arabic"/>
                </w:rPr>
                <w:t>Section 4.1.2</w:t>
              </w:r>
            </w:hyperlink>
          </w:p>
        </w:tc>
      </w:tr>
      <w:tr w:rsidR="00DD1558" w:rsidRPr="00DD1558" w14:paraId="3C9C29D3" w14:textId="77777777" w:rsidTr="00C71E92">
        <w:tc>
          <w:tcPr>
            <w:tcW w:w="0" w:type="auto"/>
          </w:tcPr>
          <w:p w14:paraId="60DB393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Financial &amp; fiscal</w:t>
            </w:r>
          </w:p>
        </w:tc>
        <w:tc>
          <w:tcPr>
            <w:tcW w:w="0" w:type="auto"/>
          </w:tcPr>
          <w:p w14:paraId="552EFB6D" w14:textId="77777777" w:rsidR="00DD1558" w:rsidRPr="00DD1558" w:rsidRDefault="00DD1558" w:rsidP="00DD1558">
            <w:pPr>
              <w:bidi w:val="0"/>
              <w:spacing w:before="36" w:after="36"/>
              <w:rPr>
                <w:rFonts w:ascii="Simplified Arabic" w:hAnsi="Simplified Arabic" w:cs="Simplified Arabic"/>
              </w:rPr>
            </w:pPr>
          </w:p>
        </w:tc>
        <w:tc>
          <w:tcPr>
            <w:tcW w:w="0" w:type="auto"/>
          </w:tcPr>
          <w:p w14:paraId="06705586" w14:textId="77777777" w:rsidR="00DD1558" w:rsidRPr="00DD1558" w:rsidRDefault="00DD1558" w:rsidP="00DD1558">
            <w:pPr>
              <w:bidi w:val="0"/>
              <w:spacing w:before="36" w:after="36"/>
              <w:rPr>
                <w:rFonts w:ascii="Simplified Arabic" w:hAnsi="Simplified Arabic" w:cs="Simplified Arabic"/>
              </w:rPr>
            </w:pPr>
          </w:p>
        </w:tc>
        <w:tc>
          <w:tcPr>
            <w:tcW w:w="0" w:type="auto"/>
          </w:tcPr>
          <w:p w14:paraId="1E8DAFC0" w14:textId="77777777" w:rsidR="00DD1558" w:rsidRPr="00DD1558" w:rsidRDefault="00DD1558" w:rsidP="00DD1558">
            <w:pPr>
              <w:bidi w:val="0"/>
              <w:spacing w:before="36" w:after="36"/>
              <w:rPr>
                <w:rFonts w:ascii="Simplified Arabic" w:hAnsi="Simplified Arabic" w:cs="Simplified Arabic"/>
              </w:rPr>
            </w:pPr>
          </w:p>
        </w:tc>
      </w:tr>
      <w:tr w:rsidR="00DD1558" w:rsidRPr="00DD1558" w14:paraId="52031ABE" w14:textId="77777777" w:rsidTr="00C71E92">
        <w:tc>
          <w:tcPr>
            <w:tcW w:w="0" w:type="auto"/>
          </w:tcPr>
          <w:p w14:paraId="4DFD4BA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Duplicate-procurement displacement (cost avoidance)</w:t>
            </w:r>
          </w:p>
        </w:tc>
        <w:tc>
          <w:tcPr>
            <w:tcW w:w="0" w:type="auto"/>
          </w:tcPr>
          <w:p w14:paraId="094C5B3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515488D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Eligibility check at requisition point is documented procurement-control practice; mechanism is structural, independent of setting (Sönnichsen &amp; Clement, 2020)</w:t>
            </w:r>
          </w:p>
        </w:tc>
        <w:tc>
          <w:tcPr>
            <w:tcW w:w="0" w:type="auto"/>
          </w:tcPr>
          <w:p w14:paraId="3311EEC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PB2; PB3; Inter-Lab Policy Framework (a)</w:t>
            </w:r>
          </w:p>
        </w:tc>
      </w:tr>
      <w:tr w:rsidR="00DD1558" w:rsidRPr="00DD1558" w14:paraId="0CE9B20E" w14:textId="77777777" w:rsidTr="00C71E92">
        <w:tc>
          <w:tcPr>
            <w:tcW w:w="0" w:type="auto"/>
          </w:tcPr>
          <w:p w14:paraId="5C25D6E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Resource-allocation optimization (access over ownership)</w:t>
            </w:r>
          </w:p>
        </w:tc>
        <w:tc>
          <w:tcPr>
            <w:tcW w:w="0" w:type="auto"/>
          </w:tcPr>
          <w:p w14:paraId="32B2E4C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13FFF70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Shared-access regimes raise utilization where custody is specified; cautionary evidence requires strong platform rules (Strom et al., 2020; Zhu &amp; Liu, 2021; Wang &amp; Qu, 2025; Tu &amp; Greever-Wilson, 2025)</w:t>
            </w:r>
          </w:p>
        </w:tc>
        <w:tc>
          <w:tcPr>
            <w:tcW w:w="0" w:type="auto"/>
          </w:tcPr>
          <w:p w14:paraId="5DB53CC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MB2 with EB3; loan limits; recall rights; liability principle</w:t>
            </w:r>
          </w:p>
        </w:tc>
      </w:tr>
      <w:tr w:rsidR="00DD1558" w:rsidRPr="00DD1558" w14:paraId="0829FEF2" w14:textId="77777777" w:rsidTr="00C71E92">
        <w:tc>
          <w:tcPr>
            <w:tcW w:w="0" w:type="auto"/>
          </w:tcPr>
          <w:p w14:paraId="7C607E0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Fiscal neutrality</w:t>
            </w:r>
          </w:p>
        </w:tc>
        <w:tc>
          <w:tcPr>
            <w:tcW w:w="0" w:type="auto"/>
          </w:tcPr>
          <w:p w14:paraId="1CD0B70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0E0B512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Duties attached to existing roles; registry on existing IT infrastructure; no new budgetary line beyond transitional coordination</w:t>
            </w:r>
          </w:p>
        </w:tc>
        <w:tc>
          <w:tcPr>
            <w:tcW w:w="0" w:type="auto"/>
          </w:tcPr>
          <w:p w14:paraId="6335206E" w14:textId="113FE9C8" w:rsidR="00DD1558" w:rsidRPr="00DD1558" w:rsidRDefault="00DD1558" w:rsidP="00DD1558">
            <w:pPr>
              <w:bidi w:val="0"/>
              <w:spacing w:before="36" w:after="36"/>
              <w:rPr>
                <w:rFonts w:ascii="Simplified Arabic" w:hAnsi="Simplified Arabic" w:cs="Simplified Arabic"/>
              </w:rPr>
            </w:pPr>
            <w:hyperlink w:anchor="Principle3" w:history="1">
              <w:r w:rsidRPr="00752112">
                <w:rPr>
                  <w:rStyle w:val="Hyperlink"/>
                  <w:rFonts w:ascii="Simplified Arabic" w:hAnsi="Simplified Arabic" w:cs="Simplified Arabic"/>
                </w:rPr>
                <w:t>Principle 3</w:t>
              </w:r>
            </w:hyperlink>
            <w:r w:rsidRPr="00DD1558">
              <w:rPr>
                <w:rFonts w:ascii="Simplified Arabic" w:hAnsi="Simplified Arabic" w:cs="Simplified Arabic"/>
              </w:rPr>
              <w:t xml:space="preserve"> (</w:t>
            </w:r>
            <w:hyperlink w:anchor="section411" w:history="1">
              <w:r w:rsidR="002C0C03" w:rsidRPr="00CD2E5F">
                <w:rPr>
                  <w:rStyle w:val="Hyperlink"/>
                  <w:rFonts w:ascii="Simplified Arabic" w:hAnsi="Simplified Arabic" w:cs="Simplified Arabic"/>
                </w:rPr>
                <w:t>Section 4.1.1</w:t>
              </w:r>
            </w:hyperlink>
            <w:r w:rsidRPr="00DD1558">
              <w:rPr>
                <w:rFonts w:ascii="Simplified Arabic" w:hAnsi="Simplified Arabic" w:cs="Simplified Arabic"/>
              </w:rPr>
              <w:t>); Unit IT liaison (</w:t>
            </w:r>
            <w:hyperlink w:anchor="Section414" w:history="1">
              <w:r w:rsidR="002C0C03" w:rsidRPr="00CD2E5F">
                <w:rPr>
                  <w:rStyle w:val="Hyperlink"/>
                  <w:rFonts w:ascii="Simplified Arabic" w:hAnsi="Simplified Arabic" w:cs="Simplified Arabic"/>
                </w:rPr>
                <w:t>Section 4.1.4</w:t>
              </w:r>
            </w:hyperlink>
            <w:r w:rsidRPr="00DD1558">
              <w:rPr>
                <w:rFonts w:ascii="Simplified Arabic" w:hAnsi="Simplified Arabic" w:cs="Simplified Arabic"/>
              </w:rPr>
              <w:t>)</w:t>
            </w:r>
          </w:p>
        </w:tc>
      </w:tr>
      <w:tr w:rsidR="00DD1558" w:rsidRPr="00DD1558" w14:paraId="5BC8F260" w14:textId="77777777" w:rsidTr="00C71E92">
        <w:tc>
          <w:tcPr>
            <w:tcW w:w="0" w:type="auto"/>
          </w:tcPr>
          <w:p w14:paraId="4E263B5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Technical &amp; operational</w:t>
            </w:r>
          </w:p>
        </w:tc>
        <w:tc>
          <w:tcPr>
            <w:tcW w:w="0" w:type="auto"/>
          </w:tcPr>
          <w:p w14:paraId="2BC05A7E" w14:textId="77777777" w:rsidR="00DD1558" w:rsidRPr="00DD1558" w:rsidRDefault="00DD1558" w:rsidP="00DD1558">
            <w:pPr>
              <w:bidi w:val="0"/>
              <w:spacing w:before="36" w:after="36"/>
              <w:rPr>
                <w:rFonts w:ascii="Simplified Arabic" w:hAnsi="Simplified Arabic" w:cs="Simplified Arabic"/>
              </w:rPr>
            </w:pPr>
          </w:p>
        </w:tc>
        <w:tc>
          <w:tcPr>
            <w:tcW w:w="0" w:type="auto"/>
          </w:tcPr>
          <w:p w14:paraId="0D5C6958" w14:textId="77777777" w:rsidR="00DD1558" w:rsidRPr="00DD1558" w:rsidRDefault="00DD1558" w:rsidP="00DD1558">
            <w:pPr>
              <w:bidi w:val="0"/>
              <w:spacing w:before="36" w:after="36"/>
              <w:rPr>
                <w:rFonts w:ascii="Simplified Arabic" w:hAnsi="Simplified Arabic" w:cs="Simplified Arabic"/>
              </w:rPr>
            </w:pPr>
          </w:p>
        </w:tc>
        <w:tc>
          <w:tcPr>
            <w:tcW w:w="0" w:type="auto"/>
          </w:tcPr>
          <w:p w14:paraId="2D421914" w14:textId="77777777" w:rsidR="00DD1558" w:rsidRPr="00DD1558" w:rsidRDefault="00DD1558" w:rsidP="00DD1558">
            <w:pPr>
              <w:bidi w:val="0"/>
              <w:spacing w:before="36" w:after="36"/>
              <w:rPr>
                <w:rFonts w:ascii="Simplified Arabic" w:hAnsi="Simplified Arabic" w:cs="Simplified Arabic"/>
              </w:rPr>
            </w:pPr>
          </w:p>
        </w:tc>
      </w:tr>
      <w:tr w:rsidR="00DD1558" w:rsidRPr="00DD1558" w14:paraId="355DFD8A" w14:textId="77777777" w:rsidTr="00C71E92">
        <w:tc>
          <w:tcPr>
            <w:tcW w:w="0" w:type="auto"/>
          </w:tcPr>
          <w:p w14:paraId="47072C1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Staff competence (bounded execution)</w:t>
            </w:r>
          </w:p>
        </w:tc>
        <w:tc>
          <w:tcPr>
            <w:tcW w:w="0" w:type="auto"/>
          </w:tcPr>
          <w:p w14:paraId="793402D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5B5DD5A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FEFO, custody documentation, and registry entries are routine technical competencies; competence and awareness machinery </w:t>
            </w:r>
            <w:r w:rsidRPr="00DD1558">
              <w:rPr>
                <w:rFonts w:ascii="Simplified Arabic" w:hAnsi="Simplified Arabic" w:cs="Simplified Arabic"/>
              </w:rPr>
              <w:lastRenderedPageBreak/>
              <w:t>adopted from standards (Durgan et al., 2023; Wilke et al., 2023)</w:t>
            </w:r>
          </w:p>
        </w:tc>
        <w:tc>
          <w:tcPr>
            <w:tcW w:w="0" w:type="auto"/>
          </w:tcPr>
          <w:p w14:paraId="39DB83D9" w14:textId="2554098A"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 xml:space="preserve">ISO 7.2–7.3 analogues (ISO, 2015; ISO, 2019); </w:t>
            </w:r>
            <w:hyperlink w:anchor="section415" w:history="1">
              <w:r w:rsidR="002C0C03" w:rsidRPr="00CD2E5F">
                <w:rPr>
                  <w:rStyle w:val="Hyperlink"/>
                  <w:rFonts w:ascii="Simplified Arabic" w:hAnsi="Simplified Arabic" w:cs="Simplified Arabic"/>
                </w:rPr>
                <w:t>Section 4.1.5</w:t>
              </w:r>
            </w:hyperlink>
            <w:r w:rsidRPr="00DD1558">
              <w:rPr>
                <w:rFonts w:ascii="Simplified Arabic" w:hAnsi="Simplified Arabic" w:cs="Simplified Arabic"/>
              </w:rPr>
              <w:t xml:space="preserve"> non-authority clause</w:t>
            </w:r>
          </w:p>
        </w:tc>
      </w:tr>
      <w:tr w:rsidR="00DD1558" w:rsidRPr="00DD1558" w14:paraId="7B2BDA10" w14:textId="77777777" w:rsidTr="00C71E92">
        <w:tc>
          <w:tcPr>
            <w:tcW w:w="0" w:type="auto"/>
          </w:tcPr>
          <w:p w14:paraId="71D46B9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FEFO executability</w:t>
            </w:r>
          </w:p>
        </w:tc>
        <w:tc>
          <w:tcPr>
            <w:tcW w:w="0" w:type="auto"/>
          </w:tcPr>
          <w:p w14:paraId="7D2FDB7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30024D6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Date-ordered rotation is documented standard practice; requires ratified standard and expiry-flagging thresholds</w:t>
            </w:r>
          </w:p>
        </w:tc>
        <w:tc>
          <w:tcPr>
            <w:tcW w:w="0" w:type="auto"/>
          </w:tcPr>
          <w:p w14:paraId="636029A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MB1 standard (Committee); technician execution</w:t>
            </w:r>
          </w:p>
        </w:tc>
      </w:tr>
      <w:tr w:rsidR="00DD1558" w:rsidRPr="00DD1558" w14:paraId="6B0F3E3B" w14:textId="77777777" w:rsidTr="00C71E92">
        <w:tc>
          <w:tcPr>
            <w:tcW w:w="0" w:type="auto"/>
          </w:tcPr>
          <w:p w14:paraId="5C59A08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Data standardization</w:t>
            </w:r>
          </w:p>
        </w:tc>
        <w:tc>
          <w:tcPr>
            <w:tcW w:w="0" w:type="auto"/>
          </w:tcPr>
          <w:p w14:paraId="7571547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17C1E36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One-time structural drafting plus routine upkeep; decay risk controlled by institutionalized data-quality ownership</w:t>
            </w:r>
          </w:p>
        </w:tc>
        <w:tc>
          <w:tcPr>
            <w:tcW w:w="0" w:type="auto"/>
          </w:tcPr>
          <w:p w14:paraId="043E74B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PB1; EB2; ISO 7.5 analogues</w:t>
            </w:r>
          </w:p>
        </w:tc>
      </w:tr>
      <w:tr w:rsidR="00DD1558" w:rsidRPr="00DD1558" w14:paraId="7AD632D3" w14:textId="77777777" w:rsidTr="00C71E92">
        <w:tc>
          <w:tcPr>
            <w:tcW w:w="0" w:type="auto"/>
          </w:tcPr>
          <w:p w14:paraId="42D3436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Digital platform readiness</w:t>
            </w:r>
          </w:p>
        </w:tc>
        <w:tc>
          <w:tcPr>
            <w:tcW w:w="0" w:type="auto"/>
          </w:tcPr>
          <w:p w14:paraId="3DCDF53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Contingent</w:t>
            </w:r>
          </w:p>
        </w:tc>
        <w:tc>
          <w:tcPr>
            <w:tcW w:w="0" w:type="auto"/>
          </w:tcPr>
          <w:p w14:paraId="214582F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Organizational readiness must precede technology; platform value presupposes standardized processes and data semantics; depends on university IT provision (Rodríguez-Abitia &amp; Bribiesca-Correa, 2021; Bellantuono et al., 2021; Carpitella &amp; Izquierdo, 2025; Wilke et al., 2023)</w:t>
            </w:r>
          </w:p>
        </w:tc>
        <w:tc>
          <w:tcPr>
            <w:tcW w:w="0" w:type="auto"/>
          </w:tcPr>
          <w:p w14:paraId="02BF2AB6" w14:textId="3CF47B5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Gate G4; Unit requirements baseline (</w:t>
            </w:r>
            <w:hyperlink w:anchor="Section414" w:history="1">
              <w:r w:rsidR="002C0C03" w:rsidRPr="00CD2E5F">
                <w:rPr>
                  <w:rStyle w:val="Hyperlink"/>
                  <w:rFonts w:ascii="Simplified Arabic" w:hAnsi="Simplified Arabic" w:cs="Simplified Arabic"/>
                </w:rPr>
                <w:t>Section 4.1.4</w:t>
              </w:r>
            </w:hyperlink>
            <w:r w:rsidRPr="00DD1558">
              <w:rPr>
                <w:rFonts w:ascii="Simplified Arabic" w:hAnsi="Simplified Arabic" w:cs="Simplified Arabic"/>
              </w:rPr>
              <w:t>)</w:t>
            </w:r>
          </w:p>
        </w:tc>
      </w:tr>
      <w:tr w:rsidR="00DD1558" w:rsidRPr="00DD1558" w14:paraId="60921AA9" w14:textId="77777777" w:rsidTr="00C71E92">
        <w:tc>
          <w:tcPr>
            <w:tcW w:w="0" w:type="auto"/>
          </w:tcPr>
          <w:p w14:paraId="0668B70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rPr>
              <w:t>Environmental &amp; sustainability</w:t>
            </w:r>
          </w:p>
        </w:tc>
        <w:tc>
          <w:tcPr>
            <w:tcW w:w="0" w:type="auto"/>
          </w:tcPr>
          <w:p w14:paraId="7A424102" w14:textId="77777777" w:rsidR="00DD1558" w:rsidRPr="00DD1558" w:rsidRDefault="00DD1558" w:rsidP="00DD1558">
            <w:pPr>
              <w:bidi w:val="0"/>
              <w:spacing w:before="36" w:after="36"/>
              <w:rPr>
                <w:rFonts w:ascii="Simplified Arabic" w:hAnsi="Simplified Arabic" w:cs="Simplified Arabic"/>
              </w:rPr>
            </w:pPr>
          </w:p>
        </w:tc>
        <w:tc>
          <w:tcPr>
            <w:tcW w:w="0" w:type="auto"/>
          </w:tcPr>
          <w:p w14:paraId="5AC4F624" w14:textId="77777777" w:rsidR="00DD1558" w:rsidRPr="00DD1558" w:rsidRDefault="00DD1558" w:rsidP="00DD1558">
            <w:pPr>
              <w:bidi w:val="0"/>
              <w:spacing w:before="36" w:after="36"/>
              <w:rPr>
                <w:rFonts w:ascii="Simplified Arabic" w:hAnsi="Simplified Arabic" w:cs="Simplified Arabic"/>
              </w:rPr>
            </w:pPr>
          </w:p>
        </w:tc>
        <w:tc>
          <w:tcPr>
            <w:tcW w:w="0" w:type="auto"/>
          </w:tcPr>
          <w:p w14:paraId="5123AC34" w14:textId="77777777" w:rsidR="00DD1558" w:rsidRPr="00DD1558" w:rsidRDefault="00DD1558" w:rsidP="00DD1558">
            <w:pPr>
              <w:bidi w:val="0"/>
              <w:spacing w:before="36" w:after="36"/>
              <w:rPr>
                <w:rFonts w:ascii="Simplified Arabic" w:hAnsi="Simplified Arabic" w:cs="Simplified Arabic"/>
              </w:rPr>
            </w:pPr>
          </w:p>
        </w:tc>
      </w:tr>
      <w:tr w:rsidR="00DD1558" w:rsidRPr="00DD1558" w14:paraId="666C6AB4" w14:textId="77777777" w:rsidTr="00C71E92">
        <w:tc>
          <w:tcPr>
            <w:tcW w:w="0" w:type="auto"/>
          </w:tcPr>
          <w:p w14:paraId="6015A21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Aspect control (life-cycle perspective)</w:t>
            </w:r>
          </w:p>
        </w:tc>
        <w:tc>
          <w:tcPr>
            <w:tcW w:w="0" w:type="auto"/>
          </w:tcPr>
          <w:p w14:paraId="38F7CD8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159596D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Expired chemicals and redundant acquisition identifiable as significant aspects; control via operational planning with a life-cycle perspective — a perspective, not a full LCA</w:t>
            </w:r>
          </w:p>
        </w:tc>
        <w:tc>
          <w:tcPr>
            <w:tcW w:w="0" w:type="auto"/>
          </w:tcPr>
          <w:p w14:paraId="26C81F7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14001 cl. 6.1.2, 8.1 (ISO, 2015); PB2/PB3; MB3</w:t>
            </w:r>
          </w:p>
        </w:tc>
      </w:tr>
      <w:tr w:rsidR="00DD1558" w:rsidRPr="00DD1558" w14:paraId="6272CEC7" w14:textId="77777777" w:rsidTr="00C71E92">
        <w:tc>
          <w:tcPr>
            <w:tcW w:w="0" w:type="auto"/>
          </w:tcPr>
          <w:p w14:paraId="68465DF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Waste-reduction mechanism chain</w:t>
            </w:r>
          </w:p>
        </w:tc>
        <w:tc>
          <w:tcPr>
            <w:tcW w:w="0" w:type="auto"/>
          </w:tcPr>
          <w:p w14:paraId="6E90DAF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462D6C6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FEFO </w:t>
            </w:r>
            <w:r w:rsidRPr="00DD1558">
              <w:rPr>
                <w:rFonts w:ascii="Times New Roman" w:hAnsi="Times New Roman" w:cs="Times New Roman"/>
              </w:rPr>
              <w:t>→</w:t>
            </w:r>
            <w:r w:rsidRPr="00DD1558">
              <w:rPr>
                <w:rFonts w:ascii="Simplified Arabic" w:hAnsi="Simplified Arabic" w:cs="Simplified Arabic"/>
              </w:rPr>
              <w:t xml:space="preserve"> pre-expiry redistribution </w:t>
            </w:r>
            <w:r w:rsidRPr="00DD1558">
              <w:rPr>
                <w:rFonts w:ascii="Times New Roman" w:hAnsi="Times New Roman" w:cs="Times New Roman"/>
              </w:rPr>
              <w:t>→</w:t>
            </w:r>
            <w:r w:rsidRPr="00DD1558">
              <w:rPr>
                <w:rFonts w:ascii="Simplified Arabic" w:hAnsi="Simplified Arabic" w:cs="Simplified Arabic"/>
              </w:rPr>
              <w:t xml:space="preserve"> governed disposal is documented green-laboratory practice (Durgan et al., 2023; Freese et al., 2024; Gutierrez et al., 2020)</w:t>
            </w:r>
          </w:p>
        </w:tc>
        <w:tc>
          <w:tcPr>
            <w:tcW w:w="0" w:type="auto"/>
          </w:tcPr>
          <w:p w14:paraId="57A4A5A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 xml:space="preserve">MB1 </w:t>
            </w:r>
            <w:r w:rsidRPr="00DD1558">
              <w:rPr>
                <w:rFonts w:ascii="Times New Roman" w:hAnsi="Times New Roman" w:cs="Times New Roman"/>
              </w:rPr>
              <w:t>→</w:t>
            </w:r>
            <w:r w:rsidRPr="00DD1558">
              <w:rPr>
                <w:rFonts w:ascii="Simplified Arabic" w:hAnsi="Simplified Arabic" w:cs="Simplified Arabic"/>
              </w:rPr>
              <w:t xml:space="preserve"> MB2 </w:t>
            </w:r>
            <w:r w:rsidRPr="00DD1558">
              <w:rPr>
                <w:rFonts w:ascii="Times New Roman" w:hAnsi="Times New Roman" w:cs="Times New Roman"/>
              </w:rPr>
              <w:t>→</w:t>
            </w:r>
            <w:r w:rsidRPr="00DD1558">
              <w:rPr>
                <w:rFonts w:ascii="Simplified Arabic" w:hAnsi="Simplified Arabic" w:cs="Simplified Arabic"/>
              </w:rPr>
              <w:t xml:space="preserve"> MB3 sequence</w:t>
            </w:r>
          </w:p>
        </w:tc>
      </w:tr>
      <w:tr w:rsidR="00DD1558" w:rsidRPr="00DD1558" w14:paraId="6D77EE6A" w14:textId="77777777" w:rsidTr="00C71E92">
        <w:tc>
          <w:tcPr>
            <w:tcW w:w="0" w:type="auto"/>
          </w:tcPr>
          <w:p w14:paraId="6973987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lastRenderedPageBreak/>
              <w:t>Conformity evaluation &amp; emergency preparedness</w:t>
            </w:r>
          </w:p>
        </w:tc>
        <w:tc>
          <w:tcPr>
            <w:tcW w:w="0" w:type="auto"/>
          </w:tcPr>
          <w:p w14:paraId="12ACBD7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Conditional</w:t>
            </w:r>
          </w:p>
        </w:tc>
        <w:tc>
          <w:tcPr>
            <w:tcW w:w="0" w:type="auto"/>
          </w:tcPr>
          <w:p w14:paraId="07EE16F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Compliance-obligation determination and periodic evaluation owned by the Committee’s safety interface; emergency preparedness adopted from the standard (Alshammari, 2025; Hassanain et al., 2020)</w:t>
            </w:r>
          </w:p>
        </w:tc>
        <w:tc>
          <w:tcPr>
            <w:tcW w:w="0" w:type="auto"/>
          </w:tcPr>
          <w:p w14:paraId="53F4B2B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ISO 14001 cl. 6.1.3, 9.1.2, 8.2; Committee safety interface</w:t>
            </w:r>
          </w:p>
        </w:tc>
      </w:tr>
    </w:tbl>
    <w:p w14:paraId="2D02489A" w14:textId="54680C46"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Overall verdict.</w:t>
      </w:r>
      <w:r w:rsidRPr="00DD1558">
        <w:rPr>
          <w:rFonts w:ascii="Simplified Arabic" w:eastAsia="Times New Roman" w:hAnsi="Simplified Arabic" w:cs="Simplified Arabic"/>
          <w:color w:val="1A1A1A"/>
          <w:sz w:val="28"/>
          <w:szCs w:val="28"/>
          <w14:ligatures w14:val="none"/>
        </w:rPr>
        <w:t xml:space="preserve"> Reading the matrix as a whole, the analysis suggests that the framework’s feasibility is </w:t>
      </w:r>
      <w:r w:rsidRPr="00DD1558">
        <w:rPr>
          <w:rFonts w:ascii="Simplified Arabic" w:eastAsia="Times New Roman" w:hAnsi="Simplified Arabic" w:cs="Simplified Arabic"/>
          <w:b/>
          <w:bCs/>
          <w:color w:val="1A1A1A"/>
          <w:sz w:val="28"/>
          <w:szCs w:val="28"/>
          <w14:ligatures w14:val="none"/>
        </w:rPr>
        <w:t>conditionally strong</w:t>
      </w:r>
      <w:r w:rsidRPr="00DD1558">
        <w:rPr>
          <w:rFonts w:ascii="Simplified Arabic" w:eastAsia="Times New Roman" w:hAnsi="Simplified Arabic" w:cs="Simplified Arabic"/>
          <w:color w:val="1A1A1A"/>
          <w:sz w:val="28"/>
          <w:szCs w:val="28"/>
          <w14:ligatures w14:val="none"/>
        </w:rPr>
        <w:t xml:space="preserve">: no sub-criterion is rated infeasible, no rating depends on resources the college does not possess, and every Conditional rating names a condition that is itself a decision within the college’s authority. The single Contingent element — the smart-inventory platform — is deliberately peripheral: the framework’s preventive, mitigative, and enforceability functions operate fully on ratified policy and a registry on existing infrastructure, with digitalization as an unlocked capability rather than a foundation. </w:t>
      </w:r>
      <w:r w:rsidR="00F84E0F" w:rsidRPr="00F84E0F">
        <w:rPr>
          <w:rFonts w:ascii="Simplified Arabic" w:eastAsia="Times New Roman" w:hAnsi="Simplified Arabic" w:cs="Simplified Arabic"/>
          <w:color w:val="1A1A1A"/>
          <w:sz w:val="28"/>
          <w:szCs w:val="28"/>
          <w14:ligatures w14:val="none"/>
        </w:rPr>
        <w:t>The verdict thus operationalizes Phase 1’s central ordering claim: the binding constraint on participatory inventory within the host institution is not technical or fiscal but organizational—ratification, sponsorship, and data discipline—and organizational constraints are charged as exactly the kind a governance framework can close</w:t>
      </w:r>
      <w:r w:rsidR="00F84E0F" w:rsidRPr="00F84E0F">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{"citationID":"Sylfn5Ce","properties":{"unsorted":false,"formattedCitation":"(Hillson, D. A., 1997; PMI, 2021; Rodr\\uc0\\u237{}guez-Abitia &amp; Bribiesca-Correa, 2021)","plainCitation":"(Hillson, D. A., 1997; PMI, 2021; Rodríguez-Abitia &amp; Bribiesca-Correa, 2021)","noteIndex":0},"citationItems":[{"id":540,"uris":["http://zotero.org/users/19711126/items/IB7NEYQH"],"itemData":{"id":540,"type":"report","title":"Towards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PMI, 2021;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BA80B9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conditions named across the matrix consolidate into four </w:t>
      </w:r>
      <w:r w:rsidRPr="00DD1558">
        <w:rPr>
          <w:rFonts w:ascii="Simplified Arabic" w:eastAsia="Times New Roman" w:hAnsi="Simplified Arabic" w:cs="Simplified Arabic"/>
          <w:b/>
          <w:bCs/>
          <w:color w:val="1A1A1A"/>
          <w:sz w:val="28"/>
          <w:szCs w:val="28"/>
          <w14:ligatures w14:val="none"/>
        </w:rPr>
        <w:t>analytical readiness gates</w:t>
      </w:r>
      <w:r w:rsidRPr="00DD1558">
        <w:rPr>
          <w:rFonts w:ascii="Simplified Arabic" w:eastAsia="Times New Roman" w:hAnsi="Simplified Arabic" w:cs="Simplified Arabic"/>
          <w:color w:val="1A1A1A"/>
          <w:sz w:val="28"/>
          <w:szCs w:val="28"/>
          <w14:ligatures w14:val="none"/>
        </w:rPr>
        <w:t xml:space="preserve"> — policy-controlled checkpoints with explicit criteria, verified by inspection of documented information:</w:t>
      </w:r>
    </w:p>
    <w:p w14:paraId="08D1A349" w14:textId="54A65F82"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G1 — Policy ratification.</w:t>
      </w:r>
      <w:r w:rsidRPr="00DD1558">
        <w:rPr>
          <w:rFonts w:ascii="Simplified Arabic" w:eastAsia="Cambria" w:hAnsi="Simplified Arabic" w:cs="Simplified Arabic"/>
          <w:color w:val="212121"/>
          <w:sz w:val="28"/>
          <w:szCs w:val="28"/>
          <w14:ligatures w14:val="none"/>
        </w:rPr>
        <w:t xml:space="preserve"> The Board is constituted by college leadership; the unified catalog standard, the eligibility clauses, the FEFO policy standard, and the Inter-Lab Policy Framework are ratified; roles are appointed and communicated per the clause 5.3 analogue; and the classified risk register (</w:t>
      </w:r>
      <w:hyperlink w:anchor="section292" w:history="1">
        <w:r w:rsidR="000A422D" w:rsidRPr="00CD2E5F">
          <w:rPr>
            <w:rStyle w:val="Hyperlink"/>
            <w:rFonts w:ascii="Simplified Arabic" w:eastAsia="Cambria" w:hAnsi="Simplified Arabic" w:cs="Simplified Arabic"/>
            <w:sz w:val="28"/>
            <w:szCs w:val="28"/>
            <w14:ligatures w14:val="none"/>
          </w:rPr>
          <w:t>Section 2.9.2</w:t>
        </w:r>
      </w:hyperlink>
      <w:r w:rsidRPr="00DD1558">
        <w:rPr>
          <w:rFonts w:ascii="Simplified Arabic" w:eastAsia="Cambria" w:hAnsi="Simplified Arabic" w:cs="Simplified Arabic"/>
          <w:color w:val="212121"/>
          <w:sz w:val="28"/>
          <w:szCs w:val="28"/>
          <w14:ligatures w14:val="none"/>
        </w:rPr>
        <w:t xml:space="preserve">) is adopted as a </w:t>
      </w:r>
      <w:r w:rsidRPr="00DD1558">
        <w:rPr>
          <w:rFonts w:ascii="Simplified Arabic" w:eastAsia="Cambria" w:hAnsi="Simplified Arabic" w:cs="Simplified Arabic"/>
          <w:color w:val="212121"/>
          <w:sz w:val="28"/>
          <w:szCs w:val="28"/>
          <w14:ligatures w14:val="none"/>
        </w:rPr>
        <w:lastRenderedPageBreak/>
        <w:t>standing Board instrument. G1 releases every Conditional rating whose mechanism requires ratified policy.</w:t>
      </w:r>
    </w:p>
    <w:p w14:paraId="6D71CB8F"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G2 — Data readiness.</w:t>
      </w:r>
      <w:r w:rsidRPr="00DD1558">
        <w:rPr>
          <w:rFonts w:ascii="Simplified Arabic" w:eastAsia="Cambria" w:hAnsi="Simplified Arabic" w:cs="Simplified Arabic"/>
          <w:color w:val="212121"/>
          <w:sz w:val="28"/>
          <w:szCs w:val="28"/>
          <w14:ligatures w14:val="none"/>
        </w:rPr>
        <w:t xml:space="preserve"> Departmental inventory onboarding to the shared registry is complete for the pilot scope, and registry records conform to the Committee’s catalog standard as verified by the Unit’s data-quality indicators (EB2). G2 releases the eligibility check, the visibility function, and redistribution, all of which are blind on incomplete data (EF2).</w:t>
      </w:r>
    </w:p>
    <w:p w14:paraId="419B14F3"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G3 — Pilot workflow integrity.</w:t>
      </w:r>
      <w:r w:rsidRPr="00DD1558">
        <w:rPr>
          <w:rFonts w:ascii="Simplified Arabic" w:eastAsia="Cambria" w:hAnsi="Simplified Arabic" w:cs="Simplified Arabic"/>
          <w:color w:val="212121"/>
          <w:sz w:val="28"/>
          <w:szCs w:val="28"/>
          <w14:ligatures w14:val="none"/>
        </w:rPr>
        <w:t xml:space="preserve"> The Biology Department pilot demonstrates — qualitatively, through executed and documented cases rather than metrics — the loan workflow, custody-transfer protocol (EB3), and FEFO execution (MB1) operating as designed, following by analogue the exercise-programme logic of ISO 22301:2019 clause 8.5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{"citationID":"bkrzvs2E","properties":{"unsorted":false,"formattedCitation":"(22301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G3 releases college-wide scaling.</w:t>
      </w:r>
    </w:p>
    <w:p w14:paraId="757F8C9C"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G4 — Digital platform readiness.</w:t>
      </w:r>
      <w:r w:rsidRPr="00DD1558">
        <w:rPr>
          <w:rFonts w:ascii="Simplified Arabic" w:eastAsia="Cambria" w:hAnsi="Simplified Arabic" w:cs="Simplified Arabic"/>
          <w:color w:val="212121"/>
          <w:sz w:val="28"/>
          <w:szCs w:val="28"/>
          <w14:ligatures w14:val="none"/>
        </w:rPr>
        <w:t xml:space="preserve"> The Unit’s requirements baseline for a smart-inventory platform is met: standardized processes, conformant data, and demonstrated workflow stability constitute the organizational readiness the digitalization literature identifies as prerequisite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{"citationID":"jujKLCc0","properties":{"unsorted":false,"formattedCitation":"(Bellantuono et al., 2021; Carpitella &amp; Izquierdo, 2025)","plainCitation":"(Bellantuono et al., 2021; Carpitella &amp; Izquierdo, 2025)","noteIndex":0},"citationItems":[{"id":410,"uris":["http://zotero.org/users/19711126/items/KR49AFQT"],"itemData":{"id":410,"type":"article-journal","abstract":"The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(Bellantuono et al., 2021; Carpitella &amp; Izquierdo, 2025)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G4 releases platform procurement consideration — and only consideration, since provision remains Contingent.</w:t>
      </w:r>
    </w:p>
    <w:p w14:paraId="394230D0" w14:textId="6A74F5C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These gates are the connective tissue of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w:t>
      </w:r>
      <w:hyperlink w:anchor="section292" w:history="1">
        <w:r w:rsidR="000A422D" w:rsidRPr="00CD2E5F">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’s risk register takes the gate conditions as its control targets — the risks that would prevent a gate from being met are the register’s transition risks; </w:t>
      </w:r>
      <w:hyperlink w:anchor="section417" w:history="1">
        <w:r w:rsidR="000F1211" w:rsidRPr="00CD2E5F">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’s indicators monitor the same conditions continuously, operationalizing EB1 and EB2 as standing surveillance of gate criteria after they are first passed; and </w:t>
      </w:r>
      <w:hyperlink w:anchor="Section416" w:history="1">
        <w:r w:rsidR="000F1211" w:rsidRPr="00CD2E5F">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sequences implementation as the ordered passage of G1 through G4 along the maturity trajectory from Inform/Conform toward Perform. The feasibility verdict of this section is therefore not a conclusion but a contract: the framework </w:t>
      </w:r>
      <w:r w:rsidRPr="00DD1558">
        <w:rPr>
          <w:rFonts w:ascii="Simplified Arabic" w:eastAsia="Times New Roman" w:hAnsi="Simplified Arabic" w:cs="Simplified Arabic"/>
          <w:color w:val="1A1A1A"/>
          <w:sz w:val="28"/>
          <w:szCs w:val="28"/>
          <w14:ligatures w14:val="none"/>
        </w:rPr>
        <w:lastRenderedPageBreak/>
        <w:t>is feasible, conditionally, and the conditions are now named, owned, and ready to be scheduled.</w:t>
      </w:r>
    </w:p>
    <w:p w14:paraId="3B576405"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151" w:name="section43"/>
      <w:bookmarkStart w:id="152" w:name="_Toc237539765"/>
      <w:bookmarkEnd w:id="151"/>
      <w:r w:rsidRPr="00DD1558">
        <w:rPr>
          <w:rFonts w:ascii="Simplified Arabic" w:eastAsiaTheme="majorEastAsia" w:hAnsi="Simplified Arabic" w:cstheme="majorBidi"/>
          <w:b/>
          <w:sz w:val="28"/>
          <w:szCs w:val="32"/>
        </w:rPr>
        <w:t>4.3 Classified Risk Register and Mitigation Strategy</w:t>
      </w:r>
      <w:bookmarkEnd w:id="152"/>
    </w:p>
    <w:p w14:paraId="22A4E018" w14:textId="6056CC2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section42" w:history="1">
        <w:r w:rsidRPr="00DD1558">
          <w:rPr>
            <w:rFonts w:ascii="Simplified Arabic" w:eastAsia="Times New Roman" w:hAnsi="Simplified Arabic" w:cs="Simplified Arabic"/>
            <w:color w:val="467886" w:themeColor="hyperlink"/>
            <w:sz w:val="28"/>
            <w:szCs w:val="28"/>
            <w:u w:val="single"/>
            <w14:ligatures w14:val="none"/>
          </w:rPr>
          <w:t xml:space="preserve">Section 4.2 </w:t>
        </w:r>
      </w:hyperlink>
      <w:r w:rsidRPr="00DD1558">
        <w:rPr>
          <w:rFonts w:ascii="Simplified Arabic" w:eastAsia="Times New Roman" w:hAnsi="Simplified Arabic" w:cs="Simplified Arabic"/>
          <w:color w:val="1A1A1A"/>
          <w:sz w:val="28"/>
          <w:szCs w:val="28"/>
          <w14:ligatures w14:val="none"/>
        </w:rPr>
        <w:t xml:space="preserve"> assessed the feasibility of the participatory inventory framework across organizational, financial, technical, and environmental dimensions, concluding with a conditionally strong verdict gated by the readiness gates G1–G4. Feasibility, however, answers only whether the framework </w:t>
      </w:r>
      <w:r w:rsidRPr="00DD1558">
        <w:rPr>
          <w:rFonts w:ascii="Simplified Arabic" w:eastAsia="Times New Roman" w:hAnsi="Simplified Arabic" w:cs="Simplified Arabic"/>
          <w:i/>
          <w:iCs/>
          <w:color w:val="1A1A1A"/>
          <w:sz w:val="28"/>
          <w:szCs w:val="28"/>
          <w14:ligatures w14:val="none"/>
        </w:rPr>
        <w:t>can</w:t>
      </w:r>
      <w:r w:rsidRPr="00DD1558">
        <w:rPr>
          <w:rFonts w:ascii="Simplified Arabic" w:eastAsia="Times New Roman" w:hAnsi="Simplified Arabic" w:cs="Simplified Arabic"/>
          <w:color w:val="1A1A1A"/>
          <w:sz w:val="28"/>
          <w:szCs w:val="28"/>
          <w14:ligatures w14:val="none"/>
        </w:rPr>
        <w:t xml:space="preserve"> be adopted; it does not enumerate what could defeat it. The present section addresses Research Objective O4’s risk component by constructing the framework’s classified risk register: a traceable, qualitatively prioritized inventory of the transition risks that threaten adoption and the operational risks that threaten steady-state performance, each assigned an owner within the </w:t>
      </w:r>
      <w:hyperlink w:anchor="section41" w:history="1">
        <w:r w:rsidR="00752112" w:rsidRPr="00CD2E5F">
          <w:rPr>
            <w:rStyle w:val="Hyperlink"/>
            <w:rFonts w:ascii="Simplified Arabic" w:eastAsia="Times New Roman" w:hAnsi="Simplified Arabic" w:cs="Simplified Arabic"/>
            <w:sz w:val="28"/>
            <w:szCs w:val="28"/>
            <w14:ligatures w14:val="none"/>
          </w:rPr>
          <w:t>Section 4.1</w:t>
        </w:r>
      </w:hyperlink>
      <w:r w:rsidRPr="00DD1558">
        <w:rPr>
          <w:rFonts w:ascii="Simplified Arabic" w:eastAsia="Times New Roman" w:hAnsi="Simplified Arabic" w:cs="Simplified Arabic"/>
          <w:color w:val="1A1A1A"/>
          <w:sz w:val="28"/>
          <w:szCs w:val="28"/>
          <w14:ligatures w14:val="none"/>
        </w:rPr>
        <w:t xml:space="preserve"> governance architecture and a named mitigation control. Consistent with the study’s binding methodology, the register contains no numeric likelihood–impact scores, no sampled probabilities, and no empirical frequencies. Its risks are derived analytically from the Bow-Tie structure of Section 2 and the organizational-change literature, classified under the FIRM taxonomy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{"citationID":"gvYq71P7","properties":{"unsorted":false,"formattedCitation":"(Hopkin,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prioritized through verbally defined qualitative bands, so that the register functions as a governance instrument rather than a calculation artifact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{"citationID":"WoWnLGAd","properties":{"unsorted":false,"formattedCitation":"(31000 ISO/IEC, 2018; 31010 ISO/IEC, 2019)","plainCitation":"(31000 ISO/IEC, 2018; 31010 ISO/IEC, 2019)","noteIndex":0},"citationItems":[{"id":464,"uris":["http://zotero.org/users/19711126/items/3P2A2GPY"],"itemData":{"id":464,"type":"standard","title":"ISO 31000:2018(en), Risk management — Guidelines","URL":"https://www.iso.org/obp/ui/#iso:std:iso:31000:ed-2:v1:en","author":[{"family":"ISO/IEC","given":"31000"}],"accessed":{"date-parts":[["2026",8,6]]},"issued":{"date-parts":[["2018"]]}}},{"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 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A35CF1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53" w:name="_Toc237539766"/>
      <w:r w:rsidRPr="00DD1558">
        <w:rPr>
          <w:rFonts w:ascii="Simplified Arabic" w:eastAsiaTheme="majorEastAsia" w:hAnsi="Simplified Arabic" w:cstheme="majorBidi"/>
          <w:sz w:val="28"/>
          <w:szCs w:val="28"/>
        </w:rPr>
        <w:t>4.3.1 Register Construction Method</w:t>
      </w:r>
      <w:bookmarkEnd w:id="153"/>
    </w:p>
    <w:p w14:paraId="6D574F91"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4.3.1.1 Analytical risk identification without field data</w:t>
      </w:r>
    </w:p>
    <w:p w14:paraId="49946B2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A risk register conventionally draws on incident histories, loss databases, or expert elicitation. None of these is available to a design study proposing a framework that does not yet operate; inventing such data would violate the study’s methodological commitments and misrepresent the epistemic status of its claims. The register is therefore constructed </w:t>
      </w:r>
      <w:r w:rsidRPr="00DD1558">
        <w:rPr>
          <w:rFonts w:ascii="Simplified Arabic" w:eastAsia="Times New Roman" w:hAnsi="Simplified Arabic" w:cs="Simplified Arabic"/>
          <w:color w:val="1A1A1A"/>
          <w:sz w:val="28"/>
          <w:szCs w:val="28"/>
          <w14:ligatures w14:val="none"/>
        </w:rPr>
        <w:lastRenderedPageBreak/>
        <w:t xml:space="preserve">by </w:t>
      </w:r>
      <w:r w:rsidRPr="00DD1558">
        <w:rPr>
          <w:rFonts w:ascii="Simplified Arabic" w:eastAsia="Times New Roman" w:hAnsi="Simplified Arabic" w:cs="Simplified Arabic"/>
          <w:b/>
          <w:bCs/>
          <w:color w:val="1A1A1A"/>
          <w:sz w:val="28"/>
          <w:szCs w:val="28"/>
          <w14:ligatures w14:val="none"/>
        </w:rPr>
        <w:t>analytical derivation</w:t>
      </w:r>
      <w:r w:rsidRPr="00DD1558">
        <w:rPr>
          <w:rFonts w:ascii="Simplified Arabic" w:eastAsia="Times New Roman" w:hAnsi="Simplified Arabic" w:cs="Simplified Arabic"/>
          <w:color w:val="1A1A1A"/>
          <w:sz w:val="28"/>
          <w:szCs w:val="28"/>
          <w14:ligatures w14:val="none"/>
        </w:rPr>
        <w:t xml:space="preserve"> from three declared sources, each of which yields a distinct stratum of risk.</w:t>
      </w:r>
    </w:p>
    <w:p w14:paraId="5DE0A72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First, the </w:t>
      </w:r>
      <w:r w:rsidRPr="00DD1558">
        <w:rPr>
          <w:rFonts w:ascii="Simplified Arabic" w:eastAsia="Times New Roman" w:hAnsi="Simplified Arabic" w:cs="Simplified Arabic"/>
          <w:b/>
          <w:bCs/>
          <w:color w:val="1A1A1A"/>
          <w:sz w:val="28"/>
          <w:szCs w:val="28"/>
          <w14:ligatures w14:val="none"/>
        </w:rPr>
        <w:t>Bow-Tie structure of Section 2</w:t>
      </w:r>
      <w:r w:rsidRPr="00DD1558">
        <w:rPr>
          <w:rFonts w:ascii="Simplified Arabic" w:eastAsia="Times New Roman" w:hAnsi="Simplified Arabic" w:cs="Simplified Arabic"/>
          <w:color w:val="1A1A1A"/>
          <w:sz w:val="28"/>
          <w:szCs w:val="28"/>
          <w14:ligatures w14:val="none"/>
        </w:rPr>
        <w:t xml:space="preserve"> supplies the operational risk universe directly. Each threat (T1 over-ordering without cross-lab visibility; T2 absent stock-rotation discipline; T3 unstandardized records; T4 siloed custody), each escalation factor (EF1 unenforced policies; EF2 incomplete registry data; EF3 custody ambiguity), and each consequence class (C1–C4) names a failure mode that the framework’s barriers (PB1–PB3, MB1–MB3, EB1–EB3) are designed to interrupt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{"citationID":"7enVVPPe","properties":{"unsorted":false,"formattedCitation":"(31010 ISO/IEC, 2019; Johnson et al., 2018)","plainCitation":"(31010 ISO/IEC, 2019; Johnson et al., 2018)","noteIndex":0},"citationItems":[{"id":541,"uris":["http://zotero.org/users/19711126/items/K94YEEKI"],"itemData":{"id":541,"type":"standard","title":"ISO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(31010 ISO/IEC, 2019;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 barrier that can fail is a risk that must be registered: the escalation-factor layer exists precisely because nominally present barriers silently degrade, and the register’s operational entries are, in effect, the escalation-factor analysis made explicit and ownable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{"citationID":"IdEuJNyl","properties":{"unsorted":false,"formattedCitation":"(de Ruijter &amp; Guldenmund, 2016; Johnson et al., 2018)","plainCitation":"(de Ruijter &amp; Guldenmund, 2016; Johnson et al., 2018)","noteIndex":0},"citationItems":[{"id":429,"uris":["http://zotero.org/users/19711126/items/HU29KB4F"],"itemData":{"id":429,"type":"article-journal","abstract":"The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E78EB5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Second, the </w:t>
      </w:r>
      <w:r w:rsidRPr="00DD1558">
        <w:rPr>
          <w:rFonts w:ascii="Simplified Arabic" w:eastAsia="Times New Roman" w:hAnsi="Simplified Arabic" w:cs="Simplified Arabic"/>
          <w:b/>
          <w:bCs/>
          <w:color w:val="1A1A1A"/>
          <w:sz w:val="28"/>
          <w:szCs w:val="28"/>
          <w14:ligatures w14:val="none"/>
        </w:rPr>
        <w:t>organizational-change and collaborative-governance literature</w:t>
      </w:r>
      <w:r w:rsidRPr="00DD1558">
        <w:rPr>
          <w:rFonts w:ascii="Simplified Arabic" w:eastAsia="Times New Roman" w:hAnsi="Simplified Arabic" w:cs="Simplified Arabic"/>
          <w:color w:val="1A1A1A"/>
          <w:sz w:val="28"/>
          <w:szCs w:val="28"/>
          <w14:ligatures w14:val="none"/>
        </w:rPr>
        <w:t xml:space="preserve"> supplies the transition risk universe — risks that arise not from the framework’s design but from the act of adopting it. The higher-education change literature documents that university reform initiatives stall at policy-ratification bottlenecks, encounter departmental resistance when reforms redistribute visible control over resources, and decay into nominal compliance when procedural burden outruns perceived benefit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{"citationID":"vWyBOEus","properties":{"unsorted":false,"formattedCitation":"(Dean et al., 2024; Sung &amp; Kim, 2021; Vlachopoulos, 2021)","plainCitation":"(Dean et al., 2024; Sung &amp; Kim, 2021;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Sung &amp; Kim, 2021;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collaborative-governance literature adds that pooled-resource arrangements fail through eroded trust, blurred mandates, and inequitable benefit distribution when participation is invited without decision rights being renegotiated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{"citationID":"nSluY2hy","properties":{"unsorted":false,"formattedCitation":"(Ahn &amp; Baldwin, 2024; Gestel &amp; Grotenbreg, 2021; Lopes &amp; Farias, 2022)","plainCitation":"(Ahn &amp; Baldwin, 2024; Gestel &amp; Grotenbreg, 2021;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Gestel &amp; Grotenbreg, 2021;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Each transition risk in the register is traceable to one of these documented themes; none is asserted ad hoc.</w:t>
      </w:r>
    </w:p>
    <w:p w14:paraId="4FE94B9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Third, </w:t>
      </w:r>
      <w:r w:rsidRPr="00DD1558">
        <w:rPr>
          <w:rFonts w:ascii="Simplified Arabic" w:eastAsia="Times New Roman" w:hAnsi="Simplified Arabic" w:cs="Simplified Arabic"/>
          <w:b/>
          <w:bCs/>
          <w:color w:val="1A1A1A"/>
          <w:sz w:val="28"/>
          <w:szCs w:val="28"/>
          <w14:ligatures w14:val="none"/>
        </w:rPr>
        <w:t>laboratory-risk scholarship</w:t>
      </w:r>
      <w:r w:rsidRPr="00DD1558">
        <w:rPr>
          <w:rFonts w:ascii="Simplified Arabic" w:eastAsia="Times New Roman" w:hAnsi="Simplified Arabic" w:cs="Simplified Arabic"/>
          <w:color w:val="1A1A1A"/>
          <w:sz w:val="28"/>
          <w:szCs w:val="28"/>
          <w14:ligatures w14:val="none"/>
        </w:rPr>
        <w:t xml:space="preserve"> supplies the disciplinary precedent that licenses structured, qualitative risk analysis in university laboratory settings at all.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{"citationID":"U8lTPnOq","properties":{"unsorted":false,"formattedCitation":"(Ayyildiz et al., 2025)","plainCitation":"(Ayyildiz et al., 2025)","noteIndex":0},"citationItems":[{"id":408,"uris":["http://zotero.org/users/19711126/items/QL8LLSEQ"],"itemData":{"id":408,"type":"article-journal","abstract":"Identifying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(Ayyildiz et al.,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demonstrate the application of systematic risk-analysis methods to university </w:t>
      </w:r>
      <w:r w:rsidRPr="00DD1558">
        <w:rPr>
          <w:rFonts w:ascii="Simplified Arabic" w:eastAsia="Times New Roman" w:hAnsi="Simplified Arabic" w:cs="Simplified Arabic"/>
          <w:color w:val="1A1A1A"/>
          <w:sz w:val="28"/>
          <w:szCs w:val="28"/>
          <w14:ligatures w14:val="none"/>
        </w:rPr>
        <w:lastRenderedPageBreak/>
        <w:t xml:space="preserve">laboratories, treating laboratory operations as analyzable socio-technical systems rather than collections of individual hazards. This precedent positions the register as continuous with an established laboratory-risk research stream while adapting its object from physical-safety hazards to inventory-governance failure modes — an adaptation consistent with the Bow-Tie method’s documented extension into management and policy domains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{"citationID":"O01HGT6t","properties":{"unsorted":false,"formattedCitation":"(Cormier et al., 2019)","plainCitation":"(Cormier et al., 2019)","noteIndex":0},"citationItems":[{"id":425,"uris":["http://zotero.org/users/19711126/items/BSLAHZU5"],"itemData":{"id":425,"type":"article-journal","abstract":"Marine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405914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identification process is framed by ISO 31000:2018, which specifies risk management as an integrated, structured, and customized component of organizational governance, comprising risk identification, analysis, evaluation, and treatment within a defined scope and context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{"citationID":"DqsajHY0","properties":{"unsorted":false,"formattedCitation":"(31000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Within that framing, the register’s method is deliberately congruent with the qualitative bow-tie tradition: the method structures reasoning about threats, controls, and consequences without quantification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{"citationID":"YtOQ6MTp","properties":{"unsorted":false,"formattedCitation":"(de Ruijter &amp; Guldenmund, 2016; 31010 ISO/IEC, 2019)","plainCitation":"(de Ruijter &amp; Guldenmund, 2016; 31010 ISO/IEC, 2019)","noteIndex":0},"citationItems":[{"id":429,"uris":["http://zotero.org/users/19711126/items/HU29KB4F"],"itemData":{"id":429,"type":"article-journal","abstract":"The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 Ruijter &amp; Guldenmund, 2016; 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register inherits that discipline. Risk </w:t>
      </w:r>
      <w:r w:rsidRPr="00DD1558">
        <w:rPr>
          <w:rFonts w:ascii="Simplified Arabic" w:eastAsia="Times New Roman" w:hAnsi="Simplified Arabic" w:cs="Simplified Arabic"/>
          <w:i/>
          <w:iCs/>
          <w:color w:val="1A1A1A"/>
          <w:sz w:val="28"/>
          <w:szCs w:val="28"/>
          <w14:ligatures w14:val="none"/>
        </w:rPr>
        <w:t>analysis</w:t>
      </w:r>
      <w:r w:rsidRPr="00DD1558">
        <w:rPr>
          <w:rFonts w:ascii="Simplified Arabic" w:eastAsia="Times New Roman" w:hAnsi="Simplified Arabic" w:cs="Simplified Arabic"/>
          <w:color w:val="1A1A1A"/>
          <w:sz w:val="28"/>
          <w:szCs w:val="28"/>
          <w14:ligatures w14:val="none"/>
        </w:rPr>
        <w:t xml:space="preserve"> is performed by tracing each candidate risk to its threat, escalation factor, or consequence pathway; risk </w:t>
      </w:r>
      <w:r w:rsidRPr="00DD1558">
        <w:rPr>
          <w:rFonts w:ascii="Simplified Arabic" w:eastAsia="Times New Roman" w:hAnsi="Simplified Arabic" w:cs="Simplified Arabic"/>
          <w:i/>
          <w:iCs/>
          <w:color w:val="1A1A1A"/>
          <w:sz w:val="28"/>
          <w:szCs w:val="28"/>
          <w14:ligatures w14:val="none"/>
        </w:rPr>
        <w:t>evaluation</w:t>
      </w:r>
      <w:r w:rsidRPr="00DD1558">
        <w:rPr>
          <w:rFonts w:ascii="Simplified Arabic" w:eastAsia="Times New Roman" w:hAnsi="Simplified Arabic" w:cs="Simplified Arabic"/>
          <w:color w:val="1A1A1A"/>
          <w:sz w:val="28"/>
          <w:szCs w:val="28"/>
          <w14:ligatures w14:val="none"/>
        </w:rPr>
        <w:t xml:space="preserve"> is performed by the qualitative prioritization defined below; risk </w:t>
      </w:r>
      <w:r w:rsidRPr="00DD1558">
        <w:rPr>
          <w:rFonts w:ascii="Simplified Arabic" w:eastAsia="Times New Roman" w:hAnsi="Simplified Arabic" w:cs="Simplified Arabic"/>
          <w:i/>
          <w:iCs/>
          <w:color w:val="1A1A1A"/>
          <w:sz w:val="28"/>
          <w:szCs w:val="28"/>
          <w14:ligatures w14:val="none"/>
        </w:rPr>
        <w:t>treatment</w:t>
      </w:r>
      <w:r w:rsidRPr="00DD1558">
        <w:rPr>
          <w:rFonts w:ascii="Simplified Arabic" w:eastAsia="Times New Roman" w:hAnsi="Simplified Arabic" w:cs="Simplified Arabic"/>
          <w:color w:val="1A1A1A"/>
          <w:sz w:val="28"/>
          <w:szCs w:val="28"/>
          <w14:ligatures w14:val="none"/>
        </w:rPr>
        <w:t xml:space="preserve"> is the mitigation strategy column, each entry of which names a policy control already specified in Sections 2 and 3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{"citationID":"56A1hTeq","properties":{"unsorted":false,"formattedCitation":"(31000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4A4590B"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sz w:val="28"/>
        </w:rPr>
        <w:t>4.3.</w:t>
      </w:r>
      <w:r w:rsidRPr="00DD1558">
        <w:rPr>
          <w:rFonts w:ascii="Simplified Arabic" w:eastAsiaTheme="majorEastAsia" w:hAnsi="Simplified Arabic" w:cstheme="majorBidi"/>
          <w:i/>
          <w:iCs/>
          <w:sz w:val="28"/>
        </w:rPr>
        <w:t>1.2 Classification: the FIRM taxonomy</w:t>
      </w:r>
    </w:p>
    <w:p w14:paraId="4FF8D09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4"/>
          <w:szCs w:val="24"/>
          <w14:ligatures w14:val="none"/>
        </w:rPr>
      </w:pPr>
      <w:r w:rsidRPr="00DD1558">
        <w:rPr>
          <w:rFonts w:ascii="Simplified Arabic" w:eastAsia="Times New Roman" w:hAnsi="Simplified Arabic" w:cs="Simplified Arabic"/>
          <w:color w:val="1A1A1A"/>
          <w:sz w:val="28"/>
          <w:szCs w:val="28"/>
          <w14:ligatures w14:val="none"/>
        </w:rPr>
        <w:t xml:space="preserve">Every registered risk is classified under the FIRM taxonomy — Financial, Infrastructure, Reputational, Marketplace — as presented by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{"citationID":"VRFZ8q4j","properties":{"unsorted":false,"formattedCitation":"(Hopkin,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and adopted in </w:t>
      </w:r>
      <w:hyperlink w:anchor="Section2954" w:history="1">
        <w:r w:rsidRPr="00DD1558">
          <w:rPr>
            <w:rFonts w:ascii="Simplified Arabic" w:eastAsia="Times New Roman" w:hAnsi="Simplified Arabic" w:cs="Simplified Arabic"/>
            <w:color w:val="467886" w:themeColor="hyperlink"/>
            <w:sz w:val="28"/>
            <w:szCs w:val="28"/>
            <w:u w:val="single"/>
            <w14:ligatures w14:val="none"/>
          </w:rPr>
          <w:t>Section 2.9.5.4</w:t>
        </w:r>
      </w:hyperlink>
      <w:r w:rsidRPr="00DD1558">
        <w:rPr>
          <w:rFonts w:ascii="Simplified Arabic" w:eastAsia="Times New Roman" w:hAnsi="Simplified Arabic" w:cs="Simplified Arabic"/>
          <w:color w:val="1A1A1A"/>
          <w:sz w:val="28"/>
          <w:szCs w:val="28"/>
          <w14:ligatures w14:val="none"/>
        </w:rPr>
        <w:t xml:space="preserve"> with one declared adaptation: Marketplace is read as the university’s </w:t>
      </w:r>
      <w:r w:rsidRPr="00DD1558">
        <w:rPr>
          <w:rFonts w:ascii="Simplified Arabic" w:eastAsia="Times New Roman" w:hAnsi="Simplified Arabic" w:cs="Simplified Arabic"/>
          <w:i/>
          <w:iCs/>
          <w:color w:val="1A1A1A"/>
          <w:sz w:val="28"/>
          <w:szCs w:val="28"/>
          <w14:ligatures w14:val="none"/>
        </w:rPr>
        <w:t>service and stakeholder environment</w:t>
      </w:r>
      <w:r w:rsidRPr="00DD1558">
        <w:rPr>
          <w:rFonts w:ascii="Simplified Arabic" w:eastAsia="Times New Roman" w:hAnsi="Simplified Arabic" w:cs="Simplified Arabic"/>
          <w:color w:val="1A1A1A"/>
          <w:sz w:val="28"/>
          <w:szCs w:val="28"/>
          <w14:ligatures w14:val="none"/>
        </w:rPr>
        <w:t xml:space="preserve"> (student experience, research competitiveness, standing with regulators and funders), since a public university has no commercial marketplace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{"citationID":"ccKudAsE","properties":{"unsorted":false,"formattedCitation":"(Hopkin,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Two properties of the taxonomy discipline its use here. First, FIRM is a </w:t>
      </w:r>
      <w:r w:rsidRPr="00DD1558">
        <w:rPr>
          <w:rFonts w:ascii="Simplified Arabic" w:eastAsia="Times New Roman" w:hAnsi="Simplified Arabic" w:cs="Simplified Arabic"/>
          <w:b/>
          <w:bCs/>
          <w:color w:val="1A1A1A"/>
          <w:sz w:val="28"/>
          <w:szCs w:val="28"/>
          <w14:ligatures w14:val="none"/>
        </w:rPr>
        <w:t>classification taxonomy, not a scoring algorithm</w:t>
      </w:r>
      <w:r w:rsidRPr="00DD1558">
        <w:rPr>
          <w:rFonts w:ascii="Simplified Arabic" w:eastAsia="Times New Roman" w:hAnsi="Simplified Arabic" w:cs="Simplified Arabic"/>
          <w:color w:val="1A1A1A"/>
          <w:sz w:val="28"/>
          <w:szCs w:val="28"/>
          <w14:ligatures w14:val="none"/>
        </w:rPr>
        <w:t xml:space="preserve">: it locates the dependency a risk endangers and says nothing about likelihood or magnitude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{"citationID":"YhDRqtt4","properties":{"unsorted":false,"formattedCitation":"(Hopkin,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register </w:t>
      </w:r>
      <w:r w:rsidRPr="00DD1558">
        <w:rPr>
          <w:rFonts w:ascii="Simplified Arabic" w:eastAsia="Times New Roman" w:hAnsi="Simplified Arabic" w:cs="Simplified Arabic"/>
          <w:color w:val="1A1A1A"/>
          <w:sz w:val="28"/>
          <w:szCs w:val="28"/>
          <w14:ligatures w14:val="none"/>
        </w:rPr>
        <w:lastRenderedPageBreak/>
        <w:t xml:space="preserve">therefore uses FIRM strictly for categorization and derives priority from the separate qualitative bands defined below — never from any arithmetic combination of the two. Second, the taxonomy’s internal/external structure (Financial and Infrastructure predominantly internal; Reputational and Marketplace predominantly external) carries a governance implication developed in </w:t>
      </w:r>
      <w:hyperlink w:anchor="Section432" w:history="1">
        <w:r w:rsidRPr="00DD1558">
          <w:rPr>
            <w:rFonts w:ascii="Simplified Arabic" w:eastAsia="Times New Roman" w:hAnsi="Simplified Arabic" w:cs="Simplified Arabic"/>
            <w:color w:val="467886" w:themeColor="hyperlink"/>
            <w:sz w:val="28"/>
            <w:szCs w:val="28"/>
            <w:u w:val="single"/>
            <w14:ligatures w14:val="none"/>
          </w:rPr>
          <w:t>Section 4.3.2</w:t>
        </w:r>
      </w:hyperlink>
      <w:r w:rsidRPr="00DD1558">
        <w:rPr>
          <w:rFonts w:ascii="Simplified Arabic" w:eastAsia="Times New Roman" w:hAnsi="Simplified Arabic" w:cs="Simplified Arabic"/>
          <w:color w:val="1A1A1A"/>
          <w:sz w:val="28"/>
          <w:szCs w:val="28"/>
          <w14:ligatures w14:val="none"/>
        </w:rPr>
        <w:t xml:space="preserve">: internal-category risks are controllable by framework policy, whereas external-category risks must be managed through monitoring, reporting, and university social responsibility (USR)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{"citationID":"ZZD4wqMI","properties":{"unsorted":false,"formattedCitation":"(Ali et al., 2021; Hopkin, 2018)","plainCitation":"(Ali et al., 2021; Hopkin, 2018)","noteIndex":0},"citationItems":[{"id":399,"uris":["http://zotero.org/users/19711126/items/BYHJP3NR"],"itemData":{"id":399,"type":"article-journal","abstract":"The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17660ECA"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4.</w:t>
      </w:r>
      <w:bookmarkStart w:id="154" w:name="Section4313"/>
      <w:bookmarkEnd w:id="154"/>
      <w:r w:rsidRPr="00DD1558">
        <w:rPr>
          <w:rFonts w:ascii="Simplified Arabic" w:eastAsiaTheme="majorEastAsia" w:hAnsi="Simplified Arabic" w:cstheme="majorBidi"/>
          <w:i/>
          <w:iCs/>
          <w:sz w:val="28"/>
        </w:rPr>
        <w:t>3.1.3 Qualitative prioritization: the High / Moderate / Low bands</w:t>
      </w:r>
    </w:p>
    <w:p w14:paraId="4152132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Prioritization is required so that governance attention and audit cadence are allocated where barrier failure would be most consequential. The register uses three verbally defined bands, applied by analytical judgment against the Bow-Tie structure:</w:t>
      </w:r>
    </w:p>
    <w:p w14:paraId="04B4B83A"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High priority.</w:t>
      </w:r>
      <w:r w:rsidRPr="00DD1558">
        <w:rPr>
          <w:rFonts w:ascii="Simplified Arabic" w:eastAsia="Cambria" w:hAnsi="Simplified Arabic" w:cs="Simplified Arabic"/>
          <w:color w:val="212121"/>
          <w:sz w:val="28"/>
          <w:szCs w:val="28"/>
          <w14:ligatures w14:val="none"/>
        </w:rPr>
        <w:t xml:space="preserve"> The risk is </w:t>
      </w:r>
      <w:r w:rsidRPr="00DD1558">
        <w:rPr>
          <w:rFonts w:ascii="Simplified Arabic" w:eastAsia="Cambria" w:hAnsi="Simplified Arabic" w:cs="Simplified Arabic"/>
          <w:i/>
          <w:iCs/>
          <w:color w:val="212121"/>
          <w:sz w:val="28"/>
          <w:szCs w:val="28"/>
          <w14:ligatures w14:val="none"/>
        </w:rPr>
        <w:t>plausible under normal operations</w:t>
      </w:r>
      <w:r w:rsidRPr="00DD1558">
        <w:rPr>
          <w:rFonts w:ascii="Simplified Arabic" w:eastAsia="Cambria" w:hAnsi="Simplified Arabic" w:cs="Simplified Arabic"/>
          <w:color w:val="212121"/>
          <w:sz w:val="28"/>
          <w:szCs w:val="28"/>
          <w14:ligatures w14:val="none"/>
        </w:rPr>
        <w:t xml:space="preserve"> — that is, it requires no unusual coincidence of adverse conditions to materialize, because the decentralized regime’s documented features already create its preconditions — </w:t>
      </w:r>
      <w:r w:rsidRPr="00DD1558">
        <w:rPr>
          <w:rFonts w:ascii="Simplified Arabic" w:eastAsia="Cambria" w:hAnsi="Simplified Arabic" w:cs="Simplified Arabic"/>
          <w:b/>
          <w:bCs/>
          <w:color w:val="212121"/>
          <w:sz w:val="28"/>
          <w:szCs w:val="28"/>
          <w14:ligatures w14:val="none"/>
        </w:rPr>
        <w:t>and</w:t>
      </w:r>
      <w:r w:rsidRPr="00DD1558">
        <w:rPr>
          <w:rFonts w:ascii="Simplified Arabic" w:eastAsia="Cambria" w:hAnsi="Simplified Arabic" w:cs="Simplified Arabic"/>
          <w:color w:val="212121"/>
          <w:sz w:val="28"/>
          <w:szCs w:val="28"/>
          <w14:ligatures w14:val="none"/>
        </w:rPr>
        <w:t xml:space="preserve"> its realization would defeat a named prevention or mitigation barrier or trigger a C-class consequence directly. High-priority risks demand a standing mitigation control plus monitoring through the escalation-factor barriers.</w:t>
      </w:r>
    </w:p>
    <w:p w14:paraId="240C3761"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Moderate priority.</w:t>
      </w:r>
      <w:r w:rsidRPr="00DD1558">
        <w:rPr>
          <w:rFonts w:ascii="Simplified Arabic" w:eastAsia="Cambria" w:hAnsi="Simplified Arabic" w:cs="Simplified Arabic"/>
          <w:color w:val="212121"/>
          <w:sz w:val="28"/>
          <w:szCs w:val="28"/>
          <w14:ligatures w14:val="none"/>
        </w:rPr>
        <w:t xml:space="preserve"> The risk is plausible primarily under stress conditions (peak teaching periods, onboarding surges, semester transitions), </w:t>
      </w:r>
      <w:r w:rsidRPr="00DD1558">
        <w:rPr>
          <w:rFonts w:ascii="Simplified Arabic" w:eastAsia="Cambria" w:hAnsi="Simplified Arabic" w:cs="Simplified Arabic"/>
          <w:b/>
          <w:bCs/>
          <w:color w:val="212121"/>
          <w:sz w:val="28"/>
          <w:szCs w:val="28"/>
          <w14:ligatures w14:val="none"/>
        </w:rPr>
        <w:t>or</w:t>
      </w:r>
      <w:r w:rsidRPr="00DD1558">
        <w:rPr>
          <w:rFonts w:ascii="Simplified Arabic" w:eastAsia="Cambria" w:hAnsi="Simplified Arabic" w:cs="Simplified Arabic"/>
          <w:color w:val="212121"/>
          <w:sz w:val="28"/>
          <w:szCs w:val="28"/>
          <w14:ligatures w14:val="none"/>
        </w:rPr>
        <w:t xml:space="preserve"> its realization would degrade but not defeat a barrier, leaving at least one intact barrier on the consequence pathway. Moderate-priority risks demand a named policy control and periodic review rather than standing surveillance.</w:t>
      </w:r>
    </w:p>
    <w:p w14:paraId="03B54175"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Low priority.</w:t>
      </w:r>
      <w:r w:rsidRPr="00DD1558">
        <w:rPr>
          <w:rFonts w:ascii="Simplified Arabic" w:eastAsia="Cambria" w:hAnsi="Simplified Arabic" w:cs="Simplified Arabic"/>
          <w:color w:val="212121"/>
          <w:sz w:val="28"/>
          <w:szCs w:val="28"/>
          <w14:ligatures w14:val="none"/>
        </w:rPr>
        <w:t xml:space="preserve"> The risk requires a conjunction of independent failures to materialize, </w:t>
      </w:r>
      <w:r w:rsidRPr="00DD1558">
        <w:rPr>
          <w:rFonts w:ascii="Simplified Arabic" w:eastAsia="Cambria" w:hAnsi="Simplified Arabic" w:cs="Simplified Arabic"/>
          <w:b/>
          <w:bCs/>
          <w:color w:val="212121"/>
          <w:sz w:val="28"/>
          <w:szCs w:val="28"/>
          <w14:ligatures w14:val="none"/>
        </w:rPr>
        <w:t>or</w:t>
      </w:r>
      <w:r w:rsidRPr="00DD1558">
        <w:rPr>
          <w:rFonts w:ascii="Simplified Arabic" w:eastAsia="Cambria" w:hAnsi="Simplified Arabic" w:cs="Simplified Arabic"/>
          <w:color w:val="212121"/>
          <w:sz w:val="28"/>
          <w:szCs w:val="28"/>
          <w14:ligatures w14:val="none"/>
        </w:rPr>
        <w:t xml:space="preserve"> its effects are contained within bounded scope by an existing escalation-factor </w:t>
      </w:r>
      <w:r w:rsidRPr="00DD1558">
        <w:rPr>
          <w:rFonts w:ascii="Simplified Arabic" w:eastAsia="Cambria" w:hAnsi="Simplified Arabic" w:cs="Simplified Arabic"/>
          <w:color w:val="212121"/>
          <w:sz w:val="28"/>
          <w:szCs w:val="28"/>
          <w14:ligatures w14:val="none"/>
        </w:rPr>
        <w:lastRenderedPageBreak/>
        <w:t>barrier, such that escalation and documented resolution suffice without dedicated standing controls.</w:t>
      </w:r>
    </w:p>
    <w:p w14:paraId="5B9CE857" w14:textId="0D260F8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choice of verbal bands over numeric scoring warrants explicit justification, because risk registers in the project-management tradition are commonly presented as likelihood-times-impact matrices with ordinal or pseudo-cardinal scores. Three considerations govern the departure here. First, numeric scores imply an evidentiary basis — incident frequencies, calibrated expert probabilities, loss magnitudes — that this design study does not possess and cannot simulate without fabrication; a number entered without such a basis is not precision but theater. Second, ordinal risk products are known to conceal rank reversal and false equivalences: risks with identical products can differ radically in their governance meaning, and the arithmetic obscures the difference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{"citationID":"EQQmNnK2","properties":{"unsorted":false,"formattedCitation":"(Hopkin, 2018; 31000 ISO/IEC, 2018)","plainCitation":"(Hopkin, 2018; 31000 ISO/IEC,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and most importantly for this framework, the actionable content of a risk assessment lies in its </w:t>
      </w:r>
      <w:r w:rsidRPr="00DD1558">
        <w:rPr>
          <w:rFonts w:ascii="Simplified Arabic" w:eastAsia="Times New Roman" w:hAnsi="Simplified Arabic" w:cs="Simplified Arabic"/>
          <w:i/>
          <w:iCs/>
          <w:color w:val="1A1A1A"/>
          <w:sz w:val="28"/>
          <w:szCs w:val="28"/>
          <w14:ligatures w14:val="none"/>
        </w:rPr>
        <w:t>traceable structure</w:t>
      </w:r>
      <w:r w:rsidRPr="00DD1558">
        <w:rPr>
          <w:rFonts w:ascii="Simplified Arabic" w:eastAsia="Times New Roman" w:hAnsi="Simplified Arabic" w:cs="Simplified Arabic"/>
          <w:color w:val="1A1A1A"/>
          <w:sz w:val="28"/>
          <w:szCs w:val="28"/>
          <w14:ligatures w14:val="none"/>
        </w:rPr>
        <w:t xml:space="preserve"> — which barrier is threatened, by which pathway, owned by whom — and that content is carried equally well, and more honestly, by verbal bands with stated rationales. The laboratory-risk literature’s qualitative strand confirms that structured, non-numeric analysis supports defensible prioritization in university laboratory settings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{"citationID":"lUwFxWXK","properties":{"unsorted":false,"formattedCitation":"(Ayyildiz et al., 2025; Cormier et al., 2019)","plainCitation":"(Ayyildiz et al., 2025; Cormier et al., 2019)","noteIndex":0},"citationItems":[{"id":408,"uris":["http://zotero.org/users/19711126/items/QL8LLSEQ"],"itemData":{"id":408,"type":"article-journal","abstract":"Identifying and assessing risks in an environment are critical to managing them effectively. Recently, risk management in university laboratories has become a vital issue due to increasing academic studies. In this study, the aim is to reduce the impact of hazards and risk factors in the laboratory environment, enhance safety levels, and prevent potential accidents. For this purpose, traditional risk assessment methods alone are deemed insufficient, and an integrated risk analysis approach is adopted. In addition, in order to reflect the reality and uncertainty in the application more accurately, calculations were made with Pythagorean Fuzzy numbers and opinions were obtained from experts working in the laboratory. After the step of weighting the experts, the steps of weighting the criteria and evaluating the risk factors were carried out according to their experience. In the study, probability, severity, frequency and detectability criteria were used based on the Failure Mode and Effect Analysis (FMEA) method. The risk assessment phase was carried out with Pythagorean Fuzzy Step-Wise Weight Assessment Ratio Analysis (PF-SWARA) and Pythagorean Fuzzy Evaluation Based on Distance from Average Solution (PF-EDAS) methods. In addition, sensitivity analyses were performed to examine the effects of changes in criteria and expert weights on the ranking of risk factors. The results of this study will provide an important source of information for improving the safety of laboratories and taking effective measures against risks.","container-title":"Safety Science","DOI":"10.1016/j.ssci.2025.106933","ISSN":"0925-7535","journalAbbreviation":"Safety Science","page":"106933","source":"ScienceDirect","title":"Investigation of risk factors in university Laboratories: An improved fuzzy based FMEA approach","title-short":"Investigation of risk factors in university Laboratories","volume":"191","author":[{"family":"Ayyildiz","given":"Ertugrul"},{"family":"Seyhan","given":"Mehmet"},{"family":"Kara","given":"Betul"},{"family":"Seyis","given":"Gizem Irem"}],"issued":{"date-parts":[["2025",11,1]]}}},{"id":425,"uris":["http://zotero.org/users/19711126/items/BSLAHZU5"],"itemData":{"id":425,"type":"article-journal","abstract":"Marine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(Ayyildiz et al., 2025; Cormier et al.,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Should the framework later accumulate operational history within the host institution, the bands could be revisited; at design time, verbal bands are the methodologically honest instrument.</w:t>
      </w:r>
    </w:p>
    <w:p w14:paraId="2D8A2C58" w14:textId="34E0715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Three properties of this scheme are deliberate. It is </w:t>
      </w:r>
      <w:r w:rsidRPr="00DD1558">
        <w:rPr>
          <w:rFonts w:ascii="Simplified Arabic" w:eastAsia="Times New Roman" w:hAnsi="Simplified Arabic" w:cs="Simplified Arabic"/>
          <w:b/>
          <w:bCs/>
          <w:color w:val="1A1A1A"/>
          <w:sz w:val="28"/>
          <w:szCs w:val="28"/>
          <w14:ligatures w14:val="none"/>
        </w:rPr>
        <w:t>non-numeric</w:t>
      </w:r>
      <w:r w:rsidRPr="00DD1558">
        <w:rPr>
          <w:rFonts w:ascii="Simplified Arabic" w:eastAsia="Times New Roman" w:hAnsi="Simplified Arabic" w:cs="Simplified Arabic"/>
          <w:color w:val="1A1A1A"/>
          <w:sz w:val="28"/>
          <w:szCs w:val="28"/>
          <w14:ligatures w14:val="none"/>
        </w:rPr>
        <w:t xml:space="preserve">: no likelihood indices, impact scores, or risk products appear anywhere in the register, consistent with the taxonomy-not-algorithm reading of FIRM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{"citationID":"2lDnMfiV","properties":{"unsorted":false,"formattedCitation":"(Hopkin,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with the thesis’s qualitative mandate. It is </w:t>
      </w:r>
      <w:r w:rsidRPr="00DD1558">
        <w:rPr>
          <w:rFonts w:ascii="Simplified Arabic" w:eastAsia="Times New Roman" w:hAnsi="Simplified Arabic" w:cs="Simplified Arabic"/>
          <w:b/>
          <w:bCs/>
          <w:color w:val="1A1A1A"/>
          <w:sz w:val="28"/>
          <w:szCs w:val="28"/>
          <w14:ligatures w14:val="none"/>
        </w:rPr>
        <w:t>barrier-relative</w:t>
      </w:r>
      <w:r w:rsidRPr="00DD1558">
        <w:rPr>
          <w:rFonts w:ascii="Simplified Arabic" w:eastAsia="Times New Roman" w:hAnsi="Simplified Arabic" w:cs="Simplified Arabic"/>
          <w:color w:val="1A1A1A"/>
          <w:sz w:val="28"/>
          <w:szCs w:val="28"/>
          <w14:ligatures w14:val="none"/>
        </w:rPr>
        <w:t xml:space="preserve">: priority is defined by reference to the barrier architecture, so that a risk’s band states what it would do to the framework, not merely how it feels to assessors. And it is </w:t>
      </w:r>
      <w:r w:rsidRPr="00DD1558">
        <w:rPr>
          <w:rFonts w:ascii="Simplified Arabic" w:eastAsia="Times New Roman" w:hAnsi="Simplified Arabic" w:cs="Simplified Arabic"/>
          <w:b/>
          <w:bCs/>
          <w:color w:val="1A1A1A"/>
          <w:sz w:val="28"/>
          <w:szCs w:val="28"/>
          <w14:ligatures w14:val="none"/>
        </w:rPr>
        <w:t>auditable</w:t>
      </w:r>
      <w:r w:rsidRPr="00DD1558">
        <w:rPr>
          <w:rFonts w:ascii="Simplified Arabic" w:eastAsia="Times New Roman" w:hAnsi="Simplified Arabic" w:cs="Simplified Arabic"/>
          <w:color w:val="1A1A1A"/>
          <w:sz w:val="28"/>
          <w:szCs w:val="28"/>
          <w14:ligatures w14:val="none"/>
        </w:rPr>
        <w:t xml:space="preserve">: each band assignment in </w:t>
      </w:r>
      <w:hyperlink w:anchor="Table104" w:history="1">
        <w:r w:rsidRPr="00F84E0F">
          <w:rPr>
            <w:rStyle w:val="Hyperlink"/>
            <w:rFonts w:ascii="Simplified Arabic" w:eastAsia="Times New Roman" w:hAnsi="Simplified Arabic" w:cs="Simplified Arabic"/>
            <w:sz w:val="28"/>
            <w:szCs w:val="28"/>
            <w14:ligatures w14:val="none"/>
          </w:rPr>
          <w:t>Table 4.5</w:t>
        </w:r>
      </w:hyperlink>
      <w:r w:rsidRPr="00273038">
        <w:rPr>
          <w:rFonts w:ascii="Simplified Arabic" w:eastAsia="Times New Roman" w:hAnsi="Simplified Arabic" w:cs="Simplified Arabic"/>
          <w:color w:val="EE0000"/>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 xml:space="preserve">carries a one-line rationale, so the Board’s termly review can contest and revise the judgment rather than </w:t>
      </w:r>
      <w:r w:rsidRPr="00DD1558">
        <w:rPr>
          <w:rFonts w:ascii="Simplified Arabic" w:eastAsia="Times New Roman" w:hAnsi="Simplified Arabic" w:cs="Simplified Arabic"/>
          <w:color w:val="1A1A1A"/>
          <w:sz w:val="28"/>
          <w:szCs w:val="28"/>
          <w14:ligatures w14:val="none"/>
        </w:rPr>
        <w:lastRenderedPageBreak/>
        <w:t xml:space="preserve">inherit it silently — the evaluation-and-treatment discipline ISO 31000:2018 prescribes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{"citationID":"J3UYG4f7","properties":{"unsorted":false,"formattedCitation":"(31000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8D40489"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55" w:name="Section432"/>
      <w:bookmarkStart w:id="156" w:name="_Toc237539767"/>
      <w:bookmarkEnd w:id="155"/>
      <w:r w:rsidRPr="00DD1558">
        <w:rPr>
          <w:rFonts w:ascii="Simplified Arabic" w:eastAsiaTheme="majorEastAsia" w:hAnsi="Simplified Arabic" w:cstheme="majorBidi"/>
          <w:sz w:val="28"/>
          <w:szCs w:val="28"/>
        </w:rPr>
        <w:t>4.3.2 FIRM Classification of the Risk Universe</w:t>
      </w:r>
      <w:bookmarkEnd w:id="156"/>
    </w:p>
    <w:p w14:paraId="68BECA11" w14:textId="7752B61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Before individual risks are registered, </w:t>
      </w:r>
      <w:hyperlink w:anchor="Table10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A94BAE">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A94BAE">
          <w:rPr>
            <w:rFonts w:ascii="Simplified Arabic" w:eastAsia="Times New Roman" w:hAnsi="Simplified Arabic" w:cs="Simplified Arabic"/>
            <w:color w:val="467886" w:themeColor="hyperlink"/>
            <w:sz w:val="28"/>
            <w:szCs w:val="28"/>
            <w:u w:val="single"/>
            <w14:ligatures w14:val="none"/>
          </w:rPr>
          <w:t>5</w:t>
        </w:r>
      </w:hyperlink>
      <w:r w:rsidRPr="00DD1558">
        <w:rPr>
          <w:rFonts w:ascii="Simplified Arabic" w:eastAsia="Times New Roman" w:hAnsi="Simplified Arabic" w:cs="Simplified Arabic"/>
          <w:color w:val="1A1A1A"/>
          <w:sz w:val="28"/>
          <w:szCs w:val="28"/>
          <w14:ligatures w14:val="none"/>
        </w:rPr>
        <w:t xml:space="preserve"> maps the risk </w:t>
      </w:r>
      <w:r w:rsidRPr="00DD1558">
        <w:rPr>
          <w:rFonts w:ascii="Simplified Arabic" w:eastAsia="Times New Roman" w:hAnsi="Simplified Arabic" w:cs="Simplified Arabic"/>
          <w:i/>
          <w:iCs/>
          <w:color w:val="1A1A1A"/>
          <w:sz w:val="28"/>
          <w:szCs w:val="28"/>
          <w14:ligatures w14:val="none"/>
        </w:rPr>
        <w:t>universe</w:t>
      </w:r>
      <w:r w:rsidRPr="00DD1558">
        <w:rPr>
          <w:rFonts w:ascii="Simplified Arabic" w:eastAsia="Times New Roman" w:hAnsi="Simplified Arabic" w:cs="Simplified Arabic"/>
          <w:color w:val="1A1A1A"/>
          <w:sz w:val="28"/>
          <w:szCs w:val="28"/>
          <w14:ligatures w14:val="none"/>
        </w:rPr>
        <w:t xml:space="preserve"> — the families of risk that Sections 1–</w:t>
      </w:r>
      <w:hyperlink w:anchor="section41" w:history="1">
        <w:r w:rsidR="00CD2E5F" w:rsidRPr="00CD2E5F">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imply — onto the four FIRM categories, identifying for each category the organizational dependency at stake, the risk families entering the register, and the linked Bow-Tie consequence class. The mapping restates the declared Marketplace adaptation (M*) and is used thereafter without further qualification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{"citationID":"4cWdTzUu","properties":{"unsorted":false,"formattedCitation":"(Hopkin,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A5AE742" w14:textId="5765182E"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p>
    <w:p w14:paraId="32982C2A" w14:textId="78CD4726" w:rsidR="00273038" w:rsidRDefault="00273038" w:rsidP="00273038">
      <w:pPr>
        <w:pStyle w:val="Caption"/>
        <w:keepNext/>
        <w:bidi w:val="0"/>
      </w:pPr>
      <w:bookmarkStart w:id="157" w:name="_Toc237107839"/>
      <w:r>
        <w:t>T</w:t>
      </w:r>
      <w:bookmarkStart w:id="158" w:name="Table104"/>
      <w:bookmarkEnd w:id="158"/>
      <w:r>
        <w:t xml:space="preserve">able </w:t>
      </w:r>
      <w:r w:rsidR="00A94BAE">
        <w:t>4</w:t>
      </w:r>
      <w:r w:rsidRPr="002C1CA0">
        <w:t>.</w:t>
      </w:r>
      <w:r w:rsidR="00A94BAE">
        <w:t>5</w:t>
      </w:r>
      <w:r w:rsidRPr="002C1CA0">
        <w:t>. FIRM classification map of the participatory inventory risk universe (taxonomy per (Hopkin, 2018); M = Marketplace read as service/stakeholder environment — declared adaptation) *</w:t>
      </w:r>
      <w:bookmarkEnd w:id="157"/>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456"/>
        <w:gridCol w:w="2536"/>
        <w:gridCol w:w="2963"/>
        <w:gridCol w:w="2251"/>
      </w:tblGrid>
      <w:tr w:rsidR="00DD1558" w:rsidRPr="00DD1558" w14:paraId="36E15CE6"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0C66BD33"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FIRM category</w:t>
            </w:r>
          </w:p>
        </w:tc>
        <w:tc>
          <w:tcPr>
            <w:tcW w:w="0" w:type="auto"/>
            <w:tcBorders>
              <w:bottom w:val="single" w:sz="8" w:space="0" w:color="44546A"/>
            </w:tcBorders>
            <w:vAlign w:val="top"/>
          </w:tcPr>
          <w:p w14:paraId="5C75087F"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Dependency at risk</w:t>
            </w:r>
          </w:p>
        </w:tc>
        <w:tc>
          <w:tcPr>
            <w:tcW w:w="0" w:type="auto"/>
            <w:tcBorders>
              <w:bottom w:val="single" w:sz="8" w:space="0" w:color="44546A"/>
            </w:tcBorders>
            <w:vAlign w:val="top"/>
          </w:tcPr>
          <w:p w14:paraId="10D3C81B"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Risk families entering this register (preview)</w:t>
            </w:r>
          </w:p>
        </w:tc>
        <w:tc>
          <w:tcPr>
            <w:tcW w:w="0" w:type="auto"/>
            <w:tcBorders>
              <w:bottom w:val="single" w:sz="8" w:space="0" w:color="44546A"/>
            </w:tcBorders>
            <w:vAlign w:val="top"/>
          </w:tcPr>
          <w:p w14:paraId="27B070BA"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Linked consequence class (C1–C4)</w:t>
            </w:r>
          </w:p>
        </w:tc>
      </w:tr>
      <w:tr w:rsidR="00DD1558" w:rsidRPr="00DD1558" w14:paraId="25A8D59F" w14:textId="77777777" w:rsidTr="00C71E92">
        <w:tc>
          <w:tcPr>
            <w:tcW w:w="0" w:type="auto"/>
          </w:tcPr>
          <w:p w14:paraId="7EB5A869"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bCs/>
                <w:szCs w:val="28"/>
              </w:rPr>
              <w:t>F — Financial</w:t>
            </w:r>
            <w:r w:rsidRPr="00DD1558">
              <w:rPr>
                <w:rFonts w:ascii="Simplified Arabic" w:hAnsi="Simplified Arabic" w:cs="Simplified Arabic"/>
                <w:szCs w:val="28"/>
              </w:rPr>
              <w:t xml:space="preserve"> (internal)</w:t>
            </w:r>
          </w:p>
        </w:tc>
        <w:tc>
          <w:tcPr>
            <w:tcW w:w="0" w:type="auto"/>
          </w:tcPr>
          <w:p w14:paraId="1A0AC19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Fiscal efficiency of laboratory procurement and stockholding; Vision 2030 fiscal-efficiency commitments</w:t>
            </w:r>
          </w:p>
        </w:tc>
        <w:tc>
          <w:tcPr>
            <w:tcW w:w="0" w:type="auto"/>
          </w:tcPr>
          <w:p w14:paraId="29B100F1"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Duplicate-purchasing pathway reactivation (eligibility-check bypass); expiry write-offs (FEFO drift, expiry clusters); premature platform investment; loan damage/loss remediation</w:t>
            </w:r>
          </w:p>
        </w:tc>
        <w:tc>
          <w:tcPr>
            <w:tcW w:w="0" w:type="auto"/>
          </w:tcPr>
          <w:p w14:paraId="067DDD8B"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C1 financial waste and expiry write-offs</w:t>
            </w:r>
          </w:p>
        </w:tc>
      </w:tr>
      <w:tr w:rsidR="00DD1558" w:rsidRPr="00DD1558" w14:paraId="7F1E7BB8" w14:textId="77777777" w:rsidTr="00C71E92">
        <w:tc>
          <w:tcPr>
            <w:tcW w:w="0" w:type="auto"/>
          </w:tcPr>
          <w:p w14:paraId="5917EA1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bCs/>
                <w:szCs w:val="28"/>
              </w:rPr>
              <w:t>I — Infrastructure</w:t>
            </w:r>
            <w:r w:rsidRPr="00DD1558">
              <w:rPr>
                <w:rFonts w:ascii="Simplified Arabic" w:hAnsi="Simplified Arabic" w:cs="Simplified Arabic"/>
                <w:szCs w:val="28"/>
              </w:rPr>
              <w:t xml:space="preserve"> (internal)</w:t>
            </w:r>
          </w:p>
        </w:tc>
        <w:tc>
          <w:tcPr>
            <w:tcW w:w="0" w:type="auto"/>
          </w:tcPr>
          <w:p w14:paraId="057D1A9A"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The physical laboratory estate and the integrity of custody, records, and tracking processes</w:t>
            </w:r>
          </w:p>
        </w:tc>
        <w:tc>
          <w:tcPr>
            <w:tcW w:w="0" w:type="auto"/>
          </w:tcPr>
          <w:p w14:paraId="2B724509"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 xml:space="preserve">Registry data decay; incomplete data onboarding; competence gaps; custody disputes; </w:t>
            </w:r>
            <w:r w:rsidRPr="00DD1558">
              <w:rPr>
                <w:rFonts w:ascii="Simplified Arabic" w:hAnsi="Simplified Arabic" w:cs="Simplified Arabic"/>
                <w:szCs w:val="28"/>
              </w:rPr>
              <w:lastRenderedPageBreak/>
              <w:t>disposal nonconformity; audit-finding recurrence</w:t>
            </w:r>
          </w:p>
        </w:tc>
        <w:tc>
          <w:tcPr>
            <w:tcW w:w="0" w:type="auto"/>
          </w:tcPr>
          <w:p w14:paraId="59CF41D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lastRenderedPageBreak/>
              <w:t>C2 hazardous-waste accumulation and HSE exposure</w:t>
            </w:r>
          </w:p>
        </w:tc>
      </w:tr>
      <w:tr w:rsidR="00DD1558" w:rsidRPr="00DD1558" w14:paraId="21D13A8D" w14:textId="77777777" w:rsidTr="00C71E92">
        <w:tc>
          <w:tcPr>
            <w:tcW w:w="0" w:type="auto"/>
          </w:tcPr>
          <w:p w14:paraId="4F7D4A23"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bCs/>
                <w:szCs w:val="28"/>
              </w:rPr>
              <w:t>R — Reputational</w:t>
            </w:r>
            <w:r w:rsidRPr="00DD1558">
              <w:rPr>
                <w:rFonts w:ascii="Simplified Arabic" w:hAnsi="Simplified Arabic" w:cs="Simplified Arabic"/>
                <w:szCs w:val="28"/>
              </w:rPr>
              <w:t xml:space="preserve"> (external)</w:t>
            </w:r>
          </w:p>
        </w:tc>
        <w:tc>
          <w:tcPr>
            <w:tcW w:w="0" w:type="auto"/>
          </w:tcPr>
          <w:p w14:paraId="14920A24" w14:textId="3C05581C" w:rsidR="00DD1558" w:rsidRPr="00DD1558" w:rsidRDefault="00F84E0F" w:rsidP="00DD1558">
            <w:pPr>
              <w:bidi w:val="0"/>
              <w:spacing w:before="36" w:after="36"/>
              <w:rPr>
                <w:rFonts w:ascii="Simplified Arabic" w:hAnsi="Simplified Arabic" w:cs="Simplified Arabic"/>
                <w:szCs w:val="28"/>
              </w:rPr>
            </w:pPr>
            <w:r w:rsidRPr="00F84E0F">
              <w:rPr>
                <w:rFonts w:ascii="Simplified Arabic" w:hAnsi="Simplified Arabic" w:cs="Simplified Arabic"/>
                <w:szCs w:val="28"/>
              </w:rPr>
              <w:t>the host institution’s standing as a Vision 2030-aligned, sustainability-committed institution</w:t>
            </w:r>
          </w:p>
        </w:tc>
        <w:tc>
          <w:tcPr>
            <w:tcW w:w="0" w:type="auto"/>
          </w:tcPr>
          <w:p w14:paraId="419BD05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Waste incidents or adverse audit findings contradicting the sustainability narrative; compliance-fatigue-driven policy decay becoming visible at external audit</w:t>
            </w:r>
          </w:p>
        </w:tc>
        <w:tc>
          <w:tcPr>
            <w:tcW w:w="0" w:type="auto"/>
          </w:tcPr>
          <w:p w14:paraId="119525A1"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C4 reputational damage</w:t>
            </w:r>
          </w:p>
        </w:tc>
      </w:tr>
      <w:tr w:rsidR="00DD1558" w:rsidRPr="00DD1558" w14:paraId="7EA6B175" w14:textId="77777777" w:rsidTr="00C71E92">
        <w:tc>
          <w:tcPr>
            <w:tcW w:w="0" w:type="auto"/>
          </w:tcPr>
          <w:p w14:paraId="72BFFB60"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bCs/>
                <w:szCs w:val="28"/>
              </w:rPr>
              <w:t>M* — Marketplace</w:t>
            </w:r>
            <w:r w:rsidRPr="00DD1558">
              <w:rPr>
                <w:rFonts w:ascii="Simplified Arabic" w:hAnsi="Simplified Arabic" w:cs="Simplified Arabic"/>
                <w:szCs w:val="28"/>
              </w:rPr>
              <w:t xml:space="preserve"> (external; service/stakeholder environment)</w:t>
            </w:r>
          </w:p>
        </w:tc>
        <w:tc>
          <w:tcPr>
            <w:tcW w:w="0" w:type="auto"/>
          </w:tcPr>
          <w:p w14:paraId="4A1B8F01"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Student experience, teaching continuity, research competitiveness, regulator/funder standing</w:t>
            </w:r>
          </w:p>
        </w:tc>
        <w:tc>
          <w:tcPr>
            <w:tcW w:w="0" w:type="auto"/>
          </w:tcPr>
          <w:p w14:paraId="1E4A006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Custodian recall conflicts; overdue returns disrupting borrower teaching; continuity exposure during supply interruption if redistribution fails</w:t>
            </w:r>
          </w:p>
        </w:tc>
        <w:tc>
          <w:tcPr>
            <w:tcW w:w="0" w:type="auto"/>
          </w:tcPr>
          <w:p w14:paraId="17FDCCCE"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C3 teaching/research disruption</w:t>
            </w:r>
          </w:p>
        </w:tc>
      </w:tr>
    </w:tbl>
    <w:p w14:paraId="5BF2BF4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internal/external structure of the taxonomy carries the register’s first governance implication. Financial and Infrastructure risks are </w:t>
      </w:r>
      <w:r w:rsidRPr="00DD1558">
        <w:rPr>
          <w:rFonts w:ascii="Simplified Arabic" w:eastAsia="Times New Roman" w:hAnsi="Simplified Arabic" w:cs="Simplified Arabic"/>
          <w:b/>
          <w:bCs/>
          <w:color w:val="1A1A1A"/>
          <w:sz w:val="28"/>
          <w:szCs w:val="28"/>
          <w14:ligatures w14:val="none"/>
        </w:rPr>
        <w:t>internal</w:t>
      </w:r>
      <w:r w:rsidRPr="00DD1558">
        <w:rPr>
          <w:rFonts w:ascii="Simplified Arabic" w:eastAsia="Times New Roman" w:hAnsi="Simplified Arabic" w:cs="Simplified Arabic"/>
          <w:color w:val="1A1A1A"/>
          <w:sz w:val="28"/>
          <w:szCs w:val="28"/>
          <w14:ligatures w14:val="none"/>
        </w:rPr>
        <w:t xml:space="preserve">: their causes lie inside the framework’s jurisdiction, and they are therefore controllable by framework policy — by barrier reinforcement, workflow rules, competence requirements, and audit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{"citationID":"5SyP8nxv","properties":{"unsorted":false,"formattedCitation":"(Hopkin,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Every F- and I-classified risk in the register is accordingly assigned a mitigation that the Board, Committee, Unit, or custodian departments can enact directly. Reputational and Marketplace risks are </w:t>
      </w:r>
      <w:r w:rsidRPr="00DD1558">
        <w:rPr>
          <w:rFonts w:ascii="Simplified Arabic" w:eastAsia="Times New Roman" w:hAnsi="Simplified Arabic" w:cs="Simplified Arabic"/>
          <w:b/>
          <w:bCs/>
          <w:color w:val="1A1A1A"/>
          <w:sz w:val="28"/>
          <w:szCs w:val="28"/>
          <w14:ligatures w14:val="none"/>
        </w:rPr>
        <w:t>external</w:t>
      </w:r>
      <w:r w:rsidRPr="00DD1558">
        <w:rPr>
          <w:rFonts w:ascii="Simplified Arabic" w:eastAsia="Times New Roman" w:hAnsi="Simplified Arabic" w:cs="Simplified Arabic"/>
          <w:color w:val="1A1A1A"/>
          <w:sz w:val="28"/>
          <w:szCs w:val="28"/>
          <w14:ligatures w14:val="none"/>
        </w:rPr>
        <w:t xml:space="preserve"> in the sense that their realization depends on the perceptions and experiences of stakeholders outside the framework’s direct command — students, researchers, regulators, funders, and the public to which the university’s sustainability narrative is addressed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{"citationID":"ooXueBAz","properties":{"unsorted":false,"formattedCitation":"(Hopkin,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These risks cannot be abolished by policy; they are managed indirectly, through the operational substance that prevents waste </w:t>
      </w:r>
      <w:r w:rsidRPr="00DD1558">
        <w:rPr>
          <w:rFonts w:ascii="Simplified Arabic" w:eastAsia="Times New Roman" w:hAnsi="Simplified Arabic" w:cs="Simplified Arabic"/>
          <w:color w:val="1A1A1A"/>
          <w:sz w:val="28"/>
          <w:szCs w:val="28"/>
          <w14:ligatures w14:val="none"/>
        </w:rPr>
        <w:lastRenderedPageBreak/>
        <w:t xml:space="preserve">incidents and teaching disruption from occurring, and through the monitoring, reporting, and USR practice that keeps disclosure anchored to verified operations rather than aspirational claims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{"citationID":"prw9aUG5","properties":{"unsorted":false,"formattedCitation":"(Ali et al., 2021; Ceulemans et al., 2015)","plainCitation":"(Ali et al., 2021; Ceulemans et al.,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Ceulemans et al.,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greenwashing critique sharpens this asymmetry: for an institution whose public identity is bound to Vision 2030 sustainability commitments, the reputational cost of a substantiation gap exceeds the reputational benefit of any announcement, so R-classified risks are treated as </w:t>
      </w:r>
      <w:r w:rsidRPr="00DD1558">
        <w:rPr>
          <w:rFonts w:ascii="Simplified Arabic" w:eastAsia="Times New Roman" w:hAnsi="Simplified Arabic" w:cs="Simplified Arabic"/>
          <w:i/>
          <w:iCs/>
          <w:color w:val="1A1A1A"/>
          <w:sz w:val="28"/>
          <w:szCs w:val="28"/>
          <w14:ligatures w14:val="none"/>
        </w:rPr>
        <w:t>derivative</w:t>
      </w:r>
      <w:r w:rsidRPr="00DD1558">
        <w:rPr>
          <w:rFonts w:ascii="Simplified Arabic" w:eastAsia="Times New Roman" w:hAnsi="Simplified Arabic" w:cs="Simplified Arabic"/>
          <w:color w:val="1A1A1A"/>
          <w:sz w:val="28"/>
          <w:szCs w:val="28"/>
          <w14:ligatures w14:val="none"/>
        </w:rPr>
        <w:t xml:space="preserve"> risks — they materialize when internal F/I controls fail visibly, and their mitigation therefore lies upstream in the internal categories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{"citationID":"NC8Q5GFV","properties":{"unsorted":false,"formattedCitation":"(Lakhno, 2024)","plainCitation":"(Lakhno, 2024)","noteIndex":0},"citationItems":[{"id":476,"uris":["http://zotero.org/users/19711126/items/V8SQG4MB"],"itemData":{"id":476,"type":"article-journal","abstract":"Sustainability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(Lakhno,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AA1D91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classification also explains the register’s composition. Because the framework’s barriers are internal instruments, the majority of registered risks fall in the F and I categories; the R and M* entries function as the register’s outward face, recording where internal failure would propagate to the institution’s standing and service environment. The Board, as register owner, thereby sees in a single view both what it controls and what it is accountable for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{"citationID":"6gJxUPRu","properties":{"unsorted":false,"formattedCitation":"(Hopkin,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E124BA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59" w:name="section433"/>
      <w:bookmarkStart w:id="160" w:name="_Toc237539768"/>
      <w:bookmarkEnd w:id="159"/>
      <w:r w:rsidRPr="00DD1558">
        <w:rPr>
          <w:rFonts w:ascii="Simplified Arabic" w:eastAsiaTheme="majorEastAsia" w:hAnsi="Simplified Arabic" w:cstheme="majorBidi"/>
          <w:sz w:val="28"/>
          <w:szCs w:val="28"/>
        </w:rPr>
        <w:t>4.3.3 The Risk Register</w:t>
      </w:r>
      <w:bookmarkEnd w:id="160"/>
    </w:p>
    <w:p w14:paraId="1EEE2383" w14:textId="3023047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11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E25CEC">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E25CEC">
          <w:rPr>
            <w:rFonts w:ascii="Simplified Arabic" w:eastAsia="Times New Roman" w:hAnsi="Simplified Arabic" w:cs="Simplified Arabic"/>
            <w:color w:val="467886" w:themeColor="hyperlink"/>
            <w:sz w:val="28"/>
            <w:szCs w:val="28"/>
            <w:u w:val="single"/>
            <w14:ligatures w14:val="none"/>
          </w:rPr>
          <w:t>6</w:t>
        </w:r>
      </w:hyperlink>
      <w:r w:rsidRPr="00DD1558">
        <w:rPr>
          <w:rFonts w:ascii="Simplified Arabic" w:eastAsia="Times New Roman" w:hAnsi="Simplified Arabic" w:cs="Simplified Arabic"/>
          <w:color w:val="1A1A1A"/>
          <w:sz w:val="28"/>
          <w:szCs w:val="28"/>
          <w14:ligatures w14:val="none"/>
        </w:rPr>
        <w:t xml:space="preserve"> presents the register itself: fifteen risks, identified as RR-01 through RR-15, spanning the adoption phase (transition risks, RR-01 through RR-06) and steady-state operation (operational risks, RR-07 through RR-15). Every entry is traceable in one of two directions. Operational risks are traceable to the Bow-Tie structure: each names the barrier it threatens (PB, MB, or EB, with identifier) and, through that barrier, the threat pathway it reopens and the consequence class it admits. Transition risks follow two patterns: those that precede the barrier architecture’s existence (RR-01, RR-02) carry “—” in the barrier column with the </w:t>
      </w:r>
      <w:r w:rsidRPr="00DD1558">
        <w:rPr>
          <w:rFonts w:ascii="Simplified Arabic" w:eastAsia="Times New Roman" w:hAnsi="Simplified Arabic" w:cs="Simplified Arabic"/>
          <w:i/>
          <w:iCs/>
          <w:color w:val="1A1A1A"/>
          <w:sz w:val="28"/>
          <w:szCs w:val="28"/>
          <w14:ligatures w14:val="none"/>
        </w:rPr>
        <w:t>threatened future barrier</w:t>
      </w:r>
      <w:r w:rsidRPr="00DD1558">
        <w:rPr>
          <w:rFonts w:ascii="Simplified Arabic" w:eastAsia="Times New Roman" w:hAnsi="Simplified Arabic" w:cs="Simplified Arabic"/>
          <w:color w:val="1A1A1A"/>
          <w:sz w:val="28"/>
          <w:szCs w:val="28"/>
          <w14:ligatures w14:val="none"/>
        </w:rPr>
        <w:t xml:space="preserve"> noted, while those that represent the trial, degradation, or contested execution of a specific barrier during adoption (RR-03 through RR-06) name that barrier directly; both patterns are traceable to documented themes in the change-management and collaborative-governance literature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{"citationID":"4Kw5dCIf","properties":{"unsorted":false,"formattedCitation":"(Ahn &amp; Baldwin, 2024; Dean et al., 2024; Lopes &amp; Farias, 2022; Sung &amp; Kim, 2021; Vlachopoulos, 2021; X. Wang &amp; Qu, 2025)","plainCitation":"(Ahn &amp; Baldwin, 2024; Dean et al., 2024; Lopes &amp; Farias, 2022; Sung &amp; Kim, 2021; Vlachopoulos, 2021; X. Wang &amp; Qu, 2025)","noteIndex":0},"citationItems":[{"id":392,"uris":["http://zotero.org/users/19711126/items/875J4EC5"],"itemData":{"id":392,"type":"article-journal","abstract":"Collaborative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 xml:space="preserve">(Ahn &amp; </w:t>
      </w:r>
      <w:r w:rsidRPr="00DD1558">
        <w:rPr>
          <w:rFonts w:ascii="Simplified Arabic" w:eastAsia="Times New Roman" w:hAnsi="Simplified Arabic" w:cs="Simplified Arabic"/>
          <w:color w:val="1A1A1A"/>
          <w:sz w:val="28"/>
          <w:szCs w:val="24"/>
          <w14:ligatures w14:val="none"/>
        </w:rPr>
        <w:lastRenderedPageBreak/>
        <w:t>Baldwin, 2024; Dean et al., 2024; Lopes &amp; Farias, 2022; Sung &amp; Kim, 2021; Vlachopoulos, 2021;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Ownership assignments follow </w:t>
      </w:r>
      <w:hyperlink w:anchor="section41" w:history="1">
        <w:r w:rsidRPr="00CD2E5F">
          <w:rPr>
            <w:rStyle w:val="Hyperlink"/>
            <w:rFonts w:ascii="Simplified Arabic" w:eastAsia="Times New Roman" w:hAnsi="Simplified Arabic" w:cs="Simplified Arabic"/>
            <w:sz w:val="28"/>
            <w:szCs w:val="28"/>
            <w14:ligatures w14:val="none"/>
          </w:rPr>
          <w:t xml:space="preserve">Section </w:t>
        </w:r>
        <w:r w:rsidR="00945B28" w:rsidRPr="00CD2E5F">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exactly: the Board, the Committee, the Unit, custodian departments, and — only as execution-level owners, never as decision owners — laboratory technicians, whose two execution-level assignments (RR-08, RR-10) carry the explicit note that accountability rests with the custodian supervisor and the Unit, consistent with the non-authority clause of </w:t>
      </w:r>
      <w:hyperlink w:anchor="section415" w:history="1">
        <w:r w:rsidR="002C0C03" w:rsidRPr="00CD2E5F">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w:t>
      </w:r>
    </w:p>
    <w:p w14:paraId="30D50F37" w14:textId="1E907975" w:rsidR="00DD1558" w:rsidRPr="00DD1558" w:rsidRDefault="00DD1558" w:rsidP="00DD1558">
      <w:pPr>
        <w:bidi w:val="0"/>
        <w:rPr>
          <w:rFonts w:ascii="Simplified Arabic" w:hAnsi="Simplified Arabic" w:cs="Simplified Arabic"/>
          <w:i/>
          <w:iCs/>
          <w:sz w:val="24"/>
          <w:szCs w:val="20"/>
        </w:rPr>
      </w:pPr>
    </w:p>
    <w:p w14:paraId="6AA81D47" w14:textId="20E8DBEF" w:rsidR="00273038" w:rsidRDefault="00273038" w:rsidP="00273038">
      <w:pPr>
        <w:pStyle w:val="Caption"/>
        <w:keepNext/>
        <w:bidi w:val="0"/>
      </w:pPr>
      <w:bookmarkStart w:id="161" w:name="_Toc237107840"/>
      <w:r>
        <w:t>T</w:t>
      </w:r>
      <w:bookmarkStart w:id="162" w:name="Table114"/>
      <w:bookmarkEnd w:id="162"/>
      <w:r>
        <w:t xml:space="preserve">able </w:t>
      </w:r>
      <w:r w:rsidR="00A94BAE">
        <w:t>4</w:t>
      </w:r>
      <w:r>
        <w:t>.</w:t>
      </w:r>
      <w:r w:rsidR="00A94BAE">
        <w:t>6</w:t>
      </w:r>
      <w:r w:rsidRPr="00805886">
        <w:t>. Classified risk register for the participatory inventory framework (transition risks RR-01–RR-06; operational risks RR-07–RR-15)</w:t>
      </w:r>
      <w:bookmarkEnd w:id="161"/>
    </w:p>
    <w:tbl>
      <w:tblPr>
        <w:tblStyle w:val="Table"/>
        <w:tblW w:w="5000" w:type="pct"/>
        <w:tblBorders>
          <w:top w:val="single" w:sz="12" w:space="0" w:color="44546A"/>
          <w:bottom w:val="single" w:sz="12" w:space="0" w:color="44546A"/>
        </w:tblBorders>
        <w:tblLayout w:type="fixed"/>
        <w:tblCellMar>
          <w:left w:w="60" w:type="dxa"/>
          <w:right w:w="60" w:type="dxa"/>
        </w:tblCellMar>
        <w:tblLook w:val="0020" w:firstRow="1" w:lastRow="0" w:firstColumn="0" w:lastColumn="0" w:noHBand="0" w:noVBand="0"/>
      </w:tblPr>
      <w:tblGrid>
        <w:gridCol w:w="616"/>
        <w:gridCol w:w="2289"/>
        <w:gridCol w:w="764"/>
        <w:gridCol w:w="1172"/>
        <w:gridCol w:w="957"/>
        <w:gridCol w:w="2004"/>
        <w:gridCol w:w="2404"/>
      </w:tblGrid>
      <w:tr w:rsidR="00DD1558" w:rsidRPr="00DD1558" w14:paraId="5D09136C"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620" w:type="dxa"/>
            <w:tcBorders>
              <w:bottom w:val="single" w:sz="8" w:space="0" w:color="44546A"/>
            </w:tcBorders>
            <w:vAlign w:val="top"/>
          </w:tcPr>
          <w:p w14:paraId="78B5746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ID</w:t>
            </w:r>
          </w:p>
        </w:tc>
        <w:tc>
          <w:tcPr>
            <w:tcW w:w="2300" w:type="dxa"/>
            <w:tcBorders>
              <w:bottom w:val="single" w:sz="8" w:space="0" w:color="44546A"/>
            </w:tcBorders>
            <w:vAlign w:val="top"/>
          </w:tcPr>
          <w:p w14:paraId="643FF2A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description</w:t>
            </w:r>
          </w:p>
        </w:tc>
        <w:tc>
          <w:tcPr>
            <w:tcW w:w="767" w:type="dxa"/>
            <w:tcBorders>
              <w:bottom w:val="single" w:sz="8" w:space="0" w:color="44546A"/>
            </w:tcBorders>
            <w:vAlign w:val="top"/>
          </w:tcPr>
          <w:p w14:paraId="044BE88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FIRM category</w:t>
            </w:r>
          </w:p>
        </w:tc>
        <w:tc>
          <w:tcPr>
            <w:tcW w:w="1177" w:type="dxa"/>
            <w:tcBorders>
              <w:bottom w:val="single" w:sz="8" w:space="0" w:color="44546A"/>
            </w:tcBorders>
            <w:vAlign w:val="top"/>
          </w:tcPr>
          <w:p w14:paraId="6F2434F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Associated Bow-Tie barrier</w:t>
            </w:r>
          </w:p>
        </w:tc>
        <w:tc>
          <w:tcPr>
            <w:tcW w:w="961" w:type="dxa"/>
            <w:tcBorders>
              <w:bottom w:val="single" w:sz="8" w:space="0" w:color="44546A"/>
            </w:tcBorders>
            <w:vAlign w:val="top"/>
          </w:tcPr>
          <w:p w14:paraId="5B1000B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owner</w:t>
            </w:r>
          </w:p>
        </w:tc>
        <w:tc>
          <w:tcPr>
            <w:tcW w:w="2014" w:type="dxa"/>
            <w:tcBorders>
              <w:bottom w:val="single" w:sz="8" w:space="0" w:color="44546A"/>
            </w:tcBorders>
            <w:vAlign w:val="top"/>
          </w:tcPr>
          <w:p w14:paraId="0FF7DCA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Qualitative priority</w:t>
            </w:r>
          </w:p>
        </w:tc>
        <w:tc>
          <w:tcPr>
            <w:tcW w:w="2416" w:type="dxa"/>
            <w:tcBorders>
              <w:bottom w:val="single" w:sz="8" w:space="0" w:color="44546A"/>
            </w:tcBorders>
            <w:vAlign w:val="top"/>
          </w:tcPr>
          <w:p w14:paraId="32D97FD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Specific mitigation strategy</w:t>
            </w:r>
          </w:p>
        </w:tc>
      </w:tr>
      <w:tr w:rsidR="00DD1558" w:rsidRPr="00DD1558" w14:paraId="66A49197" w14:textId="77777777" w:rsidTr="00C71E92">
        <w:tc>
          <w:tcPr>
            <w:tcW w:w="620" w:type="dxa"/>
          </w:tcPr>
          <w:p w14:paraId="403AED4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RR-01</w:t>
            </w:r>
          </w:p>
        </w:tc>
        <w:tc>
          <w:tcPr>
            <w:tcW w:w="2300" w:type="dxa"/>
          </w:tcPr>
          <w:p w14:paraId="2FAE7F5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Policy ratification delay.</w:t>
            </w:r>
            <w:r w:rsidRPr="00DD1558">
              <w:rPr>
                <w:rFonts w:ascii="Simplified Arabic" w:hAnsi="Simplified Arabic" w:cs="Simplified Arabic"/>
                <w:szCs w:val="22"/>
              </w:rPr>
              <w:t xml:space="preserve"> The catalog standard, eligibility clauses, FEFO standard, and Inter-Lab Policy Framework stall in drafting or ratification, leaving the framework without enforceable content; traceable to the ratification-bottleneck theme in university change management </w:t>
            </w:r>
            <w:r w:rsidRPr="00DD1558">
              <w:rPr>
                <w:rFonts w:ascii="Simplified Arabic" w:hAnsi="Simplified Arabic" w:cs="Simplified Arabic"/>
                <w:szCs w:val="22"/>
              </w:rPr>
              <w:lastRenderedPageBreak/>
              <w:t>(Vlachopoulos, 2021; Dean et al., 2024).</w:t>
            </w:r>
          </w:p>
        </w:tc>
        <w:tc>
          <w:tcPr>
            <w:tcW w:w="767" w:type="dxa"/>
          </w:tcPr>
          <w:p w14:paraId="5458C4D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6C842C7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(future PB1, PB2, MB1, EB3 left unratified)</w:t>
            </w:r>
          </w:p>
        </w:tc>
        <w:tc>
          <w:tcPr>
            <w:tcW w:w="961" w:type="dxa"/>
          </w:tcPr>
          <w:p w14:paraId="25AAD28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255C7F3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the entire barrier architecture depends on ratification; delay leaves every threat pathway open.</w:t>
            </w:r>
          </w:p>
        </w:tc>
        <w:tc>
          <w:tcPr>
            <w:tcW w:w="2416" w:type="dxa"/>
          </w:tcPr>
          <w:p w14:paraId="6888E420" w14:textId="346F3285"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Readiness gate G1 (policy ratification) held as a hard checkpoint in the </w:t>
            </w:r>
            <w:hyperlink w:anchor="Section416" w:history="1">
              <w:r w:rsidR="000F1211" w:rsidRPr="00CD2E5F">
                <w:rPr>
                  <w:rStyle w:val="Hyperlink"/>
                  <w:rFonts w:ascii="Simplified Arabic" w:hAnsi="Simplified Arabic" w:cs="Simplified Arabic"/>
                  <w:szCs w:val="22"/>
                </w:rPr>
                <w:t>Section 4.1.6</w:t>
              </w:r>
            </w:hyperlink>
            <w:r w:rsidRPr="00DD1558">
              <w:rPr>
                <w:rFonts w:ascii="Simplified Arabic" w:hAnsi="Simplified Arabic" w:cs="Simplified Arabic"/>
                <w:szCs w:val="22"/>
              </w:rPr>
              <w:t xml:space="preserve"> roadmap; Board constitution scheduled first; drafting cycles time-boxed with departmental comment windows; Vision 2030 sponsorship framing to sustain leadership attention (Vlachopoulos, 2021).</w:t>
            </w:r>
          </w:p>
        </w:tc>
      </w:tr>
      <w:tr w:rsidR="00DD1558" w:rsidRPr="00DD1558" w14:paraId="022613BA" w14:textId="77777777" w:rsidTr="00C71E92">
        <w:tc>
          <w:tcPr>
            <w:tcW w:w="620" w:type="dxa"/>
          </w:tcPr>
          <w:p w14:paraId="5272324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RR-02</w:t>
            </w:r>
          </w:p>
        </w:tc>
        <w:tc>
          <w:tcPr>
            <w:tcW w:w="2300" w:type="dxa"/>
          </w:tcPr>
          <w:p w14:paraId="01FEF71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Departmental resistance to shared visibility and custody rules.</w:t>
            </w:r>
            <w:r w:rsidRPr="00DD1558">
              <w:rPr>
                <w:rFonts w:ascii="Simplified Arabic" w:hAnsi="Simplified Arabic" w:cs="Simplified Arabic"/>
                <w:szCs w:val="22"/>
              </w:rPr>
              <w:t xml:space="preserve"> Departments perceive the shared registry and loan regime as a loss of control over “their” stock and withhold participation or compliance; traceable to the resistance and trust-erosion themes in collaborative-governance scholarship (Ahn &amp; Baldwin, 2024; Lopes &amp; Farias, 2022).</w:t>
            </w:r>
          </w:p>
        </w:tc>
        <w:tc>
          <w:tcPr>
            <w:tcW w:w="767" w:type="dxa"/>
          </w:tcPr>
          <w:p w14:paraId="2D5A743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02293EA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(future PB2, MB2 undermined before deployment)</w:t>
            </w:r>
          </w:p>
        </w:tc>
        <w:tc>
          <w:tcPr>
            <w:tcW w:w="961" w:type="dxa"/>
          </w:tcPr>
          <w:p w14:paraId="03560B0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16F2BEE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plausible without adverse coincidence, since the decentralized regime’s siloed custody (T4) is the framework’s direct target.</w:t>
            </w:r>
          </w:p>
        </w:tc>
        <w:tc>
          <w:tcPr>
            <w:tcW w:w="2416" w:type="dxa"/>
          </w:tcPr>
          <w:p w14:paraId="799271D6" w14:textId="689B86C1"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Stewardship-over-ownership policy design: custodian protections codified in the Inter-Lab Policy Framework (loan limits, recall rights, liability principle); departmental representation on the Board; pilot-first gradualism to demonstrate benefit before scaling (</w:t>
            </w:r>
            <w:hyperlink w:anchor="Section416" w:history="1">
              <w:r w:rsidR="000F1211" w:rsidRPr="00CD2E5F">
                <w:rPr>
                  <w:rStyle w:val="Hyperlink"/>
                  <w:rFonts w:ascii="Simplified Arabic" w:hAnsi="Simplified Arabic" w:cs="Simplified Arabic"/>
                  <w:szCs w:val="22"/>
                </w:rPr>
                <w:t>Section 4.1.6</w:t>
              </w:r>
            </w:hyperlink>
            <w:r w:rsidRPr="00DD1558">
              <w:rPr>
                <w:rFonts w:ascii="Simplified Arabic" w:hAnsi="Simplified Arabic" w:cs="Simplified Arabic"/>
                <w:szCs w:val="22"/>
              </w:rPr>
              <w:t xml:space="preserve"> change-management structure; Dean et al., 2024).</w:t>
            </w:r>
          </w:p>
        </w:tc>
      </w:tr>
      <w:tr w:rsidR="00DD1558" w:rsidRPr="00DD1558" w14:paraId="3CED8F1A" w14:textId="77777777" w:rsidTr="00C71E92">
        <w:tc>
          <w:tcPr>
            <w:tcW w:w="620" w:type="dxa"/>
          </w:tcPr>
          <w:p w14:paraId="09CF871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RR-03</w:t>
            </w:r>
          </w:p>
        </w:tc>
        <w:tc>
          <w:tcPr>
            <w:tcW w:w="2300" w:type="dxa"/>
          </w:tcPr>
          <w:p w14:paraId="797E198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Incomplete or nonconforming data onboarding.</w:t>
            </w:r>
            <w:r w:rsidRPr="00DD1558">
              <w:rPr>
                <w:rFonts w:ascii="Simplified Arabic" w:hAnsi="Simplified Arabic" w:cs="Simplified Arabic"/>
                <w:szCs w:val="22"/>
              </w:rPr>
              <w:t xml:space="preserve"> Departmental inventories enter the registry partially, late, </w:t>
            </w:r>
            <w:r w:rsidRPr="00DD1558">
              <w:rPr>
                <w:rFonts w:ascii="Simplified Arabic" w:hAnsi="Simplified Arabic" w:cs="Simplified Arabic"/>
                <w:szCs w:val="22"/>
              </w:rPr>
              <w:lastRenderedPageBreak/>
              <w:t>or off-standard, so the shared-visibility premise of the eligibility check is false from the start; traceable to the implementation-fidelity theme in educational change (Sung &amp; Kim, 2021).</w:t>
            </w:r>
          </w:p>
        </w:tc>
        <w:tc>
          <w:tcPr>
            <w:tcW w:w="767" w:type="dxa"/>
          </w:tcPr>
          <w:p w14:paraId="75A64C4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07C89D8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(with PB1, PB2 downstream)</w:t>
            </w:r>
          </w:p>
        </w:tc>
        <w:tc>
          <w:tcPr>
            <w:tcW w:w="961" w:type="dxa"/>
          </w:tcPr>
          <w:p w14:paraId="365103C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Unit</w:t>
            </w:r>
          </w:p>
        </w:tc>
        <w:tc>
          <w:tcPr>
            <w:tcW w:w="2014" w:type="dxa"/>
          </w:tcPr>
          <w:p w14:paraId="5D0A2C0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a registry that is visibly incomplete defeats PB2 in practice, because checks </w:t>
            </w:r>
            <w:r w:rsidRPr="00DD1558">
              <w:rPr>
                <w:rFonts w:ascii="Simplified Arabic" w:hAnsi="Simplified Arabic" w:cs="Simplified Arabic"/>
                <w:szCs w:val="22"/>
              </w:rPr>
              <w:lastRenderedPageBreak/>
              <w:t>return false absences.</w:t>
            </w:r>
          </w:p>
        </w:tc>
        <w:tc>
          <w:tcPr>
            <w:tcW w:w="2416" w:type="dxa"/>
          </w:tcPr>
          <w:p w14:paraId="6A46E5DF" w14:textId="73A70E83"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Readiness gate G2 (data readiness) blocks pilot start until completeness and standard conformity are met; EB2 data-</w:t>
            </w:r>
            <w:r w:rsidRPr="00DD1558">
              <w:rPr>
                <w:rFonts w:ascii="Simplified Arabic" w:hAnsi="Simplified Arabic" w:cs="Simplified Arabic"/>
                <w:szCs w:val="22"/>
              </w:rPr>
              <w:lastRenderedPageBreak/>
              <w:t>quality indicators (completeness, currency, consistency) operationalized from day one; Unit’s negative procedural power to decline certifying a check when data-quality rules are unmet (</w:t>
            </w:r>
            <w:hyperlink w:anchor="Section414" w:history="1">
              <w:r w:rsidR="002C0C03" w:rsidRPr="00CD2E5F">
                <w:rPr>
                  <w:rStyle w:val="Hyperlink"/>
                  <w:rFonts w:ascii="Simplified Arabic" w:hAnsi="Simplified Arabic" w:cs="Simplified Arabic"/>
                  <w:szCs w:val="22"/>
                </w:rPr>
                <w:t>Section 4.1.4</w:t>
              </w:r>
            </w:hyperlink>
            <w:r w:rsidRPr="00DD1558">
              <w:rPr>
                <w:rFonts w:ascii="Simplified Arabic" w:hAnsi="Simplified Arabic" w:cs="Simplified Arabic"/>
                <w:szCs w:val="22"/>
              </w:rPr>
              <w:t>).</w:t>
            </w:r>
          </w:p>
        </w:tc>
      </w:tr>
      <w:tr w:rsidR="00DD1558" w:rsidRPr="00DD1558" w14:paraId="0209EBCD" w14:textId="77777777" w:rsidTr="00C71E92">
        <w:tc>
          <w:tcPr>
            <w:tcW w:w="620" w:type="dxa"/>
          </w:tcPr>
          <w:p w14:paraId="0097B24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RR-04</w:t>
            </w:r>
          </w:p>
        </w:tc>
        <w:tc>
          <w:tcPr>
            <w:tcW w:w="2300" w:type="dxa"/>
          </w:tcPr>
          <w:p w14:paraId="569F6C3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Competence gaps in operational execution.</w:t>
            </w:r>
            <w:r w:rsidRPr="00DD1558">
              <w:rPr>
                <w:rFonts w:ascii="Simplified Arabic" w:hAnsi="Simplified Arabic" w:cs="Simplified Arabic"/>
                <w:szCs w:val="22"/>
              </w:rPr>
              <w:t xml:space="preserve"> Technicians and departmental staff lack trained familiarity with FEFO discipline, custody-transfer documentation, and registry standards at go-live, so correctly designed workflows are executed incorrectly.</w:t>
            </w:r>
          </w:p>
        </w:tc>
        <w:tc>
          <w:tcPr>
            <w:tcW w:w="767" w:type="dxa"/>
          </w:tcPr>
          <w:p w14:paraId="3D066D3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3A97CA7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MB1, EB3 (execution layer)</w:t>
            </w:r>
          </w:p>
        </w:tc>
        <w:tc>
          <w:tcPr>
            <w:tcW w:w="961" w:type="dxa"/>
          </w:tcPr>
          <w:p w14:paraId="6C40078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6F6CE7D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degrades barrier execution but is correctable through the standards’ competence clauses before consequences propagate.</w:t>
            </w:r>
          </w:p>
        </w:tc>
        <w:tc>
          <w:tcPr>
            <w:tcW w:w="2416" w:type="dxa"/>
          </w:tcPr>
          <w:p w14:paraId="4007B07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Role-based competence and awareness programme per ISO 14001:2015 clauses 7.2–7.3 and ISO 22301:2019 clause 7.2 (ISO, 2015; ISO, 2019): onboarding plus periodic refreshers administered by custodian departments with Unit support materials; training scheduled within the </w:t>
            </w:r>
            <w:r w:rsidRPr="00DD1558">
              <w:rPr>
                <w:rFonts w:ascii="Simplified Arabic" w:hAnsi="Simplified Arabic" w:cs="Simplified Arabic"/>
                <w:szCs w:val="22"/>
              </w:rPr>
              <w:lastRenderedPageBreak/>
              <w:t>G2 phase of the roadmap.</w:t>
            </w:r>
          </w:p>
        </w:tc>
      </w:tr>
      <w:tr w:rsidR="00DD1558" w:rsidRPr="00DD1558" w14:paraId="15CA6C14" w14:textId="77777777" w:rsidTr="00C71E92">
        <w:tc>
          <w:tcPr>
            <w:tcW w:w="620" w:type="dxa"/>
          </w:tcPr>
          <w:p w14:paraId="51A7C2C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RR-05</w:t>
            </w:r>
          </w:p>
        </w:tc>
        <w:tc>
          <w:tcPr>
            <w:tcW w:w="2300" w:type="dxa"/>
          </w:tcPr>
          <w:p w14:paraId="2BE84C0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Compliance fatigue and procedural decay.</w:t>
            </w:r>
            <w:r w:rsidRPr="00DD1558">
              <w:rPr>
                <w:rFonts w:ascii="Simplified Arabic" w:hAnsi="Simplified Arabic" w:cs="Simplified Arabic"/>
                <w:szCs w:val="22"/>
              </w:rPr>
              <w:t xml:space="preserve"> Procedural burden (checks, logs, rotation discipline) comes to be perceived as disproportionate to benefit; staff revert to informal practice, hollowing out enforcement from within; traceable to the nominal-compliance theme (Sung &amp; Kim, 2021; Vlachopoulos, 2021).</w:t>
            </w:r>
          </w:p>
        </w:tc>
        <w:tc>
          <w:tcPr>
            <w:tcW w:w="767" w:type="dxa"/>
          </w:tcPr>
          <w:p w14:paraId="09BA4D9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4B3F5C8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EB1 (with EF1 activated against PB2, MB1)</w:t>
            </w:r>
          </w:p>
        </w:tc>
        <w:tc>
          <w:tcPr>
            <w:tcW w:w="961" w:type="dxa"/>
          </w:tcPr>
          <w:p w14:paraId="58CE0D4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73E0FD6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a slow-burn degradation caught by audit cadence rather than a discrete event.</w:t>
            </w:r>
          </w:p>
        </w:tc>
        <w:tc>
          <w:tcPr>
            <w:tcW w:w="2416" w:type="dxa"/>
          </w:tcPr>
          <w:p w14:paraId="1966BF6D" w14:textId="775F0BF0"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Proportionate-procedure design (auditability embedded in workflows, not appended as reporting burden — </w:t>
            </w:r>
            <w:hyperlink w:anchor="section411" w:history="1">
              <w:r w:rsidR="002C0C03" w:rsidRPr="00CD2E5F">
                <w:rPr>
                  <w:rStyle w:val="Hyperlink"/>
                  <w:rFonts w:ascii="Simplified Arabic" w:hAnsi="Simplified Arabic" w:cs="Simplified Arabic"/>
                  <w:szCs w:val="22"/>
                </w:rPr>
                <w:t>Section 4.1.1</w:t>
              </w:r>
            </w:hyperlink>
            <w:r w:rsidRPr="00DD1558">
              <w:rPr>
                <w:rFonts w:ascii="Simplified Arabic" w:hAnsi="Simplified Arabic" w:cs="Simplified Arabic"/>
                <w:szCs w:val="22"/>
              </w:rPr>
              <w:t xml:space="preserve">, </w:t>
            </w:r>
            <w:hyperlink w:anchor="Principle4" w:history="1">
              <w:r w:rsidRPr="00DD1558">
                <w:rPr>
                  <w:rFonts w:ascii="Simplified Arabic" w:hAnsi="Simplified Arabic" w:cs="Simplified Arabic"/>
                  <w:color w:val="467886" w:themeColor="hyperlink"/>
                  <w:szCs w:val="22"/>
                  <w:u w:val="single"/>
                </w:rPr>
                <w:t>Principle 4</w:t>
              </w:r>
            </w:hyperlink>
            <w:r w:rsidRPr="00DD1558">
              <w:rPr>
                <w:rFonts w:ascii="Simplified Arabic" w:hAnsi="Simplified Arabic" w:cs="Simplified Arabic"/>
                <w:szCs w:val="22"/>
              </w:rPr>
              <w:t>); duties attached to existing roles; Board termly review of procedural burden; benefit communication through Unit reporting so that displaced purchases and redistributions are visible to participants (Dean et al., 2024).</w:t>
            </w:r>
          </w:p>
        </w:tc>
      </w:tr>
      <w:tr w:rsidR="00DD1558" w:rsidRPr="00DD1558" w14:paraId="4D26A43E" w14:textId="77777777" w:rsidTr="00C71E92">
        <w:tc>
          <w:tcPr>
            <w:tcW w:w="620" w:type="dxa"/>
          </w:tcPr>
          <w:p w14:paraId="11A0E69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RR-06</w:t>
            </w:r>
          </w:p>
        </w:tc>
        <w:tc>
          <w:tcPr>
            <w:tcW w:w="2300" w:type="dxa"/>
          </w:tcPr>
          <w:p w14:paraId="64BA6EC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Custody disputes during the pilot.</w:t>
            </w:r>
            <w:r w:rsidRPr="00DD1558">
              <w:rPr>
                <w:rFonts w:ascii="Simplified Arabic" w:hAnsi="Simplified Arabic" w:cs="Simplified Arabic"/>
                <w:szCs w:val="22"/>
              </w:rPr>
              <w:t xml:space="preserve"> Early loans in the Biology Department pilot produce contested damage or responsibility claims </w:t>
            </w:r>
            <w:r w:rsidRPr="00DD1558">
              <w:rPr>
                <w:rFonts w:ascii="Simplified Arabic" w:hAnsi="Simplified Arabic" w:cs="Simplified Arabic"/>
                <w:szCs w:val="22"/>
              </w:rPr>
              <w:lastRenderedPageBreak/>
              <w:t>before practice has settled.</w:t>
            </w:r>
          </w:p>
        </w:tc>
        <w:tc>
          <w:tcPr>
            <w:tcW w:w="767" w:type="dxa"/>
          </w:tcPr>
          <w:p w14:paraId="5F392FF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2FF22F3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EB3 (trial under load)</w:t>
            </w:r>
          </w:p>
        </w:tc>
        <w:tc>
          <w:tcPr>
            <w:tcW w:w="961" w:type="dxa"/>
          </w:tcPr>
          <w:p w14:paraId="7909F69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0E46061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Low</w:t>
            </w:r>
            <w:r w:rsidRPr="00DD1558">
              <w:rPr>
                <w:rFonts w:ascii="Simplified Arabic" w:hAnsi="Simplified Arabic" w:cs="Simplified Arabic"/>
                <w:szCs w:val="22"/>
              </w:rPr>
              <w:t xml:space="preserve"> — contained by the custody-transfer protocol’s evidentiary artifacts and bounded pilot scope; resolution </w:t>
            </w:r>
            <w:r w:rsidRPr="00DD1558">
              <w:rPr>
                <w:rFonts w:ascii="Simplified Arabic" w:hAnsi="Simplified Arabic" w:cs="Simplified Arabic"/>
                <w:szCs w:val="22"/>
              </w:rPr>
              <w:lastRenderedPageBreak/>
              <w:t>path is protocolized.</w:t>
            </w:r>
          </w:p>
        </w:tc>
        <w:tc>
          <w:tcPr>
            <w:tcW w:w="2416" w:type="dxa"/>
          </w:tcPr>
          <w:p w14:paraId="2F64E80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EB3 custody-transfer protocol applied from the first loan (condition record, custody acknowledgment, chain-of-custody log); defined escalation </w:t>
            </w:r>
            <w:r w:rsidRPr="00DD1558">
              <w:rPr>
                <w:rFonts w:ascii="Simplified Arabic" w:hAnsi="Simplified Arabic" w:cs="Simplified Arabic"/>
                <w:szCs w:val="22"/>
              </w:rPr>
              <w:lastRenderedPageBreak/>
              <w:t xml:space="preserve">ladder technician </w:t>
            </w:r>
            <w:r w:rsidRPr="00DD1558">
              <w:rPr>
                <w:rFonts w:ascii="Times New Roman" w:hAnsi="Times New Roman" w:cs="Times New Roman"/>
                <w:szCs w:val="22"/>
              </w:rPr>
              <w:t>→</w:t>
            </w:r>
            <w:r w:rsidRPr="00DD1558">
              <w:rPr>
                <w:rFonts w:ascii="Simplified Arabic" w:hAnsi="Simplified Arabic" w:cs="Simplified Arabic"/>
                <w:szCs w:val="22"/>
              </w:rPr>
              <w:t xml:space="preserve"> Unit </w:t>
            </w:r>
            <w:r w:rsidRPr="00DD1558">
              <w:rPr>
                <w:rFonts w:ascii="Times New Roman" w:hAnsi="Times New Roman" w:cs="Times New Roman"/>
                <w:szCs w:val="22"/>
              </w:rPr>
              <w:t>→</w:t>
            </w:r>
            <w:r w:rsidRPr="00DD1558">
              <w:rPr>
                <w:rFonts w:ascii="Simplified Arabic" w:hAnsi="Simplified Arabic" w:cs="Simplified Arabic"/>
                <w:szCs w:val="22"/>
              </w:rPr>
              <w:t xml:space="preserve"> custodian supervisor </w:t>
            </w:r>
            <w:r w:rsidRPr="00DD1558">
              <w:rPr>
                <w:rFonts w:ascii="Times New Roman" w:hAnsi="Times New Roman" w:cs="Times New Roman"/>
                <w:szCs w:val="22"/>
              </w:rPr>
              <w:t>→</w:t>
            </w:r>
            <w:r w:rsidRPr="00DD1558">
              <w:rPr>
                <w:rFonts w:ascii="Simplified Arabic" w:hAnsi="Simplified Arabic" w:cs="Simplified Arabic"/>
                <w:szCs w:val="22"/>
              </w:rPr>
              <w:t xml:space="preserve"> Board; pilot exit criteria at G3 include demonstrated dispute-resolution integrity (Section 4 readiness gates).</w:t>
            </w:r>
          </w:p>
        </w:tc>
      </w:tr>
      <w:tr w:rsidR="00DD1558" w:rsidRPr="00DD1558" w14:paraId="5B12A00A" w14:textId="77777777" w:rsidTr="00C71E92">
        <w:tc>
          <w:tcPr>
            <w:tcW w:w="620" w:type="dxa"/>
          </w:tcPr>
          <w:p w14:paraId="5E77CBD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RR-07</w:t>
            </w:r>
          </w:p>
        </w:tc>
        <w:tc>
          <w:tcPr>
            <w:tcW w:w="2300" w:type="dxa"/>
          </w:tcPr>
          <w:p w14:paraId="34D3F7D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Eligibility-check bypass.</w:t>
            </w:r>
            <w:r w:rsidRPr="00DD1558">
              <w:rPr>
                <w:rFonts w:ascii="Simplified Arabic" w:hAnsi="Simplified Arabic" w:cs="Simplified Arabic"/>
                <w:szCs w:val="22"/>
              </w:rPr>
              <w:t xml:space="preserve"> Requisitions proceed without the mandatory registry check — through time pressure, habit, or deliberate circumvention — reactivating threat T1 and the duplicate-purchasing pathway.</w:t>
            </w:r>
          </w:p>
        </w:tc>
        <w:tc>
          <w:tcPr>
            <w:tcW w:w="767" w:type="dxa"/>
          </w:tcPr>
          <w:p w14:paraId="42D7827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60B4F22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PB2 (degraded by EF1)</w:t>
            </w:r>
          </w:p>
        </w:tc>
        <w:tc>
          <w:tcPr>
            <w:tcW w:w="961" w:type="dxa"/>
          </w:tcPr>
          <w:p w14:paraId="18B9F99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31A7E2C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plausible under normal operations in a compliance-driven culture; defeats the framework’s primary fiscal barrier.</w:t>
            </w:r>
          </w:p>
        </w:tc>
        <w:tc>
          <w:tcPr>
            <w:tcW w:w="2416" w:type="dxa"/>
          </w:tcPr>
          <w:p w14:paraId="10B3C17D" w14:textId="50E57CCE"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Barrier reinforcement: Unit verification of the documented check as a requisition precondition; EB1 audit cadence tests a sample of requisitions each term for check evidence; repeated violations escalate to the Board under </w:t>
            </w:r>
            <w:hyperlink w:anchor="Section412" w:history="1">
              <w:r w:rsidR="002C0C03" w:rsidRPr="00CD2E5F">
                <w:rPr>
                  <w:rStyle w:val="Hyperlink"/>
                  <w:rFonts w:ascii="Simplified Arabic" w:hAnsi="Simplified Arabic" w:cs="Simplified Arabic"/>
                  <w:szCs w:val="22"/>
                </w:rPr>
                <w:t>Section 4.1.2</w:t>
              </w:r>
            </w:hyperlink>
            <w:r w:rsidR="002C0C03">
              <w:rPr>
                <w:rFonts w:ascii="Simplified Arabic" w:hAnsi="Simplified Arabic" w:cs="Simplified Arabic"/>
                <w:szCs w:val="22"/>
              </w:rPr>
              <w:t xml:space="preserve"> </w:t>
            </w:r>
            <w:r w:rsidRPr="00DD1558">
              <w:rPr>
                <w:rFonts w:ascii="Simplified Arabic" w:hAnsi="Simplified Arabic" w:cs="Simplified Arabic"/>
                <w:szCs w:val="22"/>
              </w:rPr>
              <w:t>decision rights; operating criteria discipline per ISO 14001:2015 clause 8.1 analogue (ISO, 2015).</w:t>
            </w:r>
          </w:p>
        </w:tc>
      </w:tr>
      <w:tr w:rsidR="00DD1558" w:rsidRPr="00DD1558" w14:paraId="62851FEB" w14:textId="77777777" w:rsidTr="00C71E92">
        <w:tc>
          <w:tcPr>
            <w:tcW w:w="620" w:type="dxa"/>
          </w:tcPr>
          <w:p w14:paraId="7492925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RR-08</w:t>
            </w:r>
          </w:p>
        </w:tc>
        <w:tc>
          <w:tcPr>
            <w:tcW w:w="2300" w:type="dxa"/>
          </w:tcPr>
          <w:p w14:paraId="36053DB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FEFO drift.</w:t>
            </w:r>
            <w:r w:rsidRPr="00DD1558">
              <w:rPr>
                <w:rFonts w:ascii="Simplified Arabic" w:hAnsi="Simplified Arabic" w:cs="Simplified Arabic"/>
                <w:szCs w:val="22"/>
              </w:rPr>
              <w:t xml:space="preserve"> Date-ordered rotation erodes into convenience picking, so earliest-expiring stock remains on shelves and the expiry pathway (T2 </w:t>
            </w:r>
            <w:r w:rsidRPr="00DD1558">
              <w:rPr>
                <w:rFonts w:ascii="Times New Roman" w:hAnsi="Times New Roman" w:cs="Times New Roman"/>
                <w:szCs w:val="22"/>
              </w:rPr>
              <w:t>→</w:t>
            </w:r>
            <w:r w:rsidRPr="00DD1558">
              <w:rPr>
                <w:rFonts w:ascii="Simplified Arabic" w:hAnsi="Simplified Arabic" w:cs="Simplified Arabic"/>
                <w:szCs w:val="22"/>
              </w:rPr>
              <w:t xml:space="preserve"> TE1) reopens despite the standard’s existence.</w:t>
            </w:r>
          </w:p>
        </w:tc>
        <w:tc>
          <w:tcPr>
            <w:tcW w:w="767" w:type="dxa"/>
          </w:tcPr>
          <w:p w14:paraId="021C95B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1DA8E60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MB1 (degraded by EF1)</w:t>
            </w:r>
          </w:p>
        </w:tc>
        <w:tc>
          <w:tcPr>
            <w:tcW w:w="961" w:type="dxa"/>
          </w:tcPr>
          <w:p w14:paraId="738D4BC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Technicians (execution-level owner; accountability rests with the custodian supervisor)</w:t>
            </w:r>
          </w:p>
        </w:tc>
        <w:tc>
          <w:tcPr>
            <w:tcW w:w="2014" w:type="dxa"/>
          </w:tcPr>
          <w:p w14:paraId="0EA0C26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the barrier lives or fails at the shelf; drift is silent until expiry surfaces.</w:t>
            </w:r>
          </w:p>
        </w:tc>
        <w:tc>
          <w:tcPr>
            <w:tcW w:w="2416" w:type="dxa"/>
          </w:tcPr>
          <w:p w14:paraId="484D8F7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Committee FEFO standard with labeling, date-marking, and expiry-flagging thresholds; technician escalation duty at defined thresholds; custodian supervisor accountability with EB1 audit of rotation practice; competence maintenance per ISO 14001:2015 clause 7.2 (ISO, 2015; Durgan et al., 2023).</w:t>
            </w:r>
          </w:p>
        </w:tc>
      </w:tr>
      <w:tr w:rsidR="00DD1558" w:rsidRPr="00DD1558" w14:paraId="5CC3AAEA" w14:textId="77777777" w:rsidTr="00C71E92">
        <w:tc>
          <w:tcPr>
            <w:tcW w:w="620" w:type="dxa"/>
          </w:tcPr>
          <w:p w14:paraId="28265ED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RR-09</w:t>
            </w:r>
          </w:p>
        </w:tc>
        <w:tc>
          <w:tcPr>
            <w:tcW w:w="2300" w:type="dxa"/>
          </w:tcPr>
          <w:p w14:paraId="63119AE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Registry data decay.</w:t>
            </w:r>
            <w:r w:rsidRPr="00DD1558">
              <w:rPr>
                <w:rFonts w:ascii="Simplified Arabic" w:hAnsi="Simplified Arabic" w:cs="Simplified Arabic"/>
                <w:szCs w:val="22"/>
              </w:rPr>
              <w:t xml:space="preserve"> Entries lag events, records go stale, and the registry’s picture of holdings diverges from physical stock, blinding PB1, PB2, and MB2 simultaneously (EF2).</w:t>
            </w:r>
          </w:p>
        </w:tc>
        <w:tc>
          <w:tcPr>
            <w:tcW w:w="767" w:type="dxa"/>
          </w:tcPr>
          <w:p w14:paraId="357145B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558D8D7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(degrading PB1, PB2, MB2)</w:t>
            </w:r>
          </w:p>
        </w:tc>
        <w:tc>
          <w:tcPr>
            <w:tcW w:w="961" w:type="dxa"/>
          </w:tcPr>
          <w:p w14:paraId="32783F2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Unit</w:t>
            </w:r>
          </w:p>
        </w:tc>
        <w:tc>
          <w:tcPr>
            <w:tcW w:w="2014" w:type="dxa"/>
          </w:tcPr>
          <w:p w14:paraId="4A1CAFB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data decay is the single escalation factor that degrades three barriers at once.</w:t>
            </w:r>
          </w:p>
        </w:tc>
        <w:tc>
          <w:tcPr>
            <w:tcW w:w="2416" w:type="dxa"/>
          </w:tcPr>
          <w:p w14:paraId="498DB774" w14:textId="0D676A81"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data-quality indicators monitored continuously by the Unit; technician entry discipline as barrier work (</w:t>
            </w:r>
            <w:hyperlink w:anchor="section415" w:history="1">
              <w:r w:rsidR="002C0C03" w:rsidRPr="00CD2E5F">
                <w:rPr>
                  <w:rStyle w:val="Hyperlink"/>
                  <w:rFonts w:ascii="Simplified Arabic" w:hAnsi="Simplified Arabic" w:cs="Simplified Arabic"/>
                  <w:szCs w:val="22"/>
                </w:rPr>
                <w:t>Section 4.1.5</w:t>
              </w:r>
            </w:hyperlink>
            <w:r w:rsidRPr="00DD1558">
              <w:rPr>
                <w:rFonts w:ascii="Simplified Arabic" w:hAnsi="Simplified Arabic" w:cs="Simplified Arabic"/>
                <w:szCs w:val="22"/>
              </w:rPr>
              <w:t xml:space="preserve">); Unit reporting of data-quality trends to the Board’s termly review; nonconformity-and-corrective-action loop per the ISO clause 10 </w:t>
            </w:r>
            <w:r w:rsidRPr="00DD1558">
              <w:rPr>
                <w:rFonts w:ascii="Simplified Arabic" w:hAnsi="Simplified Arabic" w:cs="Simplified Arabic"/>
                <w:szCs w:val="22"/>
              </w:rPr>
              <w:lastRenderedPageBreak/>
              <w:t>analogue (ISO, 2015; ISO, 2019).</w:t>
            </w:r>
          </w:p>
        </w:tc>
      </w:tr>
      <w:tr w:rsidR="00DD1558" w:rsidRPr="00DD1558" w14:paraId="175B1AE8" w14:textId="77777777" w:rsidTr="00C71E92">
        <w:tc>
          <w:tcPr>
            <w:tcW w:w="620" w:type="dxa"/>
          </w:tcPr>
          <w:p w14:paraId="5980C1A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RR-10</w:t>
            </w:r>
          </w:p>
        </w:tc>
        <w:tc>
          <w:tcPr>
            <w:tcW w:w="2300" w:type="dxa"/>
          </w:tcPr>
          <w:p w14:paraId="3B92EE8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Loan integrity failure — damage, loss, or overdue return.</w:t>
            </w:r>
            <w:r w:rsidRPr="00DD1558">
              <w:rPr>
                <w:rFonts w:ascii="Simplified Arabic" w:hAnsi="Simplified Arabic" w:cs="Simplified Arabic"/>
                <w:szCs w:val="22"/>
              </w:rPr>
              <w:t xml:space="preserve"> Loaned items return damaged, are lost in transit, or are held beyond term, imposing remediation burdens and deterring future lending; traceable to the free-riding and responsibility-ambiguity failure modes of sharing arrangements (Wang &amp; Qu, 2025).</w:t>
            </w:r>
          </w:p>
        </w:tc>
        <w:tc>
          <w:tcPr>
            <w:tcW w:w="767" w:type="dxa"/>
          </w:tcPr>
          <w:p w14:paraId="0ED675D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54743C3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MB2 (with EB3 as evidentiary control)</w:t>
            </w:r>
          </w:p>
        </w:tc>
        <w:tc>
          <w:tcPr>
            <w:tcW w:w="961" w:type="dxa"/>
          </w:tcPr>
          <w:p w14:paraId="0A369B7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 (technicians execute records and flag exceptions)</w:t>
            </w:r>
          </w:p>
        </w:tc>
        <w:tc>
          <w:tcPr>
            <w:tcW w:w="2014" w:type="dxa"/>
          </w:tcPr>
          <w:p w14:paraId="6BF5FDE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individual events are bounded, but recurrence would erode the trust on which MB2 depends.</w:t>
            </w:r>
          </w:p>
        </w:tc>
        <w:tc>
          <w:tcPr>
            <w:tcW w:w="2416" w:type="dxa"/>
          </w:tcPr>
          <w:p w14:paraId="5719E460" w14:textId="6691B66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Inter-Lab Policy Framework risk controls: damage/loss liability principle with chain-of-custody log as evidence; loan limits; recall rights; returned-damaged exception state triggering escalation rather than informal settlement; aggregate damage and overdue records to the Board’s termly review (</w:t>
            </w:r>
            <w:hyperlink w:anchor="Section416" w:history="1">
              <w:r w:rsidR="002C0C03" w:rsidRPr="00CD2E5F">
                <w:rPr>
                  <w:rStyle w:val="Hyperlink"/>
                  <w:rFonts w:ascii="Simplified Arabic" w:hAnsi="Simplified Arabic" w:cs="Simplified Arabic"/>
                  <w:szCs w:val="22"/>
                </w:rPr>
                <w:t>Section 4.1.6</w:t>
              </w:r>
            </w:hyperlink>
            <w:r w:rsidR="002C0C03" w:rsidRPr="002C0C03">
              <w:rPr>
                <w:rFonts w:ascii="Simplified Arabic" w:hAnsi="Simplified Arabic" w:cs="Simplified Arabic"/>
                <w:szCs w:val="22"/>
              </w:rPr>
              <w:t xml:space="preserve"> </w:t>
            </w:r>
            <w:r w:rsidRPr="00DD1558">
              <w:rPr>
                <w:rFonts w:ascii="Simplified Arabic" w:hAnsi="Simplified Arabic" w:cs="Simplified Arabic"/>
                <w:szCs w:val="22"/>
              </w:rPr>
              <w:t>(e); Wang &amp; Qu, 2025).</w:t>
            </w:r>
          </w:p>
        </w:tc>
      </w:tr>
      <w:tr w:rsidR="00DD1558" w:rsidRPr="00DD1558" w14:paraId="3AF097CD" w14:textId="77777777" w:rsidTr="00C71E92">
        <w:tc>
          <w:tcPr>
            <w:tcW w:w="620" w:type="dxa"/>
          </w:tcPr>
          <w:p w14:paraId="1D23FC9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RR-11</w:t>
            </w:r>
          </w:p>
        </w:tc>
        <w:tc>
          <w:tcPr>
            <w:tcW w:w="2300" w:type="dxa"/>
          </w:tcPr>
          <w:p w14:paraId="089D08B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Custodian recall conflicts.</w:t>
            </w:r>
            <w:r w:rsidRPr="00DD1558">
              <w:rPr>
                <w:rFonts w:ascii="Simplified Arabic" w:hAnsi="Simplified Arabic" w:cs="Simplified Arabic"/>
                <w:szCs w:val="22"/>
              </w:rPr>
              <w:t xml:space="preserve"> A custodian exercises its recall right while a borrower’s scheduled teaching depends on the loaned item, transferring disruption </w:t>
            </w:r>
            <w:r w:rsidRPr="00DD1558">
              <w:rPr>
                <w:rFonts w:ascii="Simplified Arabic" w:hAnsi="Simplified Arabic" w:cs="Simplified Arabic"/>
                <w:szCs w:val="22"/>
              </w:rPr>
              <w:lastRenderedPageBreak/>
              <w:t>rather than relieving it.</w:t>
            </w:r>
          </w:p>
        </w:tc>
        <w:tc>
          <w:tcPr>
            <w:tcW w:w="767" w:type="dxa"/>
          </w:tcPr>
          <w:p w14:paraId="0B6322C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M*</w:t>
            </w:r>
          </w:p>
        </w:tc>
        <w:tc>
          <w:tcPr>
            <w:tcW w:w="1177" w:type="dxa"/>
          </w:tcPr>
          <w:p w14:paraId="7538FF4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MB2 (recall-right control)</w:t>
            </w:r>
          </w:p>
        </w:tc>
        <w:tc>
          <w:tcPr>
            <w:tcW w:w="961" w:type="dxa"/>
          </w:tcPr>
          <w:p w14:paraId="26A65DB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 (adjudication of cross-departmental conflicts)</w:t>
            </w:r>
          </w:p>
        </w:tc>
        <w:tc>
          <w:tcPr>
            <w:tcW w:w="2014" w:type="dxa"/>
          </w:tcPr>
          <w:p w14:paraId="57656F4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infrequent by design but consequential for C3 when it occurs, since teaching is semester-locked.</w:t>
            </w:r>
          </w:p>
        </w:tc>
        <w:tc>
          <w:tcPr>
            <w:tcW w:w="2416" w:type="dxa"/>
          </w:tcPr>
          <w:p w14:paraId="696AA2B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Policy sequencing: custodian recall rights are absolute for scheduled teaching (ISO 22301:2019 priority of prioritized activities; ISO, 2019, clause 8.3); loan </w:t>
            </w:r>
            <w:r w:rsidRPr="00DD1558">
              <w:rPr>
                <w:rFonts w:ascii="Simplified Arabic" w:hAnsi="Simplified Arabic" w:cs="Simplified Arabic"/>
                <w:szCs w:val="22"/>
              </w:rPr>
              <w:lastRenderedPageBreak/>
              <w:t>durations set against published teaching calendars at approval; conflicts escalate to the Board, whose adjudication precedent is logged to refine loan-term rules.</w:t>
            </w:r>
          </w:p>
        </w:tc>
      </w:tr>
      <w:tr w:rsidR="00DD1558" w:rsidRPr="00DD1558" w14:paraId="6D199D2F" w14:textId="77777777" w:rsidTr="00C71E92">
        <w:tc>
          <w:tcPr>
            <w:tcW w:w="620" w:type="dxa"/>
          </w:tcPr>
          <w:p w14:paraId="3AFC671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RR-12</w:t>
            </w:r>
          </w:p>
        </w:tc>
        <w:tc>
          <w:tcPr>
            <w:tcW w:w="2300" w:type="dxa"/>
          </w:tcPr>
          <w:p w14:paraId="000BD27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Expiry clusters.</w:t>
            </w:r>
            <w:r w:rsidRPr="00DD1558">
              <w:rPr>
                <w:rFonts w:ascii="Simplified Arabic" w:hAnsi="Simplified Arabic" w:cs="Simplified Arabic"/>
                <w:szCs w:val="22"/>
              </w:rPr>
              <w:t xml:space="preserve"> Multiple chemical stocks approach expiry simultaneously — for example after a bulk purchase or semester-end course completions — exceeding the redistribution mechanism’s absorptive capacity and forcing disposal of usable stock.</w:t>
            </w:r>
          </w:p>
        </w:tc>
        <w:tc>
          <w:tcPr>
            <w:tcW w:w="767" w:type="dxa"/>
          </w:tcPr>
          <w:p w14:paraId="60961BC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79B3DD5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MB2 (capacity exceeded; MB3 as fallback)</w:t>
            </w:r>
          </w:p>
        </w:tc>
        <w:tc>
          <w:tcPr>
            <w:tcW w:w="961" w:type="dxa"/>
          </w:tcPr>
          <w:p w14:paraId="043EF70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7E975F7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partially self-inflicted through procurement timing, hence controllable, but consequential for C1/C2 when realized.</w:t>
            </w:r>
          </w:p>
        </w:tc>
        <w:tc>
          <w:tcPr>
            <w:tcW w:w="2416" w:type="dxa"/>
          </w:tcPr>
          <w:p w14:paraId="1035701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Technician expiry-flagging at threshold (early-warning duty); Unit expiry-flag summaries give the Board forward visibility; MB2 redistribution prioritized for cluster items; PB3 joint/circular procurement rules reduce incoming volume bunching at source (Sönnichsen &amp; Clement, 2020; Freese et al., 2024).</w:t>
            </w:r>
          </w:p>
        </w:tc>
      </w:tr>
      <w:tr w:rsidR="00DD1558" w:rsidRPr="00DD1558" w14:paraId="7D98B866" w14:textId="77777777" w:rsidTr="00C71E92">
        <w:tc>
          <w:tcPr>
            <w:tcW w:w="620" w:type="dxa"/>
          </w:tcPr>
          <w:p w14:paraId="0AAFFFD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RR-13</w:t>
            </w:r>
          </w:p>
        </w:tc>
        <w:tc>
          <w:tcPr>
            <w:tcW w:w="2300" w:type="dxa"/>
          </w:tcPr>
          <w:p w14:paraId="1CF5FCE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Disposal nonconformity.</w:t>
            </w:r>
            <w:r w:rsidRPr="00DD1558">
              <w:rPr>
                <w:rFonts w:ascii="Simplified Arabic" w:hAnsi="Simplified Arabic" w:cs="Simplified Arabic"/>
                <w:szCs w:val="22"/>
              </w:rPr>
              <w:t xml:space="preserve"> Expired or surplus </w:t>
            </w:r>
            <w:r w:rsidRPr="00DD1558">
              <w:rPr>
                <w:rFonts w:ascii="Simplified Arabic" w:hAnsi="Simplified Arabic" w:cs="Simplified Arabic"/>
                <w:szCs w:val="22"/>
              </w:rPr>
              <w:lastRenderedPageBreak/>
              <w:t>chemicals enter disposal pathways outside the governed protocols — undocumented, mistimed, or routed through noncompliant channels — generating HSE exposure and compliance-obligation breach.</w:t>
            </w:r>
          </w:p>
        </w:tc>
        <w:tc>
          <w:tcPr>
            <w:tcW w:w="767" w:type="dxa"/>
          </w:tcPr>
          <w:p w14:paraId="23F4B73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7E25656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MB3</w:t>
            </w:r>
          </w:p>
        </w:tc>
        <w:tc>
          <w:tcPr>
            <w:tcW w:w="961" w:type="dxa"/>
          </w:tcPr>
          <w:p w14:paraId="7BB0625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Committee (with the </w:t>
            </w:r>
            <w:r w:rsidRPr="00DD1558">
              <w:rPr>
                <w:rFonts w:ascii="Simplified Arabic" w:hAnsi="Simplified Arabic" w:cs="Simplified Arabic"/>
                <w:szCs w:val="22"/>
              </w:rPr>
              <w:lastRenderedPageBreak/>
              <w:t>college safety and compliance officer)</w:t>
            </w:r>
          </w:p>
        </w:tc>
        <w:tc>
          <w:tcPr>
            <w:tcW w:w="2014" w:type="dxa"/>
          </w:tcPr>
          <w:p w14:paraId="38B9340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lastRenderedPageBreak/>
              <w:t>Moderate</w:t>
            </w:r>
            <w:r w:rsidRPr="00DD1558">
              <w:rPr>
                <w:rFonts w:ascii="Simplified Arabic" w:hAnsi="Simplified Arabic" w:cs="Simplified Arabic"/>
                <w:szCs w:val="22"/>
              </w:rPr>
              <w:t xml:space="preserve"> — standing protocols exist, but disposal </w:t>
            </w:r>
            <w:r w:rsidRPr="00DD1558">
              <w:rPr>
                <w:rFonts w:ascii="Simplified Arabic" w:hAnsi="Simplified Arabic" w:cs="Simplified Arabic"/>
                <w:szCs w:val="22"/>
              </w:rPr>
              <w:lastRenderedPageBreak/>
              <w:t>is episodic and easily bypassed under storage pressure.</w:t>
            </w:r>
          </w:p>
        </w:tc>
        <w:tc>
          <w:tcPr>
            <w:tcW w:w="2416" w:type="dxa"/>
          </w:tcPr>
          <w:p w14:paraId="340D4EE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MB3 governed disposal protocols with documented disposal </w:t>
            </w:r>
            <w:r w:rsidRPr="00DD1558">
              <w:rPr>
                <w:rFonts w:ascii="Simplified Arabic" w:hAnsi="Simplified Arabic" w:cs="Simplified Arabic"/>
                <w:szCs w:val="22"/>
              </w:rPr>
              <w:lastRenderedPageBreak/>
              <w:t>records; redistribution-before-disposal rule (PB2 in its disposal-direction mode) checks live demand before any disposal; emergency-preparedness interface per ISO 14001:2015 clause 8.2 for degraded-stock discovery; evaluation of compliance obligations per clause 9.1.2 (ISO, 2015).</w:t>
            </w:r>
          </w:p>
        </w:tc>
      </w:tr>
      <w:tr w:rsidR="00DD1558" w:rsidRPr="00DD1558" w14:paraId="17679AFD" w14:textId="77777777" w:rsidTr="00C71E92">
        <w:tc>
          <w:tcPr>
            <w:tcW w:w="620" w:type="dxa"/>
          </w:tcPr>
          <w:p w14:paraId="66E7220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RR-14</w:t>
            </w:r>
          </w:p>
        </w:tc>
        <w:tc>
          <w:tcPr>
            <w:tcW w:w="2300" w:type="dxa"/>
          </w:tcPr>
          <w:p w14:paraId="4C10716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Audit-finding recurrence.</w:t>
            </w:r>
            <w:r w:rsidRPr="00DD1558">
              <w:rPr>
                <w:rFonts w:ascii="Simplified Arabic" w:hAnsi="Simplified Arabic" w:cs="Simplified Arabic"/>
                <w:szCs w:val="22"/>
              </w:rPr>
              <w:t xml:space="preserve"> The same nonconformities reappear across successive audit cycles because corrective actions are assigned but not closed, converting EB1 from a control into a ritual.</w:t>
            </w:r>
          </w:p>
        </w:tc>
        <w:tc>
          <w:tcPr>
            <w:tcW w:w="767" w:type="dxa"/>
          </w:tcPr>
          <w:p w14:paraId="2DDC667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7B53FDC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EB1 (self-referential failure of the meta-control)</w:t>
            </w:r>
          </w:p>
        </w:tc>
        <w:tc>
          <w:tcPr>
            <w:tcW w:w="961" w:type="dxa"/>
          </w:tcPr>
          <w:p w14:paraId="603CBD7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153DABB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indicates EF1 has colonized the enforcement layer itself; recoverable through the improvement loop if acted on.</w:t>
            </w:r>
          </w:p>
        </w:tc>
        <w:tc>
          <w:tcPr>
            <w:tcW w:w="2416" w:type="dxa"/>
          </w:tcPr>
          <w:p w14:paraId="79F06BE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Corrective-action tracking with named owners and closure evidence at each Board termly review, per the Annex SL clause 10 improvement logic (ISO, 2015; ISO, 2019); recurring findings escalated to the annual management review </w:t>
            </w:r>
            <w:r w:rsidRPr="00DD1558">
              <w:rPr>
                <w:rFonts w:ascii="Simplified Arabic" w:hAnsi="Simplified Arabic" w:cs="Simplified Arabic"/>
                <w:szCs w:val="22"/>
              </w:rPr>
              <w:lastRenderedPageBreak/>
              <w:t>(clause 9.3 analogue); audit cadence adjusted toward repeat-finding domains.</w:t>
            </w:r>
          </w:p>
        </w:tc>
      </w:tr>
      <w:tr w:rsidR="00DD1558" w:rsidRPr="00DD1558" w14:paraId="24FD3000" w14:textId="77777777" w:rsidTr="00C71E92">
        <w:tc>
          <w:tcPr>
            <w:tcW w:w="620" w:type="dxa"/>
          </w:tcPr>
          <w:p w14:paraId="7CB1A65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RR-15</w:t>
            </w:r>
          </w:p>
        </w:tc>
        <w:tc>
          <w:tcPr>
            <w:tcW w:w="2300" w:type="dxa"/>
          </w:tcPr>
          <w:p w14:paraId="4646331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Premature digital platform investment.</w:t>
            </w:r>
            <w:r w:rsidRPr="00DD1558">
              <w:rPr>
                <w:rFonts w:ascii="Simplified Arabic" w:hAnsi="Simplified Arabic" w:cs="Simplified Arabic"/>
                <w:szCs w:val="22"/>
              </w:rPr>
              <w:t xml:space="preserve"> Pressure to acquire a smart-inventory platform (barcode/RFID) before process standardization and role clarity are established, digitizing fragmentation and consuming budget without capability gain; traceable to the organization-before-technology finding of the digital-transformation literature (Rodríguez-Abitia &amp; Bribiesca-Correa, 2021; Bellantuono et al., 2021).</w:t>
            </w:r>
          </w:p>
        </w:tc>
        <w:tc>
          <w:tcPr>
            <w:tcW w:w="767" w:type="dxa"/>
          </w:tcPr>
          <w:p w14:paraId="0E21CB2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417B3E9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(would bypass the Perform-band precondition for platform value)</w:t>
            </w:r>
          </w:p>
        </w:tc>
        <w:tc>
          <w:tcPr>
            <w:tcW w:w="961" w:type="dxa"/>
          </w:tcPr>
          <w:p w14:paraId="301CA27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 (gate authority); Unit (readiness reporting)</w:t>
            </w:r>
          </w:p>
        </w:tc>
        <w:tc>
          <w:tcPr>
            <w:tcW w:w="2014" w:type="dxa"/>
          </w:tcPr>
          <w:p w14:paraId="5590610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high fiscal consequence if realized, but structurally preventable by holding the gate.</w:t>
            </w:r>
          </w:p>
        </w:tc>
        <w:tc>
          <w:tcPr>
            <w:tcW w:w="2416" w:type="dxa"/>
          </w:tcPr>
          <w:p w14:paraId="1EE7282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Readiness gate G4 (digital platform readiness) as a binding precondition: no platform procurement before standardized processes, defined workflows, and role clarity are demonstrated; Unit maintains the requirements baseline so that when the gate opens, procurement targets organizational needs rather than vendor features (Carpitella &amp; Izquierdo, 2025).</w:t>
            </w:r>
          </w:p>
        </w:tc>
      </w:tr>
    </w:tbl>
    <w:p w14:paraId="202727D3"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The register’s two strata differ in one respect that governs their treatment. Transition risks (RR-01–RR-06) are </w:t>
      </w:r>
      <w:r w:rsidRPr="00DD1558">
        <w:rPr>
          <w:rFonts w:ascii="Simplified Arabic" w:eastAsia="Times New Roman" w:hAnsi="Simplified Arabic" w:cs="Simplified Arabic"/>
          <w:i/>
          <w:iCs/>
          <w:color w:val="1A1A1A"/>
          <w:sz w:val="28"/>
          <w:szCs w:val="28"/>
          <w14:ligatures w14:val="none"/>
        </w:rPr>
        <w:t>time-bound</w:t>
      </w:r>
      <w:r w:rsidRPr="00DD1558">
        <w:rPr>
          <w:rFonts w:ascii="Simplified Arabic" w:eastAsia="Times New Roman" w:hAnsi="Simplified Arabic" w:cs="Simplified Arabic"/>
          <w:color w:val="1A1A1A"/>
          <w:sz w:val="28"/>
          <w:szCs w:val="28"/>
          <w14:ligatures w14:val="none"/>
        </w:rPr>
        <w:t xml:space="preserve">: they are live only while the corresponding adoption phase is live, and each is discharged — not merely mitigated — when its readiness gate closes. Ratification delay ceases to threaten once G1 closes with policies ratified; data-onboarding risk is discharged at G2; pilot custody disputes at G3. Their mitigation logic is therefore gate logic: hold the checkpoint until the preconditions it names are demonstrably met. Operational risks (RR-07–RR-15), by contrast, are </w:t>
      </w:r>
      <w:r w:rsidRPr="00DD1558">
        <w:rPr>
          <w:rFonts w:ascii="Simplified Arabic" w:eastAsia="Times New Roman" w:hAnsi="Simplified Arabic" w:cs="Simplified Arabic"/>
          <w:i/>
          <w:iCs/>
          <w:color w:val="1A1A1A"/>
          <w:sz w:val="28"/>
          <w:szCs w:val="28"/>
          <w14:ligatures w14:val="none"/>
        </w:rPr>
        <w:t>standing</w:t>
      </w:r>
      <w:r w:rsidRPr="00DD1558">
        <w:rPr>
          <w:rFonts w:ascii="Simplified Arabic" w:eastAsia="Times New Roman" w:hAnsi="Simplified Arabic" w:cs="Simplified Arabic"/>
          <w:color w:val="1A1A1A"/>
          <w:sz w:val="28"/>
          <w:szCs w:val="28"/>
          <w14:ligatures w14:val="none"/>
        </w:rPr>
        <w:t xml:space="preserve">: they persist as long as the framework operates, because the threats they register are permanent properties of laboratory inventory work rather than of the transition to it. Their mitigation logic is barrier logic: continuous enforcement, monitored by the escalation-factor meta-controls and reviewed on the Board’s termly cadence. The register thus encodes the thesis’s sequencing claim in risk form — adoption risks are front-loaded and closable, while operational risks are perpetual and governable — and the Board’s termly review must be able to retire discharged transition entries without disturbing the standing operational core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{"citationID":"oA9BIzIt","properties":{"unsorted":false,"formattedCitation":"(Dean et al., 2024; 31000 ISO/IEC, 2018)","plainCitation":"(Dean et al., 2024; 31000 ISO/IEC, 2018)","noteIndex":0},"citationItems":[{"id":428,"uris":["http://zotero.org/users/19711126/items/QPV3FB5N"],"itemData":{"id":428,"type":"article-journal","abstract":"This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192F897E" w14:textId="486FEA1F" w:rsidR="00DD1558" w:rsidRPr="00DD1558" w:rsidRDefault="00DD1558" w:rsidP="00DD1558">
      <w:pPr>
        <w:bidi w:val="0"/>
        <w:spacing w:before="180" w:line="240" w:lineRule="auto"/>
        <w:jc w:val="both"/>
        <w:rPr>
          <w:rFonts w:ascii="Times New Roman" w:eastAsia="Times New Roman" w:hAnsi="Times New Roman" w:cs="Times New Roman"/>
          <w:color w:val="1A1A1A"/>
          <w:sz w:val="24"/>
          <w:szCs w:val="24"/>
          <w14:ligatures w14:val="none"/>
        </w:rPr>
      </w:pPr>
      <w:r w:rsidRPr="00DD1558">
        <w:rPr>
          <w:rFonts w:ascii="Simplified Arabic" w:eastAsia="Times New Roman" w:hAnsi="Simplified Arabic" w:cs="Simplified Arabic"/>
          <w:color w:val="1A1A1A"/>
          <w:sz w:val="28"/>
          <w:szCs w:val="28"/>
          <w14:ligatures w14:val="none"/>
        </w:rPr>
        <w:t xml:space="preserve">Three features of </w:t>
      </w:r>
      <w:hyperlink w:anchor="Table11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E25CEC">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E25CEC">
          <w:rPr>
            <w:rFonts w:ascii="Simplified Arabic" w:eastAsia="Times New Roman" w:hAnsi="Simplified Arabic" w:cs="Simplified Arabic"/>
            <w:color w:val="467886" w:themeColor="hyperlink"/>
            <w:sz w:val="28"/>
            <w:szCs w:val="28"/>
            <w:u w:val="single"/>
            <w14:ligatures w14:val="none"/>
          </w:rPr>
          <w:t>6</w:t>
        </w:r>
      </w:hyperlink>
      <w:r w:rsidRPr="00DD1558">
        <w:rPr>
          <w:rFonts w:ascii="Simplified Arabic" w:eastAsia="Times New Roman" w:hAnsi="Simplified Arabic" w:cs="Simplified Arabic"/>
          <w:color w:val="1A1A1A"/>
          <w:sz w:val="28"/>
          <w:szCs w:val="28"/>
          <w14:ligatures w14:val="none"/>
        </w:rPr>
        <w:t xml:space="preserve"> warrant emphasis. First, </w:t>
      </w:r>
      <w:r w:rsidRPr="00DD1558">
        <w:rPr>
          <w:rFonts w:ascii="Simplified Arabic" w:eastAsia="Times New Roman" w:hAnsi="Simplified Arabic" w:cs="Simplified Arabic"/>
          <w:b/>
          <w:bCs/>
          <w:color w:val="1A1A1A"/>
          <w:sz w:val="28"/>
          <w:szCs w:val="28"/>
          <w14:ligatures w14:val="none"/>
        </w:rPr>
        <w:t>traceability is complete in both directions</w:t>
      </w:r>
      <w:r w:rsidRPr="00DD1558">
        <w:rPr>
          <w:rFonts w:ascii="Simplified Arabic" w:eastAsia="Times New Roman" w:hAnsi="Simplified Arabic" w:cs="Simplified Arabic"/>
          <w:color w:val="1A1A1A"/>
          <w:sz w:val="28"/>
          <w:szCs w:val="28"/>
          <w14:ligatures w14:val="none"/>
        </w:rPr>
        <w:t xml:space="preserve">: every operational risk names a threatened barrier, and every barrier of Section 2 appears in at least one register row, so the register covers the entire Bow-Tie architecture rather than a selection of convenient entries; every transition risk, correspondingly, cites the change-literature theme that predicts it. Second, </w:t>
      </w:r>
      <w:r w:rsidRPr="00DD1558">
        <w:rPr>
          <w:rFonts w:ascii="Simplified Arabic" w:eastAsia="Times New Roman" w:hAnsi="Simplified Arabic" w:cs="Simplified Arabic"/>
          <w:b/>
          <w:bCs/>
          <w:color w:val="1A1A1A"/>
          <w:sz w:val="28"/>
          <w:szCs w:val="28"/>
          <w14:ligatures w14:val="none"/>
        </w:rPr>
        <w:t>technician assignments are execution-level only</w:t>
      </w:r>
      <w:r w:rsidRPr="00DD1558">
        <w:rPr>
          <w:rFonts w:ascii="Simplified Arabic" w:eastAsia="Times New Roman" w:hAnsi="Simplified Arabic" w:cs="Simplified Arabic"/>
          <w:color w:val="1A1A1A"/>
          <w:sz w:val="28"/>
          <w:szCs w:val="28"/>
          <w14:ligatures w14:val="none"/>
        </w:rPr>
        <w:t xml:space="preserve">: RR-08 and RR-10 place technicians at the operational surface of barriers whose failure is enacted at the shelf and the bench, but accountability for both rests with the custodian supervisor and the Unit, and no register row assigns a technician decision authority of any kind — the register is, in this respect, the risk-domain restatement of </w:t>
      </w:r>
      <w:hyperlink w:anchor="section415" w:history="1">
        <w:r w:rsidR="002C0C03" w:rsidRPr="00CD2E5F">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’s non-authority clause. Third, </w:t>
      </w:r>
      <w:r w:rsidRPr="00DD1558">
        <w:rPr>
          <w:rFonts w:ascii="Simplified Arabic" w:eastAsia="Times New Roman" w:hAnsi="Simplified Arabic" w:cs="Simplified Arabic"/>
          <w:b/>
          <w:bCs/>
          <w:color w:val="1A1A1A"/>
          <w:sz w:val="28"/>
          <w:szCs w:val="28"/>
          <w14:ligatures w14:val="none"/>
        </w:rPr>
        <w:t>no row contains a number</w:t>
      </w:r>
      <w:r w:rsidRPr="00DD1558">
        <w:rPr>
          <w:rFonts w:ascii="Simplified Arabic" w:eastAsia="Times New Roman" w:hAnsi="Simplified Arabic" w:cs="Simplified Arabic"/>
          <w:color w:val="1A1A1A"/>
          <w:sz w:val="28"/>
          <w:szCs w:val="28"/>
          <w14:ligatures w14:val="none"/>
        </w:rPr>
        <w:t xml:space="preserve">: priority is expressed in the verbally defined bands of </w:t>
      </w:r>
      <w:hyperlink w:anchor="Section4313" w:history="1">
        <w:r w:rsidRPr="00DD1558">
          <w:rPr>
            <w:rFonts w:ascii="Simplified Arabic" w:eastAsia="Times New Roman" w:hAnsi="Simplified Arabic" w:cs="Simplified Arabic"/>
            <w:color w:val="467886" w:themeColor="hyperlink"/>
            <w:sz w:val="28"/>
            <w:szCs w:val="28"/>
            <w:u w:val="single"/>
            <w14:ligatures w14:val="none"/>
          </w:rPr>
          <w:t>Section 4.3.1.3</w:t>
        </w:r>
      </w:hyperlink>
      <w:r w:rsidRPr="00DD1558">
        <w:rPr>
          <w:rFonts w:ascii="Simplified Arabic" w:eastAsia="Times New Roman" w:hAnsi="Simplified Arabic" w:cs="Simplified Arabic"/>
          <w:color w:val="1A1A1A"/>
          <w:sz w:val="28"/>
          <w:szCs w:val="28"/>
          <w14:ligatures w14:val="none"/>
        </w:rPr>
        <w:t xml:space="preserve">, each </w:t>
      </w:r>
      <w:r w:rsidRPr="00DD1558">
        <w:rPr>
          <w:rFonts w:ascii="Simplified Arabic" w:eastAsia="Times New Roman" w:hAnsi="Simplified Arabic" w:cs="Simplified Arabic"/>
          <w:color w:val="1A1A1A"/>
          <w:sz w:val="28"/>
          <w:szCs w:val="28"/>
          <w14:ligatures w14:val="none"/>
        </w:rPr>
        <w:lastRenderedPageBreak/>
        <w:t xml:space="preserve">with a stated rationale, preserving the register’s character as a qualitative governance instrument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{"citationID":"4p8Wssog","properties":{"unsorted":false,"formattedCitation":"(Hopkin, 2018; 31000 ISO/IEC, 2018)","plainCitation":"(Hopkin, 2018; 31000 ISO/IEC,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FBA7752"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63" w:name="section434"/>
      <w:bookmarkStart w:id="164" w:name="_Toc237539769"/>
      <w:bookmarkEnd w:id="163"/>
      <w:r w:rsidRPr="00DD1558">
        <w:rPr>
          <w:rFonts w:ascii="Simplified Arabic" w:eastAsiaTheme="majorEastAsia" w:hAnsi="Simplified Arabic" w:cstheme="majorBidi"/>
          <w:sz w:val="28"/>
          <w:szCs w:val="28"/>
        </w:rPr>
        <w:t>4.3.4 Mitigation Architecture and Residual-Risk Logic</w:t>
      </w:r>
      <w:bookmarkEnd w:id="164"/>
    </w:p>
    <w:p w14:paraId="3F8068BE"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4.3.4.1 How the mitigation set reinforces the barrier architecture</w:t>
      </w:r>
    </w:p>
    <w:p w14:paraId="3C3F26B4" w14:textId="0E3A796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Read as a whole, the register’s mitigation column is not a list of fifteen independent responses but a reinforcement scheme for the barrier architecture of </w:t>
      </w:r>
      <w:hyperlink w:anchor="section293" w:history="1">
        <w:r w:rsidR="009D553E" w:rsidRPr="00CD2E5F">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 xml:space="preserve">, organized in three layers. The </w:t>
      </w:r>
      <w:r w:rsidRPr="00DD1558">
        <w:rPr>
          <w:rFonts w:ascii="Simplified Arabic" w:eastAsia="Times New Roman" w:hAnsi="Simplified Arabic" w:cs="Simplified Arabic"/>
          <w:b/>
          <w:bCs/>
          <w:color w:val="1A1A1A"/>
          <w:sz w:val="28"/>
          <w:szCs w:val="28"/>
          <w14:ligatures w14:val="none"/>
        </w:rPr>
        <w:t>first layer</w:t>
      </w:r>
      <w:r w:rsidRPr="00DD1558">
        <w:rPr>
          <w:rFonts w:ascii="Simplified Arabic" w:eastAsia="Times New Roman" w:hAnsi="Simplified Arabic" w:cs="Simplified Arabic"/>
          <w:color w:val="1A1A1A"/>
          <w:sz w:val="28"/>
          <w:szCs w:val="28"/>
          <w14:ligatures w14:val="none"/>
        </w:rPr>
        <w:t xml:space="preserve"> consists of direct barrier reinforcement: where a risk targets a specific barrier, its mitigation strengthens that barrier’s specification or enforcement — the FEFO standard’s labeling and flagging thresholds against RR-08, the Unit’s verification power against RR-07, the custody-transfer artifacts against RR-06 and RR-10. The </w:t>
      </w:r>
      <w:r w:rsidRPr="00DD1558">
        <w:rPr>
          <w:rFonts w:ascii="Simplified Arabic" w:eastAsia="Times New Roman" w:hAnsi="Simplified Arabic" w:cs="Simplified Arabic"/>
          <w:b/>
          <w:bCs/>
          <w:color w:val="1A1A1A"/>
          <w:sz w:val="28"/>
          <w:szCs w:val="28"/>
          <w14:ligatures w14:val="none"/>
        </w:rPr>
        <w:t>second layer</w:t>
      </w:r>
      <w:r w:rsidRPr="00DD1558">
        <w:rPr>
          <w:rFonts w:ascii="Simplified Arabic" w:eastAsia="Times New Roman" w:hAnsi="Simplified Arabic" w:cs="Simplified Arabic"/>
          <w:color w:val="1A1A1A"/>
          <w:sz w:val="28"/>
          <w:szCs w:val="28"/>
          <w14:ligatures w14:val="none"/>
        </w:rPr>
        <w:t xml:space="preserve"> consists of the escalation-factor barriers operating as </w:t>
      </w:r>
      <w:r w:rsidRPr="00DD1558">
        <w:rPr>
          <w:rFonts w:ascii="Simplified Arabic" w:eastAsia="Times New Roman" w:hAnsi="Simplified Arabic" w:cs="Simplified Arabic"/>
          <w:i/>
          <w:iCs/>
          <w:color w:val="1A1A1A"/>
          <w:sz w:val="28"/>
          <w:szCs w:val="28"/>
          <w14:ligatures w14:val="none"/>
        </w:rPr>
        <w:t>meta-controls</w:t>
      </w:r>
      <w:r w:rsidRPr="00DD1558">
        <w:rPr>
          <w:rFonts w:ascii="Simplified Arabic" w:eastAsia="Times New Roman" w:hAnsi="Simplified Arabic" w:cs="Simplified Arabic"/>
          <w:color w:val="1A1A1A"/>
          <w:sz w:val="28"/>
          <w:szCs w:val="28"/>
          <w14:ligatures w14:val="none"/>
        </w:rPr>
        <w:t xml:space="preserve">: EB1 (audit cadence) is the control that catches enforcement failures across PB2, MB1, and the workflow rules generally, which is why RR-05, RR-07, RR-08, and RR-14 all terminate in the audit-and-review loop; EB2 (data-quality indicators) is the meta-control for the entire registry-dependent risk family (RR-03, RR-09), converting data integrity from an assumption into a monitored property; EB3 (custody-transfer protocol) is the meta-control for the loan-integrity family (RR-06, RR-10, RR-11), ensuring that when the sharing mechanism is stressed, the evidentiary basis for resolution already exists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{"citationID":"H4HKthLv","properties":{"unsorted":false,"formattedCitation":"(Johnson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w:t>
      </w:r>
      <w:r w:rsidRPr="00DD1558">
        <w:rPr>
          <w:rFonts w:ascii="Simplified Arabic" w:eastAsia="Times New Roman" w:hAnsi="Simplified Arabic" w:cs="Simplified Arabic"/>
          <w:b/>
          <w:bCs/>
          <w:color w:val="1A1A1A"/>
          <w:sz w:val="28"/>
          <w:szCs w:val="28"/>
          <w14:ligatures w14:val="none"/>
        </w:rPr>
        <w:t>third layer</w:t>
      </w:r>
      <w:r w:rsidRPr="00DD1558">
        <w:rPr>
          <w:rFonts w:ascii="Simplified Arabic" w:eastAsia="Times New Roman" w:hAnsi="Simplified Arabic" w:cs="Simplified Arabic"/>
          <w:color w:val="1A1A1A"/>
          <w:sz w:val="28"/>
          <w:szCs w:val="28"/>
          <w14:ligatures w14:val="none"/>
        </w:rPr>
        <w:t xml:space="preserve"> consists of governance mechanisms that sit above individual barriers: the readiness gates G1–G4 defined in Section 4 hold RR-01, RR-03, RR-06, and RR-15 respectively, functioning as policy-controlled checkpoints that prevent a phase from beginning before its preconditions are demonstrably in place; and the Board’s termly review and annual management review supply the Plan–Do–Check–Act closure that converts one-off mitigations into a self-correcting system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{"citationID":"6OWDLGhx","properties":{"unsorted":false,"formattedCitation":"(14001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9.3, 10;</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{"citationID":"H7zXIfvS","properties":{"unsorted":false,"formattedCitation":"(22301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9.3, 10).</w:t>
      </w:r>
    </w:p>
    <w:p w14:paraId="5DBC8D86" w14:textId="198851D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This layered structure embodies the section’s central design claim: </w:t>
      </w:r>
      <w:r w:rsidRPr="00DD1558">
        <w:rPr>
          <w:rFonts w:ascii="Simplified Arabic" w:eastAsia="Times New Roman" w:hAnsi="Simplified Arabic" w:cs="Simplified Arabic"/>
          <w:b/>
          <w:bCs/>
          <w:color w:val="1A1A1A"/>
          <w:sz w:val="28"/>
          <w:szCs w:val="28"/>
          <w14:ligatures w14:val="none"/>
        </w:rPr>
        <w:t>mitigation in a governance framework is the enforcement of architecture, not the accumulation of precautions</w:t>
      </w:r>
      <w:r w:rsidRPr="00DD1558">
        <w:rPr>
          <w:rFonts w:ascii="Simplified Arabic" w:eastAsia="Times New Roman" w:hAnsi="Simplified Arabic" w:cs="Simplified Arabic"/>
          <w:color w:val="1A1A1A"/>
          <w:sz w:val="28"/>
          <w:szCs w:val="28"/>
          <w14:ligatures w14:val="none"/>
        </w:rPr>
        <w:t xml:space="preserve">. Each registered risk was generated by asking how a named barrier could fail; each mitigation answers by naming who reinforces that barrier, through which control, monitored by which meta-control. Nothing in the mitigation set is free-floating, and — by the same token — the mitigation set exposes the architecture’s load-bearing members: EB1 and EB2 carry the largest share of the register, and their failure (registered as RR-14 and RR-09 respectively) would degrade multiple barriers at once. These two meta-controls therefore warrant the most intensive standing attention, a conclusion the </w:t>
      </w:r>
      <w:hyperlink w:anchor="section417" w:history="1">
        <w:r w:rsidR="000F1211" w:rsidRPr="00CD2E5F">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 KPI dashboard operationalizes by assigning dedicated indicators to audit cadence adherence and registry data quality.</w:t>
      </w:r>
    </w:p>
    <w:p w14:paraId="258E281F"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theme="majorBidi"/>
          <w:i/>
          <w:iCs/>
          <w:sz w:val="28"/>
        </w:rPr>
        <w:t>4.3.4.2 Residual-risk statements</w:t>
      </w:r>
    </w:p>
    <w:p w14:paraId="59A5E9F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Mitigation reduces but never abolishes risk; the register’s intellectual honesty requires stating what remains after the mitigation set is applied, and why the residue is acceptable or monitorable. Residual-risk statements are qualitative, in keeping with the register’s method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{"citationID":"4umb0W2J","properties":{"unsorted":false,"formattedCitation":"(31000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D0D146D"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Residual enforcement risk (from RR-05, RR-07, RR-08).</w:t>
      </w:r>
      <w:r w:rsidRPr="00DD1558">
        <w:rPr>
          <w:rFonts w:ascii="Simplified Arabic" w:eastAsia="Cambria" w:hAnsi="Simplified Arabic" w:cs="Simplified Arabic"/>
          <w:color w:val="212121"/>
          <w:sz w:val="28"/>
          <w:szCs w:val="28"/>
          <w14:ligatures w14:val="none"/>
        </w:rPr>
        <w:t xml:space="preserve"> Even with audit cadence, some degree of informal practice will persist in any large decentralized institution; the residue is acceptable because it is </w:t>
      </w:r>
      <w:r w:rsidRPr="00DD1558">
        <w:rPr>
          <w:rFonts w:ascii="Simplified Arabic" w:eastAsia="Cambria" w:hAnsi="Simplified Arabic" w:cs="Simplified Arabic"/>
          <w:i/>
          <w:iCs/>
          <w:color w:val="212121"/>
          <w:sz w:val="28"/>
          <w:szCs w:val="28"/>
          <w14:ligatures w14:val="none"/>
        </w:rPr>
        <w:t>detectable</w:t>
      </w:r>
      <w:r w:rsidRPr="00DD1558">
        <w:rPr>
          <w:rFonts w:ascii="Simplified Arabic" w:eastAsia="Cambria" w:hAnsi="Simplified Arabic" w:cs="Simplified Arabic"/>
          <w:color w:val="212121"/>
          <w:sz w:val="28"/>
          <w:szCs w:val="28"/>
          <w14:ligatures w14:val="none"/>
        </w:rPr>
        <w:t xml:space="preserve"> — EB1 surfaces it at termly intervals before it compounds into barrier failure — and because the framework’s design minimizes the burden that drives informality. The Board accepts this residue as a standing condition to be monitored, not a defect to be eliminated once.</w:t>
      </w:r>
    </w:p>
    <w:p w14:paraId="09D56AD3"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Residual data risk (from RR-03, RR-09).</w:t>
      </w:r>
      <w:r w:rsidRPr="00DD1558">
        <w:rPr>
          <w:rFonts w:ascii="Simplified Arabic" w:eastAsia="Cambria" w:hAnsi="Simplified Arabic" w:cs="Simplified Arabic"/>
          <w:color w:val="212121"/>
          <w:sz w:val="28"/>
          <w:szCs w:val="28"/>
          <w14:ligatures w14:val="none"/>
        </w:rPr>
        <w:t xml:space="preserve"> Perfect registry currency is unattainable in an operational environment; the residue is monitorable because EB2 makes divergence between records and stock a measured property with defined thresholds, </w:t>
      </w:r>
      <w:r w:rsidRPr="00DD1558">
        <w:rPr>
          <w:rFonts w:ascii="Simplified Arabic" w:eastAsia="Cambria" w:hAnsi="Simplified Arabic" w:cs="Simplified Arabic"/>
          <w:color w:val="212121"/>
          <w:sz w:val="28"/>
          <w:szCs w:val="28"/>
          <w14:ligatures w14:val="none"/>
        </w:rPr>
        <w:lastRenderedPageBreak/>
        <w:t>and the Unit’s certification power prevents decisions from being taken on visibly degraded data.</w:t>
      </w:r>
    </w:p>
    <w:p w14:paraId="5B6FD03B"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Residual sharing risk (from RR-06, RR-10, RR-11).</w:t>
      </w:r>
      <w:r w:rsidRPr="00DD1558">
        <w:rPr>
          <w:rFonts w:ascii="Simplified Arabic" w:eastAsia="Cambria" w:hAnsi="Simplified Arabic" w:cs="Simplified Arabic"/>
          <w:color w:val="212121"/>
          <w:sz w:val="28"/>
          <w:szCs w:val="28"/>
          <w14:ligatures w14:val="none"/>
        </w:rPr>
        <w:t xml:space="preserve"> Some loan events will still produce damage, delay, or conflict; the residue is acceptable because each event is bounded by the liability principle, resolvable through the escalation ladder, and informative — aggregate records refine loan limits and terms at Board review. The alternative residue, zero sharing, is precisely the underutilization pathology (TE2) the framework exists to cure, so a monitored non-zero loan-incident rate is the rational acceptance position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{"citationID":"TY4WC0Nh","properties":{"unsorted":false,"formattedCitation":"(X. Wang &amp; Qu, 2025; Zhu &amp; Liu, 2021)","plainCitation":"(X. Wang &amp; Qu, 2025; Zhu &amp; Liu, 2021)","noteIndex":0},"citationItems":[{"id":527,"uris":["http://zotero.org/users/19711126/items/YRGFL3RX"],"itemData":{"id":527,"type":"article-journal","abstract":"Over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Cambria" w:hAnsi="Cambria" w:cs="Cambria"/>
          <w:color w:val="212121"/>
          <w:sz w:val="28"/>
          <w:szCs w:val="28"/>
          <w14:ligatures w14:val="none"/>
        </w:rPr>
        <w:instrText>α</w:instrText>
      </w:r>
      <w:r w:rsidRPr="00DD1558">
        <w:rPr>
          <w:rFonts w:ascii="Simplified Arabic" w:eastAsia="Cambria" w:hAnsi="Simplified Arabic" w:cs="Simplified Arabic"/>
          <w:color w:val="212121"/>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Cambria" w:hAnsi="Times New Roman" w:cs="Times New Roman"/>
          <w:color w:val="212121"/>
          <w:sz w:val="28"/>
          <w:szCs w:val="28"/>
          <w14:ligatures w14:val="none"/>
        </w:rPr>
        <w:instrText> </w:instrText>
      </w:r>
      <w:r w:rsidRPr="00DD1558">
        <w:rPr>
          <w:rFonts w:ascii="Simplified Arabic" w:eastAsia="Cambria" w:hAnsi="Simplified Arabic" w:cs="Simplified Arabic"/>
          <w:color w:val="212121"/>
          <w:sz w:val="28"/>
          <w:szCs w:val="28"/>
          <w14:ligatures w14:val="none"/>
        </w:rPr>
        <w:instrText>&gt;</w:instrText>
      </w:r>
      <w:r w:rsidRPr="00DD1558">
        <w:rPr>
          <w:rFonts w:ascii="Times New Roman" w:eastAsia="Cambria" w:hAnsi="Times New Roman" w:cs="Times New Roman"/>
          <w:color w:val="212121"/>
          <w:sz w:val="28"/>
          <w:szCs w:val="28"/>
          <w14:ligatures w14:val="none"/>
        </w:rPr>
        <w:instrText> </w:instrText>
      </w:r>
      <w:r w:rsidRPr="00DD1558">
        <w:rPr>
          <w:rFonts w:ascii="Simplified Arabic" w:eastAsia="Cambria" w:hAnsi="Simplified Arabic" w:cs="Simplified Arabic"/>
          <w:color w:val="212121"/>
          <w:sz w:val="28"/>
          <w:szCs w:val="28"/>
          <w14:ligatures w14:val="none"/>
        </w:rPr>
        <w:instrText xml:space="preserve">200% growth in total use-time, leading to a decline in average mutual information (AMI) and suboptimal </w:instrText>
      </w:r>
      <w:r w:rsidRPr="00DD1558">
        <w:rPr>
          <w:rFonts w:ascii="Cambria" w:eastAsia="Cambria" w:hAnsi="Cambria" w:cs="Cambria"/>
          <w:color w:val="212121"/>
          <w:sz w:val="28"/>
          <w:szCs w:val="28"/>
          <w14:ligatures w14:val="none"/>
        </w:rPr>
        <w:instrText>α</w:instrText>
      </w:r>
      <w:r w:rsidRPr="00DD1558">
        <w:rPr>
          <w:rFonts w:ascii="Simplified Arabic" w:eastAsia="Cambria" w:hAnsi="Simplified Arabic" w:cs="Simplified Arabic"/>
          <w:color w:val="212121"/>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Cambria" w:hAnsi="Cambria" w:cs="Cambria"/>
          <w:color w:val="212121"/>
          <w:sz w:val="28"/>
          <w:szCs w:val="28"/>
          <w14:ligatures w14:val="none"/>
        </w:rPr>
        <w:instrText>α</w:instrText>
      </w:r>
      <w:r w:rsidRPr="00DD1558">
        <w:rPr>
          <w:rFonts w:ascii="Simplified Arabic" w:eastAsia="Cambria" w:hAnsi="Simplified Arabic" w:cs="Simplified Arabic"/>
          <w:color w:val="212121"/>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(X. Wang &amp; Qu, 2025; Zhu &amp; Liu,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6B944E62"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Residual external risk (R and M* categories).</w:t>
      </w:r>
      <w:r w:rsidRPr="00DD1558">
        <w:rPr>
          <w:rFonts w:ascii="Simplified Arabic" w:eastAsia="Cambria" w:hAnsi="Simplified Arabic" w:cs="Simplified Arabic"/>
          <w:color w:val="212121"/>
          <w:sz w:val="28"/>
          <w:szCs w:val="28"/>
          <w14:ligatures w14:val="none"/>
        </w:rPr>
        <w:t xml:space="preserve"> Reputational and service-environment exposure cannot be controlled directly; the residue is managed through the internal controls that prevent waste incidents and teaching disruption, through the monitoring and evaluation-of-compliance functions of ISO 14001:2015 clause 9.1.2, and through USR practice that keeps public sustainability claims anchored to audited operations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{"citationID":"lBcdvpWc","properties":{"unsorted":false,"formattedCitation":"(Ali et al., 2021; Ceulemans et al., 2015; Lakhno, 2024)","plainCitation":"(Ali et al., 2021; Ceulemans et al., 2015; Lakhno, 2024)","noteIndex":0},"citationItems":[{"id":399,"uris":["http://zotero.org/users/19711126/items/BYHJP3NR"],"itemData":{"id":399,"type":"article-journal","abstract":"The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(Ali et al., 2021; Ceulemans et al., 2015; Lakhno, 2024)</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338FF578"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bookmarkStart w:id="165" w:name="section4343"/>
      <w:bookmarkEnd w:id="165"/>
      <w:r w:rsidRPr="00DD1558">
        <w:rPr>
          <w:rFonts w:ascii="Simplified Arabic" w:eastAsiaTheme="majorEastAsia" w:hAnsi="Simplified Arabic" w:cstheme="majorBidi"/>
          <w:i/>
          <w:iCs/>
          <w:sz w:val="28"/>
        </w:rPr>
        <w:t>4.3.4.3 Standards alignment of the register and its maintenance</w:t>
      </w:r>
    </w:p>
    <w:p w14:paraId="34C8DDC7" w14:textId="4BCF72E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register’s construction and maintenance align explicitly with the two anchor standards’ planning clauses. ISO 14001:2015 clause 6.1 requires the management system to determine risks and opportunities related to its environmental aspects, compliance obligations, and context, and to plan actions to address them: the register’s I- and R-classified entries — expiry clusters, disposal nonconformity, audit-finding recurrence — are exactly such risk determinations for the framework’s significant environmental aspects, and their mitigations are the planned actions clause 6.1 contemplates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{"citationID":"abG8CD4c","properties":{"unsorted":false,"formattedCitation":"(14001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ISO 22301:2019 clause 8.2.3 requires risk assessment to analyse, evaluate, and prioritize risks of disruption to prioritized activities: the register’s M</w:t>
      </w:r>
      <w:r w:rsidRPr="00DD1558">
        <w:rPr>
          <w:rFonts w:ascii="Simplified Arabic" w:eastAsia="Times New Roman" w:hAnsi="Simplified Arabic" w:cs="Simplified Arabic"/>
          <w:i/>
          <w:iCs/>
          <w:color w:val="1A1A1A"/>
          <w:sz w:val="28"/>
          <w:szCs w:val="28"/>
          <w14:ligatures w14:val="none"/>
        </w:rPr>
        <w:t xml:space="preserve">-classified entries and the continuity-relevant families (RR-09, RR-11) perform this function in qualitative form, </w:t>
      </w:r>
      <w:r w:rsidRPr="00DD1558">
        <w:rPr>
          <w:rFonts w:ascii="Simplified Arabic" w:eastAsia="Times New Roman" w:hAnsi="Simplified Arabic" w:cs="Simplified Arabic"/>
          <w:i/>
          <w:iCs/>
          <w:color w:val="1A1A1A"/>
          <w:sz w:val="28"/>
          <w:szCs w:val="28"/>
          <w14:ligatures w14:val="none"/>
        </w:rPr>
        <w:lastRenderedPageBreak/>
        <w:t xml:space="preserve">assessing disruption risks to scheduled practical teaching and time-sensitive research against the qualitative MTPD/RTO reasoning of </w:t>
      </w:r>
      <w:hyperlink w:anchor="section294" w:history="1">
        <w:r w:rsidR="009D553E" w:rsidRPr="00CD2E5F">
          <w:rPr>
            <w:rStyle w:val="Hyperlink"/>
            <w:rFonts w:ascii="Simplified Arabic" w:eastAsia="Times New Roman" w:hAnsi="Simplified Arabic" w:cs="Simplified Arabic"/>
            <w:i/>
            <w:iCs/>
            <w:sz w:val="28"/>
            <w:szCs w:val="28"/>
            <w14:ligatures w14:val="none"/>
          </w:rPr>
          <w:t>Section 2.9.4</w:t>
        </w:r>
      </w:hyperlink>
      <w:r w:rsidRPr="00DD1558">
        <w:rPr>
          <w:rFonts w:ascii="Simplified Arabic" w:eastAsia="Times New Roman" w:hAnsi="Simplified Arabic" w:cs="Simplified Arabic"/>
          <w:i/>
          <w:iCs/>
          <w:color w:val="1A1A1A"/>
          <w:sz w:val="28"/>
          <w:szCs w:val="28"/>
          <w14:ligatures w14:val="none"/>
        </w:rPr>
        <w:t xml:space="preserve"> — the framework adopts the clause’s </w:t>
      </w:r>
      <w:r w:rsidRPr="00DD1558">
        <w:rPr>
          <w:rFonts w:ascii="Simplified Arabic" w:eastAsia="Times New Roman" w:hAnsi="Simplified Arabic" w:cs="Simplified Arabic"/>
          <w:color w:val="1A1A1A"/>
          <w:sz w:val="28"/>
          <w:szCs w:val="28"/>
          <w14:ligatures w14:val="none"/>
        </w:rPr>
        <w:t xml:space="preserve">analogue*, not a certification claim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{"citationID":"4TKLHZH8","properties":{"unsorted":false,"formattedCitation":"(22301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In both alignments, the register substitutes qualitative barrier-relative judgment for the quantitative scoring the study’s methodology excludes, without surrendering the standards’ procedural discipline of identification, analysis, evaluation, treatment, and review.</w:t>
      </w:r>
    </w:p>
    <w:p w14:paraId="18F0E553" w14:textId="6A071E0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Finally, the register is specified as a </w:t>
      </w:r>
      <w:r w:rsidRPr="00DD1558">
        <w:rPr>
          <w:rFonts w:ascii="Simplified Arabic" w:eastAsia="Times New Roman" w:hAnsi="Simplified Arabic" w:cs="Simplified Arabic"/>
          <w:b/>
          <w:bCs/>
          <w:color w:val="1A1A1A"/>
          <w:sz w:val="28"/>
          <w:szCs w:val="28"/>
          <w14:ligatures w14:val="none"/>
        </w:rPr>
        <w:t>living artifact</w:t>
      </w:r>
      <w:r w:rsidRPr="00DD1558">
        <w:rPr>
          <w:rFonts w:ascii="Simplified Arabic" w:eastAsia="Times New Roman" w:hAnsi="Simplified Arabic" w:cs="Simplified Arabic"/>
          <w:color w:val="1A1A1A"/>
          <w:sz w:val="28"/>
          <w:szCs w:val="28"/>
          <w14:ligatures w14:val="none"/>
        </w:rPr>
        <w:t>, not a deliverable completed at design time. Ownership rests with the Board under its risk-register mandate (</w:t>
      </w:r>
      <w:hyperlink w:anchor="Section412" w:history="1">
        <w:r w:rsidR="002C0C03" w:rsidRPr="00CD2E5F">
          <w:rPr>
            <w:rStyle w:val="Hyperlink"/>
            <w:rFonts w:ascii="Simplified Arabic" w:eastAsia="Times New Roman" w:hAnsi="Simplified Arabic" w:cs="Simplified Arabic"/>
            <w:sz w:val="28"/>
            <w:szCs w:val="28"/>
            <w14:ligatures w14:val="none"/>
          </w:rPr>
          <w:t>Section 4.1.2</w:t>
        </w:r>
      </w:hyperlink>
      <w:r w:rsidRPr="00DD1558">
        <w:rPr>
          <w:rFonts w:ascii="Simplified Arabic" w:eastAsia="Times New Roman" w:hAnsi="Simplified Arabic" w:cs="Simplified Arabic"/>
          <w:color w:val="1A1A1A"/>
          <w:sz w:val="28"/>
          <w:szCs w:val="28"/>
          <w14:ligatures w14:val="none"/>
        </w:rPr>
        <w:t xml:space="preserve">); review occurs each academic term as standing Board business, at which band assignments are contested, mitigations are assessed for closure, and new entries are admitted through the same traceability rule (Bow-Tie pathway or documented change-literature theme) that governed construction. Two forward linkages are designed in. The register </w:t>
      </w:r>
      <w:r w:rsidRPr="00DD1558">
        <w:rPr>
          <w:rFonts w:ascii="Simplified Arabic" w:eastAsia="Times New Roman" w:hAnsi="Simplified Arabic" w:cs="Simplified Arabic"/>
          <w:b/>
          <w:bCs/>
          <w:color w:val="1A1A1A"/>
          <w:sz w:val="28"/>
          <w:szCs w:val="28"/>
          <w14:ligatures w14:val="none"/>
        </w:rPr>
        <w:t xml:space="preserve">feeds the </w:t>
      </w:r>
      <w:hyperlink w:anchor="section417" w:history="1">
        <w:r w:rsidR="000F1211" w:rsidRPr="00CD2E5F">
          <w:rPr>
            <w:rStyle w:val="Hyperlink"/>
            <w:rFonts w:ascii="Simplified Arabic" w:eastAsia="Times New Roman" w:hAnsi="Simplified Arabic" w:cs="Simplified Arabic"/>
            <w:b/>
            <w:bCs/>
            <w:sz w:val="28"/>
            <w:szCs w:val="28"/>
            <w14:ligatures w14:val="none"/>
          </w:rPr>
          <w:t>Section 4.1.7</w:t>
        </w:r>
      </w:hyperlink>
      <w:r w:rsidRPr="00DD1558">
        <w:rPr>
          <w:rFonts w:ascii="Simplified Arabic" w:eastAsia="Times New Roman" w:hAnsi="Simplified Arabic" w:cs="Simplified Arabic"/>
          <w:b/>
          <w:bCs/>
          <w:color w:val="1A1A1A"/>
          <w:sz w:val="28"/>
          <w:szCs w:val="28"/>
          <w14:ligatures w14:val="none"/>
        </w:rPr>
        <w:t xml:space="preserve"> KPI dashboard</w:t>
      </w:r>
      <w:r w:rsidRPr="00DD1558">
        <w:rPr>
          <w:rFonts w:ascii="Simplified Arabic" w:eastAsia="Times New Roman" w:hAnsi="Simplified Arabic" w:cs="Simplified Arabic"/>
          <w:color w:val="1A1A1A"/>
          <w:sz w:val="28"/>
          <w:szCs w:val="28"/>
          <w14:ligatures w14:val="none"/>
        </w:rPr>
        <w:t xml:space="preserve">: the escalation-factor meta-controls EB1 and EB2, identified here as load-bearing, appear there as audit-cadence-adherence and data-quality-conformity indicators, and every operational risk’s mitigation names the workflow evidence the dashboard monitors. The register also </w:t>
      </w:r>
      <w:r w:rsidRPr="00DD1558">
        <w:rPr>
          <w:rFonts w:ascii="Simplified Arabic" w:eastAsia="Times New Roman" w:hAnsi="Simplified Arabic" w:cs="Simplified Arabic"/>
          <w:b/>
          <w:bCs/>
          <w:color w:val="1A1A1A"/>
          <w:sz w:val="28"/>
          <w:szCs w:val="28"/>
          <w14:ligatures w14:val="none"/>
        </w:rPr>
        <w:t xml:space="preserve">feeds the </w:t>
      </w:r>
      <w:hyperlink w:anchor="Section416" w:history="1">
        <w:r w:rsidR="000F1211" w:rsidRPr="00CD2E5F">
          <w:rPr>
            <w:rStyle w:val="Hyperlink"/>
            <w:rFonts w:ascii="Simplified Arabic" w:eastAsia="Times New Roman" w:hAnsi="Simplified Arabic" w:cs="Simplified Arabic"/>
            <w:b/>
            <w:bCs/>
            <w:sz w:val="28"/>
            <w:szCs w:val="28"/>
            <w14:ligatures w14:val="none"/>
          </w:rPr>
          <w:t>Section 4.1.6</w:t>
        </w:r>
      </w:hyperlink>
      <w:r w:rsidRPr="00DD1558">
        <w:rPr>
          <w:rFonts w:ascii="Simplified Arabic" w:eastAsia="Times New Roman" w:hAnsi="Simplified Arabic" w:cs="Simplified Arabic"/>
          <w:b/>
          <w:bCs/>
          <w:color w:val="1A1A1A"/>
          <w:sz w:val="28"/>
          <w:szCs w:val="28"/>
          <w14:ligatures w14:val="none"/>
        </w:rPr>
        <w:t xml:space="preserve"> readiness gates</w:t>
      </w:r>
      <w:r w:rsidRPr="00DD1558">
        <w:rPr>
          <w:rFonts w:ascii="Simplified Arabic" w:eastAsia="Times New Roman" w:hAnsi="Simplified Arabic" w:cs="Simplified Arabic"/>
          <w:color w:val="1A1A1A"/>
          <w:sz w:val="28"/>
          <w:szCs w:val="28"/>
          <w14:ligatures w14:val="none"/>
        </w:rPr>
        <w:t xml:space="preserve">: G1 discharges RR-01, G2 discharges RR-03 and the competence component of RR-04, G3 tests RR-06 under controlled pilot conditions, and G4 holds RR-15 until organizational readiness is demonstrated. The risk register, the KPI dashboard, and the readiness gates thereby constitute a single governance loop — risks registered, mitigations enforced, performance monitored, phases gated — through which the framework’s maturity trajectory from Inform/Conform toward Perform is made auditable at every step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{"citationID":"8GLe7mc9","properties":{"unsorted":false,"formattedCitation":"(Hillson, D. A., 1997; 31000 ISO/IEC, 2018)","plainCitation":"(Hillson, D. A., 1997; 31000 ISO/IEC, 2018)","noteIndex":0},"citationItems":[{"id":540,"uris":["http://zotero.org/users/19711126/items/IB7NEYQH"],"itemData":{"id":540,"type":"report","title":"Towards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C9A664F" w14:textId="77777777" w:rsidR="00DD1558" w:rsidRPr="00DD1558" w:rsidRDefault="00DD1558" w:rsidP="00DD1558">
      <w:pPr>
        <w:keepNext/>
        <w:keepLines/>
        <w:bidi w:val="0"/>
        <w:spacing w:before="160" w:after="80"/>
        <w:outlineLvl w:val="1"/>
        <w:rPr>
          <w:rFonts w:ascii="Simplified Arabic" w:eastAsiaTheme="majorEastAsia" w:hAnsi="Simplified Arabic" w:cs="Simplified Arabic"/>
          <w:b/>
          <w:sz w:val="28"/>
          <w:szCs w:val="28"/>
        </w:rPr>
      </w:pPr>
      <w:bookmarkStart w:id="166" w:name="section44"/>
      <w:bookmarkStart w:id="167" w:name="_Toc237539770"/>
      <w:bookmarkEnd w:id="166"/>
      <w:r w:rsidRPr="00DD1558">
        <w:rPr>
          <w:rFonts w:ascii="Simplified Arabic" w:eastAsiaTheme="majorEastAsia" w:hAnsi="Simplified Arabic" w:cs="Simplified Arabic"/>
          <w:b/>
          <w:sz w:val="28"/>
          <w:szCs w:val="28"/>
        </w:rPr>
        <w:t xml:space="preserve">4.4 </w:t>
      </w:r>
      <w:r w:rsidRPr="00DD1558">
        <w:rPr>
          <w:rFonts w:ascii="Simplified Arabic" w:eastAsiaTheme="majorEastAsia" w:hAnsi="Simplified Arabic" w:cstheme="majorBidi"/>
          <w:b/>
          <w:sz w:val="28"/>
          <w:szCs w:val="32"/>
        </w:rPr>
        <w:t>Key Performance Indicators &amp; Governance Dashboard</w:t>
      </w:r>
      <w:bookmarkEnd w:id="167"/>
    </w:p>
    <w:p w14:paraId="7A53D7A3" w14:textId="2F4008F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Section 4 concluded that the participatory inventory framework is conditionally feasible, its conditions consolidated into the readiness gates G1–G4; </w:t>
      </w:r>
      <w:hyperlink w:anchor="section292" w:history="1">
        <w:r w:rsidR="000A422D" w:rsidRPr="00CD2E5F">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registered the risks </w:t>
      </w:r>
      <w:r w:rsidRPr="00DD1558">
        <w:rPr>
          <w:rFonts w:ascii="Simplified Arabic" w:eastAsia="Times New Roman" w:hAnsi="Simplified Arabic" w:cs="Simplified Arabic"/>
          <w:color w:val="1A1A1A"/>
          <w:sz w:val="28"/>
          <w:szCs w:val="28"/>
          <w14:ligatures w14:val="none"/>
        </w:rPr>
        <w:lastRenderedPageBreak/>
        <w:t xml:space="preserve">that could defeat those conditions and the barriers they protect, identifying the escalation-factor barriers EB1 (audit cadence) and EB2 (data-quality indicators) as the load-bearing meta-controls of the architecture. What neither section provides is the instrument that makes barrier performance continuously visible: a defined set of key performance indicators (KPIs) and the governance dashboard through which they are reported, reviewed, and acted upon. The present section supplies that instrument. Consistent with the study’s binding methodology, every indicator is </w:t>
      </w:r>
      <w:r w:rsidRPr="00DD1558">
        <w:rPr>
          <w:rFonts w:ascii="Simplified Arabic" w:eastAsia="Times New Roman" w:hAnsi="Simplified Arabic" w:cs="Simplified Arabic"/>
          <w:i/>
          <w:iCs/>
          <w:color w:val="1A1A1A"/>
          <w:sz w:val="28"/>
          <w:szCs w:val="28"/>
          <w14:ligatures w14:val="none"/>
        </w:rPr>
        <w:t>defined</w:t>
      </w:r>
      <w:r w:rsidRPr="00DD1558">
        <w:rPr>
          <w:rFonts w:ascii="Simplified Arabic" w:eastAsia="Times New Roman" w:hAnsi="Simplified Arabic" w:cs="Simplified Arabic"/>
          <w:color w:val="1A1A1A"/>
          <w:sz w:val="28"/>
          <w:szCs w:val="28"/>
          <w14:ligatures w14:val="none"/>
        </w:rPr>
        <w:t xml:space="preserve"> — measurement method, data source, owner, frequency, and directional target fully specified — while no numeric baseline, numeric target, or empirical result is asserted. </w:t>
      </w:r>
      <w:r w:rsidR="000B6195" w:rsidRPr="000B6195">
        <w:rPr>
          <w:rFonts w:ascii="Simplified Arabic" w:eastAsia="Times New Roman" w:hAnsi="Simplified Arabic" w:cs="Simplified Arabic"/>
          <w:color w:val="1A1A1A"/>
          <w:sz w:val="28"/>
          <w:szCs w:val="28"/>
          <w14:ligatures w14:val="none"/>
        </w:rPr>
        <w:t>The KPI set is a design artifact: it specifies what the science faculty within the host higher education institution will observe once the framework operates, so that the transition from the Managed/Normalized maturity band toward Perform is evidenced rather than assumed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{"citationID":"du6IVM2Q","properties":{"unsorted":false,"formattedCitation":"(Hillson, D. A., 1997; 14001 ISO/IEC, 2015; 22301 ISO/IEC, 2019)","plainCitation":"(Hillson, D. A., 1997; 14001 ISO/IEC, 2015; 22301 ISO/IEC, 2019)","noteIndex":0},"citationItems":[{"id":540,"uris":["http://zotero.org/users/19711126/items/IB7NEYQH"],"itemData":{"id":540,"type":"report","title":"Towards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D847AA0"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68" w:name="section441"/>
      <w:bookmarkStart w:id="169" w:name="_Toc237539771"/>
      <w:bookmarkEnd w:id="168"/>
      <w:r w:rsidRPr="00DD1558">
        <w:rPr>
          <w:rFonts w:ascii="Simplified Arabic" w:eastAsiaTheme="majorEastAsia" w:hAnsi="Simplified Arabic" w:cs="Simplified Arabic"/>
          <w:sz w:val="28"/>
          <w:szCs w:val="28"/>
        </w:rPr>
        <w:t>4.4</w:t>
      </w:r>
      <w:r w:rsidRPr="00DD1558">
        <w:rPr>
          <w:rFonts w:ascii="Simplified Arabic" w:eastAsiaTheme="majorEastAsia" w:hAnsi="Simplified Arabic" w:cstheme="majorBidi"/>
          <w:sz w:val="28"/>
          <w:szCs w:val="28"/>
        </w:rPr>
        <w:t>.1 Measurement Philosophy for a Qualitative Framework</w:t>
      </w:r>
      <w:bookmarkEnd w:id="169"/>
    </w:p>
    <w:p w14:paraId="5E615A6A"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Simplified Arabic"/>
          <w:i/>
          <w:iCs/>
          <w:sz w:val="28"/>
          <w:szCs w:val="28"/>
        </w:rPr>
        <w:t>4.4</w:t>
      </w:r>
      <w:r w:rsidRPr="00DD1558">
        <w:rPr>
          <w:rFonts w:ascii="Simplified Arabic" w:eastAsiaTheme="majorEastAsia" w:hAnsi="Simplified Arabic" w:cstheme="majorBidi"/>
          <w:i/>
          <w:iCs/>
          <w:sz w:val="28"/>
        </w:rPr>
        <w:t>.1.1 Indicators as policy instruments</w:t>
      </w:r>
    </w:p>
    <w:p w14:paraId="57D66BF3" w14:textId="505F59E0"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In an operating management system, indicators report on a past that has already occurred. In a design-phase framework, their function is different and prior: a KPI is a </w:t>
      </w:r>
      <w:r w:rsidRPr="00DD1558">
        <w:rPr>
          <w:rFonts w:ascii="Simplified Arabic" w:eastAsia="Times New Roman" w:hAnsi="Simplified Arabic" w:cs="Simplified Arabic"/>
          <w:i/>
          <w:iCs/>
          <w:color w:val="1A1A1A"/>
          <w:sz w:val="28"/>
          <w:szCs w:val="28"/>
          <w14:ligatures w14:val="none"/>
        </w:rPr>
        <w:t>policy instrument</w:t>
      </w:r>
      <w:r w:rsidRPr="00DD1558">
        <w:rPr>
          <w:rFonts w:ascii="Simplified Arabic" w:eastAsia="Times New Roman" w:hAnsi="Simplified Arabic" w:cs="Simplified Arabic"/>
          <w:color w:val="1A1A1A"/>
          <w:sz w:val="28"/>
          <w:szCs w:val="28"/>
          <w14:ligatures w14:val="none"/>
        </w:rPr>
        <w:t xml:space="preserve"> that makes barrier performance observable and auditable before any data exists. Defining an indicator commits the governance architecture — at design time, while commitments are cheap — to observing a named property, through a named method, by a named owner, on a named cadence. This commitment has three governance effects. First, it closes the escape route of unenforced policy (escalation factor EF1): a barrier whose performance no one must observe can decay silently — precisely the failure mode the escalation-factor layer exists to catch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{"citationID":"rChNeart","properties":{"unsorted":false,"formattedCitation":"(Johnson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it disciplines the framework’s claims: because the cost-avoidance and waste-reduction mechanisms of Sections </w:t>
      </w:r>
      <w:hyperlink w:anchor="section42" w:history="1">
        <w:r w:rsidRPr="00CD2E5F">
          <w:rPr>
            <w:rStyle w:val="Hyperlink"/>
            <w:rFonts w:ascii="Simplified Arabic" w:eastAsia="Times New Roman" w:hAnsi="Simplified Arabic" w:cs="Simplified Arabic"/>
            <w:sz w:val="28"/>
            <w:szCs w:val="28"/>
            <w14:ligatures w14:val="none"/>
          </w:rPr>
          <w:t>4</w:t>
        </w:r>
        <w:r w:rsidR="00CD2E5F" w:rsidRPr="00CD2E5F">
          <w:rPr>
            <w:rStyle w:val="Hyperlink"/>
            <w:rFonts w:ascii="Simplified Arabic" w:eastAsia="Times New Roman" w:hAnsi="Simplified Arabic" w:cs="Simplified Arabic"/>
            <w:sz w:val="28"/>
            <w:szCs w:val="28"/>
            <w14:ligatures w14:val="none"/>
          </w:rPr>
          <w:t>.2</w:t>
        </w:r>
      </w:hyperlink>
      <w:r w:rsidRPr="00DD1558">
        <w:rPr>
          <w:rFonts w:ascii="Simplified Arabic" w:eastAsia="Times New Roman" w:hAnsi="Simplified Arabic" w:cs="Simplified Arabic"/>
          <w:color w:val="1A1A1A"/>
          <w:sz w:val="28"/>
          <w:szCs w:val="28"/>
          <w14:ligatures w14:val="none"/>
        </w:rPr>
        <w:t xml:space="preserve"> and </w:t>
      </w:r>
      <w:hyperlink w:anchor="section43" w:history="1">
        <w:r w:rsidR="00CD2E5F" w:rsidRPr="00CD2E5F">
          <w:rPr>
            <w:rStyle w:val="Hyperlink"/>
            <w:rFonts w:ascii="Simplified Arabic" w:eastAsia="Times New Roman" w:hAnsi="Simplified Arabic" w:cs="Simplified Arabic"/>
            <w:sz w:val="28"/>
            <w:szCs w:val="28"/>
            <w14:ligatures w14:val="none"/>
          </w:rPr>
          <w:t>4.3</w:t>
        </w:r>
      </w:hyperlink>
      <w:r w:rsidRPr="00DD1558">
        <w:rPr>
          <w:rFonts w:ascii="Simplified Arabic" w:eastAsia="Times New Roman" w:hAnsi="Simplified Arabic" w:cs="Simplified Arabic"/>
          <w:color w:val="1A1A1A"/>
          <w:sz w:val="28"/>
          <w:szCs w:val="28"/>
          <w14:ligatures w14:val="none"/>
        </w:rPr>
        <w:t xml:space="preserve"> are structural rather than measured, credibility depends on specifying </w:t>
      </w:r>
      <w:r w:rsidRPr="00DD1558">
        <w:rPr>
          <w:rFonts w:ascii="Simplified Arabic" w:eastAsia="Times New Roman" w:hAnsi="Simplified Arabic" w:cs="Simplified Arabic"/>
          <w:i/>
          <w:iCs/>
          <w:color w:val="1A1A1A"/>
          <w:sz w:val="28"/>
          <w:szCs w:val="28"/>
          <w14:ligatures w14:val="none"/>
        </w:rPr>
        <w:lastRenderedPageBreak/>
        <w:t>how</w:t>
      </w:r>
      <w:r w:rsidRPr="00DD1558">
        <w:rPr>
          <w:rFonts w:ascii="Simplified Arabic" w:eastAsia="Times New Roman" w:hAnsi="Simplified Arabic" w:cs="Simplified Arabic"/>
          <w:color w:val="1A1A1A"/>
          <w:sz w:val="28"/>
          <w:szCs w:val="28"/>
          <w14:ligatures w14:val="none"/>
        </w:rPr>
        <w:t xml:space="preserve"> the institution would know whether each mechanism works once adopted. Third, it converts the audit cadence (EB1) from a calendar of meetings into an evidence-driven review, since the dashboard gives the Board’s termly sessions determinate content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{"citationID":"hXWyPRe5","properties":{"unsorted":false,"formattedCitation":"(14001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{"citationID":"B9O3Q7Xf","properties":{"unsorted":false,"formattedCitation":"(22301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9.3).</w:t>
      </w:r>
    </w:p>
    <w:p w14:paraId="57F82224" w14:textId="3439327F"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This philosophy aligns with both anchor standards’ performance-evaluation clauses, adopted here by analogue. ISO 22301:2019 clause 9.1 requires the organization to determine what needs to be monitored and measured, the methods, the timing of analysis, and who is responsible; ISO 14001:2015 clause 9.1.1 imposes the parallel requirement, and clause 9.1.2 adds a distinct, periodic evaluation of compliance with the organization’s compliance obligations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{"citationID":"fqCEVIKd","properties":{"unsorted":false,"formattedCitation":"(14001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framework adopts this structure exactly: the KPI families of </w:t>
      </w:r>
      <w:hyperlink w:anchor="Section412" w:history="1">
        <w:r w:rsidR="000A422D" w:rsidRPr="00CD2E5F">
          <w:rPr>
            <w:rStyle w:val="Hyperlink"/>
            <w:rFonts w:ascii="Simplified Arabic" w:eastAsia="Times New Roman" w:hAnsi="Simplified Arabic" w:cs="Simplified Arabic"/>
            <w:sz w:val="28"/>
            <w:szCs w:val="28"/>
            <w14:ligatures w14:val="none"/>
          </w:rPr>
          <w:t>Section 4.1.2</w:t>
        </w:r>
      </w:hyperlink>
      <w:r w:rsidRPr="00DD1558">
        <w:rPr>
          <w:rFonts w:ascii="Simplified Arabic" w:eastAsia="Times New Roman" w:hAnsi="Simplified Arabic" w:cs="Simplified Arabic"/>
          <w:color w:val="1A1A1A"/>
          <w:sz w:val="28"/>
          <w:szCs w:val="28"/>
          <w14:ligatures w14:val="none"/>
        </w:rPr>
        <w:t>–</w:t>
      </w:r>
      <w:r w:rsidR="000A422D" w:rsidRPr="000A422D">
        <w:t xml:space="preserve"> </w:t>
      </w:r>
      <w:hyperlink w:anchor="Section414" w:history="1">
        <w:r w:rsidR="000A422D" w:rsidRPr="00CD2E5F">
          <w:rPr>
            <w:rStyle w:val="Hyperlink"/>
            <w:rFonts w:ascii="Simplified Arabic" w:eastAsia="Times New Roman" w:hAnsi="Simplified Arabic" w:cs="Simplified Arabic"/>
            <w:sz w:val="28"/>
            <w:szCs w:val="28"/>
            <w14:ligatures w14:val="none"/>
          </w:rPr>
          <w:t>Section 4.1.4</w:t>
        </w:r>
      </w:hyperlink>
      <w:r w:rsidR="000A422D">
        <w:rPr>
          <w:rFonts w:ascii="Simplified Arabic" w:eastAsia="Times New Roman" w:hAnsi="Simplified Arabic" w:cs="Simplified Arabic" w:hint="cs"/>
          <w:color w:val="1A1A1A"/>
          <w:sz w:val="28"/>
          <w:szCs w:val="28"/>
          <w:rtl/>
          <w14:ligatures w14:val="none"/>
        </w:rPr>
        <w:t xml:space="preserve"> </w:t>
      </w:r>
      <w:r w:rsidRPr="00DD1558">
        <w:rPr>
          <w:rFonts w:ascii="Simplified Arabic" w:eastAsia="Times New Roman" w:hAnsi="Simplified Arabic" w:cs="Simplified Arabic"/>
          <w:color w:val="1A1A1A"/>
          <w:sz w:val="28"/>
          <w:szCs w:val="28"/>
          <w14:ligatures w14:val="none"/>
        </w:rPr>
        <w:t xml:space="preserve">are the determined objects, the methods below the determined methods, and the </w:t>
      </w:r>
      <w:hyperlink w:anchor="section415" w:history="1">
        <w:r w:rsidR="000A422D" w:rsidRPr="00CD2E5F">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 cadence the determined timing. Consistent with the thesis’s terminology discipline, indicators concerning the management system itself are framed in the language of </w:t>
      </w:r>
      <w:r w:rsidRPr="00DD1558">
        <w:rPr>
          <w:rFonts w:ascii="Simplified Arabic" w:eastAsia="Times New Roman" w:hAnsi="Simplified Arabic" w:cs="Simplified Arabic"/>
          <w:i/>
          <w:iCs/>
          <w:color w:val="1A1A1A"/>
          <w:sz w:val="28"/>
          <w:szCs w:val="28"/>
          <w14:ligatures w14:val="none"/>
        </w:rPr>
        <w:t>conformity</w:t>
      </w:r>
      <w:r w:rsidRPr="00DD1558">
        <w:rPr>
          <w:rFonts w:ascii="Simplified Arabic" w:eastAsia="Times New Roman" w:hAnsi="Simplified Arabic" w:cs="Simplified Arabic"/>
          <w:color w:val="1A1A1A"/>
          <w:sz w:val="28"/>
          <w:szCs w:val="28"/>
          <w14:ligatures w14:val="none"/>
        </w:rPr>
        <w:t xml:space="preserve"> — ISO 14001:2015 being a voluntary standard — while </w:t>
      </w:r>
      <w:r w:rsidRPr="00DD1558">
        <w:rPr>
          <w:rFonts w:ascii="Simplified Arabic" w:eastAsia="Times New Roman" w:hAnsi="Simplified Arabic" w:cs="Simplified Arabic"/>
          <w:i/>
          <w:iCs/>
          <w:color w:val="1A1A1A"/>
          <w:sz w:val="28"/>
          <w:szCs w:val="28"/>
          <w14:ligatures w14:val="none"/>
        </w:rPr>
        <w:t>evaluation of compliance</w:t>
      </w:r>
      <w:r w:rsidRPr="00DD1558">
        <w:rPr>
          <w:rFonts w:ascii="Simplified Arabic" w:eastAsia="Times New Roman" w:hAnsi="Simplified Arabic" w:cs="Simplified Arabic"/>
          <w:color w:val="1A1A1A"/>
          <w:sz w:val="28"/>
          <w:szCs w:val="28"/>
          <w14:ligatures w14:val="none"/>
        </w:rPr>
        <w:t xml:space="preserve"> is reserved for obligations under applicable hazardous-substance and waste regulation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{"citationID":"b9grsGbu","properties":{"unsorted":false,"formattedCitation":"(14001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9.1.1, 9.1.2).</w:t>
      </w:r>
    </w:p>
    <w:p w14:paraId="6542A940"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Simplified Arabic"/>
          <w:i/>
          <w:iCs/>
          <w:sz w:val="28"/>
          <w:szCs w:val="28"/>
        </w:rPr>
        <w:t>4.4</w:t>
      </w:r>
      <w:r w:rsidRPr="00DD1558">
        <w:rPr>
          <w:rFonts w:ascii="Simplified Arabic" w:eastAsiaTheme="majorEastAsia" w:hAnsi="Simplified Arabic" w:cstheme="majorBidi"/>
          <w:i/>
          <w:iCs/>
          <w:sz w:val="28"/>
        </w:rPr>
        <w:t>.1.2 The definition-before-data principle</w:t>
      </w:r>
    </w:p>
    <w:p w14:paraId="4963E4DA" w14:textId="48A35B8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section’s governing methodological rule is the </w:t>
      </w:r>
      <w:r w:rsidRPr="00DD1558">
        <w:rPr>
          <w:rFonts w:ascii="Simplified Arabic" w:eastAsia="Times New Roman" w:hAnsi="Simplified Arabic" w:cs="Simplified Arabic"/>
          <w:b/>
          <w:bCs/>
          <w:color w:val="1A1A1A"/>
          <w:sz w:val="28"/>
          <w:szCs w:val="28"/>
          <w14:ligatures w14:val="none"/>
        </w:rPr>
        <w:t>definition-before-data principle</w:t>
      </w:r>
      <w:r w:rsidRPr="00DD1558">
        <w:rPr>
          <w:rFonts w:ascii="Simplified Arabic" w:eastAsia="Times New Roman" w:hAnsi="Simplified Arabic" w:cs="Simplified Arabic"/>
          <w:color w:val="1A1A1A"/>
          <w:sz w:val="28"/>
          <w:szCs w:val="28"/>
          <w14:ligatures w14:val="none"/>
        </w:rPr>
        <w:t xml:space="preserve">: a KPI is fully specified at design time, while its baseline is established only after onboarding in the implementation roadmap of </w:t>
      </w:r>
      <w:hyperlink w:anchor="Section416" w:history="1">
        <w:r w:rsidR="000F1211" w:rsidRPr="00CD2E5F">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Full specification comprises six elements, applied uniformly below: (1) a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of the property observed; (2) a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 a formula or structured observation protocol expressed qualitatively; (3) a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within the framework’s documented information, in the sense of clause 7.5 of both anchor standards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{"citationID":"txv4bkQm","properties":{"unsorted":false,"formattedCitation":"(14001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(4) an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from the </w:t>
      </w:r>
      <w:hyperlink w:anchor="section41" w:history="1">
        <w:r w:rsidRPr="00CD2E5F">
          <w:rPr>
            <w:rStyle w:val="Hyperlink"/>
            <w:rFonts w:ascii="Simplified Arabic" w:eastAsia="Times New Roman" w:hAnsi="Simplified Arabic" w:cs="Simplified Arabic"/>
            <w:sz w:val="28"/>
            <w:szCs w:val="28"/>
            <w14:ligatures w14:val="none"/>
          </w:rPr>
          <w:t xml:space="preserve">Section </w:t>
        </w:r>
        <w:r w:rsidR="00CD2E5F" w:rsidRPr="00CD2E5F">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governance architecture; (5) a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aligned to the academic term and </w:t>
      </w:r>
      <w:r w:rsidRPr="00DD1558">
        <w:rPr>
          <w:rFonts w:ascii="Simplified Arabic" w:eastAsia="Times New Roman" w:hAnsi="Simplified Arabic" w:cs="Simplified Arabic"/>
          <w:color w:val="1A1A1A"/>
          <w:sz w:val="28"/>
          <w:szCs w:val="28"/>
          <w14:ligatures w14:val="none"/>
        </w:rPr>
        <w:lastRenderedPageBreak/>
        <w:t xml:space="preserve">review cadence; and (6) a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Targets are directional only: </w:t>
      </w:r>
      <w:r w:rsidRPr="00DD1558">
        <w:rPr>
          <w:rFonts w:ascii="Simplified Arabic" w:eastAsia="Times New Roman" w:hAnsi="Simplified Arabic" w:cs="Simplified Arabic"/>
          <w:i/>
          <w:iCs/>
          <w:color w:val="1A1A1A"/>
          <w:sz w:val="28"/>
          <w:szCs w:val="28"/>
          <w14:ligatures w14:val="none"/>
        </w:rPr>
        <w:t>increase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decrease</w:t>
      </w:r>
      <w:r w:rsidRPr="00DD1558">
        <w:rPr>
          <w:rFonts w:ascii="Simplified Arabic" w:eastAsia="Times New Roman" w:hAnsi="Simplified Arabic" w:cs="Simplified Arabic"/>
          <w:color w:val="1A1A1A"/>
          <w:sz w:val="28"/>
          <w:szCs w:val="28"/>
          <w14:ligatures w14:val="none"/>
        </w:rPr>
        <w:t xml:space="preserve">, or </w:t>
      </w:r>
      <w:r w:rsidRPr="00DD1558">
        <w:rPr>
          <w:rFonts w:ascii="Simplified Arabic" w:eastAsia="Times New Roman" w:hAnsi="Simplified Arabic" w:cs="Simplified Arabic"/>
          <w:i/>
          <w:iCs/>
          <w:color w:val="1A1A1A"/>
          <w:sz w:val="28"/>
          <w:szCs w:val="28"/>
          <w14:ligatures w14:val="none"/>
        </w:rPr>
        <w:t>establish-then-improve</w:t>
      </w:r>
      <w:r w:rsidRPr="00DD1558">
        <w:rPr>
          <w:rFonts w:ascii="Simplified Arabic" w:eastAsia="Times New Roman" w:hAnsi="Simplified Arabic" w:cs="Simplified Arabic"/>
          <w:color w:val="1A1A1A"/>
          <w:sz w:val="28"/>
          <w:szCs w:val="28"/>
          <w14:ligatures w14:val="none"/>
        </w:rPr>
        <w:t xml:space="preserve"> (establish the baseline in the first operating periods, then pursue improvement against it). No numeric target is set, because no numeric evidence exists from which a defensible target could be derived; an invented target would be the fabricated precision the methodology excludes, and would preempt the management review’s proper role of setting quantitative objectives once operating data accumulates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{"citationID":"DjvrTaBL","properties":{"unsorted":false,"formattedCitation":"(14001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6.2;</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{"citationID":"DSzPA4j1","properties":{"unsorted":false,"formattedCitation":"(22301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6.2).</w:t>
      </w:r>
    </w:p>
    <w:p w14:paraId="184F488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principle has a further, maturity-specific justification. The framework’s trajectory — Inform/Conform toward Managed/Normalized toward Perform, the thesis’s adapted labels anchored to Hillson’s (1997) levels and the CMMI/ISO capability scale — defines Perform as measured, anticipatory, integrated practice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{"citationID":"JfE2ZO8j","properties":{"unsorted":false,"formattedCitation":"(Hillson,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That band cannot be claimed by assertion; it is claimed by producing an evidence base of monitored performance, reviewed findings, and closed corrective actions. The readiness literature confirms that such an evidence base, not technology acquisition, distinguishes institutions ready for advanced practice from those that merely aspire to 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{"citationID":"DLdzyT6Y","properties":{"unsorted":false,"formattedCitation":"(Bravo-Jaico et al., 2025; Rodr\\uc0\\u237{}guez-Abitia &amp; Bribiesca-Correa, 2021)","plainCitation":"(Bravo-Jaico et al., 2025; Rodríguez-Abitia &amp; Bribiesca-Correa, 2021)","noteIndex":0},"citationItems":[{"id":415,"uris":["http://zotero.org/users/19711126/items/V625ZYB8"],"itemData":{"id":415,"type":"article-journal","abstract":"In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(Bravo-Jaico et al., 2025;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KPI set is therefore the framework’s </w:t>
      </w:r>
      <w:r w:rsidRPr="00DD1558">
        <w:rPr>
          <w:rFonts w:ascii="Simplified Arabic" w:eastAsia="Times New Roman" w:hAnsi="Simplified Arabic" w:cs="Simplified Arabic"/>
          <w:i/>
          <w:iCs/>
          <w:color w:val="1A1A1A"/>
          <w:sz w:val="28"/>
          <w:szCs w:val="28"/>
          <w14:ligatures w14:val="none"/>
        </w:rPr>
        <w:t>maturity instrument</w:t>
      </w:r>
      <w:r w:rsidRPr="00DD1558">
        <w:rPr>
          <w:rFonts w:ascii="Simplified Arabic" w:eastAsia="Times New Roman" w:hAnsi="Simplified Arabic" w:cs="Simplified Arabic"/>
          <w:color w:val="1A1A1A"/>
          <w:sz w:val="28"/>
          <w:szCs w:val="28"/>
          <w14:ligatures w14:val="none"/>
        </w:rPr>
        <w:t>: the dashboard is what the Managed/Normalized-to-Perform transition looks like when made observable.</w:t>
      </w:r>
    </w:p>
    <w:p w14:paraId="349F1C65"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70" w:name="section442"/>
      <w:bookmarkStart w:id="171" w:name="_Toc237539772"/>
      <w:bookmarkEnd w:id="170"/>
      <w:r w:rsidRPr="00DD1558">
        <w:rPr>
          <w:rFonts w:ascii="Simplified Arabic" w:eastAsiaTheme="majorEastAsia" w:hAnsi="Simplified Arabic" w:cs="Simplified Arabic"/>
          <w:sz w:val="28"/>
          <w:szCs w:val="28"/>
        </w:rPr>
        <w:t>4.4</w:t>
      </w:r>
      <w:r w:rsidRPr="00DD1558">
        <w:rPr>
          <w:rFonts w:ascii="Simplified Arabic" w:eastAsiaTheme="majorEastAsia" w:hAnsi="Simplified Arabic" w:cstheme="majorBidi"/>
          <w:sz w:val="28"/>
          <w:szCs w:val="28"/>
        </w:rPr>
        <w:t>.2 Operational Efficiency KPIs</w:t>
      </w:r>
      <w:bookmarkEnd w:id="171"/>
    </w:p>
    <w:p w14:paraId="571119FE" w14:textId="0013D7C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operational family monitors the framework’s productive mechanisms — sharing, lending, rotation, and purchase displacement — that is, the pathways by which the design converts policy into avoided waste. Each indicator is specified below and mapped to the barrier it monitors and to the risk register entries of </w:t>
      </w:r>
      <w:hyperlink w:anchor="section292" w:history="1">
        <w:r w:rsidR="000A422D" w:rsidRPr="00CD2E5F">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w:t>
      </w:r>
      <w:hyperlink w:anchor="Table11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E25CEC">
          <w:rPr>
            <w:rFonts w:ascii="Simplified Arabic" w:eastAsia="Times New Roman" w:hAnsi="Simplified Arabic" w:cs="Simplified Arabic"/>
            <w:color w:val="467886" w:themeColor="hyperlink"/>
            <w:sz w:val="28"/>
            <w:szCs w:val="28"/>
            <w:u w:val="single"/>
            <w14:ligatures w14:val="none"/>
          </w:rPr>
          <w:t>4</w:t>
        </w:r>
        <w:r w:rsidRPr="00DD1558">
          <w:rPr>
            <w:rFonts w:ascii="Simplified Arabic" w:eastAsia="Times New Roman" w:hAnsi="Simplified Arabic" w:cs="Simplified Arabic"/>
            <w:color w:val="467886" w:themeColor="hyperlink"/>
            <w:sz w:val="28"/>
            <w:szCs w:val="28"/>
            <w:u w:val="single"/>
            <w14:ligatures w14:val="none"/>
          </w:rPr>
          <w:t>.</w:t>
        </w:r>
        <w:r w:rsidR="00E25CEC">
          <w:rPr>
            <w:rFonts w:ascii="Simplified Arabic" w:eastAsia="Times New Roman" w:hAnsi="Simplified Arabic" w:cs="Simplified Arabic"/>
            <w:color w:val="467886" w:themeColor="hyperlink"/>
            <w:sz w:val="28"/>
            <w:szCs w:val="28"/>
            <w:u w:val="single"/>
            <w14:ligatures w14:val="none"/>
          </w:rPr>
          <w:t>6</w:t>
        </w:r>
      </w:hyperlink>
      <w:r w:rsidRPr="00DD1558">
        <w:rPr>
          <w:rFonts w:ascii="Simplified Arabic" w:eastAsia="Times New Roman" w:hAnsi="Simplified Arabic" w:cs="Simplified Arabic"/>
          <w:color w:val="1A1A1A"/>
          <w:sz w:val="28"/>
          <w:szCs w:val="28"/>
          <w14:ligatures w14:val="none"/>
        </w:rPr>
        <w:t>) it informs.</w:t>
      </w:r>
    </w:p>
    <w:p w14:paraId="461F142B" w14:textId="4901CB2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KPI-O1 — Shared asset utilization indicator.</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to which loanable assets held in custodian holdings realize use across laboratories, as evidenced by executed </w:t>
      </w:r>
      <w:r w:rsidRPr="00DD1558">
        <w:rPr>
          <w:rFonts w:ascii="Simplified Arabic" w:eastAsia="Times New Roman" w:hAnsi="Simplified Arabic" w:cs="Simplified Arabic"/>
          <w:color w:val="1A1A1A"/>
          <w:sz w:val="28"/>
          <w:szCs w:val="28"/>
          <w14:ligatures w14:val="none"/>
        </w:rPr>
        <w:lastRenderedPageBreak/>
        <w:t xml:space="preserve">inter-lab loans recorded against those holdings.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a structured comparison of the loan registry’s record of cross-laboratory usage events against the custodian holdings declared in the shared registry — a qualitative utilization reading expressed as the pattern and breadth of sharing activity across item classes and departments, not a computed ratio.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Digital Supply Chain Unit’s shared registry, in which every approved loan produces a registry-logged audit trail under the Inter-Lab Policy Framework (</w:t>
      </w:r>
      <w:hyperlink w:anchor="Section416" w:history="1">
        <w:r w:rsidR="002C0C03" w:rsidRPr="00CD2E5F">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(compilation); the Board (interpretation at termly review).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establish-then-improve — the first operating terms establish the utilization pattern; thereafter the Board seeks broadening utilization across item classes.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MB2 (inter-lab sharing/redistribution), whose effectiveness this indicator directly observes.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RR-10 (loan integrity failure) and RR-11 (custodian recall conflicts), since a utilization pattern collapsing toward zero signals that sharing frictions, not absent demand, are suppressing MB2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{"citationID":"5rBha9zc","properties":{"unsorted":false,"formattedCitation":"(Strom et al., 2020; X. Wang &amp; Qu, 2025)","plainCitation":"(Strom et al., 2020; X. Wang &amp; Qu,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15588DE" w14:textId="1C52EBE5"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KPI-O2 — Inter-lab loan cycle-time indicator.</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elapsed duration of the loan workflow, read in two segments — request-to-approval and handover-to-return — as recorded in workflow timestamps.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qualitative reading of the registry’s timestamped workflow states (request lodged; custodian decision; custody acknowledgment; return-condition check; closure), identifying where durations concentrate and whether any segment lengthens across successive terms. No numeric thresholds are set; the method detects </w:t>
      </w:r>
      <w:r w:rsidRPr="00DD1558">
        <w:rPr>
          <w:rFonts w:ascii="Simplified Arabic" w:eastAsia="Times New Roman" w:hAnsi="Simplified Arabic" w:cs="Simplified Arabic"/>
          <w:i/>
          <w:iCs/>
          <w:color w:val="1A1A1A"/>
          <w:sz w:val="28"/>
          <w:szCs w:val="28"/>
          <w14:ligatures w14:val="none"/>
        </w:rPr>
        <w:t>trend and friction location</w:t>
      </w:r>
      <w:r w:rsidRPr="00DD1558">
        <w:rPr>
          <w:rFonts w:ascii="Simplified Arabic" w:eastAsia="Times New Roman" w:hAnsi="Simplified Arabic" w:cs="Simplified Arabic"/>
          <w:color w:val="1A1A1A"/>
          <w:sz w:val="28"/>
          <w:szCs w:val="28"/>
          <w14:ligatures w14:val="none"/>
        </w:rPr>
        <w:t xml:space="preserve"> — a lengthening request-to-approval segment indicates decision friction at custodian level, a lengthening handover-to-return segment custody friction in execution.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registry workflow logs generated by technician execution of the custody-transfer protocol.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(compilation); custodian departments (response where their segment lengthens).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decrease — cycle times should shorten as workflows routinize.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EB3 (custody-transfer protocol).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RR-06 (custody disputes during the </w:t>
      </w:r>
      <w:r w:rsidRPr="00DD1558">
        <w:rPr>
          <w:rFonts w:ascii="Simplified Arabic" w:eastAsia="Times New Roman" w:hAnsi="Simplified Arabic" w:cs="Simplified Arabic"/>
          <w:color w:val="1A1A1A"/>
          <w:sz w:val="28"/>
          <w:szCs w:val="28"/>
          <w14:ligatures w14:val="none"/>
        </w:rPr>
        <w:lastRenderedPageBreak/>
        <w:t>pilot) and RR-10 (overdue returns), both of which manifest first as segment lengthening before they manifest as incidents (</w:t>
      </w:r>
      <w:hyperlink w:anchor="section43" w:history="1">
        <w:r w:rsidR="0018617A" w:rsidRPr="00CD2E5F">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w:t>
      </w:r>
    </w:p>
    <w:p w14:paraId="39707EE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KPI-O3 — FEFO conformity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degree to which physical stock arrangement and issue practice conform to the Committee’s First-Expired-First-Out standard — earliest-expiring items positioned and issued first, expiry labels and date-marking present, expiry flags raised at the ratified thresholds.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structured shelf-audit observation against the FEFO standard’s checklist, executed within the EB1 audit cadence: auditors record conformities and nonconformities by category (arrangement, labeling, flagging), producing a conformity profile rather than a count.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shelf-audit records; technician expiry-flag entries in the registry.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custodian departments (execution-level conformity); the Board (review through EB1); technicians generate the underlying records through rotation and flagging but hold no ownership of the indicator.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each audit cycle.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MB1 (FEFO rotation rules).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RR-08 (FEFO drift) directly, and RR-12 (expiry clusters) informatively, since drift at the shelf is the upstream condition of cluster formation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{"citationID":"6o5eMJ2x","properties":{"unsorted":false,"formattedCitation":"(Durgan et al., 2023; Wilke et al., 2023)","plainCitation":"(Durgan et al., 2023; Wilke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BC1E825" w14:textId="0858720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KPI-O4 — Duplicate-purchase displacement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to which requisitions for loanable item classes are redirected to existing stock by the mandatory registry check — purchases that would have duplicated serviceable holdings and did not proceed because prevention barrier PB2 made the duplication visible.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review of documented eligibility checks and their outcomes: each Unit-certified check closes as </w:t>
      </w:r>
      <w:r w:rsidRPr="00DD1558">
        <w:rPr>
          <w:rFonts w:ascii="Simplified Arabic" w:eastAsia="Times New Roman" w:hAnsi="Simplified Arabic" w:cs="Simplified Arabic"/>
          <w:i/>
          <w:iCs/>
          <w:color w:val="1A1A1A"/>
          <w:sz w:val="28"/>
          <w:szCs w:val="28"/>
          <w14:ligatures w14:val="none"/>
        </w:rPr>
        <w:t>proceed</w:t>
      </w:r>
      <w:r w:rsidRPr="00DD1558">
        <w:rPr>
          <w:rFonts w:ascii="Simplified Arabic" w:eastAsia="Times New Roman" w:hAnsi="Simplified Arabic" w:cs="Simplified Arabic"/>
          <w:color w:val="1A1A1A"/>
          <w:sz w:val="28"/>
          <w:szCs w:val="28"/>
          <w14:ligatures w14:val="none"/>
        </w:rPr>
        <w:t xml:space="preserve"> (no serviceable stock found) or </w:t>
      </w:r>
      <w:r w:rsidRPr="00DD1558">
        <w:rPr>
          <w:rFonts w:ascii="Simplified Arabic" w:eastAsia="Times New Roman" w:hAnsi="Simplified Arabic" w:cs="Simplified Arabic"/>
          <w:i/>
          <w:iCs/>
          <w:color w:val="1A1A1A"/>
          <w:sz w:val="28"/>
          <w:szCs w:val="28"/>
          <w14:ligatures w14:val="none"/>
        </w:rPr>
        <w:t>displaced</w:t>
      </w:r>
      <w:r w:rsidRPr="00DD1558">
        <w:rPr>
          <w:rFonts w:ascii="Simplified Arabic" w:eastAsia="Times New Roman" w:hAnsi="Simplified Arabic" w:cs="Simplified Arabic"/>
          <w:color w:val="1A1A1A"/>
          <w:sz w:val="28"/>
          <w:szCs w:val="28"/>
          <w14:ligatures w14:val="none"/>
        </w:rPr>
        <w:t xml:space="preserve"> (requisition redirected to existing stock or converted to a loan/redistribution request); the indicator is the qualitative pattern of displacement outcomes across terms.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eligibility-check records that PB2 requires as requisition preconditions (</w:t>
      </w:r>
      <w:hyperlink w:anchor="Section413" w:history="1">
        <w:r w:rsidR="00A20664" w:rsidRPr="00C86ACA">
          <w:rPr>
            <w:rStyle w:val="Hyperlink"/>
            <w:rFonts w:ascii="Simplified Arabic" w:eastAsia="Times New Roman" w:hAnsi="Simplified Arabic" w:cs="Simplified Arabic"/>
            <w:sz w:val="28"/>
            <w:szCs w:val="36"/>
            <w14:ligatures w14:val="none"/>
          </w:rPr>
          <w:t>Section 4.1.3</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(certification and compilation); the Board (review).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establish-</w:t>
      </w:r>
      <w:r w:rsidRPr="00DD1558">
        <w:rPr>
          <w:rFonts w:ascii="Simplified Arabic" w:eastAsia="Times New Roman" w:hAnsi="Simplified Arabic" w:cs="Simplified Arabic"/>
          <w:color w:val="1A1A1A"/>
          <w:sz w:val="28"/>
          <w:szCs w:val="28"/>
          <w14:ligatures w14:val="none"/>
        </w:rPr>
        <w:lastRenderedPageBreak/>
        <w:t xml:space="preserve">then-improve — early terms establish the displacement pattern; a persistent zero-displacement pattern is treated not as success but as a </w:t>
      </w:r>
      <w:r w:rsidRPr="00DD1558">
        <w:rPr>
          <w:rFonts w:ascii="Simplified Arabic" w:eastAsia="Times New Roman" w:hAnsi="Simplified Arabic" w:cs="Simplified Arabic"/>
          <w:i/>
          <w:iCs/>
          <w:color w:val="1A1A1A"/>
          <w:sz w:val="28"/>
          <w:szCs w:val="28"/>
          <w14:ligatures w14:val="none"/>
        </w:rPr>
        <w:t>signal to investigate</w:t>
      </w:r>
      <w:r w:rsidRPr="00DD1558">
        <w:rPr>
          <w:rFonts w:ascii="Simplified Arabic" w:eastAsia="Times New Roman" w:hAnsi="Simplified Arabic" w:cs="Simplified Arabic"/>
          <w:color w:val="1A1A1A"/>
          <w:sz w:val="28"/>
          <w:szCs w:val="28"/>
          <w14:ligatures w14:val="none"/>
        </w:rPr>
        <w:t xml:space="preserve">, since it may indicate check bypass rather than genuinely lean purchasing.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PB2 (eligibility clauses). </w:t>
      </w:r>
      <w:r w:rsidRPr="00DD1558">
        <w:rPr>
          <w:rFonts w:ascii="Simplified Arabic" w:eastAsia="Times New Roman" w:hAnsi="Simplified Arabic" w:cs="Simplified Arabic"/>
          <w:i/>
          <w:iCs/>
          <w:color w:val="1A1A1A"/>
          <w:sz w:val="28"/>
          <w:szCs w:val="28"/>
          <w14:ligatures w14:val="none"/>
        </w:rPr>
        <w:t>Linked risk:</w:t>
      </w:r>
      <w:r w:rsidRPr="00DD1558">
        <w:rPr>
          <w:rFonts w:ascii="Simplified Arabic" w:eastAsia="Times New Roman" w:hAnsi="Simplified Arabic" w:cs="Simplified Arabic"/>
          <w:color w:val="1A1A1A"/>
          <w:sz w:val="28"/>
          <w:szCs w:val="28"/>
          <w14:ligatures w14:val="none"/>
        </w:rPr>
        <w:t xml:space="preserve"> RR-07 (eligibility-check bypass), which this indicator and KPI-G5 triangulate from opposite directions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{"citationID":"XqWrYGMt","properties":{"unsorted":false,"formattedCitation":"(S\\uc0\\u246{}nnichsen &amp; Clement, 2020)","plainCitation":"(Sönnichsen &amp; Clement,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8F3A710"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72" w:name="section443"/>
      <w:bookmarkStart w:id="173" w:name="_Toc237539773"/>
      <w:bookmarkEnd w:id="172"/>
      <w:r w:rsidRPr="00DD1558">
        <w:rPr>
          <w:rFonts w:ascii="Simplified Arabic" w:eastAsiaTheme="majorEastAsia" w:hAnsi="Simplified Arabic" w:cs="Simplified Arabic"/>
          <w:sz w:val="28"/>
          <w:szCs w:val="28"/>
        </w:rPr>
        <w:t>4.4</w:t>
      </w:r>
      <w:r w:rsidRPr="00DD1558">
        <w:rPr>
          <w:rFonts w:ascii="Simplified Arabic" w:eastAsiaTheme="majorEastAsia" w:hAnsi="Simplified Arabic" w:cstheme="majorBidi"/>
          <w:sz w:val="28"/>
          <w:szCs w:val="28"/>
        </w:rPr>
        <w:t>.3 Environmental &amp; Safety KPIs</w:t>
      </w:r>
      <w:bookmarkEnd w:id="173"/>
    </w:p>
    <w:p w14:paraId="465CDF90" w14:textId="270B28A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environmental family monitors the framework’s significant environmental aspects — expired-chemical stocks destined for hazardous-waste streams and redundant acquisition — identified under the clause 6.1.2 analysis of </w:t>
      </w:r>
      <w:hyperlink w:anchor="section45" w:history="1">
        <w:r w:rsidRPr="00CD2E5F">
          <w:rPr>
            <w:rStyle w:val="Hyperlink"/>
            <w:rFonts w:ascii="Simplified Arabic" w:eastAsia="Times New Roman" w:hAnsi="Simplified Arabic" w:cs="Simplified Arabic"/>
            <w:sz w:val="28"/>
            <w:szCs w:val="28"/>
            <w14:ligatures w14:val="none"/>
          </w:rPr>
          <w:t>Section 4.5</w:t>
        </w:r>
      </w:hyperlink>
      <w:r w:rsidRPr="00DD1558">
        <w:rPr>
          <w:rFonts w:ascii="Simplified Arabic" w:eastAsia="Times New Roman" w:hAnsi="Simplified Arabic" w:cs="Simplified Arabic"/>
          <w:color w:val="1A1A1A"/>
          <w:sz w:val="28"/>
          <w:szCs w:val="28"/>
          <w14:ligatures w14:val="none"/>
        </w:rPr>
        <w:t>, and operationalizes the standard’s monitoring and evaluation-of-compliance requirements at laboratory level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{"citationID":"8eZVcsso","properties":{"unsorted":false,"formattedCitation":"(14001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clauses 6.1.2, 9.1.1, 9.1.2). Each indicator is grounded in documented green-laboratory practice, where date-ordered rotation, pre-expiry redistribution, and governed disposal constitute the standard control chain against chemical waste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{"citationID":"zl3RQi8g","properties":{"unsorted":false,"formattedCitation":"(Durgan et al., 2023; Freese et al., 2024; Gutierrez et al., 2020)","plainCitation":"(Durgan et al., 2023; Freese et al., 2024; Gutierrez et al., 2020)","noteIndex":0},"citationItems":[{"id":432,"uris":["http://zotero.org/users/19711126/items/Q74PR9A9"],"itemData":{"id":432,"type":"article-journal","abstract":"Scientific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L."}],"issued":{"date-parts":[["2024",5,1]]}}},{"id":444,"uris":["http://zotero.org/users/19711126/items/TBM73H7Z"],"itemData":{"id":444,"type":"article-journal","abstract":"The main goal of this project was to improve the efficiency and sustainability of the chemistry teaching laboratories of the Faculty of Engineering Vitoria-Gasteiz (University of the Basque Country (UPV/EHU)). With this aim, three different actions were developed. The first two actions aspired to achieve and maintain order and maximize efficiency within the facilities. With this in mind, the first phase involved carrying out an inventory, classifying, and rearranging all the chemical products in the warehouse using a computer storage system. Secondly, 5S lean methodology was implemented in the laboratories. The final phase included the development of a protocol for a joint purchasing strategy of chemical reagents that fostered a more responsible and sustainable acquisition and management of the substances used in various departments of the UPV/EHU. This protocol plays a key role in the transition towards the Circular Economy and its importance lies in the fact that it could be extended to other departments and faculties with similar needs. This project was developed during last two academic years (2017/2019) in the frame of the Campus Bizia Lab Programme, an initiative created to address sustainability challenges within the University.","container-title":"Sustainability","DOI":"10.3390/su12218934","ISSN":"2071-1050","issue":"21","language":"en","license":"http://creativecommons.org/licenses/by/3.0/","page":"8934","publisher":"Multidisciplinary Digital Publishing Institute","source":"www.mdpi.com","title":"Creating a Green Chemistry Lab: Towards Sustainable Resource Management and Responsible Purchasing","title-short":"Creating a Green Chemistry Lab","volume":"12","author":[{"family":"Gutierrez","given":"Junkal"},{"family":"Santaolalla","given":"Arrate"},{"family":"Tercjak","given":"Agnieszka"},{"family":"Rojo","given":"Naiara"},{"family":"Encinas","given":"Dolores"},{"family":"Gomez-de-Balugera","given":"Zuriñe"},{"family":"Gallastegui","given":"Gorka"}],"issued":{"date-parts":[["2020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 Gutierrez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3F96D7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KPI-E1 — Hazardous waste reduction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directional trend of hazardous-waste volumes leaving the college’s laboratories through governed disposal channels.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qualitative trend reading of the disposal manifests required by mitigation barrier MB3 across successive terms, read as a trend line (rising, stable, falling) with commentary on composition shifts, never as a computed percentage.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governed disposal manifests maintained under MB3.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Committee, through its safety and compliance interface (compilation); the Board (review).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consolidated annually for the management review.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decrease. </w:t>
      </w:r>
      <w:r w:rsidRPr="00DD1558">
        <w:rPr>
          <w:rFonts w:ascii="Simplified Arabic" w:eastAsia="Times New Roman" w:hAnsi="Simplified Arabic" w:cs="Simplified Arabic"/>
          <w:i/>
          <w:iCs/>
          <w:color w:val="1A1A1A"/>
          <w:sz w:val="28"/>
          <w:szCs w:val="28"/>
          <w14:ligatures w14:val="none"/>
        </w:rPr>
        <w:t>Linked barriers:</w:t>
      </w:r>
      <w:r w:rsidRPr="00DD1558">
        <w:rPr>
          <w:rFonts w:ascii="Simplified Arabic" w:eastAsia="Times New Roman" w:hAnsi="Simplified Arabic" w:cs="Simplified Arabic"/>
          <w:color w:val="1A1A1A"/>
          <w:sz w:val="28"/>
          <w:szCs w:val="28"/>
          <w14:ligatures w14:val="none"/>
        </w:rPr>
        <w:t xml:space="preserve"> MB1, MB2, and MB3 jointly — the indicator reads the </w:t>
      </w:r>
      <w:r w:rsidRPr="00DD1558">
        <w:rPr>
          <w:rFonts w:ascii="Simplified Arabic" w:eastAsia="Times New Roman" w:hAnsi="Simplified Arabic" w:cs="Simplified Arabic"/>
          <w:i/>
          <w:iCs/>
          <w:color w:val="1A1A1A"/>
          <w:sz w:val="28"/>
          <w:szCs w:val="28"/>
          <w14:ligatures w14:val="none"/>
        </w:rPr>
        <w:t>output</w:t>
      </w:r>
      <w:r w:rsidRPr="00DD1558">
        <w:rPr>
          <w:rFonts w:ascii="Simplified Arabic" w:eastAsia="Times New Roman" w:hAnsi="Simplified Arabic" w:cs="Simplified Arabic"/>
          <w:color w:val="1A1A1A"/>
          <w:sz w:val="28"/>
          <w:szCs w:val="28"/>
          <w14:ligatures w14:val="none"/>
        </w:rPr>
        <w:t xml:space="preserve"> of the whole mitigation chain, since stock consumed in place (MB1) or redistributed before expiry (MB2) never reaches the manifest.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RR-12 (expiry clusters) and RR-13 (disposal nonconformity); a falling manifest trend accompanied by rising expired-stock incidence </w:t>
      </w:r>
      <w:r w:rsidRPr="00DD1558">
        <w:rPr>
          <w:rFonts w:ascii="Simplified Arabic" w:eastAsia="Times New Roman" w:hAnsi="Simplified Arabic" w:cs="Simplified Arabic"/>
          <w:color w:val="1A1A1A"/>
          <w:sz w:val="28"/>
          <w:szCs w:val="28"/>
          <w14:ligatures w14:val="none"/>
        </w:rPr>
        <w:lastRenderedPageBreak/>
        <w:t>(KPI-E3) is a warning configuration, suggesting disposal leakage outside governed channels rather than genuine prevention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{"citationID":"S3W1PaWa","properties":{"unsorted":false,"formattedCitation":"(14001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9.1.2).</w:t>
      </w:r>
    </w:p>
    <w:p w14:paraId="42E9DD2D"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KPI-E2 — Pre-expiry chemical redistribution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to which chemical stocks approaching expiry are redistributed to live demand before lapse, relative to stocks that proceed to expiry write-off.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structured comparison of two MB2 record classes — executed pre-expiry redistributions (consumption transfers under the joint FEFO–custody protocol) against expiry write-offs in the same period — expressed as the qualitative balance between salvage and loss.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MB2 redistribution records (chain-of-custody logs for consumption transfers) and registry expiry-flag histories.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(compilation); custodian departments (response).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 the salvage share should grow as flagging thresholds and redistribution routing mature.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MB2 in its redistribution mode.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RR-12 (expiry clusters exceeding redistribution capacity) and RR-09 (registry data decay), the latter because redistribution is blind where records of live demand are stale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{"citationID":"q3MTEvcE","properties":{"unsorted":false,"formattedCitation":"(Freese et al., 2024)","plainCitation":"(Freese et al., 2024)","noteIndex":0},"citationItems":[{"id":439,"uris":["http://zotero.org/users/19711126/items/R6RIIVN3"],"itemData":{"id":439,"type":"article-journal","abstract":"Scientists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20D6EAE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KPI-E3 — Expired-stock incidence.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occurrence of items reaching expiry in storage, as surfaced by expiry flags and audit observations per audit cycle.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qualitative incidence reading from two convergent sources — technician-raised expiry flags logged at the Committee’s thresholds, and expired-stock observations recorded in shelf audits under EB1 — read jointly so that audit findings corroborate or correct flag-based reporting.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registry expiry-flag entries; shelf-audit records.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custodian departments (execution-level); the Committee (interpretation against the FEFO standard).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each audit cycle, summarized termly.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decrease.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MB1, whose failure this indicator measures at the consequence end.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RR-08 (FEFO drift) and RR-12 (expiry clusters). KPI-E3 and KPI-O3 </w:t>
      </w:r>
      <w:r w:rsidRPr="00DD1558">
        <w:rPr>
          <w:rFonts w:ascii="Simplified Arabic" w:eastAsia="Times New Roman" w:hAnsi="Simplified Arabic" w:cs="Simplified Arabic"/>
          <w:color w:val="1A1A1A"/>
          <w:sz w:val="28"/>
          <w:szCs w:val="28"/>
          <w14:ligatures w14:val="none"/>
        </w:rPr>
        <w:lastRenderedPageBreak/>
        <w:t xml:space="preserve">are deliberately paired: O3 reads the barrier’s </w:t>
      </w:r>
      <w:r w:rsidRPr="00DD1558">
        <w:rPr>
          <w:rFonts w:ascii="Simplified Arabic" w:eastAsia="Times New Roman" w:hAnsi="Simplified Arabic" w:cs="Simplified Arabic"/>
          <w:i/>
          <w:iCs/>
          <w:color w:val="1A1A1A"/>
          <w:sz w:val="28"/>
          <w:szCs w:val="28"/>
          <w14:ligatures w14:val="none"/>
        </w:rPr>
        <w:t>practice</w:t>
      </w:r>
      <w:r w:rsidRPr="00DD1558">
        <w:rPr>
          <w:rFonts w:ascii="Simplified Arabic" w:eastAsia="Times New Roman" w:hAnsi="Simplified Arabic" w:cs="Simplified Arabic"/>
          <w:color w:val="1A1A1A"/>
          <w:sz w:val="28"/>
          <w:szCs w:val="28"/>
          <w14:ligatures w14:val="none"/>
        </w:rPr>
        <w:t xml:space="preserve">, E3 its </w:t>
      </w:r>
      <w:r w:rsidRPr="00DD1558">
        <w:rPr>
          <w:rFonts w:ascii="Simplified Arabic" w:eastAsia="Times New Roman" w:hAnsi="Simplified Arabic" w:cs="Simplified Arabic"/>
          <w:i/>
          <w:iCs/>
          <w:color w:val="1A1A1A"/>
          <w:sz w:val="28"/>
          <w:szCs w:val="28"/>
          <w14:ligatures w14:val="none"/>
        </w:rPr>
        <w:t>result</w:t>
      </w:r>
      <w:r w:rsidRPr="00DD1558">
        <w:rPr>
          <w:rFonts w:ascii="Simplified Arabic" w:eastAsia="Times New Roman" w:hAnsi="Simplified Arabic" w:cs="Simplified Arabic"/>
          <w:color w:val="1A1A1A"/>
          <w:sz w:val="28"/>
          <w:szCs w:val="28"/>
          <w14:ligatures w14:val="none"/>
        </w:rPr>
        <w:t>, and divergence between them triggers the corrective-action loop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{"citationID":"DJSw1Pkn","properties":{"unsorted":false,"formattedCitation":"(14001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10).</w:t>
      </w:r>
    </w:p>
    <w:p w14:paraId="6FFF6F4B" w14:textId="77777777" w:rsidR="00DD1558" w:rsidRPr="00DD1558" w:rsidRDefault="00DD1558" w:rsidP="00DD1558">
      <w:pPr>
        <w:bidi w:val="0"/>
        <w:spacing w:before="180" w:line="240" w:lineRule="auto"/>
        <w:jc w:val="both"/>
        <w:rPr>
          <w:rFonts w:ascii="Times New Roman" w:eastAsia="Times New Roman" w:hAnsi="Times New Roman" w:cs="Times New Roman"/>
          <w:color w:val="1A1A1A"/>
          <w:sz w:val="24"/>
          <w:szCs w:val="24"/>
          <w14:ligatures w14:val="none"/>
        </w:rPr>
      </w:pPr>
      <w:r w:rsidRPr="00DD1558">
        <w:rPr>
          <w:rFonts w:ascii="Simplified Arabic" w:eastAsia="Times New Roman" w:hAnsi="Simplified Arabic" w:cs="Simplified Arabic"/>
          <w:b/>
          <w:bCs/>
          <w:color w:val="1A1A1A"/>
          <w:sz w:val="28"/>
          <w:szCs w:val="28"/>
          <w14:ligatures w14:val="none"/>
        </w:rPr>
        <w:t>KPI-E4 — Disposal-protocol conformity.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degree to which disposal events conform to the governed protocols of MB3 — documented routing through compliant channels, redistribution-before-disposal checks completed, and records complete at the time of disposal.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conformity assessment of disposal documentation against the MB3 protocol checklist within the EB1 cadence — the laboratory-level operationalization of ISO 14001:2015 clause 9.1.2’s evaluation of compliance, since hazardous-waste handling is where external compliance obligations bind most directly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{"citationID":"xkPk6NU8","properties":{"unsorted":false,"formattedCitation":"(14001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9.1.2). The same audit cycle records completion of the emergency-preparedness exercises adopted by analogue from clause 8.2 — planned responses to chemical incidents, periodically tested and reviewed — as a preparedness note accompanying the indicator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{"citationID":"nVWXjGd9","properties":{"unsorted":false,"formattedCitation":"(14001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8.2).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MB3 disposal records; clause 9.1.2 evaluation records; exercise documentation.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Committee with the college safety and compliance officer.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each audit cycle; annual consolidation at management review.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toward, and then hold at, full documented conformity.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MB3.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RR-13 (disposal nonconformity) directly; RR-14 (audit-finding recurrence) where repeat disposal findings appear across cycles.</w:t>
      </w:r>
    </w:p>
    <w:p w14:paraId="355D9159"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74" w:name="_Toc237539774"/>
      <w:r w:rsidRPr="00DD1558">
        <w:rPr>
          <w:rFonts w:ascii="Simplified Arabic" w:eastAsiaTheme="majorEastAsia" w:hAnsi="Simplified Arabic" w:cs="Simplified Arabic"/>
          <w:sz w:val="28"/>
          <w:szCs w:val="28"/>
        </w:rPr>
        <w:t>4.4</w:t>
      </w:r>
      <w:r w:rsidRPr="00DD1558">
        <w:rPr>
          <w:rFonts w:ascii="Simplified Arabic" w:eastAsiaTheme="majorEastAsia" w:hAnsi="Simplified Arabic" w:cstheme="majorBidi"/>
          <w:sz w:val="28"/>
          <w:szCs w:val="28"/>
        </w:rPr>
        <w:t>.4 Governance &amp; Digital Readiness KPIs</w:t>
      </w:r>
      <w:bookmarkEnd w:id="174"/>
    </w:p>
    <w:p w14:paraId="619DDBF8" w14:textId="0E49ED42"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governance family monitors the meta-controls and preconditions on which the two operational families depend: the integrity of the shared record, the honesty of the enforcement layer, and the institution’s readiness for the digital platform the framework deliberately defers. These indicators operationalize the escalation-factor barriers directly — EB1 and EB2, identified in </w:t>
      </w:r>
      <w:hyperlink w:anchor="section434" w:history="1">
        <w:r w:rsidR="0018617A" w:rsidRPr="00CD2E5F">
          <w:rPr>
            <w:rStyle w:val="Hyperlink"/>
            <w:rFonts w:ascii="Simplified Arabic" w:eastAsia="Times New Roman" w:hAnsi="Simplified Arabic" w:cs="Simplified Arabic"/>
            <w:sz w:val="28"/>
            <w:szCs w:val="28"/>
            <w14:ligatures w14:val="none"/>
          </w:rPr>
          <w:t>Section 4.3.4</w:t>
        </w:r>
      </w:hyperlink>
      <w:r w:rsidRPr="00DD1558">
        <w:rPr>
          <w:rFonts w:ascii="Simplified Arabic" w:eastAsia="Times New Roman" w:hAnsi="Simplified Arabic" w:cs="Simplified Arabic"/>
          <w:color w:val="1A1A1A"/>
          <w:sz w:val="28"/>
          <w:szCs w:val="28"/>
          <w14:ligatures w14:val="none"/>
        </w:rPr>
        <w:t xml:space="preserve"> as the architecture’s load-bearing members, each receive a dedicated standing indicator.</w:t>
      </w:r>
    </w:p>
    <w:p w14:paraId="000CB4BB" w14:textId="33F977D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KPI-G1 — Catalog standardization coverage.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of the college’s holdings onboarded to the Committee’s unified catalog standard (PB1), read against remaining legacy records not yet conforming.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structured census of registry records by conformity status — records carrying the full minimum attribute set versus legacy records pending migration — expressed as a coverage profile by department and item class.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shared registry, using the Unit’s onboarding records.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during onboarding phases; thereafter on change.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toward full coverage of the pilot scope as the precondition of readiness gate G2.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PB1. </w:t>
      </w:r>
      <w:r w:rsidRPr="00DD1558">
        <w:rPr>
          <w:rFonts w:ascii="Simplified Arabic" w:eastAsia="Times New Roman" w:hAnsi="Simplified Arabic" w:cs="Simplified Arabic"/>
          <w:i/>
          <w:iCs/>
          <w:color w:val="1A1A1A"/>
          <w:sz w:val="28"/>
          <w:szCs w:val="28"/>
          <w14:ligatures w14:val="none"/>
        </w:rPr>
        <w:t>Linked risk:</w:t>
      </w:r>
      <w:r w:rsidRPr="00DD1558">
        <w:rPr>
          <w:rFonts w:ascii="Simplified Arabic" w:eastAsia="Times New Roman" w:hAnsi="Simplified Arabic" w:cs="Simplified Arabic"/>
          <w:color w:val="1A1A1A"/>
          <w:sz w:val="28"/>
          <w:szCs w:val="28"/>
          <w14:ligatures w14:val="none"/>
        </w:rPr>
        <w:t xml:space="preserve"> RR-03 (incomplete or nonconforming data onboarding). Coverage is the gate criterion made continuous: G2 certifies it once; KPI-G1 keeps it visible thereafter, since new acquisitions and new custodians continually generate fresh onboarding demand (</w:t>
      </w:r>
      <w:hyperlink w:anchor="section46" w:history="1">
        <w:r w:rsidRPr="00CD2E5F">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w:t>
      </w:r>
    </w:p>
    <w:p w14:paraId="027E122D" w14:textId="4AEDC2D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KPI-G2 — Registry data-quality conformity.</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conformity of registry records to the Unit’s data-quality rules — completeness (required fields populated), currency (records reflecting events within the expected entry lag), and consistency (records agreeing across linked workflows).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the field-completeness and currency checks defined under escalation-factor barrier EB2, executed by the Unit as standing data stewardship and reported as a conformity profile by department and item class — operationalizing EB2 as </w:t>
      </w:r>
      <w:hyperlink w:anchor="Section414" w:history="1">
        <w:r w:rsidR="00A20664" w:rsidRPr="00CD2E5F">
          <w:rPr>
            <w:rStyle w:val="Hyperlink"/>
            <w:rFonts w:ascii="Simplified Arabic" w:eastAsia="Times New Roman" w:hAnsi="Simplified Arabic" w:cs="Simplified Arabic"/>
            <w:sz w:val="28"/>
            <w:szCs w:val="36"/>
            <w14:ligatures w14:val="none"/>
          </w:rPr>
          <w:t>Section 4.1.4</w:t>
        </w:r>
      </w:hyperlink>
      <w:r w:rsidR="00A20664" w:rsidRPr="00CD2E5F">
        <w:rPr>
          <w:rFonts w:ascii="Simplified Arabic" w:eastAsia="Times New Roman" w:hAnsi="Simplified Arabic" w:cs="Simplified Arabic"/>
          <w:sz w:val="28"/>
          <w:szCs w:val="36"/>
          <w14:ligatures w14:val="none"/>
        </w:rPr>
        <w:t xml:space="preserve"> </w:t>
      </w:r>
      <w:r w:rsidRPr="00DD1558">
        <w:rPr>
          <w:rFonts w:ascii="Simplified Arabic" w:eastAsia="Times New Roman" w:hAnsi="Simplified Arabic" w:cs="Simplified Arabic"/>
          <w:color w:val="1A1A1A"/>
          <w:sz w:val="28"/>
          <w:szCs w:val="28"/>
          <w14:ligatures w14:val="none"/>
        </w:rPr>
        <w:t xml:space="preserve">specifies, converting data integrity from an assumption into a monitored property.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registry itself, audited against physical-stock spot checks within the EB1 cadence.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continuous monitoring with termly reporting.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then hold.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EB2, with PB1, PB2, and MB2 as the barriers its degradation would blind.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RR-09 (registry data decay) and RR-03 (onboarding quality). Because data decay can degrade three barriers at once (</w:t>
      </w:r>
      <w:hyperlink w:anchor="section43" w:history="1">
        <w:r w:rsidR="0018617A" w:rsidRPr="00CD2E5F">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 this indicator carries the framework’s highest monitoring intensity.</w:t>
      </w:r>
    </w:p>
    <w:p w14:paraId="398BEA38"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KPI-G3 — Audit cadence adherence.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degree to which the planned audit calendar is actually executed — shelf audits, eligibility-check tests, and disposal-conformity assessments occurring as scheduled, with documented outputs.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comparison of planned against executed and documented audits per term; deviations are recorded with causes, since a skipped audit is itself a finding about EF1 (unenforced policy).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EB1 audit programme and its outputs.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Board (owner of the audit cadence); execution by the audit function with Unit and Committee support.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self-assessment; annual confirmation at management review.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establish-then-improve toward full adherence.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EB1. </w:t>
      </w:r>
      <w:r w:rsidRPr="00DD1558">
        <w:rPr>
          <w:rFonts w:ascii="Simplified Arabic" w:eastAsia="Times New Roman" w:hAnsi="Simplified Arabic" w:cs="Simplified Arabic"/>
          <w:i/>
          <w:iCs/>
          <w:color w:val="1A1A1A"/>
          <w:sz w:val="28"/>
          <w:szCs w:val="28"/>
          <w14:ligatures w14:val="none"/>
        </w:rPr>
        <w:t>Linked risks:</w:t>
      </w:r>
      <w:r w:rsidRPr="00DD1558">
        <w:rPr>
          <w:rFonts w:ascii="Simplified Arabic" w:eastAsia="Times New Roman" w:hAnsi="Simplified Arabic" w:cs="Simplified Arabic"/>
          <w:color w:val="1A1A1A"/>
          <w:sz w:val="28"/>
          <w:szCs w:val="28"/>
          <w14:ligatures w14:val="none"/>
        </w:rPr>
        <w:t xml:space="preserve"> RR-05 (compliance fatigue) and RR-14 (audit-finding recurrence). The indicator is reflexive by design: it monitors the monitor, addressing the failure mode in which the enforcement layer itself decays into ritual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{"citationID":"w36NBkzO","properties":{"unsorted":false,"formattedCitation":"(Johnson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7A52B5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KPI-G4 — Audit-findings resolution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to which audit findings are closed — corrective actions completed with documented evidence — by the next review cycle.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tracking of findings from opening to closure across successive cycles, reported as open, carried-over, and closed findings with named owners, following the nonconformity-and-corrective-action logic of clause 10 of both anchor standards adopted by analogue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{"citationID":"BZyoSakQ","properties":{"unsorted":false,"formattedCitation":"(14001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10;</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{"citationID":"aGk305qW","properties":{"unsorted":false,"formattedCitation":"(22301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10). Recurring findings are flagged as a distinct category, since recurrence rather than volume is the diagnostic of systemic failure.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corrective-action records maintained through Board review.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Board.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with annual consolidation.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(closure); decrease (recurrence).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EB1 in its improvement mode. </w:t>
      </w:r>
      <w:r w:rsidRPr="00DD1558">
        <w:rPr>
          <w:rFonts w:ascii="Simplified Arabic" w:eastAsia="Times New Roman" w:hAnsi="Simplified Arabic" w:cs="Simplified Arabic"/>
          <w:i/>
          <w:iCs/>
          <w:color w:val="1A1A1A"/>
          <w:sz w:val="28"/>
          <w:szCs w:val="28"/>
          <w14:ligatures w14:val="none"/>
        </w:rPr>
        <w:t>Linked risk:</w:t>
      </w:r>
      <w:r w:rsidRPr="00DD1558">
        <w:rPr>
          <w:rFonts w:ascii="Simplified Arabic" w:eastAsia="Times New Roman" w:hAnsi="Simplified Arabic" w:cs="Simplified Arabic"/>
          <w:color w:val="1A1A1A"/>
          <w:sz w:val="28"/>
          <w:szCs w:val="28"/>
          <w14:ligatures w14:val="none"/>
        </w:rPr>
        <w:t xml:space="preserve"> RR-14 (audit-finding recurrence), which this indicator exists to detect before corrective action becomes ritual.</w:t>
      </w:r>
    </w:p>
    <w:p w14:paraId="267DB8A6" w14:textId="572A91B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KPI-G5 — Eligibility-check execution rate.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extent to which requisitions for loanable item classes are accompanied by the documented registry check that </w:t>
      </w:r>
      <w:r w:rsidRPr="00DD1558">
        <w:rPr>
          <w:rFonts w:ascii="Simplified Arabic" w:eastAsia="Times New Roman" w:hAnsi="Simplified Arabic" w:cs="Simplified Arabic"/>
          <w:color w:val="1A1A1A"/>
          <w:sz w:val="28"/>
          <w:szCs w:val="28"/>
          <w14:ligatures w14:val="none"/>
        </w:rPr>
        <w:lastRenderedPageBreak/>
        <w:t xml:space="preserve">prevention barrier PB2 mandates.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the EB1 audit cycle’s test of requisition files for check evidence, reported as a conformity profile of requisitions with and without certified checks, corroborated against the Unit’s certification records.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requisition documentation sampled within the audit cadence; Unit certification logs.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custodian departments (execution-level conformity); the Board (review and escalation of repeated violations under its </w:t>
      </w:r>
      <w:hyperlink w:anchor="Section412" w:history="1">
        <w:r w:rsidR="002C0C03" w:rsidRPr="00CD2E5F">
          <w:rPr>
            <w:rStyle w:val="Hyperlink"/>
            <w:rFonts w:ascii="Simplified Arabic" w:eastAsia="Times New Roman" w:hAnsi="Simplified Arabic" w:cs="Simplified Arabic"/>
            <w:sz w:val="28"/>
            <w:szCs w:val="28"/>
            <w14:ligatures w14:val="none"/>
          </w:rPr>
          <w:t xml:space="preserve">Section 4.1.2 </w:t>
        </w:r>
      </w:hyperlink>
      <w:r w:rsidRPr="00DD1558">
        <w:rPr>
          <w:rFonts w:ascii="Simplified Arabic" w:eastAsia="Times New Roman" w:hAnsi="Simplified Arabic" w:cs="Simplified Arabic"/>
          <w:color w:val="1A1A1A"/>
          <w:sz w:val="28"/>
          <w:szCs w:val="28"/>
          <w14:ligatures w14:val="none"/>
        </w:rPr>
        <w:t xml:space="preserve"> decision rights).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each audit cycle.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increase toward universal execution.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PB2. </w:t>
      </w:r>
      <w:r w:rsidRPr="00DD1558">
        <w:rPr>
          <w:rFonts w:ascii="Simplified Arabic" w:eastAsia="Times New Roman" w:hAnsi="Simplified Arabic" w:cs="Simplified Arabic"/>
          <w:i/>
          <w:iCs/>
          <w:color w:val="1A1A1A"/>
          <w:sz w:val="28"/>
          <w:szCs w:val="28"/>
          <w14:ligatures w14:val="none"/>
        </w:rPr>
        <w:t>Linked risk:</w:t>
      </w:r>
      <w:r w:rsidRPr="00DD1558">
        <w:rPr>
          <w:rFonts w:ascii="Simplified Arabic" w:eastAsia="Times New Roman" w:hAnsi="Simplified Arabic" w:cs="Simplified Arabic"/>
          <w:color w:val="1A1A1A"/>
          <w:sz w:val="28"/>
          <w:szCs w:val="28"/>
          <w14:ligatures w14:val="none"/>
        </w:rPr>
        <w:t xml:space="preserve"> RR-07 (eligibility-check bypass). With KPI-O4 this indicator forms a triangulation pair: G5 observes whether the check </w:t>
      </w:r>
      <w:r w:rsidRPr="00DD1558">
        <w:rPr>
          <w:rFonts w:ascii="Simplified Arabic" w:eastAsia="Times New Roman" w:hAnsi="Simplified Arabic" w:cs="Simplified Arabic"/>
          <w:i/>
          <w:iCs/>
          <w:color w:val="1A1A1A"/>
          <w:sz w:val="28"/>
          <w:szCs w:val="28"/>
          <w14:ligatures w14:val="none"/>
        </w:rPr>
        <w:t>happens</w:t>
      </w:r>
      <w:r w:rsidRPr="00DD1558">
        <w:rPr>
          <w:rFonts w:ascii="Simplified Arabic" w:eastAsia="Times New Roman" w:hAnsi="Simplified Arabic" w:cs="Simplified Arabic"/>
          <w:color w:val="1A1A1A"/>
          <w:sz w:val="28"/>
          <w:szCs w:val="28"/>
          <w14:ligatures w14:val="none"/>
        </w:rPr>
        <w:t xml:space="preserve">, O4 what the check </w:t>
      </w:r>
      <w:r w:rsidRPr="00DD1558">
        <w:rPr>
          <w:rFonts w:ascii="Simplified Arabic" w:eastAsia="Times New Roman" w:hAnsi="Simplified Arabic" w:cs="Simplified Arabic"/>
          <w:i/>
          <w:iCs/>
          <w:color w:val="1A1A1A"/>
          <w:sz w:val="28"/>
          <w:szCs w:val="28"/>
          <w14:ligatures w14:val="none"/>
        </w:rPr>
        <w:t>displaces</w:t>
      </w:r>
      <w:r w:rsidRPr="00DD1558">
        <w:rPr>
          <w:rFonts w:ascii="Simplified Arabic" w:eastAsia="Times New Roman" w:hAnsi="Simplified Arabic" w:cs="Simplified Arabic"/>
          <w:color w:val="1A1A1A"/>
          <w:sz w:val="28"/>
          <w:szCs w:val="28"/>
          <w14:ligatures w14:val="none"/>
        </w:rPr>
        <w:t xml:space="preserve">, and their joint reading distinguishes a healthy control from a bypassed one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{"citationID":"NdNRMaLj","properties":{"unsorted":false,"formattedCitation":"(S\\uc0\\u246{}nnichsen &amp; Clement, 2020)","plainCitation":"(Sönnichsen &amp; Clement,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02189AD" w14:textId="4439FDB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KPI-G6 — Digital readiness gate status.</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Definition:</w:t>
      </w:r>
      <w:r w:rsidRPr="00DD1558">
        <w:rPr>
          <w:rFonts w:ascii="Simplified Arabic" w:eastAsia="Times New Roman" w:hAnsi="Simplified Arabic" w:cs="Simplified Arabic"/>
          <w:color w:val="1A1A1A"/>
          <w:sz w:val="28"/>
          <w:szCs w:val="28"/>
          <w14:ligatures w14:val="none"/>
        </w:rPr>
        <w:t xml:space="preserve"> the institution’s checklist-based maturity toward readiness gate G4 — the state of data standards, process stability, and role competence that the digital-transformation literature identifies as the precondition for smart-inventory platform value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{"citationID":"KexQxqP1","properties":{"unsorted":false,"formattedCitation":"(Carpitella &amp; Izquierdo, 2025; Rodr\\uc0\\u237{}guez-Abitia &amp; Bribiesca-Correa, 2021; Wilke et al., 2023)","plainCitation":"(Carpitella &amp; Izquierdo, 2025; Rodríguez-Abitia &amp; Bribiesca-Correa, 2021;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 Rodríguez-Abitia &amp; Bribiesca-Correa, 2021;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Measurement method:</w:t>
      </w:r>
      <w:r w:rsidRPr="00DD1558">
        <w:rPr>
          <w:rFonts w:ascii="Simplified Arabic" w:eastAsia="Times New Roman" w:hAnsi="Simplified Arabic" w:cs="Simplified Arabic"/>
          <w:color w:val="1A1A1A"/>
          <w:sz w:val="28"/>
          <w:szCs w:val="28"/>
          <w14:ligatures w14:val="none"/>
        </w:rPr>
        <w:t xml:space="preserve"> a structured readiness checklist maintained by the Unit as its requirements baseline, with items described, not scored: (a) catalog standard ratified and coverage sustained (reads KPI-G1); (b) data-quality conformity sustained across consecutive terms (reads KPI-G2); (c) loan, custody, and FEFO workflows demonstrated as stable under pilot and scaled operation (reads KPI-O2, KPI-O3, and the G3 gate evidence); (d) role competence current under the clause 7.2 competence programme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{"citationID":"rqrygt7U","properties":{"unsorted":false,"formattedCitation":"(14001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7.2;</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{"citationID":"bl98LUFK","properties":{"unsorted":false,"formattedCitation":"(22301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7.2); and (e) audit and corrective-action loops functioning (reads KPI-G3, KPI-G4). Each item is assessed as </w:t>
      </w:r>
      <w:r w:rsidRPr="00DD1558">
        <w:rPr>
          <w:rFonts w:ascii="Simplified Arabic" w:eastAsia="Times New Roman" w:hAnsi="Simplified Arabic" w:cs="Simplified Arabic"/>
          <w:i/>
          <w:iCs/>
          <w:color w:val="1A1A1A"/>
          <w:sz w:val="28"/>
          <w:szCs w:val="28"/>
          <w14:ligatures w14:val="none"/>
        </w:rPr>
        <w:t>met / partially met / not met</w:t>
      </w:r>
      <w:r w:rsidRPr="00DD1558">
        <w:rPr>
          <w:rFonts w:ascii="Simplified Arabic" w:eastAsia="Times New Roman" w:hAnsi="Simplified Arabic" w:cs="Simplified Arabic"/>
          <w:color w:val="1A1A1A"/>
          <w:sz w:val="28"/>
          <w:szCs w:val="28"/>
          <w14:ligatures w14:val="none"/>
        </w:rPr>
        <w:t xml:space="preserve"> by inspection of the underlying dashboard evidence; the indicator aggregates the dashboard itself rather than measuring independently. </w:t>
      </w:r>
      <w:r w:rsidRPr="00DD1558">
        <w:rPr>
          <w:rFonts w:ascii="Simplified Arabic" w:eastAsia="Times New Roman" w:hAnsi="Simplified Arabic" w:cs="Simplified Arabic"/>
          <w:i/>
          <w:iCs/>
          <w:color w:val="1A1A1A"/>
          <w:sz w:val="28"/>
          <w:szCs w:val="28"/>
          <w14:ligatures w14:val="none"/>
        </w:rPr>
        <w:t>Data source:</w:t>
      </w:r>
      <w:r w:rsidRPr="00DD1558">
        <w:rPr>
          <w:rFonts w:ascii="Simplified Arabic" w:eastAsia="Times New Roman" w:hAnsi="Simplified Arabic" w:cs="Simplified Arabic"/>
          <w:color w:val="1A1A1A"/>
          <w:sz w:val="28"/>
          <w:szCs w:val="28"/>
          <w14:ligatures w14:val="none"/>
        </w:rPr>
        <w:t xml:space="preserve"> the Unit’s requirements baseline and the dashboard record. </w:t>
      </w:r>
      <w:r w:rsidRPr="00DD1558">
        <w:rPr>
          <w:rFonts w:ascii="Simplified Arabic" w:eastAsia="Times New Roman" w:hAnsi="Simplified Arabic" w:cs="Simplified Arabic"/>
          <w:i/>
          <w:iCs/>
          <w:color w:val="1A1A1A"/>
          <w:sz w:val="28"/>
          <w:szCs w:val="28"/>
          <w14:ligatures w14:val="none"/>
        </w:rPr>
        <w:t>Owner:</w:t>
      </w:r>
      <w:r w:rsidRPr="00DD1558">
        <w:rPr>
          <w:rFonts w:ascii="Simplified Arabic" w:eastAsia="Times New Roman" w:hAnsi="Simplified Arabic" w:cs="Simplified Arabic"/>
          <w:color w:val="1A1A1A"/>
          <w:sz w:val="28"/>
          <w:szCs w:val="28"/>
          <w14:ligatures w14:val="none"/>
        </w:rPr>
        <w:t xml:space="preserve"> the Unit (maintenance); the Board (gate authority). </w:t>
      </w:r>
      <w:r w:rsidRPr="00DD1558">
        <w:rPr>
          <w:rFonts w:ascii="Simplified Arabic" w:eastAsia="Times New Roman" w:hAnsi="Simplified Arabic" w:cs="Simplified Arabic"/>
          <w:i/>
          <w:iCs/>
          <w:color w:val="1A1A1A"/>
          <w:sz w:val="28"/>
          <w:szCs w:val="28"/>
          <w14:ligatures w14:val="none"/>
        </w:rPr>
        <w:t>Frequency:</w:t>
      </w:r>
      <w:r w:rsidRPr="00DD1558">
        <w:rPr>
          <w:rFonts w:ascii="Simplified Arabic" w:eastAsia="Times New Roman" w:hAnsi="Simplified Arabic" w:cs="Simplified Arabic"/>
          <w:color w:val="1A1A1A"/>
          <w:sz w:val="28"/>
          <w:szCs w:val="28"/>
          <w14:ligatures w14:val="none"/>
        </w:rPr>
        <w:t xml:space="preserve"> termly assessment; the gate decision itself is singular. </w:t>
      </w:r>
      <w:r w:rsidRPr="00DD1558">
        <w:rPr>
          <w:rFonts w:ascii="Simplified Arabic" w:eastAsia="Times New Roman" w:hAnsi="Simplified Arabic" w:cs="Simplified Arabic"/>
          <w:i/>
          <w:iCs/>
          <w:color w:val="1A1A1A"/>
          <w:sz w:val="28"/>
          <w:szCs w:val="28"/>
          <w14:ligatures w14:val="none"/>
        </w:rPr>
        <w:t>Directional target:</w:t>
      </w:r>
      <w:r w:rsidRPr="00DD1558">
        <w:rPr>
          <w:rFonts w:ascii="Simplified Arabic" w:eastAsia="Times New Roman" w:hAnsi="Simplified Arabic" w:cs="Simplified Arabic"/>
          <w:color w:val="1A1A1A"/>
          <w:sz w:val="28"/>
          <w:szCs w:val="28"/>
          <w14:ligatures w14:val="none"/>
        </w:rPr>
        <w:t xml:space="preserve"> establish-then-improve toward all-</w:t>
      </w:r>
      <w:r w:rsidRPr="00DD1558">
        <w:rPr>
          <w:rFonts w:ascii="Simplified Arabic" w:eastAsia="Times New Roman" w:hAnsi="Simplified Arabic" w:cs="Simplified Arabic"/>
          <w:color w:val="1A1A1A"/>
          <w:sz w:val="28"/>
          <w:szCs w:val="28"/>
          <w14:ligatures w14:val="none"/>
        </w:rPr>
        <w:lastRenderedPageBreak/>
        <w:t xml:space="preserve">items-met. </w:t>
      </w:r>
      <w:r w:rsidRPr="00DD1558">
        <w:rPr>
          <w:rFonts w:ascii="Simplified Arabic" w:eastAsia="Times New Roman" w:hAnsi="Simplified Arabic" w:cs="Simplified Arabic"/>
          <w:i/>
          <w:iCs/>
          <w:color w:val="1A1A1A"/>
          <w:sz w:val="28"/>
          <w:szCs w:val="28"/>
          <w14:ligatures w14:val="none"/>
        </w:rPr>
        <w:t>Linked barrier:</w:t>
      </w:r>
      <w:r w:rsidRPr="00DD1558">
        <w:rPr>
          <w:rFonts w:ascii="Simplified Arabic" w:eastAsia="Times New Roman" w:hAnsi="Simplified Arabic" w:cs="Simplified Arabic"/>
          <w:color w:val="1A1A1A"/>
          <w:sz w:val="28"/>
          <w:szCs w:val="28"/>
          <w14:ligatures w14:val="none"/>
        </w:rPr>
        <w:t xml:space="preserve"> the Perform-band precondition as a whole; formally, the G4 gate of </w:t>
      </w:r>
      <w:hyperlink w:anchor="section46" w:history="1">
        <w:r w:rsidRPr="00CD2E5F">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Linked risk:</w:t>
      </w:r>
      <w:r w:rsidRPr="00DD1558">
        <w:rPr>
          <w:rFonts w:ascii="Simplified Arabic" w:eastAsia="Times New Roman" w:hAnsi="Simplified Arabic" w:cs="Simplified Arabic"/>
          <w:color w:val="1A1A1A"/>
          <w:sz w:val="28"/>
          <w:szCs w:val="28"/>
          <w14:ligatures w14:val="none"/>
        </w:rPr>
        <w:t xml:space="preserve"> RR-15 (premature digital platform investment), which this indicator holds closed by making readiness a demonstrated condition rather than a procurement impulse.</w:t>
      </w:r>
    </w:p>
    <w:p w14:paraId="61AB95BA"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75" w:name="_Toc237539775"/>
      <w:r w:rsidRPr="00DD1558">
        <w:rPr>
          <w:rFonts w:ascii="Simplified Arabic" w:eastAsiaTheme="majorEastAsia" w:hAnsi="Simplified Arabic" w:cs="Simplified Arabic"/>
          <w:sz w:val="28"/>
          <w:szCs w:val="28"/>
        </w:rPr>
        <w:t>4.4</w:t>
      </w:r>
      <w:r w:rsidRPr="00DD1558">
        <w:rPr>
          <w:rFonts w:ascii="Simplified Arabic" w:eastAsiaTheme="majorEastAsia" w:hAnsi="Simplified Arabic" w:cstheme="majorBidi"/>
          <w:sz w:val="28"/>
          <w:szCs w:val="28"/>
        </w:rPr>
        <w:t>.5 The Governance Dashboard</w:t>
      </w:r>
      <w:bookmarkEnd w:id="175"/>
    </w:p>
    <w:p w14:paraId="0E9BDF48" w14:textId="25241DC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fourteen indicators consolidate into a single governance dashboard — one instrument through which the Board, the Committee, and the Unit observe the barrier architecture’s performance as a whole. </w:t>
      </w:r>
      <w:hyperlink w:anchor="Table12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273038">
          <w:rPr>
            <w:rFonts w:ascii="Simplified Arabic" w:eastAsia="Times New Roman" w:hAnsi="Simplified Arabic" w:cs="Simplified Arabic"/>
            <w:color w:val="467886" w:themeColor="hyperlink"/>
            <w:sz w:val="28"/>
            <w:szCs w:val="28"/>
            <w:u w:val="single"/>
            <w14:ligatures w14:val="none"/>
          </w:rPr>
          <w:t>12</w:t>
        </w:r>
        <w:r w:rsidRPr="00DD1558">
          <w:rPr>
            <w:rFonts w:ascii="Simplified Arabic" w:eastAsia="Times New Roman" w:hAnsi="Simplified Arabic" w:cs="Simplified Arabic"/>
            <w:color w:val="467886" w:themeColor="hyperlink"/>
            <w:sz w:val="28"/>
            <w:szCs w:val="28"/>
            <w:u w:val="single"/>
            <w14:ligatures w14:val="none"/>
          </w:rPr>
          <w:t>.</w:t>
        </w:r>
        <w:r w:rsidR="00273038">
          <w:rPr>
            <w:rFonts w:ascii="Simplified Arabic" w:eastAsia="Times New Roman" w:hAnsi="Simplified Arabic" w:cs="Simplified Arabic"/>
            <w:color w:val="467886" w:themeColor="hyperlink"/>
            <w:sz w:val="28"/>
            <w:szCs w:val="28"/>
            <w:u w:val="single"/>
            <w14:ligatures w14:val="none"/>
          </w:rPr>
          <w:t>4</w:t>
        </w:r>
      </w:hyperlink>
      <w:r w:rsidRPr="00DD1558">
        <w:rPr>
          <w:rFonts w:ascii="Simplified Arabic" w:eastAsia="Times New Roman" w:hAnsi="Simplified Arabic" w:cs="Simplified Arabic"/>
          <w:color w:val="1A1A1A"/>
          <w:sz w:val="28"/>
          <w:szCs w:val="28"/>
          <w14:ligatures w14:val="none"/>
        </w:rPr>
        <w:t xml:space="preserve"> presents the consolidated specification: every KPI with its domain, measurement method, data source, owner, frequency, directional target, linked barrier, and linked entries from </w:t>
      </w:r>
      <w:hyperlink w:anchor="section293" w:history="1">
        <w:r w:rsidR="000A422D" w:rsidRPr="00CD2E5F">
          <w:rPr>
            <w:rStyle w:val="Hyperlink"/>
            <w:rFonts w:ascii="Simplified Arabic" w:eastAsia="Times New Roman" w:hAnsi="Simplified Arabic" w:cs="Simplified Arabic"/>
            <w:sz w:val="28"/>
            <w:szCs w:val="28"/>
            <w14:ligatures w14:val="none"/>
          </w:rPr>
          <w:t>Section 2.9.3</w:t>
        </w:r>
      </w:hyperlink>
      <w:r w:rsidRPr="00DD1558">
        <w:rPr>
          <w:rFonts w:ascii="Simplified Arabic" w:eastAsia="Times New Roman" w:hAnsi="Simplified Arabic" w:cs="Simplified Arabic"/>
          <w:color w:val="1A1A1A"/>
          <w:sz w:val="28"/>
          <w:szCs w:val="28"/>
          <w14:ligatures w14:val="none"/>
        </w:rPr>
        <w:t xml:space="preserve">’s FIRM-classified register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{"citationID":"OWglhvDE","properties":{"unsorted":false,"formattedCitation":"(Hopkin,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consolidation is itself a design claim: because every row names a barrier and a risk, the dashboard covers the Bow-Tie architecture and the register’s standing operational core without remainder, and a Board reviewing the dashboard is, by construction, reviewing the whole framework.</w:t>
      </w:r>
    </w:p>
    <w:p w14:paraId="0CD1976A" w14:textId="2209DF1B"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p>
    <w:p w14:paraId="684300F2" w14:textId="431C1D66" w:rsidR="00273038" w:rsidRDefault="00273038" w:rsidP="00273038">
      <w:pPr>
        <w:pStyle w:val="Caption"/>
        <w:keepNext/>
        <w:bidi w:val="0"/>
      </w:pPr>
      <w:bookmarkStart w:id="176" w:name="_Toc237107841"/>
      <w:r>
        <w:t>T</w:t>
      </w:r>
      <w:bookmarkStart w:id="177" w:name="Table124"/>
      <w:bookmarkEnd w:id="177"/>
      <w:r>
        <w:t xml:space="preserve">able </w:t>
      </w:r>
      <w:r w:rsidR="00E25CEC">
        <w:t>4</w:t>
      </w:r>
      <w:r>
        <w:t>.</w:t>
      </w:r>
      <w:r w:rsidR="00E25CEC">
        <w:t>7</w:t>
      </w:r>
      <w:r w:rsidRPr="00C93943">
        <w:t xml:space="preserve">. Consolidated governance dashboard for the participatory inventory framework (directional targets: ↑ increase; ↓ decrease; E→I establish-then-improve; risk IDs per </w:t>
      </w:r>
      <w:hyperlink w:anchor="Table114" w:history="1">
        <w:r w:rsidRPr="00273038">
          <w:rPr>
            <w:rStyle w:val="Hyperlink"/>
          </w:rPr>
          <w:t xml:space="preserve">Table </w:t>
        </w:r>
        <w:r w:rsidR="00E25CEC">
          <w:rPr>
            <w:rStyle w:val="Hyperlink"/>
          </w:rPr>
          <w:t>4</w:t>
        </w:r>
        <w:r w:rsidRPr="00273038">
          <w:rPr>
            <w:rStyle w:val="Hyperlink"/>
          </w:rPr>
          <w:t>.</w:t>
        </w:r>
        <w:r w:rsidR="00E25CEC">
          <w:rPr>
            <w:rStyle w:val="Hyperlink"/>
          </w:rPr>
          <w:t>6</w:t>
        </w:r>
      </w:hyperlink>
      <w:r w:rsidRPr="00C93943">
        <w:t>)</w:t>
      </w:r>
      <w:bookmarkEnd w:id="176"/>
    </w:p>
    <w:tbl>
      <w:tblPr>
        <w:tblStyle w:val="Table"/>
        <w:tblW w:w="5000" w:type="pct"/>
        <w:tblBorders>
          <w:top w:val="single" w:sz="12" w:space="0" w:color="44546A"/>
          <w:bottom w:val="single" w:sz="12" w:space="0" w:color="44546A"/>
        </w:tblBorders>
        <w:tblLayout w:type="fixed"/>
        <w:tblCellMar>
          <w:left w:w="60" w:type="dxa"/>
          <w:right w:w="60" w:type="dxa"/>
        </w:tblCellMar>
        <w:tblLook w:val="0020" w:firstRow="1" w:lastRow="0" w:firstColumn="0" w:lastColumn="0" w:noHBand="0" w:noVBand="0"/>
      </w:tblPr>
      <w:tblGrid>
        <w:gridCol w:w="719"/>
        <w:gridCol w:w="993"/>
        <w:gridCol w:w="1313"/>
        <w:gridCol w:w="1222"/>
        <w:gridCol w:w="1191"/>
        <w:gridCol w:w="1161"/>
        <w:gridCol w:w="1008"/>
        <w:gridCol w:w="1024"/>
        <w:gridCol w:w="810"/>
        <w:gridCol w:w="765"/>
      </w:tblGrid>
      <w:tr w:rsidR="00DD1558" w:rsidRPr="00DD1558" w14:paraId="004B4B42"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900" w:type="dxa"/>
            <w:tcBorders>
              <w:bottom w:val="single" w:sz="8" w:space="0" w:color="44546A"/>
            </w:tcBorders>
            <w:vAlign w:val="top"/>
          </w:tcPr>
          <w:p w14:paraId="5FAA713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KPI ID</w:t>
            </w:r>
          </w:p>
        </w:tc>
        <w:tc>
          <w:tcPr>
            <w:tcW w:w="1260" w:type="dxa"/>
            <w:tcBorders>
              <w:bottom w:val="single" w:sz="8" w:space="0" w:color="44546A"/>
            </w:tcBorders>
            <w:vAlign w:val="top"/>
          </w:tcPr>
          <w:p w14:paraId="28C5E4D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Domain</w:t>
            </w:r>
          </w:p>
        </w:tc>
        <w:tc>
          <w:tcPr>
            <w:tcW w:w="1680" w:type="dxa"/>
            <w:tcBorders>
              <w:bottom w:val="single" w:sz="8" w:space="0" w:color="44546A"/>
            </w:tcBorders>
            <w:vAlign w:val="top"/>
          </w:tcPr>
          <w:p w14:paraId="4AE88C6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Indicator</w:t>
            </w:r>
          </w:p>
        </w:tc>
        <w:tc>
          <w:tcPr>
            <w:tcW w:w="1560" w:type="dxa"/>
            <w:tcBorders>
              <w:bottom w:val="single" w:sz="8" w:space="0" w:color="44546A"/>
            </w:tcBorders>
            <w:vAlign w:val="top"/>
          </w:tcPr>
          <w:p w14:paraId="565F41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Measurement method</w:t>
            </w:r>
          </w:p>
        </w:tc>
        <w:tc>
          <w:tcPr>
            <w:tcW w:w="1520" w:type="dxa"/>
            <w:tcBorders>
              <w:bottom w:val="single" w:sz="8" w:space="0" w:color="44546A"/>
            </w:tcBorders>
            <w:vAlign w:val="top"/>
          </w:tcPr>
          <w:p w14:paraId="1F52768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Data source</w:t>
            </w:r>
          </w:p>
        </w:tc>
        <w:tc>
          <w:tcPr>
            <w:tcW w:w="1480" w:type="dxa"/>
            <w:tcBorders>
              <w:bottom w:val="single" w:sz="8" w:space="0" w:color="44546A"/>
            </w:tcBorders>
            <w:vAlign w:val="top"/>
          </w:tcPr>
          <w:p w14:paraId="399A670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Owner</w:t>
            </w:r>
          </w:p>
        </w:tc>
        <w:tc>
          <w:tcPr>
            <w:tcW w:w="1280" w:type="dxa"/>
            <w:tcBorders>
              <w:bottom w:val="single" w:sz="8" w:space="0" w:color="44546A"/>
            </w:tcBorders>
            <w:vAlign w:val="top"/>
          </w:tcPr>
          <w:p w14:paraId="736F115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Frequency</w:t>
            </w:r>
          </w:p>
        </w:tc>
        <w:tc>
          <w:tcPr>
            <w:tcW w:w="1300" w:type="dxa"/>
            <w:tcBorders>
              <w:bottom w:val="single" w:sz="8" w:space="0" w:color="44546A"/>
            </w:tcBorders>
            <w:vAlign w:val="top"/>
          </w:tcPr>
          <w:p w14:paraId="06F83CD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Directional target</w:t>
            </w:r>
          </w:p>
        </w:tc>
        <w:tc>
          <w:tcPr>
            <w:tcW w:w="1020" w:type="dxa"/>
            <w:tcBorders>
              <w:bottom w:val="single" w:sz="8" w:space="0" w:color="44546A"/>
            </w:tcBorders>
            <w:vAlign w:val="top"/>
          </w:tcPr>
          <w:p w14:paraId="7C43246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Linked barrier</w:t>
            </w:r>
          </w:p>
        </w:tc>
        <w:tc>
          <w:tcPr>
            <w:tcW w:w="960" w:type="dxa"/>
            <w:tcBorders>
              <w:bottom w:val="single" w:sz="8" w:space="0" w:color="44546A"/>
            </w:tcBorders>
            <w:vAlign w:val="top"/>
          </w:tcPr>
          <w:p w14:paraId="36D7650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Linked risk IDs</w:t>
            </w:r>
          </w:p>
        </w:tc>
      </w:tr>
      <w:tr w:rsidR="00DD1558" w:rsidRPr="00DD1558" w14:paraId="71A587B8" w14:textId="77777777" w:rsidTr="00C71E92">
        <w:tc>
          <w:tcPr>
            <w:tcW w:w="900" w:type="dxa"/>
          </w:tcPr>
          <w:p w14:paraId="6392DFA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KPI-O1</w:t>
            </w:r>
          </w:p>
        </w:tc>
        <w:tc>
          <w:tcPr>
            <w:tcW w:w="1260" w:type="dxa"/>
          </w:tcPr>
          <w:p w14:paraId="149B81E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2CD380E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Shared asset utilization</w:t>
            </w:r>
          </w:p>
        </w:tc>
        <w:tc>
          <w:tcPr>
            <w:tcW w:w="1560" w:type="dxa"/>
          </w:tcPr>
          <w:p w14:paraId="49047BF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Qualitative reading of cross-lab loan events against custodian holdings</w:t>
            </w:r>
          </w:p>
        </w:tc>
        <w:tc>
          <w:tcPr>
            <w:tcW w:w="1520" w:type="dxa"/>
          </w:tcPr>
          <w:p w14:paraId="4C14F4C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shared registry (loan audit trail)</w:t>
            </w:r>
          </w:p>
        </w:tc>
        <w:tc>
          <w:tcPr>
            <w:tcW w:w="1480" w:type="dxa"/>
          </w:tcPr>
          <w:p w14:paraId="5AFFFAD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(compiles); Board (reviews)</w:t>
            </w:r>
          </w:p>
        </w:tc>
        <w:tc>
          <w:tcPr>
            <w:tcW w:w="1280" w:type="dxa"/>
          </w:tcPr>
          <w:p w14:paraId="2946136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0063D48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10DC0A2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MB2</w:t>
            </w:r>
          </w:p>
        </w:tc>
        <w:tc>
          <w:tcPr>
            <w:tcW w:w="960" w:type="dxa"/>
          </w:tcPr>
          <w:p w14:paraId="647EDB0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RR-10, RR-11</w:t>
            </w:r>
          </w:p>
        </w:tc>
      </w:tr>
      <w:tr w:rsidR="00DD1558" w:rsidRPr="00DD1558" w14:paraId="11EA3AEA" w14:textId="77777777" w:rsidTr="00C71E92">
        <w:tc>
          <w:tcPr>
            <w:tcW w:w="900" w:type="dxa"/>
          </w:tcPr>
          <w:p w14:paraId="76548AA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KPI-O2</w:t>
            </w:r>
          </w:p>
        </w:tc>
        <w:tc>
          <w:tcPr>
            <w:tcW w:w="1260" w:type="dxa"/>
          </w:tcPr>
          <w:p w14:paraId="2457858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4CAA5EB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Inter-lab loan cycle time</w:t>
            </w:r>
          </w:p>
        </w:tc>
        <w:tc>
          <w:tcPr>
            <w:tcW w:w="1560" w:type="dxa"/>
          </w:tcPr>
          <w:p w14:paraId="3EFF6D3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Trend reading of workflow timestamps (request-to-approval; handover-to-return)</w:t>
            </w:r>
          </w:p>
        </w:tc>
        <w:tc>
          <w:tcPr>
            <w:tcW w:w="1520" w:type="dxa"/>
          </w:tcPr>
          <w:p w14:paraId="680CAFD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workflow logs</w:t>
            </w:r>
          </w:p>
        </w:tc>
        <w:tc>
          <w:tcPr>
            <w:tcW w:w="1480" w:type="dxa"/>
          </w:tcPr>
          <w:p w14:paraId="49C1B58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(compiles); Custodian Dept (responds)</w:t>
            </w:r>
          </w:p>
        </w:tc>
        <w:tc>
          <w:tcPr>
            <w:tcW w:w="1280" w:type="dxa"/>
          </w:tcPr>
          <w:p w14:paraId="275EA6C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7531283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79E08C7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EB3</w:t>
            </w:r>
          </w:p>
        </w:tc>
        <w:tc>
          <w:tcPr>
            <w:tcW w:w="960" w:type="dxa"/>
          </w:tcPr>
          <w:p w14:paraId="367A6E6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RR-06, RR-10</w:t>
            </w:r>
          </w:p>
        </w:tc>
      </w:tr>
      <w:tr w:rsidR="00DD1558" w:rsidRPr="00DD1558" w14:paraId="12C4D17E" w14:textId="77777777" w:rsidTr="00C71E92">
        <w:tc>
          <w:tcPr>
            <w:tcW w:w="900" w:type="dxa"/>
          </w:tcPr>
          <w:p w14:paraId="61E2E02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KPI-O3</w:t>
            </w:r>
          </w:p>
        </w:tc>
        <w:tc>
          <w:tcPr>
            <w:tcW w:w="1260" w:type="dxa"/>
          </w:tcPr>
          <w:p w14:paraId="57BDF40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2D47DC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FEFO conformity rate</w:t>
            </w:r>
          </w:p>
        </w:tc>
        <w:tc>
          <w:tcPr>
            <w:tcW w:w="1560" w:type="dxa"/>
          </w:tcPr>
          <w:p w14:paraId="38D4B62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Structured shelf-audit observation against the FEFO standard checklist</w:t>
            </w:r>
          </w:p>
        </w:tc>
        <w:tc>
          <w:tcPr>
            <w:tcW w:w="1520" w:type="dxa"/>
          </w:tcPr>
          <w:p w14:paraId="535DD48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Shelf-audit records; expiry-flag entries</w:t>
            </w:r>
          </w:p>
        </w:tc>
        <w:tc>
          <w:tcPr>
            <w:tcW w:w="1480" w:type="dxa"/>
          </w:tcPr>
          <w:p w14:paraId="51AF4CB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Board via EB1</w:t>
            </w:r>
          </w:p>
        </w:tc>
        <w:tc>
          <w:tcPr>
            <w:tcW w:w="1280" w:type="dxa"/>
          </w:tcPr>
          <w:p w14:paraId="4D1F8E4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w:t>
            </w:r>
          </w:p>
        </w:tc>
        <w:tc>
          <w:tcPr>
            <w:tcW w:w="1300" w:type="dxa"/>
          </w:tcPr>
          <w:p w14:paraId="4EA22CA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3E98145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w:t>
            </w:r>
          </w:p>
        </w:tc>
        <w:tc>
          <w:tcPr>
            <w:tcW w:w="960" w:type="dxa"/>
          </w:tcPr>
          <w:p w14:paraId="6B50B88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RR-08, RR-12</w:t>
            </w:r>
          </w:p>
        </w:tc>
      </w:tr>
      <w:tr w:rsidR="00DD1558" w:rsidRPr="00DD1558" w14:paraId="55C04B03" w14:textId="77777777" w:rsidTr="00C71E92">
        <w:tc>
          <w:tcPr>
            <w:tcW w:w="900" w:type="dxa"/>
          </w:tcPr>
          <w:p w14:paraId="23A5815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KPI-O4</w:t>
            </w:r>
          </w:p>
        </w:tc>
        <w:tc>
          <w:tcPr>
            <w:tcW w:w="1260" w:type="dxa"/>
          </w:tcPr>
          <w:p w14:paraId="1F60247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46641A7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Duplicate-purchase displacement</w:t>
            </w:r>
          </w:p>
        </w:tc>
        <w:tc>
          <w:tcPr>
            <w:tcW w:w="1560" w:type="dxa"/>
          </w:tcPr>
          <w:p w14:paraId="0957046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Review of eligibility-check outcomes (proceed vs. displaced)</w:t>
            </w:r>
          </w:p>
        </w:tc>
        <w:tc>
          <w:tcPr>
            <w:tcW w:w="1520" w:type="dxa"/>
          </w:tcPr>
          <w:p w14:paraId="6A514C8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 eligibility-check records</w:t>
            </w:r>
          </w:p>
        </w:tc>
        <w:tc>
          <w:tcPr>
            <w:tcW w:w="1480" w:type="dxa"/>
          </w:tcPr>
          <w:p w14:paraId="4BF1676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(certifies/compiles); Board</w:t>
            </w:r>
          </w:p>
        </w:tc>
        <w:tc>
          <w:tcPr>
            <w:tcW w:w="1280" w:type="dxa"/>
          </w:tcPr>
          <w:p w14:paraId="0717BEA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34F9819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62ECE91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w:t>
            </w:r>
          </w:p>
        </w:tc>
        <w:tc>
          <w:tcPr>
            <w:tcW w:w="960" w:type="dxa"/>
          </w:tcPr>
          <w:p w14:paraId="35B7583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RR-07</w:t>
            </w:r>
          </w:p>
        </w:tc>
      </w:tr>
      <w:tr w:rsidR="00DD1558" w:rsidRPr="00DD1558" w14:paraId="6AC7A3BF" w14:textId="77777777" w:rsidTr="00C71E92">
        <w:tc>
          <w:tcPr>
            <w:tcW w:w="900" w:type="dxa"/>
          </w:tcPr>
          <w:p w14:paraId="4D0A96C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KPI-E1</w:t>
            </w:r>
          </w:p>
        </w:tc>
        <w:tc>
          <w:tcPr>
            <w:tcW w:w="1260" w:type="dxa"/>
          </w:tcPr>
          <w:p w14:paraId="2A47C86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1EDF1AE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Hazardous waste reduction</w:t>
            </w:r>
          </w:p>
        </w:tc>
        <w:tc>
          <w:tcPr>
            <w:tcW w:w="1560" w:type="dxa"/>
          </w:tcPr>
          <w:p w14:paraId="701754A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Qualitative trend of governed disposal manifests with composition commentary</w:t>
            </w:r>
          </w:p>
        </w:tc>
        <w:tc>
          <w:tcPr>
            <w:tcW w:w="1520" w:type="dxa"/>
          </w:tcPr>
          <w:p w14:paraId="4A174A8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 disposal manifests</w:t>
            </w:r>
          </w:p>
        </w:tc>
        <w:tc>
          <w:tcPr>
            <w:tcW w:w="1480" w:type="dxa"/>
          </w:tcPr>
          <w:p w14:paraId="7A922DC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Committee (safety interface); Board</w:t>
            </w:r>
          </w:p>
        </w:tc>
        <w:tc>
          <w:tcPr>
            <w:tcW w:w="1280" w:type="dxa"/>
          </w:tcPr>
          <w:p w14:paraId="54F2E8E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consolidation</w:t>
            </w:r>
          </w:p>
        </w:tc>
        <w:tc>
          <w:tcPr>
            <w:tcW w:w="1300" w:type="dxa"/>
          </w:tcPr>
          <w:p w14:paraId="05DD0BE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0C1F7D8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 MB2, MB3</w:t>
            </w:r>
          </w:p>
        </w:tc>
        <w:tc>
          <w:tcPr>
            <w:tcW w:w="960" w:type="dxa"/>
          </w:tcPr>
          <w:p w14:paraId="2F1F9C9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RR-12, RR-13</w:t>
            </w:r>
          </w:p>
        </w:tc>
      </w:tr>
      <w:tr w:rsidR="00DD1558" w:rsidRPr="00DD1558" w14:paraId="59686B1A" w14:textId="77777777" w:rsidTr="00C71E92">
        <w:tc>
          <w:tcPr>
            <w:tcW w:w="900" w:type="dxa"/>
          </w:tcPr>
          <w:p w14:paraId="07E1D47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KPI-E2</w:t>
            </w:r>
          </w:p>
        </w:tc>
        <w:tc>
          <w:tcPr>
            <w:tcW w:w="1260" w:type="dxa"/>
          </w:tcPr>
          <w:p w14:paraId="7DA1B43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3F8BCF5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Pre-expiry redistribution rate</w:t>
            </w:r>
          </w:p>
        </w:tc>
        <w:tc>
          <w:tcPr>
            <w:tcW w:w="1560" w:type="dxa"/>
          </w:tcPr>
          <w:p w14:paraId="719F08E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Balance of executed pre-expiry redistribution</w:t>
            </w:r>
            <w:r w:rsidRPr="00DD1558">
              <w:rPr>
                <w:rFonts w:ascii="Simplified Arabic" w:hAnsi="Simplified Arabic" w:cs="Simplified Arabic"/>
                <w:sz w:val="20"/>
                <w:szCs w:val="20"/>
              </w:rPr>
              <w:lastRenderedPageBreak/>
              <w:t>s vs. expiry write-offs</w:t>
            </w:r>
          </w:p>
        </w:tc>
        <w:tc>
          <w:tcPr>
            <w:tcW w:w="1520" w:type="dxa"/>
          </w:tcPr>
          <w:p w14:paraId="7D25C29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MB2 custody logs; expiry-flag histories</w:t>
            </w:r>
          </w:p>
        </w:tc>
        <w:tc>
          <w:tcPr>
            <w:tcW w:w="1480" w:type="dxa"/>
          </w:tcPr>
          <w:p w14:paraId="2CA6DCB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 xml:space="preserve">Unit (compiles); </w:t>
            </w:r>
            <w:r w:rsidRPr="00DD1558">
              <w:rPr>
                <w:rFonts w:ascii="Simplified Arabic" w:hAnsi="Simplified Arabic" w:cs="Simplified Arabic"/>
                <w:sz w:val="20"/>
                <w:szCs w:val="20"/>
              </w:rPr>
              <w:lastRenderedPageBreak/>
              <w:t>Custodian Dept</w:t>
            </w:r>
          </w:p>
        </w:tc>
        <w:tc>
          <w:tcPr>
            <w:tcW w:w="1280" w:type="dxa"/>
          </w:tcPr>
          <w:p w14:paraId="186E4BC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Termly</w:t>
            </w:r>
          </w:p>
        </w:tc>
        <w:tc>
          <w:tcPr>
            <w:tcW w:w="1300" w:type="dxa"/>
          </w:tcPr>
          <w:p w14:paraId="5A5E997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7A333C1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MB2</w:t>
            </w:r>
          </w:p>
        </w:tc>
        <w:tc>
          <w:tcPr>
            <w:tcW w:w="960" w:type="dxa"/>
          </w:tcPr>
          <w:p w14:paraId="1A94CC2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RR-09, RR-12</w:t>
            </w:r>
          </w:p>
        </w:tc>
      </w:tr>
      <w:tr w:rsidR="00DD1558" w:rsidRPr="00DD1558" w14:paraId="58F954EB" w14:textId="77777777" w:rsidTr="00C71E92">
        <w:tc>
          <w:tcPr>
            <w:tcW w:w="900" w:type="dxa"/>
          </w:tcPr>
          <w:p w14:paraId="15E19F1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KPI-E3</w:t>
            </w:r>
          </w:p>
        </w:tc>
        <w:tc>
          <w:tcPr>
            <w:tcW w:w="1260" w:type="dxa"/>
          </w:tcPr>
          <w:p w14:paraId="0BA1C6C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585345F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Expired-stock incidence</w:t>
            </w:r>
          </w:p>
        </w:tc>
        <w:tc>
          <w:tcPr>
            <w:tcW w:w="1560" w:type="dxa"/>
          </w:tcPr>
          <w:p w14:paraId="0DB0CD4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Joint reading of expiry flags and audit expiry observations per cycle</w:t>
            </w:r>
          </w:p>
        </w:tc>
        <w:tc>
          <w:tcPr>
            <w:tcW w:w="1520" w:type="dxa"/>
          </w:tcPr>
          <w:p w14:paraId="52BF285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expiry flags; shelf-audit records</w:t>
            </w:r>
          </w:p>
        </w:tc>
        <w:tc>
          <w:tcPr>
            <w:tcW w:w="1480" w:type="dxa"/>
          </w:tcPr>
          <w:p w14:paraId="0A7BFA9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Committee</w:t>
            </w:r>
          </w:p>
        </w:tc>
        <w:tc>
          <w:tcPr>
            <w:tcW w:w="1280" w:type="dxa"/>
          </w:tcPr>
          <w:p w14:paraId="51480F1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 termly summary</w:t>
            </w:r>
          </w:p>
        </w:tc>
        <w:tc>
          <w:tcPr>
            <w:tcW w:w="1300" w:type="dxa"/>
          </w:tcPr>
          <w:p w14:paraId="54771E8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78DBC81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w:t>
            </w:r>
          </w:p>
        </w:tc>
        <w:tc>
          <w:tcPr>
            <w:tcW w:w="960" w:type="dxa"/>
          </w:tcPr>
          <w:p w14:paraId="2298BF8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RR-08, RR-12</w:t>
            </w:r>
          </w:p>
        </w:tc>
      </w:tr>
      <w:tr w:rsidR="00DD1558" w:rsidRPr="00DD1558" w14:paraId="5717FAD9" w14:textId="77777777" w:rsidTr="00C71E92">
        <w:tc>
          <w:tcPr>
            <w:tcW w:w="900" w:type="dxa"/>
          </w:tcPr>
          <w:p w14:paraId="703BAD4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KPI-E4</w:t>
            </w:r>
          </w:p>
        </w:tc>
        <w:tc>
          <w:tcPr>
            <w:tcW w:w="1260" w:type="dxa"/>
          </w:tcPr>
          <w:p w14:paraId="3C72C0C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195A594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Disposal-protocol conformity</w:t>
            </w:r>
          </w:p>
        </w:tc>
        <w:tc>
          <w:tcPr>
            <w:tcW w:w="1560" w:type="dxa"/>
          </w:tcPr>
          <w:p w14:paraId="3A1EC69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Conformity assessment of disposal documentation; cl. 9.1.2 evaluation analogue; cl. 8.2 exercise note</w:t>
            </w:r>
          </w:p>
        </w:tc>
        <w:tc>
          <w:tcPr>
            <w:tcW w:w="1520" w:type="dxa"/>
          </w:tcPr>
          <w:p w14:paraId="49B6511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 disposal records; evaluation and exercise documentation</w:t>
            </w:r>
          </w:p>
        </w:tc>
        <w:tc>
          <w:tcPr>
            <w:tcW w:w="1480" w:type="dxa"/>
          </w:tcPr>
          <w:p w14:paraId="7252F52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Committee with safety and compliance officer</w:t>
            </w:r>
          </w:p>
        </w:tc>
        <w:tc>
          <w:tcPr>
            <w:tcW w:w="1280" w:type="dxa"/>
          </w:tcPr>
          <w:p w14:paraId="7394437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 annual consolidation</w:t>
            </w:r>
          </w:p>
        </w:tc>
        <w:tc>
          <w:tcPr>
            <w:tcW w:w="1300" w:type="dxa"/>
          </w:tcPr>
          <w:p w14:paraId="19ED2C2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(then hold)</w:t>
            </w:r>
          </w:p>
        </w:tc>
        <w:tc>
          <w:tcPr>
            <w:tcW w:w="1020" w:type="dxa"/>
          </w:tcPr>
          <w:p w14:paraId="3AC2F09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w:t>
            </w:r>
          </w:p>
        </w:tc>
        <w:tc>
          <w:tcPr>
            <w:tcW w:w="960" w:type="dxa"/>
          </w:tcPr>
          <w:p w14:paraId="63949B5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RR-13, RR-14</w:t>
            </w:r>
          </w:p>
        </w:tc>
      </w:tr>
      <w:tr w:rsidR="00DD1558" w:rsidRPr="00DD1558" w14:paraId="33A2426A" w14:textId="77777777" w:rsidTr="00C71E92">
        <w:tc>
          <w:tcPr>
            <w:tcW w:w="900" w:type="dxa"/>
          </w:tcPr>
          <w:p w14:paraId="4DFF310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KPI-G1</w:t>
            </w:r>
          </w:p>
        </w:tc>
        <w:tc>
          <w:tcPr>
            <w:tcW w:w="1260" w:type="dxa"/>
          </w:tcPr>
          <w:p w14:paraId="5209678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4DD4D16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Catalog standardization coverage</w:t>
            </w:r>
          </w:p>
        </w:tc>
        <w:tc>
          <w:tcPr>
            <w:tcW w:w="1560" w:type="dxa"/>
          </w:tcPr>
          <w:p w14:paraId="78711FF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Census of records conforming to the catalog standard vs. legacy records</w:t>
            </w:r>
          </w:p>
        </w:tc>
        <w:tc>
          <w:tcPr>
            <w:tcW w:w="1520" w:type="dxa"/>
          </w:tcPr>
          <w:p w14:paraId="26E473F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onboarding records</w:t>
            </w:r>
          </w:p>
        </w:tc>
        <w:tc>
          <w:tcPr>
            <w:tcW w:w="1480" w:type="dxa"/>
          </w:tcPr>
          <w:p w14:paraId="2541A2C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w:t>
            </w:r>
          </w:p>
        </w:tc>
        <w:tc>
          <w:tcPr>
            <w:tcW w:w="1280" w:type="dxa"/>
          </w:tcPr>
          <w:p w14:paraId="620E49D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during onboarding; on change thereafter</w:t>
            </w:r>
          </w:p>
        </w:tc>
        <w:tc>
          <w:tcPr>
            <w:tcW w:w="1300" w:type="dxa"/>
          </w:tcPr>
          <w:p w14:paraId="5932A0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(toward G2 criterion)</w:t>
            </w:r>
          </w:p>
        </w:tc>
        <w:tc>
          <w:tcPr>
            <w:tcW w:w="1020" w:type="dxa"/>
          </w:tcPr>
          <w:p w14:paraId="0635FD9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PB1</w:t>
            </w:r>
          </w:p>
        </w:tc>
        <w:tc>
          <w:tcPr>
            <w:tcW w:w="960" w:type="dxa"/>
          </w:tcPr>
          <w:p w14:paraId="604E370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RR-03</w:t>
            </w:r>
          </w:p>
        </w:tc>
      </w:tr>
      <w:tr w:rsidR="00DD1558" w:rsidRPr="00DD1558" w14:paraId="2AE0E95C" w14:textId="77777777" w:rsidTr="00C71E92">
        <w:tc>
          <w:tcPr>
            <w:tcW w:w="900" w:type="dxa"/>
          </w:tcPr>
          <w:p w14:paraId="72DAB6C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KPI-G2</w:t>
            </w:r>
          </w:p>
        </w:tc>
        <w:tc>
          <w:tcPr>
            <w:tcW w:w="1260" w:type="dxa"/>
          </w:tcPr>
          <w:p w14:paraId="4BA3853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5B3AE91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data-quality conformity</w:t>
            </w:r>
          </w:p>
        </w:tc>
        <w:tc>
          <w:tcPr>
            <w:tcW w:w="1560" w:type="dxa"/>
          </w:tcPr>
          <w:p w14:paraId="7E0D348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 xml:space="preserve">EB2 completeness, currency, and consistency checks; spot checks </w:t>
            </w:r>
            <w:r w:rsidRPr="00DD1558">
              <w:rPr>
                <w:rFonts w:ascii="Simplified Arabic" w:hAnsi="Simplified Arabic" w:cs="Simplified Arabic"/>
                <w:sz w:val="20"/>
                <w:szCs w:val="20"/>
              </w:rPr>
              <w:lastRenderedPageBreak/>
              <w:t>vs. physical stock</w:t>
            </w:r>
          </w:p>
        </w:tc>
        <w:tc>
          <w:tcPr>
            <w:tcW w:w="1520" w:type="dxa"/>
          </w:tcPr>
          <w:p w14:paraId="5BA6089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Registry; EB1 spot checks</w:t>
            </w:r>
          </w:p>
        </w:tc>
        <w:tc>
          <w:tcPr>
            <w:tcW w:w="1480" w:type="dxa"/>
          </w:tcPr>
          <w:p w14:paraId="0BA3B2E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w:t>
            </w:r>
          </w:p>
        </w:tc>
        <w:tc>
          <w:tcPr>
            <w:tcW w:w="1280" w:type="dxa"/>
          </w:tcPr>
          <w:p w14:paraId="221387B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Continuous; termly reporting</w:t>
            </w:r>
          </w:p>
        </w:tc>
        <w:tc>
          <w:tcPr>
            <w:tcW w:w="1300" w:type="dxa"/>
          </w:tcPr>
          <w:p w14:paraId="624B112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(then hold)</w:t>
            </w:r>
          </w:p>
        </w:tc>
        <w:tc>
          <w:tcPr>
            <w:tcW w:w="1020" w:type="dxa"/>
          </w:tcPr>
          <w:p w14:paraId="74DD3D6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EB2</w:t>
            </w:r>
          </w:p>
        </w:tc>
        <w:tc>
          <w:tcPr>
            <w:tcW w:w="960" w:type="dxa"/>
          </w:tcPr>
          <w:p w14:paraId="6688D85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RR-03, RR-09</w:t>
            </w:r>
          </w:p>
        </w:tc>
      </w:tr>
      <w:tr w:rsidR="00DD1558" w:rsidRPr="00DD1558" w14:paraId="67E54378" w14:textId="77777777" w:rsidTr="00C71E92">
        <w:tc>
          <w:tcPr>
            <w:tcW w:w="900" w:type="dxa"/>
          </w:tcPr>
          <w:p w14:paraId="1165412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KPI-G3</w:t>
            </w:r>
          </w:p>
        </w:tc>
        <w:tc>
          <w:tcPr>
            <w:tcW w:w="1260" w:type="dxa"/>
          </w:tcPr>
          <w:p w14:paraId="7480F04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118F74D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 cadence adherence</w:t>
            </w:r>
          </w:p>
        </w:tc>
        <w:tc>
          <w:tcPr>
            <w:tcW w:w="1560" w:type="dxa"/>
          </w:tcPr>
          <w:p w14:paraId="478339C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Planned vs. executed audits, with deviation causes recorded</w:t>
            </w:r>
          </w:p>
        </w:tc>
        <w:tc>
          <w:tcPr>
            <w:tcW w:w="1520" w:type="dxa"/>
          </w:tcPr>
          <w:p w14:paraId="104D161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 audit programme and outputs</w:t>
            </w:r>
          </w:p>
        </w:tc>
        <w:tc>
          <w:tcPr>
            <w:tcW w:w="1480" w:type="dxa"/>
          </w:tcPr>
          <w:p w14:paraId="78550EB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Board</w:t>
            </w:r>
          </w:p>
        </w:tc>
        <w:tc>
          <w:tcPr>
            <w:tcW w:w="1280" w:type="dxa"/>
          </w:tcPr>
          <w:p w14:paraId="7221D88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confirmation</w:t>
            </w:r>
          </w:p>
        </w:tc>
        <w:tc>
          <w:tcPr>
            <w:tcW w:w="1300" w:type="dxa"/>
          </w:tcPr>
          <w:p w14:paraId="177C4AF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1653FDA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w:t>
            </w:r>
          </w:p>
        </w:tc>
        <w:tc>
          <w:tcPr>
            <w:tcW w:w="960" w:type="dxa"/>
          </w:tcPr>
          <w:p w14:paraId="2F36E46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RR-05, RR-14</w:t>
            </w:r>
          </w:p>
        </w:tc>
      </w:tr>
      <w:tr w:rsidR="00DD1558" w:rsidRPr="00DD1558" w14:paraId="5ED3F41A" w14:textId="77777777" w:rsidTr="00C71E92">
        <w:tc>
          <w:tcPr>
            <w:tcW w:w="900" w:type="dxa"/>
          </w:tcPr>
          <w:p w14:paraId="615A3CB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KPI-G4</w:t>
            </w:r>
          </w:p>
        </w:tc>
        <w:tc>
          <w:tcPr>
            <w:tcW w:w="1260" w:type="dxa"/>
          </w:tcPr>
          <w:p w14:paraId="5DD733E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23F0254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Audit-findings resolution</w:t>
            </w:r>
          </w:p>
        </w:tc>
        <w:tc>
          <w:tcPr>
            <w:tcW w:w="1560" w:type="dxa"/>
          </w:tcPr>
          <w:p w14:paraId="4ED3CDC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Findings tracked open / carried-over / closed; recurrence flagged (cl. 10 analogue)</w:t>
            </w:r>
          </w:p>
        </w:tc>
        <w:tc>
          <w:tcPr>
            <w:tcW w:w="1520" w:type="dxa"/>
          </w:tcPr>
          <w:p w14:paraId="2E89CD6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Corrective-action records</w:t>
            </w:r>
          </w:p>
        </w:tc>
        <w:tc>
          <w:tcPr>
            <w:tcW w:w="1480" w:type="dxa"/>
          </w:tcPr>
          <w:p w14:paraId="7799527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Board</w:t>
            </w:r>
          </w:p>
        </w:tc>
        <w:tc>
          <w:tcPr>
            <w:tcW w:w="1280" w:type="dxa"/>
          </w:tcPr>
          <w:p w14:paraId="4FFD709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consolidation</w:t>
            </w:r>
          </w:p>
        </w:tc>
        <w:tc>
          <w:tcPr>
            <w:tcW w:w="1300" w:type="dxa"/>
          </w:tcPr>
          <w:p w14:paraId="48D5A7F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closure; </w:t>
            </w: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recurrence</w:t>
            </w:r>
          </w:p>
        </w:tc>
        <w:tc>
          <w:tcPr>
            <w:tcW w:w="1020" w:type="dxa"/>
          </w:tcPr>
          <w:p w14:paraId="4799E81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w:t>
            </w:r>
          </w:p>
        </w:tc>
        <w:tc>
          <w:tcPr>
            <w:tcW w:w="960" w:type="dxa"/>
          </w:tcPr>
          <w:p w14:paraId="766A15D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RR-14</w:t>
            </w:r>
          </w:p>
        </w:tc>
      </w:tr>
      <w:tr w:rsidR="00DD1558" w:rsidRPr="00DD1558" w14:paraId="4EF82640" w14:textId="77777777" w:rsidTr="00C71E92">
        <w:tc>
          <w:tcPr>
            <w:tcW w:w="900" w:type="dxa"/>
          </w:tcPr>
          <w:p w14:paraId="044868F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KPI-G5</w:t>
            </w:r>
          </w:p>
        </w:tc>
        <w:tc>
          <w:tcPr>
            <w:tcW w:w="1260" w:type="dxa"/>
          </w:tcPr>
          <w:p w14:paraId="68F02F5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6155D5E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Eligibility-check execution</w:t>
            </w:r>
          </w:p>
        </w:tc>
        <w:tc>
          <w:tcPr>
            <w:tcW w:w="1560" w:type="dxa"/>
          </w:tcPr>
          <w:p w14:paraId="34FB037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 test of requisition files for certified check evidence</w:t>
            </w:r>
          </w:p>
        </w:tc>
        <w:tc>
          <w:tcPr>
            <w:tcW w:w="1520" w:type="dxa"/>
          </w:tcPr>
          <w:p w14:paraId="1CBFAC5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Requisition files; Unit certification logs</w:t>
            </w:r>
          </w:p>
        </w:tc>
        <w:tc>
          <w:tcPr>
            <w:tcW w:w="1480" w:type="dxa"/>
          </w:tcPr>
          <w:p w14:paraId="0043587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Board</w:t>
            </w:r>
          </w:p>
        </w:tc>
        <w:tc>
          <w:tcPr>
            <w:tcW w:w="1280" w:type="dxa"/>
          </w:tcPr>
          <w:p w14:paraId="32A6161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w:t>
            </w:r>
          </w:p>
        </w:tc>
        <w:tc>
          <w:tcPr>
            <w:tcW w:w="1300" w:type="dxa"/>
          </w:tcPr>
          <w:p w14:paraId="28AB2F8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4A4C145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w:t>
            </w:r>
          </w:p>
        </w:tc>
        <w:tc>
          <w:tcPr>
            <w:tcW w:w="960" w:type="dxa"/>
          </w:tcPr>
          <w:p w14:paraId="63B5C29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RR-07</w:t>
            </w:r>
          </w:p>
        </w:tc>
      </w:tr>
      <w:tr w:rsidR="00DD1558" w:rsidRPr="00DD1558" w14:paraId="2F4F22E6" w14:textId="77777777" w:rsidTr="00C71E92">
        <w:tc>
          <w:tcPr>
            <w:tcW w:w="900" w:type="dxa"/>
          </w:tcPr>
          <w:p w14:paraId="20E052F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KPI-G6</w:t>
            </w:r>
          </w:p>
        </w:tc>
        <w:tc>
          <w:tcPr>
            <w:tcW w:w="1260" w:type="dxa"/>
          </w:tcPr>
          <w:p w14:paraId="58DAE4C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6086ADF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Digital readiness gate status</w:t>
            </w:r>
          </w:p>
        </w:tc>
        <w:tc>
          <w:tcPr>
            <w:tcW w:w="1560" w:type="dxa"/>
          </w:tcPr>
          <w:p w14:paraId="29CC74C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Checklist assessment (met / partially met / not met) across data standards, process stability, role competence</w:t>
            </w:r>
          </w:p>
        </w:tc>
        <w:tc>
          <w:tcPr>
            <w:tcW w:w="1520" w:type="dxa"/>
          </w:tcPr>
          <w:p w14:paraId="23A9024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requirements baseline; dashboard evidence</w:t>
            </w:r>
          </w:p>
        </w:tc>
        <w:tc>
          <w:tcPr>
            <w:tcW w:w="1480" w:type="dxa"/>
          </w:tcPr>
          <w:p w14:paraId="25C8838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(maintains); Board (gate authority)</w:t>
            </w:r>
          </w:p>
        </w:tc>
        <w:tc>
          <w:tcPr>
            <w:tcW w:w="1280" w:type="dxa"/>
          </w:tcPr>
          <w:p w14:paraId="1869CA6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singular gate decision</w:t>
            </w:r>
          </w:p>
        </w:tc>
        <w:tc>
          <w:tcPr>
            <w:tcW w:w="1300" w:type="dxa"/>
          </w:tcPr>
          <w:p w14:paraId="2D8773E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4076BA5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G4 gate (Perform precondition)</w:t>
            </w:r>
          </w:p>
        </w:tc>
        <w:tc>
          <w:tcPr>
            <w:tcW w:w="960" w:type="dxa"/>
          </w:tcPr>
          <w:p w14:paraId="25D674E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RR-15</w:t>
            </w:r>
          </w:p>
        </w:tc>
      </w:tr>
    </w:tbl>
    <w:p w14:paraId="09FAA3C1"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Simplified Arabic"/>
          <w:i/>
          <w:iCs/>
          <w:sz w:val="28"/>
          <w:szCs w:val="28"/>
        </w:rPr>
        <w:lastRenderedPageBreak/>
        <w:t>4.4</w:t>
      </w:r>
      <w:r w:rsidRPr="00DD1558">
        <w:rPr>
          <w:rFonts w:ascii="Simplified Arabic" w:eastAsiaTheme="majorEastAsia" w:hAnsi="Simplified Arabic" w:cstheme="majorBidi"/>
          <w:i/>
          <w:iCs/>
          <w:sz w:val="28"/>
        </w:rPr>
        <w:t>.5.1 Reporting architecture</w:t>
      </w:r>
    </w:p>
    <w:p w14:paraId="6F68E08D" w14:textId="68DFB5A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dashboard’s reporting architecture follows the </w:t>
      </w:r>
      <w:hyperlink w:anchor="section41" w:history="1">
        <w:r w:rsidRPr="00CD2E5F">
          <w:rPr>
            <w:rStyle w:val="Hyperlink"/>
            <w:rFonts w:ascii="Simplified Arabic" w:eastAsia="Times New Roman" w:hAnsi="Simplified Arabic" w:cs="Simplified Arabic"/>
            <w:sz w:val="28"/>
            <w:szCs w:val="28"/>
            <w14:ligatures w14:val="none"/>
          </w:rPr>
          <w:t xml:space="preserve">Section </w:t>
        </w:r>
        <w:r w:rsidR="00CD2E5F" w:rsidRPr="00CD2E5F">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allocation of roles without exception, and its record flow is deliberately bottom-up. </w:t>
      </w:r>
      <w:r w:rsidRPr="00DD1558">
        <w:rPr>
          <w:rFonts w:ascii="Simplified Arabic" w:eastAsia="Times New Roman" w:hAnsi="Simplified Arabic" w:cs="Simplified Arabic"/>
          <w:b/>
          <w:bCs/>
          <w:color w:val="1A1A1A"/>
          <w:sz w:val="28"/>
          <w:szCs w:val="28"/>
          <w14:ligatures w14:val="none"/>
        </w:rPr>
        <w:t>Laboratory technicians generate the records</w:t>
      </w:r>
      <w:r w:rsidRPr="00DD1558">
        <w:rPr>
          <w:rFonts w:ascii="Simplified Arabic" w:eastAsia="Times New Roman" w:hAnsi="Simplified Arabic" w:cs="Simplified Arabic"/>
          <w:color w:val="1A1A1A"/>
          <w:sz w:val="28"/>
          <w:szCs w:val="28"/>
          <w14:ligatures w14:val="none"/>
        </w:rPr>
        <w:t xml:space="preserve"> through execution alone: FEFO rotation and expiry flagging produce the entries behind KPI-O3 and KPI-E3; loan workflow execution produces the timestamps and custody artifacts behind KPI-O1, KPI-O2, and KPI-E2; catalog and registry entries produce the data that KPI-G1 and KPI-G2 assess. Technicians hold no ownership, compilation, or interpretation role for any indicator — their contribution is evidentiary, consistent with the non-authority clause of </w:t>
      </w:r>
      <w:hyperlink w:anchor="section415" w:history="1">
        <w:r w:rsidR="002C0C03" w:rsidRPr="00CD2E5F">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 with accountability for record quality resting with custodian supervisors and the Unit. </w:t>
      </w:r>
      <w:r w:rsidRPr="00DD1558">
        <w:rPr>
          <w:rFonts w:ascii="Simplified Arabic" w:eastAsia="Times New Roman" w:hAnsi="Simplified Arabic" w:cs="Simplified Arabic"/>
          <w:b/>
          <w:bCs/>
          <w:color w:val="1A1A1A"/>
          <w:sz w:val="28"/>
          <w:szCs w:val="28"/>
          <w14:ligatures w14:val="none"/>
        </w:rPr>
        <w:t>The Digital Supply Chain Unit compiles the dashboard termly</w:t>
      </w:r>
      <w:r w:rsidRPr="00DD1558">
        <w:rPr>
          <w:rFonts w:ascii="Simplified Arabic" w:eastAsia="Times New Roman" w:hAnsi="Simplified Arabic" w:cs="Simplified Arabic"/>
          <w:color w:val="1A1A1A"/>
          <w:sz w:val="28"/>
          <w:szCs w:val="28"/>
          <w14:ligatures w14:val="none"/>
        </w:rPr>
        <w:t xml:space="preserve">, drawing together registry-derived indicators, audit outputs, and disposal documentation, and certifying data quality before the dashboard reaches the Board — the negative procedural power </w:t>
      </w:r>
      <w:hyperlink w:anchor="Section414" w:history="1">
        <w:r w:rsidR="002C0C03" w:rsidRPr="00CD2E5F">
          <w:rPr>
            <w:rStyle w:val="Hyperlink"/>
            <w:rFonts w:ascii="Simplified Arabic" w:eastAsia="Times New Roman" w:hAnsi="Simplified Arabic" w:cs="Simplified Arabic"/>
            <w:sz w:val="28"/>
            <w:szCs w:val="28"/>
            <w14:ligatures w14:val="none"/>
          </w:rPr>
          <w:t>Section 4.1.4</w:t>
        </w:r>
      </w:hyperlink>
      <w:r w:rsidRPr="00DD1558">
        <w:rPr>
          <w:rFonts w:ascii="Simplified Arabic" w:eastAsia="Times New Roman" w:hAnsi="Simplified Arabic" w:cs="Simplified Arabic"/>
          <w:color w:val="1A1A1A"/>
          <w:sz w:val="28"/>
          <w:szCs w:val="28"/>
          <w14:ligatures w14:val="none"/>
        </w:rPr>
        <w:t xml:space="preserve"> grants it. </w:t>
      </w:r>
      <w:r w:rsidRPr="00DD1558">
        <w:rPr>
          <w:rFonts w:ascii="Simplified Arabic" w:eastAsia="Times New Roman" w:hAnsi="Simplified Arabic" w:cs="Simplified Arabic"/>
          <w:b/>
          <w:bCs/>
          <w:color w:val="1A1A1A"/>
          <w:sz w:val="28"/>
          <w:szCs w:val="28"/>
          <w14:ligatures w14:val="none"/>
        </w:rPr>
        <w:t>The Governance Board reviews the dashboard termly</w:t>
      </w:r>
      <w:r w:rsidRPr="00DD1558">
        <w:rPr>
          <w:rFonts w:ascii="Simplified Arabic" w:eastAsia="Times New Roman" w:hAnsi="Simplified Arabic" w:cs="Simplified Arabic"/>
          <w:color w:val="1A1A1A"/>
          <w:sz w:val="28"/>
          <w:szCs w:val="28"/>
          <w14:ligatures w14:val="none"/>
        </w:rPr>
        <w:t xml:space="preserve"> as standing business and receives its consolidated form at the annual management review, adopted by analogue from clause 9.3 of both anchor standards, at which directional performance is assessed, corrective actions are confirmed or escalated, and — once operating history permits — quantitative objectives may be set under the clause 6.2 analogues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{"citationID":"RaiTz0TV","properties":{"unsorted":false,"formattedCitation":"(14001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clauses 6.2, 9.3;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{"citationID":"Igb74LSE","properties":{"unsorted":false,"formattedCitation":"(22301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clauses 6.2, 9.3). </w:t>
      </w:r>
      <w:r w:rsidRPr="00DD1558">
        <w:rPr>
          <w:rFonts w:ascii="Simplified Arabic" w:eastAsia="Times New Roman" w:hAnsi="Simplified Arabic" w:cs="Simplified Arabic"/>
          <w:b/>
          <w:bCs/>
          <w:color w:val="1A1A1A"/>
          <w:sz w:val="28"/>
          <w:szCs w:val="28"/>
          <w14:ligatures w14:val="none"/>
        </w:rPr>
        <w:t>The audit function verifies cadence and data quality</w:t>
      </w:r>
      <w:r w:rsidRPr="00DD1558">
        <w:rPr>
          <w:rFonts w:ascii="Simplified Arabic" w:eastAsia="Times New Roman" w:hAnsi="Simplified Arabic" w:cs="Simplified Arabic"/>
          <w:color w:val="1A1A1A"/>
          <w:sz w:val="28"/>
          <w:szCs w:val="28"/>
          <w14:ligatures w14:val="none"/>
        </w:rPr>
        <w:t>: EB1 tests the evidence behind the indicators, and EB2’s standing checks keep the registry substrate honest, so that the dashboard is itself audited rather than self-attesting.</w:t>
      </w:r>
    </w:p>
    <w:p w14:paraId="257B7F54" w14:textId="77777777" w:rsidR="00DD1558" w:rsidRPr="00DD1558" w:rsidRDefault="00DD1558" w:rsidP="00DD1558">
      <w:pPr>
        <w:keepNext/>
        <w:keepLines/>
        <w:bidi w:val="0"/>
        <w:spacing w:before="80" w:after="40"/>
        <w:outlineLvl w:val="3"/>
        <w:rPr>
          <w:rFonts w:ascii="Simplified Arabic" w:eastAsiaTheme="majorEastAsia" w:hAnsi="Simplified Arabic" w:cstheme="majorBidi"/>
          <w:i/>
          <w:iCs/>
          <w:sz w:val="28"/>
        </w:rPr>
      </w:pPr>
      <w:r w:rsidRPr="00DD1558">
        <w:rPr>
          <w:rFonts w:ascii="Simplified Arabic" w:eastAsiaTheme="majorEastAsia" w:hAnsi="Simplified Arabic" w:cs="Simplified Arabic"/>
          <w:i/>
          <w:iCs/>
          <w:sz w:val="28"/>
          <w:szCs w:val="28"/>
        </w:rPr>
        <w:t>4.4</w:t>
      </w:r>
      <w:r w:rsidRPr="00DD1558">
        <w:rPr>
          <w:rFonts w:ascii="Simplified Arabic" w:eastAsiaTheme="majorEastAsia" w:hAnsi="Simplified Arabic" w:cstheme="majorBidi"/>
          <w:i/>
          <w:iCs/>
          <w:sz w:val="28"/>
        </w:rPr>
        <w:t>.5.2 The dashboard as maturity evidence and gate instrument</w:t>
      </w:r>
    </w:p>
    <w:p w14:paraId="0DD087F8" w14:textId="1CC21B3C" w:rsidR="00DD1558" w:rsidRPr="00DD1558" w:rsidRDefault="00DD1558" w:rsidP="00DD1558">
      <w:pPr>
        <w:bidi w:val="0"/>
        <w:spacing w:line="240" w:lineRule="auto"/>
        <w:jc w:val="both"/>
        <w:rPr>
          <w:rFonts w:ascii="Simplified Arabic" w:hAnsi="Simplified Arabic" w:cs="Simplified Arabic"/>
          <w:sz w:val="28"/>
        </w:rPr>
      </w:pPr>
      <w:r w:rsidRPr="00DD1558">
        <w:rPr>
          <w:rFonts w:ascii="Simplified Arabic" w:hAnsi="Simplified Arabic"/>
          <w:sz w:val="28"/>
        </w:rPr>
        <w:t xml:space="preserve">The dashboard closes the thesis’s governance loop in two directions. </w:t>
      </w:r>
      <w:r w:rsidRPr="00DD1558">
        <w:rPr>
          <w:rFonts w:ascii="Simplified Arabic" w:hAnsi="Simplified Arabic"/>
          <w:b/>
          <w:bCs/>
          <w:sz w:val="28"/>
        </w:rPr>
        <w:t>Upward, it operationalizes the Perform maturity band.</w:t>
      </w:r>
      <w:r w:rsidRPr="00DD1558">
        <w:rPr>
          <w:rFonts w:ascii="Simplified Arabic" w:hAnsi="Simplified Arabic"/>
          <w:sz w:val="28"/>
        </w:rPr>
        <w:t xml:space="preserve"> The adapted trajectory defines Perform as measured, anticipatory, integrated practice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{"citationID":"YmmBOu9f","properties":{"unsorted":false,"formattedCitation":"(Hillson,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(Hillson, D. A., 1997; Paulk et al., 1993)</w:t>
      </w:r>
      <w:r w:rsidRPr="00DD1558">
        <w:rPr>
          <w:rFonts w:ascii="Simplified Arabic" w:hAnsi="Simplified Arabic"/>
          <w:sz w:val="28"/>
        </w:rPr>
        <w:fldChar w:fldCharType="end"/>
      </w:r>
      <w:r w:rsidRPr="00DD1558">
        <w:rPr>
          <w:rFonts w:ascii="Simplified Arabic" w:hAnsi="Simplified Arabic"/>
          <w:sz w:val="28"/>
        </w:rPr>
        <w:t xml:space="preserve">; the </w:t>
      </w:r>
      <w:r w:rsidRPr="00DD1558">
        <w:rPr>
          <w:rFonts w:ascii="Simplified Arabic" w:hAnsi="Simplified Arabic"/>
          <w:sz w:val="28"/>
        </w:rPr>
        <w:lastRenderedPageBreak/>
        <w:t xml:space="preserve">dashboard is what “measured” concretely means here — barrier performance observed on cadence, findings closed with evidence, readiness assessed against a maintained checklist. The readiness literature’s finding that institutions advance only on demonstrated organizational evidence, not aspiration, is given institutional form: the Perform claim, when the college eventually makes it, will be substantiated by the dashboard record and by nothing else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{"citationID":"fW6GH7HG","properties":{"unsorted":false,"formattedCitation":"(Bellantuono et al., 2021; Bravo-Jaico et al., 2025; Rodr\\uc0\\u237{}guez-Abitia &amp; Bribiesca-Correa, 2021)","plainCitation":"(Bellantuono et al., 2021; Bravo-Jaico et al., 2025;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(Bellantuono et al., 2021; Bravo-Jaico et al., 2025; Rodríguez-Abitia &amp; Bribiesca-Correa, 2021)</w:t>
      </w:r>
      <w:r w:rsidRPr="00DD1558">
        <w:rPr>
          <w:rFonts w:ascii="Simplified Arabic" w:hAnsi="Simplified Arabic"/>
          <w:sz w:val="28"/>
        </w:rPr>
        <w:fldChar w:fldCharType="end"/>
      </w:r>
      <w:r w:rsidRPr="00DD1558">
        <w:rPr>
          <w:rFonts w:ascii="Simplified Arabic" w:hAnsi="Simplified Arabic"/>
          <w:sz w:val="28"/>
        </w:rPr>
        <w:t xml:space="preserve">. </w:t>
      </w:r>
      <w:r w:rsidRPr="00DD1558">
        <w:rPr>
          <w:rFonts w:ascii="Simplified Arabic" w:hAnsi="Simplified Arabic"/>
          <w:b/>
          <w:bCs/>
          <w:sz w:val="28"/>
        </w:rPr>
        <w:t xml:space="preserve">Forward, the dashboard feeds </w:t>
      </w:r>
      <w:hyperlink w:anchor="Section416" w:history="1">
        <w:r w:rsidR="000F1211" w:rsidRPr="00E306F1">
          <w:rPr>
            <w:rStyle w:val="Hyperlink"/>
            <w:rFonts w:ascii="Simplified Arabic" w:hAnsi="Simplified Arabic"/>
            <w:b/>
            <w:bCs/>
            <w:sz w:val="28"/>
          </w:rPr>
          <w:t>Section 4.1.6</w:t>
        </w:r>
      </w:hyperlink>
      <w:r w:rsidRPr="00DD1558">
        <w:rPr>
          <w:rFonts w:ascii="Simplified Arabic" w:hAnsi="Simplified Arabic"/>
          <w:b/>
          <w:bCs/>
          <w:sz w:val="28"/>
        </w:rPr>
        <w:t>’s readiness gates.</w:t>
      </w:r>
      <w:r w:rsidRPr="00DD1558">
        <w:rPr>
          <w:rFonts w:ascii="Simplified Arabic" w:hAnsi="Simplified Arabic"/>
          <w:sz w:val="28"/>
        </w:rPr>
        <w:t xml:space="preserve"> Gate G2 (data readiness) consumes the governance family’s data indicators: KPI-G1 coverage and KPI-G2 data-quality conformity are the gate’s certifying evidence, monitored continuously thereafter. Gate G3 (pilot workflow integrity) consumes the operational family: KPI-O1 through KPI-O4 and the E-family’s redistribution (KPI-E2) and incidence (KPI-E3) indicators are the standing form of the workflow evidence the pilot must first demonstrate qualitatively. Gate G4 (digital platform readiness) is, by construction, KPI-G6: the checklist indicator </w:t>
      </w:r>
      <w:r w:rsidRPr="00DD1558">
        <w:rPr>
          <w:rFonts w:ascii="Simplified Arabic" w:hAnsi="Simplified Arabic"/>
          <w:i/>
          <w:iCs/>
          <w:sz w:val="28"/>
        </w:rPr>
        <w:t>is</w:t>
      </w:r>
      <w:r w:rsidRPr="00DD1558">
        <w:rPr>
          <w:rFonts w:ascii="Simplified Arabic" w:hAnsi="Simplified Arabic"/>
          <w:sz w:val="28"/>
        </w:rPr>
        <w:t xml:space="preserve"> the gate instrument, and its all-items-met state is the gate’s opening condition </w:t>
      </w:r>
      <w:r w:rsidRPr="00DD1558">
        <w:rPr>
          <w:rFonts w:ascii="Simplified Arabic" w:hAnsi="Simplified Arabic"/>
          <w:sz w:val="28"/>
        </w:rPr>
        <w:fldChar w:fldCharType="begin"/>
      </w:r>
      <w:r w:rsidRPr="00DD1558">
        <w:rPr>
          <w:rFonts w:ascii="Simplified Arabic" w:hAnsi="Simplified Arabic"/>
          <w:sz w:val="28"/>
        </w:rPr>
        <w:instrText xml:space="preserve"> ADDIN ZOTERO_ITEM CSL_CITATION {"citationID":"lK5JSGMn","properties":{"unsorted":false,"formattedCitation":"(Carpitella &amp; Izquierdo, 2025; Wilke et al., 2023)","plainCitation":"(Carpitella &amp; Izquierdo, 2025;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hAnsi="Simplified Arabic"/>
          <w:sz w:val="28"/>
        </w:rPr>
        <w:fldChar w:fldCharType="separate"/>
      </w:r>
      <w:r w:rsidRPr="00DD1558">
        <w:rPr>
          <w:rFonts w:ascii="Simplified Arabic" w:hAnsi="Simplified Arabic" w:cs="Simplified Arabic"/>
          <w:sz w:val="28"/>
        </w:rPr>
        <w:t>(Carpitella &amp; Izquierdo, 2025; Wilke et al., 2023)</w:t>
      </w:r>
      <w:r w:rsidRPr="00DD1558">
        <w:rPr>
          <w:rFonts w:ascii="Simplified Arabic" w:hAnsi="Simplified Arabic"/>
          <w:sz w:val="28"/>
        </w:rPr>
        <w:fldChar w:fldCharType="end"/>
      </w:r>
      <w:r w:rsidRPr="00DD1558">
        <w:rPr>
          <w:rFonts w:ascii="Simplified Arabic" w:hAnsi="Simplified Arabic"/>
          <w:sz w:val="28"/>
        </w:rPr>
        <w:t xml:space="preserve">. </w:t>
      </w:r>
      <w:hyperlink w:anchor="Section416" w:history="1">
        <w:r w:rsidR="000F1211" w:rsidRPr="00E306F1">
          <w:rPr>
            <w:rStyle w:val="Hyperlink"/>
            <w:rFonts w:ascii="Simplified Arabic" w:hAnsi="Simplified Arabic"/>
            <w:sz w:val="28"/>
          </w:rPr>
          <w:t>Section 4.1.6</w:t>
        </w:r>
      </w:hyperlink>
      <w:r w:rsidRPr="00DD1558">
        <w:rPr>
          <w:rFonts w:ascii="Simplified Arabic" w:hAnsi="Simplified Arabic"/>
          <w:sz w:val="28"/>
        </w:rPr>
        <w:t xml:space="preserve"> sequences these consumptions along the implementation phases; what the present section has fixed is the indicator vocabulary — KPI-O1 through KPI-G6, with methods, owners, and directional targets — that makes the roadmap’s gates verifiable and the framework’s maturity trajectory auditable from its first operating term.</w:t>
      </w:r>
    </w:p>
    <w:p w14:paraId="13FCEF64" w14:textId="77777777" w:rsidR="00DD1558" w:rsidRPr="00DD1558" w:rsidRDefault="00DD1558" w:rsidP="00DD1558">
      <w:pPr>
        <w:keepNext/>
        <w:keepLines/>
        <w:bidi w:val="0"/>
        <w:spacing w:before="160" w:after="80"/>
        <w:outlineLvl w:val="1"/>
        <w:rPr>
          <w:rFonts w:ascii="Simplified Arabic" w:eastAsiaTheme="majorEastAsia" w:hAnsi="Simplified Arabic" w:cs="Simplified Arabic"/>
          <w:b/>
          <w:sz w:val="28"/>
          <w:szCs w:val="32"/>
        </w:rPr>
      </w:pPr>
      <w:bookmarkStart w:id="178" w:name="section45"/>
      <w:bookmarkStart w:id="179" w:name="_Toc237539776"/>
      <w:bookmarkEnd w:id="178"/>
      <w:r w:rsidRPr="00DD1558">
        <w:rPr>
          <w:rFonts w:ascii="Simplified Arabic" w:eastAsiaTheme="majorEastAsia" w:hAnsi="Simplified Arabic" w:cstheme="majorBidi"/>
          <w:b/>
          <w:sz w:val="28"/>
          <w:szCs w:val="32"/>
        </w:rPr>
        <w:t>4.5 Phased Implementation Roadmap and Change Management</w:t>
      </w:r>
      <w:bookmarkEnd w:id="179"/>
    </w:p>
    <w:p w14:paraId="69788EF1" w14:textId="3B93F62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preceding sections of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established that the participatory inventory framework is feasible — conditionally strong, gated by the readiness gates G1–G4 (Section 4) — and that the risks threatening its adoption and operation are registered, classified, and owned (</w:t>
      </w:r>
      <w:hyperlink w:anchor="section292" w:history="1">
        <w:r w:rsidR="000A422D" w:rsidRPr="00E306F1">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with a governance dashboard monitoring the same conditions continuously (</w:t>
      </w:r>
      <w:hyperlink w:anchor="section417" w:history="1">
        <w:r w:rsidR="000F1211" w:rsidRPr="00E306F1">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 </w:t>
      </w:r>
      <w:r w:rsidR="000B6195" w:rsidRPr="000B6195">
        <w:rPr>
          <w:rFonts w:ascii="Simplified Arabic" w:eastAsia="Times New Roman" w:hAnsi="Simplified Arabic" w:cs="Simplified Arabic"/>
          <w:color w:val="1A1A1A"/>
          <w:sz w:val="28"/>
          <w:szCs w:val="28"/>
          <w14:ligatures w14:val="none"/>
        </w:rPr>
        <w:t xml:space="preserve">What remains is the question of order: in what sequence should the science faculty within the host higher education institution adopt the framework, through </w:t>
      </w:r>
      <w:r w:rsidR="000B6195" w:rsidRPr="000B6195">
        <w:rPr>
          <w:rFonts w:ascii="Simplified Arabic" w:eastAsia="Times New Roman" w:hAnsi="Simplified Arabic" w:cs="Simplified Arabic"/>
          <w:color w:val="1A1A1A"/>
          <w:sz w:val="28"/>
          <w:szCs w:val="28"/>
          <w14:ligatures w14:val="none"/>
        </w:rPr>
        <w:lastRenderedPageBreak/>
        <w:t>which checkpoints, and under what change-management discipline?</w:t>
      </w:r>
      <w:r w:rsidRPr="00DD1558">
        <w:rPr>
          <w:rFonts w:ascii="Simplified Arabic" w:eastAsia="Times New Roman" w:hAnsi="Simplified Arabic" w:cs="Simplified Arabic"/>
          <w:color w:val="1A1A1A"/>
          <w:sz w:val="28"/>
          <w:szCs w:val="28"/>
          <w14:ligatures w14:val="none"/>
        </w:rPr>
        <w:t xml:space="preserve"> The present section answers that question and, in doing so, completes Research Objective O4. The roadmap is specified as a governed initiative: phases are progressively elaborated, each terminates at one of the analytical readiness gates defined in </w:t>
      </w:r>
      <w:hyperlink w:anchor="section46" w:history="1">
        <w:r w:rsidRPr="00E306F1">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and every activity is owned by a named body within the </w:t>
      </w:r>
      <w:hyperlink w:anchor="section41" w:history="1">
        <w:r w:rsidRPr="00E306F1">
          <w:rPr>
            <w:rStyle w:val="Hyperlink"/>
            <w:rFonts w:ascii="Simplified Arabic" w:eastAsia="Times New Roman" w:hAnsi="Simplified Arabic" w:cs="Simplified Arabic"/>
            <w:sz w:val="28"/>
            <w:szCs w:val="28"/>
            <w14:ligatures w14:val="none"/>
          </w:rPr>
          <w:t xml:space="preserve">Section </w:t>
        </w:r>
        <w:r w:rsidR="00E306F1" w:rsidRPr="00E306F1">
          <w:rPr>
            <w:rStyle w:val="Hyperlink"/>
            <w:rFonts w:ascii="Simplified Arabic" w:eastAsia="Times New Roman" w:hAnsi="Simplified Arabic" w:cs="Simplified Arabic"/>
            <w:sz w:val="28"/>
            <w:szCs w:val="28"/>
            <w14:ligatures w14:val="none"/>
          </w:rPr>
          <w:t>4.1</w:t>
        </w:r>
      </w:hyperlink>
      <w:r w:rsidRPr="00DD1558">
        <w:rPr>
          <w:rFonts w:ascii="Simplified Arabic" w:eastAsia="Times New Roman" w:hAnsi="Simplified Arabic" w:cs="Simplified Arabic"/>
          <w:color w:val="1A1A1A"/>
          <w:sz w:val="28"/>
          <w:szCs w:val="28"/>
          <w14:ligatures w14:val="none"/>
        </w:rPr>
        <w:t xml:space="preserve"> governance architecture (Project Management Institute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{"citationID":"uY3vehjv","properties":{"unsorted":false,"formattedCitation":"(PMI,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{"citationID":"89EUGr4H","properties":{"unsorted":false,"formattedCitation":"(Takagi et al., 2024)","plainCitation":"(Takagi et al., 2024)","noteIndex":0},"citationItems":[{"id":512,"uris":["http://zotero.org/users/19711126/items/MZXA8SGP"],"itemData":{"id":512,"type":"article-journal","abstract":"As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Consistent with the study’s binding methodology, the roadmap contains no empirical content: phase timeframes are schedule designations fixed by the study’s terms of reference, gate criteria are structural conditions verified by inspection of documented information, and no metrics, targets, or pilot results are asserted anywhere in the section.</w:t>
      </w:r>
    </w:p>
    <w:p w14:paraId="5110958E"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80" w:name="_Toc237539777"/>
      <w:r w:rsidRPr="00DD1558">
        <w:rPr>
          <w:rFonts w:ascii="Simplified Arabic" w:eastAsiaTheme="majorEastAsia" w:hAnsi="Simplified Arabic" w:cstheme="majorBidi"/>
          <w:sz w:val="28"/>
          <w:szCs w:val="28"/>
        </w:rPr>
        <w:t>4.5.1 Sequencing Logic</w:t>
      </w:r>
      <w:bookmarkEnd w:id="180"/>
    </w:p>
    <w:p w14:paraId="044658E8" w14:textId="6169426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roadmap’s sequence is not an administrative convenience but a reasoned derivation from three analytical commitments of the earlier sections: the maturity-band trajectory of </w:t>
      </w:r>
      <w:hyperlink w:anchor="section292" w:history="1">
        <w:r w:rsidR="009D553E" w:rsidRPr="00E306F1">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the organization-before-technology ordering claim, and the gate logic of Section 4. Each is restated here in its sequencing consequence.</w:t>
      </w:r>
    </w:p>
    <w:p w14:paraId="19CD7A79" w14:textId="121E1A9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Maturity-band progression.</w:t>
      </w:r>
      <w:r w:rsidRPr="00DD1558">
        <w:rPr>
          <w:rFonts w:ascii="Simplified Arabic" w:eastAsia="Times New Roman" w:hAnsi="Simplified Arabic" w:cs="Simplified Arabic"/>
          <w:color w:val="1A1A1A"/>
          <w:sz w:val="28"/>
          <w:szCs w:val="28"/>
          <w14:ligatures w14:val="none"/>
        </w:rPr>
        <w:t xml:space="preserve"> </w:t>
      </w:r>
      <w:hyperlink w:anchor="section292" w:history="1">
        <w:r w:rsidR="0018617A" w:rsidRPr="00E306F1">
          <w:rPr>
            <w:rStyle w:val="Hyperlink"/>
            <w:rFonts w:ascii="Simplified Arabic" w:eastAsia="Times New Roman" w:hAnsi="Simplified Arabic" w:cs="Simplified Arabic"/>
            <w:sz w:val="28"/>
            <w:szCs w:val="28"/>
            <w14:ligatures w14:val="none"/>
          </w:rPr>
          <w:t>Section 2.9.2</w:t>
        </w:r>
      </w:hyperlink>
      <w:r w:rsidR="0018617A">
        <w:rPr>
          <w:rFonts w:ascii="Simplified Arabic" w:eastAsia="Times New Roman" w:hAnsi="Simplified Arabic" w:cs="Simplified Arabic" w:hint="cs"/>
          <w:color w:val="1A1A1A"/>
          <w:sz w:val="28"/>
          <w:szCs w:val="28"/>
          <w:rtl/>
          <w14:ligatures w14:val="none"/>
        </w:rPr>
        <w:t xml:space="preserve"> </w:t>
      </w:r>
      <w:r w:rsidRPr="00DD1558">
        <w:rPr>
          <w:rFonts w:ascii="Simplified Arabic" w:eastAsia="Times New Roman" w:hAnsi="Simplified Arabic" w:cs="Simplified Arabic"/>
          <w:color w:val="1A1A1A"/>
          <w:sz w:val="28"/>
          <w:szCs w:val="28"/>
          <w14:ligatures w14:val="none"/>
        </w:rPr>
        <w:t xml:space="preserve">diagnosed the decentralized regime as sitting in the </w:t>
      </w:r>
      <w:r w:rsidRPr="00DD1558">
        <w:rPr>
          <w:rFonts w:ascii="Simplified Arabic" w:eastAsia="Times New Roman" w:hAnsi="Simplified Arabic" w:cs="Simplified Arabic"/>
          <w:i/>
          <w:iCs/>
          <w:color w:val="1A1A1A"/>
          <w:sz w:val="28"/>
          <w:szCs w:val="28"/>
          <w14:ligatures w14:val="none"/>
        </w:rPr>
        <w:t>Inform/Conform</w:t>
      </w:r>
      <w:r w:rsidRPr="00DD1558">
        <w:rPr>
          <w:rFonts w:ascii="Simplified Arabic" w:eastAsia="Times New Roman" w:hAnsi="Simplified Arabic" w:cs="Simplified Arabic"/>
          <w:color w:val="1A1A1A"/>
          <w:sz w:val="28"/>
          <w:szCs w:val="28"/>
          <w14:ligatures w14:val="none"/>
        </w:rPr>
        <w:t xml:space="preserve"> band and specified the trajectory toward </w:t>
      </w:r>
      <w:r w:rsidRPr="00DD1558">
        <w:rPr>
          <w:rFonts w:ascii="Simplified Arabic" w:eastAsia="Times New Roman" w:hAnsi="Simplified Arabic" w:cs="Simplified Arabic"/>
          <w:i/>
          <w:iCs/>
          <w:color w:val="1A1A1A"/>
          <w:sz w:val="28"/>
          <w:szCs w:val="28"/>
          <w14:ligatures w14:val="none"/>
        </w:rPr>
        <w:t>Managed/Normalized</w:t>
      </w:r>
      <w:r w:rsidRPr="00DD1558">
        <w:rPr>
          <w:rFonts w:ascii="Simplified Arabic" w:eastAsia="Times New Roman" w:hAnsi="Simplified Arabic" w:cs="Simplified Arabic"/>
          <w:color w:val="1A1A1A"/>
          <w:sz w:val="28"/>
          <w:szCs w:val="28"/>
          <w14:ligatures w14:val="none"/>
        </w:rPr>
        <w:t xml:space="preserve"> and then </w:t>
      </w:r>
      <w:r w:rsidRPr="00DD1558">
        <w:rPr>
          <w:rFonts w:ascii="Simplified Arabic" w:eastAsia="Times New Roman" w:hAnsi="Simplified Arabic" w:cs="Simplified Arabic"/>
          <w:i/>
          <w:iCs/>
          <w:color w:val="1A1A1A"/>
          <w:sz w:val="28"/>
          <w:szCs w:val="28"/>
          <w14:ligatures w14:val="none"/>
        </w:rPr>
        <w:t>Perform</w:t>
      </w:r>
      <w:r w:rsidRPr="00DD1558">
        <w:rPr>
          <w:rFonts w:ascii="Simplified Arabic" w:eastAsia="Times New Roman" w:hAnsi="Simplified Arabic" w:cs="Simplified Arabic"/>
          <w:color w:val="1A1A1A"/>
          <w:sz w:val="28"/>
          <w:szCs w:val="28"/>
          <w14:ligatures w14:val="none"/>
        </w:rPr>
        <w:t xml:space="preserve"> as the framework’s declared, adapted terminology anchored to Hillson’s Naive-to-Natural progression and the CMM/ISO capability scale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{"citationID":"ZGBMszq5","properties":{"unsorted":false,"formattedCitation":"(Hillson,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roadmap’s phases are </w:t>
      </w:r>
      <w:hyperlink w:anchor="section292" w:history="1">
        <w:r w:rsidR="0018617A" w:rsidRPr="00E306F1">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’s three transition mechanisms made schedulable: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performs the governance transition’s institutional half (constituting bodies, ratifying policy);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the standardization transition (catalog rollout, data onboarding); </w:t>
      </w:r>
      <w:hyperlink w:anchor="Phase3" w:history="1">
        <w:r w:rsidRPr="00935DA7">
          <w:rPr>
            <w:rStyle w:val="Hyperlink"/>
            <w:rFonts w:ascii="Simplified Arabic" w:eastAsia="Times New Roman" w:hAnsi="Simplified Arabic" w:cs="Simplified Arabic"/>
            <w:sz w:val="28"/>
            <w:szCs w:val="28"/>
            <w14:ligatures w14:val="none"/>
          </w:rPr>
          <w:t>Phase 3</w:t>
        </w:r>
      </w:hyperlink>
      <w:r w:rsidRPr="00DD1558">
        <w:rPr>
          <w:rFonts w:ascii="Simplified Arabic" w:eastAsia="Times New Roman" w:hAnsi="Simplified Arabic" w:cs="Simplified Arabic"/>
          <w:color w:val="1A1A1A"/>
          <w:sz w:val="28"/>
          <w:szCs w:val="28"/>
          <w14:ligatures w14:val="none"/>
        </w:rPr>
        <w:t xml:space="preserve"> demonstrates the standardized processes operating under load; and </w:t>
      </w:r>
      <w:hyperlink w:anchor="Phase4" w:history="1">
        <w:r w:rsidRPr="00935DA7">
          <w:rPr>
            <w:rStyle w:val="Hyperlink"/>
            <w:rFonts w:ascii="Simplified Arabic" w:eastAsia="Times New Roman" w:hAnsi="Simplified Arabic" w:cs="Simplified Arabic"/>
            <w:sz w:val="28"/>
            <w:szCs w:val="28"/>
            <w14:ligatures w14:val="none"/>
          </w:rPr>
          <w:t>Phase 4</w:t>
        </w:r>
      </w:hyperlink>
      <w:r w:rsidRPr="00DD1558">
        <w:rPr>
          <w:rFonts w:ascii="Simplified Arabic" w:eastAsia="Times New Roman" w:hAnsi="Simplified Arabic" w:cs="Simplified Arabic"/>
          <w:color w:val="1A1A1A"/>
          <w:sz w:val="28"/>
          <w:szCs w:val="28"/>
          <w14:ligatures w14:val="none"/>
        </w:rPr>
        <w:t xml:space="preserve"> institutionalizes the measurement-and-review transition — audit cadence, management review, continual improvement — that opens the path to Perform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{"citationID":"Sgc47oSZ","properties":{"unsorted":false,"formattedCitation":"(14001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sequence is irreversible by design: </w:t>
      </w:r>
      <w:r w:rsidRPr="00DD1558">
        <w:rPr>
          <w:rFonts w:ascii="Simplified Arabic" w:eastAsia="Times New Roman" w:hAnsi="Simplified Arabic" w:cs="Simplified Arabic"/>
          <w:color w:val="1A1A1A"/>
          <w:sz w:val="28"/>
          <w:szCs w:val="28"/>
          <w14:ligatures w14:val="none"/>
        </w:rPr>
        <w:lastRenderedPageBreak/>
        <w:t>measurement without standardized processes audits nothing, and governance without ratified policy enforces nothing.</w:t>
      </w:r>
    </w:p>
    <w:p w14:paraId="7AE044A7" w14:textId="7B7FFB6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Organization before technology.</w:t>
      </w:r>
      <w:r w:rsidRPr="00DD1558">
        <w:rPr>
          <w:rFonts w:ascii="Simplified Arabic" w:eastAsia="Times New Roman" w:hAnsi="Simplified Arabic" w:cs="Simplified Arabic"/>
          <w:color w:val="1A1A1A"/>
          <w:sz w:val="28"/>
          <w:szCs w:val="28"/>
          <w14:ligatures w14:val="none"/>
        </w:rPr>
        <w:t xml:space="preserve"> The roadmap holds digitalization to the position </w:t>
      </w:r>
      <w:hyperlink w:anchor="section292" w:history="1">
        <w:r w:rsidRPr="00E306F1">
          <w:rPr>
            <w:rStyle w:val="Hyperlink"/>
            <w:rFonts w:ascii="Simplified Arabic" w:eastAsia="Times New Roman" w:hAnsi="Simplified Arabic" w:cs="Simplified Arabic"/>
            <w:sz w:val="28"/>
            <w:szCs w:val="28"/>
            <w14:ligatures w14:val="none"/>
          </w:rPr>
          <w:t>Section 2.</w:t>
        </w:r>
        <w:r w:rsidR="00E306F1" w:rsidRPr="00E306F1">
          <w:rPr>
            <w:rStyle w:val="Hyperlink"/>
            <w:rFonts w:ascii="Simplified Arabic" w:eastAsia="Times New Roman" w:hAnsi="Simplified Arabic" w:cs="Simplified Arabic"/>
            <w:sz w:val="28"/>
            <w:szCs w:val="28"/>
            <w14:ligatures w14:val="none"/>
          </w:rPr>
          <w:t>9</w:t>
        </w:r>
        <w:r w:rsidRPr="00E306F1">
          <w:rPr>
            <w:rStyle w:val="Hyperlink"/>
            <w:rFonts w:ascii="Simplified Arabic" w:eastAsia="Times New Roman" w:hAnsi="Simplified Arabic" w:cs="Simplified Arabic"/>
            <w:sz w:val="28"/>
            <w:szCs w:val="28"/>
            <w14:ligatures w14:val="none"/>
          </w:rPr>
          <w:t>.</w:t>
        </w:r>
        <w:r w:rsidR="00E306F1" w:rsidRPr="00E306F1">
          <w:rPr>
            <w:rStyle w:val="Hyperlink"/>
            <w:rFonts w:ascii="Simplified Arabic" w:eastAsia="Times New Roman" w:hAnsi="Simplified Arabic" w:cs="Simplified Arabic"/>
            <w:sz w:val="28"/>
            <w:szCs w:val="28"/>
            <w14:ligatures w14:val="none"/>
          </w:rPr>
          <w:t>2</w:t>
        </w:r>
      </w:hyperlink>
      <w:r w:rsidRPr="00DD1558">
        <w:rPr>
          <w:rFonts w:ascii="Simplified Arabic" w:eastAsia="Times New Roman" w:hAnsi="Simplified Arabic" w:cs="Simplified Arabic"/>
          <w:color w:val="1A1A1A"/>
          <w:sz w:val="28"/>
          <w:szCs w:val="28"/>
          <w14:ligatures w14:val="none"/>
        </w:rPr>
        <w:t xml:space="preserve"> assigned it: a Perform-band capability unlocked by, never substituted for, organizational reform. The higher-education digital-transformation literature is consistent that technology layered onto unstandardized processes and unclear roles reproduces fragmentation in digital form, and that organizational readiness — process definition, governance clarity, data discipline — is the binding constraint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{"citationID":"kDMDF5aD","properties":{"unsorted":false,"formattedCitation":"(Bellantuono et al., 2021; Bravo-Jaico et al., 2025; Rodr\\uc0\\u237{}guez-Abitia &amp; Bribiesca-Correa, 2021)","plainCitation":"(Bellantuono et al., 2021; Bravo-Jaico et al., 2025;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415,"uris":["http://zotero.org/users/19711126/items/V625ZYB8"],"itemData":{"id":415,"type":"article-journal","abstract":"In these times of increasing digitization and process automation, digital transformation (DT) has become a determining factor for continuous improvement and competitiveness in organizations in all areas. In the context of higher education institutions (HEIs), DT plays a fundamental role in the evolution of teaching and learning, as well as in the administrative and operational management of universities, where the use of digital tools and strategies allows greater accessibility and flexibility in education, facilitating innovation, collaboration, and knowledge generation in globalized environments. The objective of this research was to develop a theoretical-methodological framework (TMF) that allowed the creation of a model to determine the level of maturity of DT in HEIs, for which a qualitative research methodology was used, based on grounded theory, with eight phases: literature review, interviews with managers and administrators, content analysis of the interviews, definition of dimensions, definition of components, definition of actors, creation of the practical model, and determination of maturity levels. This methodology allowed the construction of a digital maturity model integrated with eight dimensions, based on the main organizational processes in higher education, with four key components of DT and four relevant actors of the university system, thus structuring a framework that allows analyzing and evaluating the state of DT in the various institutions and thus improving the quality and efficiency of their processes in the current digital era.","container-title":"Frontiers in Education","DOI":"10.3389/feduc.2025.1581648","ISSN":"2504-284X","journalAbbreviation":"Front. Educ.","language":"English","publisher":"Frontiers","source":"Frontiers","title":"Model for assessing the maturity level of digital transformation in higher education institutions: a theoretical-methodological approach","title-short":"Model for assessing the maturity level of digital transformation in higher education institutions","URL":"https://www.frontiersin.org/journals/education/articles/10.3389/feduc.2025.1581648/full","volume":"10","author":[{"family":"Bravo-Jaico","given":"Jessie"},{"family":"Alarcón","given":"Roger"},{"family":"Valdivia","given":"Carlos"},{"family":"Germán","given":"Nilton"},{"family":"Aquino","given":"Janet"},{"family":"Serquén","given":"Oscar"},{"family":"Guevara","given":"Laurita"},{"family":"Moreno Heredia","given":"Armando"}],"accessed":{"date-parts":[["2026",8,6]]},"issued":{"date-parts":[["2025",5,20]]}}},{"id":498,"uris":["http://zotero.org/users/19711126/items/6ISTLX2A"],"itemData":{"id":498,"type":"article-journal","abstract":"Industry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Bravo-Jaico et al., 2025;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Smart-inventory research confirms the claim in the inventory domain: automated tracking delivers value only where processes and data semantics are already standardized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{"citationID":"RBhw62Ly","properties":{"unsorted":false,"formattedCitation":"(Carpitella &amp; Izquierdo, 2025)","plainCitation":"(Carpitella &amp; Izquierdo, 2025)","noteIndex":0},"citationItems":[{"id":419,"uris":["http://zotero.org/users/19711126/items/TZRZHV7D"],"itemData":{"id":419,"type":"article-journal","abstract":"This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documented RFID-assisted stock control presupposes exactly the rotation discipline and record conformity the framework installs first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{"citationID":"LpUwbTHi","properties":{"unsorted":false,"formattedCitation":"(Wilke et al., 2023)","plainCitation":"(Wilke et al., 2023)","noteIndex":0},"citationItems":[{"id":529,"uris":["http://zotero.org/users/19711126/items/UJ5TQGHH"],"itemData":{"id":529,"type":"article-journal","abstract":"Manual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platform therefore appears only as the object of gate G4 in the continuous </w:t>
      </w:r>
      <w:hyperlink w:anchor="Phase4" w:history="1">
        <w:r w:rsidRPr="00935DA7">
          <w:rPr>
            <w:rStyle w:val="Hyperlink"/>
            <w:rFonts w:ascii="Simplified Arabic" w:eastAsia="Times New Roman" w:hAnsi="Simplified Arabic" w:cs="Simplified Arabic"/>
            <w:sz w:val="28"/>
            <w:szCs w:val="28"/>
            <w14:ligatures w14:val="none"/>
          </w:rPr>
          <w:t>Phase 4</w:t>
        </w:r>
      </w:hyperlink>
      <w:r w:rsidRPr="00DD1558">
        <w:rPr>
          <w:rFonts w:ascii="Simplified Arabic" w:eastAsia="Times New Roman" w:hAnsi="Simplified Arabic" w:cs="Simplified Arabic"/>
          <w:color w:val="1A1A1A"/>
          <w:sz w:val="28"/>
          <w:szCs w:val="28"/>
          <w14:ligatures w14:val="none"/>
        </w:rPr>
        <w:t xml:space="preserve"> — never as a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acquisition.</w:t>
      </w:r>
    </w:p>
    <w:p w14:paraId="08B6AC90" w14:textId="3C6C354F"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Pilot-first gradualism in a large public institution.</w:t>
      </w:r>
      <w:r w:rsidRPr="00DD1558">
        <w:rPr>
          <w:rFonts w:ascii="Simplified Arabic" w:eastAsia="Times New Roman" w:hAnsi="Simplified Arabic" w:cs="Simplified Arabic"/>
          <w:color w:val="1A1A1A"/>
          <w:sz w:val="28"/>
          <w:szCs w:val="28"/>
          <w14:ligatures w14:val="none"/>
        </w:rPr>
        <w:t xml:space="preserve"> The Biology Department pilot precedes college-wide scaling for three reasons. First, the change-management evidence indicates that staged, capability-building transitions succeed where big-bang adoptions stall: early, bounded demonstration converts abstract policy into visible practice and gives resisters a falsifiable claim rather than a fait accompli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{"citationID":"fW0XhdBK","properties":{"unsorted":false,"formattedCitation":"(Dean et al., 2024; Vlachopoulos, 2021)","plainCitation":"(Dean et al., 2024;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the Biology Department is the thesis’s embedded unit of analysis and presents the college’s full inventory complexity, so workflow integrity demonstrated there transfers with the fewest caveats (Section 1). Third, pilot-first sequencing is the risk treatment </w:t>
      </w:r>
      <w:hyperlink w:anchor="section292" w:history="1">
        <w:r w:rsidR="000A422D" w:rsidRPr="00E306F1">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specified for transition risks RR-02 and RR-06: resistance and early custody disputes are absorbed inside a bounded scope with a protocolized resolution </w:t>
      </w:r>
      <w:r w:rsidRPr="00DD1558">
        <w:rPr>
          <w:rFonts w:ascii="Simplified Arabic" w:eastAsia="Times New Roman" w:hAnsi="Simplified Arabic" w:cs="Simplified Arabic"/>
          <w:color w:val="1A1A1A"/>
          <w:sz w:val="28"/>
          <w:szCs w:val="28"/>
          <w14:ligatures w14:val="none"/>
        </w:rPr>
        <w:lastRenderedPageBreak/>
        <w:t xml:space="preserve">path before the regime is exposed college-wide. In project-management terms, this is progressive elaboration tailored to institutional context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{"citationID":"Fo8oPTnV","properties":{"unsorted":false,"formattedCitation":"(PMI, 2021; Takagi et al., 2024)","plainCitation":"(PMI, 2021; Takagi et al., 2024)","noteIndex":0},"citationItems":[{"id":490,"uris":["http://zotero.org/users/19711126/items/LY4H4ZEI"],"itemData":{"id":490,"type":"book","abstract":"PMBOK®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306C762" w14:textId="63038EA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Gates as phase terminators.</w:t>
      </w:r>
      <w:r w:rsidRPr="00DD1558">
        <w:rPr>
          <w:rFonts w:ascii="Simplified Arabic" w:eastAsia="Times New Roman" w:hAnsi="Simplified Arabic" w:cs="Simplified Arabic"/>
          <w:color w:val="1A1A1A"/>
          <w:sz w:val="28"/>
          <w:szCs w:val="28"/>
          <w14:ligatures w14:val="none"/>
        </w:rPr>
        <w:t xml:space="preserve"> Every phase terminates at one of the analytical readiness gates of </w:t>
      </w:r>
      <w:hyperlink w:anchor="section46" w:history="1">
        <w:r w:rsidRPr="00E306F1">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 G1 policy ratification, G2 data readiness, G3 pilot workflow integrity, G4 digital platform readiness — and no successor phase begins until its gate closes. The gate discipline is the roadmap’s load-bearing control, because </w:t>
      </w:r>
      <w:hyperlink w:anchor="section4343" w:history="1">
        <w:r w:rsidR="0018617A" w:rsidRPr="00E306F1">
          <w:rPr>
            <w:rStyle w:val="Hyperlink"/>
            <w:rFonts w:ascii="Simplified Arabic" w:eastAsia="Times New Roman" w:hAnsi="Simplified Arabic" w:cs="Simplified Arabic"/>
            <w:sz w:val="28"/>
            <w:szCs w:val="28"/>
            <w14:ligatures w14:val="none"/>
          </w:rPr>
          <w:t>Section 4.3.4.3</w:t>
        </w:r>
      </w:hyperlink>
      <w:r w:rsidR="0018617A">
        <w:rPr>
          <w:rFonts w:ascii="Simplified Arabic" w:eastAsia="Times New Roman" w:hAnsi="Simplified Arabic" w:cs="Simplified Arabic" w:hint="cs"/>
          <w:color w:val="1A1A1A"/>
          <w:sz w:val="28"/>
          <w:szCs w:val="28"/>
          <w:rtl/>
          <w14:ligatures w14:val="none"/>
        </w:rPr>
        <w:t xml:space="preserve"> </w:t>
      </w:r>
      <w:r w:rsidRPr="00DD1558">
        <w:rPr>
          <w:rFonts w:ascii="Simplified Arabic" w:eastAsia="Times New Roman" w:hAnsi="Simplified Arabic" w:cs="Simplified Arabic"/>
          <w:color w:val="1A1A1A"/>
          <w:sz w:val="28"/>
          <w:szCs w:val="28"/>
          <w14:ligatures w14:val="none"/>
        </w:rPr>
        <w:t xml:space="preserve">established that transition risks are discharged by gates, not by elapsed time: G1 discharges RR-01, G2 discharges RR-03 and the competence component of RR-04, G3 tests RR-06 under controlled conditions, and G4 holds RR-15 until organizational readiness is demonstrated. A phase that overruns its schedule designation is a scheduling matter for the Board’s termly review; a phase whose gate has not closed is a stop. The roadmap is, in this sense, PMBOK tailoring logic applied to a policy reform: scope fixed by the framework, sequence by the maturity trajectory, progress by gate evidence rather than calendar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{"citationID":"kNXCfcfR","properties":{"unsorted":false,"formattedCitation":"(31000 ISO/IEC, 2018; PMI, 2021)","plainCitation":"(31000 ISO/IEC, 2018; PMI, 2021)","noteIndex":0},"citationItems":[{"id":464,"uris":["http://zotero.org/users/19711126/items/3P2A2GPY"],"itemData":{"id":464,"type":"standard","title":"ISO 31000:2018(en), Risk management — Guidelines","URL":"https://www.iso.org/obp/ui/#iso:std:iso:31000:ed-2:v1:en","author":[{"family":"ISO/IEC","given":"31000"}],"accessed":{"date-parts":[["2026",8,6]]},"issued":{"date-parts":[["2018"]]}}},{"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 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161BE7DA"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81" w:name="_Toc237539778"/>
      <w:r w:rsidRPr="00DD1558">
        <w:rPr>
          <w:rFonts w:ascii="Simplified Arabic" w:eastAsiaTheme="majorEastAsia" w:hAnsi="Simplified Arabic" w:cstheme="majorBidi"/>
          <w:sz w:val="28"/>
          <w:szCs w:val="28"/>
        </w:rPr>
        <w:t>4.5.2 P</w:t>
      </w:r>
      <w:bookmarkStart w:id="182" w:name="Phase1"/>
      <w:bookmarkEnd w:id="182"/>
      <w:r w:rsidRPr="00DD1558">
        <w:rPr>
          <w:rFonts w:ascii="Simplified Arabic" w:eastAsiaTheme="majorEastAsia" w:hAnsi="Simplified Arabic" w:cstheme="majorBidi"/>
          <w:sz w:val="28"/>
          <w:szCs w:val="28"/>
        </w:rPr>
        <w:t>hase 1: Institutional Foundation and Policy Ratification (Months 1–2)</w:t>
      </w:r>
      <w:bookmarkEnd w:id="181"/>
    </w:p>
    <w:p w14:paraId="479A433A"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Phase 1 converts the framework from design artifact into ratified institutional policy. Its activities are:</w:t>
      </w:r>
    </w:p>
    <w:p w14:paraId="0411E848" w14:textId="141E8856" w:rsidR="00DD1558" w:rsidRPr="00DD1558" w:rsidRDefault="00DD1558" w:rsidP="00DD1558">
      <w:pPr>
        <w:numPr>
          <w:ilvl w:val="0"/>
          <w:numId w:val="18"/>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Constitute the Academic Inventory Governance Board.</w:t>
      </w:r>
      <w:r w:rsidRPr="00DD1558">
        <w:rPr>
          <w:rFonts w:ascii="Simplified Arabic" w:eastAsia="Cambria" w:hAnsi="Simplified Arabic" w:cs="Simplified Arabic"/>
          <w:color w:val="212121"/>
          <w:sz w:val="28"/>
          <w:szCs w:val="28"/>
          <w14:ligatures w14:val="none"/>
        </w:rPr>
        <w:t xml:space="preserve"> College leadership delegates the Board’s five mandates (</w:t>
      </w:r>
      <w:hyperlink w:anchor="Section412" w:history="1">
        <w:r w:rsidR="002C0C03" w:rsidRPr="00E306F1">
          <w:rPr>
            <w:rStyle w:val="Hyperlink"/>
            <w:rFonts w:ascii="Simplified Arabic" w:eastAsia="Cambria" w:hAnsi="Simplified Arabic" w:cs="Simplified Arabic"/>
            <w:sz w:val="28"/>
            <w:szCs w:val="28"/>
            <w14:ligatures w14:val="none"/>
          </w:rPr>
          <w:t>Section 4.1.2</w:t>
        </w:r>
      </w:hyperlink>
      <w:r w:rsidRPr="00DD1558">
        <w:rPr>
          <w:rFonts w:ascii="Simplified Arabic" w:eastAsia="Cambria" w:hAnsi="Simplified Arabic" w:cs="Simplified Arabic"/>
          <w:color w:val="212121"/>
          <w:sz w:val="28"/>
          <w:szCs w:val="28"/>
          <w14:ligatures w14:val="none"/>
        </w:rPr>
        <w:t xml:space="preserve">) and appoints its composition of roles. Constitution comes first deliberately: every subsequent ratification requires a ratifying authority, and the collaborative-governance literature identifies legitimate, visibly mandated authority as the precondition for participatory arrangements that do not decay into nominal compliance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{"citationID":"dsenODKp","properties":{"unsorted":false,"formattedCitation":"(Ahn &amp; Baldwin, 2024; Lopes &amp; Farias, 2022)","plainCitation":"(Ahn &amp; Baldwin, 2024;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(Ahn &amp; Baldwin, 2024; Lopes &amp; Farias, 2022)</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3E08CE53" w14:textId="3989176C" w:rsidR="00DD1558" w:rsidRPr="00DD1558" w:rsidRDefault="00DD1558" w:rsidP="00DD1558">
      <w:pPr>
        <w:numPr>
          <w:ilvl w:val="0"/>
          <w:numId w:val="18"/>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Charter the Technical Standardization Committee and the Digital Supply Chain Unit.</w:t>
      </w:r>
      <w:r w:rsidRPr="00DD1558">
        <w:rPr>
          <w:rFonts w:ascii="Simplified Arabic" w:eastAsia="Cambria" w:hAnsi="Simplified Arabic" w:cs="Simplified Arabic"/>
          <w:color w:val="212121"/>
          <w:sz w:val="28"/>
          <w:szCs w:val="28"/>
          <w14:ligatures w14:val="none"/>
        </w:rPr>
        <w:t xml:space="preserve"> The Committee receives its standard-drafting mandate; the Unit its data-</w:t>
      </w:r>
      <w:r w:rsidRPr="00DD1558">
        <w:rPr>
          <w:rFonts w:ascii="Simplified Arabic" w:eastAsia="Cambria" w:hAnsi="Simplified Arabic" w:cs="Simplified Arabic"/>
          <w:color w:val="212121"/>
          <w:sz w:val="28"/>
          <w:szCs w:val="28"/>
          <w14:ligatures w14:val="none"/>
        </w:rPr>
        <w:lastRenderedPageBreak/>
        <w:t xml:space="preserve">stewardship mandate, including its negative procedural power to decline certifying an eligibility check when data-quality rules are unmet (Sections </w:t>
      </w:r>
      <w:hyperlink w:anchor="section33" w:history="1">
        <w:r w:rsidRPr="00E306F1">
          <w:rPr>
            <w:rStyle w:val="Hyperlink"/>
            <w:rFonts w:ascii="Simplified Arabic" w:eastAsia="Cambria" w:hAnsi="Simplified Arabic" w:cs="Simplified Arabic"/>
            <w:sz w:val="28"/>
            <w:szCs w:val="28"/>
            <w14:ligatures w14:val="none"/>
          </w:rPr>
          <w:t>3.3</w:t>
        </w:r>
      </w:hyperlink>
      <w:r w:rsidRPr="00DD1558">
        <w:rPr>
          <w:rFonts w:ascii="Simplified Arabic" w:eastAsia="Cambria" w:hAnsi="Simplified Arabic" w:cs="Simplified Arabic"/>
          <w:color w:val="212121"/>
          <w:sz w:val="28"/>
          <w:szCs w:val="28"/>
          <w14:ligatures w14:val="none"/>
        </w:rPr>
        <w:t>–</w:t>
      </w:r>
      <w:hyperlink w:anchor="section34" w:history="1">
        <w:r w:rsidRPr="00E306F1">
          <w:rPr>
            <w:rStyle w:val="Hyperlink"/>
            <w:rFonts w:ascii="Simplified Arabic" w:eastAsia="Cambria" w:hAnsi="Simplified Arabic" w:cs="Simplified Arabic"/>
            <w:sz w:val="28"/>
            <w:szCs w:val="28"/>
            <w14:ligatures w14:val="none"/>
          </w:rPr>
          <w:t>3.4</w:t>
        </w:r>
      </w:hyperlink>
      <w:r w:rsidRPr="00DD1558">
        <w:rPr>
          <w:rFonts w:ascii="Simplified Arabic" w:eastAsia="Cambria" w:hAnsi="Simplified Arabic" w:cs="Simplified Arabic"/>
          <w:color w:val="212121"/>
          <w:sz w:val="28"/>
          <w:szCs w:val="28"/>
          <w14:ligatures w14:val="none"/>
        </w:rPr>
        <w:t>).</w:t>
      </w:r>
    </w:p>
    <w:p w14:paraId="72E01A85" w14:textId="09838D57" w:rsidR="00DD1558" w:rsidRPr="00DD1558" w:rsidRDefault="00DD1558" w:rsidP="00DD1558">
      <w:pPr>
        <w:numPr>
          <w:ilvl w:val="0"/>
          <w:numId w:val="18"/>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Ratify the policy core.</w:t>
      </w:r>
      <w:r w:rsidRPr="00DD1558">
        <w:rPr>
          <w:rFonts w:ascii="Simplified Arabic" w:eastAsia="Cambria" w:hAnsi="Simplified Arabic" w:cs="Simplified Arabic"/>
          <w:color w:val="212121"/>
          <w:sz w:val="28"/>
          <w:szCs w:val="28"/>
          <w14:ligatures w14:val="none"/>
        </w:rPr>
        <w:t xml:space="preserve"> In a single ratification cycle, the Board adopts the unified catalog and records standard (PB1); the eligibility clauses requiring a documented shared-registry check before requisition (PB2); the FEFO policy standard (MB1); and the Inter-Lab Policy Framework with its eligibility classification, loan workflow, custody-transfer protocol, and risk controls — loan limits, recall rights, and the damage/loss liability principle (</w:t>
      </w:r>
      <w:hyperlink w:anchor="Section416" w:history="1">
        <w:r w:rsidR="002C0C03" w:rsidRPr="00E306F1">
          <w:rPr>
            <w:rStyle w:val="Hyperlink"/>
            <w:rFonts w:ascii="Simplified Arabic" w:eastAsia="Cambria" w:hAnsi="Simplified Arabic" w:cs="Simplified Arabic"/>
            <w:sz w:val="28"/>
            <w:szCs w:val="28"/>
            <w14:ligatures w14:val="none"/>
          </w:rPr>
          <w:t>Section 4.1.6</w:t>
        </w:r>
      </w:hyperlink>
      <w:r w:rsidRPr="00DD1558">
        <w:rPr>
          <w:rFonts w:ascii="Simplified Arabic" w:eastAsia="Cambria" w:hAnsi="Simplified Arabic" w:cs="Simplified Arabic"/>
          <w:color w:val="212121"/>
          <w:sz w:val="28"/>
          <w:szCs w:val="28"/>
          <w14:ligatures w14:val="none"/>
        </w:rPr>
        <w:t>).</w:t>
      </w:r>
    </w:p>
    <w:p w14:paraId="1A664E64" w14:textId="0B6F97D8" w:rsidR="00DD1558" w:rsidRPr="00DD1558" w:rsidRDefault="00DD1558" w:rsidP="00DD1558">
      <w:pPr>
        <w:numPr>
          <w:ilvl w:val="0"/>
          <w:numId w:val="18"/>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Appoint roles and confirm the technician operational mandate.</w:t>
      </w:r>
      <w:r w:rsidRPr="00DD1558">
        <w:rPr>
          <w:rFonts w:ascii="Simplified Arabic" w:eastAsia="Cambria" w:hAnsi="Simplified Arabic" w:cs="Simplified Arabic"/>
          <w:color w:val="212121"/>
          <w:sz w:val="28"/>
          <w:szCs w:val="28"/>
          <w14:ligatures w14:val="none"/>
        </w:rPr>
        <w:t xml:space="preserve"> Custodian supervisors, executing technicians, and escalation contacts are named in each department, with the technician role confirmed exactly as </w:t>
      </w:r>
      <w:hyperlink w:anchor="section415" w:history="1">
        <w:r w:rsidR="002C0C03" w:rsidRPr="00E306F1">
          <w:rPr>
            <w:rStyle w:val="Hyperlink"/>
            <w:rFonts w:ascii="Simplified Arabic" w:eastAsia="Cambria" w:hAnsi="Simplified Arabic" w:cs="Simplified Arabic"/>
            <w:sz w:val="28"/>
            <w:szCs w:val="28"/>
            <w14:ligatures w14:val="none"/>
          </w:rPr>
          <w:t>Section 4.1.5</w:t>
        </w:r>
      </w:hyperlink>
      <w:r w:rsidRPr="00DD1558">
        <w:rPr>
          <w:rFonts w:ascii="Simplified Arabic" w:eastAsia="Cambria" w:hAnsi="Simplified Arabic" w:cs="Simplified Arabic"/>
          <w:color w:val="212121"/>
          <w:sz w:val="28"/>
          <w:szCs w:val="28"/>
          <w14:ligatures w14:val="none"/>
        </w:rPr>
        <w:t xml:space="preserve"> specifies it: execution of FEFO rotation, loan workflows, custody documentation, and catalog entries, with a bounded escalation duty — and no administrative decision-making authority, procurement approval, financial authority, or policy-setting role. Confirming the non-authority clause at ratification prevents the authority inflation the governance literature identifies as a failure mode of participatory arrangements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{"citationID":"oa1xwAtc","properties":{"unsorted":false,"formattedCitation":"(Gestel &amp; Grotenbreg, 2021; Lopes &amp; Farias, 2022)","plainCitation":"(Gestel &amp; Grotenbreg, 2021; Lopes &amp; Farias, 2022)","noteIndex":0},"citationItems":[{"id":517,"uris":["http://zotero.org/users/19711126/items/7LQEB697"],"itemData":{"id":517,"type":"article-journal","abstract":"Collaborative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(Gestel &amp; Grotenbreg, 2021; Lopes &amp; Farias, 2022)</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61D9FF5C" w14:textId="37FB0350" w:rsidR="00DD1558" w:rsidRPr="00DD1558" w:rsidRDefault="00DD1558" w:rsidP="00DD1558">
      <w:pPr>
        <w:numPr>
          <w:ilvl w:val="0"/>
          <w:numId w:val="18"/>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Initiate change communication.</w:t>
      </w:r>
      <w:r w:rsidRPr="00DD1558">
        <w:rPr>
          <w:rFonts w:ascii="Simplified Arabic" w:eastAsia="Cambria" w:hAnsi="Simplified Arabic" w:cs="Simplified Arabic"/>
          <w:color w:val="212121"/>
          <w:sz w:val="28"/>
          <w:szCs w:val="28"/>
          <w14:ligatures w14:val="none"/>
        </w:rPr>
        <w:t xml:space="preserve"> The Board opens the communication structure specified in </w:t>
      </w:r>
      <w:hyperlink w:anchor="Section416" w:history="1">
        <w:r w:rsidR="000A422D" w:rsidRPr="00E306F1">
          <w:rPr>
            <w:rStyle w:val="Hyperlink"/>
            <w:rFonts w:ascii="Simplified Arabic" w:eastAsia="Cambria" w:hAnsi="Simplified Arabic" w:cs="Simplified Arabic"/>
            <w:sz w:val="28"/>
            <w:szCs w:val="28"/>
            <w14:ligatures w14:val="none"/>
          </w:rPr>
          <w:t>Section 4.1.6</w:t>
        </w:r>
      </w:hyperlink>
      <w:r w:rsidRPr="00DD1558">
        <w:rPr>
          <w:rFonts w:ascii="Simplified Arabic" w:eastAsia="Cambria" w:hAnsi="Simplified Arabic" w:cs="Simplified Arabic"/>
          <w:color w:val="212121"/>
          <w:sz w:val="28"/>
          <w:szCs w:val="28"/>
          <w14:ligatures w14:val="none"/>
        </w:rPr>
        <w:t xml:space="preserve"> — a standing channel carrying the framework’s rationale, the eligibility rules, and the pilot plan to departments — following the awareness and communication provisions both anchor standards assign to a management system’s support function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{"citationID":"3oJclYzx","properties":{"unsorted":false,"formattedCitation":"(14001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7.3–7.4;</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{"citationID":"i3nIe5Rr","properties":{"unsorted":false,"formattedCitation":"(22301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7.3–7.4).</w:t>
      </w:r>
    </w:p>
    <w:p w14:paraId="03264CA2" w14:textId="6CA44E5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Governance and gate.</w:t>
      </w:r>
      <w:r w:rsidRPr="00DD1558">
        <w:rPr>
          <w:rFonts w:ascii="Simplified Arabic" w:eastAsia="Times New Roman" w:hAnsi="Simplified Arabic" w:cs="Simplified Arabic"/>
          <w:color w:val="1A1A1A"/>
          <w:sz w:val="28"/>
          <w:szCs w:val="28"/>
          <w14:ligatures w14:val="none"/>
        </w:rPr>
        <w:t xml:space="preserve"> The Board leads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the Committee drafts; departments comment within time-boxed windows. The phase terminates at </w:t>
      </w:r>
      <w:r w:rsidRPr="00DD1558">
        <w:rPr>
          <w:rFonts w:ascii="Simplified Arabic" w:eastAsia="Times New Roman" w:hAnsi="Simplified Arabic" w:cs="Simplified Arabic"/>
          <w:b/>
          <w:bCs/>
          <w:color w:val="1A1A1A"/>
          <w:sz w:val="28"/>
          <w:szCs w:val="28"/>
          <w14:ligatures w14:val="none"/>
        </w:rPr>
        <w:t>gate G1 — policy ratification</w:t>
      </w:r>
      <w:r w:rsidRPr="00DD1558">
        <w:rPr>
          <w:rFonts w:ascii="Simplified Arabic" w:eastAsia="Times New Roman" w:hAnsi="Simplified Arabic" w:cs="Simplified Arabic"/>
          <w:color w:val="1A1A1A"/>
          <w:sz w:val="28"/>
          <w:szCs w:val="28"/>
          <w14:ligatures w14:val="none"/>
        </w:rPr>
        <w:t xml:space="preserve">, whose criteria per </w:t>
      </w:r>
      <w:hyperlink w:anchor="section46" w:history="1">
        <w:r w:rsidRPr="00E306F1">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are: the Board constituted; the policy core </w:t>
      </w:r>
      <w:r w:rsidRPr="00DD1558">
        <w:rPr>
          <w:rFonts w:ascii="Simplified Arabic" w:eastAsia="Times New Roman" w:hAnsi="Simplified Arabic" w:cs="Simplified Arabic"/>
          <w:color w:val="1A1A1A"/>
          <w:sz w:val="28"/>
          <w:szCs w:val="28"/>
          <w14:ligatures w14:val="none"/>
        </w:rPr>
        <w:lastRenderedPageBreak/>
        <w:t xml:space="preserve">ratified; roles appointed and communicated per the clause 5.3 analogue of both standards; and the </w:t>
      </w:r>
      <w:hyperlink w:anchor="section292" w:history="1">
        <w:r w:rsidR="000A422D" w:rsidRPr="00E306F1">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risk register adopted as a standing Board instrument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{"citationID":"J83hvJTE","properties":{"unsorted":false,"formattedCitation":"(14001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5.3;</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{"citationID":"gbIrXwAz","properties":{"unsorted":false,"formattedCitation":"(22301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5.3). The linked transition risks are </w:t>
      </w:r>
      <w:r w:rsidRPr="00DD1558">
        <w:rPr>
          <w:rFonts w:ascii="Simplified Arabic" w:eastAsia="Times New Roman" w:hAnsi="Simplified Arabic" w:cs="Simplified Arabic"/>
          <w:b/>
          <w:bCs/>
          <w:color w:val="1A1A1A"/>
          <w:sz w:val="28"/>
          <w:szCs w:val="28"/>
          <w14:ligatures w14:val="none"/>
        </w:rPr>
        <w:t>RR-01 (policy ratification delay)</w:t>
      </w:r>
      <w:r w:rsidRPr="00DD1558">
        <w:rPr>
          <w:rFonts w:ascii="Simplified Arabic" w:eastAsia="Times New Roman" w:hAnsi="Simplified Arabic" w:cs="Simplified Arabic"/>
          <w:color w:val="1A1A1A"/>
          <w:sz w:val="28"/>
          <w:szCs w:val="28"/>
          <w14:ligatures w14:val="none"/>
        </w:rPr>
        <w:t xml:space="preserve"> — High priority because the entire barrier architecture depends on this gate — and </w:t>
      </w:r>
      <w:r w:rsidRPr="00DD1558">
        <w:rPr>
          <w:rFonts w:ascii="Simplified Arabic" w:eastAsia="Times New Roman" w:hAnsi="Simplified Arabic" w:cs="Simplified Arabic"/>
          <w:b/>
          <w:bCs/>
          <w:color w:val="1A1A1A"/>
          <w:sz w:val="28"/>
          <w:szCs w:val="28"/>
          <w14:ligatures w14:val="none"/>
        </w:rPr>
        <w:t>RR-02 (departmental resistance to shared visibility and custody rules)</w:t>
      </w:r>
      <w:r w:rsidRPr="00DD1558">
        <w:rPr>
          <w:rFonts w:ascii="Simplified Arabic" w:eastAsia="Times New Roman" w:hAnsi="Simplified Arabic" w:cs="Simplified Arabic"/>
          <w:color w:val="1A1A1A"/>
          <w:sz w:val="28"/>
          <w:szCs w:val="28"/>
          <w14:ligatures w14:val="none"/>
        </w:rPr>
        <w:t xml:space="preserve">, which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begins treating through departmental Board representation and the custodian protections ratified within the Inter-Lab Policy Framework. Gate G1 also activates the audit-cadence adherence indicator (KPI-G3), since the Board’s termly review cycle begins with ratification.</w:t>
      </w:r>
    </w:p>
    <w:p w14:paraId="6F569F04"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83" w:name="_Toc237539779"/>
      <w:r w:rsidRPr="00DD1558">
        <w:rPr>
          <w:rFonts w:ascii="Simplified Arabic" w:eastAsiaTheme="majorEastAsia" w:hAnsi="Simplified Arabic" w:cstheme="majorBidi"/>
          <w:sz w:val="28"/>
          <w:szCs w:val="28"/>
        </w:rPr>
        <w:t>4.5.3 P</w:t>
      </w:r>
      <w:bookmarkStart w:id="184" w:name="Phase2"/>
      <w:bookmarkEnd w:id="184"/>
      <w:r w:rsidRPr="00DD1558">
        <w:rPr>
          <w:rFonts w:ascii="Simplified Arabic" w:eastAsiaTheme="majorEastAsia" w:hAnsi="Simplified Arabic" w:cstheme="majorBidi"/>
          <w:sz w:val="28"/>
          <w:szCs w:val="28"/>
        </w:rPr>
        <w:t>hase 2: Catalog Standardization and Data Onboarding (Months 3–4)</w:t>
      </w:r>
      <w:bookmarkEnd w:id="183"/>
    </w:p>
    <w:p w14:paraId="691F5730"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Phase 2 performs the standardization transition out of the Inform/Conform band: it deploys prevention barrier PB1 and populates the shared registry on which every downstream mechanism — the eligibility check, redistribution, the dashboard — depends. Its activities are:</w:t>
      </w:r>
    </w:p>
    <w:p w14:paraId="7260AB38" w14:textId="2F406447" w:rsidR="00DD1558" w:rsidRPr="00DD1558" w:rsidRDefault="00DD1558" w:rsidP="00DD1558">
      <w:pPr>
        <w:numPr>
          <w:ilvl w:val="0"/>
          <w:numId w:val="19"/>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Roll out the PB1 catalog standard, Biology Department first.</w:t>
      </w:r>
      <w:r w:rsidRPr="00DD1558">
        <w:rPr>
          <w:rFonts w:ascii="Simplified Arabic" w:eastAsia="Cambria" w:hAnsi="Simplified Arabic" w:cs="Simplified Arabic"/>
          <w:color w:val="212121"/>
          <w:sz w:val="28"/>
          <w:szCs w:val="28"/>
          <w14:ligatures w14:val="none"/>
        </w:rPr>
        <w:t xml:space="preserve"> The Committee’s standard — naming conventions, classification hierarchies, units of measure, hazard annotations, the minimum attribute set — is applied to the embedded unit’s inventory before any other department, so that the standard is stress-tested against the college’s most chemically diverse stock while the onboarding team is still small and correctable (</w:t>
      </w:r>
      <w:hyperlink w:anchor="section222" w:history="1">
        <w:r w:rsidRPr="00E306F1">
          <w:rPr>
            <w:rStyle w:val="Hyperlink"/>
            <w:rFonts w:ascii="Simplified Arabic" w:eastAsia="Cambria" w:hAnsi="Simplified Arabic" w:cs="Simplified Arabic"/>
            <w:sz w:val="28"/>
            <w:szCs w:val="28"/>
            <w14:ligatures w14:val="none"/>
          </w:rPr>
          <w:t>Section 2.2.2</w:t>
        </w:r>
      </w:hyperlink>
      <w:r w:rsidRPr="00DD1558">
        <w:rPr>
          <w:rFonts w:ascii="Simplified Arabic" w:eastAsia="Cambria" w:hAnsi="Simplified Arabic" w:cs="Simplified Arabic"/>
          <w:color w:val="212121"/>
          <w:sz w:val="28"/>
          <w:szCs w:val="28"/>
          <w14:ligatures w14:val="none"/>
        </w:rPr>
        <w:t>).</w:t>
      </w:r>
    </w:p>
    <w:p w14:paraId="01957AEF" w14:textId="2BCE1144" w:rsidR="00DD1558" w:rsidRPr="00DD1558" w:rsidRDefault="00DD1558" w:rsidP="00DD1558">
      <w:pPr>
        <w:numPr>
          <w:ilvl w:val="0"/>
          <w:numId w:val="19"/>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Onboard departmental inventories to the shared registry.</w:t>
      </w:r>
      <w:r w:rsidRPr="00DD1558">
        <w:rPr>
          <w:rFonts w:ascii="Simplified Arabic" w:eastAsia="Cambria" w:hAnsi="Simplified Arabic" w:cs="Simplified Arabic"/>
          <w:color w:val="212121"/>
          <w:sz w:val="28"/>
          <w:szCs w:val="28"/>
          <w14:ligatures w14:val="none"/>
        </w:rPr>
        <w:t xml:space="preserve"> Biology Department holdings are entered into the Unit-operated registry in full conformity with the ratified standard; remaining departments begin preparatory classification so that </w:t>
      </w:r>
      <w:hyperlink w:anchor="Phase4" w:history="1">
        <w:r w:rsidRPr="00935DA7">
          <w:rPr>
            <w:rStyle w:val="Hyperlink"/>
            <w:rFonts w:ascii="Simplified Arabic" w:eastAsia="Cambria" w:hAnsi="Simplified Arabic" w:cs="Simplified Arabic"/>
            <w:sz w:val="28"/>
            <w:szCs w:val="28"/>
            <w14:ligatures w14:val="none"/>
          </w:rPr>
          <w:t>Phase 4</w:t>
        </w:r>
      </w:hyperlink>
      <w:r w:rsidRPr="00DD1558">
        <w:rPr>
          <w:rFonts w:ascii="Simplified Arabic" w:eastAsia="Cambria" w:hAnsi="Simplified Arabic" w:cs="Simplified Arabic"/>
          <w:color w:val="212121"/>
          <w:sz w:val="28"/>
          <w:szCs w:val="28"/>
          <w14:ligatures w14:val="none"/>
        </w:rPr>
        <w:t xml:space="preserve"> scaling starts from documented groundwork rather than a cold start. Registry entries are executed by technicians as catalog work under </w:t>
      </w:r>
      <w:hyperlink w:anchor="section415" w:history="1">
        <w:r w:rsidR="002C0C03" w:rsidRPr="00E306F1">
          <w:rPr>
            <w:rStyle w:val="Hyperlink"/>
            <w:rFonts w:ascii="Simplified Arabic" w:eastAsia="Cambria" w:hAnsi="Simplified Arabic" w:cs="Simplified Arabic"/>
            <w:sz w:val="28"/>
            <w:szCs w:val="28"/>
            <w14:ligatures w14:val="none"/>
          </w:rPr>
          <w:t>Section 4.1.5</w:t>
        </w:r>
      </w:hyperlink>
      <w:r w:rsidRPr="00DD1558">
        <w:rPr>
          <w:rFonts w:ascii="Simplified Arabic" w:eastAsia="Cambria" w:hAnsi="Simplified Arabic" w:cs="Simplified Arabic"/>
          <w:color w:val="212121"/>
          <w:sz w:val="28"/>
          <w:szCs w:val="28"/>
          <w14:ligatures w14:val="none"/>
        </w:rPr>
        <w:t>, with the Unit stewarding conformity and custodian supervisors accountable for completeness.</w:t>
      </w:r>
    </w:p>
    <w:p w14:paraId="5E99D267" w14:textId="5B2BC7E7" w:rsidR="00DD1558" w:rsidRPr="00DD1558" w:rsidRDefault="00DD1558" w:rsidP="00DD1558">
      <w:pPr>
        <w:numPr>
          <w:ilvl w:val="0"/>
          <w:numId w:val="19"/>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lastRenderedPageBreak/>
        <w:t>Establish the data-quality baseline per EB2.</w:t>
      </w:r>
      <w:r w:rsidRPr="00DD1558">
        <w:rPr>
          <w:rFonts w:ascii="Simplified Arabic" w:eastAsia="Cambria" w:hAnsi="Simplified Arabic" w:cs="Simplified Arabic"/>
          <w:color w:val="212121"/>
          <w:sz w:val="28"/>
          <w:szCs w:val="28"/>
          <w14:ligatures w14:val="none"/>
        </w:rPr>
        <w:t xml:space="preserve"> The Unit records the first measurement of its data-quality indicators — completeness, currency, and consistency of registry records against the standard. This baseline is, by design, </w:t>
      </w:r>
      <w:r w:rsidRPr="00DD1558">
        <w:rPr>
          <w:rFonts w:ascii="Simplified Arabic" w:eastAsia="Cambria" w:hAnsi="Simplified Arabic" w:cs="Simplified Arabic"/>
          <w:i/>
          <w:iCs/>
          <w:color w:val="212121"/>
          <w:sz w:val="28"/>
          <w:szCs w:val="28"/>
          <w14:ligatures w14:val="none"/>
        </w:rPr>
        <w:t>the first recorded measurement</w:t>
      </w:r>
      <w:r w:rsidRPr="00DD1558">
        <w:rPr>
          <w:rFonts w:ascii="Simplified Arabic" w:eastAsia="Cambria" w:hAnsi="Simplified Arabic" w:cs="Simplified Arabic"/>
          <w:color w:val="212121"/>
          <w:sz w:val="28"/>
          <w:szCs w:val="28"/>
          <w14:ligatures w14:val="none"/>
        </w:rPr>
        <w:t>: a starting condition to be documented so that subsequent measurements are interpretable, not a value asserted in advance. The baseline operationalizes escalation-factor barrier EB2 and instantiates the catalog standardization coverage (KPI-G1) and data-quality conformity (KPI-G2) indicators as live instruments (</w:t>
      </w:r>
      <w:hyperlink w:anchor="section417" w:history="1">
        <w:r w:rsidR="000F1211" w:rsidRPr="00E306F1">
          <w:rPr>
            <w:rStyle w:val="Hyperlink"/>
            <w:rFonts w:ascii="Simplified Arabic" w:eastAsia="Cambria" w:hAnsi="Simplified Arabic" w:cs="Simplified Arabic"/>
            <w:sz w:val="28"/>
            <w:szCs w:val="28"/>
            <w14:ligatures w14:val="none"/>
          </w:rPr>
          <w:t>Section 4.1.7</w:t>
        </w:r>
      </w:hyperlink>
      <w:r w:rsidRPr="00DD1558">
        <w:rPr>
          <w:rFonts w:ascii="Simplified Arabic" w:eastAsia="Cambria" w:hAnsi="Simplified Arabic" w:cs="Simplified Arabic"/>
          <w:color w:val="212121"/>
          <w:sz w:val="28"/>
          <w:szCs w:val="28"/>
          <w14:ligatures w14:val="none"/>
        </w:rPr>
        <w:t>).</w:t>
      </w:r>
    </w:p>
    <w:p w14:paraId="4E29A05F" w14:textId="77777777" w:rsidR="00DD1558" w:rsidRPr="00DD1558" w:rsidRDefault="00DD1558" w:rsidP="00DD1558">
      <w:pPr>
        <w:numPr>
          <w:ilvl w:val="0"/>
          <w:numId w:val="19"/>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Build technician and departmental competence.</w:t>
      </w:r>
      <w:r w:rsidRPr="00DD1558">
        <w:rPr>
          <w:rFonts w:ascii="Simplified Arabic" w:eastAsia="Cambria" w:hAnsi="Simplified Arabic" w:cs="Simplified Arabic"/>
          <w:color w:val="212121"/>
          <w:sz w:val="28"/>
          <w:szCs w:val="28"/>
          <w14:ligatures w14:val="none"/>
        </w:rPr>
        <w:t xml:space="preserve"> Role-based onboarding is delivered for executing technicians and custodian staff — FEFO discipline, custody-transfer documentation, registry data standards, chemical-handling safety — with periodic refreshers scheduled from the outset, applying directly the competence and awareness provisions of both anchor standards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{"citationID":"SwEnnBtH","properties":{"unsorted":false,"formattedCitation":"(14001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7.2–7.3;</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{"citationID":"OjKaC6p3","properties":{"unsorted":false,"formattedCitation":"(22301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7.2–7.3). Competence building in this phase treats transition risk RR-04 before it can degrade the pilot.</w:t>
      </w:r>
    </w:p>
    <w:p w14:paraId="2DFA317B" w14:textId="36665E2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Governance and gate.</w:t>
      </w:r>
      <w:r w:rsidRPr="00DD1558">
        <w:rPr>
          <w:rFonts w:ascii="Simplified Arabic" w:eastAsia="Times New Roman" w:hAnsi="Simplified Arabic" w:cs="Simplified Arabic"/>
          <w:color w:val="1A1A1A"/>
          <w:sz w:val="28"/>
          <w:szCs w:val="28"/>
          <w14:ligatures w14:val="none"/>
        </w:rPr>
        <w:t xml:space="preserve"> The Unit leads </w:t>
      </w:r>
      <w:hyperlink w:anchor="Phase2" w:history="1">
        <w:r w:rsidRPr="00935DA7">
          <w:rPr>
            <w:rStyle w:val="Hyperlink"/>
            <w:rFonts w:ascii="Simplified Arabic" w:eastAsia="Times New Roman" w:hAnsi="Simplified Arabic" w:cs="Simplified Arabic"/>
            <w:sz w:val="28"/>
            <w:szCs w:val="28"/>
            <w14:ligatures w14:val="none"/>
          </w:rPr>
          <w:t>Phase 2</w:t>
        </w:r>
      </w:hyperlink>
      <w:r w:rsidRPr="00DD1558">
        <w:rPr>
          <w:rFonts w:ascii="Simplified Arabic" w:eastAsia="Times New Roman" w:hAnsi="Simplified Arabic" w:cs="Simplified Arabic"/>
          <w:color w:val="1A1A1A"/>
          <w:sz w:val="28"/>
          <w:szCs w:val="28"/>
          <w14:ligatures w14:val="none"/>
        </w:rPr>
        <w:t xml:space="preserve">; the Committee supports with standard interpretation and defect correction; custodian departments are accountable for completeness. The phase terminates at </w:t>
      </w:r>
      <w:r w:rsidRPr="00DD1558">
        <w:rPr>
          <w:rFonts w:ascii="Simplified Arabic" w:eastAsia="Times New Roman" w:hAnsi="Simplified Arabic" w:cs="Simplified Arabic"/>
          <w:b/>
          <w:bCs/>
          <w:color w:val="1A1A1A"/>
          <w:sz w:val="28"/>
          <w:szCs w:val="28"/>
          <w14:ligatures w14:val="none"/>
        </w:rPr>
        <w:t>gate G2 — data readiness</w:t>
      </w:r>
      <w:r w:rsidRPr="00DD1558">
        <w:rPr>
          <w:rFonts w:ascii="Simplified Arabic" w:eastAsia="Times New Roman" w:hAnsi="Simplified Arabic" w:cs="Simplified Arabic"/>
          <w:color w:val="1A1A1A"/>
          <w:sz w:val="28"/>
          <w:szCs w:val="28"/>
          <w14:ligatures w14:val="none"/>
        </w:rPr>
        <w:t xml:space="preserve">, whose criteria per </w:t>
      </w:r>
      <w:hyperlink w:anchor="section46" w:history="1">
        <w:r w:rsidRPr="00E306F1">
          <w:rPr>
            <w:rStyle w:val="Hyperlink"/>
            <w:rFonts w:ascii="Simplified Arabic" w:eastAsia="Times New Roman" w:hAnsi="Simplified Arabic" w:cs="Simplified Arabic"/>
            <w:sz w:val="28"/>
            <w:szCs w:val="28"/>
            <w14:ligatures w14:val="none"/>
          </w:rPr>
          <w:t>Section 4.6</w:t>
        </w:r>
      </w:hyperlink>
      <w:r w:rsidRPr="00DD1558">
        <w:rPr>
          <w:rFonts w:ascii="Simplified Arabic" w:eastAsia="Times New Roman" w:hAnsi="Simplified Arabic" w:cs="Simplified Arabic"/>
          <w:color w:val="1A1A1A"/>
          <w:sz w:val="28"/>
          <w:szCs w:val="28"/>
          <w14:ligatures w14:val="none"/>
        </w:rPr>
        <w:t xml:space="preserve"> are: onboarding complete for the pilot scope, and registry records conforming to the Committee’s standard as verified through the data-quality indicator (KPI-G2) and the catalog-coverage indicator (KPI-G1) against their </w:t>
      </w:r>
      <w:hyperlink w:anchor="section417" w:history="1">
        <w:r w:rsidR="000F1211" w:rsidRPr="00E306F1">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 definitions — by inspection of documented information, not sampled statistics. G2 discharges </w:t>
      </w:r>
      <w:r w:rsidRPr="00DD1558">
        <w:rPr>
          <w:rFonts w:ascii="Simplified Arabic" w:eastAsia="Times New Roman" w:hAnsi="Simplified Arabic" w:cs="Simplified Arabic"/>
          <w:b/>
          <w:bCs/>
          <w:color w:val="1A1A1A"/>
          <w:sz w:val="28"/>
          <w:szCs w:val="28"/>
          <w14:ligatures w14:val="none"/>
        </w:rPr>
        <w:t>RR-03 (incomplete or nonconforming data onboarding)</w:t>
      </w:r>
      <w:r w:rsidRPr="00DD1558">
        <w:rPr>
          <w:rFonts w:ascii="Simplified Arabic" w:eastAsia="Times New Roman" w:hAnsi="Simplified Arabic" w:cs="Simplified Arabic"/>
          <w:color w:val="1A1A1A"/>
          <w:sz w:val="28"/>
          <w:szCs w:val="28"/>
          <w14:ligatures w14:val="none"/>
        </w:rPr>
        <w:t>, because a visibly incomplete registry defeats the eligibility check in practice by returning false absences (</w:t>
      </w:r>
      <w:hyperlink w:anchor="section43" w:history="1">
        <w:r w:rsidR="0018617A" w:rsidRPr="00E306F1">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 xml:space="preserve">), and the competence component of </w:t>
      </w:r>
      <w:r w:rsidRPr="00DD1558">
        <w:rPr>
          <w:rFonts w:ascii="Simplified Arabic" w:eastAsia="Times New Roman" w:hAnsi="Simplified Arabic" w:cs="Simplified Arabic"/>
          <w:b/>
          <w:bCs/>
          <w:color w:val="1A1A1A"/>
          <w:sz w:val="28"/>
          <w:szCs w:val="28"/>
          <w14:ligatures w14:val="none"/>
        </w:rPr>
        <w:t>RR-04</w:t>
      </w:r>
      <w:r w:rsidRPr="00DD1558">
        <w:rPr>
          <w:rFonts w:ascii="Simplified Arabic" w:eastAsia="Times New Roman" w:hAnsi="Simplified Arabic" w:cs="Simplified Arabic"/>
          <w:color w:val="1A1A1A"/>
          <w:sz w:val="28"/>
          <w:szCs w:val="28"/>
          <w14:ligatures w14:val="none"/>
        </w:rPr>
        <w:t>. The Unit’s certification power is the gate’s enforcement edge: the pilot does not begin on data the Unit cannot certify.</w:t>
      </w:r>
    </w:p>
    <w:p w14:paraId="724914C5" w14:textId="0A263498" w:rsidR="00DD1558" w:rsidRPr="00DD1558" w:rsidRDefault="00705D54" w:rsidP="00705D54">
      <w:pPr>
        <w:keepNext/>
        <w:keepLines/>
        <w:bidi w:val="0"/>
        <w:spacing w:before="160" w:after="80"/>
        <w:outlineLvl w:val="2"/>
        <w:rPr>
          <w:rFonts w:ascii="Simplified Arabic" w:eastAsiaTheme="majorEastAsia" w:hAnsi="Simplified Arabic" w:cstheme="majorBidi"/>
          <w:sz w:val="28"/>
          <w:szCs w:val="28"/>
        </w:rPr>
      </w:pPr>
      <w:bookmarkStart w:id="185" w:name="_Toc237539780"/>
      <w:r>
        <w:rPr>
          <w:rFonts w:ascii="Simplified Arabic" w:eastAsiaTheme="majorEastAsia" w:hAnsi="Simplified Arabic" w:cstheme="majorBidi"/>
          <w:sz w:val="28"/>
          <w:szCs w:val="28"/>
        </w:rPr>
        <w:lastRenderedPageBreak/>
        <w:t xml:space="preserve">4.5.4 </w:t>
      </w:r>
      <w:r w:rsidR="00DD1558" w:rsidRPr="00DD1558">
        <w:rPr>
          <w:rFonts w:ascii="Simplified Arabic" w:eastAsiaTheme="majorEastAsia" w:hAnsi="Simplified Arabic" w:cstheme="majorBidi"/>
          <w:sz w:val="28"/>
          <w:szCs w:val="28"/>
        </w:rPr>
        <w:t>P</w:t>
      </w:r>
      <w:bookmarkStart w:id="186" w:name="Phase3"/>
      <w:bookmarkEnd w:id="186"/>
      <w:r w:rsidR="00DD1558" w:rsidRPr="00DD1558">
        <w:rPr>
          <w:rFonts w:ascii="Simplified Arabic" w:eastAsiaTheme="majorEastAsia" w:hAnsi="Simplified Arabic" w:cstheme="majorBidi"/>
          <w:sz w:val="28"/>
          <w:szCs w:val="28"/>
        </w:rPr>
        <w:t>hase 3: Biology Department Pilot and Workflow Testing (Months 5–6)</w:t>
      </w:r>
      <w:bookmarkEnd w:id="185"/>
    </w:p>
    <w:p w14:paraId="78AEC8A4"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Phase 3 places the ratified regime into live operation within the embedded unit — the framework’s exercise phase, in which documented workflows must demonstrate that they work under the ordinary pressures of a teaching department before the college is asked to scale them. Its activities are:</w:t>
      </w:r>
    </w:p>
    <w:p w14:paraId="64543E2D" w14:textId="388D5C7D" w:rsidR="00DD1558" w:rsidRPr="00DD1558" w:rsidRDefault="00DD1558" w:rsidP="00DD1558">
      <w:pPr>
        <w:numPr>
          <w:ilvl w:val="0"/>
          <w:numId w:val="21"/>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Operate inter-lab loan workflows live.</w:t>
      </w:r>
      <w:r w:rsidRPr="00DD1558">
        <w:rPr>
          <w:rFonts w:ascii="Simplified Arabic" w:eastAsia="Times New Roman" w:hAnsi="Simplified Arabic" w:cs="Simplified Arabic"/>
          <w:color w:val="1A1A1A"/>
          <w:sz w:val="28"/>
          <w:szCs w:val="28"/>
          <w14:ligatures w14:val="none"/>
        </w:rPr>
        <w:t xml:space="preserve"> Requests, eligibility checks, custodian approvals, and returns are executed within and around the Biology Department under the Inter-Lab Policy Framework’s full workflow (</w:t>
      </w:r>
      <w:hyperlink w:anchor="Section416" w:history="1">
        <w:r w:rsidR="002C0C03" w:rsidRPr="00E306F1">
          <w:rPr>
            <w:rStyle w:val="Hyperlink"/>
            <w:rFonts w:ascii="Simplified Arabic" w:eastAsia="Times New Roman" w:hAnsi="Simplified Arabic" w:cs="Simplified Arabic"/>
            <w:sz w:val="28"/>
            <w:szCs w:val="28"/>
            <w14:ligatures w14:val="none"/>
          </w:rPr>
          <w:t>Section 4.1.6</w:t>
        </w:r>
      </w:hyperlink>
      <w:r w:rsidR="002C0C03" w:rsidRPr="002C0C03">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(b)), with technicians executing transfers and records and custodian supervisors approving within ratified rules.</w:t>
      </w:r>
    </w:p>
    <w:p w14:paraId="0EE23545" w14:textId="1DFADAF7" w:rsidR="00DD1558" w:rsidRPr="00DD1558" w:rsidRDefault="00DD1558" w:rsidP="00DD1558">
      <w:pPr>
        <w:numPr>
          <w:ilvl w:val="0"/>
          <w:numId w:val="21"/>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Exercise the custody-transfer protocol (EB3).</w:t>
      </w:r>
      <w:r w:rsidRPr="00DD1558">
        <w:rPr>
          <w:rFonts w:ascii="Simplified Arabic" w:eastAsia="Times New Roman" w:hAnsi="Simplified Arabic" w:cs="Simplified Arabic"/>
          <w:color w:val="1A1A1A"/>
          <w:sz w:val="28"/>
          <w:szCs w:val="28"/>
          <w14:ligatures w14:val="none"/>
        </w:rPr>
        <w:t xml:space="preserve"> Every pilot loan produces the protocol’s evidentiary artifacts — condition record, custody acknowledgment, chain-of-custody log across the four custody states — so that the escalation-factor barrier against custody ambiguity (EF3) is tested under real transactions rather than assumed (</w:t>
      </w:r>
      <w:hyperlink w:anchor="Section416" w:history="1">
        <w:r w:rsidR="002C0C03" w:rsidRPr="00E306F1">
          <w:rPr>
            <w:rStyle w:val="Hyperlink"/>
            <w:rFonts w:ascii="Simplified Arabic" w:eastAsia="Times New Roman" w:hAnsi="Simplified Arabic" w:cs="Simplified Arabic"/>
            <w:sz w:val="28"/>
            <w:szCs w:val="28"/>
            <w14:ligatures w14:val="none"/>
          </w:rPr>
          <w:t>Section 4.1.6</w:t>
        </w:r>
      </w:hyperlink>
      <w:r w:rsidR="002C0C03" w:rsidRPr="002C0C03">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(c)–(d)).</w:t>
      </w:r>
    </w:p>
    <w:p w14:paraId="17224148" w14:textId="6C0361CA" w:rsidR="00DD1558" w:rsidRPr="00DD1558" w:rsidRDefault="00DD1558" w:rsidP="00DD1558">
      <w:pPr>
        <w:numPr>
          <w:ilvl w:val="0"/>
          <w:numId w:val="21"/>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Execute FEFO (MB1) and the expiry escalation ladder.</w:t>
      </w:r>
      <w:r w:rsidRPr="00DD1558">
        <w:rPr>
          <w:rFonts w:ascii="Simplified Arabic" w:eastAsia="Times New Roman" w:hAnsi="Simplified Arabic" w:cs="Simplified Arabic"/>
          <w:color w:val="1A1A1A"/>
          <w:sz w:val="28"/>
          <w:szCs w:val="28"/>
          <w14:ligatures w14:val="none"/>
        </w:rPr>
        <w:t xml:space="preserve"> Technicians perform date-ordered rotation, labeling, and expiry flagging per the Committee’s standard; flagged items trigger the escalation ladder — technician flags, the Unit routes and documents, the custodian supervisor decides, the Board adjudicates — including pre-expiry redistribution offers under MB2 where live demand exists elsewhere (</w:t>
      </w:r>
      <w:hyperlink w:anchor="section415" w:history="1">
        <w:r w:rsidR="002C0C03" w:rsidRPr="00E306F1">
          <w:rPr>
            <w:rStyle w:val="Hyperlink"/>
            <w:rFonts w:ascii="Simplified Arabic" w:eastAsia="Times New Roman" w:hAnsi="Simplified Arabic" w:cs="Simplified Arabic"/>
            <w:sz w:val="28"/>
            <w:szCs w:val="28"/>
            <w14:ligatures w14:val="none"/>
          </w:rPr>
          <w:t>Section 4.1.5</w:t>
        </w:r>
      </w:hyperlink>
      <w:r w:rsidRPr="00DD1558">
        <w:rPr>
          <w:rFonts w:ascii="Simplified Arabic" w:eastAsia="Times New Roman" w:hAnsi="Simplified Arabic" w:cs="Simplified Arabic"/>
          <w:color w:val="1A1A1A"/>
          <w:sz w:val="28"/>
          <w:szCs w:val="28"/>
          <w14:ligatures w14:val="none"/>
        </w:rPr>
        <w:t xml:space="preserve">; </w:t>
      </w:r>
      <w:hyperlink w:anchor="Section416" w:history="1">
        <w:r w:rsidR="002C0C03" w:rsidRPr="00E306F1">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w:t>
      </w:r>
    </w:p>
    <w:p w14:paraId="182F16E3" w14:textId="0763A0CB" w:rsidR="00DD1558" w:rsidRPr="00DD1558" w:rsidRDefault="00DD1558" w:rsidP="00DD1558">
      <w:pPr>
        <w:numPr>
          <w:ilvl w:val="0"/>
          <w:numId w:val="21"/>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Conduct a structured walkthrough of continuity procedures.</w:t>
      </w:r>
      <w:r w:rsidRPr="00DD1558">
        <w:rPr>
          <w:rFonts w:ascii="Simplified Arabic" w:eastAsia="Times New Roman" w:hAnsi="Simplified Arabic" w:cs="Simplified Arabic"/>
          <w:color w:val="1A1A1A"/>
          <w:sz w:val="28"/>
          <w:szCs w:val="28"/>
          <w14:ligatures w14:val="none"/>
        </w:rPr>
        <w:t xml:space="preserve"> Following by analogue the exercise-programme logic of ISO 22301:2019 clause 8.5, the Unit and custodian departments rehearse the framework’s continuity function: a simulated supply interruption in which the shared registry and inter-lab loans </w:t>
      </w:r>
      <w:r w:rsidRPr="00DD1558">
        <w:rPr>
          <w:rFonts w:ascii="Simplified Arabic" w:eastAsia="Times New Roman" w:hAnsi="Simplified Arabic" w:cs="Simplified Arabic"/>
          <w:color w:val="1A1A1A"/>
          <w:sz w:val="28"/>
          <w:szCs w:val="28"/>
          <w14:ligatures w14:val="none"/>
        </w:rPr>
        <w:lastRenderedPageBreak/>
        <w:t>substitute for external supply to protect prioritized teaching activities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{"citationID":"hMlOAYVJ","properties":{"unsorted":false,"formattedCitation":"(22301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8.5; </w:t>
      </w:r>
      <w:hyperlink w:anchor="section294" w:history="1">
        <w:r w:rsidR="009D553E" w:rsidRPr="00E306F1">
          <w:rPr>
            <w:rStyle w:val="Hyperlink"/>
            <w:rFonts w:ascii="Simplified Arabic" w:eastAsia="Times New Roman" w:hAnsi="Simplified Arabic" w:cs="Simplified Arabic"/>
            <w:sz w:val="28"/>
            <w:szCs w:val="28"/>
            <w14:ligatures w14:val="none"/>
          </w:rPr>
          <w:t>Section 2.9.4</w:t>
        </w:r>
      </w:hyperlink>
      <w:r w:rsidRPr="00DD1558">
        <w:rPr>
          <w:rFonts w:ascii="Simplified Arabic" w:eastAsia="Times New Roman" w:hAnsi="Simplified Arabic" w:cs="Simplified Arabic"/>
          <w:color w:val="1A1A1A"/>
          <w:sz w:val="28"/>
          <w:szCs w:val="28"/>
          <w14:ligatures w14:val="none"/>
        </w:rPr>
        <w:t>). The walkthrough is documented and its findings assigned, mirroring the standard’s exercise-evaluation requirement.</w:t>
      </w:r>
    </w:p>
    <w:p w14:paraId="618DD0FD" w14:textId="77777777" w:rsidR="00DD1558" w:rsidRPr="00DD1558" w:rsidRDefault="00DD1558" w:rsidP="00DD1558">
      <w:pPr>
        <w:numPr>
          <w:ilvl w:val="0"/>
          <w:numId w:val="21"/>
        </w:num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Hold a qualitative pilot review.</w:t>
      </w:r>
      <w:r w:rsidRPr="00DD1558">
        <w:rPr>
          <w:rFonts w:ascii="Simplified Arabic" w:eastAsia="Times New Roman" w:hAnsi="Simplified Arabic" w:cs="Simplified Arabic"/>
          <w:color w:val="1A1A1A"/>
          <w:sz w:val="28"/>
          <w:szCs w:val="28"/>
          <w14:ligatures w14:val="none"/>
        </w:rPr>
        <w:t xml:space="preserve"> The Board convenes a structured review of pilot documented information: workflow logs, custody records, escalation records, and the exercise report.</w:t>
      </w:r>
    </w:p>
    <w:p w14:paraId="1897618A" w14:textId="0568652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Governance and gate.</w:t>
      </w:r>
      <w:r w:rsidRPr="00DD1558">
        <w:rPr>
          <w:rFonts w:ascii="Simplified Arabic" w:eastAsia="Times New Roman" w:hAnsi="Simplified Arabic" w:cs="Simplified Arabic"/>
          <w:color w:val="1A1A1A"/>
          <w:sz w:val="28"/>
          <w:szCs w:val="28"/>
          <w14:ligatures w14:val="none"/>
        </w:rPr>
        <w:t xml:space="preserve"> Custodian departments and the Unit execute; technicians operate the workflows within their bounded mandate; the Board reviews. The phase terminates at </w:t>
      </w:r>
      <w:r w:rsidRPr="00DD1558">
        <w:rPr>
          <w:rFonts w:ascii="Simplified Arabic" w:eastAsia="Times New Roman" w:hAnsi="Simplified Arabic" w:cs="Simplified Arabic"/>
          <w:b/>
          <w:bCs/>
          <w:color w:val="1A1A1A"/>
          <w:sz w:val="28"/>
          <w:szCs w:val="28"/>
          <w14:ligatures w14:val="none"/>
        </w:rPr>
        <w:t>gate G3 — pilot workflow integrity</w:t>
      </w:r>
      <w:r w:rsidRPr="00DD1558">
        <w:rPr>
          <w:rFonts w:ascii="Simplified Arabic" w:eastAsia="Times New Roman" w:hAnsi="Simplified Arabic" w:cs="Simplified Arabic"/>
          <w:color w:val="1A1A1A"/>
          <w:sz w:val="28"/>
          <w:szCs w:val="28"/>
          <w14:ligatures w14:val="none"/>
        </w:rPr>
        <w:t xml:space="preserve">, whose exit criteria are expressed as </w:t>
      </w:r>
      <w:r w:rsidRPr="00DD1558">
        <w:rPr>
          <w:rFonts w:ascii="Simplified Arabic" w:eastAsia="Times New Roman" w:hAnsi="Simplified Arabic" w:cs="Simplified Arabic"/>
          <w:i/>
          <w:iCs/>
          <w:color w:val="1A1A1A"/>
          <w:sz w:val="28"/>
          <w:szCs w:val="28"/>
          <w14:ligatures w14:val="none"/>
        </w:rPr>
        <w:t>demonstrated workflow integrity</w:t>
      </w:r>
      <w:r w:rsidRPr="00DD1558">
        <w:rPr>
          <w:rFonts w:ascii="Simplified Arabic" w:eastAsia="Times New Roman" w:hAnsi="Simplified Arabic" w:cs="Simplified Arabic"/>
          <w:color w:val="1A1A1A"/>
          <w:sz w:val="28"/>
          <w:szCs w:val="28"/>
          <w14:ligatures w14:val="none"/>
        </w:rPr>
        <w:t xml:space="preserve">, explicitly </w:t>
      </w:r>
      <w:r w:rsidRPr="00DD1558">
        <w:rPr>
          <w:rFonts w:ascii="Simplified Arabic" w:eastAsia="Times New Roman" w:hAnsi="Simplified Arabic" w:cs="Simplified Arabic"/>
          <w:b/>
          <w:bCs/>
          <w:color w:val="1A1A1A"/>
          <w:sz w:val="28"/>
          <w:szCs w:val="28"/>
          <w14:ligatures w14:val="none"/>
        </w:rPr>
        <w:t>not</w:t>
      </w:r>
      <w:r w:rsidRPr="00DD1558">
        <w:rPr>
          <w:rFonts w:ascii="Simplified Arabic" w:eastAsia="Times New Roman" w:hAnsi="Simplified Arabic" w:cs="Simplified Arabic"/>
          <w:color w:val="1A1A1A"/>
          <w:sz w:val="28"/>
          <w:szCs w:val="28"/>
          <w14:ligatures w14:val="none"/>
        </w:rPr>
        <w:t xml:space="preserve"> as metric thresholds: all workflow steps executed as designed in documented cases; every exception escalated through the ladder and resolved within policy; custody records complete for every loan event; FEFO rotation and expiry flagging operating as routine; the continuity walkthrough conducted with findings assigned. G3 discharges </w:t>
      </w:r>
      <w:r w:rsidRPr="00DD1558">
        <w:rPr>
          <w:rFonts w:ascii="Simplified Arabic" w:eastAsia="Times New Roman" w:hAnsi="Simplified Arabic" w:cs="Simplified Arabic"/>
          <w:b/>
          <w:bCs/>
          <w:color w:val="1A1A1A"/>
          <w:sz w:val="28"/>
          <w:szCs w:val="28"/>
          <w14:ligatures w14:val="none"/>
        </w:rPr>
        <w:t>RR-06 (custody disputes during the pilot)</w:t>
      </w:r>
      <w:r w:rsidRPr="00DD1558">
        <w:rPr>
          <w:rFonts w:ascii="Simplified Arabic" w:eastAsia="Times New Roman" w:hAnsi="Simplified Arabic" w:cs="Simplified Arabic"/>
          <w:color w:val="1A1A1A"/>
          <w:sz w:val="28"/>
          <w:szCs w:val="28"/>
          <w14:ligatures w14:val="none"/>
        </w:rPr>
        <w:t xml:space="preserve"> by demonstrating dispute-resolution integrity, and it provides the first operational evidence for </w:t>
      </w:r>
      <w:r w:rsidRPr="00DD1558">
        <w:rPr>
          <w:rFonts w:ascii="Simplified Arabic" w:eastAsia="Times New Roman" w:hAnsi="Simplified Arabic" w:cs="Simplified Arabic"/>
          <w:b/>
          <w:bCs/>
          <w:color w:val="1A1A1A"/>
          <w:sz w:val="28"/>
          <w:szCs w:val="28"/>
          <w14:ligatures w14:val="none"/>
        </w:rPr>
        <w:t>RR-08, RR-10, and RR-11</w:t>
      </w:r>
      <w:r w:rsidRPr="00DD1558">
        <w:rPr>
          <w:rFonts w:ascii="Simplified Arabic" w:eastAsia="Times New Roman" w:hAnsi="Simplified Arabic" w:cs="Simplified Arabic"/>
          <w:color w:val="1A1A1A"/>
          <w:sz w:val="28"/>
          <w:szCs w:val="28"/>
          <w14:ligatures w14:val="none"/>
        </w:rPr>
        <w:t xml:space="preserve"> — operational risks the pilot surfaces under controlled scope so that their standing mitigations are calibrated before scaling. During the pilot, the operational-efficiency KPI family (utilization, KPI-O1; loan cycle-time, KPI-O2; FEFO conformity, KPI-O3; duplicate-purchase displacement, KPI-O4) and the relevant environmental and safety indicators (pre-expiry redistribution, KPI-E2; expired-stock incidence, KPI-E3) record their first measurements — establishing </w:t>
      </w:r>
      <w:hyperlink w:anchor="section417" w:history="1">
        <w:r w:rsidR="000F1211" w:rsidRPr="00E306F1">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 baselines without any threshold being imposed on pilot exit.</w:t>
      </w:r>
    </w:p>
    <w:p w14:paraId="0285A6A1"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87" w:name="_Toc237539781"/>
      <w:r w:rsidRPr="00DD1558">
        <w:rPr>
          <w:rFonts w:ascii="Simplified Arabic" w:eastAsiaTheme="majorEastAsia" w:hAnsi="Simplified Arabic" w:cstheme="majorBidi"/>
          <w:sz w:val="28"/>
          <w:szCs w:val="28"/>
        </w:rPr>
        <w:lastRenderedPageBreak/>
        <w:t>4.5.5 P</w:t>
      </w:r>
      <w:bookmarkStart w:id="188" w:name="Phase4"/>
      <w:bookmarkEnd w:id="188"/>
      <w:r w:rsidRPr="00DD1558">
        <w:rPr>
          <w:rFonts w:ascii="Simplified Arabic" w:eastAsiaTheme="majorEastAsia" w:hAnsi="Simplified Arabic" w:cstheme="majorBidi"/>
          <w:sz w:val="28"/>
          <w:szCs w:val="28"/>
        </w:rPr>
        <w:t>hase 4: College-Wide Scaling and Digital Platform Readiness Gate (Continuous)</w:t>
      </w:r>
      <w:bookmarkEnd w:id="187"/>
    </w:p>
    <w:p w14:paraId="5C562A8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Phase 4 differs in kind from its predecessors: it has no closing month, because it is the framework’s steady state — scaling, enforcement, and improvement as standing business, with the digital platform question held permanently behind its gate. Its activities are:</w:t>
      </w:r>
    </w:p>
    <w:p w14:paraId="70A983A9" w14:textId="77777777" w:rsidR="00DD1558" w:rsidRPr="00DD1558" w:rsidRDefault="00DD1558" w:rsidP="00DD1558">
      <w:pPr>
        <w:numPr>
          <w:ilvl w:val="0"/>
          <w:numId w:val="22"/>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Scale ratified policy and onboarding across the College of Science.</w:t>
      </w:r>
      <w:r w:rsidRPr="00DD1558">
        <w:rPr>
          <w:rFonts w:ascii="Simplified Arabic" w:eastAsia="Cambria" w:hAnsi="Simplified Arabic" w:cs="Simplified Arabic"/>
          <w:color w:val="212121"/>
          <w:sz w:val="28"/>
          <w:szCs w:val="28"/>
          <w14:ligatures w14:val="none"/>
        </w:rPr>
        <w:t xml:space="preserve"> Departments onboard to the shared registry in a rolling sequence set by the Board, reusing the pilot’s corrected practice; the eligibility clauses, FEFO standard, and Inter-Lab Policy Framework apply college-wide as each department’s onboarding is certified by the Unit. Scaling reuses rather than redesigns demonstrated workflows — the point of pilot-first gradualism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{"citationID":"ONVgwpz8","properties":{"unsorted":false,"formattedCitation":"(Dean et al., 2024; Vlachopoulos, 2021)","plainCitation":"(Dean et al., 2024;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(Dean et al., 2024; Vlachopoulos,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w:t>
      </w:r>
    </w:p>
    <w:p w14:paraId="322CD159" w14:textId="77777777" w:rsidR="00DD1558" w:rsidRPr="00DD1558" w:rsidRDefault="00DD1558" w:rsidP="00DD1558">
      <w:pPr>
        <w:numPr>
          <w:ilvl w:val="0"/>
          <w:numId w:val="22"/>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Institutionalize the audit cadence (EB1) and management review.</w:t>
      </w:r>
      <w:r w:rsidRPr="00DD1558">
        <w:rPr>
          <w:rFonts w:ascii="Simplified Arabic" w:eastAsia="Cambria" w:hAnsi="Simplified Arabic" w:cs="Simplified Arabic"/>
          <w:color w:val="212121"/>
          <w:sz w:val="28"/>
          <w:szCs w:val="28"/>
          <w14:ligatures w14:val="none"/>
        </w:rPr>
        <w:t xml:space="preserve"> The Board’s termly review and annual management review operate as the framework’s Check function, analogous to clauses 9.2 and 9.3 of both anchor standards: audit of eligibility-check evidence, rotation practice, and custody records; review of barrier performance, data-quality indicators, and continuity readiness, with corrective actions assigned and tracked to closure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{"citationID":"mkLf4B8W","properties":{"unsorted":false,"formattedCitation":"(14001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9.2–9.3;</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{"citationID":"SKHNv9rR","properties":{"unsorted":false,"formattedCitation":"(22301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clauses 9.2–9.3).</w:t>
      </w:r>
    </w:p>
    <w:p w14:paraId="7C680CFC" w14:textId="57D12BAE" w:rsidR="00DD1558" w:rsidRPr="00DD1558" w:rsidRDefault="00DD1558" w:rsidP="00DD1558">
      <w:pPr>
        <w:numPr>
          <w:ilvl w:val="0"/>
          <w:numId w:val="22"/>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Operate continual improvement.</w:t>
      </w:r>
      <w:r w:rsidRPr="00DD1558">
        <w:rPr>
          <w:rFonts w:ascii="Simplified Arabic" w:eastAsia="Cambria" w:hAnsi="Simplified Arabic" w:cs="Simplified Arabic"/>
          <w:color w:val="212121"/>
          <w:sz w:val="28"/>
          <w:szCs w:val="28"/>
          <w14:ligatures w14:val="none"/>
        </w:rPr>
        <w:t xml:space="preserve"> The clause 10 analogue of both standards converts audit findings and dashboard signals into policy and standard revisions through the Committee and Board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{"citationID":"fZkQfRwk","properties":{"unsorted":false,"formattedCitation":"(14001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 10;</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{"citationID":"bgPx4HBv","properties":{"unsorted":false,"formattedCitation":"(22301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clause 10) — the measurement-and-review transition of </w:t>
      </w:r>
      <w:hyperlink w:anchor="section292" w:history="1">
        <w:r w:rsidRPr="006C091A">
          <w:rPr>
            <w:rStyle w:val="Hyperlink"/>
            <w:rFonts w:ascii="Simplified Arabic" w:eastAsia="Cambria" w:hAnsi="Simplified Arabic" w:cs="Simplified Arabic"/>
            <w:sz w:val="28"/>
            <w:szCs w:val="28"/>
            <w14:ligatures w14:val="none"/>
          </w:rPr>
          <w:t>Section 2.</w:t>
        </w:r>
        <w:r w:rsidR="006C091A" w:rsidRPr="006C091A">
          <w:rPr>
            <w:rStyle w:val="Hyperlink"/>
            <w:rFonts w:ascii="Simplified Arabic" w:eastAsia="Cambria" w:hAnsi="Simplified Arabic" w:cs="Simplified Arabic"/>
            <w:sz w:val="28"/>
            <w:szCs w:val="28"/>
            <w14:ligatures w14:val="none"/>
          </w:rPr>
          <w:t>9</w:t>
        </w:r>
        <w:r w:rsidRPr="006C091A">
          <w:rPr>
            <w:rStyle w:val="Hyperlink"/>
            <w:rFonts w:ascii="Simplified Arabic" w:eastAsia="Cambria" w:hAnsi="Simplified Arabic" w:cs="Simplified Arabic"/>
            <w:sz w:val="28"/>
            <w:szCs w:val="28"/>
            <w14:ligatures w14:val="none"/>
          </w:rPr>
          <w:t>.</w:t>
        </w:r>
        <w:r w:rsidR="006C091A" w:rsidRPr="006C091A">
          <w:rPr>
            <w:rStyle w:val="Hyperlink"/>
            <w:rFonts w:ascii="Simplified Arabic" w:eastAsia="Cambria" w:hAnsi="Simplified Arabic" w:cs="Simplified Arabic"/>
            <w:sz w:val="28"/>
            <w:szCs w:val="28"/>
            <w14:ligatures w14:val="none"/>
          </w:rPr>
          <w:t>2</w:t>
        </w:r>
      </w:hyperlink>
      <w:r w:rsidRPr="00DD1558">
        <w:rPr>
          <w:rFonts w:ascii="Simplified Arabic" w:eastAsia="Cambria" w:hAnsi="Simplified Arabic" w:cs="Simplified Arabic"/>
          <w:color w:val="212121"/>
          <w:sz w:val="28"/>
          <w:szCs w:val="28"/>
          <w14:ligatures w14:val="none"/>
        </w:rPr>
        <w:t xml:space="preserve"> in standing operation, and the mechanism by which the framework approaches the Perform band.</w:t>
      </w:r>
    </w:p>
    <w:p w14:paraId="3EC70E97" w14:textId="7EAE9EA2" w:rsidR="00DD1558" w:rsidRPr="00DD1558" w:rsidRDefault="00DD1558" w:rsidP="00DD1558">
      <w:pPr>
        <w:numPr>
          <w:ilvl w:val="0"/>
          <w:numId w:val="22"/>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Hold the digital platform readiness gate (G4).</w:t>
      </w:r>
      <w:r w:rsidRPr="00DD1558">
        <w:rPr>
          <w:rFonts w:ascii="Simplified Arabic" w:eastAsia="Cambria" w:hAnsi="Simplified Arabic" w:cs="Simplified Arabic"/>
          <w:color w:val="212121"/>
          <w:sz w:val="28"/>
          <w:szCs w:val="28"/>
          <w14:ligatures w14:val="none"/>
        </w:rPr>
        <w:t xml:space="preserve"> Only after data standards, process stability, and role competence are demonstrably mature — evidenced through the governance and digital-readiness KPI family, including the digital readiness gate </w:t>
      </w:r>
      <w:r w:rsidRPr="00DD1558">
        <w:rPr>
          <w:rFonts w:ascii="Simplified Arabic" w:eastAsia="Cambria" w:hAnsi="Simplified Arabic" w:cs="Simplified Arabic"/>
          <w:color w:val="212121"/>
          <w:sz w:val="28"/>
          <w:szCs w:val="28"/>
          <w14:ligatures w14:val="none"/>
        </w:rPr>
        <w:lastRenderedPageBreak/>
        <w:t xml:space="preserve">status indicator (KPI-G6) — does the college </w:t>
      </w:r>
      <w:r w:rsidRPr="00DD1558">
        <w:rPr>
          <w:rFonts w:ascii="Simplified Arabic" w:eastAsia="Cambria" w:hAnsi="Simplified Arabic" w:cs="Simplified Arabic"/>
          <w:i/>
          <w:iCs/>
          <w:color w:val="212121"/>
          <w:sz w:val="28"/>
          <w:szCs w:val="28"/>
          <w14:ligatures w14:val="none"/>
        </w:rPr>
        <w:t>commission consideration</w:t>
      </w:r>
      <w:r w:rsidRPr="00DD1558">
        <w:rPr>
          <w:rFonts w:ascii="Simplified Arabic" w:eastAsia="Cambria" w:hAnsi="Simplified Arabic" w:cs="Simplified Arabic"/>
          <w:color w:val="212121"/>
          <w:sz w:val="28"/>
          <w:szCs w:val="28"/>
          <w14:ligatures w14:val="none"/>
        </w:rPr>
        <w:t xml:space="preserve"> of a smart inventory platform (barcode- or RFID-assisted tracking and related instrumentation), against the requirements baseline the Unit has maintained throughout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{"citationID":"iZXVOscI","properties":{"unsorted":false,"formattedCitation":"(Carpitella &amp; Izquierdo, 2025; Wilke et al., 2023)","plainCitation":"(Carpitella &amp; Izquierdo, 2025;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(Carpitella &amp; Izquierdo, 2025; Wilke et al., 2023)</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G4 releases procurement consideration, not procurement itself, because platform provision remains Contingent on university-level information technology outside the framework’s control (</w:t>
      </w:r>
      <w:hyperlink w:anchor="section44" w:history="1">
        <w:r w:rsidRPr="006C091A">
          <w:rPr>
            <w:rStyle w:val="Hyperlink"/>
            <w:rFonts w:ascii="Simplified Arabic" w:eastAsia="Cambria" w:hAnsi="Simplified Arabic" w:cs="Simplified Arabic"/>
            <w:sz w:val="28"/>
            <w:szCs w:val="28"/>
            <w14:ligatures w14:val="none"/>
          </w:rPr>
          <w:t>Section 4.4</w:t>
        </w:r>
      </w:hyperlink>
      <w:r w:rsidRPr="00DD1558">
        <w:rPr>
          <w:rFonts w:ascii="Simplified Arabic" w:eastAsia="Cambria" w:hAnsi="Simplified Arabic" w:cs="Simplified Arabic"/>
          <w:color w:val="212121"/>
          <w:sz w:val="28"/>
          <w:szCs w:val="28"/>
          <w14:ligatures w14:val="none"/>
        </w:rPr>
        <w:t>).</w:t>
      </w:r>
    </w:p>
    <w:p w14:paraId="7587982F" w14:textId="46EB1C49"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risk this gate exists to prevent is explicit in the register: </w:t>
      </w:r>
      <w:r w:rsidRPr="00DD1558">
        <w:rPr>
          <w:rFonts w:ascii="Simplified Arabic" w:eastAsia="Times New Roman" w:hAnsi="Simplified Arabic" w:cs="Simplified Arabic"/>
          <w:b/>
          <w:bCs/>
          <w:color w:val="1A1A1A"/>
          <w:sz w:val="28"/>
          <w:szCs w:val="28"/>
          <w14:ligatures w14:val="none"/>
        </w:rPr>
        <w:t>RR-15, premature digital platform investment</w:t>
      </w:r>
      <w:r w:rsidRPr="00DD1558">
        <w:rPr>
          <w:rFonts w:ascii="Simplified Arabic" w:eastAsia="Times New Roman" w:hAnsi="Simplified Arabic" w:cs="Simplified Arabic"/>
          <w:color w:val="1A1A1A"/>
          <w:sz w:val="28"/>
          <w:szCs w:val="28"/>
          <w14:ligatures w14:val="none"/>
        </w:rPr>
        <w:t xml:space="preserve"> — pressure to acquire a platform before process standardization and role clarity are established, digitizing fragmentation without capability gain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{"citationID":"C6L3evzp","properties":{"unsorted":false,"formattedCitation":"(Bellantuono et al., 2021; Rodr\\uc0\\u237{}guez-Abitia &amp; Bribiesca-Correa, 2021)","plainCitation":"(Bellantuono et al., 2021; Rodríguez-Abitia &amp; Bribiesca-Correa, 2021)","noteIndex":0},"citationItems":[{"id":410,"uris":["http://zotero.org/users/19711126/items/KR49AFQT"],"itemData":{"id":410,"type":"article-journal","abstract":"The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G4 is RR-15’s named mitigation, and the Board holds gate authority exactly so that the failure mode is structurally impossible rather than merely discouraged. </w:t>
      </w:r>
      <w:hyperlink w:anchor="Phase4" w:history="1">
        <w:r w:rsidRPr="00935DA7">
          <w:rPr>
            <w:rStyle w:val="Hyperlink"/>
            <w:rFonts w:ascii="Simplified Arabic" w:eastAsia="Times New Roman" w:hAnsi="Simplified Arabic" w:cs="Simplified Arabic"/>
            <w:sz w:val="28"/>
            <w:szCs w:val="28"/>
            <w14:ligatures w14:val="none"/>
          </w:rPr>
          <w:t>Phase 4</w:t>
        </w:r>
      </w:hyperlink>
      <w:r w:rsidRPr="00DD1558">
        <w:rPr>
          <w:rFonts w:ascii="Simplified Arabic" w:eastAsia="Times New Roman" w:hAnsi="Simplified Arabic" w:cs="Simplified Arabic"/>
          <w:color w:val="1A1A1A"/>
          <w:sz w:val="28"/>
          <w:szCs w:val="28"/>
          <w14:ligatures w14:val="none"/>
        </w:rPr>
        <w:t xml:space="preserve"> is also where the register’s standing operational risks are governed as permanent business: </w:t>
      </w:r>
      <w:r w:rsidRPr="00DD1558">
        <w:rPr>
          <w:rFonts w:ascii="Simplified Arabic" w:eastAsia="Times New Roman" w:hAnsi="Simplified Arabic" w:cs="Simplified Arabic"/>
          <w:b/>
          <w:bCs/>
          <w:color w:val="1A1A1A"/>
          <w:sz w:val="28"/>
          <w:szCs w:val="28"/>
          <w14:ligatures w14:val="none"/>
        </w:rPr>
        <w:t>RR-05, RR-07, RR-09, RR-12, RR-13, and RR-14</w:t>
      </w:r>
      <w:r w:rsidRPr="00DD1558">
        <w:rPr>
          <w:rFonts w:ascii="Simplified Arabic" w:eastAsia="Times New Roman" w:hAnsi="Simplified Arabic" w:cs="Simplified Arabic"/>
          <w:color w:val="1A1A1A"/>
          <w:sz w:val="28"/>
          <w:szCs w:val="28"/>
          <w14:ligatures w14:val="none"/>
        </w:rPr>
        <w:t xml:space="preserve"> are monitored through the full dashboard — the operational-efficiency family (KPI-O1–O4), the environmental and safety family (KPI-E1–E4), and the governance and digital-readiness family (KPI-G1–G6) — with the Unit compiling, the Board reviewing termly, and the annual management review closing the loop (</w:t>
      </w:r>
      <w:hyperlink w:anchor="section417" w:history="1">
        <w:r w:rsidR="000F1211" w:rsidRPr="006C091A">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w:t>
      </w:r>
    </w:p>
    <w:p w14:paraId="6DE64167"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89" w:name="_Toc237539782"/>
      <w:r w:rsidRPr="00DD1558">
        <w:rPr>
          <w:rFonts w:ascii="Simplified Arabic" w:eastAsiaTheme="majorEastAsia" w:hAnsi="Simplified Arabic" w:cstheme="majorBidi"/>
          <w:sz w:val="28"/>
          <w:szCs w:val="28"/>
        </w:rPr>
        <w:t>4.5.6 Consolidated Roadmap Table</w:t>
      </w:r>
      <w:bookmarkEnd w:id="189"/>
    </w:p>
    <w:p w14:paraId="3567EFD9" w14:textId="4C91C730"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Table134" w:history="1">
        <w:r w:rsidRPr="00DD1558">
          <w:rPr>
            <w:rFonts w:ascii="Simplified Arabic" w:eastAsia="Times New Roman" w:hAnsi="Simplified Arabic" w:cs="Simplified Arabic"/>
            <w:color w:val="467886" w:themeColor="hyperlink"/>
            <w:sz w:val="28"/>
            <w:szCs w:val="28"/>
            <w:u w:val="single"/>
            <w14:ligatures w14:val="none"/>
          </w:rPr>
          <w:t xml:space="preserve">Table </w:t>
        </w:r>
        <w:r w:rsidR="009E3D5C">
          <w:rPr>
            <w:rFonts w:ascii="Simplified Arabic" w:eastAsia="Times New Roman" w:hAnsi="Simplified Arabic" w:cs="Simplified Arabic"/>
            <w:color w:val="467886" w:themeColor="hyperlink"/>
            <w:sz w:val="28"/>
            <w:szCs w:val="28"/>
            <w:u w:val="single"/>
            <w14:ligatures w14:val="none"/>
          </w:rPr>
          <w:t>13</w:t>
        </w:r>
        <w:r w:rsidRPr="00DD1558">
          <w:rPr>
            <w:rFonts w:ascii="Simplified Arabic" w:eastAsia="Times New Roman" w:hAnsi="Simplified Arabic" w:cs="Simplified Arabic"/>
            <w:color w:val="467886" w:themeColor="hyperlink"/>
            <w:sz w:val="28"/>
            <w:szCs w:val="28"/>
            <w:u w:val="single"/>
            <w14:ligatures w14:val="none"/>
          </w:rPr>
          <w:t>.</w:t>
        </w:r>
        <w:r w:rsidR="009E3D5C">
          <w:rPr>
            <w:rFonts w:ascii="Simplified Arabic" w:eastAsia="Times New Roman" w:hAnsi="Simplified Arabic" w:cs="Simplified Arabic"/>
            <w:color w:val="467886" w:themeColor="hyperlink"/>
            <w:sz w:val="28"/>
            <w:szCs w:val="28"/>
            <w:u w:val="single"/>
            <w14:ligatures w14:val="none"/>
          </w:rPr>
          <w:t>4</w:t>
        </w:r>
      </w:hyperlink>
      <w:r w:rsidRPr="00DD1558">
        <w:rPr>
          <w:rFonts w:ascii="Simplified Arabic" w:eastAsia="Times New Roman" w:hAnsi="Simplified Arabic" w:cs="Simplified Arabic"/>
          <w:color w:val="1A1A1A"/>
          <w:sz w:val="28"/>
          <w:szCs w:val="28"/>
          <w14:ligatures w14:val="none"/>
        </w:rPr>
        <w:t xml:space="preserve"> consolidates the four phases into a single governance view, linking each phase to its timeframe, objectives, key activities, responsible bodies, readiness gate with exit criteria, the risk-register entries it treats or discharges (</w:t>
      </w:r>
      <w:hyperlink w:anchor="section292" w:history="1">
        <w:r w:rsidR="000A422D" w:rsidRPr="006C091A">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and the dashboard indicators it activates or feeds (</w:t>
      </w:r>
      <w:hyperlink w:anchor="section417" w:history="1">
        <w:r w:rsidR="000F1211" w:rsidRPr="006C091A">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The table is the roadmap’s audit surface: the Board can read, phase by phase, what must be true before the next phase begins, and which risks and indicators evidence it.</w:t>
      </w:r>
    </w:p>
    <w:p w14:paraId="6F69332B" w14:textId="484F9CA5"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p>
    <w:p w14:paraId="4C574D90" w14:textId="6E98F901" w:rsidR="00273038" w:rsidRDefault="00273038" w:rsidP="00273038">
      <w:pPr>
        <w:pStyle w:val="Caption"/>
        <w:keepNext/>
        <w:bidi w:val="0"/>
      </w:pPr>
      <w:bookmarkStart w:id="190" w:name="_Toc237107842"/>
      <w:r>
        <w:lastRenderedPageBreak/>
        <w:t>T</w:t>
      </w:r>
      <w:bookmarkStart w:id="191" w:name="Table134"/>
      <w:bookmarkEnd w:id="191"/>
      <w:r>
        <w:t xml:space="preserve">able </w:t>
      </w:r>
      <w:r w:rsidR="00E25CEC">
        <w:t>4</w:t>
      </w:r>
      <w:r>
        <w:t>.</w:t>
      </w:r>
      <w:r w:rsidR="00E25CEC">
        <w:t>8</w:t>
      </w:r>
      <w:r w:rsidRPr="00A50FFC">
        <w:t xml:space="preserve">. Consolidated phased implementation roadmap for the participatory inventory framework (gates per </w:t>
      </w:r>
      <w:hyperlink w:anchor="section46" w:history="1">
        <w:r w:rsidRPr="006C091A">
          <w:rPr>
            <w:rStyle w:val="Hyperlink"/>
          </w:rPr>
          <w:t>Section 4.6</w:t>
        </w:r>
      </w:hyperlink>
      <w:r w:rsidRPr="00A50FFC">
        <w:t xml:space="preserve">; risks per </w:t>
      </w:r>
      <w:hyperlink w:anchor="Table114" w:history="1">
        <w:r w:rsidRPr="009E3D5C">
          <w:rPr>
            <w:rStyle w:val="Hyperlink"/>
          </w:rPr>
          <w:t xml:space="preserve">Table </w:t>
        </w:r>
        <w:r w:rsidR="00E25CEC">
          <w:rPr>
            <w:rStyle w:val="Hyperlink"/>
          </w:rPr>
          <w:t>4</w:t>
        </w:r>
        <w:r w:rsidRPr="009E3D5C">
          <w:rPr>
            <w:rStyle w:val="Hyperlink"/>
          </w:rPr>
          <w:t>.</w:t>
        </w:r>
        <w:r w:rsidR="00E25CEC">
          <w:rPr>
            <w:rStyle w:val="Hyperlink"/>
          </w:rPr>
          <w:t>6</w:t>
        </w:r>
      </w:hyperlink>
      <w:r w:rsidRPr="00A50FFC">
        <w:t xml:space="preserve">; KPIs per </w:t>
      </w:r>
      <w:hyperlink w:anchor="section417" w:history="1">
        <w:r w:rsidR="000F1211" w:rsidRPr="006C091A">
          <w:rPr>
            <w:rStyle w:val="Hyperlink"/>
          </w:rPr>
          <w:t>Section 4.1.7</w:t>
        </w:r>
      </w:hyperlink>
      <w:r w:rsidRPr="00A50FFC">
        <w:t>)</w:t>
      </w:r>
      <w:bookmarkEnd w:id="190"/>
    </w:p>
    <w:tbl>
      <w:tblPr>
        <w:tblStyle w:val="Table"/>
        <w:tblW w:w="5000" w:type="pct"/>
        <w:tblBorders>
          <w:top w:val="single" w:sz="12" w:space="0" w:color="44546A"/>
          <w:bottom w:val="single" w:sz="12" w:space="0" w:color="44546A"/>
        </w:tblBorders>
        <w:tblLayout w:type="fixed"/>
        <w:tblCellMar>
          <w:left w:w="60" w:type="dxa"/>
          <w:right w:w="60" w:type="dxa"/>
        </w:tblCellMar>
        <w:tblLook w:val="0020" w:firstRow="1" w:lastRow="0" w:firstColumn="0" w:lastColumn="0" w:noHBand="0" w:noVBand="0"/>
      </w:tblPr>
      <w:tblGrid>
        <w:gridCol w:w="1299"/>
        <w:gridCol w:w="877"/>
        <w:gridCol w:w="1322"/>
        <w:gridCol w:w="1721"/>
        <w:gridCol w:w="1214"/>
        <w:gridCol w:w="1897"/>
        <w:gridCol w:w="1030"/>
        <w:gridCol w:w="846"/>
      </w:tblGrid>
      <w:tr w:rsidR="00DD1558" w:rsidRPr="00DD1558" w14:paraId="12D79F81"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1650" w:type="dxa"/>
            <w:tcBorders>
              <w:bottom w:val="single" w:sz="8" w:space="0" w:color="44546A"/>
            </w:tcBorders>
            <w:vAlign w:val="top"/>
          </w:tcPr>
          <w:p w14:paraId="31DCE29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Phase</w:t>
            </w:r>
          </w:p>
        </w:tc>
        <w:tc>
          <w:tcPr>
            <w:tcW w:w="1100" w:type="dxa"/>
            <w:tcBorders>
              <w:bottom w:val="single" w:sz="8" w:space="0" w:color="44546A"/>
            </w:tcBorders>
            <w:vAlign w:val="top"/>
          </w:tcPr>
          <w:p w14:paraId="01ECCEE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Timeframe</w:t>
            </w:r>
          </w:p>
        </w:tc>
        <w:tc>
          <w:tcPr>
            <w:tcW w:w="1680" w:type="dxa"/>
            <w:tcBorders>
              <w:bottom w:val="single" w:sz="8" w:space="0" w:color="44546A"/>
            </w:tcBorders>
            <w:vAlign w:val="top"/>
          </w:tcPr>
          <w:p w14:paraId="74C997C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Objectives</w:t>
            </w:r>
          </w:p>
        </w:tc>
        <w:tc>
          <w:tcPr>
            <w:tcW w:w="2200" w:type="dxa"/>
            <w:tcBorders>
              <w:bottom w:val="single" w:sz="8" w:space="0" w:color="44546A"/>
            </w:tcBorders>
            <w:vAlign w:val="top"/>
          </w:tcPr>
          <w:p w14:paraId="74CFB74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Key activities</w:t>
            </w:r>
          </w:p>
        </w:tc>
        <w:tc>
          <w:tcPr>
            <w:tcW w:w="1540" w:type="dxa"/>
            <w:tcBorders>
              <w:bottom w:val="single" w:sz="8" w:space="0" w:color="44546A"/>
            </w:tcBorders>
            <w:vAlign w:val="top"/>
          </w:tcPr>
          <w:p w14:paraId="5FB732C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Responsible bodies</w:t>
            </w:r>
          </w:p>
        </w:tc>
        <w:tc>
          <w:tcPr>
            <w:tcW w:w="2430" w:type="dxa"/>
            <w:tcBorders>
              <w:bottom w:val="single" w:sz="8" w:space="0" w:color="44546A"/>
            </w:tcBorders>
            <w:vAlign w:val="top"/>
          </w:tcPr>
          <w:p w14:paraId="1223CC3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Readiness gate + exit criteria</w:t>
            </w:r>
          </w:p>
        </w:tc>
        <w:tc>
          <w:tcPr>
            <w:tcW w:w="1300" w:type="dxa"/>
            <w:tcBorders>
              <w:bottom w:val="single" w:sz="8" w:space="0" w:color="44546A"/>
            </w:tcBorders>
            <w:vAlign w:val="top"/>
          </w:tcPr>
          <w:p w14:paraId="025F391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Linked risks (RR IDs)</w:t>
            </w:r>
          </w:p>
        </w:tc>
        <w:tc>
          <w:tcPr>
            <w:tcW w:w="1060" w:type="dxa"/>
            <w:tcBorders>
              <w:bottom w:val="single" w:sz="8" w:space="0" w:color="44546A"/>
            </w:tcBorders>
            <w:vAlign w:val="top"/>
          </w:tcPr>
          <w:p w14:paraId="1A1E2E0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sz w:val="18"/>
                <w:szCs w:val="18"/>
              </w:rPr>
              <w:t>Linked KPIs (KPI IDs)</w:t>
            </w:r>
          </w:p>
        </w:tc>
      </w:tr>
      <w:tr w:rsidR="00DD1558" w:rsidRPr="00DD1558" w14:paraId="22BF4FE3" w14:textId="77777777" w:rsidTr="00C71E92">
        <w:tc>
          <w:tcPr>
            <w:tcW w:w="1650" w:type="dxa"/>
          </w:tcPr>
          <w:p w14:paraId="750ED8C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1 — Institutional foundation and policy ratification</w:t>
            </w:r>
          </w:p>
        </w:tc>
        <w:tc>
          <w:tcPr>
            <w:tcW w:w="1100" w:type="dxa"/>
          </w:tcPr>
          <w:p w14:paraId="559E232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Months 1–2</w:t>
            </w:r>
          </w:p>
        </w:tc>
        <w:tc>
          <w:tcPr>
            <w:tcW w:w="1680" w:type="dxa"/>
          </w:tcPr>
          <w:p w14:paraId="2EB679B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Convert the framework into ratified policy; constitute governance; confirm bounded roles</w:t>
            </w:r>
          </w:p>
        </w:tc>
        <w:tc>
          <w:tcPr>
            <w:tcW w:w="2200" w:type="dxa"/>
          </w:tcPr>
          <w:p w14:paraId="2967207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Constitute Board; charter Committee and Unit; ratify catalog standard (PB1), eligibility clauses (PB2), FEFO standard (MB1), Inter-Lab Policy Framework; appoint roles incl. technician operational mandate; initiate change communication</w:t>
            </w:r>
          </w:p>
        </w:tc>
        <w:tc>
          <w:tcPr>
            <w:tcW w:w="1540" w:type="dxa"/>
          </w:tcPr>
          <w:p w14:paraId="745552A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Board (leads); Committee (drafts); departments (comment)</w:t>
            </w:r>
          </w:p>
        </w:tc>
        <w:tc>
          <w:tcPr>
            <w:tcW w:w="2430" w:type="dxa"/>
          </w:tcPr>
          <w:p w14:paraId="0851310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G1 — policy ratification:</w:t>
            </w:r>
            <w:r w:rsidRPr="00DD1558">
              <w:rPr>
                <w:rFonts w:ascii="Simplified Arabic" w:hAnsi="Simplified Arabic" w:cs="Simplified Arabic"/>
                <w:sz w:val="18"/>
                <w:szCs w:val="18"/>
              </w:rPr>
              <w:t xml:space="preserve"> Board constituted; policy core ratified; roles appointed and communicated (cl. 5.3 analogue); risk register adopted</w:t>
            </w:r>
          </w:p>
        </w:tc>
        <w:tc>
          <w:tcPr>
            <w:tcW w:w="1300" w:type="dxa"/>
          </w:tcPr>
          <w:p w14:paraId="2DD1C6E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RR-01 (discharged); RR-02 (treatment opened); RR-05 (pre-emptive design)</w:t>
            </w:r>
          </w:p>
        </w:tc>
        <w:tc>
          <w:tcPr>
            <w:tcW w:w="1060" w:type="dxa"/>
          </w:tcPr>
          <w:p w14:paraId="63C8A06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KPI-G3 (audit cadence adherence activated)</w:t>
            </w:r>
          </w:p>
        </w:tc>
      </w:tr>
      <w:tr w:rsidR="00DD1558" w:rsidRPr="00DD1558" w14:paraId="01A96938" w14:textId="77777777" w:rsidTr="00C71E92">
        <w:tc>
          <w:tcPr>
            <w:tcW w:w="1650" w:type="dxa"/>
          </w:tcPr>
          <w:p w14:paraId="20688C9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2 — Catalog standardization and data onboarding</w:t>
            </w:r>
          </w:p>
        </w:tc>
        <w:tc>
          <w:tcPr>
            <w:tcW w:w="1100" w:type="dxa"/>
          </w:tcPr>
          <w:p w14:paraId="65E6172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Months 3–4</w:t>
            </w:r>
          </w:p>
        </w:tc>
        <w:tc>
          <w:tcPr>
            <w:tcW w:w="1680" w:type="dxa"/>
          </w:tcPr>
          <w:p w14:paraId="47132A0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Standardize records (PB1); populate shared registry; build competence</w:t>
            </w:r>
          </w:p>
        </w:tc>
        <w:tc>
          <w:tcPr>
            <w:tcW w:w="2200" w:type="dxa"/>
          </w:tcPr>
          <w:p w14:paraId="453F455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PB1 rollout in Biology Department; registry onboarding; EB2 data-quality baseline as first recorded measurement; role-based competence and awareness programme (cl. 7.2–7.3 analogues)</w:t>
            </w:r>
          </w:p>
        </w:tc>
        <w:tc>
          <w:tcPr>
            <w:tcW w:w="1540" w:type="dxa"/>
          </w:tcPr>
          <w:p w14:paraId="2754512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Unit (leads); Committee (supports); custodian departments (accountable); technicians (execute entries)</w:t>
            </w:r>
          </w:p>
        </w:tc>
        <w:tc>
          <w:tcPr>
            <w:tcW w:w="2430" w:type="dxa"/>
          </w:tcPr>
          <w:p w14:paraId="68B94B1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G2 — data readiness:</w:t>
            </w:r>
            <w:r w:rsidRPr="00DD1558">
              <w:rPr>
                <w:rFonts w:ascii="Simplified Arabic" w:hAnsi="Simplified Arabic" w:cs="Simplified Arabic"/>
                <w:sz w:val="18"/>
                <w:szCs w:val="18"/>
              </w:rPr>
              <w:t xml:space="preserve"> onboarding complete for pilot scope; data-quality conformity per KPI-G2 and catalog coverage per KPI-G1 definitions</w:t>
            </w:r>
          </w:p>
        </w:tc>
        <w:tc>
          <w:tcPr>
            <w:tcW w:w="1300" w:type="dxa"/>
          </w:tcPr>
          <w:p w14:paraId="27834F2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RR-03 (discharged); RR-04 (competence component discharged); RR-09 (baseline monitoring opened)</w:t>
            </w:r>
          </w:p>
        </w:tc>
        <w:tc>
          <w:tcPr>
            <w:tcW w:w="1060" w:type="dxa"/>
          </w:tcPr>
          <w:p w14:paraId="737F9CA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KPI-G1, KPI-G2</w:t>
            </w:r>
          </w:p>
        </w:tc>
      </w:tr>
      <w:tr w:rsidR="00DD1558" w:rsidRPr="00DD1558" w14:paraId="1C6CC3DE" w14:textId="77777777" w:rsidTr="00C71E92">
        <w:tc>
          <w:tcPr>
            <w:tcW w:w="1650" w:type="dxa"/>
          </w:tcPr>
          <w:p w14:paraId="5B3645C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3 — Biology Department pilot and workflow testing</w:t>
            </w:r>
          </w:p>
        </w:tc>
        <w:tc>
          <w:tcPr>
            <w:tcW w:w="1100" w:type="dxa"/>
          </w:tcPr>
          <w:p w14:paraId="4C21067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Months 5–6</w:t>
            </w:r>
          </w:p>
        </w:tc>
        <w:tc>
          <w:tcPr>
            <w:tcW w:w="1680" w:type="dxa"/>
          </w:tcPr>
          <w:p w14:paraId="2A01061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Demonstrate workflow integrity under live operation in the embedded unit</w:t>
            </w:r>
          </w:p>
        </w:tc>
        <w:tc>
          <w:tcPr>
            <w:tcW w:w="2200" w:type="dxa"/>
          </w:tcPr>
          <w:p w14:paraId="0453E04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Live loan workflows; custody-transfer protocol (EB3); FEFO execution (MB1) and expiry escalation ladder; continuity walkthrough (ISO 22301 cl. 8.5 analogue); qualitative pilot review</w:t>
            </w:r>
          </w:p>
        </w:tc>
        <w:tc>
          <w:tcPr>
            <w:tcW w:w="1540" w:type="dxa"/>
          </w:tcPr>
          <w:p w14:paraId="20CEB1B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Custodian departments + Unit (execute); technicians (operate workflows); Board (reviews)</w:t>
            </w:r>
          </w:p>
        </w:tc>
        <w:tc>
          <w:tcPr>
            <w:tcW w:w="2430" w:type="dxa"/>
          </w:tcPr>
          <w:p w14:paraId="3483C73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G3 — pilot workflow integrity:</w:t>
            </w:r>
            <w:r w:rsidRPr="00DD1558">
              <w:rPr>
                <w:rFonts w:ascii="Simplified Arabic" w:hAnsi="Simplified Arabic" w:cs="Simplified Arabic"/>
                <w:sz w:val="18"/>
                <w:szCs w:val="18"/>
              </w:rPr>
              <w:t xml:space="preserve"> all workflow steps executed as designed; exceptions escalated and resolved; custody records complete; walkthrough conducted — qualitative criteria, no metric thresholds</w:t>
            </w:r>
          </w:p>
        </w:tc>
        <w:tc>
          <w:tcPr>
            <w:tcW w:w="1300" w:type="dxa"/>
          </w:tcPr>
          <w:p w14:paraId="3E7E62B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RR-06 (discharged); RR-08, RR-10, RR-11 (first operational evidence)</w:t>
            </w:r>
          </w:p>
        </w:tc>
        <w:tc>
          <w:tcPr>
            <w:tcW w:w="1060" w:type="dxa"/>
          </w:tcPr>
          <w:p w14:paraId="119F041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KPI-O1–O4, KPI-E2, KPI-E3 (first measurements recorded)</w:t>
            </w:r>
          </w:p>
        </w:tc>
      </w:tr>
      <w:tr w:rsidR="00DD1558" w:rsidRPr="00DD1558" w14:paraId="507A0308" w14:textId="77777777" w:rsidTr="00C71E92">
        <w:tc>
          <w:tcPr>
            <w:tcW w:w="1650" w:type="dxa"/>
          </w:tcPr>
          <w:p w14:paraId="13A2E98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t xml:space="preserve">4 — College-wide scaling </w:t>
            </w:r>
            <w:r w:rsidRPr="00DD1558">
              <w:rPr>
                <w:rFonts w:ascii="Simplified Arabic" w:hAnsi="Simplified Arabic" w:cs="Simplified Arabic"/>
                <w:b/>
                <w:bCs/>
                <w:sz w:val="18"/>
                <w:szCs w:val="18"/>
              </w:rPr>
              <w:lastRenderedPageBreak/>
              <w:t>and digital platform readiness gate</w:t>
            </w:r>
          </w:p>
        </w:tc>
        <w:tc>
          <w:tcPr>
            <w:tcW w:w="1100" w:type="dxa"/>
          </w:tcPr>
          <w:p w14:paraId="6BE4A2C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lastRenderedPageBreak/>
              <w:t>Continuous</w:t>
            </w:r>
          </w:p>
        </w:tc>
        <w:tc>
          <w:tcPr>
            <w:tcW w:w="1680" w:type="dxa"/>
          </w:tcPr>
          <w:p w14:paraId="3D45668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t xml:space="preserve">Scale to all College of </w:t>
            </w:r>
            <w:r w:rsidRPr="00DD1558">
              <w:rPr>
                <w:rFonts w:ascii="Simplified Arabic" w:hAnsi="Simplified Arabic" w:cs="Simplified Arabic"/>
                <w:sz w:val="18"/>
                <w:szCs w:val="18"/>
              </w:rPr>
              <w:lastRenderedPageBreak/>
              <w:t>Science departments; institutionalize enforcement and improvement; hold the platform gate</w:t>
            </w:r>
          </w:p>
        </w:tc>
        <w:tc>
          <w:tcPr>
            <w:tcW w:w="2200" w:type="dxa"/>
          </w:tcPr>
          <w:p w14:paraId="2A7A8EA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lastRenderedPageBreak/>
              <w:t xml:space="preserve">Rolling departmental onboarding; audit </w:t>
            </w:r>
            <w:r w:rsidRPr="00DD1558">
              <w:rPr>
                <w:rFonts w:ascii="Simplified Arabic" w:hAnsi="Simplified Arabic" w:cs="Simplified Arabic"/>
                <w:sz w:val="18"/>
                <w:szCs w:val="18"/>
              </w:rPr>
              <w:lastRenderedPageBreak/>
              <w:t>cadence (EB1) and management review (cl. 9.2–9.3 analogues); continual improvement (cl. 10 analogues); G4 assessment against Unit requirements baseline</w:t>
            </w:r>
          </w:p>
        </w:tc>
        <w:tc>
          <w:tcPr>
            <w:tcW w:w="1540" w:type="dxa"/>
          </w:tcPr>
          <w:p w14:paraId="3AC0499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lastRenderedPageBreak/>
              <w:t xml:space="preserve">Board (gate authority, </w:t>
            </w:r>
            <w:r w:rsidRPr="00DD1558">
              <w:rPr>
                <w:rFonts w:ascii="Simplified Arabic" w:hAnsi="Simplified Arabic" w:cs="Simplified Arabic"/>
                <w:sz w:val="18"/>
                <w:szCs w:val="18"/>
              </w:rPr>
              <w:lastRenderedPageBreak/>
              <w:t>review); Unit (scaling certification, requirements baseline); Committee (standard revision); all departments</w:t>
            </w:r>
          </w:p>
        </w:tc>
        <w:tc>
          <w:tcPr>
            <w:tcW w:w="2430" w:type="dxa"/>
          </w:tcPr>
          <w:p w14:paraId="7DD39E9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bCs/>
                <w:sz w:val="18"/>
                <w:szCs w:val="18"/>
              </w:rPr>
              <w:lastRenderedPageBreak/>
              <w:t>G4 — digital platform readiness:</w:t>
            </w:r>
            <w:r w:rsidRPr="00DD1558">
              <w:rPr>
                <w:rFonts w:ascii="Simplified Arabic" w:hAnsi="Simplified Arabic" w:cs="Simplified Arabic"/>
                <w:sz w:val="18"/>
                <w:szCs w:val="18"/>
              </w:rPr>
              <w:t xml:space="preserve"> </w:t>
            </w:r>
            <w:r w:rsidRPr="00DD1558">
              <w:rPr>
                <w:rFonts w:ascii="Simplified Arabic" w:hAnsi="Simplified Arabic" w:cs="Simplified Arabic"/>
                <w:sz w:val="18"/>
                <w:szCs w:val="18"/>
              </w:rPr>
              <w:lastRenderedPageBreak/>
              <w:t xml:space="preserve">standardized processes, conformant data, demonstrated workflow stability and role competence per KPI-G6; releases platform procurement </w:t>
            </w:r>
            <w:r w:rsidRPr="00DD1558">
              <w:rPr>
                <w:rFonts w:ascii="Simplified Arabic" w:hAnsi="Simplified Arabic" w:cs="Simplified Arabic"/>
                <w:i/>
                <w:iCs/>
                <w:sz w:val="18"/>
                <w:szCs w:val="18"/>
              </w:rPr>
              <w:t>consideration</w:t>
            </w:r>
            <w:r w:rsidRPr="00DD1558">
              <w:rPr>
                <w:rFonts w:ascii="Simplified Arabic" w:hAnsi="Simplified Arabic" w:cs="Simplified Arabic"/>
                <w:sz w:val="18"/>
                <w:szCs w:val="18"/>
              </w:rPr>
              <w:t xml:space="preserve"> only</w:t>
            </w:r>
          </w:p>
        </w:tc>
        <w:tc>
          <w:tcPr>
            <w:tcW w:w="1300" w:type="dxa"/>
          </w:tcPr>
          <w:p w14:paraId="3A77C8F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lastRenderedPageBreak/>
              <w:t>RR-15 (held); RR-</w:t>
            </w:r>
            <w:r w:rsidRPr="00DD1558">
              <w:rPr>
                <w:rFonts w:ascii="Simplified Arabic" w:hAnsi="Simplified Arabic" w:cs="Simplified Arabic"/>
                <w:sz w:val="18"/>
                <w:szCs w:val="18"/>
              </w:rPr>
              <w:lastRenderedPageBreak/>
              <w:t>05, RR-07, RR-09, RR-12, RR-13, RR-14 (standing governance)</w:t>
            </w:r>
          </w:p>
        </w:tc>
        <w:tc>
          <w:tcPr>
            <w:tcW w:w="1060" w:type="dxa"/>
          </w:tcPr>
          <w:p w14:paraId="2064A77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sz w:val="18"/>
                <w:szCs w:val="18"/>
              </w:rPr>
              <w:lastRenderedPageBreak/>
              <w:t>KPI-O1–O4; KPI-</w:t>
            </w:r>
            <w:r w:rsidRPr="00DD1558">
              <w:rPr>
                <w:rFonts w:ascii="Simplified Arabic" w:hAnsi="Simplified Arabic" w:cs="Simplified Arabic"/>
                <w:sz w:val="18"/>
                <w:szCs w:val="18"/>
              </w:rPr>
              <w:lastRenderedPageBreak/>
              <w:t>E1–E4; KPI-G1–G6 (full dashboard)</w:t>
            </w:r>
          </w:p>
        </w:tc>
      </w:tr>
    </w:tbl>
    <w:p w14:paraId="73D33294" w14:textId="77777777" w:rsidR="00DD1558" w:rsidRPr="00DD1558" w:rsidRDefault="00DD1558" w:rsidP="00DD1558">
      <w:pPr>
        <w:rPr>
          <w:rFonts w:ascii="Simplified Arabic" w:hAnsi="Simplified Arabic"/>
          <w:sz w:val="28"/>
        </w:rPr>
      </w:pPr>
    </w:p>
    <w:p w14:paraId="08484E75" w14:textId="2538DDA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Three features of the table warrant interpretation. First, </w:t>
      </w:r>
      <w:r w:rsidRPr="00DD1558">
        <w:rPr>
          <w:rFonts w:ascii="Simplified Arabic" w:eastAsia="Times New Roman" w:hAnsi="Simplified Arabic" w:cs="Simplified Arabic"/>
          <w:b/>
          <w:bCs/>
          <w:color w:val="1A1A1A"/>
          <w:sz w:val="28"/>
          <w:szCs w:val="28"/>
          <w14:ligatures w14:val="none"/>
        </w:rPr>
        <w:t>the gate column is the roadmap’s control column</w:t>
      </w:r>
      <w:r w:rsidRPr="00DD1558">
        <w:rPr>
          <w:rFonts w:ascii="Simplified Arabic" w:eastAsia="Times New Roman" w:hAnsi="Simplified Arabic" w:cs="Simplified Arabic"/>
          <w:color w:val="1A1A1A"/>
          <w:sz w:val="28"/>
          <w:szCs w:val="28"/>
          <w14:ligatures w14:val="none"/>
        </w:rPr>
        <w:t xml:space="preserve">: timeframes may flex under Board review, but gate criteria are structural conditions that may not, because acceleration cannot substitute for evidence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{"citationID":"XezVcaN9","properties":{"unsorted":false,"formattedCitation":"(PMI, 2021)","plainCitation":"(PMI, 2021)","noteIndex":0},"citationItems":[{"id":490,"uris":["http://zotero.org/users/19711126/items/LY4H4ZEI"],"itemData":{"id":490,"type":"book","abstract":"PMBOK®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Second, </w:t>
      </w:r>
      <w:r w:rsidRPr="00DD1558">
        <w:rPr>
          <w:rFonts w:ascii="Simplified Arabic" w:eastAsia="Times New Roman" w:hAnsi="Simplified Arabic" w:cs="Simplified Arabic"/>
          <w:b/>
          <w:bCs/>
          <w:color w:val="1A1A1A"/>
          <w:sz w:val="28"/>
          <w:szCs w:val="28"/>
          <w14:ligatures w14:val="none"/>
        </w:rPr>
        <w:t xml:space="preserve">the risk column shows the two strata of </w:t>
      </w:r>
      <w:hyperlink w:anchor="section292" w:history="1">
        <w:r w:rsidR="000A422D" w:rsidRPr="006C091A">
          <w:rPr>
            <w:rStyle w:val="Hyperlink"/>
            <w:rFonts w:ascii="Simplified Arabic" w:eastAsia="Times New Roman" w:hAnsi="Simplified Arabic" w:cs="Simplified Arabic"/>
            <w:b/>
            <w:bCs/>
            <w:sz w:val="28"/>
            <w:szCs w:val="28"/>
            <w14:ligatures w14:val="none"/>
          </w:rPr>
          <w:t>Section 2.9.2</w:t>
        </w:r>
      </w:hyperlink>
      <w:r w:rsidRPr="00DD1558">
        <w:rPr>
          <w:rFonts w:ascii="Simplified Arabic" w:eastAsia="Times New Roman" w:hAnsi="Simplified Arabic" w:cs="Simplified Arabic"/>
          <w:b/>
          <w:bCs/>
          <w:color w:val="1A1A1A"/>
          <w:sz w:val="28"/>
          <w:szCs w:val="28"/>
          <w14:ligatures w14:val="none"/>
        </w:rPr>
        <w:t xml:space="preserve"> behaving differently across phases</w:t>
      </w:r>
      <w:r w:rsidRPr="00DD1558">
        <w:rPr>
          <w:rFonts w:ascii="Simplified Arabic" w:eastAsia="Times New Roman" w:hAnsi="Simplified Arabic" w:cs="Simplified Arabic"/>
          <w:color w:val="1A1A1A"/>
          <w:sz w:val="28"/>
          <w:szCs w:val="28"/>
          <w14:ligatures w14:val="none"/>
        </w:rPr>
        <w:t xml:space="preserve">: transition risks (RR-01, RR-03, RR-06) appear once and are discharged by their gates, while operational risks (RR-05 through RR-15) reappear in </w:t>
      </w:r>
      <w:hyperlink w:anchor="Phase4" w:history="1">
        <w:r w:rsidRPr="00935DA7">
          <w:rPr>
            <w:rStyle w:val="Hyperlink"/>
            <w:rFonts w:ascii="Simplified Arabic" w:eastAsia="Times New Roman" w:hAnsi="Simplified Arabic" w:cs="Simplified Arabic"/>
            <w:sz w:val="28"/>
            <w:szCs w:val="28"/>
            <w14:ligatures w14:val="none"/>
          </w:rPr>
          <w:t>Phase 4</w:t>
        </w:r>
      </w:hyperlink>
      <w:r w:rsidRPr="00DD1558">
        <w:rPr>
          <w:rFonts w:ascii="Simplified Arabic" w:eastAsia="Times New Roman" w:hAnsi="Simplified Arabic" w:cs="Simplified Arabic"/>
          <w:color w:val="1A1A1A"/>
          <w:sz w:val="28"/>
          <w:szCs w:val="28"/>
          <w14:ligatures w14:val="none"/>
        </w:rPr>
        <w:t xml:space="preserve"> as standing entries — adoption risks are front-loaded and closable, operational risks perpetual and governable (</w:t>
      </w:r>
      <w:hyperlink w:anchor="section43" w:history="1">
        <w:r w:rsidR="0018617A" w:rsidRPr="006C091A">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 xml:space="preserve">). Third, </w:t>
      </w:r>
      <w:r w:rsidRPr="00DD1558">
        <w:rPr>
          <w:rFonts w:ascii="Simplified Arabic" w:eastAsia="Times New Roman" w:hAnsi="Simplified Arabic" w:cs="Simplified Arabic"/>
          <w:b/>
          <w:bCs/>
          <w:color w:val="1A1A1A"/>
          <w:sz w:val="28"/>
          <w:szCs w:val="28"/>
          <w14:ligatures w14:val="none"/>
        </w:rPr>
        <w:t>the KPI column shows measurement following capability, never preceding it</w:t>
      </w:r>
      <w:r w:rsidRPr="00DD1558">
        <w:rPr>
          <w:rFonts w:ascii="Simplified Arabic" w:eastAsia="Times New Roman" w:hAnsi="Simplified Arabic" w:cs="Simplified Arabic"/>
          <w:color w:val="1A1A1A"/>
          <w:sz w:val="28"/>
          <w:szCs w:val="28"/>
          <w14:ligatures w14:val="none"/>
        </w:rPr>
        <w:t>: indicators activate only when the activity they measure exists, so the dashboard grows with the framework — the measurement-and-review transition expressed as instrumentation rather than assumption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{"citationID":"UWCWFTMr","properties":{"unsorted":false,"formattedCitation":"(Hillson, D. A., 1997; 14001 ISO/IEC, 2015)","plainCitation":"(Hillson, D. A., 1997; 14001 ISO/IEC, 2015)","noteIndex":0},"citationItems":[{"id":540,"uris":["http://zotero.org/users/19711126/items/IB7NEYQH"],"itemData":{"id":540,"type":"report","title":"Towards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{"citationID":"FROQWZBg","properties":{"unsorted":false,"formattedCitation":"(22301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w:t>
      </w:r>
    </w:p>
    <w:p w14:paraId="58F68730"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2" w:name="_Toc237539783"/>
      <w:r w:rsidRPr="00DD1558">
        <w:rPr>
          <w:rFonts w:ascii="Simplified Arabic" w:eastAsiaTheme="majorEastAsia" w:hAnsi="Simplified Arabic" w:cstheme="majorBidi"/>
          <w:sz w:val="28"/>
          <w:szCs w:val="28"/>
        </w:rPr>
        <w:t>4.5.7 Change Management and Barrier Mitigation</w:t>
      </w:r>
      <w:bookmarkEnd w:id="192"/>
    </w:p>
    <w:p w14:paraId="04AD2E7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A roadmap that specifies activities and gates but ignores the human institution that must enact them would repeat the error the framework exists to correct: the diagnosis of Section 1 is, at root, a governance failure, not a logistics failure. The change-management and collaborative-governance literature identifies three institutional failure modes for reforms of </w:t>
      </w:r>
      <w:r w:rsidRPr="00DD1558">
        <w:rPr>
          <w:rFonts w:ascii="Simplified Arabic" w:eastAsia="Times New Roman" w:hAnsi="Simplified Arabic" w:cs="Simplified Arabic"/>
          <w:color w:val="1A1A1A"/>
          <w:sz w:val="28"/>
          <w:szCs w:val="28"/>
          <w14:ligatures w14:val="none"/>
        </w:rPr>
        <w:lastRenderedPageBreak/>
        <w:t xml:space="preserve">this kind, and this section matches each to its mitigation within the framework’s own instruments — nothing here adds a new mechanism; change management is the deliberate operation of mechanisms already specified, read through the evidence on how such reforms fail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{"citationID":"yjFk4l1n","properties":{"unsorted":false,"formattedCitation":"(Dean et al., 2024; Sung &amp; Kim, 2021; Vlachopoulos, 2021)","plainCitation":"(Dean et al., 2024; Sung &amp; Kim, 2021;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Sung &amp; Kim, 2021;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2DCE9B2" w14:textId="30B52C66"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(a) Institutional inertia.</w:t>
      </w:r>
      <w:r w:rsidRPr="00DD1558">
        <w:rPr>
          <w:rFonts w:ascii="Simplified Arabic" w:eastAsia="Times New Roman" w:hAnsi="Simplified Arabic" w:cs="Simplified Arabic"/>
          <w:color w:val="1A1A1A"/>
          <w:sz w:val="28"/>
          <w:szCs w:val="28"/>
          <w14:ligatures w14:val="none"/>
        </w:rPr>
        <w:t xml:space="preserve"> Large public institutions absorb reform through routine: policies are acknowledged, then displaced by the prior default. The framework’s first counter is </w:t>
      </w:r>
      <w:r w:rsidRPr="00DD1558">
        <w:rPr>
          <w:rFonts w:ascii="Simplified Arabic" w:eastAsia="Times New Roman" w:hAnsi="Simplified Arabic" w:cs="Simplified Arabic"/>
          <w:b/>
          <w:bCs/>
          <w:color w:val="1A1A1A"/>
          <w:sz w:val="28"/>
          <w:szCs w:val="28"/>
          <w14:ligatures w14:val="none"/>
        </w:rPr>
        <w:t>leadership sponsorship through the Board</w:t>
      </w:r>
      <w:r w:rsidRPr="00DD1558">
        <w:rPr>
          <w:rFonts w:ascii="Simplified Arabic" w:eastAsia="Times New Roman" w:hAnsi="Simplified Arabic" w:cs="Simplified Arabic"/>
          <w:color w:val="1A1A1A"/>
          <w:sz w:val="28"/>
          <w:szCs w:val="28"/>
          <w14:ligatures w14:val="none"/>
        </w:rPr>
        <w:t xml:space="preserve">, whose leadership chair, termly cadence, and risk-register ownership institutionalize sponsorship as a standing function rather than a personality-dependent enthusiasm — the condition the collaborative-governance literature identifies as decisive for cross-unit arrangements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{"citationID":"5kcjgClK","properties":{"unsorted":false,"formattedCitation":"(Ahn &amp; Baldwin, 2024; Lopes &amp; Farias, 2022)","plainCitation":"(Ahn &amp; Baldwin, 2024;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second counter is </w:t>
      </w:r>
      <w:r w:rsidRPr="00DD1558">
        <w:rPr>
          <w:rFonts w:ascii="Simplified Arabic" w:eastAsia="Times New Roman" w:hAnsi="Simplified Arabic" w:cs="Simplified Arabic"/>
          <w:b/>
          <w:bCs/>
          <w:color w:val="1A1A1A"/>
          <w:sz w:val="28"/>
          <w:szCs w:val="28"/>
          <w14:ligatures w14:val="none"/>
        </w:rPr>
        <w:t>Vision 2030 alignment as a legitimating frame</w:t>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fiscal efficiency, sustainability, and digital transformation are national priorities to which the host institution is explicitly committed, so the framework is legible to leadership as a contribution to commitments already made</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{"citationID":"Ju3gUx1M","properties":{"unsorted":false,"formattedCitation":"(Alamoudi et al., 2023; Alshammari, 2025)","plainCitation":"(Alamoudi et al., 2023; Alshammari, 2025)","noteIndex":0},"citationItems":[{"id":397,"uris":["http://zotero.org/users/19711126/items/NXW23TK2"],"itemData":{"id":397,"type":"article-journal","abstract":"Cities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Alshammari,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third counter is </w:t>
      </w:r>
      <w:r w:rsidRPr="00DD1558">
        <w:rPr>
          <w:rFonts w:ascii="Simplified Arabic" w:eastAsia="Times New Roman" w:hAnsi="Simplified Arabic" w:cs="Simplified Arabic"/>
          <w:b/>
          <w:bCs/>
          <w:color w:val="1A1A1A"/>
          <w:sz w:val="28"/>
          <w:szCs w:val="28"/>
          <w14:ligatures w14:val="none"/>
        </w:rPr>
        <w:t>quick, visible wins through PB2 displacement</w:t>
      </w:r>
      <w:r w:rsidRPr="00DD1558">
        <w:rPr>
          <w:rFonts w:ascii="Simplified Arabic" w:eastAsia="Times New Roman" w:hAnsi="Simplified Arabic" w:cs="Simplified Arabic"/>
          <w:color w:val="1A1A1A"/>
          <w:sz w:val="28"/>
          <w:szCs w:val="28"/>
          <w14:ligatures w14:val="none"/>
        </w:rPr>
        <w:t xml:space="preserve">: the eligibility check’s first effect — a duplicate purchase displaced because the registry showed serviceable stock elsewhere — is visible to exactly the departments asked to change their behavior, converting benefit from abstraction into a recorded event the Unit reports back to departments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{"citationID":"mLUnDLCr","properties":{"unsorted":false,"formattedCitation":"(Dean et al., 2024; S\\uc0\\u246{}nnichsen &amp; Clement, 2020)","plainCitation":"(Dean et al., 2024; Sönnichsen &amp; Clement, 2020)","noteIndex":0},"citationItems":[{"id":428,"uris":["http://zotero.org/users/19711126/items/QPV3FB5N"],"itemData":{"id":428,"type":"article-journal","abstract":"This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Sönnichsen &amp; Clement,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6FFE104D" w14:textId="677C489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(b) Departmental silos.</w:t>
      </w:r>
      <w:r w:rsidRPr="00DD1558">
        <w:rPr>
          <w:rFonts w:ascii="Simplified Arabic" w:eastAsia="Times New Roman" w:hAnsi="Simplified Arabic" w:cs="Simplified Arabic"/>
          <w:color w:val="1A1A1A"/>
          <w:sz w:val="28"/>
          <w:szCs w:val="28"/>
          <w14:ligatures w14:val="none"/>
        </w:rPr>
        <w:t xml:space="preserve"> The decentralized regime’s deepest habit is possession: departments experience shared visibility and lending as loss of control over “their” stock, and the sharing literature confirms that pooled-resource arrangements erode through free-riding, ambiguous responsibility, and perceived inequity when platform rules are weak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{"citationID":"zMshYkFR","properties":{"unsorted":false,"formattedCitation":"(X. Wang &amp; Qu, 2025; Zhu &amp; Liu, 2021)","plainCitation":"(X. Wang &amp; Qu, 2025; Zhu &amp; Liu, 2021)","noteIndex":0},"citationItems":[{"id":527,"uris":["http://zotero.org/users/19711126/items/YRGFL3RX"],"itemData":{"id":527,"type":"article-journal","abstract":"Over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 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counter is the </w:t>
      </w:r>
      <w:r w:rsidRPr="00DD1558">
        <w:rPr>
          <w:rFonts w:ascii="Simplified Arabic" w:eastAsia="Times New Roman" w:hAnsi="Simplified Arabic" w:cs="Simplified Arabic"/>
          <w:b/>
          <w:bCs/>
          <w:color w:val="1A1A1A"/>
          <w:sz w:val="28"/>
          <w:szCs w:val="28"/>
          <w14:ligatures w14:val="none"/>
        </w:rPr>
        <w:t>stewardship-over-ownership design</w:t>
      </w:r>
      <w:r w:rsidRPr="00DD1558">
        <w:rPr>
          <w:rFonts w:ascii="Simplified Arabic" w:eastAsia="Times New Roman" w:hAnsi="Simplified Arabic" w:cs="Simplified Arabic"/>
          <w:color w:val="1A1A1A"/>
          <w:sz w:val="28"/>
          <w:szCs w:val="28"/>
          <w14:ligatures w14:val="none"/>
        </w:rPr>
        <w:t xml:space="preserve"> ratified in </w:t>
      </w:r>
      <w:hyperlink w:anchor="Phase1" w:history="1">
        <w:r w:rsidRPr="00935DA7">
          <w:rPr>
            <w:rStyle w:val="Hyperlink"/>
            <w:rFonts w:ascii="Simplified Arabic" w:eastAsia="Times New Roman" w:hAnsi="Simplified Arabic" w:cs="Simplified Arabic"/>
            <w:sz w:val="28"/>
            <w:szCs w:val="28"/>
            <w14:ligatures w14:val="none"/>
          </w:rPr>
          <w:t>Phase 1</w:t>
        </w:r>
      </w:hyperlink>
      <w:r w:rsidRPr="00DD1558">
        <w:rPr>
          <w:rFonts w:ascii="Simplified Arabic" w:eastAsia="Times New Roman" w:hAnsi="Simplified Arabic" w:cs="Simplified Arabic"/>
          <w:color w:val="1A1A1A"/>
          <w:sz w:val="28"/>
          <w:szCs w:val="28"/>
          <w14:ligatures w14:val="none"/>
        </w:rPr>
        <w:t xml:space="preserve">, operated as an incentive structure rather than a slogan: loan limits protect the custodian’s own teaching base; recall rights are absolute for scheduled </w:t>
      </w:r>
      <w:r w:rsidRPr="00DD1558">
        <w:rPr>
          <w:rFonts w:ascii="Simplified Arabic" w:eastAsia="Times New Roman" w:hAnsi="Simplified Arabic" w:cs="Simplified Arabic"/>
          <w:color w:val="1A1A1A"/>
          <w:sz w:val="28"/>
          <w:szCs w:val="28"/>
          <w14:ligatures w14:val="none"/>
        </w:rPr>
        <w:lastRenderedPageBreak/>
        <w:t>teaching, reflecting the ISO 22301:2019 priority of prioritized activities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{"citationID":"dC44pbLc","properties":{"unsorted":false,"formattedCitation":"(22301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8.3); and the damage/loss liability principle with its chain-of-custody evidence ensures that lending does not transfer risk to the lender (</w:t>
      </w:r>
      <w:hyperlink w:anchor="Section416" w:history="1">
        <w:r w:rsidR="002C0C03" w:rsidRPr="006C091A">
          <w:rPr>
            <w:rStyle w:val="Hyperlink"/>
            <w:rFonts w:ascii="Simplified Arabic" w:eastAsia="Times New Roman" w:hAnsi="Simplified Arabic" w:cs="Simplified Arabic"/>
            <w:sz w:val="28"/>
            <w:szCs w:val="28"/>
            <w14:ligatures w14:val="none"/>
          </w:rPr>
          <w:t>Section 4.1.6</w:t>
        </w:r>
      </w:hyperlink>
      <w:r w:rsidR="002C0C03" w:rsidRPr="002C0C03">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 xml:space="preserve">(e)). Benefit distribution is kept equitable by design — every department is simultaneously a potential borrower and a protected custodian, and the dashboard makes flows visible so that a disproportionate lending load can be remedied at Board review. These are the design cautions the sharing literature itself prescribes: participation survives where decision rights are renegotiated explicitly, protections are enforceable, and benefits are demonstrably reciprocal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{"citationID":"FCfcLQqb","properties":{"unsorted":false,"formattedCitation":"(Ahn &amp; Baldwin, 2024; Gestel &amp; Grotenbreg, 2021; X. Wang &amp; Qu, 2025; Zhu &amp; Liu, 2021)","plainCitation":"(Ahn &amp; Baldwin, 2024; Gestel &amp; Grotenbreg, 2021; X. Wang &amp; Qu, 2025; Zhu &amp; Liu, 2021)","noteIndex":0},"citationItems":[{"id":392,"uris":["http://zotero.org/users/19711126/items/875J4EC5"],"itemData":{"id":392,"type":"article-journal","abstract":"Collaborative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Gestel &amp; Grotenbreg, 2021; X. Wang &amp; Qu, 2025; 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0C4547D" w14:textId="2DFDDA6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(c) Compliance fatigue.</w:t>
      </w:r>
      <w:r w:rsidRPr="00DD1558">
        <w:rPr>
          <w:rFonts w:ascii="Simplified Arabic" w:eastAsia="Times New Roman" w:hAnsi="Simplified Arabic" w:cs="Simplified Arabic"/>
          <w:color w:val="1A1A1A"/>
          <w:sz w:val="28"/>
          <w:szCs w:val="28"/>
          <w14:ligatures w14:val="none"/>
        </w:rPr>
        <w:t xml:space="preserve"> The third failure mode is the slowest: procedural burden comes to be perceived as disproportionate to benefit, staff revert to informal practice, and the framework hollows out from within — the register’s RR-05 and the nominal-compliance theme of the higher-education change literature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{"citationID":"p6tqrc8A","properties":{"unsorted":false,"formattedCitation":"(Sung &amp; Kim, 2021; Vlachopoulos, 2021)","plainCitation":"(Sung &amp; Kim, 2021; Vlachopoulos, 2021)","noteIndex":0},"citationItems":[{"id":510,"uris":["http://zotero.org/users/19711126/items/UZPGKIFL"],"itemData":{"id":510,"type":"article-journal","abstract":"This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(Sung &amp; Kim, 2021;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counter has four components. First, </w:t>
      </w:r>
      <w:r w:rsidRPr="00DD1558">
        <w:rPr>
          <w:rFonts w:ascii="Simplified Arabic" w:eastAsia="Times New Roman" w:hAnsi="Simplified Arabic" w:cs="Simplified Arabic"/>
          <w:b/>
          <w:bCs/>
          <w:color w:val="1A1A1A"/>
          <w:sz w:val="28"/>
          <w:szCs w:val="28"/>
          <w14:ligatures w14:val="none"/>
        </w:rPr>
        <w:t>proportionate procedures integrated into existing roles</w:t>
      </w:r>
      <w:r w:rsidRPr="00DD1558">
        <w:rPr>
          <w:rFonts w:ascii="Simplified Arabic" w:eastAsia="Times New Roman" w:hAnsi="Simplified Arabic" w:cs="Simplified Arabic"/>
          <w:color w:val="1A1A1A"/>
          <w:sz w:val="28"/>
          <w:szCs w:val="28"/>
          <w14:ligatures w14:val="none"/>
        </w:rPr>
        <w:t>: auditability is embedded in workflows as automatic logging at the moment of action (</w:t>
      </w:r>
      <w:hyperlink w:anchor="section411" w:history="1">
        <w:r w:rsidR="00A20664" w:rsidRPr="006C091A">
          <w:rPr>
            <w:rStyle w:val="Hyperlink"/>
            <w:rFonts w:ascii="Simplified Arabic" w:eastAsia="Times New Roman" w:hAnsi="Simplified Arabic" w:cs="Simplified Arabic"/>
            <w:sz w:val="28"/>
            <w:szCs w:val="36"/>
            <w14:ligatures w14:val="none"/>
          </w:rPr>
          <w:t>Section 4.1.1</w:t>
        </w:r>
      </w:hyperlink>
      <w:r w:rsidRPr="00DD1558">
        <w:rPr>
          <w:rFonts w:ascii="Simplified Arabic" w:eastAsia="Times New Roman" w:hAnsi="Simplified Arabic" w:cs="Simplified Arabic"/>
          <w:color w:val="1A1A1A"/>
          <w:sz w:val="28"/>
          <w:szCs w:val="28"/>
          <w14:ligatures w14:val="none"/>
        </w:rPr>
        <w:t xml:space="preserve">, </w:t>
      </w:r>
      <w:hyperlink w:anchor="Principle4" w:history="1">
        <w:r w:rsidRPr="00DD1558">
          <w:rPr>
            <w:rFonts w:ascii="Simplified Arabic" w:eastAsia="Times New Roman" w:hAnsi="Simplified Arabic" w:cs="Simplified Arabic"/>
            <w:color w:val="467886" w:themeColor="hyperlink"/>
            <w:sz w:val="28"/>
            <w:szCs w:val="28"/>
            <w:u w:val="single"/>
            <w14:ligatures w14:val="none"/>
          </w:rPr>
          <w:t>Principle 4</w:t>
        </w:r>
      </w:hyperlink>
      <w:r w:rsidRPr="00DD1558">
        <w:rPr>
          <w:rFonts w:ascii="Simplified Arabic" w:eastAsia="Times New Roman" w:hAnsi="Simplified Arabic" w:cs="Simplified Arabic"/>
          <w:color w:val="1A1A1A"/>
          <w:sz w:val="28"/>
          <w:szCs w:val="28"/>
          <w14:ligatures w14:val="none"/>
        </w:rPr>
        <w:t xml:space="preserve">), duties attach to roles staff already hold, and no new bureaucratic layer is created at the bench — technicians execute rotation, records, and escalation within their technical capacity and never carry administrative authority. Second, </w:t>
      </w:r>
      <w:r w:rsidRPr="00DD1558">
        <w:rPr>
          <w:rFonts w:ascii="Simplified Arabic" w:eastAsia="Times New Roman" w:hAnsi="Simplified Arabic" w:cs="Simplified Arabic"/>
          <w:b/>
          <w:bCs/>
          <w:color w:val="1A1A1A"/>
          <w:sz w:val="28"/>
          <w:szCs w:val="28"/>
          <w14:ligatures w14:val="none"/>
        </w:rPr>
        <w:t>competence and awareness building</w:t>
      </w:r>
      <w:r w:rsidRPr="00DD1558">
        <w:rPr>
          <w:rFonts w:ascii="Simplified Arabic" w:eastAsia="Times New Roman" w:hAnsi="Simplified Arabic" w:cs="Simplified Arabic"/>
          <w:color w:val="1A1A1A"/>
          <w:sz w:val="28"/>
          <w:szCs w:val="28"/>
          <w14:ligatures w14:val="none"/>
        </w:rPr>
        <w:t xml:space="preserve"> as continuing practice rather than one-off training, per the clause 7.2–7.3 analogues of both standards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{"citationID":"Jvt8sbbx","properties":{"unsorted":false,"formattedCitation":"(14001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green-laboratory literature confirms that sustained awareness work, not rule density, changes laboratory routine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{"citationID":"qa1A6kpv","properties":{"unsorted":false,"formattedCitation":"(Fareed El-Tony &amp; Choo, 2024)","plainCitation":"(Fareed El-Tony &amp; Choo, 2024)","noteIndex":0},"citationItems":[{"id":435,"uris":["http://zotero.org/users/19711126/items/NNHSQEXA"],"itemData":{"id":435,"type":"article-journal","abstract":"This study aims to explore employee green behavior in higher education institution (HEI) laboratories in the Kingdom of Bahrain.A qualitative approach was used to explore the green behavior experiences of individuals working in HEI laboratories. In-depth interviews were conducted with nine participants selected via purposive sampling. Thematic analysis was performed on the collected data using ATLAS.ti 9 software.The analysis of the collected data identified five themes related to the green behavior in HEI laboratories. These themes, ranked in descending order of frequency, are conserving, avoiding harm, transforming, influencing others and taking initiative. The conserving theme accounted for one-third of the subcodes, as did the avoiding harm theme. The final one-third of subcodes was distributed among the remaining three themes.This study conducted virtual interviews and coincidentally interviewed only female participants. The findings contribute to the existing literature on the themes of green behavior among laboratory staff in HEIs and provide valuable insights for university managers and sustainability coordinators in shaping policies to promote environmentally friendly practices and address negative practices.Despite existing studies on environmental practices in various workplace settings, the exploration of green behavior in HEI laboratories in the Kingdom of Bahrain from the employee perspective remains limited. This study presents a significant opportunity for researchers to explore sustainability in HEI laboratories and for policymakers to develop corresponding strategies.","container-title":"International Journal of Sustainability in Higher Education","DOI":"10.1108/IJSHE-03-2024-0168","ISSN":"1467-6370","issue":"3","journalAbbreviation":"International Journal of Sustainability in Higher Education","page":"697-715","source":"Silverchair","title":"Employee green behavior in laboratories of higher education institutions: a qualitative study","title-short":"Employee green behavior in laboratories of higher education institutions","volume":"26","author":[{"family":"Fareed El-Tony","given":"Yossra"},{"family":"Choo","given":"Ling Suan"}],"issued":{"date-parts":[["2024",9,10]]}}}],"schema":"https://github.com/citation-style-language/schema/raw/master/csl-citation.json"}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(Fareed El-Tony &amp; Choo,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Third, a </w:t>
      </w:r>
      <w:r w:rsidRPr="00DD1558">
        <w:rPr>
          <w:rFonts w:ascii="Simplified Arabic" w:eastAsia="Times New Roman" w:hAnsi="Simplified Arabic" w:cs="Simplified Arabic"/>
          <w:b/>
          <w:bCs/>
          <w:color w:val="1A1A1A"/>
          <w:sz w:val="28"/>
          <w:szCs w:val="28"/>
          <w14:ligatures w14:val="none"/>
        </w:rPr>
        <w:t>communication structure</w:t>
      </w:r>
      <w:r w:rsidRPr="00DD1558">
        <w:rPr>
          <w:rFonts w:ascii="Simplified Arabic" w:eastAsia="Times New Roman" w:hAnsi="Simplified Arabic" w:cs="Simplified Arabic"/>
          <w:color w:val="1A1A1A"/>
          <w:sz w:val="28"/>
          <w:szCs w:val="28"/>
          <w14:ligatures w14:val="none"/>
        </w:rPr>
        <w:t xml:space="preserve"> per the clause 7.4 analogues: the Unit’s reporting makes displaced purchases, redistributions, and loan activity visible to participants, so the benefit side of the burden–benefit perception is continuously evidenced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{"citationID":"kpkVteU1","properties":{"unsorted":false,"formattedCitation":"(14001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7.4;</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{"citationID":"76b67CSF","properties":{"unsorted":false,"formattedCitation":"(22301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7.4;</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{"citationID":"oLbfADRn","properties":{"unsorted":false,"formattedCitation":"(Dean et al., 2024)","plainCitation":"(Dean et al., 2024)","noteIndex":0},"citationItems":[{"id":428,"uris":["http://zotero.org/users/19711126/items/QPV3FB5N"],"itemData":{"id":428,"type":"article-journal","abstract":"This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Fourth, </w:t>
      </w:r>
      <w:r w:rsidRPr="00DD1558">
        <w:rPr>
          <w:rFonts w:ascii="Simplified Arabic" w:eastAsia="Times New Roman" w:hAnsi="Simplified Arabic" w:cs="Simplified Arabic"/>
          <w:b/>
          <w:bCs/>
          <w:color w:val="1A1A1A"/>
          <w:sz w:val="28"/>
          <w:szCs w:val="28"/>
          <w14:ligatures w14:val="none"/>
        </w:rPr>
        <w:t xml:space="preserve">participation </w:t>
      </w:r>
      <w:r w:rsidRPr="00DD1558">
        <w:rPr>
          <w:rFonts w:ascii="Simplified Arabic" w:eastAsia="Times New Roman" w:hAnsi="Simplified Arabic" w:cs="Simplified Arabic"/>
          <w:b/>
          <w:bCs/>
          <w:color w:val="1A1A1A"/>
          <w:sz w:val="28"/>
          <w:szCs w:val="28"/>
          <w14:ligatures w14:val="none"/>
        </w:rPr>
        <w:lastRenderedPageBreak/>
        <w:t>as resistance management</w:t>
      </w:r>
      <w:r w:rsidRPr="00DD1558">
        <w:rPr>
          <w:rFonts w:ascii="Simplified Arabic" w:eastAsia="Times New Roman" w:hAnsi="Simplified Arabic" w:cs="Simplified Arabic"/>
          <w:color w:val="1A1A1A"/>
          <w:sz w:val="28"/>
          <w:szCs w:val="28"/>
          <w14:ligatures w14:val="none"/>
        </w:rPr>
        <w:t xml:space="preserve">: the evidence indicates that staff resist less when they hold genuine, bounded voice in a reform’s operation — precisely what the escalation duty gives the operational level, a formal channel into governance without decision rights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{"citationID":"fyZ4ZPPh","properties":{"unsorted":false,"formattedCitation":"(Gestel &amp; Grotenbreg, 2021; Lopes &amp; Farias, 2022; Sung &amp; Kim, 2021; Vlachopoulos, 2021)","plainCitation":"(Gestel &amp; Grotenbreg, 2021; Lopes &amp; Farias, 2022; Sung &amp; Kim, 2021; Vlachopoulos, 2021)","noteIndex":0},"citationItems":[{"id":517,"uris":["http://zotero.org/users/19711126/items/7LQEB697"],"itemData":{"id":517,"type":"article-journal","abstract":"Collaborative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(Gestel &amp; Grotenbreg, 2021; Lopes &amp; Farias, 2022; Sung &amp; Kim, 2021;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06E9E2DB"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three failure modes share one property the framework exploits: each is </w:t>
      </w:r>
      <w:r w:rsidRPr="00DD1558">
        <w:rPr>
          <w:rFonts w:ascii="Simplified Arabic" w:eastAsia="Times New Roman" w:hAnsi="Simplified Arabic" w:cs="Simplified Arabic"/>
          <w:b/>
          <w:bCs/>
          <w:color w:val="1A1A1A"/>
          <w:sz w:val="28"/>
          <w:szCs w:val="28"/>
          <w14:ligatures w14:val="none"/>
        </w:rPr>
        <w:t>detectable before it is fatal</w:t>
      </w:r>
      <w:r w:rsidRPr="00DD1558">
        <w:rPr>
          <w:rFonts w:ascii="Simplified Arabic" w:eastAsia="Times New Roman" w:hAnsi="Simplified Arabic" w:cs="Simplified Arabic"/>
          <w:color w:val="1A1A1A"/>
          <w:sz w:val="28"/>
          <w:szCs w:val="28"/>
          <w14:ligatures w14:val="none"/>
        </w:rPr>
        <w:t xml:space="preserve">. Inertia appears as ratification delay (RR-01 against gate G1); silo behavior as withheld onboarding (RR-02 and RR-03 against gates G1–G2); fatigue as audit findings, data decay, and bypassed checks (RR-05, RR-07, RR-09 under standing surveillance by EB1 and EB2). Change management is therefore not a parallel program bolted onto the roadmap but the roadmap’s risk register read from the human side — and the Board’s termly review is where the two readings meet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{"citationID":"m0CpRYaN","properties":{"unsorted":false,"formattedCitation":"(Hopkin, 2018; 31000 ISO/IEC, 2018)","plainCitation":"(Hopkin, 2018; 31000 ISO/IEC,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5B09BD0" w14:textId="06D235BB" w:rsidR="00DD1558" w:rsidRPr="00DD1558" w:rsidRDefault="00DD1558" w:rsidP="00DD1558">
      <w:pPr>
        <w:bidi w:val="0"/>
        <w:spacing w:line="240" w:lineRule="auto"/>
        <w:jc w:val="both"/>
        <w:rPr>
          <w:rFonts w:ascii="Simplified Arabic" w:hAnsi="Simplified Arabic" w:cs="Simplified Arabic"/>
          <w:sz w:val="28"/>
          <w:szCs w:val="28"/>
        </w:rPr>
      </w:pPr>
      <w:r w:rsidRPr="00DD1558">
        <w:rPr>
          <w:rFonts w:ascii="Simplified Arabic" w:hAnsi="Simplified Arabic" w:cs="Simplified Arabic"/>
          <w:b/>
          <w:bCs/>
          <w:sz w:val="28"/>
          <w:szCs w:val="28"/>
        </w:rPr>
        <w:t>Phase 2 synthesis.</w:t>
      </w:r>
      <w:r w:rsidRPr="00DD1558">
        <w:rPr>
          <w:rFonts w:ascii="Simplified Arabic" w:hAnsi="Simplified Arabic" w:cs="Simplified Arabic"/>
          <w:sz w:val="28"/>
          <w:szCs w:val="28"/>
        </w:rPr>
        <w:t xml:space="preserve"> </w:t>
      </w:r>
      <w:hyperlink w:anchor="Phase2" w:history="1">
        <w:r w:rsidRPr="00935DA7">
          <w:rPr>
            <w:rStyle w:val="Hyperlink"/>
            <w:rFonts w:ascii="Simplified Arabic" w:hAnsi="Simplified Arabic" w:cs="Simplified Arabic"/>
            <w:sz w:val="28"/>
            <w:szCs w:val="28"/>
          </w:rPr>
          <w:t>Phase 2</w:t>
        </w:r>
      </w:hyperlink>
      <w:r w:rsidRPr="00DD1558">
        <w:rPr>
          <w:rFonts w:ascii="Simplified Arabic" w:hAnsi="Simplified Arabic" w:cs="Simplified Arabic"/>
          <w:sz w:val="28"/>
          <w:szCs w:val="28"/>
        </w:rPr>
        <w:t xml:space="preserve"> set out to subject the </w:t>
      </w:r>
      <w:hyperlink w:anchor="Phase1" w:history="1">
        <w:r w:rsidRPr="00935DA7">
          <w:rPr>
            <w:rStyle w:val="Hyperlink"/>
            <w:rFonts w:ascii="Simplified Arabic" w:hAnsi="Simplified Arabic" w:cs="Simplified Arabic"/>
            <w:sz w:val="28"/>
            <w:szCs w:val="28"/>
          </w:rPr>
          <w:t>Phase 1</w:t>
        </w:r>
      </w:hyperlink>
      <w:r w:rsidRPr="00DD1558">
        <w:rPr>
          <w:rFonts w:ascii="Simplified Arabic" w:hAnsi="Simplified Arabic" w:cs="Simplified Arabic"/>
          <w:sz w:val="28"/>
          <w:szCs w:val="28"/>
        </w:rPr>
        <w:t xml:space="preserve"> design to evaluation before recommending adoption, and it closes with an interlocked answer. The feasibility assessment (Section 4) delivered a conditionally strong verdict whose conditions were named as the readiness gates G1–G4, answering research sub-question 2. The classified risk register (</w:t>
      </w:r>
      <w:hyperlink w:anchor="section292" w:history="1">
        <w:r w:rsidR="000A422D" w:rsidRPr="006C091A">
          <w:rPr>
            <w:rStyle w:val="Hyperlink"/>
            <w:rFonts w:ascii="Simplified Arabic" w:hAnsi="Simplified Arabic" w:cs="Simplified Arabic"/>
            <w:sz w:val="28"/>
            <w:szCs w:val="28"/>
          </w:rPr>
          <w:t>Section 2.9.2</w:t>
        </w:r>
      </w:hyperlink>
      <w:r w:rsidRPr="00DD1558">
        <w:rPr>
          <w:rFonts w:ascii="Simplified Arabic" w:hAnsi="Simplified Arabic" w:cs="Simplified Arabic"/>
          <w:sz w:val="28"/>
          <w:szCs w:val="28"/>
        </w:rPr>
        <w:t>) derived fifteen traceable risks from the Bow-Tie architecture and the change literature, classified them under the FIRM taxonomy, and assigned each an owner and a barrier-reinforcing mitigation, completing the risk-classification component of research sub-question 2. The KPI dashboard (</w:t>
      </w:r>
      <w:hyperlink w:anchor="section417" w:history="1">
        <w:r w:rsidR="000F1211" w:rsidRPr="006C091A">
          <w:rPr>
            <w:rStyle w:val="Hyperlink"/>
            <w:rFonts w:ascii="Simplified Arabic" w:hAnsi="Simplified Arabic" w:cs="Simplified Arabic"/>
            <w:sz w:val="28"/>
            <w:szCs w:val="28"/>
          </w:rPr>
          <w:t>Section 4.1.7</w:t>
        </w:r>
      </w:hyperlink>
      <w:r w:rsidRPr="00DD1558">
        <w:rPr>
          <w:rFonts w:ascii="Simplified Arabic" w:hAnsi="Simplified Arabic" w:cs="Simplified Arabic"/>
          <w:sz w:val="28"/>
          <w:szCs w:val="28"/>
        </w:rPr>
        <w:t xml:space="preserve">) converted the framework’s load-bearing controls into defined indicators, completing the performance-indicator component of research sub-question 3 and operationalizing measurement-and-review without fabricating data. The present section has sequenced adoption as the ordered passage of the gates along the maturity trajectory, discharged and held the register’s risks at their proper checkpoints, and specified the change-management operation of sponsorship, custodian protection, and proportionate procedure — answering research </w:t>
      </w:r>
      <w:r w:rsidRPr="00DD1558">
        <w:rPr>
          <w:rFonts w:ascii="Simplified Arabic" w:hAnsi="Simplified Arabic" w:cs="Simplified Arabic"/>
          <w:sz w:val="28"/>
          <w:szCs w:val="28"/>
        </w:rPr>
        <w:lastRenderedPageBreak/>
        <w:t xml:space="preserve">sub-question 4’s implementation component and completing Objective O4. Together, the framework, the feasibility verdict, the register, the dashboard, and the roadmap constitute a single governance loop — design, evaluation, risk control, monitoring, staged adoption — through which the College of Science can move its laboratory inventory regime from Inform/Conform toward Perform under evidence rather than assertion. The thesis is thereby positioned for its subsequent phases: institutional deliberation on ratification, and, should the gates be passed, the digital platform consideration that gate G4 deliberately reserves for a mature organization </w:t>
      </w:r>
      <w:r w:rsidRPr="00DD1558">
        <w:rPr>
          <w:rFonts w:ascii="Simplified Arabic" w:hAnsi="Simplified Arabic" w:cs="Simplified Arabic"/>
          <w:sz w:val="28"/>
          <w:szCs w:val="28"/>
        </w:rPr>
        <w:fldChar w:fldCharType="begin"/>
      </w:r>
      <w:r w:rsidRPr="00DD1558">
        <w:rPr>
          <w:rFonts w:ascii="Simplified Arabic" w:hAnsi="Simplified Arabic" w:cs="Simplified Arabic"/>
          <w:sz w:val="28"/>
          <w:szCs w:val="28"/>
        </w:rPr>
        <w:instrText xml:space="preserve"> ADDIN ZOTERO_ITEM CSL_CITATION {"citationID":"WIGxlMlQ","properties":{"unsorted":false,"formattedCitation":"(Hillson, D. A., 1997; PMI, 2021; Rodr\\uc0\\u237{}guez-Abitia &amp; Bribiesca-Correa, 2021)","plainCitation":"(Hillson, D. A., 1997; PMI, 2021; Rodríguez-Abitia &amp; Bribiesca-Correa, 2021)","noteIndex":0},"citationItems":[{"id":540,"uris":["http://zotero.org/users/19711126/items/IB7NEYQH"],"itemData":{"id":540,"type":"report","title":"Towards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hAnsi="Simplified Arabic" w:cs="Simplified Arabic"/>
          <w:sz w:val="28"/>
          <w:szCs w:val="28"/>
        </w:rPr>
        <w:fldChar w:fldCharType="separate"/>
      </w:r>
      <w:r w:rsidRPr="00DD1558">
        <w:rPr>
          <w:rFonts w:ascii="Simplified Arabic" w:hAnsi="Simplified Arabic" w:cs="Simplified Arabic"/>
          <w:sz w:val="28"/>
        </w:rPr>
        <w:t>(Hillson, D. A., 1997; PMI, 2021; Rodríguez-Abitia &amp; Bribiesca-Correa, 2021)</w:t>
      </w:r>
      <w:r w:rsidRPr="00DD1558">
        <w:rPr>
          <w:rFonts w:ascii="Simplified Arabic" w:hAnsi="Simplified Arabic" w:cs="Simplified Arabic"/>
          <w:sz w:val="28"/>
          <w:szCs w:val="28"/>
        </w:rPr>
        <w:fldChar w:fldCharType="end"/>
      </w:r>
      <w:r w:rsidRPr="00DD1558">
        <w:rPr>
          <w:rFonts w:ascii="Simplified Arabic" w:hAnsi="Simplified Arabic" w:cs="Simplified Arabic"/>
          <w:sz w:val="28"/>
          <w:szCs w:val="28"/>
        </w:rPr>
        <w:t>.</w:t>
      </w:r>
    </w:p>
    <w:p w14:paraId="73565F00" w14:textId="77777777" w:rsidR="00DD1558" w:rsidRPr="00DD1558" w:rsidRDefault="00DD1558" w:rsidP="00DD1558">
      <w:pPr>
        <w:keepNext/>
        <w:keepLines/>
        <w:bidi w:val="0"/>
        <w:spacing w:before="160" w:after="80"/>
        <w:outlineLvl w:val="1"/>
        <w:rPr>
          <w:rFonts w:ascii="Simplified Arabic" w:eastAsiaTheme="majorEastAsia" w:hAnsi="Simplified Arabic" w:cs="Simplified Arabic"/>
          <w:b/>
          <w:sz w:val="28"/>
        </w:rPr>
      </w:pPr>
      <w:bookmarkStart w:id="193" w:name="section46"/>
      <w:bookmarkStart w:id="194" w:name="_Toc237539784"/>
      <w:bookmarkEnd w:id="193"/>
      <w:r w:rsidRPr="00DD1558">
        <w:rPr>
          <w:rFonts w:ascii="Simplified Arabic" w:eastAsiaTheme="majorEastAsia" w:hAnsi="Simplified Arabic" w:cstheme="majorBidi"/>
          <w:b/>
          <w:sz w:val="28"/>
          <w:szCs w:val="32"/>
        </w:rPr>
        <w:t>4.6 Executive Research Recommendations and Conclusion</w:t>
      </w:r>
      <w:bookmarkEnd w:id="194"/>
    </w:p>
    <w:p w14:paraId="538782D4" w14:textId="0853C70F" w:rsidR="00DD1558" w:rsidRPr="00DD1558" w:rsidRDefault="000B6195"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0B6195">
        <w:rPr>
          <w:rFonts w:ascii="Simplified Arabic" w:eastAsia="Times New Roman" w:hAnsi="Simplified Arabic" w:cs="Simplified Arabic"/>
          <w:color w:val="1A1A1A"/>
          <w:sz w:val="28"/>
          <w:szCs w:val="28"/>
          <w14:ligatures w14:val="none"/>
        </w:rPr>
        <w:t>This thesis moved from diagnosis to design, from design to evaluation, and from evaluation to sequencing: the decentralized laboratory inventory regime of a large public science faculty within a Saudi higher education institution was characterized as a Risk Maturity Gap</w:t>
      </w:r>
      <w:r>
        <w:rPr>
          <w:rFonts w:ascii="Simplified Arabic" w:eastAsia="Times New Roman" w:hAnsi="Simplified Arabic" w:cs="Simplified Arabic"/>
          <w:color w:val="1A1A1A"/>
          <w:sz w:val="28"/>
          <w:szCs w:val="28"/>
          <w14:ligatures w14:val="none"/>
        </w:rPr>
        <w:t xml:space="preserve"> </w:t>
      </w:r>
      <w:r w:rsidR="00DD1558" w:rsidRPr="00DD1558">
        <w:rPr>
          <w:rFonts w:ascii="Simplified Arabic" w:eastAsia="Times New Roman" w:hAnsi="Simplified Arabic" w:cs="Simplified Arabic"/>
          <w:color w:val="1A1A1A"/>
          <w:sz w:val="28"/>
          <w:szCs w:val="28"/>
          <w14:ligatures w14:val="none"/>
        </w:rPr>
        <w:t>(Section 1); an integrated framework was constructed to close it (</w:t>
      </w:r>
      <w:hyperlink w:anchor="section29" w:history="1">
        <w:r w:rsidR="0018617A" w:rsidRPr="006C091A">
          <w:rPr>
            <w:rStyle w:val="Hyperlink"/>
            <w:rFonts w:ascii="Simplified Arabic" w:eastAsia="Times New Roman" w:hAnsi="Simplified Arabic" w:cs="Simplified Arabic"/>
            <w:sz w:val="28"/>
            <w:szCs w:val="28"/>
            <w14:ligatures w14:val="none"/>
          </w:rPr>
          <w:t>Section 2.9</w:t>
        </w:r>
      </w:hyperlink>
      <w:r w:rsidR="00DD1558" w:rsidRPr="00DD1558">
        <w:rPr>
          <w:rFonts w:ascii="Simplified Arabic" w:eastAsia="Times New Roman" w:hAnsi="Simplified Arabic" w:cs="Simplified Arabic"/>
          <w:color w:val="1A1A1A"/>
          <w:sz w:val="28"/>
          <w:szCs w:val="28"/>
          <w14:ligatures w14:val="none"/>
        </w:rPr>
        <w:t>); a three-tier governance architecture was specified to operate it (</w:t>
      </w:r>
      <w:hyperlink w:anchor="section41" w:history="1">
        <w:r w:rsidR="00DD1558" w:rsidRPr="006C091A">
          <w:rPr>
            <w:rStyle w:val="Hyperlink"/>
            <w:rFonts w:ascii="Simplified Arabic" w:eastAsia="Times New Roman" w:hAnsi="Simplified Arabic" w:cs="Simplified Arabic"/>
            <w:sz w:val="28"/>
            <w:szCs w:val="28"/>
            <w14:ligatures w14:val="none"/>
          </w:rPr>
          <w:t xml:space="preserve">Section </w:t>
        </w:r>
        <w:r w:rsidR="006C091A" w:rsidRPr="006C091A">
          <w:rPr>
            <w:rStyle w:val="Hyperlink"/>
            <w:rFonts w:ascii="Simplified Arabic" w:eastAsia="Times New Roman" w:hAnsi="Simplified Arabic" w:cs="Simplified Arabic"/>
            <w:sz w:val="28"/>
            <w:szCs w:val="28"/>
            <w14:ligatures w14:val="none"/>
          </w:rPr>
          <w:t>4.1</w:t>
        </w:r>
      </w:hyperlink>
      <w:r w:rsidR="00DD1558" w:rsidRPr="00DD1558">
        <w:rPr>
          <w:rFonts w:ascii="Simplified Arabic" w:eastAsia="Times New Roman" w:hAnsi="Simplified Arabic" w:cs="Simplified Arabic"/>
          <w:color w:val="1A1A1A"/>
          <w:sz w:val="28"/>
          <w:szCs w:val="28"/>
          <w14:ligatures w14:val="none"/>
        </w:rPr>
        <w:t>); feasibility was assessed as conditionally strong, gated by readiness gates G1–G4 (Section 4); transition and operational risks were registered, classified, and owned (</w:t>
      </w:r>
      <w:hyperlink w:anchor="section292" w:history="1">
        <w:r w:rsidR="000A422D" w:rsidRPr="006C091A">
          <w:rPr>
            <w:rStyle w:val="Hyperlink"/>
            <w:rFonts w:ascii="Simplified Arabic" w:eastAsia="Times New Roman" w:hAnsi="Simplified Arabic" w:cs="Simplified Arabic"/>
            <w:sz w:val="28"/>
            <w:szCs w:val="28"/>
            <w14:ligatures w14:val="none"/>
          </w:rPr>
          <w:t>Section 2.9.2</w:t>
        </w:r>
      </w:hyperlink>
      <w:r w:rsidR="00DD1558" w:rsidRPr="00DD1558">
        <w:rPr>
          <w:rFonts w:ascii="Simplified Arabic" w:eastAsia="Times New Roman" w:hAnsi="Simplified Arabic" w:cs="Simplified Arabic"/>
          <w:color w:val="1A1A1A"/>
          <w:sz w:val="28"/>
          <w:szCs w:val="28"/>
          <w14:ligatures w14:val="none"/>
        </w:rPr>
        <w:t>); the barrier architecture was made observable through a defined dashboard (</w:t>
      </w:r>
      <w:hyperlink w:anchor="section417" w:history="1">
        <w:r w:rsidR="000F1211" w:rsidRPr="006C091A">
          <w:rPr>
            <w:rStyle w:val="Hyperlink"/>
            <w:rFonts w:ascii="Simplified Arabic" w:eastAsia="Times New Roman" w:hAnsi="Simplified Arabic" w:cs="Simplified Arabic"/>
            <w:sz w:val="28"/>
            <w:szCs w:val="28"/>
            <w14:ligatures w14:val="none"/>
          </w:rPr>
          <w:t>Section 4.1.7</w:t>
        </w:r>
      </w:hyperlink>
      <w:r w:rsidR="00DD1558" w:rsidRPr="00DD1558">
        <w:rPr>
          <w:rFonts w:ascii="Simplified Arabic" w:eastAsia="Times New Roman" w:hAnsi="Simplified Arabic" w:cs="Simplified Arabic"/>
          <w:color w:val="1A1A1A"/>
          <w:sz w:val="28"/>
          <w:szCs w:val="28"/>
          <w14:ligatures w14:val="none"/>
        </w:rPr>
        <w:t>); and adoption was sequenced as the ordered passage of the gates (</w:t>
      </w:r>
      <w:hyperlink w:anchor="Section416" w:history="1">
        <w:r w:rsidR="000F1211" w:rsidRPr="006C091A">
          <w:rPr>
            <w:rStyle w:val="Hyperlink"/>
            <w:rFonts w:ascii="Simplified Arabic" w:eastAsia="Times New Roman" w:hAnsi="Simplified Arabic" w:cs="Simplified Arabic"/>
            <w:sz w:val="28"/>
            <w:szCs w:val="28"/>
            <w14:ligatures w14:val="none"/>
          </w:rPr>
          <w:t>Section 4.1.6</w:t>
        </w:r>
      </w:hyperlink>
      <w:r w:rsidR="00DD1558" w:rsidRPr="00DD1558">
        <w:rPr>
          <w:rFonts w:ascii="Simplified Arabic" w:eastAsia="Times New Roman" w:hAnsi="Simplified Arabic" w:cs="Simplified Arabic"/>
          <w:color w:val="1A1A1A"/>
          <w:sz w:val="28"/>
          <w:szCs w:val="28"/>
          <w14:ligatures w14:val="none"/>
        </w:rPr>
        <w:t xml:space="preserve">). The present section converts that cumulative argument into executive guidance addressed to three named audiences, each recommendation anchored to a specific framework element — a gate, a barrier, a risk-register entry, or an indicator family. Consistent with the study’s binding methodology, no recommendation rests on empirical findings; each is a reasoned consequence of structural analysis, standards alignment, and verified literature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{"citationID":"BJGjzopR","properties":{"unsorted":false,"formattedCitation":"(Hillson, D. A., 1997; PMI, 2021)","plainCitation":"(Hillson, D. A., 1997; PMI, 2021)","noteIndex":0},"citationItems":[{"id":540,"uris":["http://zotero.org/users/19711126/items/IB7NEYQH"],"itemData":{"id":540,"type":"report","title":"Towards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(Hillson, D. A., 1997; PMI, 2021)</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p>
    <w:p w14:paraId="10B2D45D"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5" w:name="_Toc237539785"/>
      <w:r w:rsidRPr="00DD1558">
        <w:rPr>
          <w:rFonts w:ascii="Simplified Arabic" w:eastAsiaTheme="majorEastAsia" w:hAnsi="Simplified Arabic" w:cstheme="majorBidi"/>
          <w:sz w:val="28"/>
          <w:szCs w:val="28"/>
        </w:rPr>
        <w:lastRenderedPageBreak/>
        <w:t>4.6.1 Synthesis of the Study’s Argument</w:t>
      </w:r>
      <w:bookmarkEnd w:id="195"/>
    </w:p>
    <w:p w14:paraId="3789A2FE"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thesis opened with a reframing: laboratory inventory failure is a governance problem with an inventory attached. Section 1 characterized the prevailing decentralized regime — each department keeping its own records, requisitions, and stock, with no shared visibility, no inter-laboratory coordination policy, and no standardized data structure — and derived its structural consequences: duplicate purchasing by default, depressed asset utilization, expired-chemical accumulation, and the absence of any organizational baseline for digitalization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{"citationID":"bGe0OxAI","properties":{"unsorted":false,"formattedCitation":"(Rodr\\uc0\\u237{}guez-Abitia &amp; Bribiesca-Correa, 2021; Strom et al., 2020; Tu &amp; Greever-Wilson, 2025)","plainCitation":"(Rodríguez-Abitia &amp; Bribiesca-Correa, 2021; Strom et al., 2020; Tu &amp; Greever-Wilson, 2025)","noteIndex":0},"citationItems":[{"id":498,"uris":["http://zotero.org/users/19711126/items/6ISTLX2A"],"itemData":{"id":498,"type":"article-journal","abstract":"Industry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514,"uris":["http://zotero.org/users/19711126/items/JNQJSXYF"],"itemData":{"id":514,"type":"article-journal","abstract":"Research funders can play a transformative role in reducing the environmental footprint of science without compromising its quality or productivity. Scientific research is among the most energy- and resource-intensive sectors globally, with its carbon footprint estimated to rival that of the aviation industry—contributing approximately 2 % of global greenhouse gas emissions. Yet the organizations that fund scientific research, particularly in the United States, structurally disincentivize sustainability, often rewarding waste rather than resource efficiency. We highlight how this is beginning to change across Europe, where major funding agencies are leading a growing movement to embed sustainability into research operations—from including environmental impact assessments in grant proposals to supporting green lab certification programs. These policies are on track to accelerate operational efficiency, reduce costs, and align research practices with climate action goals. Finally, we outline specific policy reforms and practical steps that researchers, institutions, and funders everywhere can adopt to build a more sustainable future for science—one where environmental stewardship is a core expectation of research.","container-title":"Clinical Biochemistry","DOI":"10.1016/j.clinbiochem.2025.110987","ISSN":"0009-9120","journalAbbreviation":"Clinical Biochemistry","page":"110987","source":"ScienceDirect","title":"Rethinking research funding through a sustainability Lens","volume":"139","author":[{"family":"Tu","given":"Kevin J."},{"family":"Greever-Wilson","given":"Christina"}],"issued":{"date-parts":[["2025",10,1]]}}}],"schema":"https://github.com/citation-style-language/schema/raw/master/csl-citation.json"}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(Rodríguez-Abitia &amp; Bribiesca-Correa, 2021; Strom et al., 2020; Tu &amp; Greever-Wilson,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Read against the adapted three-band maturity trajectory — </w:t>
      </w:r>
      <w:r w:rsidRPr="00DD1558">
        <w:rPr>
          <w:rFonts w:ascii="Simplified Arabic" w:eastAsia="Times New Roman" w:hAnsi="Simplified Arabic" w:cs="Simplified Arabic"/>
          <w:i/>
          <w:iCs/>
          <w:color w:val="1A1A1A"/>
          <w:sz w:val="28"/>
          <w:szCs w:val="28"/>
          <w14:ligatures w14:val="none"/>
        </w:rPr>
        <w:t>Inform/Conform</w:t>
      </w:r>
      <w:r w:rsidRPr="00DD1558">
        <w:rPr>
          <w:rFonts w:ascii="Simplified Arabic" w:eastAsia="Times New Roman" w:hAnsi="Simplified Arabic" w:cs="Simplified Arabic"/>
          <w:color w:val="1A1A1A"/>
          <w:sz w:val="28"/>
          <w:szCs w:val="28"/>
          <w14:ligatures w14:val="none"/>
        </w:rPr>
        <w:t xml:space="preserve"> </w:t>
      </w:r>
      <w:r w:rsidRPr="00DD1558">
        <w:rPr>
          <w:rFonts w:ascii="Times New Roman" w:eastAsia="Times New Roman" w:hAnsi="Times New Roman" w:cs="Times New Roman"/>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Managed/Normalized</w:t>
      </w:r>
      <w:r w:rsidRPr="00DD1558">
        <w:rPr>
          <w:rFonts w:ascii="Simplified Arabic" w:eastAsia="Times New Roman" w:hAnsi="Simplified Arabic" w:cs="Simplified Arabic"/>
          <w:color w:val="1A1A1A"/>
          <w:sz w:val="28"/>
          <w:szCs w:val="28"/>
          <w14:ligatures w14:val="none"/>
        </w:rPr>
        <w:t xml:space="preserve"> </w:t>
      </w:r>
      <w:r w:rsidRPr="00DD1558">
        <w:rPr>
          <w:rFonts w:ascii="Times New Roman" w:eastAsia="Times New Roman" w:hAnsi="Times New Roman" w:cs="Times New Roman"/>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Perform</w:t>
      </w:r>
      <w:r w:rsidRPr="00DD1558">
        <w:rPr>
          <w:rFonts w:ascii="Simplified Arabic" w:eastAsia="Times New Roman" w:hAnsi="Simplified Arabic" w:cs="Simplified Arabic"/>
          <w:color w:val="1A1A1A"/>
          <w:sz w:val="28"/>
          <w:szCs w:val="28"/>
          <w14:ligatures w14:val="none"/>
        </w:rPr>
        <w:t xml:space="preserve">, declared as adapted terminology anchored to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{"citationID":"bcG5ukAw","properties":{"unsorted":false,"formattedCitation":"(Hillson,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levels and the CMMI/ISO capability scale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{"citationID":"O3B6e4Lc","properties":{"unsorted":false,"formattedCitation":"(Paulk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the regime sits in the Inform/Conform band while the institution’s Vision 2030 and ISO-aligned ambitions presuppose Perform. That distance is the Risk Maturity Gap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{"citationID":"nQtLlRk6","properties":{"unsorted":false,"formattedCitation":"(Alamoudi et al., 2023; Bellantuono et al., 2021)","plainCitation":"(Alamoudi et al., 2023; Bellantuono et al., 2021)","noteIndex":0},"citationItems":[{"id":397,"uris":["http://zotero.org/users/19711126/items/NXW23TK2"],"itemData":{"id":397,"type":"article-journal","abstract":"Cities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Bellantuono et al.,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63EAE62" w14:textId="1398C580" w:rsidR="00DD1558" w:rsidRPr="00DD1558" w:rsidRDefault="0018617A" w:rsidP="00DD1558">
      <w:pPr>
        <w:bidi w:val="0"/>
        <w:spacing w:before="180" w:line="240" w:lineRule="auto"/>
        <w:jc w:val="both"/>
        <w:rPr>
          <w:rFonts w:ascii="Simplified Arabic" w:eastAsia="Times New Roman" w:hAnsi="Simplified Arabic" w:cs="Simplified Arabic"/>
          <w:color w:val="1A1A1A"/>
          <w:sz w:val="28"/>
          <w:szCs w:val="28"/>
          <w14:ligatures w14:val="none"/>
        </w:rPr>
      </w:pPr>
      <w:hyperlink w:anchor="section291" w:history="1">
        <w:r w:rsidRPr="006C091A">
          <w:rPr>
            <w:rStyle w:val="Hyperlink"/>
            <w:rFonts w:ascii="Simplified Arabic" w:eastAsia="Times New Roman" w:hAnsi="Simplified Arabic" w:cs="Simplified Arabic"/>
            <w:sz w:val="28"/>
            <w:szCs w:val="28"/>
            <w14:ligatures w14:val="none"/>
          </w:rPr>
          <w:t>Section 2.9.1</w:t>
        </w:r>
      </w:hyperlink>
      <w:r w:rsidR="00DD1558" w:rsidRPr="00DD1558">
        <w:rPr>
          <w:rFonts w:ascii="Simplified Arabic" w:eastAsia="Times New Roman" w:hAnsi="Simplified Arabic" w:cs="Simplified Arabic"/>
          <w:color w:val="1A1A1A"/>
          <w:sz w:val="28"/>
          <w:szCs w:val="28"/>
          <w14:ligatures w14:val="none"/>
        </w:rPr>
        <w:t xml:space="preserve"> converted the diagnosis into an integrated framework of five analytical lenses: the adapted maturity model diagnosing capability; Bow-Tie analysis structuring threat–barrier–consequence pathways around two adapted Top Events — chemical expiration (TE1) and chronic asset underutilization (TE2) — with prevention barriers PB1–PB3, mitigation barriers MB1–MB3, and escalation-factor barriers EB1–EB3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{"citationID":"wrEUorRY","properties":{"unsorted":false,"formattedCitation":"(31010 ISO/IEC, 2019; Johnson et al., 2018)","plainCitation":"(31010 ISO/IEC, 2019; Johnson et al., 2018)","noteIndex":0},"citationItems":[{"id":541,"uris":["http://zotero.org/users/19711126/items/K94YEEKI"],"itemData":{"id":541,"type":"standard","title":"ISO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(31010 ISO/IEC, 2019; Johnson et al., 2018)</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ISO 22301:2019 framing shared visibility and inter-lab loans as continuity strategies protecting prioritized activities through business impact analysis (BIA) and minimum acceptable capacity reasoning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{"citationID":"ytVmyjKW","properties":{"unsorted":false,"formattedCitation":"(22301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(22301 ISO/IEC, 2019)</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ISO 14001:2015, read with the university social responsibility (USR) literature, framing environmental and reputational outcomes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{"citationID":"6MZ1mKtY","properties":{"unsorted":false,"formattedCitation":"(Ali et al., 2021; 14001 ISO/IEC, 2015)","plainCitation":"(Ali et al., 2021; 14001 ISO/IEC,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(Ali et al., 2021; 14001 ISO/IEC, 2015)</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and the FIRM Scorecard used strictly as a classification taxonomy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{"citationID":"HweWu9vQ","properties":{"unsorted":false,"formattedCitation":"(Hopkin,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(Hopkin, 2018)</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w:t>
      </w:r>
      <w:hyperlink w:anchor="section41" w:history="1">
        <w:r w:rsidR="00DD1558" w:rsidRPr="006C091A">
          <w:rPr>
            <w:rStyle w:val="Hyperlink"/>
            <w:rFonts w:ascii="Simplified Arabic" w:eastAsia="Times New Roman" w:hAnsi="Simplified Arabic" w:cs="Simplified Arabic"/>
            <w:sz w:val="28"/>
            <w:szCs w:val="28"/>
            <w14:ligatures w14:val="none"/>
          </w:rPr>
          <w:t xml:space="preserve">Section </w:t>
        </w:r>
        <w:r w:rsidR="006C091A" w:rsidRPr="006C091A">
          <w:rPr>
            <w:rStyle w:val="Hyperlink"/>
            <w:rFonts w:ascii="Simplified Arabic" w:eastAsia="Times New Roman" w:hAnsi="Simplified Arabic" w:cs="Simplified Arabic"/>
            <w:sz w:val="28"/>
            <w:szCs w:val="28"/>
            <w14:ligatures w14:val="none"/>
          </w:rPr>
          <w:t>4.1</w:t>
        </w:r>
      </w:hyperlink>
      <w:r w:rsidR="00DD1558" w:rsidRPr="00DD1558">
        <w:rPr>
          <w:rFonts w:ascii="Simplified Arabic" w:eastAsia="Times New Roman" w:hAnsi="Simplified Arabic" w:cs="Simplified Arabic"/>
          <w:color w:val="1A1A1A"/>
          <w:sz w:val="28"/>
          <w:szCs w:val="28"/>
          <w14:ligatures w14:val="none"/>
        </w:rPr>
        <w:t xml:space="preserve"> answered the question the Bow-Tie method itself poses — who owns each barrier, and </w:t>
      </w:r>
      <w:r w:rsidR="00DD1558" w:rsidRPr="00DD1558">
        <w:rPr>
          <w:rFonts w:ascii="Simplified Arabic" w:eastAsia="Times New Roman" w:hAnsi="Simplified Arabic" w:cs="Simplified Arabic"/>
          <w:color w:val="1A1A1A"/>
          <w:sz w:val="28"/>
          <w:szCs w:val="28"/>
          <w14:ligatures w14:val="none"/>
        </w:rPr>
        <w:lastRenderedPageBreak/>
        <w:t>with what authority — by specifying the Academic Inventory Governance Board, the Technical Standardization Committee, and the Digital Supply Chain Unit, with laboratory technicians executing bounded operational workflows under an explicit non-authority clause, the whole bound together by the Inter-Lab Policy Framework governing temporary asset loans and First-Expired-First-Out (FEFO) chemical redistribution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{"citationID":"p5ATmk8H","properties":{"unsorted":false,"formattedCitation":"(Ahn &amp; Baldwin, 2024; Gestel &amp; Grotenbreg, 2021)","plainCitation":"(Ahn &amp; Baldwin, 2024; Gestel &amp; Grotenbreg, 2021)","noteIndex":0},"citationItems":[{"id":392,"uris":["http://zotero.org/users/19711126/items/875J4EC5"],"itemData":{"id":392,"type":"article-journal","abstract":"Collaborative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(Ahn &amp; Baldwin, 2024; Gestel &amp; Grotenbreg, 2021)</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{"citationID":"Xa3RZS7O","properties":{"unsorted":false,"formattedCitation":"(14001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(14001 ISO/IEC, 2015)</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clause 5.3;</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{"citationID":"Mn4gwaGF","properties":{"unsorted":false,"formattedCitation":"(22301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(22301 ISO/IEC, 2019)</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clause 5.3).</w:t>
      </w:r>
    </w:p>
    <w:p w14:paraId="1DB4C3B7" w14:textId="6B62DA65"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Section 4 assessed the design across organizational, financial, technical, and environmental dimensions and delivered the verdict of </w:t>
      </w:r>
      <w:r w:rsidRPr="00DD1558">
        <w:rPr>
          <w:rFonts w:ascii="Simplified Arabic" w:eastAsia="Times New Roman" w:hAnsi="Simplified Arabic" w:cs="Simplified Arabic"/>
          <w:b/>
          <w:bCs/>
          <w:color w:val="1A1A1A"/>
          <w:sz w:val="28"/>
          <w:szCs w:val="28"/>
          <w14:ligatures w14:val="none"/>
        </w:rPr>
        <w:t>conditionally strong</w:t>
      </w:r>
      <w:r w:rsidRPr="00DD1558">
        <w:rPr>
          <w:rFonts w:ascii="Simplified Arabic" w:eastAsia="Times New Roman" w:hAnsi="Simplified Arabic" w:cs="Simplified Arabic"/>
          <w:color w:val="1A1A1A"/>
          <w:sz w:val="28"/>
          <w:szCs w:val="28"/>
          <w14:ligatures w14:val="none"/>
        </w:rPr>
        <w:t xml:space="preserve"> feasibility: no sub-criterion infeasible, every Conditional rating naming a condition within the college’s own authority, and the single Contingent element — the smart-inventory platform — deliberately peripheral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{"citationID":"j5UsfZbb","properties":{"unsorted":false,"formattedCitation":"(Carpitella &amp; Izquierdo, 2025; PMI, 2021)","plainCitation":"(Carpitella &amp; Izquierdo, 2025; PMI, 2021)","noteIndex":0},"citationItems":[{"id":419,"uris":["http://zotero.org/users/19711126/items/TZRZHV7D"],"itemData":{"id":419,"type":"article-journal","abstract":"This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 PMI,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conditions consolidated into four gates: G1 policy ratification, G2 data readiness, G3 pilot workflow integrity, and G4 digital platform readiness. </w:t>
      </w:r>
      <w:hyperlink w:anchor="section292" w:history="1">
        <w:r w:rsidR="000A422D" w:rsidRPr="006C091A">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registered fifteen risks (RR-01–RR-15) — six transition and nine standing operational — classified under FIRM, prioritized in verbal bands, and each assigned an owner and a barrier-reinforcing mitigation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{"citationID":"cX5GBGm7","properties":{"unsorted":false,"formattedCitation":"(Hopkin, 2018; 31000 ISO/IEC, 2018)","plainCitation":"(Hopkin, 2018; 31000 ISO/IEC,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 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hyperlink w:anchor="section417" w:history="1">
        <w:r w:rsidR="000F1211" w:rsidRPr="006C091A">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 xml:space="preserve"> defined a fourteen-indicator dashboard — operational KPIs O1–O4, environmental KPIs E1–E4, governance KPIs G1–G6 — under the definition-before-data principle: fully specified, with no baseline, numeric target, or result asserted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{"citationID":"ZJYiPuUb","properties":{"unsorted":false,"formattedCitation":"(14001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{"citationID":"7E8hWbp4","properties":{"unsorted":false,"formattedCitation":"(22301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9.1). </w:t>
      </w:r>
      <w:hyperlink w:anchor="Section416" w:history="1">
        <w:r w:rsidR="000F1211" w:rsidRPr="006C091A">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 xml:space="preserve"> sequenced adoption in four phases — policy ratification (months 1–2, G1); catalog standardization and data onboarding (months 3–4, G2); the Biology Department pilot (months 5–6, G3); and college-wide scaling with the platform gate held on demonstrated maturity (continuous, G4) — discharging transition risks at their gates and governing operational risks through the standing dashboard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{"citationID":"E4mSx1vo","properties":{"unsorted":false,"formattedCitation":"(PMI, 2021; Takagi et al., 2024)","plainCitation":"(PMI, 2021; Takagi et al., 2024)","noteIndex":0},"citationItems":[{"id":490,"uris":["http://zotero.org/users/19711126/items/LY4H4ZEI"],"itemData":{"id":490,"type":"book","abstract":"PMBOK®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(PMI, 2021;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AC4FC5A" w14:textId="69E48378"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lastRenderedPageBreak/>
        <w:t xml:space="preserve">Read against the research questions and objectives of Section </w:t>
      </w:r>
      <w:hyperlink w:anchor="section14" w:history="1">
        <w:r w:rsidRPr="006C091A">
          <w:rPr>
            <w:rStyle w:val="Hyperlink"/>
            <w:rFonts w:ascii="Simplified Arabic" w:eastAsia="Times New Roman" w:hAnsi="Simplified Arabic" w:cs="Simplified Arabic"/>
            <w:sz w:val="28"/>
            <w:szCs w:val="28"/>
            <w14:ligatures w14:val="none"/>
          </w:rPr>
          <w:t>1.4</w:t>
        </w:r>
      </w:hyperlink>
      <w:r w:rsidRPr="00DD1558">
        <w:rPr>
          <w:rFonts w:ascii="Simplified Arabic" w:eastAsia="Times New Roman" w:hAnsi="Simplified Arabic" w:cs="Simplified Arabic"/>
          <w:color w:val="1A1A1A"/>
          <w:sz w:val="28"/>
          <w:szCs w:val="28"/>
          <w14:ligatures w14:val="none"/>
        </w:rPr>
        <w:t>–</w:t>
      </w:r>
      <w:hyperlink w:anchor="section15" w:history="1">
        <w:r w:rsidRPr="006C091A">
          <w:rPr>
            <w:rStyle w:val="Hyperlink"/>
            <w:rFonts w:ascii="Simplified Arabic" w:eastAsia="Times New Roman" w:hAnsi="Simplified Arabic" w:cs="Simplified Arabic"/>
            <w:sz w:val="28"/>
            <w:szCs w:val="28"/>
            <w14:ligatures w14:val="none"/>
          </w:rPr>
          <w:t>1.5</w:t>
        </w:r>
      </w:hyperlink>
      <w:r w:rsidRPr="00DD1558">
        <w:rPr>
          <w:rFonts w:ascii="Simplified Arabic" w:eastAsia="Times New Roman" w:hAnsi="Simplified Arabic" w:cs="Simplified Arabic"/>
          <w:color w:val="1A1A1A"/>
          <w:sz w:val="28"/>
          <w:szCs w:val="28"/>
          <w14:ligatures w14:val="none"/>
        </w:rPr>
        <w:t>, the argument resolves as follows:</w:t>
      </w:r>
    </w:p>
    <w:p w14:paraId="3211DD5E" w14:textId="77777777"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RQ1 / O1:</w:t>
      </w:r>
      <w:r w:rsidRPr="00DD1558">
        <w:rPr>
          <w:rFonts w:ascii="Simplified Arabic" w:eastAsia="Cambria" w:hAnsi="Simplified Arabic" w:cs="Simplified Arabic"/>
          <w:color w:val="212121"/>
          <w:sz w:val="28"/>
          <w:szCs w:val="28"/>
          <w14:ligatures w14:val="none"/>
        </w:rPr>
        <w:t xml:space="preserve"> The decentralized regime can be characterized structurally as an Inform/Conform-band governance failure whose waste consequences and absent digitalization baseline are predictable outcomes of organizational design, not individual failure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{"citationID":"UtsbUPmT","properties":{"unsorted":false,"formattedCitation":"(Hillson,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(Hillson, D. A., 1997)</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Section 1).</w:t>
      </w:r>
    </w:p>
    <w:p w14:paraId="72661C5D" w14:textId="18984884"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RQ2 / O2:</w:t>
      </w:r>
      <w:r w:rsidRPr="00DD1558">
        <w:rPr>
          <w:rFonts w:ascii="Simplified Arabic" w:eastAsia="Cambria" w:hAnsi="Simplified Arabic" w:cs="Simplified Arabic"/>
          <w:color w:val="212121"/>
          <w:sz w:val="28"/>
          <w:szCs w:val="28"/>
          <w14:ligatures w14:val="none"/>
        </w:rPr>
        <w:t xml:space="preserve"> Feasibility can be assessed qualitatively across four dimensions through structural analysis, standards conformity, and documented practice, yielding a conditionally strong verdict gated by G1–G4, and risks can be classified and prioritized without numeric scoring through Bow-Tie derivation, FIRM classification, and barrier-relative verbal bands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{"citationID":"lMQt04CZ","properties":{"unsorted":false,"formattedCitation":"(Hopkin, 2018; 31010 ISO/IEC, 2019)","plainCitation":"(Hopkin, 2018; 31010 ISO/IEC, 2019)","noteIndex":0},"citationItems":[{"id":452,"uris":["http://zotero.org/users/19711126/items/B5VQ2QLG"],"itemData":{"id":452,"type":"book","abstract":"This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(Hopkin, 2018; 31010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Sections </w:t>
      </w:r>
      <w:hyperlink w:anchor="section42" w:history="1">
        <w:r w:rsidRPr="0093358C">
          <w:rPr>
            <w:rStyle w:val="Hyperlink"/>
            <w:rFonts w:ascii="Simplified Arabic" w:eastAsia="Cambria" w:hAnsi="Simplified Arabic" w:cs="Simplified Arabic"/>
            <w:sz w:val="28"/>
            <w:szCs w:val="28"/>
            <w14:ligatures w14:val="none"/>
          </w:rPr>
          <w:t>4</w:t>
        </w:r>
        <w:r w:rsidR="0093358C" w:rsidRPr="0093358C">
          <w:rPr>
            <w:rStyle w:val="Hyperlink"/>
            <w:rFonts w:ascii="Simplified Arabic" w:eastAsia="Cambria" w:hAnsi="Simplified Arabic" w:cs="Simplified Arabic"/>
            <w:sz w:val="28"/>
            <w:szCs w:val="28"/>
            <w14:ligatures w14:val="none"/>
          </w:rPr>
          <w:t>.2</w:t>
        </w:r>
      </w:hyperlink>
      <w:r w:rsidR="0093358C">
        <w:rPr>
          <w:rFonts w:ascii="Simplified Arabic" w:eastAsia="Cambria" w:hAnsi="Simplified Arabic" w:cs="Simplified Arabic"/>
          <w:color w:val="212121"/>
          <w:sz w:val="28"/>
          <w:szCs w:val="28"/>
          <w14:ligatures w14:val="none"/>
        </w:rPr>
        <w:t xml:space="preserve"> </w:t>
      </w:r>
      <w:r w:rsidRPr="00DD1558">
        <w:rPr>
          <w:rFonts w:ascii="Simplified Arabic" w:eastAsia="Cambria" w:hAnsi="Simplified Arabic" w:cs="Simplified Arabic"/>
          <w:color w:val="212121"/>
          <w:sz w:val="28"/>
          <w:szCs w:val="28"/>
          <w14:ligatures w14:val="none"/>
        </w:rPr>
        <w:t>–</w:t>
      </w:r>
      <w:r w:rsidR="0093358C">
        <w:rPr>
          <w:rFonts w:ascii="Simplified Arabic" w:eastAsia="Cambria" w:hAnsi="Simplified Arabic" w:cs="Simplified Arabic"/>
          <w:color w:val="212121"/>
          <w:sz w:val="28"/>
          <w:szCs w:val="28"/>
          <w14:ligatures w14:val="none"/>
        </w:rPr>
        <w:t xml:space="preserve"> </w:t>
      </w:r>
      <w:hyperlink w:anchor="section43" w:history="1">
        <w:r w:rsidR="0093358C" w:rsidRPr="0093358C">
          <w:rPr>
            <w:rStyle w:val="Hyperlink"/>
            <w:rFonts w:ascii="Simplified Arabic" w:eastAsia="Cambria" w:hAnsi="Simplified Arabic" w:cs="Simplified Arabic"/>
            <w:sz w:val="28"/>
            <w:szCs w:val="28"/>
            <w14:ligatures w14:val="none"/>
          </w:rPr>
          <w:t>4.3</w:t>
        </w:r>
      </w:hyperlink>
      <w:r w:rsidRPr="00DD1558">
        <w:rPr>
          <w:rFonts w:ascii="Simplified Arabic" w:eastAsia="Cambria" w:hAnsi="Simplified Arabic" w:cs="Simplified Arabic"/>
          <w:color w:val="212121"/>
          <w:sz w:val="28"/>
          <w:szCs w:val="28"/>
          <w14:ligatures w14:val="none"/>
        </w:rPr>
        <w:t>).</w:t>
      </w:r>
    </w:p>
    <w:p w14:paraId="525B04FC" w14:textId="0BD1877B"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RQ3 / O3:</w:t>
      </w:r>
      <w:r w:rsidRPr="00DD1558">
        <w:rPr>
          <w:rFonts w:ascii="Simplified Arabic" w:eastAsia="Cambria" w:hAnsi="Simplified Arabic" w:cs="Simplified Arabic"/>
          <w:color w:val="212121"/>
          <w:sz w:val="28"/>
          <w:szCs w:val="28"/>
          <w14:ligatures w14:val="none"/>
        </w:rPr>
        <w:t xml:space="preserve"> The framework should specify the Board–Committee–Unit architecture with proportionate authority, the Inter-Lab Policy Framework with custodian protections, a strictly bounded technician operational mandate, and the fourteen-KPI dashboard as the measurement instrument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{"citationID":"7piixlce","properties":{"unsorted":false,"formattedCitation":"(14001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(14001 ISO/IEC, 2015)</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clause 5.3;</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{"citationID":"oHFHj0Zn","properties":{"unsorted":false,"formattedCitation":"(22301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(22301 ISO/IEC, 2019)</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clause 5.3; </w:t>
      </w:r>
      <w:hyperlink w:anchor="section41" w:history="1">
        <w:r w:rsidR="0093358C" w:rsidRPr="0093358C">
          <w:rPr>
            <w:rStyle w:val="Hyperlink"/>
            <w:rFonts w:ascii="Simplified Arabic" w:eastAsia="Cambria" w:hAnsi="Simplified Arabic" w:cs="Simplified Arabic"/>
            <w:sz w:val="28"/>
            <w:szCs w:val="28"/>
            <w14:ligatures w14:val="none"/>
          </w:rPr>
          <w:t>Section 4.1</w:t>
        </w:r>
      </w:hyperlink>
      <w:r w:rsidR="0093358C" w:rsidRPr="0093358C">
        <w:rPr>
          <w:rFonts w:ascii="Simplified Arabic" w:eastAsia="Cambria" w:hAnsi="Simplified Arabic" w:cs="Simplified Arabic"/>
          <w:color w:val="212121"/>
          <w:sz w:val="28"/>
          <w:szCs w:val="28"/>
          <w14:ligatures w14:val="none"/>
        </w:rPr>
        <w:t xml:space="preserve">, </w:t>
      </w:r>
      <w:hyperlink w:anchor="section417" w:history="1">
        <w:r w:rsidR="0093358C" w:rsidRPr="0093358C">
          <w:rPr>
            <w:rStyle w:val="Hyperlink"/>
            <w:rFonts w:ascii="Simplified Arabic" w:eastAsia="Cambria" w:hAnsi="Simplified Arabic" w:cs="Simplified Arabic"/>
            <w:sz w:val="28"/>
            <w:szCs w:val="28"/>
            <w14:ligatures w14:val="none"/>
          </w:rPr>
          <w:t>Section 4.1.7</w:t>
        </w:r>
      </w:hyperlink>
      <w:r w:rsidRPr="00DD1558">
        <w:rPr>
          <w:rFonts w:ascii="Simplified Arabic" w:eastAsia="Cambria" w:hAnsi="Simplified Arabic" w:cs="Simplified Arabic"/>
          <w:color w:val="212121"/>
          <w:sz w:val="28"/>
          <w:szCs w:val="28"/>
          <w14:ligatures w14:val="none"/>
        </w:rPr>
        <w:t>).</w:t>
      </w:r>
    </w:p>
    <w:p w14:paraId="08DB124A" w14:textId="2E3DD594" w:rsidR="00DD1558" w:rsidRPr="00DD1558" w:rsidRDefault="00DD1558" w:rsidP="00DD1558">
      <w:pPr>
        <w:numPr>
          <w:ilvl w:val="0"/>
          <w:numId w:val="1"/>
        </w:numPr>
        <w:bidi w:val="0"/>
        <w:spacing w:before="36" w:after="36" w:line="240" w:lineRule="auto"/>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RQ4 / O4:</w:t>
      </w:r>
      <w:r w:rsidRPr="00DD1558">
        <w:rPr>
          <w:rFonts w:ascii="Simplified Arabic" w:eastAsia="Cambria" w:hAnsi="Simplified Arabic" w:cs="Simplified Arabic"/>
          <w:color w:val="212121"/>
          <w:sz w:val="28"/>
          <w:szCs w:val="28"/>
          <w14:ligatures w14:val="none"/>
        </w:rPr>
        <w:t xml:space="preserve"> The roadmap should sequence the three maturity transitions — standardization, governance, measurement-and-review — as four gate-terminated phases, with digitalization released only after gate G4 confirms organizational readiness (</w:t>
      </w:r>
      <w:r w:rsidRPr="00DD1558">
        <w:rPr>
          <w:rFonts w:ascii="Simplified Arabic" w:eastAsia="Cambria" w:hAnsi="Simplified Arabic" w:cs="Simplified Arabic"/>
          <w:color w:val="212121"/>
          <w:sz w:val="28"/>
          <w:szCs w:val="28"/>
          <w14:ligatures w14:val="none"/>
        </w:rPr>
        <w:fldChar w:fldCharType="begin"/>
      </w:r>
      <w:r w:rsidRPr="00DD1558">
        <w:rPr>
          <w:rFonts w:ascii="Simplified Arabic" w:eastAsia="Cambria" w:hAnsi="Simplified Arabic" w:cs="Simplified Arabic"/>
          <w:color w:val="212121"/>
          <w:sz w:val="28"/>
          <w:szCs w:val="28"/>
          <w14:ligatures w14:val="none"/>
        </w:rPr>
        <w:instrText xml:space="preserve"> ADDIN ZOTERO_ITEM CSL_CITATION {"citationID":"boFtjvB8","properties":{"unsorted":false,"formattedCitation":"(Rodr\\uc0\\u237{}guez-Abitia &amp; Bribiesca-Correa, 2021)","plainCitation":"(Rodríguez-Abitia &amp; Bribiesca-Correa, 2021)","noteIndex":0},"citationItems":[{"id":498,"uris":["http://zotero.org/users/19711126/items/6ISTLX2A"],"itemData":{"id":498,"type":"article-journal","abstract":"Industry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Cambria" w:hAnsi="Simplified Arabic" w:cs="Simplified Arabic"/>
          <w:color w:val="212121"/>
          <w:sz w:val="28"/>
          <w:szCs w:val="28"/>
          <w14:ligatures w14:val="none"/>
        </w:rPr>
        <w:fldChar w:fldCharType="separate"/>
      </w:r>
      <w:r w:rsidRPr="00DD1558">
        <w:rPr>
          <w:rFonts w:ascii="Simplified Arabic" w:eastAsia="Cambria" w:hAnsi="Simplified Arabic" w:cs="Simplified Arabic"/>
          <w:color w:val="212121"/>
          <w:sz w:val="28"/>
          <w:szCs w:val="24"/>
          <w14:ligatures w14:val="none"/>
        </w:rPr>
        <w:t>(Rodríguez-Abitia &amp; Bribiesca-Correa, 2021)</w:t>
      </w:r>
      <w:r w:rsidRPr="00DD1558">
        <w:rPr>
          <w:rFonts w:ascii="Simplified Arabic" w:eastAsia="Cambria" w:hAnsi="Simplified Arabic" w:cs="Simplified Arabic"/>
          <w:color w:val="212121"/>
          <w:sz w:val="28"/>
          <w:szCs w:val="28"/>
          <w14:ligatures w14:val="none"/>
        </w:rPr>
        <w:fldChar w:fldCharType="end"/>
      </w:r>
      <w:r w:rsidRPr="00DD1558">
        <w:rPr>
          <w:rFonts w:ascii="Simplified Arabic" w:eastAsia="Cambria" w:hAnsi="Simplified Arabic" w:cs="Simplified Arabic"/>
          <w:color w:val="212121"/>
          <w:sz w:val="28"/>
          <w:szCs w:val="28"/>
          <w14:ligatures w14:val="none"/>
        </w:rPr>
        <w:t xml:space="preserve">; </w:t>
      </w:r>
      <w:hyperlink w:anchor="Section416" w:history="1">
        <w:r w:rsidR="000F1211" w:rsidRPr="0093358C">
          <w:rPr>
            <w:rStyle w:val="Hyperlink"/>
            <w:rFonts w:ascii="Simplified Arabic" w:eastAsia="Cambria" w:hAnsi="Simplified Arabic" w:cs="Simplified Arabic"/>
            <w:sz w:val="28"/>
            <w:szCs w:val="28"/>
            <w14:ligatures w14:val="none"/>
          </w:rPr>
          <w:t>Section 4.1.6</w:t>
        </w:r>
      </w:hyperlink>
      <w:r w:rsidRPr="00DD1558">
        <w:rPr>
          <w:rFonts w:ascii="Simplified Arabic" w:eastAsia="Cambria" w:hAnsi="Simplified Arabic" w:cs="Simplified Arabic"/>
          <w:color w:val="212121"/>
          <w:sz w:val="28"/>
          <w:szCs w:val="28"/>
          <w14:ligatures w14:val="none"/>
        </w:rPr>
        <w:t>).</w:t>
      </w:r>
    </w:p>
    <w:p w14:paraId="57595315"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6" w:name="_Toc237539786"/>
      <w:r w:rsidRPr="00DD1558">
        <w:rPr>
          <w:rFonts w:ascii="Simplified Arabic" w:eastAsiaTheme="majorEastAsia" w:hAnsi="Simplified Arabic" w:cstheme="majorBidi"/>
          <w:sz w:val="28"/>
          <w:szCs w:val="28"/>
        </w:rPr>
        <w:t>4.6.2 Strategic Recommendations for University Leadership</w:t>
      </w:r>
      <w:bookmarkEnd w:id="196"/>
    </w:p>
    <w:p w14:paraId="18D5414C"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1 — Ratify and sponsor the Academic Inventory Governance Board as a standing institutional organ.</w:t>
      </w:r>
      <w:r w:rsidRPr="00DD1558">
        <w:rPr>
          <w:rFonts w:ascii="Simplified Arabic" w:eastAsia="Times New Roman" w:hAnsi="Simplified Arabic" w:cs="Simplified Arabic"/>
          <w:color w:val="1A1A1A"/>
          <w:sz w:val="28"/>
          <w:szCs w:val="28"/>
          <w14:ligatures w14:val="none"/>
        </w:rPr>
        <w:t xml:space="preserve"> Organizational feasibility was rated Conditional on two decisions only leadership can take: constitution of the Board and ratification of the policy core (gate G1). The collaborative-governance literature is consistent that cross-unit </w:t>
      </w:r>
      <w:r w:rsidRPr="00DD1558">
        <w:rPr>
          <w:rFonts w:ascii="Simplified Arabic" w:eastAsia="Times New Roman" w:hAnsi="Simplified Arabic" w:cs="Simplified Arabic"/>
          <w:color w:val="1A1A1A"/>
          <w:sz w:val="28"/>
          <w:szCs w:val="28"/>
          <w14:ligatures w14:val="none"/>
        </w:rPr>
        <w:lastRenderedPageBreak/>
        <w:t xml:space="preserve">pooling arrangements succeed where decision rights are explicit and sponsorship is sustained, and decay where either lapses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{"citationID":"WvvOq0ST","properties":{"unsorted":false,"formattedCitation":"(Ahn &amp; Baldwin, 2024; Lopes &amp; Farias, 2022; X. Wang &amp; Qu, 2025)","plainCitation":"(Ahn &amp; Baldwin, 2024; Lopes &amp; Farias, 2022; X. Wang &amp; Qu, 2025)","noteIndex":0},"citationItems":[{"id":392,"uris":["http://zotero.org/users/19711126/items/875J4EC5"],"itemData":{"id":392,"type":"article-journal","abstract":"Collaborative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Lopes &amp; Farias, 2022;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Sponsorship is institutionalized in the framework as a standing function — the leadership chair, the termly cadence, and risk-register ownership (RR-01, RR-02, RR-05) — precisely so that it does not depend on individual enthusiasm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{"citationID":"mORonY5M","properties":{"unsorted":false,"formattedCitation":"(Dean et al., 2024)","plainCitation":"(Dean et al., 2024)","noteIndex":0},"citationItems":[{"id":428,"uris":["http://zotero.org/users/19711126/items/QPV3FB5N"],"itemData":{"id":428,"type":"article-journal","abstract":"This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4836ACF7" w14:textId="2C252E4E"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2 — Hold gate G4: no smart-platform procurement precedes organizational maturity (RR-15).</w:t>
      </w:r>
      <w:r w:rsidRPr="00DD1558">
        <w:rPr>
          <w:rFonts w:ascii="Simplified Arabic" w:eastAsia="Times New Roman" w:hAnsi="Simplified Arabic" w:cs="Simplified Arabic"/>
          <w:color w:val="1A1A1A"/>
          <w:sz w:val="28"/>
          <w:szCs w:val="28"/>
          <w14:ligatures w14:val="none"/>
        </w:rPr>
        <w:t xml:space="preserve"> The digital-transformation and smart-inventory literatures converge on the finding that technology layered onto unstandardized processes and unclear roles reproduces fragmentation in digital form, and that automated tracking delivers value only where inventory processes and data semantics are already standardized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{"citationID":"JGh5WIJa","properties":{"unsorted":false,"formattedCitation":"(Bellantuono et al., 2021; Carpitella &amp; Izquierdo, 2025; Rodr\\uc0\\u237{}guez-Abitia &amp; Bribiesca-Correa, 2021; Wilke et al., 2023)","plainCitation":"(Bellantuono et al., 2021; Carpitella &amp; Izquierdo, 2025; Rodríguez-Abitia &amp; Bribiesca-Correa, 2021; Wilke et al., 2023)","noteIndex":0},"citationItems":[{"id":410,"uris":["http://zotero.org/users/19711126/items/KR49AFQT"],"itemData":{"id":410,"type":"article-journal","abstract":"The growing diffusion of digital technologies, especially in production systems, is leading to a new industrial paradigm, named Industry 4.0 (I4.0), which involves disruptive changes in the way companies organize production and create value. Organizations willing to seize the opportunities of I4.0 must thus innovate their processes and business models. The challenges that companies must face for the transition towards I4.0 paradigm are not trivial. Several digital transformation models and roadmaps have been lately proposed in the literature to support companies in such a transition. The literature on change management stresses that about 70% of change initiatives—independently of the aim—fail to achieve their goals due to the implementation of transformation programs that are affected by well-known mistakes or neglect some relevant aspects, such as lack of management support, lack of clearly defined and achievable objectives and poor communication. This paper investigates whether and to what extent the existing digital transformation models (DTMs) and roadmaps for I4.0 transition consider the lessons learnt in the field of change management. To this aim, a Systematic Literature Review to identify existing models and roadmaps is carried out. The results obtained by the review are discussed under the lens of the change-management literature. Based on that, the shortcomings and weaknesses of existing DTMs are pinpointed. Extant DTMs mainly focus on digital transformation initiatives carried out in manufacturing companies; they do not cover all the phases of the digital transformation process but rather focus on the definition of the I4.0 vision, strategy and roadmap. Little attention is devoted to the implementation and consolidation of digital change. Change management lessons are considered to a limited extent, based on which, some suggestions for better dealing with digital transformation initiatives are discussed. The paper contributes to advancing knowledge on models and approaches to support organizations in managing digital transformation. The identification of change management activities that a digital transformation initiative should involve as well as the suggestions on how to effectively deal with it can be used by managers to successfully lead the I4.0 transition journey in their organizations.","container-title":"Sustainability","DOI":"10.3390/su132312941","ISSN":"2071-1050","issue":"23","language":"en","license":"http://creativecommons.org/licenses/by/3.0/","page":"12941","publisher":"Multidisciplinary Digital Publishing Institute","source":"www.mdpi.com","title":"Digital Transformation Models for the I4.0 Transition: Lessons from the Change Management Literature","title-short":"Digital Transformation Models for the I4.0 Transition","volume":"13","author":[{"family":"Bellantuono","given":"Nicola"},{"family":"Nuzzi","given":"Angela"},{"family":"Pontrandolfo","given":"Pierpaolo"},{"family":"Scozzi","given":"Barbara"}],"issued":{"date-parts":[["2021",1]]}}},{"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(Bellantuono et al., 2021; Carpitella &amp; Izquierdo, 2025; Rodríguez-Abitia &amp; Bribiesca-Correa, 2021;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Leadership should treat any platform proposal arriving before the G4 readiness evidence — catalog coverage (KPI-G1), data-quality conformity (KPI-G2), functioning audit loops (KPI-G3–G4), and the consolidated readiness checklist (KPI-G6) — as a governance signal to decline, not a procurement opportunity to negotiate. G4 releases procurement </w:t>
      </w:r>
      <w:r w:rsidRPr="00DD1558">
        <w:rPr>
          <w:rFonts w:ascii="Simplified Arabic" w:eastAsia="Times New Roman" w:hAnsi="Simplified Arabic" w:cs="Simplified Arabic"/>
          <w:i/>
          <w:iCs/>
          <w:color w:val="1A1A1A"/>
          <w:sz w:val="28"/>
          <w:szCs w:val="28"/>
          <w14:ligatures w14:val="none"/>
        </w:rPr>
        <w:t>consideration</w:t>
      </w:r>
      <w:r w:rsidRPr="00DD1558">
        <w:rPr>
          <w:rFonts w:ascii="Simplified Arabic" w:eastAsia="Times New Roman" w:hAnsi="Simplified Arabic" w:cs="Simplified Arabic"/>
          <w:color w:val="1A1A1A"/>
          <w:sz w:val="28"/>
          <w:szCs w:val="28"/>
          <w14:ligatures w14:val="none"/>
        </w:rPr>
        <w:t>, not procurement itself, and provision remains Contingent on university-level information technology (</w:t>
      </w:r>
      <w:hyperlink w:anchor="section44" w:history="1">
        <w:r w:rsidRPr="0093358C">
          <w:rPr>
            <w:rStyle w:val="Hyperlink"/>
            <w:rFonts w:ascii="Simplified Arabic" w:eastAsia="Times New Roman" w:hAnsi="Simplified Arabic" w:cs="Simplified Arabic"/>
            <w:sz w:val="28"/>
            <w:szCs w:val="28"/>
            <w14:ligatures w14:val="none"/>
          </w:rPr>
          <w:t>Section 4.4</w:t>
        </w:r>
      </w:hyperlink>
      <w:r w:rsidRPr="00DD1558">
        <w:rPr>
          <w:rFonts w:ascii="Simplified Arabic" w:eastAsia="Times New Roman" w:hAnsi="Simplified Arabic" w:cs="Simplified Arabic"/>
          <w:color w:val="1A1A1A"/>
          <w:sz w:val="28"/>
          <w:szCs w:val="28"/>
          <w14:ligatures w14:val="none"/>
        </w:rPr>
        <w:t>).</w:t>
      </w:r>
    </w:p>
    <w:p w14:paraId="74966DF2" w14:textId="673E92A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3 — Align the framework with Vision 2030 and USR/sustainability reporting so that practice precedes disclosure.</w:t>
      </w:r>
      <w:r w:rsidRPr="00DD1558">
        <w:rPr>
          <w:rFonts w:ascii="Simplified Arabic" w:eastAsia="Times New Roman" w:hAnsi="Simplified Arabic" w:cs="Simplified Arabic"/>
          <w:color w:val="1A1A1A"/>
          <w:sz w:val="28"/>
          <w:szCs w:val="28"/>
          <w14:ligatures w14:val="none"/>
        </w:rPr>
        <w:t xml:space="preserve"> The framework is legible to leadership as a direct operational contribution to Vision 2030’s expectation domains — fiscal efficiency (PB2), environmental sustainability (the MB1</w:t>
      </w:r>
      <w:r w:rsidRPr="00DD1558">
        <w:rPr>
          <w:rFonts w:ascii="Times New Roman" w:eastAsia="Times New Roman" w:hAnsi="Times New Roman" w:cs="Times New Roman"/>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MB2</w:t>
      </w:r>
      <w:r w:rsidRPr="00DD1558">
        <w:rPr>
          <w:rFonts w:ascii="Times New Roman" w:eastAsia="Times New Roman" w:hAnsi="Times New Roman" w:cs="Times New Roman"/>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MB3 control chain), and digital transformation readiness (the G4 discipline)</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{"citationID":"wWwA1rAP","properties":{"unsorted":false,"formattedCitation":"(Alamoudi et al., 2023; Alshammari, 2025)","plainCitation":"(Alamoudi et al., 2023; Alshammari, 2025)","noteIndex":0},"citationItems":[{"id":397,"uris":["http://zotero.org/users/19711126/items/NXW23TK2"],"itemData":{"id":397,"type":"article-journal","abstract":"Cities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M."}],"issued":{"date-parts":[["2023",1]]}}},{"id":403,"uris":["http://zotero.org/users/19711126/items/RH4GS6Q7"],"itemData":{"id":403,"type":"article-journal","abstract":"Saudi Arabia is witnessing rapid growth in various developmental, economic, and social fields. Higher education institutions (HEIs) have received significant attention and are required to implement numerous reform and development programs stemming from the Kingdom’s Vision 2030. As key drivers of change in achieving a culture of sustainability, these institutions have not responded adequately to the programs and visions endorsed by the government in the fields of sustainable development, the Saudi Green Initiative, and the Middle East Green Initiative. This study, conducted as a case study, aimed to assess the practices of prominent Saudi universities toward sustainability, focusing on the perspectives of faculty members as key stakeholders. A quantitative descriptive method was used, based on a questionnaire developed from relevant literature. The study sample consisted of 691 faculty members distributed across the studied universities. Results revealed limited faculty participation in sustainability activities and policy-making (means 2.33 out of 5), despite their high level of awareness (3.82 out of 5). Participants consistently rated institutional performance below expectations across all domains, with the domain of Learning and Teaching receiving the lowest rating (2.68), followed by Research and Development (2.89), Organizational governance, culture and Operations (2.94), and External Leadership (3.01). The study also found differences in how participants rated sustainability efforts based on their university and type of college. These results offer important insights for Saudi universities, especially given the prominent role of the institutions studied, and can help guide improvements in sustainability initiatives. They also provide crucial data for both top management and the government to support the development of HEIs and activate their roles in sustainability. The findings may contribute to enhancing sustainability practices not only in the selected universities but also more broadly across Saudi, the Middle East, and beyond.","container-title":"Humanities and Social Sciences Communications","DOI":"10.1057/s41599-025-05768-x","ISSN":"2662-9992","issue":"1","journalAbbreviation":"Humanit Soc Sci Commun","language":"en","license":"2025 The Author(s)","page":"1398","publisher":"Palgrave","source":"www.nature.com","title":"Assessing campus sustainability in Saudi universities: faculty perspectives and institutional challenges—a case study of three leading universities","title-short":"Assessing campus sustainability in Saudi universities","volume":"12","author":[{"family":"Alshammari","given":"Adel"}],"issued":{"date-parts":[["2025",8,26]]}}}],"schema":"https://github.com/citation-style-language/schema/raw/master/csl-citation.json"}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Alshammari,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The USR literature adds a reputational discipline: sustainability reporting in higher education is exposed to greenwashing critique wherever public claims outrun audited operations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{"citationID":"EFeaoLNY","properties":{"unsorted":false,"formattedCitation":"(Ali et al., 2021; Ceulemans et al., 2015; Lakhno, 2024)","plainCitation":"(Ali et al., 2021; Ceulemans et al., 2015; Lakhno, 2024)","noteIndex":0},"citationItems":[{"id":399,"uris":["http://zotero.org/users/19711126/items/BYHJP3NR"],"itemData":{"id":399,"type":"article-journal","abstract":"The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421,"uris":["http://zotero.org/users/19711126/items/6DMAUJJR"],"itemData":{"id":421,"type":"article-journal","abstract":"Over the last decade, sustainability reporting (SR) has gained importance in both profit and non-profit environments. In spite of the slowly emerging trend of SR in higher education, it is still unclear for certain actors within this field what SR entails. This paper offers a comprehensive review of the existing literature on SR in higher education, aimed at providing guidance on the topic, uncovering gaps and inconsistencies in the literature, and finding new paths for research. The findings show that the topic of SR has been approached in a rather fragmented way in the literature, while the scientific field would benefit from more in-depth studies, preferably supplemented by empirical evidence. Important issues for future research are: the potential of SR for organisational change, the influence of stakeholder engagement processes on SR, the link between SR and general sustainability management, and the link between existing reporting indicators, tools, and management standards. Structuring and defining these topics can stimulate scholars to further study them in depth, leading to a better understanding of the dynamics of the reporting process, and in a broader sense of the process of sustainability integration in higher education.","collection-title":"Bridges for a more sustainable future: Joining Environmental Management for Sustainable Universities (EMSU) and the European Roundtable for Sustainable Consumption and Production (ERSCP) conferences","container-title":"Journal of Cleaner Production","DOI":"10.1016/j.jclepro.2014.09.052","ISSN":"0959-6526","journalAbbreviation":"Journal of Cleaner Production","page":"127-143","source":"ScienceDirect","title":"Sustainability reporting in higher education: a comprehensive review of the recent literature and paths for further research","title-short":"Sustainability reporting in higher education","volume":"106","author":[{"family":"Ceulemans","given":"K."},{"family":"Molderez","given":"I."},{"family":"Van Liedekerke","given":"L."}],"issued":{"date-parts":[["2015",11,1]]}}},{"id":476,"uris":["http://zotero.org/users/19711126/items/V8SQG4MB"],"itemData":{"id":476,"type":"article-journal","abstract":"Sustainability reporting has gained popularity across various fields, and the higher education sector is no exception. Higher education institutions across the globe are voluntarily investing time and resources into showcasing their activities and progress in sustainable development. Are these efforts just superficial instances of following a trend or do they exemplify a path towards an in-depth transformation in the area of sustainability, as it is called for by the United Nations Sustainable Development Goals 2015–2030? This article aims to answer this question by studying public sustainability reports of the top 50 UK universities, focusing on their self-reflective elements and thematic comprehensiveness.","container-title":"Higher Education Quarterly","DOI":"10.1111/hequ.12513","ISSN":"1468-2273","issue":"3","language":"en","license":"© 2024 The Authors. Higher Education Quarterly published by John Wiley &amp; Sons Ltd.","page":"1099-1122","source":"Wiley Online Library","title":"Green or green-washed? Examining sustainability reporting in higher education","title-short":"Green or green-washed?","volume":"78","author":[{"family":"Lakhno","given":"Maryna"}],"issued":{"date-parts":[["2024"]]}}}],"schema":"https://github.com/citation-style-language/schema/raw/master/csl-citation.json"}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Ceulemans et al., 2015; Lakhno,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Sustainability </w:t>
      </w:r>
      <w:r w:rsidRPr="00DD1558">
        <w:rPr>
          <w:rFonts w:ascii="Simplified Arabic" w:eastAsia="Times New Roman" w:hAnsi="Simplified Arabic" w:cs="Simplified Arabic"/>
          <w:color w:val="1A1A1A"/>
          <w:sz w:val="28"/>
          <w:szCs w:val="28"/>
          <w14:ligatures w14:val="none"/>
        </w:rPr>
        <w:lastRenderedPageBreak/>
        <w:t>communication should therefore draw every claim from the registry, the disposal manifests, and the corrective-action record, keeping Reputational-category risks derivative of — and controlled through — the internal Financial and Infrastructure controls (</w:t>
      </w:r>
      <w:hyperlink w:anchor="section42" w:history="1">
        <w:r w:rsidR="0018617A" w:rsidRPr="0093358C">
          <w:rPr>
            <w:rStyle w:val="Hyperlink"/>
            <w:rFonts w:ascii="Simplified Arabic" w:eastAsia="Times New Roman" w:hAnsi="Simplified Arabic" w:cs="Simplified Arabic"/>
            <w:sz w:val="28"/>
            <w:szCs w:val="28"/>
            <w14:ligatures w14:val="none"/>
          </w:rPr>
          <w:t>Section 4.2</w:t>
        </w:r>
      </w:hyperlink>
      <w:r w:rsidRPr="00DD1558">
        <w:rPr>
          <w:rFonts w:ascii="Simplified Arabic" w:eastAsia="Times New Roman" w:hAnsi="Simplified Arabic" w:cs="Simplified Arabic"/>
          <w:color w:val="1A1A1A"/>
          <w:sz w:val="28"/>
          <w:szCs w:val="28"/>
          <w14:ligatures w14:val="none"/>
        </w:rPr>
        <w:t>).</w:t>
      </w:r>
    </w:p>
    <w:p w14:paraId="4A04E489" w14:textId="1EFC33E0"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4 — Fund coordination capacity rather than new bureaucracy.</w:t>
      </w:r>
      <w:r w:rsidRPr="00DD1558">
        <w:rPr>
          <w:rFonts w:ascii="Simplified Arabic" w:eastAsia="Times New Roman" w:hAnsi="Simplified Arabic" w:cs="Simplified Arabic"/>
          <w:color w:val="1A1A1A"/>
          <w:sz w:val="28"/>
          <w:szCs w:val="28"/>
          <w14:ligatures w14:val="none"/>
        </w:rPr>
        <w:t xml:space="preserve"> The framework was designed for fiscal neutrality: duties attach to existing roles, the registry runs on existing infrastructure, and technician duties are re-specifications of existing technical work (</w:t>
      </w:r>
      <w:hyperlink w:anchor="section43" w:history="1">
        <w:r w:rsidRPr="0093358C">
          <w:rPr>
            <w:rStyle w:val="Hyperlink"/>
            <w:rFonts w:ascii="Simplified Arabic" w:eastAsia="Times New Roman" w:hAnsi="Simplified Arabic" w:cs="Simplified Arabic"/>
            <w:sz w:val="28"/>
            <w:szCs w:val="28"/>
            <w14:ligatures w14:val="none"/>
          </w:rPr>
          <w:t>Section 4.3</w:t>
        </w:r>
      </w:hyperlink>
      <w:r w:rsidRPr="00DD1558">
        <w:rPr>
          <w:rFonts w:ascii="Simplified Arabic" w:eastAsia="Times New Roman" w:hAnsi="Simplified Arabic" w:cs="Simplified Arabic"/>
          <w:color w:val="1A1A1A"/>
          <w:sz w:val="28"/>
          <w:szCs w:val="28"/>
          <w14:ligatures w14:val="none"/>
        </w:rPr>
        <w:t xml:space="preserve">). What leadership must genuinely supply is transitional coordination capacity — drafting cycles, onboarding effort, competence delivery, audit execution — not new administrative headcount; bureaucratic accretion is a documented driver of compliance fatigue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{"citationID":"h9sG1bQo","properties":{"unsorted":false,"formattedCitation":"(Sung &amp; Kim, 2021; Vlachopoulos, 2021)","plainCitation":"(Sung &amp; Kim, 2021; Vlachopoulos, 2021)","noteIndex":0},"citationItems":[{"id":510,"uris":["http://zotero.org/users/19711126/items/UZPGKIFL"],"itemData":{"id":510,"type":"article-journal","abstract":"This study is an empirical study on the impact of change management on organizational innovation through innovative behavior in the public sector. The independent variables are the four elements of change management (organizational goal, transformational leadership, participation and communication, education and training), the dependent variable is organizational innovation, and the mediating variable is the innovative behavior of members. The data used for the analysis is the Public Service Recognition Survey 2018 by KIPA (the Korea Institute of Public Administration). Hayes’ Process Macro analysis (Model 4) was performed to verify the mediating variable. As a result of the analysis, it was found that change management factors have a positive effect on innovative behavior and organizational innovation. In addition, public officials’ innovative behavior played a mediating role between change management and organizational innovation. It was confirmed that the innovative behavior of organizational members is essential to achieve organizational innovation. Among the factors of change management, participation and communication had the highest influence on innovative behavior and organizational innovation.","container-title":"Sustainability","DOI":"10.3390/su13042079","ISSN":"2071-1050","issue":"4","language":"en","license":"http://creativecommons.org/licenses/by/3.0/","page":"2079","publisher":"Multidisciplinary Digital Publishing Institute","source":"www.mdpi.com","title":"A Study on the Effect of Change Management on Organizational Innovation: Focusing on the Mediating Effect of Members’ Innovative Behavior","title-short":"A Study on the Effect of Change Management on Organizational Innovation","volume":"13","author":[{"family":"Sung","given":"Wookjoon"},{"family":"Kim","given":"Changil"}],"issued":{"date-parts":[["2021",1]]}}},{"id":522,"uris":["http://zotero.org/users/19711126/items/4VVVRBEC"],"itemData":{"id":522,"type":"article-journal","abstract":"This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(Sung &amp; Kim, 2021;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8C02CEB" w14:textId="00BFCB9A"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5 — Institutionalize the audit cadence (EB1) and the annual management review.</w:t>
      </w:r>
      <w:r w:rsidRPr="00DD1558">
        <w:rPr>
          <w:rFonts w:ascii="Simplified Arabic" w:eastAsia="Times New Roman" w:hAnsi="Simplified Arabic" w:cs="Simplified Arabic"/>
          <w:color w:val="1A1A1A"/>
          <w:sz w:val="28"/>
          <w:szCs w:val="28"/>
          <w14:ligatures w14:val="none"/>
        </w:rPr>
        <w:t xml:space="preserve"> </w:t>
      </w:r>
      <w:hyperlink w:anchor="section292" w:history="1">
        <w:r w:rsidR="000A422D" w:rsidRPr="0093358C">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 identified EB1 and EB2 as the architecture’s load-bearing meta-controls, and RR-14 registers their failure mode: findings recurring without closure, converting enforcement into ritual. Both anchor standards supply the machinery — internal audit and management review (ISO 14001:2015 clauses 9.2–9.3; ISO 22301:2019 clauses 9.2–9.3, adopted by analogue) — operationalized as the Board’s termly review and annual management review, monitored reflexively by KPI-G3 and KPI-G4. The cadence should be ratified as standing business with protected agenda time; an audit calendar that yields no review time re-creates escalation factor EF1 at the highest level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{"citationID":"luFalhyv","properties":{"unsorted":false,"formattedCitation":"(Johnson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F880259"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7" w:name="_Toc237539787"/>
      <w:r w:rsidRPr="00DD1558">
        <w:rPr>
          <w:rFonts w:ascii="Simplified Arabic" w:eastAsiaTheme="majorEastAsia" w:hAnsi="Simplified Arabic" w:cstheme="majorBidi"/>
          <w:sz w:val="28"/>
          <w:szCs w:val="28"/>
        </w:rPr>
        <w:t>4.6.3 Recommendations for College Management (College of Science Deanship)</w:t>
      </w:r>
      <w:bookmarkEnd w:id="197"/>
    </w:p>
    <w:p w14:paraId="5FCED50A" w14:textId="6714B65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1 — Charter the Committee and the Unit promptly, in the same cycle as the Board’s constitution (gate G1).</w:t>
      </w:r>
      <w:r w:rsidRPr="00DD1558">
        <w:rPr>
          <w:rFonts w:ascii="Simplified Arabic" w:eastAsia="Times New Roman" w:hAnsi="Simplified Arabic" w:cs="Simplified Arabic"/>
          <w:color w:val="1A1A1A"/>
          <w:sz w:val="28"/>
          <w:szCs w:val="28"/>
          <w14:ligatures w14:val="none"/>
        </w:rPr>
        <w:t xml:space="preserve"> Sequencing the charters together prevents the ratification bottleneck registered as RR-01, the highest-priority transition risk, and reflects the change literature’s finding that reforms stall in the interval between announced </w:t>
      </w:r>
      <w:r w:rsidRPr="00DD1558">
        <w:rPr>
          <w:rFonts w:ascii="Simplified Arabic" w:eastAsia="Times New Roman" w:hAnsi="Simplified Arabic" w:cs="Simplified Arabic"/>
          <w:color w:val="1A1A1A"/>
          <w:sz w:val="28"/>
          <w:szCs w:val="28"/>
          <w14:ligatures w14:val="none"/>
        </w:rPr>
        <w:lastRenderedPageBreak/>
        <w:t xml:space="preserve">intent and constituted machinery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{"citationID":"vsDA1yvu","properties":{"unsorted":false,"formattedCitation":"(Dean et al., 2024; Vlachopoulos, 2021)","plainCitation":"(Dean et al., 2024; Vlachopoulos, 2021)","noteIndex":0},"citationItems":[{"id":428,"uris":["http://zotero.org/users/19711126/items/QPV3FB5N"],"itemData":{"id":428,"type":"article-journal","abstract":"This study presents a collaborative, grassroots-led initiative for organizational change within a values-focused university. These informal change efforts represent a theory-to-practice leadership application in which a small group of faculty and staff members self-organized to enhance the university’s full range of leadership education, development, training, and assessment. The volunteer collaborators sought to better articulate the university’s longstanding commitment to educating and developing ‘principled leaders’ Their efforts also aimed at refining the university community’s dialogue about leadership and addressing certain conceptual gaps. The collaborators developed into a team of change agents who identified and advanced a values-based conceptual framework for educating and developing principled leaders. Their collaborative efforts reflect a recognizable process of organizational change. Understanding how an informal, bottom-up initiative can succeed becomes particularly important considering that even formal, top-down change initiatives often fail. This study follows Lewin’s Action Research methodology of sequential planning, action, and results, as analyzed across iterative cycles of active learning. It applies the stages of a recognized 4-phase organizational change process. The analysis yields key insights drawn from direct experience in this grassroots-led change initiative. Implications and recommendations for practitioners arise directly from this experience in leading emergent change within a higher education context.","container-title":"International Journal of Leadership in Education","DOI":"10.1080/13603124.2024.2330563","ISSN":"1360-3124","issue":"0","page":"1-13","publisher":"Routledge","source":"Taylor and Francis+NEJM","title":"Initiating and leading a grassroots process of organizational change to advance a university mission","volume":"0","author":[{"family":"Dean","given":"Benjamin P."},{"family":"Sigler","given":"Tracey H."},{"family":"Sharma","given":"Arpit"}],"issued":{"date-parts":[["2024",3,25]]}}},{"id":522,"uris":["http://zotero.org/users/19711126/items/4VVVRBEC"],"itemData":{"id":522,"type":"article-journal","abstract":"This study investigated perceptions of organizational change management among executive coaches working with British higher-education leaders and factors that make leaders effective when managing change. This basic qualitative research used semi-structured interviews with eight executive coaches selected through purposeful sampling. As main challenges to efficient, inclusive change management, participants mentioned leaders’ lack of a strategic vision or plan, lack of leadership and future leader development programs, and lack of clarity in decision-making. They recognized that leaders’ academic and professional profiles are positively viewed and said that, with coaching and support in leadership and strategic planning, these people can inspire the academic community and promote positive change. Additional emphasis was given to the role of coaching in the development of key soft skills (honesty, responsibility, resiliency, creativity, proactivity, and empathy, among others), which are necessary for effective change management and leadership in higher education. The paper’s implications have two aspects. First, the lessons of the actual explicit content of the coaches’ observations (challenges to efficient change management and views of leaders); second, the implications of these observations (how coaching can help and what leaders need).","container-title":"Education Sciences","DOI":"10.3390/educsci11060269","ISSN":"2227-7102","issue":"6","language":"en","license":"http://creativecommons.org/licenses/by/3.0/","page":"269","publisher":"Multidisciplinary Digital Publishing Institute","source":"www.mdpi.com","title":"Organizational Change Management in Higher Education through the Lens of Executive Coaches","volume":"11","author":[{"family":"Vlachopoulos","given":"Dimitrios"}],"issued":{"date-parts":[["2021",6]]}}}],"schema":"https://github.com/citation-style-language/schema/raw/master/csl-citation.json"}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(Dean et al., 2024; Vlachopoulos,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Drafting cycles should be time-boxed with departmental comment windows, so that departmental voice is institutionalized inside the drafting process rather than expressed as resistance outside it (</w:t>
      </w:r>
      <w:hyperlink w:anchor="Section416" w:history="1">
        <w:r w:rsidR="000A422D" w:rsidRPr="0093358C">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w:t>
      </w:r>
    </w:p>
    <w:p w14:paraId="1CCFD02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2 — Enforce the eligibility clauses (PB2) as non-negotiable from the first requisition cycle.</w:t>
      </w:r>
      <w:r w:rsidRPr="00DD1558">
        <w:rPr>
          <w:rFonts w:ascii="Simplified Arabic" w:eastAsia="Times New Roman" w:hAnsi="Simplified Arabic" w:cs="Simplified Arabic"/>
          <w:color w:val="1A1A1A"/>
          <w:sz w:val="28"/>
          <w:szCs w:val="28"/>
          <w14:ligatures w14:val="none"/>
        </w:rPr>
        <w:t xml:space="preserve"> PB2 is the framework’s primary fiscal barrier; RR-07 registers its bypass as a High-priority Financial-category risk plausible under normal operations. The sustainable-procurement literature documents visibility-and-eligibility discipline at the requisition point as the operative mechanism of redundant-acquisition displacement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{"citationID":"6yXixCBv","properties":{"unsorted":false,"formattedCitation":"(S\\uc0\\u246{}nnichsen &amp; Clement, 2020; Q. Wang et al., 2020)","plainCitation":"(Sönnichsen &amp; Clement, 2020; Q. Wang et al., 2020)","noteIndex":0},"citationItems":[{"id":504,"uris":["http://zotero.org/users/19711126/items/GJ8N49DS"],"itemData":{"id":504,"type":"article-journal","abstract":"This paper provides a comprehensive literature review of preliminary publications on green and sustainable public procurement from the year 2000 until now. The aim of the review is to organise, evaluate and identify patterns and clusters in published articles, providing an overview of the state of the art in green and sustainable public procurement. Classification of the data identified three overall themes: organisational aspects, individual behaviour and operational tools, which comprise nine sub-categories: three organisational, two behavioural and four operational. The review shows how awareness and knowledge of circular public procurement attributes, based on circular policy and strategy implementation, are essential to conduct circular public procurement. The procurer’s beliefs and values are of high relevance in a transformation towards circular public procurement, simply not going for the lowest price, but finding an optimum combination that includes risk, timeliness and cost for the public institution on a life-cycle basis. Eco-labels, standards, life cycle assessments and life cycle costing are core parts of the process. Outlining the present knowledge as a foundation for future research in circular public procurement process development, this paper holds implications for both academics and procurement practitioners.","container-title":"Journal of Cleaner Production","DOI":"10.1016/j.jclepro.2019.118901","ISSN":"0959-6526","journalAbbreviation":"Journal of Cleaner Production","page":"118901","source":"ScienceDirect","title":"Review of green and sustainable public procurement: Towards circular public procurement","title-short":"Review of green and sustainable public procurement","volume":"245","author":[{"family":"Sönnichsen","given":"Sönnich Dahl"},{"family":"Clement","given":"Jesper"}],"issued":{"date-parts":[["2020",2,1]]}}},{"id":524,"uris":["http://zotero.org/users/19711126/items/CDUUFFDC"],"itemData":{"id":524,"type":"article-journal","abstract":"High efficiency is one of the important goals of public procurement (PP); however, research on PP efficiency is still not sufficient, especially in the context of developing countries. With a focus on the purchasing phase, this study measures three aspects of procurement efficiency of public authorities: price, time and intellectual efficiency. The relevant factors of these three aspects are explored and examined. 838 PP contracts in Chengdu city, China were collected in the first half of 2018 using a web crawler programme. Regression method is used to analyse the data. This study finds that the price efficiency of PP is negatively associated with the implementation of green public procurement (GPP) but is positively associated with the evaluation method (the weight of bidding price during evaluation) and the number of bidders. Time efficiency is negatively associated with GPP implementation. Intellectual efficiency is negatively associated with the size of the procurement. This study accomplishes the following: I. extends research to a still relatively unexplored context: developing countries; II. adds to the studies on public procurement efficiency; and III. investigates the influence of GPP implementation on PP efficiency in a developing country.","container-title":"Journal of Purchasing and Supply Management","DOI":"10.1016/j.pursup.2020.100622","ISSN":"1478-4092","issue":"3","journalAbbreviation":"Journal of Purchasing and Supply Management","page":"100622","source":"ScienceDirect","title":"Price/time/intellectual efficiency of procurement: Uncovering the related factors in Chinese public authorities","title-short":"Price/time/intellectual efficiency of procurement","volume":"26","author":[{"family":"Wang","given":"Qi"},{"family":"Zhang","given":"Renjie"},{"family":"Liu","given":"Junqi"}],"issued":{"date-parts":[["2020",6,1]]}}}],"schema":"https://github.com/citation-style-language/schema/raw/master/csl-citation.json"}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(Sönnichsen &amp; Clement, 2020; Q. Wang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Enforcement is structural: the Unit’s certification power exercised without exception, repeated violations escalated to the Board, and KPI-G5 and KPI-O4 read jointly to confirm both that the check happens and what it displaces.</w:t>
      </w:r>
    </w:p>
    <w:p w14:paraId="6B704040" w14:textId="72EC1B74"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3 — Protect custodian rights as the design answer to silo resistance (</w:t>
      </w:r>
      <w:hyperlink w:anchor="Section416" w:history="1">
        <w:r w:rsidR="000A422D" w:rsidRPr="0093358C">
          <w:rPr>
            <w:rStyle w:val="Hyperlink"/>
            <w:rFonts w:ascii="Simplified Arabic" w:eastAsia="Times New Roman" w:hAnsi="Simplified Arabic" w:cs="Simplified Arabic"/>
            <w:b/>
            <w:bCs/>
            <w:sz w:val="28"/>
            <w:szCs w:val="28"/>
            <w14:ligatures w14:val="none"/>
          </w:rPr>
          <w:t>Section 4.1.6</w:t>
        </w:r>
      </w:hyperlink>
      <w:r w:rsidRPr="00DD1558">
        <w:rPr>
          <w:rFonts w:ascii="Simplified Arabic" w:eastAsia="Times New Roman" w:hAnsi="Simplified Arabic" w:cs="Simplified Arabic"/>
          <w:b/>
          <w:bCs/>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The counter to departmental silos is stewardship-over-ownership operated as an incentive structure: loan limits protecting the custodian’s teaching base, recall rights absolute for scheduled teaching — reflecting the ISO 22301:2019 priority of prioritized activities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{"citationID":"edzmTj6e","properties":{"unsorted":false,"formattedCitation":"(22301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8.3) — and the damage/loss liability principle with chain-of-custody evidence (</w:t>
      </w:r>
      <w:hyperlink w:anchor="Section416" w:history="1">
        <w:r w:rsidR="002C0C03" w:rsidRPr="0093358C">
          <w:rPr>
            <w:rStyle w:val="Hyperlink"/>
            <w:rFonts w:ascii="Simplified Arabic" w:eastAsia="Times New Roman" w:hAnsi="Simplified Arabic" w:cs="Simplified Arabic"/>
            <w:sz w:val="28"/>
            <w:szCs w:val="28"/>
            <w14:ligatures w14:val="none"/>
          </w:rPr>
          <w:t>Section 4.1.6</w:t>
        </w:r>
      </w:hyperlink>
      <w:r w:rsidR="002C0C03" w:rsidRPr="002C0C03">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t xml:space="preserve">(e)). Because pooled-resource arrangements erode through free-riding, ambiguous responsibility, and perceived inequity when rules are weak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{"citationID":"K4NBg0fD","properties":{"unsorted":false,"formattedCitation":"(X. Wang &amp; Qu, 2025; Zhu &amp; Liu, 2021)","plainCitation":"(X. Wang &amp; Qu, 2025; Zhu &amp; Liu, 2021)","noteIndex":0},"citationItems":[{"id":527,"uris":["http://zotero.org/users/19711126/items/YRGFL3RX"],"itemData":{"id":527,"type":"article-journal","abstract":"Over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 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deanship should defend these protections publicly and consistently; they are the instrument through which RR-02 is treated.</w:t>
      </w:r>
    </w:p>
    <w:p w14:paraId="4C5DD547" w14:textId="5519467B"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 xml:space="preserve">Recommendation 4 — Resource registry onboarding and technician competence building as first-order deliverables of </w:t>
      </w:r>
      <w:hyperlink w:anchor="Phase1" w:history="1">
        <w:r w:rsidRPr="00935DA7">
          <w:rPr>
            <w:rStyle w:val="Hyperlink"/>
            <w:rFonts w:ascii="Simplified Arabic" w:eastAsia="Times New Roman" w:hAnsi="Simplified Arabic" w:cs="Simplified Arabic"/>
            <w:b/>
            <w:bCs/>
            <w:sz w:val="28"/>
            <w:szCs w:val="28"/>
            <w14:ligatures w14:val="none"/>
          </w:rPr>
          <w:t>Phase 1</w:t>
        </w:r>
      </w:hyperlink>
      <w:r w:rsidRPr="00DD1558">
        <w:rPr>
          <w:rFonts w:ascii="Simplified Arabic" w:eastAsia="Times New Roman" w:hAnsi="Simplified Arabic" w:cs="Simplified Arabic"/>
          <w:b/>
          <w:bCs/>
          <w:color w:val="1A1A1A"/>
          <w:sz w:val="28"/>
          <w:szCs w:val="28"/>
          <w14:ligatures w14:val="none"/>
        </w:rPr>
        <w:t>–</w:t>
      </w:r>
      <w:r w:rsidR="00935DA7">
        <w:rPr>
          <w:rFonts w:ascii="Simplified Arabic" w:eastAsia="Times New Roman" w:hAnsi="Simplified Arabic" w:cs="Simplified Arabic"/>
          <w:b/>
          <w:bCs/>
          <w:color w:val="1A1A1A"/>
          <w:sz w:val="28"/>
          <w:szCs w:val="28"/>
          <w14:ligatures w14:val="none"/>
        </w:rPr>
        <w:t xml:space="preserve"> </w:t>
      </w:r>
      <w:hyperlink w:anchor="Phase2" w:history="1">
        <w:r w:rsidR="00935DA7" w:rsidRPr="00935DA7">
          <w:rPr>
            <w:rStyle w:val="Hyperlink"/>
            <w:rFonts w:ascii="Simplified Arabic" w:eastAsia="Times New Roman" w:hAnsi="Simplified Arabic" w:cs="Simplified Arabic"/>
            <w:b/>
            <w:bCs/>
            <w:sz w:val="28"/>
            <w:szCs w:val="28"/>
            <w14:ligatures w14:val="none"/>
          </w:rPr>
          <w:t xml:space="preserve">Phase </w:t>
        </w:r>
        <w:r w:rsidRPr="00935DA7">
          <w:rPr>
            <w:rStyle w:val="Hyperlink"/>
            <w:rFonts w:ascii="Simplified Arabic" w:eastAsia="Times New Roman" w:hAnsi="Simplified Arabic" w:cs="Simplified Arabic"/>
            <w:b/>
            <w:bCs/>
            <w:sz w:val="28"/>
            <w:szCs w:val="28"/>
            <w14:ligatures w14:val="none"/>
          </w:rPr>
          <w:t>2</w:t>
        </w:r>
      </w:hyperlink>
      <w:r w:rsidRPr="00DD1558">
        <w:rPr>
          <w:rFonts w:ascii="Simplified Arabic" w:eastAsia="Times New Roman" w:hAnsi="Simplified Arabic" w:cs="Simplified Arabic"/>
          <w:b/>
          <w:bCs/>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Gate G2 is the framework’s hardest early test: onboarding complete for the pilot scope and records conformant to the </w:t>
      </w:r>
      <w:r w:rsidRPr="00DD1558">
        <w:rPr>
          <w:rFonts w:ascii="Simplified Arabic" w:eastAsia="Times New Roman" w:hAnsi="Simplified Arabic" w:cs="Simplified Arabic"/>
          <w:color w:val="1A1A1A"/>
          <w:sz w:val="28"/>
          <w:szCs w:val="28"/>
          <w14:ligatures w14:val="none"/>
        </w:rPr>
        <w:lastRenderedPageBreak/>
        <w:t>catalog standard, verified through KPI-G1 and KPI-G2 — a visibly incomplete registry defeats the eligibility check by returning false absences (RR-03). Competence building follows the role-based onboarding and refreshers adopted from both standards (ISO 14001:2015 clauses 7.2–7.3; ISO 22301:2019 clauses 7.2–7.3), treating RR-04 before it can degrade the pilot.</w:t>
      </w:r>
    </w:p>
    <w:p w14:paraId="46CBF2B6" w14:textId="0096B1D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5 — Respect pilot discipline: hold gate G3 on qualitative workflow integrity, not metric thresholds.</w:t>
      </w:r>
      <w:r w:rsidRPr="00DD1558">
        <w:rPr>
          <w:rFonts w:ascii="Simplified Arabic" w:eastAsia="Times New Roman" w:hAnsi="Simplified Arabic" w:cs="Simplified Arabic"/>
          <w:color w:val="1A1A1A"/>
          <w:sz w:val="28"/>
          <w:szCs w:val="28"/>
          <w14:ligatures w14:val="none"/>
        </w:rPr>
        <w:t xml:space="preserve"> G3’s exit criteria are deliberately qualitative — workflows executed as designed, exceptions escalated and resolved, custody records complete, the continuity walkthrough conducted — because imposing numeric thresholds on a pilot would manufacture the fabricated precision the methodology excludes and would corrupt the dashboard’s definition-before-data discipline (</w:t>
      </w:r>
      <w:hyperlink w:anchor="section411" w:history="1">
        <w:r w:rsidR="000A422D" w:rsidRPr="0093358C">
          <w:rPr>
            <w:rStyle w:val="Hyperlink"/>
            <w:rFonts w:ascii="Simplified Arabic" w:eastAsia="Times New Roman" w:hAnsi="Simplified Arabic" w:cs="Simplified Arabic"/>
            <w:sz w:val="28"/>
            <w:szCs w:val="28"/>
            <w14:ligatures w14:val="none"/>
          </w:rPr>
          <w:t>Section 4.1.1</w:t>
        </w:r>
      </w:hyperlink>
      <w:r w:rsidRPr="00DD1558">
        <w:rPr>
          <w:rFonts w:ascii="Simplified Arabic" w:eastAsia="Times New Roman" w:hAnsi="Simplified Arabic" w:cs="Simplified Arabic"/>
          <w:color w:val="1A1A1A"/>
          <w:sz w:val="28"/>
          <w:szCs w:val="28"/>
          <w14:ligatures w14:val="none"/>
        </w:rPr>
        <w:t>). The deanship should certify the documented workflow evidence, discharging RR-06 through demonstrated dispute-resolution integrity before any scaling decision (</w:t>
      </w:r>
      <w:hyperlink w:anchor="Section416" w:history="1">
        <w:r w:rsidR="000A422D" w:rsidRPr="0093358C">
          <w:rPr>
            <w:rStyle w:val="Hyperlink"/>
            <w:rFonts w:ascii="Simplified Arabic" w:eastAsia="Times New Roman" w:hAnsi="Simplified Arabic" w:cs="Simplified Arabic"/>
            <w:sz w:val="28"/>
            <w:szCs w:val="28"/>
            <w14:ligatures w14:val="none"/>
          </w:rPr>
          <w:t>Section 4.1.6</w:t>
        </w:r>
      </w:hyperlink>
      <w:r w:rsidRPr="00DD1558">
        <w:rPr>
          <w:rFonts w:ascii="Simplified Arabic" w:eastAsia="Times New Roman" w:hAnsi="Simplified Arabic" w:cs="Simplified Arabic"/>
          <w:color w:val="1A1A1A"/>
          <w:sz w:val="28"/>
          <w:szCs w:val="28"/>
          <w14:ligatures w14:val="none"/>
        </w:rPr>
        <w:t>).</w:t>
      </w:r>
    </w:p>
    <w:p w14:paraId="192B1BDE"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8" w:name="_Toc237539788"/>
      <w:r w:rsidRPr="00DD1558">
        <w:rPr>
          <w:rFonts w:ascii="Simplified Arabic" w:eastAsiaTheme="majorEastAsia" w:hAnsi="Simplified Arabic" w:cstheme="majorBidi"/>
          <w:sz w:val="28"/>
          <w:szCs w:val="28"/>
        </w:rPr>
        <w:t>4.6.4 Recommendations for Laboratory Supervisory Personnel</w:t>
      </w:r>
      <w:bookmarkEnd w:id="198"/>
    </w:p>
    <w:p w14:paraId="25D8CEC5"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1 — Operationalize FEFO rotation and custody-transfer protocols at the bench as routine, not as campaign.</w:t>
      </w:r>
      <w:r w:rsidRPr="00DD1558">
        <w:rPr>
          <w:rFonts w:ascii="Simplified Arabic" w:eastAsia="Times New Roman" w:hAnsi="Simplified Arabic" w:cs="Simplified Arabic"/>
          <w:color w:val="1A1A1A"/>
          <w:sz w:val="28"/>
          <w:szCs w:val="28"/>
          <w14:ligatures w14:val="none"/>
        </w:rPr>
        <w:t xml:space="preserve"> Mitigation barrier MB1 and escalation-factor barrier EB3 are enacted physically: date-checking, rotation, expiry labeling and flagging, condition records, and chain-of-custody logs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{"citationID":"hYXRnBsJ","properties":{"unsorted":false,"formattedCitation":"(Durgan et al., 2023; Wilke et al., 2023)","plainCitation":"(Durgan et al., 2023; Wilke et al., 2023)","noteIndex":0},"citationItems":[{"id":432,"uris":["http://zotero.org/users/19711126/items/Q74PR9A9"],"itemData":{"id":432,"type":"article-journal","abstract":"Scientific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RR-08 registers FEFO drift as a High-priority risk whose failure is silent until expiry surfaces; the supervisory counter is accountability for rotation practice as standing business, audited under EB1 through KPI-O3 and KPI-E3, whose divergence triggers corrective action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{"citationID":"BFHDdHWW","properties":{"unsorted":false,"formattedCitation":"(14001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10).</w:t>
      </w:r>
    </w:p>
    <w:p w14:paraId="09811B1C" w14:textId="090780A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2 — Develop technician competence strictly within the bounded operational mandate (</w:t>
      </w:r>
      <w:hyperlink w:anchor="section415" w:history="1">
        <w:r w:rsidR="002C0C03" w:rsidRPr="0093358C">
          <w:rPr>
            <w:rStyle w:val="Hyperlink"/>
            <w:rFonts w:ascii="Simplified Arabic" w:eastAsia="Times New Roman" w:hAnsi="Simplified Arabic" w:cs="Simplified Arabic"/>
            <w:b/>
            <w:bCs/>
            <w:sz w:val="28"/>
            <w:szCs w:val="28"/>
            <w14:ligatures w14:val="none"/>
          </w:rPr>
          <w:t>Section 4.1.5</w:t>
        </w:r>
      </w:hyperlink>
      <w:r w:rsidRPr="00DD1558">
        <w:rPr>
          <w:rFonts w:ascii="Simplified Arabic" w:eastAsia="Times New Roman" w:hAnsi="Simplified Arabic" w:cs="Simplified Arabic"/>
          <w:b/>
          <w:bCs/>
          <w:color w:val="1A1A1A"/>
          <w:sz w:val="28"/>
          <w:szCs w:val="28"/>
          <w14:ligatures w14:val="none"/>
        </w:rPr>
        <w:t>).</w:t>
      </w:r>
      <w:r w:rsidRPr="00DD1558">
        <w:rPr>
          <w:rFonts w:ascii="Simplified Arabic" w:eastAsia="Times New Roman" w:hAnsi="Simplified Arabic" w:cs="Simplified Arabic"/>
          <w:color w:val="1A1A1A"/>
          <w:sz w:val="28"/>
          <w:szCs w:val="28"/>
          <w14:ligatures w14:val="none"/>
        </w:rPr>
        <w:t xml:space="preserve"> Supervisors should neither burden technicians with decisions beyond their technical capacity — no administrative decision-making, </w:t>
      </w:r>
      <w:r w:rsidRPr="00DD1558">
        <w:rPr>
          <w:rFonts w:ascii="Simplified Arabic" w:eastAsia="Times New Roman" w:hAnsi="Simplified Arabic" w:cs="Simplified Arabic"/>
          <w:color w:val="1A1A1A"/>
          <w:sz w:val="28"/>
          <w:szCs w:val="28"/>
          <w14:ligatures w14:val="none"/>
        </w:rPr>
        <w:lastRenderedPageBreak/>
        <w:t xml:space="preserve">procurement approval, financial authority, or policy-setting — nor strip them of the escalation voice the framework grants: responsibility-without-rights is a documented failure mode of participatory arrangements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{"citationID":"pX4krti5","properties":{"unsorted":false,"formattedCitation":"(Ahn &amp; Baldwin, 2024; Lopes &amp; Farias, 2022)","plainCitation":"(Ahn &amp; Baldwin, 2024; Lopes &amp; Farias, 2022)","noteIndex":0},"citationItems":[{"id":392,"uris":["http://zotero.org/users/19711126/items/875J4EC5"],"itemData":{"id":392,"type":"article-journal","abstract":"Collaborative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483,"uris":["http://zotero.org/users/19711126/items/6HVLP7QZ"],"itemData":{"id":483,"type":"article-journal","abstract":"Collaborative innovation has been increasingly adopted by the public sector to address complex issues and improve its efficiency. Despite the developments in the literature on this subject, recent studies still indicate the need to investigate how public governance could be organized to support collaborative processes of innovation. Through a systematic review of 36 empirical studies, this article aims to contribute to bridging this gap by identifying the characteristics that should form governance in order to support the collaborative innovation process in the public sector. The results show that the establishment of relationships of trust, supported by technology tools and promoted by leaders committed to well-established goals, is a characteristic of governance that has a positive influence on collaborative innovation processes. However, there is still a need to develop more studies that indicate the characteristics of governance that may contribute to the implementation of innovation and not just to its creation processes.Points for practitionersCollaboration has been shown to be a more positive strategy for innovation in the public sector in comparison with strategies that seek isolation or competition. However, it is necessary to establish governance mechanisms that contribute to the involvement of stakeholders and to the achievement of the intended results so that this strategy becomes successful. By reviewing the results of prior empirical experiences, this article identifies that in order for collaborative innovation processes in the public sector to be successful, governance must predict: the participation of top management and managers with decision-making power; the setting of clear goals and needs; the generation of useful innovation that benefits stakeholders; and the establishment of tools that facilitate communication, interaction, and the sharing of information and knowledge. This information provides managers and public policymakers with key indicators, learned from prior mistakes and accomplishments, for the implementation of this innovation strategy in their organizations.","container-title":"International Review of Administrative Sciences","DOI":"10.1177/0020852319893444","ISSN":"0020-8523","issue":"1","language":"EN","page":"114-130","publisher":"SAGE Publications Ltd","source":"SAGE Journals","title":"How can governance support collaborative innovation in the public sector? A systematic review of the literature","title-short":"How can governance support collaborative innovation in the public sector?","volume":"88","author":[{"family":"Lopes","given":"André Vaz"},{"family":"Farias","given":"Josivania Silva"}],"issued":{"date-parts":[["2022",3,1]]}}}],"schema":"https://github.com/citation-style-language/schema/raw/master/csl-citation.json"}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(Ahn &amp; Baldwin, 2024; Lopes &amp; Farias, 2022)</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while the bounded escalation duty is participation that is real but bounded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{"citationID":"WG8kJg3Q","properties":{"unsorted":false,"formattedCitation":"(Gestel &amp; Grotenbreg, 2021)","plainCitation":"(Gestel &amp; Grotenbreg, 2021)","noteIndex":0},"citationItems":[{"id":517,"uris":["http://zotero.org/users/19711126/items/7LQEB697"],"itemData":{"id":517,"type":"article-journal","abstract":"Collaborative governance is believed to lead to more innovative solutions to complex problems in public services. This article analyses whether this hypothesis applies in the case of decentralisation of labour market policy to regional networks of various actors in the Netherlands. We first develop a theoretical argument that integrates theories of collaborative governance with theories of innovation, distinguishing between a wide and a small option for innovation in relation to the structure, process and output/outcome of collaborative governance. Our findings show that, despite a variety of partnerships and ambitions across the regions, new and bold solutions to complex problems are scarce. In particular, wide innovation, which creates public value beyond the existing policy frameworks and services, is limited in practice. The article advances the theory by specifying barriers and conditions for network innovation in the public sector, and provides some suggestions for further research.","container-title":"Policy &amp; Politics","DOI":"10.1332/030557321X16123785900606","ISSN":"1470-8442, 0305-5736","issue":"2","language":"en","page":"249-265","publisher":"Policy Press","section":"Policy &amp; Politics","source":"bristoluniversitypressdigital.com","title":"Collaborative governance and innovation in public services settings","volume":"49","author":[{"family":"Gestel","given":"Nicolette","dropping-particle":"van"},{"family":"Grotenbreg","given":"Sanne"}],"issued":{"date-parts":[["2021",4,1]]}}}],"schema":"https://github.com/citation-style-language/schema/raw/master/csl-citation.json"}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(Gestel &amp; Grotenbreg,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Competence maintenance follows the clause 7.2–7.3 analogues of both standards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{"citationID":"p7lZaUcr","properties":{"unsorted":false,"formattedCitation":"(14001 ISO/IEC, 2015; 22301 ISO/IEC, 2019)","plainCitation":"(14001 ISO/IEC, 2015; 22301 ISO/IEC, 2019)","noteIndex":0},"citationItems":[{"id":462,"uris":["http://zotero.org/users/19711126/items/IVKJ9HPD"],"itemData":{"id":462,"type":"standard","title":"ISO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 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8F9B5D9"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3 — Maintain escalation discipline through the ladder.</w:t>
      </w:r>
      <w:r w:rsidRPr="00DD1558">
        <w:rPr>
          <w:rFonts w:ascii="Simplified Arabic" w:eastAsia="Times New Roman" w:hAnsi="Simplified Arabic" w:cs="Simplified Arabic"/>
          <w:color w:val="1A1A1A"/>
          <w:sz w:val="28"/>
          <w:szCs w:val="28"/>
          <w14:ligatures w14:val="none"/>
        </w:rPr>
        <w:t xml:space="preserve"> The ladder — technician flags, the Unit routes and documents, the custodian supervisor decides, the Board adjudicates — mirrors the warning-and-communication logic of ISO 22301:2019 clause 8.4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{"citationID":"Ha8p7aSk","properties":{"unsorted":false,"formattedCitation":"(22301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Supervisors hold its decisive rung: an escalation absorbed informally destroys the documented information on which custody integrity and the loan-integrity risk family (RR-06, RR-10, RR-11) depend, enacting escalation factor EF3 in miniature.</w:t>
      </w:r>
    </w:p>
    <w:p w14:paraId="5EC213E8" w14:textId="6FF9DBF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t>Recommendation 4 — Own data quality at the point of entry: EB2 starts at the shelf.</w:t>
      </w:r>
      <w:r w:rsidRPr="00DD1558">
        <w:rPr>
          <w:rFonts w:ascii="Simplified Arabic" w:eastAsia="Times New Roman" w:hAnsi="Simplified Arabic" w:cs="Simplified Arabic"/>
          <w:color w:val="1A1A1A"/>
          <w:sz w:val="28"/>
          <w:szCs w:val="28"/>
          <w14:ligatures w14:val="none"/>
        </w:rPr>
        <w:t xml:space="preserve"> Registry data decay (RR-09) is the register’s most dangerous operational risk because it degrades three barriers simultaneously (PB1, PB2, MB2). Records originate in technician entries at receipt, issue, transfer, and disposal; supervisory accountability for entry timeliness and standard conformity is therefore barrier work, not clerical supervision, and KPI-G2 carries the framework’s highest monitoring intensity accordingly (</w:t>
      </w:r>
      <w:hyperlink w:anchor="section417" w:history="1">
        <w:r w:rsidR="0093358C" w:rsidRPr="0093358C">
          <w:rPr>
            <w:rStyle w:val="Hyperlink"/>
            <w:rFonts w:ascii="Simplified Arabic" w:eastAsia="Times New Roman" w:hAnsi="Simplified Arabic" w:cs="Simplified Arabic"/>
            <w:sz w:val="28"/>
            <w:szCs w:val="28"/>
            <w14:ligatures w14:val="none"/>
          </w:rPr>
          <w:t>Section 4.1.7</w:t>
        </w:r>
      </w:hyperlink>
      <w:r w:rsidRPr="00DD1558">
        <w:rPr>
          <w:rFonts w:ascii="Simplified Arabic" w:eastAsia="Times New Roman" w:hAnsi="Simplified Arabic" w:cs="Simplified Arabic"/>
          <w:color w:val="1A1A1A"/>
          <w:sz w:val="28"/>
          <w:szCs w:val="28"/>
          <w14:ligatures w14:val="none"/>
        </w:rPr>
        <w:t>).</w:t>
      </w:r>
    </w:p>
    <w:p w14:paraId="56828F76"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199" w:name="_Toc237539789"/>
      <w:r w:rsidRPr="00DD1558">
        <w:rPr>
          <w:rFonts w:ascii="Simplified Arabic" w:eastAsiaTheme="majorEastAsia" w:hAnsi="Simplified Arabic" w:cstheme="majorBidi"/>
          <w:sz w:val="28"/>
          <w:szCs w:val="28"/>
        </w:rPr>
        <w:t>4.6.5 Theoretical and Practical Contributions</w:t>
      </w:r>
      <w:bookmarkEnd w:id="199"/>
    </w:p>
    <w:p w14:paraId="69C6761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study’s contributions can be stated in five bounded claims. First, it delivers an </w:t>
      </w:r>
      <w:r w:rsidRPr="00DD1558">
        <w:rPr>
          <w:rFonts w:ascii="Simplified Arabic" w:eastAsia="Times New Roman" w:hAnsi="Simplified Arabic" w:cs="Simplified Arabic"/>
          <w:b/>
          <w:bCs/>
          <w:color w:val="1A1A1A"/>
          <w:sz w:val="28"/>
          <w:szCs w:val="28"/>
          <w14:ligatures w14:val="none"/>
        </w:rPr>
        <w:t>integrated qualitative governance model for participatory laboratory inventory</w:t>
      </w:r>
      <w:r w:rsidRPr="00DD1558">
        <w:rPr>
          <w:rFonts w:ascii="Simplified Arabic" w:eastAsia="Times New Roman" w:hAnsi="Simplified Arabic" w:cs="Simplified Arabic"/>
          <w:color w:val="1A1A1A"/>
          <w:sz w:val="28"/>
          <w:szCs w:val="28"/>
          <w14:ligatures w14:val="none"/>
        </w:rPr>
        <w:t xml:space="preserve">: five analytical lenses — risk maturity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{"citationID":"LTlh7Ykz","properties":{"unsorted":false,"formattedCitation":"(Hillson,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Bow-Tie analysis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{"citationID":"JDdY1k40","properties":{"unsorted":false,"formattedCitation":"(31010 ISO/IEC, 2019)","plainCitation":"(31010 ISO/IEC, 2019)","noteIndex":0},"citationItems":[{"id":541,"uris":["http://zotero.org/users/19711126/items/K94YEEKI"],"itemData":{"id":541,"type":"standard","title":"ISO 31010:2019(en,fr), Risk management — Risk assessment techniques / Management du risque — Techniques d'appréciation du risque","URL":"https://www.iso.org/obp/ui/#iso:std:iec:31010:ed-2:v1:en,fr","author":[{"family":"ISO/IEC","given":"31010"}],"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(31010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business continuity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{"citationID":"cONw0EKf","properties":{"unsorted":false,"formattedCitation":"(22301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environmental management and USR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{"citationID":"mifgz1Tc","properties":{"unsorted":false,"formattedCitation":"(Ali et al., 2021; 14001 ISO/IEC, 2015)","plainCitation":"(Ali et al., 2021; 14001 ISO/IEC, 2015)","noteIndex":0},"citationItems":[{"id":399,"uris":["http://zotero.org/users/19711126/items/BYHJP3NR"],"itemData":{"id":399,"type":"article-journal","abstract":"The purpose of this study is to ascertain the range of activities undertaken by universities for their social responsibility initiatives and how these activities make an impact on the stakeholders. A systematic literature review is conducted from eleven databases. A search for the term “university social responsibility” came up with results that pertain to specific social responsibility initiatives in higher education institutions. The articles were further screened to filter the relevant literature that refers to the application of social responsibility initiatives in different contexts and their outcomes. The findings show that it is imperative for the universities to integrate social responsibility initiatives in their administrative policies and management procedures for meaningful impact. Stakeholder involvement in the process is mandatory for a long-term approach and meaningful transformation of social issues. Universities across the globe need to undertake social responsibility as an integral process of the organization and mould their activities of teaching education and training accordingly. This research indicates the practical approaches that can be undertaken by universities to legitimize their social responsibility initiatives in the eyes of stakeholders. It also sheds light on the fact that the social responsibility of universities differs in nature from corporate social responsibility since the nature of institutional operations and objectives are inherently different from business organizations. The search was conducted for only articles published in the English language. Relevant research from other sources can be acquired to develop a deeper understanding of the concept using a multitude of terms that will help in increasing the scope of research.","container-title":"Journal of Cleaner Production","DOI":"10.1016/j.jclepro.2020.124931","ISSN":"0959-6526","journalAbbreviation":"Journal of Cleaner Production","page":"124931","source":"ScienceDirect","title":"University social responsibility: A review of conceptual evolution and its thematic analysis","title-short":"University social responsibility","volume":"286","author":[{"family":"Ali","given":"Muhammad"},{"family":"Mustapha","given":"Ishamuddin"},{"family":"Osman","given":"Sharina"},{"family":"Hassan","given":"Umar"}],"issued":{"date-parts":[["2021",3,1]]}}},{"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(Ali et al., 2021; 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w:t>
      </w:r>
      <w:r w:rsidRPr="00DD1558">
        <w:rPr>
          <w:rFonts w:ascii="Simplified Arabic" w:eastAsia="Times New Roman" w:hAnsi="Simplified Arabic" w:cs="Simplified Arabic"/>
          <w:color w:val="1A1A1A"/>
          <w:sz w:val="28"/>
          <w:szCs w:val="28"/>
          <w14:ligatures w14:val="none"/>
        </w:rPr>
        <w:lastRenderedPageBreak/>
        <w:t xml:space="preserve">FIRM taxonomy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{"citationID":"1rgqYM0V","properties":{"unsorted":false,"formattedCitation":"(Hopkin, 2018)","plainCitation":"(Hopkin, 2018)","noteIndex":0},"citationItems":[{"id":452,"uris":["http://zotero.org/users/19711126/items/B5VQ2QLG"],"itemData":{"id":452,"type":"book","abstract":"This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(Hopkin,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 integrated so that each answers a question the others cannot. The four relevant literature streams — circular economy, green laboratories, equipment sharing, and digital readiness — rarely meet in one framework, almost never converge on educational rather than research laboratories, and are virtually absent from the Saudi and Gulf context; the model occupies that intersection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{"citationID":"yKaeMGPl","properties":{"unsorted":false,"formattedCitation":"(Alamoudi et al., 2023; Durgan et al., 2023; Kirchherr et al., 2017; Strom et al., 2020)","plainCitation":"(Alamoudi et al., 2023; Durgan et al., 2023; Kirchherr et al., 2017; Strom et al., 2020)","noteIndex":0},"citationItems":[{"id":397,"uris":["http://zotero.org/users/19711126/items/NXW23TK2"],"itemData":{"id":397,"type":"article-journal","abstract":"Cities in Saudi Arabia need to expand rapidly due to the rapidly growing urban population. To develop smart sustainable cities (SSC), human, social, and environmental capital investments must be expanded beyond just focusing on technology. There have been several cities that have adopted smart city labels as recognition of the advantages of smart cities. Many countries acknowledge the value of citizens’ involvement in public urban planning and decision making, but it is difficult to evaluate their impact and compare it to other factors. This study aims to develop a citizens’ participation framework, identify any additional stakeholder’s management measures (SMM) (in addition to the ones previously developed by the authors), and explain the relationship with citizens’ participation level (CPL) for driving SSC. Three rounds of the Delphi method were conducted to structure and validate the framework by the decision maker in the field of urban planning and reach a consensus of understanding the drivers of SSC. The study group was limited to 25 participants because this study focuses on the perspective of decision makers toward CP. Mean score (MS) ranking and Kendall Coefficient were used to confirm the importance of these additional stakeholders’ management measures. The results suggest three main component structures of the conceptual framework, which are SMM, CPL, and Citizens’ Participation Recruitment (CPR), which are all necessary for smart sustainable city outcomes (SSCO) for achieving the Future Sustainable Cities Plan (FSCP) within the context of Vision 2030 and government policy in Saudi Arabia. Using the proposed framework will enable all the stakeholders to gain a deeper understanding of SSC and their complex natures from a conceptual and practical standpoint. The contribution to knowledge of this study is by developing a conceptual framework that can support the implementation of SSC, and by providing an understanding the CPR standards and the involvement of citizens in urban development, which eliminates any debate regarding SSC.","container-title":"Sustainability","DOI":"10.3390/su15086648","ISSN":"2071-1050","issue":"8","language":"en","license":"http://creativecommons.org/licenses/by/3.0/","page":"6648","publisher":"Multidisciplinary Digital Publishing Institute","source":"www.mdpi.com","title":"Implementing Smart Sustainable Cities in Saudi Arabia: A Framework for Citizens’ Participation towards SAUDI VISION 2030","title-short":"Implementing Smart Sustainable Cities in Saudi Arabia","volume":"15","author":[{"family":"Alamoudi","given":"Abood Khaled"},{"family":"Abidoye","given":"Rotimi Boluwatife"},{"family":"Lam","given":"Terence Y. M."}],"issued":{"date-parts":[["2023",1]]}}},{"id":432,"uris":["http://zotero.org/users/19711126/items/Q74PR9A9"],"itemData":{"id":432,"type":"article-journal","abstract":"Scientific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470,"uris":["http://zotero.org/users/19711126/items/WIAJWCHL"],"itemData":{"id":470,"type":"article-journal","abstract":"The circular economy concept has gained momentum both among scholars and practitioners. However, critics claim that it means many different things to different people. This paper provides further evidence for these critics. The aim of this paper is to create transparency regarding the current understandings of the circular economy concept. For this purpose, we have gathered 114 circular economy definitions which were coded on 17 dimensions. Our findings indicate that the circular economy is most frequently depicted as a combination of reduce, reuse and recycle activities, whereas it is oftentimes not highlighted that CE necessitates a systemic shift. We further find that the definitions show few explicit linkages of the circular economy concept to sustainable development. The main aim of the circular economy is considered to be economic prosperity, followed by environmental quality; its impact on social equity and future generations is barely mentioned. Furthermore, neither business models nor consumers are frequently outlined as enablers of the circular economy. We critically discuss the various circular economy conceptualizations throughout this paper. Overall, we hope to contribute via this study towards the coherence of the circular economy concept; we presume that significantly varying circular economy definitions may eventually result in the collapse of the concept.","container-title":"Resources, Conservation and Recycling","DOI":"10.1016/j.resconrec.2017.09.005","ISSN":"0921-3449","journalAbbreviation":"Resources, Conservation and Recycling","page":"221-232","source":"ScienceDirect","title":"Conceptualizing the circular economy: An analysis of 114 definitions","title-short":"Conceptualizing the circular economy","volume":"127","author":[{"family":"Kirchherr","given":"Julian"},{"family":"Reike","given":"Denise"},{"family":"Hekkert","given":"Marko"}],"issued":{"date-parts":[["2017",12,1]]}}},{"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(Alamoudi et al., 2023; Durgan et al., 2023; Kirchherr et al., 2017; Strom et al., 2020)</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DAD0A1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Second, the thesis contributes the </w:t>
      </w:r>
      <w:r w:rsidRPr="00DD1558">
        <w:rPr>
          <w:rFonts w:ascii="Simplified Arabic" w:eastAsia="Times New Roman" w:hAnsi="Simplified Arabic" w:cs="Simplified Arabic"/>
          <w:b/>
          <w:bCs/>
          <w:color w:val="1A1A1A"/>
          <w:sz w:val="28"/>
          <w:szCs w:val="28"/>
          <w14:ligatures w14:val="none"/>
        </w:rPr>
        <w:t>adapted three-band maturity trajectory as an assessment vocabulary</w:t>
      </w:r>
      <w:r w:rsidRPr="00DD1558">
        <w:rPr>
          <w:rFonts w:ascii="Simplified Arabic" w:eastAsia="Times New Roman" w:hAnsi="Simplified Arabic" w:cs="Simplified Arabic"/>
          <w:color w:val="1A1A1A"/>
          <w:sz w:val="28"/>
          <w:szCs w:val="28"/>
          <w14:ligatures w14:val="none"/>
        </w:rPr>
        <w:t xml:space="preserve">, explicitly declared as adapted terminology anchored to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{"citationID":"EL4eCUXB","properties":{"unsorted":false,"formattedCitation":"(Hillson, D. A., 1997)","plainCitation":"(Hillson, D. A., 1997)","noteIndex":0},"citationItems":[{"id":540,"uris":["http://zotero.org/users/19711126/items/IB7NEYQH"],"itemData":{"id":540,"type":"report","title":"Towards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and the CMMI/ISO capability scale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{"citationID":"nwA2fAB2","properties":{"unsorted":false,"formattedCitation":"(Paulk et al., 1993)","plainCitation":"(Paulk et al., 1993)","noteIndex":0},"citationItems":[{"id":489,"uris":["http://zotero.org/users/19711126/items/D62KKYE3"],"itemData":{"id":489,"type":"article-journal","abstract":"The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its practical value is that it converts reform sequencing into a maturity argument, naming standardization, governance, and measurement-and-review as the three transitions no procurement can replace. Third, it contributes the </w:t>
      </w:r>
      <w:r w:rsidRPr="00DD1558">
        <w:rPr>
          <w:rFonts w:ascii="Simplified Arabic" w:eastAsia="Times New Roman" w:hAnsi="Simplified Arabic" w:cs="Simplified Arabic"/>
          <w:b/>
          <w:bCs/>
          <w:color w:val="1A1A1A"/>
          <w:sz w:val="28"/>
          <w:szCs w:val="28"/>
          <w14:ligatures w14:val="none"/>
        </w:rPr>
        <w:t>bow-tie-to-governance ownership method</w:t>
      </w:r>
      <w:r w:rsidRPr="00DD1558">
        <w:rPr>
          <w:rFonts w:ascii="Simplified Arabic" w:eastAsia="Times New Roman" w:hAnsi="Simplified Arabic" w:cs="Simplified Arabic"/>
          <w:color w:val="1A1A1A"/>
          <w:sz w:val="28"/>
          <w:szCs w:val="28"/>
          <w14:ligatures w14:val="none"/>
        </w:rPr>
        <w:t xml:space="preserve">: the conversion of a barrier architecture into an organizational chart of accountability, with every barrier assigned a named owner and the register, dashboard, and gates traceable back to the same Bow-Tie structure — operationalizing the method’s documented management value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{"citationID":"0UMGNUUX","properties":{"unsorted":false,"formattedCitation":"(Cormier et al., 2019; de Ruijter &amp; Guldenmund, 2016)","plainCitation":"(Cormier et al., 2019; de Ruijter &amp; Guldenmund, 2016)","noteIndex":0},"citationItems":[{"id":425,"uris":["http://zotero.org/users/19711126/items/BSLAHZU5"],"itemData":{"id":425,"type":"article-journal","abstract":"Marine policy and management has to cope with a plethora of human activities that cause pressures leading to changes to the natural and human systems. Accordingly, it requires many policy and management responses to address traditional, cultural, social, ecological, technical, and economic policy objectives. Because of this, we advocate that a fully-structured approach using the IEC/ISO 31010 Bow-tie analysis will allow all elements to be integrated for a cost-effective system. This industry-standard system, described here with examples for the marine environment, will fulfil many of the demands by the users and uses of the marine system and the regulators of those users and uses. It allows for bridging several aspects: the management and environmental sciences, the management complexity and governance demands, the natural and social sciences and socio-economics and outcomes. Most importantly, the use of the Bow-tie approach bridges systems analysis and ecosystem complexity. At a time when scientific decisions in policy making and implementation are under question, we conclude that it provides a rigorous, transparent and defendable system of decision-making.","container-title":"Science of The Total Environment","DOI":"10.1016/j.scitotenv.2018.08.168","ISSN":"0048-9697","journalAbbreviation":"Science of The Total Environment","page":"293-305","source":"ScienceDirect","title":"Putting on a bow-tie to sort out who does what and why in the complex arena of marine policy and management","volume":"648","author":[{"family":"Cormier","given":"Roland"},{"family":"Elliott","given":"Michael"},{"family":"Rice","given":"Jake"}],"issued":{"date-parts":[["2019",1,15]]}}},{"id":429,"uris":["http://zotero.org/users/19711126/items/HU29KB4F"],"itemData":{"id":429,"type":"article-journal","abstract":"The bowtie method is becoming more popular, but it lacks a consistent approach. This article reviews the available literature and identifies the different approaches that are taken. There are two main types of bowties. Quantitative bowties and Qualitative bowties. Most Quantitative bowties use a fault tree together with an event tree and barriers to calculate risk. The ORM bowtie can also be considered a Quantitative bowtie, although its structure is different from a fault and event tree. Qualitative bowties use simpler cause–effect scenarios with barriers to communicate the risk to an audience. It is proposed to allow these variations of the method to exist and be used when applicable. It is also proposed that people using the bowtie method give an additional qualification as to whether they’re using a qualitative or quantitative variant.","container-title":"Safety Science","DOI":"10.1016/j.ssci.2016.03.001","ISSN":"0925-7535","journalAbbreviation":"Safety Science","page":"211-218","source":"ScienceDirect","title":"The bowtie method: A review","title-short":"The bowtie method","volume":"88","author":[{"family":"Ruijter","given":"A.","non-dropping-particle":"de"},{"family":"Guldenmund","given":"F."}],"issued":{"date-parts":[["2016",10,1]]}}}],"schema":"https://github.com/citation-style-language/schema/raw/master/csl-citation.json"}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(Cormier et al., 2019; de Ruijter &amp; Guldenmund, 2016)</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26A492F" w14:textId="55808B7F"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Fourth, the thesis offers a </w:t>
      </w:r>
      <w:r w:rsidRPr="00DD1558">
        <w:rPr>
          <w:rFonts w:ascii="Simplified Arabic" w:eastAsia="Times New Roman" w:hAnsi="Simplified Arabic" w:cs="Simplified Arabic"/>
          <w:b/>
          <w:bCs/>
          <w:color w:val="1A1A1A"/>
          <w:sz w:val="28"/>
          <w:szCs w:val="28"/>
          <w14:ligatures w14:val="none"/>
        </w:rPr>
        <w:t>transferable template for Saudi and Gulf higher education</w:t>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written for a large public science faculty within a Saudi higher education institution, with a life sciences department as the embedded unit of analysis, its constructs transfer by reasoned analogy, consistent with analytic rather than statistical generalization</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{"citationID":"FyolJ5FL","properties":{"unsorted":false,"formattedCitation":"(Knott et al., 2022; Takagi et al., 2024)","plainCitation":"(Knott et al., 2022; Takagi et al., 2024)","noteIndex":0},"citationItems":[{"id":473,"uris":["http://zotero.org/users/19711126/items/QSRBIQTB"],"itemData":{"id":473,"type":"article-journal","abstract":"In-depth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(Knott et al., 2022;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Fifth, it contributes the </w:t>
      </w:r>
      <w:r w:rsidRPr="00DD1558">
        <w:rPr>
          <w:rFonts w:ascii="Simplified Arabic" w:eastAsia="Times New Roman" w:hAnsi="Simplified Arabic" w:cs="Simplified Arabic"/>
          <w:b/>
          <w:bCs/>
          <w:color w:val="1A1A1A"/>
          <w:sz w:val="28"/>
          <w:szCs w:val="28"/>
          <w14:ligatures w14:val="none"/>
        </w:rPr>
        <w:t>definition-before-data KPI philosophy as a design-phase measurement contribution</w:t>
      </w:r>
      <w:r w:rsidRPr="00DD1558">
        <w:rPr>
          <w:rFonts w:ascii="Simplified Arabic" w:eastAsia="Times New Roman" w:hAnsi="Simplified Arabic" w:cs="Simplified Arabic"/>
          <w:color w:val="1A1A1A"/>
          <w:sz w:val="28"/>
          <w:szCs w:val="28"/>
          <w14:ligatures w14:val="none"/>
        </w:rPr>
        <w:t>: fourteen indicators fully specified with no baseline, numeric target, or result asserted, so that measurement follows capability and never precedes it, and a future Perform-band claim would be substantiated by evidence rather than aspiration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{"citationID":"El8EqRfK","properties":{"unsorted":false,"formattedCitation":"(14001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{"citationID":"MAbHLm2g","properties":{"unsorted":false,"formattedCitation":"(22301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9.1;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{"citationID":"JNcsZQ6s","properties":{"unsorted":false,"formattedCitation":"(Rodr\\uc0\\u237{}guez-Abitia &amp; Bribiesca-Correa, 2021)","plainCitation":"(Rodríguez-Abitia &amp; Bribiesca-Correa, 2021)","noteIndex":0},"citationItems":[{"id":498,"uris":["http://zotero.org/users/19711126/items/6ISTLX2A"],"itemData":{"id":498,"type":"article-journal","abstract":"Industry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(Rodríguez-Abitia &amp; Bribiesca-Correa,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72868F13"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200" w:name="_Toc237539790"/>
      <w:r w:rsidRPr="00DD1558">
        <w:rPr>
          <w:rFonts w:ascii="Simplified Arabic" w:eastAsiaTheme="majorEastAsia" w:hAnsi="Simplified Arabic" w:cstheme="majorBidi"/>
          <w:sz w:val="28"/>
          <w:szCs w:val="28"/>
        </w:rPr>
        <w:lastRenderedPageBreak/>
        <w:t>4.6.6 Limitations and Future Research</w:t>
      </w:r>
      <w:bookmarkEnd w:id="200"/>
    </w:p>
    <w:p w14:paraId="2F2BC79C" w14:textId="208EBA23"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study’s limitations follow from its deliberate design choices, and each defines a research direction. </w:t>
      </w:r>
      <w:r w:rsidRPr="00DD1558">
        <w:rPr>
          <w:rFonts w:ascii="Simplified Arabic" w:eastAsia="Times New Roman" w:hAnsi="Simplified Arabic" w:cs="Simplified Arabic"/>
          <w:b/>
          <w:bCs/>
          <w:color w:val="1A1A1A"/>
          <w:sz w:val="28"/>
          <w:szCs w:val="28"/>
          <w14:ligatures w14:val="none"/>
        </w:rPr>
        <w:t>Empirical validation after gate-governed implementation:</w:t>
      </w:r>
      <w:r w:rsidRPr="00DD1558">
        <w:rPr>
          <w:rFonts w:ascii="Simplified Arabic" w:eastAsia="Times New Roman" w:hAnsi="Simplified Arabic" w:cs="Simplified Arabic"/>
          <w:color w:val="1A1A1A"/>
          <w:sz w:val="28"/>
          <w:szCs w:val="28"/>
          <w14:ligatures w14:val="none"/>
        </w:rPr>
        <w:t xml:space="preserve"> the framework is a design artifact; once the College passes gates G1–G3, the dashboard’s established baselines and pilot workflow evidence become the record against which its structural claims can be tested, and </w:t>
      </w:r>
      <w:hyperlink w:anchor="section292" w:history="1">
        <w:r w:rsidR="000A422D" w:rsidRPr="0093358C">
          <w:rPr>
            <w:rStyle w:val="Hyperlink"/>
            <w:rFonts w:ascii="Simplified Arabic" w:eastAsia="Times New Roman" w:hAnsi="Simplified Arabic" w:cs="Simplified Arabic"/>
            <w:sz w:val="28"/>
            <w:szCs w:val="28"/>
            <w14:ligatures w14:val="none"/>
          </w:rPr>
          <w:t>Section 2.9.2</w:t>
        </w:r>
      </w:hyperlink>
      <w:r w:rsidRPr="00DD1558">
        <w:rPr>
          <w:rFonts w:ascii="Simplified Arabic" w:eastAsia="Times New Roman" w:hAnsi="Simplified Arabic" w:cs="Simplified Arabic"/>
          <w:color w:val="1A1A1A"/>
          <w:sz w:val="28"/>
          <w:szCs w:val="28"/>
          <w14:ligatures w14:val="none"/>
        </w:rPr>
        <w:t xml:space="preserve">’s verbal priority bands can be revisited with operating history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{"citationID":"psKhrv8e","properties":{"unsorted":false,"formattedCitation":"(31000 ISO/IEC, 2018)","plainCitation":"(31000 ISO/IEC, 2018)","noteIndex":0},"citationItems":[{"id":464,"uris":["http://zotero.org/users/19711126/items/3P2A2GPY"],"itemData":{"id":464,"type":"standard","title":"ISO 31000:2018(en), Risk management — Guidelines","URL":"https://www.iso.org/obp/ui/#iso:std:iso:31000:ed-2:v1:en","author":[{"family":"ISO/IEC","given":"31000"}],"accessed":{"date-parts":[["2026",8,6]]},"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(31000 ISO/IEC,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Cross-institutional comparative designs:</w:t>
      </w:r>
      <w:r w:rsidRPr="00DD1558">
        <w:rPr>
          <w:rFonts w:ascii="Simplified Arabic" w:eastAsia="Times New Roman" w:hAnsi="Simplified Arabic" w:cs="Simplified Arabic"/>
          <w:color w:val="1A1A1A"/>
          <w:sz w:val="28"/>
          <w:szCs w:val="28"/>
          <w14:ligatures w14:val="none"/>
        </w:rPr>
        <w:t xml:space="preserve"> </w:t>
      </w:r>
      <w:r w:rsidR="00F84E0F" w:rsidRPr="00F84E0F">
        <w:rPr>
          <w:rFonts w:ascii="Simplified Arabic" w:eastAsia="Times New Roman" w:hAnsi="Simplified Arabic" w:cs="Simplified Arabic"/>
          <w:color w:val="1A1A1A"/>
          <w:sz w:val="28"/>
          <w:szCs w:val="28"/>
          <w14:ligatures w14:val="none"/>
        </w:rPr>
        <w:t>the single embedded case claims analytic generalization only; comparative qualitative designs across other faculties within the host institution, as well as other Saudi and Gulf institutions, would test the transferability claim</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{"citationID":"Ss7cQYSY","properties":{"unsorted":false,"formattedCitation":"(Knott et al., 2022; Takagi et al., 2024)","plainCitation":"(Knott et al., 2022; Takagi et al., 2024)","noteIndex":0},"citationItems":[{"id":473,"uris":["http://zotero.org/users/19711126/items/QSRBIQTB"],"itemData":{"id":473,"type":"article-journal","abstract":"In-depth interviews are a versatile form of qualitative data collection used by researchers across the social sciences. They allow individuals to explain, in their own words, how they understand and interpret the world around them. Interviews represent a deceptively familiar social encounter in which people interact by asking and answering questions. They are, however, a very particular type of conversation, guided by the researcher and used for specific ends. This dynamic introduces a range of methodological, analytical and ethical challenges, for novice researchers in particular. In this Primer, we focus on the stages and challenges of designing and conducting an interview project and analysing data from it, as well as strategies to overcome such challenges.","container-title":"Nature Reviews Methods Primers","DOI":"10.1038/s43586-022-00150-6","ISSN":"2662-8449","issue":"1","journalAbbreviation":"Nat Rev Methods Primers","language":"en","license":"2022 Springer Nature Limited","page":"73","publisher":"Nature Publishing Group","source":"www.nature.com","title":"Interviews in the social sciences","volume":"2","author":[{"family":"Knott","given":"Eleanor"},{"family":"Rao","given":"Aliya Hamid"},{"family":"Summers","given":"Kate"},{"family":"Teeger","given":"Chana"}],"issued":{"date-parts":[["2022",9,15]]}}},{"id":512,"uris":["http://zotero.org/users/19711126/items/MZXA8SGP"],"itemData":{"id":512,"type":"article-journal","abstract":"As in the private sector, public organizational information systems (IS) development is commonly carried out through projects. One of the alternatives followed by governmental organizations to perform their projects is outsourcing (by hiring other public institutions that have expertise in the IS area of the projects to be developed). However, limited research has been conducted on project success regarding these government-to-government (G2G) contexts. Since achieving success is crucial for public management, this paper proposes a model for Success Management of IS projects in G2G context.The research method was design science research (DSR). In the evaluation step of the DSR, IS projects in a G2G environment were the object of case studies.This work presents in detail how Success Management activities can be integrated into the processes and process groups of the Project Management Institute's project management guide. The authors also suggest tools and techniques to be used in each Success Management activity.Managing success, particularly addressing success criteria and success factors, can help managers focus their efforts on what will really impact the success of a project. In the context of IS projects in G2G contexts, this contributes to decreasing waste and increasing the chances of providing better services to citizens.This work contributes to theory by providing a new model for IS G2G projects that integrates Success Management and project management processes.","container-title":"International Journal of Managing Projects in Business","DOI":"10.1108/IJMPB-06-2023-0143","ISSN":"1753-8378","issue":"1","journalAbbreviation":"International Journal of Managing Projects in Business","page":"153-171","source":"Silverchair","title":"Implementing success management on government-to-government projects: an integrated perspective with the PMBOK guide","title-short":"Implementing success management on government-to-government projects","volume":"17","author":[{"family":"Takagi","given":"Nilton"},{"family":"Varajão","given":"João"},{"family":"Ventura","given":"Thiago"}],"issued":{"date-parts":[["2024",1,29]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(Knott et al., 2022; Takagi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Digital platform evaluation once G4 opens:</w:t>
      </w:r>
      <w:r w:rsidRPr="00DD1558">
        <w:rPr>
          <w:rFonts w:ascii="Simplified Arabic" w:eastAsia="Times New Roman" w:hAnsi="Simplified Arabic" w:cs="Simplified Arabic"/>
          <w:color w:val="1A1A1A"/>
          <w:sz w:val="28"/>
          <w:szCs w:val="28"/>
          <w14:ligatures w14:val="none"/>
        </w:rPr>
        <w:t xml:space="preserve"> once readiness is demonstrated, evaluation of barcode- and RFID-assisted tracking against the Unit’s requirements baseline becomes both possible and necessary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{"citationID":"Sx9asRdB","properties":{"unsorted":false,"formattedCitation":"(Carpitella &amp; Izquierdo, 2025; Maulana et al., 2023; Wilke et al., 2023)","plainCitation":"(Carpitella &amp; Izquierdo, 2025; Maulana et al., 2023; Wilke et al., 2023)","noteIndex":0},"citationItems":[{"id":419,"uris":["http://zotero.org/users/19711126/items/TZRZHV7D"],"itemData":{"id":419,"type":"article-journal","abstract":"This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484,"uris":["http://zotero.org/users/19711126/items/VLCAF3D6"],"itemData":{"id":484,"type":"article-journal","abstract":"Numerous tools, kits, and other items are utilized daily by many individuals in the college laboratories. Without a proper inventory record, there is a risk of missing and misplacing some items. The system for tracking items using Radio Frequency Identification (RFID) accessed via the website has been designed to track the location of each item in the laboratory using RFID technology. The primary objective of this system is to monitor and record inventory. Information regarding the inventory is stored in a database, which can be accessed to track inventory and review the history of specific items via the Internet. The designed system is capable of tracking and managing laboratory equipment inventory using RFID, accessible through a web-based platform.","container-title":"Jurnal Rekayasa Elektrika","DOI":"10.17529/jre.v19i3.27050","ISSN":"2252-620X","issue":"3","language":"en","license":"Copyright (c) 2023 Jurnal Rekayasa Elektrika","source":"jurnal.usk.ac.id","title":"Web-Based Item Tracking System Using RFID","URL":"https://jurnal.usk.ac.id/JRE/article/view/27050","volume":"19","author":[{"family":"Maulana","given":"Azinurrachman"},{"family":"Aisyah","given":"Siti"},{"family":"Wikanta","given":"Prasaja"}],"accessed":{"date-parts":[["2026",8,6]]},"issued":{"date-parts":[["2023",9,25]]}}},{"id":529,"uris":["http://zotero.org/users/19711126/items/UJ5TQGHH"],"itemData":{"id":529,"type":"article-journal","abstract":"Manual restocking and tracking of noncontrolled medications in anesthesia workstations (AWSs) is complicated and time intensive, provides several opportunities for error, and lacks perpetual inventory transparency regarding expiration and lot number. This pre-post study assessed the impact of radio-frequency identification (RFID) technology on restocking of noncontrolled medications in AWSs in relation to workflow, improved patient safety due to reduced restocking errors, and restocking accuracy and efficiency, as well as the estimated costs of on-site medication RFID tagging versus purchase of pretagged products.Pre- and postimplementation process steps were mapped. Randomized AWS tray audits were conducted to assess patient safety, and AWS tray restocking efficiency was measured through stopwatch studies. Time and costs associated with purchase of manufacturer RFID tagged medications versus manually tagging medications on-site were estimated. Pre-post comparisons were completed using descriptive statistics. Prior to implementation, manual AWS restocking took a mean (SD) of 37.9 (24.7) seconds (range, 4.6-135.9 seconds), compared to 145.9 (50.6) seconds (range, 43.4-314.3 seconds) after implementation. The automated workflow took technicians an average of 108 seconds (1.8 minutes) longer than the baseline time. However, restocking errors were reduced by 64.7% and outdated and missing medications eliminated. Manually applying tags to packages containing 25 vials took a mean (SD) of 174.8 (19.8) seconds (range, 131-218 seconds) for smaller vials, compared to 128.1 (21.6) seconds (range, 102-166 seconds) for larger vials. Manual tag application was also more expensive than purchasing of pretagged vials.Automated RFID technology for AWS restocking decreased restocking errors but increased the length of time to complete the restocking process.","container-title":"American Journal of Health-System Pharmacy","DOI":"10.1093/ajhp/zxac367","ISSN":"1079-2082","issue":"6","journalAbbreviation":"Am J Health Syst Pharm","page":"384-389","source":"Silverchair","title":"Implementation of radio-frequency identification technology to optimize medication inventory management in the intraoperative setting","volume":"80","author":[{"family":"Wilke","given":"Carlie"},{"family":"Bowden","given":"Ashley"},{"family":"Sanders","given":"Tom"},{"family":"Nickman","given":"Nancy A"},{"family":"Ashmead","given":"Payson"}],"issued":{"date-parts":[["2023",3,15]]}}}],"schema":"https://github.com/citation-style-language/schema/raw/master/csl-citation.json"}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(Carpitella &amp; Izquierdo, 2025; Maulana et al., 2023; Wilke et al., 2023)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Extension to research core facilities:</w:t>
      </w:r>
      <w:r w:rsidRPr="00DD1558">
        <w:rPr>
          <w:rFonts w:ascii="Simplified Arabic" w:eastAsia="Times New Roman" w:hAnsi="Simplified Arabic" w:cs="Simplified Arabic"/>
          <w:color w:val="1A1A1A"/>
          <w:sz w:val="28"/>
          <w:szCs w:val="28"/>
          <w14:ligatures w14:val="none"/>
        </w:rPr>
        <w:t xml:space="preserve"> shared-instrumentation governance presents a cognate but distinct problem for which the core-facility literature provides a comparative base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{"citationID":"1yBKmJ6W","properties":{"unsorted":false,"formattedCitation":"(Adami et al., 2021; Strom et al., 2020; X. Wang &amp; Qu, 2025)","plainCitation":"(Adami et al., 2021; Strom et al., 2020; X. Wang &amp; Qu, 2025)","noteIndex":0},"citationItems":[{"id":388,"uris":["http://zotero.org/users/19711126/items/UMKLAE3V"],"itemData":{"id":388,"type":"article-journal","abstract":"Core facilities (CFs) provide a centralised access to costly equipment, scientific expertise, experimental design, day-to-day technical support and training of users. CFs have a tremendous impact on research outputs, skills and educational agendas, increasing the competencies of staff, researchers and students. However, the rapid development of new technologies and methodologies for the life sciences requires fast adaptation and development of existing core facilities and their technical and scientific staff. Given the scarcity of well-defined CF career paths, CF staff positions are typically filled by people having followed either academic or technical tracks. Each academic institution follows different policies and often fails to adequately recognize the merits of CF personnel and to support their training efficiently. Thus, the Core Technologies for Life Science association (CTLS), through the Training working group, has conducted an anonymous online survey to assess the training needs of CF personnel, as well as to identify common characteristics and challenges in this relatively new and dynamic career type. 275 individuals, including core managers and directors, technicians, technologists and administrators, participated in the survey. The survey was divided into 2 sections; the first, applied to all respondents, and the second, specifically targeted core management issues. Training needs in technological areas, financial and soft skills, management and administrative issues were surveyed as well. The lack of clarity and consistency regarding established career paths for CF professionals was evident from the second part of the survey, highlighting geographical or cultural differences. Gender balance was achieved and the distribution was always taken into account. The results of this survey highlight a need to develop better training resources for CF staff, to improve their recognition within academic institutions, and to establish a recognized career pathway.","container-title":"Journal of Biomolecular Techniques : JBT","DOI":"10.7171/jbt.21-3201-002","ISSN":"1524-0215","issue":"1","journalAbbreviation":"J Biomol Tech","page":"1-9","PMID":"33880077","PMCID":"PMC7704034","source":"PubMed Central","title":"An international survey of Training Needs and Career Paths of Core Facility Staff","volume":"32","author":[{"family":"Adami","given":"Valentina"},{"family":"Homer","given":"Natalie"},{"family":"Utz","given":"Nadine"},{"family":"Lippens","given":"Saskia"},{"family":"Rappoport","given":"Joshua Z."},{"family":"Fernandez-Rodriguez","given":"Julia"}],"issued":{"date-parts":[["2021",4]]}}},{"id":508,"uris":["http://zotero.org/users/19711126/items/IFVMEKJ2"],"itemData":{"id":508,"type":"article-journal","container-title":"MRS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(Adami et al., 2021; Strom et al., 2020;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Longitudinal maturity assessment:</w:t>
      </w:r>
      <w:r w:rsidRPr="00DD1558">
        <w:rPr>
          <w:rFonts w:ascii="Simplified Arabic" w:eastAsia="Times New Roman" w:hAnsi="Simplified Arabic" w:cs="Simplified Arabic"/>
          <w:color w:val="1A1A1A"/>
          <w:sz w:val="28"/>
          <w:szCs w:val="28"/>
          <w14:ligatures w14:val="none"/>
        </w:rPr>
        <w:t xml:space="preserve"> repeated assessment against the adapted bands across successive review cycles would convert the trajectory from a sequencing device into a validated construct and test whether the three named transitions are in fact the mechanisms of band movement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{"citationID":"zZJpK1X1","properties":{"unsorted":false,"formattedCitation":"(Hillson, D. A., 1997; Paulk et al., 1993)","plainCitation":"(Hillson, D. A., 1997; Paulk et al., 1993)","noteIndex":0},"citationItems":[{"id":540,"uris":["http://zotero.org/users/19711126/items/IB7NEYQH"],"itemData":{"id":540,"type":"report","title":"Towards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A.","given":""}],"accessed":{"date-parts":[["2026",8,6]]},"issued":{"date-parts":[["1997"]]}}},{"id":489,"uris":["http://zotero.org/users/19711126/items/D62KKYE3"],"itemData":{"id":489,"type":"article-journal","abstract":"The capability maturity model (CMM), developed to present sets of recommended practices in a number of key process areas that have been shown to enhance software-development and maintenance capability, is discussed. The CMM was designed to help developers select process-improvement strategies by determining their current process maturity and identifying the issues most critical to improving their software quality and process. The initial release of the CMM, version 1.0, was reviewed and used by the software community during 1991 and 1992. A workshop on CMM 1.0, held in April 1992, was attended by about 200 software professionals. The current version of the CMM is the result of the feedback from that workshop and ongoing feedback from the software community. The technical report that describes version 1.1. is summarised.&lt;&gt;","container-title":"IEEE Software","DOI":"10.1109/52.219617","ISSN":"1937-4194","issue":"4","page":"18-27","source":"IEEE Xplore","title":"Capability maturity model, version 1.1","volume":"10","author":[{"family":"Paulk","given":"M.C."},{"family":"Curtis","given":"B."},{"family":"Chrissis","given":"M.B."},{"family":"Weber","given":"C.V."}],"issued":{"date-parts":[["1993",7]]}}}],"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(Hillson, D. A., 1997; Paulk et al., 1993)</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3D958151" w14:textId="77777777" w:rsidR="00DD1558" w:rsidRPr="00DD1558" w:rsidRDefault="00DD1558" w:rsidP="00DD1558">
      <w:pPr>
        <w:bidi w:val="0"/>
        <w:spacing w:before="180" w:line="360" w:lineRule="auto"/>
        <w:rPr>
          <w:rFonts w:ascii="Times New Roman" w:eastAsia="Times New Roman" w:hAnsi="Times New Roman" w:cs="Times New Roman"/>
          <w:color w:val="1A1A1A"/>
          <w:sz w:val="24"/>
          <w:szCs w:val="24"/>
          <w14:ligatures w14:val="none"/>
        </w:rPr>
      </w:pPr>
    </w:p>
    <w:p w14:paraId="2B8ECB81" w14:textId="77777777" w:rsidR="00DD1558" w:rsidRPr="00DD1558" w:rsidRDefault="00DD1558" w:rsidP="00DD1558">
      <w:pPr>
        <w:bidi w:val="0"/>
        <w:spacing w:before="180" w:line="360" w:lineRule="auto"/>
        <w:rPr>
          <w:rFonts w:ascii="Times New Roman" w:eastAsia="Times New Roman" w:hAnsi="Times New Roman" w:cs="Times New Roman"/>
          <w:color w:val="1A1A1A"/>
          <w:sz w:val="24"/>
          <w:szCs w:val="24"/>
          <w14:ligatures w14:val="none"/>
        </w:rPr>
      </w:pPr>
    </w:p>
    <w:p w14:paraId="2021EDDB" w14:textId="77777777" w:rsidR="00DD1558" w:rsidRPr="00DD1558" w:rsidRDefault="00DD1558" w:rsidP="00DD1558">
      <w:pPr>
        <w:bidi w:val="0"/>
        <w:spacing w:before="180" w:line="360" w:lineRule="auto"/>
        <w:rPr>
          <w:rFonts w:ascii="Times New Roman" w:eastAsia="Times New Roman" w:hAnsi="Times New Roman" w:cs="Times New Roman"/>
          <w:color w:val="1A1A1A"/>
          <w:sz w:val="24"/>
          <w:szCs w:val="24"/>
          <w14:ligatures w14:val="none"/>
        </w:rPr>
      </w:pPr>
    </w:p>
    <w:p w14:paraId="50AEA3CE" w14:textId="77777777" w:rsidR="00DD1558" w:rsidRPr="00DD1558" w:rsidRDefault="00DD1558" w:rsidP="00DD1558">
      <w:pPr>
        <w:bidi w:val="0"/>
        <w:spacing w:before="180" w:line="360" w:lineRule="auto"/>
        <w:rPr>
          <w:rFonts w:ascii="Times New Roman" w:eastAsia="Times New Roman" w:hAnsi="Times New Roman" w:cs="Times New Roman"/>
          <w:color w:val="1A1A1A"/>
          <w:sz w:val="24"/>
          <w:szCs w:val="24"/>
          <w14:ligatures w14:val="none"/>
        </w:rPr>
      </w:pPr>
    </w:p>
    <w:p w14:paraId="551246B3" w14:textId="77777777" w:rsidR="00DD1558" w:rsidRPr="00DD1558" w:rsidRDefault="00DD1558" w:rsidP="00DD1558">
      <w:pPr>
        <w:bidi w:val="0"/>
        <w:spacing w:before="180" w:line="360" w:lineRule="auto"/>
        <w:rPr>
          <w:rFonts w:ascii="Times New Roman" w:eastAsia="Times New Roman" w:hAnsi="Times New Roman" w:cs="Times New Roman"/>
          <w:color w:val="1A1A1A"/>
          <w:sz w:val="24"/>
          <w:szCs w:val="24"/>
          <w14:ligatures w14:val="none"/>
        </w:rPr>
      </w:pPr>
    </w:p>
    <w:p w14:paraId="392F2475" w14:textId="77777777" w:rsidR="00DD1558" w:rsidRPr="00DD1558" w:rsidRDefault="00DD1558" w:rsidP="00DD1558">
      <w:pPr>
        <w:keepNext/>
        <w:keepLines/>
        <w:bidi w:val="0"/>
        <w:spacing w:before="160" w:after="80"/>
        <w:outlineLvl w:val="2"/>
        <w:rPr>
          <w:rFonts w:ascii="Simplified Arabic" w:eastAsiaTheme="majorEastAsia" w:hAnsi="Simplified Arabic" w:cstheme="majorBidi"/>
          <w:sz w:val="28"/>
          <w:szCs w:val="28"/>
        </w:rPr>
      </w:pPr>
      <w:bookmarkStart w:id="201" w:name="_Toc237539791"/>
      <w:r w:rsidRPr="00DD1558">
        <w:rPr>
          <w:rFonts w:ascii="Simplified Arabic" w:eastAsiaTheme="majorEastAsia" w:hAnsi="Simplified Arabic" w:cstheme="majorBidi"/>
          <w:sz w:val="28"/>
          <w:szCs w:val="28"/>
        </w:rPr>
        <w:lastRenderedPageBreak/>
        <w:t>4.6.7 Concluding Statement</w:t>
      </w:r>
      <w:bookmarkEnd w:id="201"/>
    </w:p>
    <w:p w14:paraId="609677C4" w14:textId="138A177C" w:rsidR="00DD1558" w:rsidRPr="00DD1558" w:rsidRDefault="000B6195"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0B6195">
        <w:rPr>
          <w:rFonts w:ascii="Simplified Arabic" w:eastAsia="Times New Roman" w:hAnsi="Simplified Arabic" w:cs="Simplified Arabic"/>
          <w:color w:val="1A1A1A"/>
          <w:sz w:val="28"/>
          <w:szCs w:val="28"/>
          <w14:ligatures w14:val="none"/>
        </w:rPr>
        <w:t>This thesis set out to answer how an organizational framework for participatory inventory management in educational laboratories within a large public higher education institution in Saudi Arabia should be designed, assessed for feasibility and risk, and sequenced for implementation, so as to close the maturity gap between the prevailing decentralized regime and the institution’s ISO-aligned, Vision 2030 ambitions.</w:t>
      </w:r>
      <w:r w:rsidR="00DD1558" w:rsidRPr="00DD1558">
        <w:rPr>
          <w:rFonts w:ascii="Simplified Arabic" w:eastAsia="Times New Roman" w:hAnsi="Simplified Arabic" w:cs="Simplified Arabic"/>
          <w:color w:val="1A1A1A"/>
          <w:sz w:val="28"/>
          <w:szCs w:val="28"/>
          <w14:ligatures w14:val="none"/>
        </w:rPr>
        <w:t xml:space="preserve"> Its answer compresses into three propositions. First, participatory inventory management is a governance problem with an inventory attached: the duplicate purchases, idle instruments, and expiring chemicals of the decentralized regime are the predictable output of an organization that lacks shared visibility, standardized records, and allocated decision rights — and they will persist under any technology or exhortation that leaves that structure intact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{"citationID":"EXZDyt3i","properties":{"unsorted":false,"formattedCitation":"(Ahn &amp; Baldwin, 2024; Hillson, D. A., 1997)","plainCitation":"(Ahn &amp; Baldwin, 2024; Hillson, D. A., 1997)","noteIndex":0},"citationItems":[{"id":392,"uris":["http://zotero.org/users/19711126/items/875J4EC5"],"itemData":{"id":392,"type":"article-journal","abstract":"Collaborative governance can positively affect desired policy outcomes, but questions remain about who benefits. This article asks how and to what extent collaborative governance of utility conservation programmes in the U.S. states affects industrial, commercial, and residential ratepayers’ programme benefits. Panel data analysis shows that collaborative processes improve the equitable distribution of energy savings, but inequities persist, particularly for residential ratepayers. Additional qualitative analysis suggests representation in the collaborative process is not a major driver of equitable distribution of benefits, but that over time, collaboration can help participants to look beyond their individual interests and advocate for other stakeholders’ interests.","container-title":"Public Management Review","DOI":"10.1080/14719037.2022.2044505","ISSN":"1471-9037","issue":"1","page":"89-113","publisher":"Routledge","source":"Taylor and Francis+NEJM","title":"Who benefits from collaborative governance? An empirical study from the energy sector","title-short":"Who benefits from collaborative governance?","volume":"26","author":[{"family":"Ahn","given":"Minwoo"},{"family":"Baldwin","given":"Elizabeth"}],"issued":{"date-parts":[["2024",1,2]]}}},{"id":540,"uris":["http://zotero.org/users/19711126/items/IB7NEYQH"],"itemData":{"id":540,"type":"report","title":"Towards a risk maturity model. The International Journal of Project and Business Risk Management, 1(1), 35–45.","URL":"https://risk-doctor.com/wp-content/uploads/2020/06/RMM-IJPBRM-Mar97.pdf","author":[{"family":"Hillson, D. A.","given":""}],"accessed":{"date-parts":[["2026",8,6]]},"issued":{"date-parts":[["1997"]]}}}],"schema":"https://github.com/citation-style-language/schema/raw/master/csl-citation.json"}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(Ahn &amp; Baldwin, 2024; Hillson, D. A., 1997)</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Second, a qualitatively evaluated, gate-governed framework can be designed, risk-classified, and sequenced without fabricated evidence: the conditionally strong feasibility verdict, the fifteen-risk FIRM-classified register, the fourteen-indicator dashboard, and the four-phase roadmap demonstrate that design-phase rigor is achievable through structural analysis, standards alignment, and documented practice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{"citationID":"MHaPUOw5","properties":{"unsorted":false,"formattedCitation":"(Hopkin, 2018; PMI, 2021)","plainCitation":"(Hopkin, 2018; PMI, 2021)","noteIndex":0},"citationItems":[{"id":452,"uris":["http://zotero.org/users/19711126/items/B5VQ2QLG"],"itemData":{"id":452,"type":"book","abstract":"This fifth edition of Fundamentals of Risk Management is a comprehensive introduction to commercial and business risk for students and risk professionals. Providing extensive coverage of the core frameworks of business continuity planning, enterprise risk management and project risk management, this is the definitive guide to dealing with the different types of risk an organization faces. With relevant international case examples including Ericsson, Network Rail and Unilever, the book provides a full analysis of changes in contemporary risk areas including supply chain, cyber risk, risk culture and appetite, improvements in risk management documentation and statutory risk reporting.Now revised to be completely aligned with the recently updated ISO 31000 and COSO ERM Framework, this comprehensive text reflects developments in regulations, reputation risk, loss control and the value of insurance as a risk management method. Also including a thorough overview of international risk management standards and frameworks, strategy and policy, Fundamentals of Risk Management is the definitive text for those beginning or considering a career in risk. Online supporting resources include lecture slides with figures, tables and key points from the book.","ISBN":"978-0-7494-8308-1","language":"en","note":"Google-Books-ID: bzFiDwAAQBAJ","number-of-pages":"481","publisher":"Kogan Page Publishers","source":"Google Books","title":"Fundamentals of Risk Management: Understanding, Evaluating and Implementing Effective Risk Management","title-short":"Fundamentals of Risk Management","URL":"https://books.google.com.sa/books?id=bzFiDwAAQBAJ","author":[{"family":"Hopkin","given":"Paul"}],"issued":{"date-parts":[["2018",7,3]]}}},{"id":490,"uris":["http://zotero.org/users/19711126/items/LY4H4ZEI"],"itemData":{"id":490,"type":"book","abstract":"PMBOK® Guide is the go-to resource for project management practitioners. The project management profession has significantly evolved due to emerging technology, new approaches and rapid market changes. Reflecting this evolution, The Standard for Project Management enumerates 12 principles of project management and the PMBOK® Guide – Seventh Edition is structured around eight project performance domains.This edition is designed to address practitioners' current and future needs and to help them be more proactive, innovative and nimble in enabling desired project outcomes.This edition of the PMBOK® Guide:Reflects the full range of development approaches (predictive, adaptive, hybrid, etc.);Provides an entire section devoted to tailoring the development approach and processes;Includes an expanded list of models, methods, and artifacts;Focuses on not just delivering project outputs but also enabling outcomes; andIntegrates with PMIstandards+™ for information and standards application content based on project type, development approach, and industry sector.","ISBN":"978-1-62825-665-9","language":"en","note":"Google-Books-ID: lKsxEAAAQBAJ","number-of-pages":"372","publisher":"Project Management Institute","source":"Google Books","title":"A Guide to the Project Management Body of Knowledge (PMBOK® Guide) – Seventh Edition and The Standard for Project Management (ENGLISH)","URL":"https://books.google.com.sa/books?id=lKsxEAAAQBAJ","author":[{"family":"PMI","given":""}],"issued":{"date-parts":[["2021",7,1]]}}}],"schema":"https://github.com/citation-style-language/schema/raw/master/csl-citation.json"}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(Hopkin, 2018; PMI, 2021)</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xml:space="preserve">. </w:t>
      </w:r>
      <w:r w:rsidRPr="000B6195">
        <w:rPr>
          <w:rFonts w:ascii="Simplified Arabic" w:eastAsia="Times New Roman" w:hAnsi="Simplified Arabic" w:cs="Simplified Arabic"/>
          <w:color w:val="1A1A1A"/>
          <w:sz w:val="28"/>
          <w:szCs w:val="28"/>
          <w14:ligatures w14:val="none"/>
        </w:rPr>
        <w:t>Third, the institution's path from Inform/Conform to Perform runs through policy, standardization, and stewardship before technology: the readiness gates G1–G4 encode that ordering as enforceable checkpoints, and gate G4 stands as the framework’s institutional memory of why it must hold</w:t>
      </w:r>
      <w:r w:rsidR="00DD1558" w:rsidRPr="00DD1558">
        <w:rPr>
          <w:rFonts w:ascii="Simplified Arabic" w:eastAsia="Times New Roman" w:hAnsi="Simplified Arabic" w:cs="Simplified Arabic"/>
          <w:color w:val="1A1A1A"/>
          <w:sz w:val="28"/>
          <w:szCs w:val="28"/>
          <w14:ligatures w14:val="none"/>
        </w:rPr>
        <w:t xml:space="preserve"> </w:t>
      </w:r>
      <w:r w:rsidR="00DD1558" w:rsidRPr="00DD1558">
        <w:rPr>
          <w:rFonts w:ascii="Simplified Arabic" w:eastAsia="Times New Roman" w:hAnsi="Simplified Arabic" w:cs="Simplified Arabic"/>
          <w:color w:val="1A1A1A"/>
          <w:sz w:val="28"/>
          <w:szCs w:val="28"/>
          <w14:ligatures w14:val="none"/>
        </w:rPr>
        <w:fldChar w:fldCharType="begin"/>
      </w:r>
      <w:r w:rsidR="00DD1558" w:rsidRPr="00DD1558">
        <w:rPr>
          <w:rFonts w:ascii="Simplified Arabic" w:eastAsia="Times New Roman" w:hAnsi="Simplified Arabic" w:cs="Simplified Arabic"/>
          <w:color w:val="1A1A1A"/>
          <w:sz w:val="28"/>
          <w:szCs w:val="28"/>
          <w14:ligatures w14:val="none"/>
        </w:rPr>
        <w:instrText xml:space="preserve"> ADDIN ZOTERO_ITEM CSL_CITATION {"citationID":"sI3ILSaU","properties":{"unsorted":false,"formattedCitation":"(Carpitella &amp; Izquierdo, 2025; Rodr\\uc0\\u237{}guez-Abitia &amp; Bribiesca-Correa, 2021)","plainCitation":"(Carpitella &amp; Izquierdo, 2025; Rodríguez-Abitia &amp; Bribiesca-Correa, 2021)","noteIndex":0},"citationItems":[{"id":419,"uris":["http://zotero.org/users/19711126/items/TZRZHV7D"],"itemData":{"id":419,"type":"article-journal","abstract":"This study examines 52 recently published papers on sustainable inventory management in Industry 4.0, intending to bridge theory and practice through a comprehensive literature review. By analyzing the latest advancements discussed over the past two years, covering 2024 and 2025, we identify key trends shaping the field and highlight existing gaps that may require further exploration. Focusing on this time frame is particularly relevant because it reflects how companies have recently started using artificial intelligence more practically to support sustainability goals. During these years, AI has been applied to improve how inventory is tracked, how demand is predicted, and how resources are managed to reduce waste. These tools are making supply chains more efficient while helping organizations to lower their environmental impact. In this regard, our work aims to provide a deeper understanding of how sustainable strategies are evolving in response to technological innovations, offering insights for researchers and practitioners seeking to enhance efficiency and environmental responsibility in modern supply chains.","container-title":"Processes","DOI":"10.3390/pr13041131","ISSN":"2227-9717","issue":"4","language":"en","license":"http://creativecommons.org/licenses/by/3.0/","page":"1131","publisher":"Multidisciplinary Digital Publishing Institute","source":"www.mdpi.com","title":"Trends in Sustainable Inventory Management Practices in Industry 4.0","volume":"13","author":[{"family":"Carpitella","given":"Silvia"},{"family":"Izquierdo","given":"Joaquín"}],"issued":{"date-parts":[["2025",4]]}}},{"id":498,"uris":["http://zotero.org/users/19711126/items/6ISTLX2A"],"itemData":{"id":498,"type":"article-journal","abstract":"Industry 4.0 and Society 5.0 are reshaping the way organizations function and interact with the communities they serve. The massive penetration of computer and network applications forces organizations to digitalize their processes and provide innovative products, services, and business models. The education market is suffering changes as well, but universities seem slow to react. This paper proposes the application of an integrated digital transformation model to assess the maturity level that educational institutions have in their digital transformation processes and compares them to other industries. Particular considerations to address when using the model for higher-education institutions are discussed. Our results show that universities fall behind other sectors, probably due to a lack of effective leadership and changes in culture. This is complemented negatively by an insufficient degree of innovation and financial support.","container-title":"Future Internet","DOI":"10.3390/fi13020052","ISSN":"1999-5903","issue":"2","language":"en","license":"http://creativecommons.org/licenses/by/3.0/","page":"52","publisher":"Multidisciplinary Digital Publishing Institute","source":"www.mdpi.com","title":"Assessing Digital Transformation in Universities","volume":"13","author":[{"family":"Rodríguez-Abitia","given":"Guillermo"},{"family":"Bribiesca-Correa","given":"Graciela"}],"issued":{"date-parts":[["2021",2]]}}}],"schema":"https://github.com/citation-style-language/schema/raw/master/csl-citation.json"} </w:instrText>
      </w:r>
      <w:r w:rsidR="00DD1558" w:rsidRPr="00DD1558">
        <w:rPr>
          <w:rFonts w:ascii="Simplified Arabic" w:eastAsia="Times New Roman" w:hAnsi="Simplified Arabic" w:cs="Simplified Arabic"/>
          <w:color w:val="1A1A1A"/>
          <w:sz w:val="28"/>
          <w:szCs w:val="28"/>
          <w14:ligatures w14:val="none"/>
        </w:rPr>
        <w:fldChar w:fldCharType="separate"/>
      </w:r>
      <w:r w:rsidR="00DD1558" w:rsidRPr="00DD1558">
        <w:rPr>
          <w:rFonts w:ascii="Simplified Arabic" w:eastAsia="Times New Roman" w:hAnsi="Simplified Arabic" w:cs="Simplified Arabic"/>
          <w:color w:val="1A1A1A"/>
          <w:sz w:val="28"/>
          <w:szCs w:val="24"/>
          <w14:ligatures w14:val="none"/>
        </w:rPr>
        <w:t>(Carpitella &amp; Izquierdo, 2025; Rodríguez-Abitia &amp; Bribiesca-Correa, 2021)</w:t>
      </w:r>
      <w:r w:rsidR="00DD1558" w:rsidRPr="00DD1558">
        <w:rPr>
          <w:rFonts w:ascii="Simplified Arabic" w:eastAsia="Times New Roman" w:hAnsi="Simplified Arabic" w:cs="Simplified Arabic"/>
          <w:color w:val="1A1A1A"/>
          <w:sz w:val="28"/>
          <w:szCs w:val="28"/>
          <w14:ligatures w14:val="none"/>
        </w:rPr>
        <w:fldChar w:fldCharType="end"/>
      </w:r>
      <w:r w:rsidR="00DD1558" w:rsidRPr="00DD1558">
        <w:rPr>
          <w:rFonts w:ascii="Simplified Arabic" w:eastAsia="Times New Roman" w:hAnsi="Simplified Arabic" w:cs="Simplified Arabic"/>
          <w:color w:val="1A1A1A"/>
          <w:sz w:val="28"/>
          <w:szCs w:val="28"/>
          <w14:ligatures w14:val="none"/>
        </w:rPr>
        <w:t>. What the University is asked to adopt is not a system but a sequence — ratify, standardize, pilot, scale, and only then digitize — and what this thesis has supplied is the architecture, the evaluation, the risk map, the instruments, and the order in which that sequence can be walked under evidence rather than assertion.</w:t>
      </w:r>
    </w:p>
    <w:p w14:paraId="077D7D30" w14:textId="77777777" w:rsidR="00DD1558" w:rsidRPr="00DD1558" w:rsidRDefault="00DD1558" w:rsidP="00DD1558">
      <w:pPr>
        <w:keepNext/>
        <w:keepLines/>
        <w:bidi w:val="0"/>
        <w:spacing w:before="360" w:after="80"/>
        <w:jc w:val="both"/>
        <w:outlineLvl w:val="0"/>
        <w:rPr>
          <w:rFonts w:ascii="Simplified Arabic" w:eastAsiaTheme="majorEastAsia" w:hAnsi="Simplified Arabic" w:cstheme="majorBidi"/>
          <w:b/>
          <w:sz w:val="32"/>
          <w:szCs w:val="40"/>
        </w:rPr>
      </w:pPr>
      <w:bookmarkStart w:id="202" w:name="_Toc237539792"/>
      <w:r w:rsidRPr="00DD1558">
        <w:rPr>
          <w:rFonts w:ascii="Simplified Arabic" w:eastAsiaTheme="majorEastAsia" w:hAnsi="Simplified Arabic" w:cstheme="majorBidi"/>
          <w:b/>
          <w:sz w:val="32"/>
          <w:szCs w:val="40"/>
        </w:rPr>
        <w:lastRenderedPageBreak/>
        <w:t>REFERENCES</w:t>
      </w:r>
      <w:bookmarkEnd w:id="202"/>
    </w:p>
    <w:p w14:paraId="74384BE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szCs w:val="24"/>
        </w:rPr>
        <w:fldChar w:fldCharType="begin"/>
      </w:r>
      <w:r w:rsidRPr="00DD1558">
        <w:rPr>
          <w:rFonts w:ascii="Simplified Arabic" w:hAnsi="Simplified Arabic"/>
          <w:sz w:val="28"/>
          <w:szCs w:val="24"/>
        </w:rPr>
        <w:instrText xml:space="preserve"> ADDIN ZOTERO_BIBL {"uncited":[],"omitted":[],"custom":[]} CSL_BIBLIOGRAPHY </w:instrText>
      </w:r>
      <w:r w:rsidRPr="00DD1558">
        <w:rPr>
          <w:rFonts w:ascii="Simplified Arabic" w:hAnsi="Simplified Arabic"/>
          <w:sz w:val="28"/>
          <w:szCs w:val="24"/>
        </w:rPr>
        <w:fldChar w:fldCharType="separate"/>
      </w:r>
      <w:r w:rsidRPr="00DD1558">
        <w:rPr>
          <w:rFonts w:ascii="Simplified Arabic" w:hAnsi="Simplified Arabic"/>
          <w:sz w:val="28"/>
        </w:rPr>
        <w:t xml:space="preserve">Adami, V., Homer, N., Utz, N., Lippens, S., Rappoport, J. Z., &amp; Fernandez-Rodriguez, J. (2021). An international survey of Training Needs and Career Paths of Core Facility Staff. </w:t>
      </w:r>
      <w:r w:rsidRPr="00DD1558">
        <w:rPr>
          <w:rFonts w:ascii="Simplified Arabic" w:hAnsi="Simplified Arabic"/>
          <w:i/>
          <w:iCs/>
          <w:sz w:val="28"/>
        </w:rPr>
        <w:t>Journal of Biomolecular Techniques</w:t>
      </w:r>
      <w:r w:rsidRPr="00DD1558">
        <w:rPr>
          <w:rFonts w:ascii="Times New Roman" w:hAnsi="Times New Roman" w:cs="Times New Roman"/>
          <w:i/>
          <w:iCs/>
          <w:sz w:val="28"/>
        </w:rPr>
        <w:t> </w:t>
      </w:r>
      <w:r w:rsidRPr="00DD1558">
        <w:rPr>
          <w:rFonts w:ascii="Simplified Arabic" w:hAnsi="Simplified Arabic"/>
          <w:i/>
          <w:iCs/>
          <w:sz w:val="28"/>
        </w:rPr>
        <w:t>: JBT</w:t>
      </w:r>
      <w:r w:rsidRPr="00DD1558">
        <w:rPr>
          <w:rFonts w:ascii="Simplified Arabic" w:hAnsi="Simplified Arabic"/>
          <w:sz w:val="28"/>
        </w:rPr>
        <w:t xml:space="preserve">, </w:t>
      </w:r>
      <w:r w:rsidRPr="00DD1558">
        <w:rPr>
          <w:rFonts w:ascii="Simplified Arabic" w:hAnsi="Simplified Arabic"/>
          <w:i/>
          <w:iCs/>
          <w:sz w:val="28"/>
        </w:rPr>
        <w:t>32</w:t>
      </w:r>
      <w:r w:rsidRPr="00DD1558">
        <w:rPr>
          <w:rFonts w:ascii="Simplified Arabic" w:hAnsi="Simplified Arabic"/>
          <w:sz w:val="28"/>
        </w:rPr>
        <w:t>(1), 1–9. https://doi.org/10.7171/jbt.21-3201-002</w:t>
      </w:r>
    </w:p>
    <w:p w14:paraId="2EC43F2C"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Adirektawon, S., Theeraroungchaisri, A., &amp; Sakulbumrungsil, R. C. (2024). Efficiency of Inventory in Thai Hospitals: Comparing Traditional and Vendor-Managed Inventory Systems. </w:t>
      </w:r>
      <w:r w:rsidRPr="00DD1558">
        <w:rPr>
          <w:rFonts w:ascii="Simplified Arabic" w:hAnsi="Simplified Arabic"/>
          <w:i/>
          <w:iCs/>
          <w:sz w:val="28"/>
        </w:rPr>
        <w:t>Logistics</w:t>
      </w:r>
      <w:r w:rsidRPr="00DD1558">
        <w:rPr>
          <w:rFonts w:ascii="Simplified Arabic" w:hAnsi="Simplified Arabic"/>
          <w:sz w:val="28"/>
        </w:rPr>
        <w:t xml:space="preserve">, </w:t>
      </w:r>
      <w:r w:rsidRPr="00DD1558">
        <w:rPr>
          <w:rFonts w:ascii="Simplified Arabic" w:hAnsi="Simplified Arabic"/>
          <w:i/>
          <w:iCs/>
          <w:sz w:val="28"/>
        </w:rPr>
        <w:t>8</w:t>
      </w:r>
      <w:r w:rsidRPr="00DD1558">
        <w:rPr>
          <w:rFonts w:ascii="Simplified Arabic" w:hAnsi="Simplified Arabic"/>
          <w:sz w:val="28"/>
        </w:rPr>
        <w:t>(3), 89. https://doi.org/10.3390/logistics8030089</w:t>
      </w:r>
    </w:p>
    <w:p w14:paraId="39B850A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Ahn, M., &amp; Baldwin, E. (2024). Who benefits from collaborative governance? An empirical study from the energy sector. </w:t>
      </w:r>
      <w:r w:rsidRPr="00DD1558">
        <w:rPr>
          <w:rFonts w:ascii="Simplified Arabic" w:hAnsi="Simplified Arabic"/>
          <w:i/>
          <w:iCs/>
          <w:sz w:val="28"/>
        </w:rPr>
        <w:t>Public Management Review</w:t>
      </w:r>
      <w:r w:rsidRPr="00DD1558">
        <w:rPr>
          <w:rFonts w:ascii="Simplified Arabic" w:hAnsi="Simplified Arabic"/>
          <w:sz w:val="28"/>
        </w:rPr>
        <w:t xml:space="preserve">, </w:t>
      </w:r>
      <w:r w:rsidRPr="00DD1558">
        <w:rPr>
          <w:rFonts w:ascii="Simplified Arabic" w:hAnsi="Simplified Arabic"/>
          <w:i/>
          <w:iCs/>
          <w:sz w:val="28"/>
        </w:rPr>
        <w:t>26</w:t>
      </w:r>
      <w:r w:rsidRPr="00DD1558">
        <w:rPr>
          <w:rFonts w:ascii="Simplified Arabic" w:hAnsi="Simplified Arabic"/>
          <w:sz w:val="28"/>
        </w:rPr>
        <w:t>(1), 89–113. https://doi.org/10.1080/14719037.2022.2044505</w:t>
      </w:r>
    </w:p>
    <w:p w14:paraId="6EF9FB90"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Al Qur’an, M. N. (2025). Conducting Case Study Research in International Entrepreneurship: A Protocol for Qualitative Case Study. </w:t>
      </w:r>
      <w:r w:rsidRPr="00DD1558">
        <w:rPr>
          <w:rFonts w:ascii="Simplified Arabic" w:hAnsi="Simplified Arabic"/>
          <w:i/>
          <w:iCs/>
          <w:sz w:val="28"/>
        </w:rPr>
        <w:t>International Journal of Qualitative Methods</w:t>
      </w:r>
      <w:r w:rsidRPr="00DD1558">
        <w:rPr>
          <w:rFonts w:ascii="Simplified Arabic" w:hAnsi="Simplified Arabic"/>
          <w:sz w:val="28"/>
        </w:rPr>
        <w:t xml:space="preserve">, </w:t>
      </w:r>
      <w:r w:rsidRPr="00DD1558">
        <w:rPr>
          <w:rFonts w:ascii="Simplified Arabic" w:hAnsi="Simplified Arabic"/>
          <w:i/>
          <w:iCs/>
          <w:sz w:val="28"/>
        </w:rPr>
        <w:t>24</w:t>
      </w:r>
      <w:r w:rsidRPr="00DD1558">
        <w:rPr>
          <w:rFonts w:ascii="Simplified Arabic" w:hAnsi="Simplified Arabic"/>
          <w:sz w:val="28"/>
        </w:rPr>
        <w:t>, 16094069251394934. https://doi.org/10.1177/16094069251394934</w:t>
      </w:r>
    </w:p>
    <w:p w14:paraId="0734C3AB"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Alamoudi, A. K., Abidoye, R. B., &amp; Lam, T. Y. M. (2023). Implementing Smart Sustainable Cities in Saudi Arabia: A Framework for Citizens’ Participation towards SAUDI VISION 2030.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15</w:t>
      </w:r>
      <w:r w:rsidRPr="00DD1558">
        <w:rPr>
          <w:rFonts w:ascii="Simplified Arabic" w:hAnsi="Simplified Arabic"/>
          <w:sz w:val="28"/>
        </w:rPr>
        <w:t>(8), 6648. https://doi.org/10.3390/su15086648</w:t>
      </w:r>
    </w:p>
    <w:p w14:paraId="0E43307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Ali, M., Mustapha, I., Osman, S., &amp; Hassan, U. (2021). University social responsibility: A review of conceptual evolution and its thematic analysis.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286</w:t>
      </w:r>
      <w:r w:rsidRPr="00DD1558">
        <w:rPr>
          <w:rFonts w:ascii="Simplified Arabic" w:hAnsi="Simplified Arabic"/>
          <w:sz w:val="28"/>
        </w:rPr>
        <w:t>, 124931. https://doi.org/10.1016/j.jclepro.2020.124931</w:t>
      </w:r>
    </w:p>
    <w:p w14:paraId="42A6372B"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Alotaibi, E. K. (2026). Enhancing employability through digital transformation: A strategic approach to strengthening the competitiveness of tourism and hospitality education in Saudi Arabia. </w:t>
      </w:r>
      <w:r w:rsidRPr="00DD1558">
        <w:rPr>
          <w:rFonts w:ascii="Simplified Arabic" w:hAnsi="Simplified Arabic"/>
          <w:i/>
          <w:iCs/>
          <w:sz w:val="28"/>
        </w:rPr>
        <w:t>Frontiers in Education</w:t>
      </w:r>
      <w:r w:rsidRPr="00DD1558">
        <w:rPr>
          <w:rFonts w:ascii="Simplified Arabic" w:hAnsi="Simplified Arabic"/>
          <w:sz w:val="28"/>
        </w:rPr>
        <w:t xml:space="preserve">, </w:t>
      </w:r>
      <w:r w:rsidRPr="00DD1558">
        <w:rPr>
          <w:rFonts w:ascii="Simplified Arabic" w:hAnsi="Simplified Arabic"/>
          <w:i/>
          <w:iCs/>
          <w:sz w:val="28"/>
        </w:rPr>
        <w:t>11</w:t>
      </w:r>
      <w:r w:rsidRPr="00DD1558">
        <w:rPr>
          <w:rFonts w:ascii="Simplified Arabic" w:hAnsi="Simplified Arabic"/>
          <w:sz w:val="28"/>
        </w:rPr>
        <w:t>. https://doi.org/10.3389/feduc.2026.1788967</w:t>
      </w:r>
    </w:p>
    <w:p w14:paraId="7D9F377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Alshammari, A. (2025). Assessing campus sustainability in Saudi universities: Faculty perspectives and institutional challenges—a case study of three leading universities. </w:t>
      </w:r>
      <w:r w:rsidRPr="00DD1558">
        <w:rPr>
          <w:rFonts w:ascii="Simplified Arabic" w:hAnsi="Simplified Arabic"/>
          <w:i/>
          <w:iCs/>
          <w:sz w:val="28"/>
        </w:rPr>
        <w:t>Humanities and Social Sciences Communications</w:t>
      </w:r>
      <w:r w:rsidRPr="00DD1558">
        <w:rPr>
          <w:rFonts w:ascii="Simplified Arabic" w:hAnsi="Simplified Arabic"/>
          <w:sz w:val="28"/>
        </w:rPr>
        <w:t xml:space="preserve">, </w:t>
      </w:r>
      <w:r w:rsidRPr="00DD1558">
        <w:rPr>
          <w:rFonts w:ascii="Simplified Arabic" w:hAnsi="Simplified Arabic"/>
          <w:i/>
          <w:iCs/>
          <w:sz w:val="28"/>
        </w:rPr>
        <w:t>12</w:t>
      </w:r>
      <w:r w:rsidRPr="00DD1558">
        <w:rPr>
          <w:rFonts w:ascii="Simplified Arabic" w:hAnsi="Simplified Arabic"/>
          <w:sz w:val="28"/>
        </w:rPr>
        <w:t>(1), 1398. https://doi.org/10.1057/s41599-025-05768-x</w:t>
      </w:r>
    </w:p>
    <w:p w14:paraId="60200867"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Alshuwaikhat, H. M., &amp; Abubakar, I. (2008). An integrated approach to achieving campus sustainability: Assessment of the current campus environmental management practices.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16</w:t>
      </w:r>
      <w:r w:rsidRPr="00DD1558">
        <w:rPr>
          <w:rFonts w:ascii="Simplified Arabic" w:hAnsi="Simplified Arabic"/>
          <w:sz w:val="28"/>
        </w:rPr>
        <w:t>(16), 1777–1785. https://doi.org/10.1016/j.jclepro.2007.12.002</w:t>
      </w:r>
    </w:p>
    <w:p w14:paraId="47EF438A"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Ayyildiz, E., Seyhan, M., Kara, B., &amp; Seyis, G. I. (2025). Investigation of risk factors in university Laboratories: An improved fuzzy based FMEA approach. </w:t>
      </w:r>
      <w:r w:rsidRPr="00DD1558">
        <w:rPr>
          <w:rFonts w:ascii="Simplified Arabic" w:hAnsi="Simplified Arabic"/>
          <w:i/>
          <w:iCs/>
          <w:sz w:val="28"/>
        </w:rPr>
        <w:t>Safety Science</w:t>
      </w:r>
      <w:r w:rsidRPr="00DD1558">
        <w:rPr>
          <w:rFonts w:ascii="Simplified Arabic" w:hAnsi="Simplified Arabic"/>
          <w:sz w:val="28"/>
        </w:rPr>
        <w:t xml:space="preserve">, </w:t>
      </w:r>
      <w:r w:rsidRPr="00DD1558">
        <w:rPr>
          <w:rFonts w:ascii="Simplified Arabic" w:hAnsi="Simplified Arabic"/>
          <w:i/>
          <w:iCs/>
          <w:sz w:val="28"/>
        </w:rPr>
        <w:t>191</w:t>
      </w:r>
      <w:r w:rsidRPr="00DD1558">
        <w:rPr>
          <w:rFonts w:ascii="Simplified Arabic" w:hAnsi="Simplified Arabic"/>
          <w:sz w:val="28"/>
        </w:rPr>
        <w:t>, 106933. https://doi.org/10.1016/j.ssci.2025.106933</w:t>
      </w:r>
    </w:p>
    <w:p w14:paraId="40FEE318"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Bellantuono, N., Nuzzi, A., Pontrandolfo, P., &amp; Scozzi, B. (2021). Digital Transformation Models for the I4.0 Transition: Lessons from the Change Management Literature.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(23), 12941. https://doi.org/10.3390/su132312941</w:t>
      </w:r>
    </w:p>
    <w:p w14:paraId="0D5AE10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Birleanu, L. C., Lungu, F., &amp; Birleanu, C. (2025). Leveraging Centralized Procurement for Digital Innovation in Higher Education: Institutional Capacity and Policy Gaps in Romania. </w:t>
      </w:r>
      <w:r w:rsidRPr="00DD1558">
        <w:rPr>
          <w:rFonts w:ascii="Simplified Arabic" w:hAnsi="Simplified Arabic"/>
          <w:i/>
          <w:iCs/>
          <w:sz w:val="28"/>
        </w:rPr>
        <w:t>Administrative Sciences</w:t>
      </w:r>
      <w:r w:rsidRPr="00DD1558">
        <w:rPr>
          <w:rFonts w:ascii="Simplified Arabic" w:hAnsi="Simplified Arabic"/>
          <w:sz w:val="28"/>
        </w:rPr>
        <w:t xml:space="preserve">, </w:t>
      </w:r>
      <w:r w:rsidRPr="00DD1558">
        <w:rPr>
          <w:rFonts w:ascii="Simplified Arabic" w:hAnsi="Simplified Arabic"/>
          <w:i/>
          <w:iCs/>
          <w:sz w:val="28"/>
        </w:rPr>
        <w:t>15</w:t>
      </w:r>
      <w:r w:rsidRPr="00DD1558">
        <w:rPr>
          <w:rFonts w:ascii="Simplified Arabic" w:hAnsi="Simplified Arabic"/>
          <w:sz w:val="28"/>
        </w:rPr>
        <w:t>(8), 317. https://doi.org/10.3390/admsci15080317</w:t>
      </w:r>
    </w:p>
    <w:p w14:paraId="7277335D"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Braun, V., &amp; Clarke, V. (2021). One size fits all? What counts as quality practice in (reflexive) thematic analysis? </w:t>
      </w:r>
      <w:r w:rsidRPr="00DD1558">
        <w:rPr>
          <w:rFonts w:ascii="Simplified Arabic" w:hAnsi="Simplified Arabic"/>
          <w:i/>
          <w:iCs/>
          <w:sz w:val="28"/>
        </w:rPr>
        <w:t>Qualitative Research in Psychology</w:t>
      </w:r>
      <w:r w:rsidRPr="00DD1558">
        <w:rPr>
          <w:rFonts w:ascii="Simplified Arabic" w:hAnsi="Simplified Arabic"/>
          <w:sz w:val="28"/>
        </w:rPr>
        <w:t xml:space="preserve">, </w:t>
      </w:r>
      <w:r w:rsidRPr="00DD1558">
        <w:rPr>
          <w:rFonts w:ascii="Simplified Arabic" w:hAnsi="Simplified Arabic"/>
          <w:i/>
          <w:iCs/>
          <w:sz w:val="28"/>
        </w:rPr>
        <w:t>18</w:t>
      </w:r>
      <w:r w:rsidRPr="00DD1558">
        <w:rPr>
          <w:rFonts w:ascii="Simplified Arabic" w:hAnsi="Simplified Arabic"/>
          <w:sz w:val="28"/>
        </w:rPr>
        <w:t>(3), 328–352. https://doi.org/10.1080/14780887.2020.1769238</w:t>
      </w:r>
    </w:p>
    <w:p w14:paraId="61FA599D"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Bravo-Jaico, J., Alarcón, R., Valdivia, C., Germán, N., Aquino, J., Serquén, O., Guevara, L., &amp; Moreno Heredia, A. (2025). Model for assessing the maturity level of digital transformation in higher education institutions: A theoretical-methodological approach. </w:t>
      </w:r>
      <w:r w:rsidRPr="00DD1558">
        <w:rPr>
          <w:rFonts w:ascii="Simplified Arabic" w:hAnsi="Simplified Arabic"/>
          <w:i/>
          <w:iCs/>
          <w:sz w:val="28"/>
        </w:rPr>
        <w:t>Frontiers in Education</w:t>
      </w:r>
      <w:r w:rsidRPr="00DD1558">
        <w:rPr>
          <w:rFonts w:ascii="Simplified Arabic" w:hAnsi="Simplified Arabic"/>
          <w:sz w:val="28"/>
        </w:rPr>
        <w:t xml:space="preserve">, </w:t>
      </w:r>
      <w:r w:rsidRPr="00DD1558">
        <w:rPr>
          <w:rFonts w:ascii="Simplified Arabic" w:hAnsi="Simplified Arabic"/>
          <w:i/>
          <w:iCs/>
          <w:sz w:val="28"/>
        </w:rPr>
        <w:t>10</w:t>
      </w:r>
      <w:r w:rsidRPr="00DD1558">
        <w:rPr>
          <w:rFonts w:ascii="Simplified Arabic" w:hAnsi="Simplified Arabic"/>
          <w:sz w:val="28"/>
        </w:rPr>
        <w:t>. https://doi.org/10.3389/feduc.2025.1581648</w:t>
      </w:r>
    </w:p>
    <w:p w14:paraId="5C4CCC5A"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Carpitella, S., &amp; Izquierdo, J. (2025). Trends in Sustainable Inventory Management Practices in Industry 4.0. </w:t>
      </w:r>
      <w:r w:rsidRPr="00DD1558">
        <w:rPr>
          <w:rFonts w:ascii="Simplified Arabic" w:hAnsi="Simplified Arabic"/>
          <w:i/>
          <w:iCs/>
          <w:sz w:val="28"/>
        </w:rPr>
        <w:t>Processes</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(4), 1131. https://doi.org/10.3390/pr13041131</w:t>
      </w:r>
    </w:p>
    <w:p w14:paraId="09487D4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Ceulemans, K., Molderez, I., &amp; Van Liedekerke, L. (2015). Sustainability reporting in higher education: A comprehensive review of the recent literature and paths for further research. </w:t>
      </w:r>
      <w:r w:rsidRPr="00DD1558">
        <w:rPr>
          <w:rFonts w:ascii="Simplified Arabic" w:hAnsi="Simplified Arabic"/>
          <w:i/>
          <w:iCs/>
          <w:sz w:val="28"/>
        </w:rPr>
        <w:t>Journal of Cleaner Production, Bridges for a More Sustainable Future: Joining Environmental Management for Sustainable Universities (EMSU) and the European Roundtable for Sustainable Consumption and Production (ERSCP) Conferences</w:t>
      </w:r>
      <w:r w:rsidRPr="00DD1558">
        <w:rPr>
          <w:rFonts w:ascii="Simplified Arabic" w:hAnsi="Simplified Arabic"/>
          <w:sz w:val="28"/>
        </w:rPr>
        <w:t xml:space="preserve">, </w:t>
      </w:r>
      <w:r w:rsidRPr="00DD1558">
        <w:rPr>
          <w:rFonts w:ascii="Simplified Arabic" w:hAnsi="Simplified Arabic"/>
          <w:i/>
          <w:iCs/>
          <w:sz w:val="28"/>
        </w:rPr>
        <w:t>106</w:t>
      </w:r>
      <w:r w:rsidRPr="00DD1558">
        <w:rPr>
          <w:rFonts w:ascii="Simplified Arabic" w:hAnsi="Simplified Arabic"/>
          <w:sz w:val="28"/>
        </w:rPr>
        <w:t>, 127–143. https://doi.org/10.1016/j.jclepro.2014.09.052</w:t>
      </w:r>
    </w:p>
    <w:p w14:paraId="3CF9D0F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Cole, R. (2024). Inter-Rater Reliability Methods in Qualitative Case Study Research. </w:t>
      </w:r>
      <w:r w:rsidRPr="00DD1558">
        <w:rPr>
          <w:rFonts w:ascii="Simplified Arabic" w:hAnsi="Simplified Arabic"/>
          <w:i/>
          <w:iCs/>
          <w:sz w:val="28"/>
        </w:rPr>
        <w:t>Sociological Methods &amp; Research</w:t>
      </w:r>
      <w:r w:rsidRPr="00DD1558">
        <w:rPr>
          <w:rFonts w:ascii="Simplified Arabic" w:hAnsi="Simplified Arabic"/>
          <w:sz w:val="28"/>
        </w:rPr>
        <w:t xml:space="preserve">, </w:t>
      </w:r>
      <w:r w:rsidRPr="00DD1558">
        <w:rPr>
          <w:rFonts w:ascii="Simplified Arabic" w:hAnsi="Simplified Arabic"/>
          <w:i/>
          <w:iCs/>
          <w:sz w:val="28"/>
        </w:rPr>
        <w:t>53</w:t>
      </w:r>
      <w:r w:rsidRPr="00DD1558">
        <w:rPr>
          <w:rFonts w:ascii="Simplified Arabic" w:hAnsi="Simplified Arabic"/>
          <w:sz w:val="28"/>
        </w:rPr>
        <w:t>(4), 1944–1975. https://doi.org/10.1177/00491241231156971</w:t>
      </w:r>
    </w:p>
    <w:p w14:paraId="56D1C5CE"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Cormier, R., Elliott, M., &amp; Rice, J. (2019). Putting on a bow-tie to sort out who does what and why in the complex arena of marine policy and management. </w:t>
      </w:r>
      <w:r w:rsidRPr="00DD1558">
        <w:rPr>
          <w:rFonts w:ascii="Simplified Arabic" w:hAnsi="Simplified Arabic"/>
          <w:i/>
          <w:iCs/>
          <w:sz w:val="28"/>
        </w:rPr>
        <w:t>Science of The Total Environment</w:t>
      </w:r>
      <w:r w:rsidRPr="00DD1558">
        <w:rPr>
          <w:rFonts w:ascii="Simplified Arabic" w:hAnsi="Simplified Arabic"/>
          <w:sz w:val="28"/>
        </w:rPr>
        <w:t xml:space="preserve">, </w:t>
      </w:r>
      <w:r w:rsidRPr="00DD1558">
        <w:rPr>
          <w:rFonts w:ascii="Simplified Arabic" w:hAnsi="Simplified Arabic"/>
          <w:i/>
          <w:iCs/>
          <w:sz w:val="28"/>
        </w:rPr>
        <w:t>648</w:t>
      </w:r>
      <w:r w:rsidRPr="00DD1558">
        <w:rPr>
          <w:rFonts w:ascii="Simplified Arabic" w:hAnsi="Simplified Arabic"/>
          <w:sz w:val="28"/>
        </w:rPr>
        <w:t>, 293–305. https://doi.org/10.1016/j.scitotenv.2018.08.168</w:t>
      </w:r>
    </w:p>
    <w:p w14:paraId="489E4D4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de Ruijter, A., &amp; Guldenmund, F. (2016). The bowtie method: A review. </w:t>
      </w:r>
      <w:r w:rsidRPr="00DD1558">
        <w:rPr>
          <w:rFonts w:ascii="Simplified Arabic" w:hAnsi="Simplified Arabic"/>
          <w:i/>
          <w:iCs/>
          <w:sz w:val="28"/>
        </w:rPr>
        <w:t>Safety Science</w:t>
      </w:r>
      <w:r w:rsidRPr="00DD1558">
        <w:rPr>
          <w:rFonts w:ascii="Simplified Arabic" w:hAnsi="Simplified Arabic"/>
          <w:sz w:val="28"/>
        </w:rPr>
        <w:t xml:space="preserve">, </w:t>
      </w:r>
      <w:r w:rsidRPr="00DD1558">
        <w:rPr>
          <w:rFonts w:ascii="Simplified Arabic" w:hAnsi="Simplified Arabic"/>
          <w:i/>
          <w:iCs/>
          <w:sz w:val="28"/>
        </w:rPr>
        <w:t>88</w:t>
      </w:r>
      <w:r w:rsidRPr="00DD1558">
        <w:rPr>
          <w:rFonts w:ascii="Simplified Arabic" w:hAnsi="Simplified Arabic"/>
          <w:sz w:val="28"/>
        </w:rPr>
        <w:t>, 211–218. https://doi.org/10.1016/j.ssci.2016.03.001</w:t>
      </w:r>
    </w:p>
    <w:p w14:paraId="7C073D4F"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Dean, B. P., Sigler, T. H., &amp; Sharma, A. (2024). Initiating and leading a grassroots process of organizational change to advance a university mission. </w:t>
      </w:r>
      <w:r w:rsidRPr="00DD1558">
        <w:rPr>
          <w:rFonts w:ascii="Simplified Arabic" w:hAnsi="Simplified Arabic"/>
          <w:i/>
          <w:iCs/>
          <w:sz w:val="28"/>
        </w:rPr>
        <w:t>International Journal of Leadership in Education</w:t>
      </w:r>
      <w:r w:rsidRPr="00DD1558">
        <w:rPr>
          <w:rFonts w:ascii="Simplified Arabic" w:hAnsi="Simplified Arabic"/>
          <w:sz w:val="28"/>
        </w:rPr>
        <w:t xml:space="preserve">, </w:t>
      </w:r>
      <w:r w:rsidRPr="00DD1558">
        <w:rPr>
          <w:rFonts w:ascii="Simplified Arabic" w:hAnsi="Simplified Arabic"/>
          <w:i/>
          <w:iCs/>
          <w:sz w:val="28"/>
        </w:rPr>
        <w:t>0</w:t>
      </w:r>
      <w:r w:rsidRPr="00DD1558">
        <w:rPr>
          <w:rFonts w:ascii="Simplified Arabic" w:hAnsi="Simplified Arabic"/>
          <w:sz w:val="28"/>
        </w:rPr>
        <w:t>(0), 1–13. https://doi.org/10.1080/13603124.2024.2330563</w:t>
      </w:r>
    </w:p>
    <w:p w14:paraId="3CC7F97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Durgan, J., Rodríguez-Martínez, M., &amp; Rouse, B. (2023). Green Labs: A guide to developing sustainable science in your organization. </w:t>
      </w:r>
      <w:r w:rsidRPr="00DD1558">
        <w:rPr>
          <w:rFonts w:ascii="Simplified Arabic" w:hAnsi="Simplified Arabic"/>
          <w:i/>
          <w:iCs/>
          <w:sz w:val="28"/>
        </w:rPr>
        <w:t>Immunology &amp; Cell Biology</w:t>
      </w:r>
      <w:r w:rsidRPr="00DD1558">
        <w:rPr>
          <w:rFonts w:ascii="Simplified Arabic" w:hAnsi="Simplified Arabic"/>
          <w:sz w:val="28"/>
        </w:rPr>
        <w:t xml:space="preserve">, </w:t>
      </w:r>
      <w:r w:rsidRPr="00DD1558">
        <w:rPr>
          <w:rFonts w:ascii="Simplified Arabic" w:hAnsi="Simplified Arabic"/>
          <w:i/>
          <w:iCs/>
          <w:sz w:val="28"/>
        </w:rPr>
        <w:t>101</w:t>
      </w:r>
      <w:r w:rsidRPr="00DD1558">
        <w:rPr>
          <w:rFonts w:ascii="Simplified Arabic" w:hAnsi="Simplified Arabic"/>
          <w:sz w:val="28"/>
        </w:rPr>
        <w:t>(4), 289–301. https://doi.org/10.1111/imcb.12624</w:t>
      </w:r>
    </w:p>
    <w:p w14:paraId="5EB9DDC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Ellen MacArthur Foundation. (2013). </w:t>
      </w:r>
      <w:r w:rsidRPr="00DD1558">
        <w:rPr>
          <w:rFonts w:ascii="Simplified Arabic" w:hAnsi="Simplified Arabic"/>
          <w:i/>
          <w:iCs/>
          <w:sz w:val="28"/>
        </w:rPr>
        <w:t>Towards the Circular Economy: Economic and business rationale for an accelerated transition (Vol. 1)</w:t>
      </w:r>
      <w:r w:rsidRPr="00DD1558">
        <w:rPr>
          <w:rFonts w:ascii="Simplified Arabic" w:hAnsi="Simplified Arabic"/>
          <w:sz w:val="28"/>
        </w:rPr>
        <w:t xml:space="preserve">. </w:t>
      </w:r>
      <w:r w:rsidRPr="00DD1558">
        <w:rPr>
          <w:rFonts w:ascii="Simplified Arabic" w:hAnsi="Simplified Arabic"/>
          <w:sz w:val="28"/>
        </w:rPr>
        <w:lastRenderedPageBreak/>
        <w:t>https://media1.circulareconomy.se/2016/11/Towards-The-Circular-Economy-vol-1-2012.pdf</w:t>
      </w:r>
    </w:p>
    <w:p w14:paraId="1B7E518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Fareed El-Tony, Y., &amp; Choo, L. S. (2024). Employee green behavior in laboratories of higher education institutions: A qualitative study. </w:t>
      </w:r>
      <w:r w:rsidRPr="00DD1558">
        <w:rPr>
          <w:rFonts w:ascii="Simplified Arabic" w:hAnsi="Simplified Arabic"/>
          <w:i/>
          <w:iCs/>
          <w:sz w:val="28"/>
        </w:rPr>
        <w:t>International Journal of Sustainability in Higher Education</w:t>
      </w:r>
      <w:r w:rsidRPr="00DD1558">
        <w:rPr>
          <w:rFonts w:ascii="Simplified Arabic" w:hAnsi="Simplified Arabic"/>
          <w:sz w:val="28"/>
        </w:rPr>
        <w:t xml:space="preserve">, </w:t>
      </w:r>
      <w:r w:rsidRPr="00DD1558">
        <w:rPr>
          <w:rFonts w:ascii="Simplified Arabic" w:hAnsi="Simplified Arabic"/>
          <w:i/>
          <w:iCs/>
          <w:sz w:val="28"/>
        </w:rPr>
        <w:t>26</w:t>
      </w:r>
      <w:r w:rsidRPr="00DD1558">
        <w:rPr>
          <w:rFonts w:ascii="Simplified Arabic" w:hAnsi="Simplified Arabic"/>
          <w:sz w:val="28"/>
        </w:rPr>
        <w:t>(3), 697–715. https://doi.org/10.1108/IJSHE-03-2024-0168</w:t>
      </w:r>
    </w:p>
    <w:p w14:paraId="580A2B90"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Farias-Gaytan, S., Aguaded, I., &amp; Ramirez-Montoya, M.-S. (2023). Digital transformation and digital literacy in the context of complexity within higher education institutions: A systematic literature review. </w:t>
      </w:r>
      <w:r w:rsidRPr="00DD1558">
        <w:rPr>
          <w:rFonts w:ascii="Simplified Arabic" w:hAnsi="Simplified Arabic"/>
          <w:i/>
          <w:iCs/>
          <w:sz w:val="28"/>
        </w:rPr>
        <w:t>Humanities and Social Sciences Communications</w:t>
      </w:r>
      <w:r w:rsidRPr="00DD1558">
        <w:rPr>
          <w:rFonts w:ascii="Simplified Arabic" w:hAnsi="Simplified Arabic"/>
          <w:sz w:val="28"/>
        </w:rPr>
        <w:t xml:space="preserve">, </w:t>
      </w:r>
      <w:r w:rsidRPr="00DD1558">
        <w:rPr>
          <w:rFonts w:ascii="Simplified Arabic" w:hAnsi="Simplified Arabic"/>
          <w:i/>
          <w:iCs/>
          <w:sz w:val="28"/>
        </w:rPr>
        <w:t>10</w:t>
      </w:r>
      <w:r w:rsidRPr="00DD1558">
        <w:rPr>
          <w:rFonts w:ascii="Simplified Arabic" w:hAnsi="Simplified Arabic"/>
          <w:sz w:val="28"/>
        </w:rPr>
        <w:t>(1), 386. https://doi.org/10.1057/s41599-023-01875-9</w:t>
      </w:r>
    </w:p>
    <w:p w14:paraId="193621C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Freese, T., Elzinga, N., Heinemann, M., Lerch, M. M., &amp; Feringa, B. L. (2024). The relevance of sustainable laboratory practices. </w:t>
      </w:r>
      <w:r w:rsidRPr="00DD1558">
        <w:rPr>
          <w:rFonts w:ascii="Simplified Arabic" w:hAnsi="Simplified Arabic"/>
          <w:i/>
          <w:iCs/>
          <w:sz w:val="28"/>
        </w:rPr>
        <w:t>RSC Sustainability</w:t>
      </w:r>
      <w:r w:rsidRPr="00DD1558">
        <w:rPr>
          <w:rFonts w:ascii="Simplified Arabic" w:hAnsi="Simplified Arabic"/>
          <w:sz w:val="28"/>
        </w:rPr>
        <w:t xml:space="preserve">, </w:t>
      </w:r>
      <w:r w:rsidRPr="00DD1558">
        <w:rPr>
          <w:rFonts w:ascii="Simplified Arabic" w:hAnsi="Simplified Arabic"/>
          <w:i/>
          <w:iCs/>
          <w:sz w:val="28"/>
        </w:rPr>
        <w:t>2</w:t>
      </w:r>
      <w:r w:rsidRPr="00DD1558">
        <w:rPr>
          <w:rFonts w:ascii="Simplified Arabic" w:hAnsi="Simplified Arabic"/>
          <w:sz w:val="28"/>
        </w:rPr>
        <w:t>(5), 1300–1336. https://doi.org/10.1039/d4su00056k</w:t>
      </w:r>
    </w:p>
    <w:p w14:paraId="4CB9DF46"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Gestel, N. van, &amp; Grotenbreg, S. (2021). Collaborative governance and innovation in public services settings. </w:t>
      </w:r>
      <w:r w:rsidRPr="00DD1558">
        <w:rPr>
          <w:rFonts w:ascii="Simplified Arabic" w:hAnsi="Simplified Arabic"/>
          <w:i/>
          <w:iCs/>
          <w:sz w:val="28"/>
        </w:rPr>
        <w:t>Policy &amp; Politics</w:t>
      </w:r>
      <w:r w:rsidRPr="00DD1558">
        <w:rPr>
          <w:rFonts w:ascii="Simplified Arabic" w:hAnsi="Simplified Arabic"/>
          <w:sz w:val="28"/>
        </w:rPr>
        <w:t xml:space="preserve">, </w:t>
      </w:r>
      <w:r w:rsidRPr="00DD1558">
        <w:rPr>
          <w:rFonts w:ascii="Simplified Arabic" w:hAnsi="Simplified Arabic"/>
          <w:i/>
          <w:iCs/>
          <w:sz w:val="28"/>
        </w:rPr>
        <w:t>49</w:t>
      </w:r>
      <w:r w:rsidRPr="00DD1558">
        <w:rPr>
          <w:rFonts w:ascii="Simplified Arabic" w:hAnsi="Simplified Arabic"/>
          <w:sz w:val="28"/>
        </w:rPr>
        <w:t>(2), 249–265. https://doi.org/10.1332/030557321X16123785900606</w:t>
      </w:r>
    </w:p>
    <w:p w14:paraId="11B76B6E"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Giannoccaro, I., Ceccarelli, G., &amp; Fraccascia, L. (2021). Features of the Higher Education for the Circular Economy: The Case of Italy.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(20), 11338. https://doi.org/10.3390/su132011338</w:t>
      </w:r>
    </w:p>
    <w:p w14:paraId="44A11D1F"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Gutierrez, J., Santaolalla, A., Tercjak, A., Rojo, N., Encinas, D., Gomez-de-Balugera, Z., &amp; Gallastegui, G. (2020). Creating a Green Chemistry Lab: Towards Sustainable Resource Management and Responsible Purchasing.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12</w:t>
      </w:r>
      <w:r w:rsidRPr="00DD1558">
        <w:rPr>
          <w:rFonts w:ascii="Simplified Arabic" w:hAnsi="Simplified Arabic"/>
          <w:sz w:val="28"/>
        </w:rPr>
        <w:t>(21), 8934. https://doi.org/10.3390/su12218934</w:t>
      </w:r>
    </w:p>
    <w:p w14:paraId="73E7170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Hassanain, M. A., Sanni-Anibire, M. O., Mahmoud, A. S., &amp; Ahmed, W. (2019). Post-occupancy evaluation of research and academic laboratory facilities. </w:t>
      </w:r>
      <w:r w:rsidRPr="00DD1558">
        <w:rPr>
          <w:rFonts w:ascii="Simplified Arabic" w:hAnsi="Simplified Arabic"/>
          <w:i/>
          <w:iCs/>
          <w:sz w:val="28"/>
        </w:rPr>
        <w:t xml:space="preserve">International Journal </w:t>
      </w:r>
      <w:r w:rsidRPr="00DD1558">
        <w:rPr>
          <w:rFonts w:ascii="Simplified Arabic" w:hAnsi="Simplified Arabic"/>
          <w:i/>
          <w:iCs/>
          <w:sz w:val="28"/>
        </w:rPr>
        <w:lastRenderedPageBreak/>
        <w:t>of Building Pathology and Adaptation</w:t>
      </w:r>
      <w:r w:rsidRPr="00DD1558">
        <w:rPr>
          <w:rFonts w:ascii="Simplified Arabic" w:hAnsi="Simplified Arabic"/>
          <w:sz w:val="28"/>
        </w:rPr>
        <w:t xml:space="preserve">, </w:t>
      </w:r>
      <w:r w:rsidRPr="00DD1558">
        <w:rPr>
          <w:rFonts w:ascii="Simplified Arabic" w:hAnsi="Simplified Arabic"/>
          <w:i/>
          <w:iCs/>
          <w:sz w:val="28"/>
        </w:rPr>
        <w:t>38</w:t>
      </w:r>
      <w:r w:rsidRPr="00DD1558">
        <w:rPr>
          <w:rFonts w:ascii="Simplified Arabic" w:hAnsi="Simplified Arabic"/>
          <w:sz w:val="28"/>
        </w:rPr>
        <w:t>(5), 797–810. https://doi.org/10.1108/IJBPA-12-2018-0097</w:t>
      </w:r>
    </w:p>
    <w:p w14:paraId="036AA56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Hennink, M., &amp; Kaiser, B. N. (2022). Sample sizes for saturation in qualitative research: A systematic review of empirical tests. </w:t>
      </w:r>
      <w:r w:rsidRPr="00DD1558">
        <w:rPr>
          <w:rFonts w:ascii="Simplified Arabic" w:hAnsi="Simplified Arabic"/>
          <w:i/>
          <w:iCs/>
          <w:sz w:val="28"/>
        </w:rPr>
        <w:t>Social Science &amp; Medicine</w:t>
      </w:r>
      <w:r w:rsidRPr="00DD1558">
        <w:rPr>
          <w:rFonts w:ascii="Simplified Arabic" w:hAnsi="Simplified Arabic"/>
          <w:sz w:val="28"/>
        </w:rPr>
        <w:t xml:space="preserve">, </w:t>
      </w:r>
      <w:r w:rsidRPr="00DD1558">
        <w:rPr>
          <w:rFonts w:ascii="Simplified Arabic" w:hAnsi="Simplified Arabic"/>
          <w:i/>
          <w:iCs/>
          <w:sz w:val="28"/>
        </w:rPr>
        <w:t>292</w:t>
      </w:r>
      <w:r w:rsidRPr="00DD1558">
        <w:rPr>
          <w:rFonts w:ascii="Simplified Arabic" w:hAnsi="Simplified Arabic"/>
          <w:sz w:val="28"/>
        </w:rPr>
        <w:t>, 114523. https://doi.org/10.1016/j.socscimed.2021.114523</w:t>
      </w:r>
    </w:p>
    <w:p w14:paraId="2D576B9B"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Hillson, D. A. (1997). </w:t>
      </w:r>
      <w:r w:rsidRPr="00DD1558">
        <w:rPr>
          <w:rFonts w:ascii="Simplified Arabic" w:hAnsi="Simplified Arabic"/>
          <w:i/>
          <w:iCs/>
          <w:sz w:val="28"/>
        </w:rPr>
        <w:t>Towards a risk maturity model. The International Journal of Project and Business Risk Management, 1(1), 35–45.</w:t>
      </w:r>
      <w:r w:rsidRPr="00DD1558">
        <w:rPr>
          <w:rFonts w:ascii="Simplified Arabic" w:hAnsi="Simplified Arabic"/>
          <w:sz w:val="28"/>
        </w:rPr>
        <w:t xml:space="preserve"> https://risk-doctor.com/wp-content/uploads/2020/06/RMM-IJPBRM-Mar97.pdf</w:t>
      </w:r>
    </w:p>
    <w:p w14:paraId="0DC7EC5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Hopkin, P. (2018). </w:t>
      </w:r>
      <w:r w:rsidRPr="00DD1558">
        <w:rPr>
          <w:rFonts w:ascii="Simplified Arabic" w:hAnsi="Simplified Arabic"/>
          <w:i/>
          <w:iCs/>
          <w:sz w:val="28"/>
        </w:rPr>
        <w:t>Fundamentals of Risk Management: Understanding, Evaluating and Implementing Effective Risk Management</w:t>
      </w:r>
      <w:r w:rsidRPr="00DD1558">
        <w:rPr>
          <w:rFonts w:ascii="Simplified Arabic" w:hAnsi="Simplified Arabic"/>
          <w:sz w:val="28"/>
        </w:rPr>
        <w:t>. Kogan Page Publishers. https://books.google.com.sa/books?id=bzFiDwAAQBAJ</w:t>
      </w:r>
    </w:p>
    <w:p w14:paraId="49C2363F"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Hopkinson, M. (2017). </w:t>
      </w:r>
      <w:r w:rsidRPr="00DD1558">
        <w:rPr>
          <w:rFonts w:ascii="Simplified Arabic" w:hAnsi="Simplified Arabic"/>
          <w:i/>
          <w:iCs/>
          <w:sz w:val="28"/>
        </w:rPr>
        <w:t>The Project Risk Maturity Model: Measuring and Improving Risk Management Capability</w:t>
      </w:r>
      <w:r w:rsidRPr="00DD1558">
        <w:rPr>
          <w:rFonts w:ascii="Simplified Arabic" w:hAnsi="Simplified Arabic"/>
          <w:sz w:val="28"/>
        </w:rPr>
        <w:t>. Taylor &amp; Francis. https://books.google.com.sa/books?id=hHQIEQAAQBAJ</w:t>
      </w:r>
    </w:p>
    <w:p w14:paraId="3AA7DFA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ISO/IEC, 14001. (2015). </w:t>
      </w:r>
      <w:r w:rsidRPr="00DD1558">
        <w:rPr>
          <w:rFonts w:ascii="Simplified Arabic" w:hAnsi="Simplified Arabic"/>
          <w:i/>
          <w:iCs/>
          <w:sz w:val="28"/>
        </w:rPr>
        <w:t>ISO 14001:2015(en), Environmental management systems—Requirements with guidance for use</w:t>
      </w:r>
      <w:r w:rsidRPr="00DD1558">
        <w:rPr>
          <w:rFonts w:ascii="Simplified Arabic" w:hAnsi="Simplified Arabic"/>
          <w:sz w:val="28"/>
        </w:rPr>
        <w:t>. https://www.iso.org/obp/ui/#iso:std:iso:14001:ed-3:v1:en</w:t>
      </w:r>
    </w:p>
    <w:p w14:paraId="553C28E4"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ISO/IEC, 22301. (2019). </w:t>
      </w:r>
      <w:r w:rsidRPr="00DD1558">
        <w:rPr>
          <w:rFonts w:ascii="Simplified Arabic" w:hAnsi="Simplified Arabic"/>
          <w:i/>
          <w:iCs/>
          <w:sz w:val="28"/>
        </w:rPr>
        <w:t>ISO 22301:2019(en), Security and resilience—Business continuity management systems—Requirements</w:t>
      </w:r>
      <w:r w:rsidRPr="00DD1558">
        <w:rPr>
          <w:rFonts w:ascii="Simplified Arabic" w:hAnsi="Simplified Arabic"/>
          <w:sz w:val="28"/>
        </w:rPr>
        <w:t>. https://www.iso.org/obp/ui#iso:std:iso:22301:ed-2:v1:en</w:t>
      </w:r>
    </w:p>
    <w:p w14:paraId="7FF98C24"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ISO/IEC, 26000. (2010). </w:t>
      </w:r>
      <w:r w:rsidRPr="00DD1558">
        <w:rPr>
          <w:rFonts w:ascii="Simplified Arabic" w:hAnsi="Simplified Arabic"/>
          <w:i/>
          <w:iCs/>
          <w:sz w:val="28"/>
        </w:rPr>
        <w:t>ISO 26000:2010(en), Guidance on social responsibility</w:t>
      </w:r>
      <w:r w:rsidRPr="00DD1558">
        <w:rPr>
          <w:rFonts w:ascii="Simplified Arabic" w:hAnsi="Simplified Arabic"/>
          <w:sz w:val="28"/>
        </w:rPr>
        <w:t>. https://www.iso.org/obp/ui/#iso:std:iso:26000:ed-1:v1:en</w:t>
      </w:r>
    </w:p>
    <w:p w14:paraId="23822EB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ISO/IEC, 31000. (2018). </w:t>
      </w:r>
      <w:r w:rsidRPr="00DD1558">
        <w:rPr>
          <w:rFonts w:ascii="Simplified Arabic" w:hAnsi="Simplified Arabic"/>
          <w:i/>
          <w:iCs/>
          <w:sz w:val="28"/>
        </w:rPr>
        <w:t>ISO 31000:2018(en), Risk management—Guidelines</w:t>
      </w:r>
      <w:r w:rsidRPr="00DD1558">
        <w:rPr>
          <w:rFonts w:ascii="Simplified Arabic" w:hAnsi="Simplified Arabic"/>
          <w:sz w:val="28"/>
        </w:rPr>
        <w:t>. https://www.iso.org/obp/ui/#iso:std:iso:31000:ed-2:v1:en</w:t>
      </w:r>
    </w:p>
    <w:p w14:paraId="544658FA"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ISO/IEC, 31010. (2019). </w:t>
      </w:r>
      <w:r w:rsidRPr="00DD1558">
        <w:rPr>
          <w:rFonts w:ascii="Simplified Arabic" w:hAnsi="Simplified Arabic"/>
          <w:i/>
          <w:iCs/>
          <w:sz w:val="28"/>
        </w:rPr>
        <w:t>ISO 31010:2019(en,fr), Risk management—Risk assessment techniques / Management du risque—Techniques d’appréciation du risque</w:t>
      </w:r>
      <w:r w:rsidRPr="00DD1558">
        <w:rPr>
          <w:rFonts w:ascii="Simplified Arabic" w:hAnsi="Simplified Arabic"/>
          <w:sz w:val="28"/>
        </w:rPr>
        <w:t>. https://www.iso.org/obp/ui/#iso:std:iec:31010:ed-2:v1:en,fr</w:t>
      </w:r>
    </w:p>
    <w:p w14:paraId="29D0416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ISO/IEC, 33020. (2019). </w:t>
      </w:r>
      <w:r w:rsidRPr="00DD1558">
        <w:rPr>
          <w:rFonts w:ascii="Simplified Arabic" w:hAnsi="Simplified Arabic"/>
          <w:i/>
          <w:iCs/>
          <w:sz w:val="28"/>
        </w:rPr>
        <w:t>ISO 33020:2019(en), Information technology—Process assessment—Process measurement framework for assessment of process capability</w:t>
      </w:r>
      <w:r w:rsidRPr="00DD1558">
        <w:rPr>
          <w:rFonts w:ascii="Simplified Arabic" w:hAnsi="Simplified Arabic"/>
          <w:sz w:val="28"/>
        </w:rPr>
        <w:t>. https://www.iso.org/obp/ui/es/#iso:std:iso-iec:33020:ed-2:v1:en</w:t>
      </w:r>
    </w:p>
    <w:p w14:paraId="3569799D"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Johnson, M., Manton, M., Cowley, C., &amp; Scanlon, M. (2018). </w:t>
      </w:r>
      <w:r w:rsidRPr="00DD1558">
        <w:rPr>
          <w:rFonts w:ascii="Simplified Arabic" w:hAnsi="Simplified Arabic"/>
          <w:i/>
          <w:iCs/>
          <w:sz w:val="28"/>
        </w:rPr>
        <w:t>Bow Ties in Risk Management; using the new CCPS-EI book to avoid pitfalls</w:t>
      </w:r>
      <w:r w:rsidRPr="00DD1558">
        <w:rPr>
          <w:rFonts w:ascii="Simplified Arabic" w:hAnsi="Simplified Arabic"/>
          <w:sz w:val="28"/>
        </w:rPr>
        <w:t>. (163). https://www.icheme.org/media/16937/hazards-28-paper-31.pdf</w:t>
      </w:r>
    </w:p>
    <w:p w14:paraId="2A6B3F2C"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Kirchherr, J., Reike, D., &amp; Hekkert, M. (2017). Conceptualizing the circular economy: An analysis of 114 definitions. </w:t>
      </w:r>
      <w:r w:rsidRPr="00DD1558">
        <w:rPr>
          <w:rFonts w:ascii="Simplified Arabic" w:hAnsi="Simplified Arabic"/>
          <w:i/>
          <w:iCs/>
          <w:sz w:val="28"/>
        </w:rPr>
        <w:t>Resources, Conservation and Recycling</w:t>
      </w:r>
      <w:r w:rsidRPr="00DD1558">
        <w:rPr>
          <w:rFonts w:ascii="Simplified Arabic" w:hAnsi="Simplified Arabic"/>
          <w:sz w:val="28"/>
        </w:rPr>
        <w:t xml:space="preserve">, </w:t>
      </w:r>
      <w:r w:rsidRPr="00DD1558">
        <w:rPr>
          <w:rFonts w:ascii="Simplified Arabic" w:hAnsi="Simplified Arabic"/>
          <w:i/>
          <w:iCs/>
          <w:sz w:val="28"/>
        </w:rPr>
        <w:t>127</w:t>
      </w:r>
      <w:r w:rsidRPr="00DD1558">
        <w:rPr>
          <w:rFonts w:ascii="Simplified Arabic" w:hAnsi="Simplified Arabic"/>
          <w:sz w:val="28"/>
        </w:rPr>
        <w:t>, 221–232. https://doi.org/10.1016/j.resconrec.2017.09.005</w:t>
      </w:r>
    </w:p>
    <w:p w14:paraId="6F634B3B"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Knott, E., Rao, A. H., Summers, K., &amp; Teeger, C. (2022). Interviews in the social sciences. </w:t>
      </w:r>
      <w:r w:rsidRPr="00DD1558">
        <w:rPr>
          <w:rFonts w:ascii="Simplified Arabic" w:hAnsi="Simplified Arabic"/>
          <w:i/>
          <w:iCs/>
          <w:sz w:val="28"/>
        </w:rPr>
        <w:t>Nature Reviews Methods Primers</w:t>
      </w:r>
      <w:r w:rsidRPr="00DD1558">
        <w:rPr>
          <w:rFonts w:ascii="Simplified Arabic" w:hAnsi="Simplified Arabic"/>
          <w:sz w:val="28"/>
        </w:rPr>
        <w:t xml:space="preserve">, </w:t>
      </w:r>
      <w:r w:rsidRPr="00DD1558">
        <w:rPr>
          <w:rFonts w:ascii="Simplified Arabic" w:hAnsi="Simplified Arabic"/>
          <w:i/>
          <w:iCs/>
          <w:sz w:val="28"/>
        </w:rPr>
        <w:t>2</w:t>
      </w:r>
      <w:r w:rsidRPr="00DD1558">
        <w:rPr>
          <w:rFonts w:ascii="Simplified Arabic" w:hAnsi="Simplified Arabic"/>
          <w:sz w:val="28"/>
        </w:rPr>
        <w:t>(1), 73. https://doi.org/10.1038/s43586-022-00150-6</w:t>
      </w:r>
    </w:p>
    <w:p w14:paraId="4F4A04E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Kumdokrub, T., Carson, S., &amp; You, F. (2023). Cornell university campus metabolism and circular economy using a living laboratory approach to study major resource and material flows.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421</w:t>
      </w:r>
      <w:r w:rsidRPr="00DD1558">
        <w:rPr>
          <w:rFonts w:ascii="Simplified Arabic" w:hAnsi="Simplified Arabic"/>
          <w:sz w:val="28"/>
        </w:rPr>
        <w:t>, 138469. https://doi.org/10.1016/j.jclepro.2023.138469</w:t>
      </w:r>
    </w:p>
    <w:p w14:paraId="65A9FBAF"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Lakhno, M. (2024). Green or green-washed? Examining sustainability reporting in higher education. </w:t>
      </w:r>
      <w:r w:rsidRPr="00DD1558">
        <w:rPr>
          <w:rFonts w:ascii="Simplified Arabic" w:hAnsi="Simplified Arabic"/>
          <w:i/>
          <w:iCs/>
          <w:sz w:val="28"/>
        </w:rPr>
        <w:t>Higher Education Quarterly</w:t>
      </w:r>
      <w:r w:rsidRPr="00DD1558">
        <w:rPr>
          <w:rFonts w:ascii="Simplified Arabic" w:hAnsi="Simplified Arabic"/>
          <w:sz w:val="28"/>
        </w:rPr>
        <w:t xml:space="preserve">, </w:t>
      </w:r>
      <w:r w:rsidRPr="00DD1558">
        <w:rPr>
          <w:rFonts w:ascii="Simplified Arabic" w:hAnsi="Simplified Arabic"/>
          <w:i/>
          <w:iCs/>
          <w:sz w:val="28"/>
        </w:rPr>
        <w:t>78</w:t>
      </w:r>
      <w:r w:rsidRPr="00DD1558">
        <w:rPr>
          <w:rFonts w:ascii="Simplified Arabic" w:hAnsi="Simplified Arabic"/>
          <w:sz w:val="28"/>
        </w:rPr>
        <w:t>(3), 1099–1122. https://doi.org/10.1111/hequ.12513</w:t>
      </w:r>
    </w:p>
    <w:p w14:paraId="4529618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Leoneti, A. B., Vitorino dos Santos, D., da Silva, R. S., Henriques Ferreira, A., César Pimenta, A., &amp; Valle Walter Borges de Oliveira, S. (2019). Process management </w:t>
      </w:r>
      <w:r w:rsidRPr="00DD1558">
        <w:rPr>
          <w:rFonts w:ascii="Simplified Arabic" w:hAnsi="Simplified Arabic"/>
          <w:sz w:val="28"/>
        </w:rPr>
        <w:lastRenderedPageBreak/>
        <w:t xml:space="preserve">framework for chemical waste treatment laboratories. </w:t>
      </w:r>
      <w:r w:rsidRPr="00DD1558">
        <w:rPr>
          <w:rFonts w:ascii="Simplified Arabic" w:hAnsi="Simplified Arabic"/>
          <w:i/>
          <w:iCs/>
          <w:sz w:val="28"/>
        </w:rPr>
        <w:t>Business Process Management Journal</w:t>
      </w:r>
      <w:r w:rsidRPr="00DD1558">
        <w:rPr>
          <w:rFonts w:ascii="Simplified Arabic" w:hAnsi="Simplified Arabic"/>
          <w:sz w:val="28"/>
        </w:rPr>
        <w:t xml:space="preserve">, </w:t>
      </w:r>
      <w:r w:rsidRPr="00DD1558">
        <w:rPr>
          <w:rFonts w:ascii="Simplified Arabic" w:hAnsi="Simplified Arabic"/>
          <w:i/>
          <w:iCs/>
          <w:sz w:val="28"/>
        </w:rPr>
        <w:t>26</w:t>
      </w:r>
      <w:r w:rsidRPr="00DD1558">
        <w:rPr>
          <w:rFonts w:ascii="Simplified Arabic" w:hAnsi="Simplified Arabic"/>
          <w:sz w:val="28"/>
        </w:rPr>
        <w:t>(2), 447–462. https://doi.org/10.1108/BPMJ-06-2019-0233</w:t>
      </w:r>
    </w:p>
    <w:p w14:paraId="5F8E988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Li, Z., Wang, X., Gong, S., Sun, N., &amp; Tong, R. (2022). Risk assessment of unsafe behavior in university laboratories using the HFACS-UL and a fuzzy Bayesian network. </w:t>
      </w:r>
      <w:r w:rsidRPr="00DD1558">
        <w:rPr>
          <w:rFonts w:ascii="Simplified Arabic" w:hAnsi="Simplified Arabic"/>
          <w:i/>
          <w:iCs/>
          <w:sz w:val="28"/>
        </w:rPr>
        <w:t>Journal of Safety Research</w:t>
      </w:r>
      <w:r w:rsidRPr="00DD1558">
        <w:rPr>
          <w:rFonts w:ascii="Simplified Arabic" w:hAnsi="Simplified Arabic"/>
          <w:sz w:val="28"/>
        </w:rPr>
        <w:t xml:space="preserve">, </w:t>
      </w:r>
      <w:r w:rsidRPr="00DD1558">
        <w:rPr>
          <w:rFonts w:ascii="Simplified Arabic" w:hAnsi="Simplified Arabic"/>
          <w:i/>
          <w:iCs/>
          <w:sz w:val="28"/>
        </w:rPr>
        <w:t>82</w:t>
      </w:r>
      <w:r w:rsidRPr="00DD1558">
        <w:rPr>
          <w:rFonts w:ascii="Simplified Arabic" w:hAnsi="Simplified Arabic"/>
          <w:sz w:val="28"/>
        </w:rPr>
        <w:t>, 13–27. https://doi.org/10.1016/j.jsr.2022.04.002</w:t>
      </w:r>
    </w:p>
    <w:p w14:paraId="7C7D9CB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Lopes, A. V., &amp; Farias, J. S. (2022). How can governance support collaborative innovation in the public sector? A systematic review of the literature. </w:t>
      </w:r>
      <w:r w:rsidRPr="00DD1558">
        <w:rPr>
          <w:rFonts w:ascii="Simplified Arabic" w:hAnsi="Simplified Arabic"/>
          <w:i/>
          <w:iCs/>
          <w:sz w:val="28"/>
        </w:rPr>
        <w:t>International Review of Administrative Sciences</w:t>
      </w:r>
      <w:r w:rsidRPr="00DD1558">
        <w:rPr>
          <w:rFonts w:ascii="Simplified Arabic" w:hAnsi="Simplified Arabic"/>
          <w:sz w:val="28"/>
        </w:rPr>
        <w:t xml:space="preserve">, </w:t>
      </w:r>
      <w:r w:rsidRPr="00DD1558">
        <w:rPr>
          <w:rFonts w:ascii="Simplified Arabic" w:hAnsi="Simplified Arabic"/>
          <w:i/>
          <w:iCs/>
          <w:sz w:val="28"/>
        </w:rPr>
        <w:t>88</w:t>
      </w:r>
      <w:r w:rsidRPr="00DD1558">
        <w:rPr>
          <w:rFonts w:ascii="Simplified Arabic" w:hAnsi="Simplified Arabic"/>
          <w:sz w:val="28"/>
        </w:rPr>
        <w:t>(1), 114–130. https://doi.org/10.1177/0020852319893444</w:t>
      </w:r>
    </w:p>
    <w:p w14:paraId="79F25BD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Maulana, A., Aisyah, S., &amp; Wikanta, P. (2023). Web-Based Item Tracking System Using RFID. </w:t>
      </w:r>
      <w:r w:rsidRPr="00DD1558">
        <w:rPr>
          <w:rFonts w:ascii="Simplified Arabic" w:hAnsi="Simplified Arabic"/>
          <w:i/>
          <w:iCs/>
          <w:sz w:val="28"/>
        </w:rPr>
        <w:t>Jurnal Rekayasa Elektrika</w:t>
      </w:r>
      <w:r w:rsidRPr="00DD1558">
        <w:rPr>
          <w:rFonts w:ascii="Simplified Arabic" w:hAnsi="Simplified Arabic"/>
          <w:sz w:val="28"/>
        </w:rPr>
        <w:t xml:space="preserve">, </w:t>
      </w:r>
      <w:r w:rsidRPr="00DD1558">
        <w:rPr>
          <w:rFonts w:ascii="Simplified Arabic" w:hAnsi="Simplified Arabic"/>
          <w:i/>
          <w:iCs/>
          <w:sz w:val="28"/>
        </w:rPr>
        <w:t>19</w:t>
      </w:r>
      <w:r w:rsidRPr="00DD1558">
        <w:rPr>
          <w:rFonts w:ascii="Simplified Arabic" w:hAnsi="Simplified Arabic"/>
          <w:sz w:val="28"/>
        </w:rPr>
        <w:t>(3). https://doi.org/10.17529/jre.v19i3.27050</w:t>
      </w:r>
    </w:p>
    <w:p w14:paraId="61B94F7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Mohamed Hashim, M. A., Tlemsani, I., &amp; Duncan Matthews, R. (2022). A sustainable University: Digital Transformation and Beyond. </w:t>
      </w:r>
      <w:r w:rsidRPr="00DD1558">
        <w:rPr>
          <w:rFonts w:ascii="Simplified Arabic" w:hAnsi="Simplified Arabic"/>
          <w:i/>
          <w:iCs/>
          <w:sz w:val="28"/>
        </w:rPr>
        <w:t>Education and Information Technologies</w:t>
      </w:r>
      <w:r w:rsidRPr="00DD1558">
        <w:rPr>
          <w:rFonts w:ascii="Simplified Arabic" w:hAnsi="Simplified Arabic"/>
          <w:sz w:val="28"/>
        </w:rPr>
        <w:t xml:space="preserve">, </w:t>
      </w:r>
      <w:r w:rsidRPr="00DD1558">
        <w:rPr>
          <w:rFonts w:ascii="Simplified Arabic" w:hAnsi="Simplified Arabic"/>
          <w:i/>
          <w:iCs/>
          <w:sz w:val="28"/>
        </w:rPr>
        <w:t>27</w:t>
      </w:r>
      <w:r w:rsidRPr="00DD1558">
        <w:rPr>
          <w:rFonts w:ascii="Simplified Arabic" w:hAnsi="Simplified Arabic"/>
          <w:sz w:val="28"/>
        </w:rPr>
        <w:t>(7), 8961–8996. https://doi.org/10.1007/s10639-022-10968-y</w:t>
      </w:r>
    </w:p>
    <w:p w14:paraId="1D299F4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Mohsen, Z. A. (2025). Laboratory safety and security concepts for clinical laboratory students and universities staff in Saudi Arabia. </w:t>
      </w:r>
      <w:r w:rsidRPr="00DD1558">
        <w:rPr>
          <w:rFonts w:ascii="Simplified Arabic" w:hAnsi="Simplified Arabic"/>
          <w:i/>
          <w:iCs/>
          <w:sz w:val="28"/>
        </w:rPr>
        <w:t>Journal of Education Technology in Health Sciences</w:t>
      </w:r>
      <w:r w:rsidRPr="00DD1558">
        <w:rPr>
          <w:rFonts w:ascii="Simplified Arabic" w:hAnsi="Simplified Arabic"/>
          <w:sz w:val="28"/>
        </w:rPr>
        <w:t xml:space="preserve">, </w:t>
      </w:r>
      <w:r w:rsidRPr="00DD1558">
        <w:rPr>
          <w:rFonts w:ascii="Simplified Arabic" w:hAnsi="Simplified Arabic"/>
          <w:i/>
          <w:iCs/>
          <w:sz w:val="28"/>
        </w:rPr>
        <w:t>10</w:t>
      </w:r>
      <w:r w:rsidRPr="00DD1558">
        <w:rPr>
          <w:rFonts w:ascii="Simplified Arabic" w:hAnsi="Simplified Arabic"/>
          <w:sz w:val="28"/>
        </w:rPr>
        <w:t>(2), 42–46. https://doi.org/10.18231/j.jeths.2023.010</w:t>
      </w:r>
    </w:p>
    <w:p w14:paraId="60CF6E75"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Papadopoli, R., Nobile, C. G. A., Trovato, A., Pileggi, C., &amp; Pavia, M. (2020). Chemical risk and safety awareness, perception, and practices among research laboratories workers in Italy. </w:t>
      </w:r>
      <w:r w:rsidRPr="00DD1558">
        <w:rPr>
          <w:rFonts w:ascii="Simplified Arabic" w:hAnsi="Simplified Arabic"/>
          <w:i/>
          <w:iCs/>
          <w:sz w:val="28"/>
        </w:rPr>
        <w:t>Journal of Occupational Medicine and Toxicology</w:t>
      </w:r>
      <w:r w:rsidRPr="00DD1558">
        <w:rPr>
          <w:rFonts w:ascii="Simplified Arabic" w:hAnsi="Simplified Arabic"/>
          <w:sz w:val="28"/>
        </w:rPr>
        <w:t xml:space="preserve">, </w:t>
      </w:r>
      <w:r w:rsidRPr="00DD1558">
        <w:rPr>
          <w:rFonts w:ascii="Simplified Arabic" w:hAnsi="Simplified Arabic"/>
          <w:i/>
          <w:iCs/>
          <w:sz w:val="28"/>
        </w:rPr>
        <w:t>15</w:t>
      </w:r>
      <w:r w:rsidRPr="00DD1558">
        <w:rPr>
          <w:rFonts w:ascii="Simplified Arabic" w:hAnsi="Simplified Arabic"/>
          <w:sz w:val="28"/>
        </w:rPr>
        <w:t>(1), 17. https://doi.org/10.1186/s12995-020-00268-x</w:t>
      </w:r>
    </w:p>
    <w:p w14:paraId="10CD634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Paulk, M. C., Curtis, B., Chrissis, M. B., &amp; Weber, C. V. (1993). Capability maturity model, version 1.1. </w:t>
      </w:r>
      <w:r w:rsidRPr="00DD1558">
        <w:rPr>
          <w:rFonts w:ascii="Simplified Arabic" w:hAnsi="Simplified Arabic"/>
          <w:i/>
          <w:iCs/>
          <w:sz w:val="28"/>
        </w:rPr>
        <w:t>IEEE Software</w:t>
      </w:r>
      <w:r w:rsidRPr="00DD1558">
        <w:rPr>
          <w:rFonts w:ascii="Simplified Arabic" w:hAnsi="Simplified Arabic"/>
          <w:sz w:val="28"/>
        </w:rPr>
        <w:t xml:space="preserve">, </w:t>
      </w:r>
      <w:r w:rsidRPr="00DD1558">
        <w:rPr>
          <w:rFonts w:ascii="Simplified Arabic" w:hAnsi="Simplified Arabic"/>
          <w:i/>
          <w:iCs/>
          <w:sz w:val="28"/>
        </w:rPr>
        <w:t>10</w:t>
      </w:r>
      <w:r w:rsidRPr="00DD1558">
        <w:rPr>
          <w:rFonts w:ascii="Simplified Arabic" w:hAnsi="Simplified Arabic"/>
          <w:sz w:val="28"/>
        </w:rPr>
        <w:t>(4), 18–27. https://doi.org/10.1109/52.219617</w:t>
      </w:r>
    </w:p>
    <w:p w14:paraId="3266A6C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PMI. (2021). </w:t>
      </w:r>
      <w:r w:rsidRPr="00DD1558">
        <w:rPr>
          <w:rFonts w:ascii="Simplified Arabic" w:hAnsi="Simplified Arabic"/>
          <w:i/>
          <w:iCs/>
          <w:sz w:val="28"/>
        </w:rPr>
        <w:t>A Guide to the Project Management Body of Knowledge (PMBOK® Guide) – Seventh Edition and The Standard for Project Management (ENGLISH)</w:t>
      </w:r>
      <w:r w:rsidRPr="00DD1558">
        <w:rPr>
          <w:rFonts w:ascii="Simplified Arabic" w:hAnsi="Simplified Arabic"/>
          <w:sz w:val="28"/>
        </w:rPr>
        <w:t>. Project Management Institute. https://books.google.com.sa/books?id=lKsxEAAAQBAJ</w:t>
      </w:r>
    </w:p>
    <w:p w14:paraId="2718460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Qu, D., Shevchenko, T., Saidani, M., Xia, Y., &amp; Ladyka, Y. (2021). TRANSITION TOWARDS A CIRCULAR ECONOMY: THE ROLE OF UNIVERSITY ASSETS IN THE IMPLEMENTATION OF A NEW MODEL. </w:t>
      </w:r>
      <w:r w:rsidRPr="00DD1558">
        <w:rPr>
          <w:rFonts w:ascii="Simplified Arabic" w:hAnsi="Simplified Arabic"/>
          <w:i/>
          <w:iCs/>
          <w:sz w:val="28"/>
        </w:rPr>
        <w:t>Detritus</w:t>
      </w:r>
      <w:r w:rsidRPr="00DD1558">
        <w:rPr>
          <w:rFonts w:ascii="Simplified Arabic" w:hAnsi="Simplified Arabic"/>
          <w:sz w:val="28"/>
        </w:rPr>
        <w:t>, (17), 3. https://doi.org/10.31025/2611-4135/2021.15141</w:t>
      </w:r>
    </w:p>
    <w:p w14:paraId="694272EC"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Renfors, S.-M. (2024). Education for the circular economy in higher education: An overview of the current state. </w:t>
      </w:r>
      <w:r w:rsidRPr="00DD1558">
        <w:rPr>
          <w:rFonts w:ascii="Simplified Arabic" w:hAnsi="Simplified Arabic"/>
          <w:i/>
          <w:iCs/>
          <w:sz w:val="28"/>
        </w:rPr>
        <w:t>International Journal of Sustainability in Higher Education</w:t>
      </w:r>
      <w:r w:rsidRPr="00DD1558">
        <w:rPr>
          <w:rFonts w:ascii="Simplified Arabic" w:hAnsi="Simplified Arabic"/>
          <w:sz w:val="28"/>
        </w:rPr>
        <w:t xml:space="preserve">, </w:t>
      </w:r>
      <w:r w:rsidRPr="00DD1558">
        <w:rPr>
          <w:rFonts w:ascii="Simplified Arabic" w:hAnsi="Simplified Arabic"/>
          <w:i/>
          <w:iCs/>
          <w:sz w:val="28"/>
        </w:rPr>
        <w:t>25</w:t>
      </w:r>
      <w:r w:rsidRPr="00DD1558">
        <w:rPr>
          <w:rFonts w:ascii="Simplified Arabic" w:hAnsi="Simplified Arabic"/>
          <w:sz w:val="28"/>
        </w:rPr>
        <w:t>(9), 111–127. https://doi.org/10.1108/IJSHE-07-2023-0270</w:t>
      </w:r>
    </w:p>
    <w:p w14:paraId="353FAA6A"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Rodríguez-Abitia, G., &amp; Bribiesca-Correa, G. (2021). Assessing Digital Transformation in Universities. </w:t>
      </w:r>
      <w:r w:rsidRPr="00DD1558">
        <w:rPr>
          <w:rFonts w:ascii="Simplified Arabic" w:hAnsi="Simplified Arabic"/>
          <w:i/>
          <w:iCs/>
          <w:sz w:val="28"/>
        </w:rPr>
        <w:t>Future Internet</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(2), 52. https://doi.org/10.3390/fi13020052</w:t>
      </w:r>
    </w:p>
    <w:p w14:paraId="667986D0"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Salas, D. A., Criollo, P., &amp; Ramirez, A. D. (2021). The Role of Higher Education Institutions in the Implementation of Circular Economy in Latin America.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(17), 9805. https://doi.org/10.3390/su13179805</w:t>
      </w:r>
    </w:p>
    <w:p w14:paraId="5F35BF6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Shibambu, A. (2024). Transformation of digital government services in the public sector in South Africa. </w:t>
      </w:r>
      <w:r w:rsidRPr="00DD1558">
        <w:rPr>
          <w:rFonts w:ascii="Simplified Arabic" w:hAnsi="Simplified Arabic"/>
          <w:i/>
          <w:iCs/>
          <w:sz w:val="28"/>
        </w:rPr>
        <w:t>Africa’s Public Service Delivery &amp; Performance Review</w:t>
      </w:r>
      <w:r w:rsidRPr="00DD1558">
        <w:rPr>
          <w:rFonts w:ascii="Simplified Arabic" w:hAnsi="Simplified Arabic"/>
          <w:sz w:val="28"/>
        </w:rPr>
        <w:t xml:space="preserve">, </w:t>
      </w:r>
      <w:r w:rsidRPr="00DD1558">
        <w:rPr>
          <w:rFonts w:ascii="Simplified Arabic" w:hAnsi="Simplified Arabic"/>
          <w:i/>
          <w:iCs/>
          <w:sz w:val="28"/>
        </w:rPr>
        <w:t>12</w:t>
      </w:r>
      <w:r w:rsidRPr="00DD1558">
        <w:rPr>
          <w:rFonts w:ascii="Simplified Arabic" w:hAnsi="Simplified Arabic"/>
          <w:sz w:val="28"/>
        </w:rPr>
        <w:t>(1), Article 1. (Literature review). https://doi.org/10.4102/apsdpr.v12i1.753</w:t>
      </w:r>
    </w:p>
    <w:p w14:paraId="2BFC3366"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Sönnichsen, S. D., &amp; Clement, J. (2020). Review of green and sustainable public procurement: Towards circular public procurement.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245</w:t>
      </w:r>
      <w:r w:rsidRPr="00DD1558">
        <w:rPr>
          <w:rFonts w:ascii="Simplified Arabic" w:hAnsi="Simplified Arabic"/>
          <w:sz w:val="28"/>
        </w:rPr>
        <w:t>, 118901. https://doi.org/10.1016/j.jclepro.2019.118901</w:t>
      </w:r>
    </w:p>
    <w:p w14:paraId="054CA241"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Sorzano, C. O. S., &amp; Carazo, J. M. (2026). Rational acquisition of laboratory equipment: An accurate mathematical model to estimate the trade-offs in shared and nonshared equipment. </w:t>
      </w:r>
      <w:r w:rsidRPr="00DD1558">
        <w:rPr>
          <w:rFonts w:ascii="Simplified Arabic" w:hAnsi="Simplified Arabic"/>
          <w:i/>
          <w:iCs/>
          <w:sz w:val="28"/>
        </w:rPr>
        <w:t>Acta Crystallographica Section D: Structural Biology</w:t>
      </w:r>
      <w:r w:rsidRPr="00DD1558">
        <w:rPr>
          <w:rFonts w:ascii="Simplified Arabic" w:hAnsi="Simplified Arabic"/>
          <w:sz w:val="28"/>
        </w:rPr>
        <w:t xml:space="preserve">, </w:t>
      </w:r>
      <w:r w:rsidRPr="00DD1558">
        <w:rPr>
          <w:rFonts w:ascii="Simplified Arabic" w:hAnsi="Simplified Arabic"/>
          <w:i/>
          <w:iCs/>
          <w:sz w:val="28"/>
        </w:rPr>
        <w:t>82</w:t>
      </w:r>
      <w:r w:rsidRPr="00DD1558">
        <w:rPr>
          <w:rFonts w:ascii="Simplified Arabic" w:hAnsi="Simplified Arabic"/>
          <w:sz w:val="28"/>
        </w:rPr>
        <w:t>(6), 638–645. https://doi.org/10.1107/S2059798326003608</w:t>
      </w:r>
    </w:p>
    <w:p w14:paraId="67F9550D"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Strom, T. A., Haugstad, G., Shu, J., &amp; Seshadri, R. (2020). Shared instrumentation facilities: Benefiting researchers and universities, and sustaining research excellence. </w:t>
      </w:r>
      <w:r w:rsidRPr="00DD1558">
        <w:rPr>
          <w:rFonts w:ascii="Simplified Arabic" w:hAnsi="Simplified Arabic"/>
          <w:i/>
          <w:iCs/>
          <w:sz w:val="28"/>
        </w:rPr>
        <w:t>MRS Bulletin</w:t>
      </w:r>
      <w:r w:rsidRPr="00DD1558">
        <w:rPr>
          <w:rFonts w:ascii="Simplified Arabic" w:hAnsi="Simplified Arabic"/>
          <w:sz w:val="28"/>
        </w:rPr>
        <w:t xml:space="preserve">, </w:t>
      </w:r>
      <w:r w:rsidRPr="00DD1558">
        <w:rPr>
          <w:rFonts w:ascii="Simplified Arabic" w:hAnsi="Simplified Arabic"/>
          <w:i/>
          <w:iCs/>
          <w:sz w:val="28"/>
        </w:rPr>
        <w:t>45</w:t>
      </w:r>
      <w:r w:rsidRPr="00DD1558">
        <w:rPr>
          <w:rFonts w:ascii="Simplified Arabic" w:hAnsi="Simplified Arabic"/>
          <w:sz w:val="28"/>
        </w:rPr>
        <w:t>(5), 331–335. https://doi.org/10.1557/mrs.2020.130</w:t>
      </w:r>
    </w:p>
    <w:p w14:paraId="6340D1D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Sung, W., &amp; Kim, C. (2021). A Study on the Effect of Change Management on Organizational Innovation: Focusing on the Mediating Effect of Members’ Innovative Behavior. </w:t>
      </w:r>
      <w:r w:rsidRPr="00DD1558">
        <w:rPr>
          <w:rFonts w:ascii="Simplified Arabic" w:hAnsi="Simplified Arabic"/>
          <w:i/>
          <w:iCs/>
          <w:sz w:val="28"/>
        </w:rPr>
        <w:t>Sustainability</w:t>
      </w:r>
      <w:r w:rsidRPr="00DD1558">
        <w:rPr>
          <w:rFonts w:ascii="Simplified Arabic" w:hAnsi="Simplified Arabic"/>
          <w:sz w:val="28"/>
        </w:rPr>
        <w:t xml:space="preserve">, </w:t>
      </w:r>
      <w:r w:rsidRPr="00DD1558">
        <w:rPr>
          <w:rFonts w:ascii="Simplified Arabic" w:hAnsi="Simplified Arabic"/>
          <w:i/>
          <w:iCs/>
          <w:sz w:val="28"/>
        </w:rPr>
        <w:t>13</w:t>
      </w:r>
      <w:r w:rsidRPr="00DD1558">
        <w:rPr>
          <w:rFonts w:ascii="Simplified Arabic" w:hAnsi="Simplified Arabic"/>
          <w:sz w:val="28"/>
        </w:rPr>
        <w:t>(4), 2079. https://doi.org/10.3390/su13042079</w:t>
      </w:r>
    </w:p>
    <w:p w14:paraId="48BE8064"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Takagi, N., Varajão, J., &amp; Ventura, T. (2024). Implementing success management on government-to-government projects: An integrated perspective with the PMBOK guide. </w:t>
      </w:r>
      <w:r w:rsidRPr="00DD1558">
        <w:rPr>
          <w:rFonts w:ascii="Simplified Arabic" w:hAnsi="Simplified Arabic"/>
          <w:i/>
          <w:iCs/>
          <w:sz w:val="28"/>
        </w:rPr>
        <w:t>International Journal of Managing Projects in Business</w:t>
      </w:r>
      <w:r w:rsidRPr="00DD1558">
        <w:rPr>
          <w:rFonts w:ascii="Simplified Arabic" w:hAnsi="Simplified Arabic"/>
          <w:sz w:val="28"/>
        </w:rPr>
        <w:t xml:space="preserve">, </w:t>
      </w:r>
      <w:r w:rsidRPr="00DD1558">
        <w:rPr>
          <w:rFonts w:ascii="Simplified Arabic" w:hAnsi="Simplified Arabic"/>
          <w:i/>
          <w:iCs/>
          <w:sz w:val="28"/>
        </w:rPr>
        <w:t>17</w:t>
      </w:r>
      <w:r w:rsidRPr="00DD1558">
        <w:rPr>
          <w:rFonts w:ascii="Simplified Arabic" w:hAnsi="Simplified Arabic"/>
          <w:sz w:val="28"/>
        </w:rPr>
        <w:t>(1), 153–171. https://doi.org/10.1108/IJMPB-06-2023-0143</w:t>
      </w:r>
    </w:p>
    <w:p w14:paraId="4F505604"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Tu, K. J., &amp; Greever-Wilson, C. (2025). Rethinking research funding through a sustainability Lens. </w:t>
      </w:r>
      <w:r w:rsidRPr="00DD1558">
        <w:rPr>
          <w:rFonts w:ascii="Simplified Arabic" w:hAnsi="Simplified Arabic"/>
          <w:i/>
          <w:iCs/>
          <w:sz w:val="28"/>
        </w:rPr>
        <w:t>Clinical Biochemistry</w:t>
      </w:r>
      <w:r w:rsidRPr="00DD1558">
        <w:rPr>
          <w:rFonts w:ascii="Simplified Arabic" w:hAnsi="Simplified Arabic"/>
          <w:sz w:val="28"/>
        </w:rPr>
        <w:t xml:space="preserve">, </w:t>
      </w:r>
      <w:r w:rsidRPr="00DD1558">
        <w:rPr>
          <w:rFonts w:ascii="Simplified Arabic" w:hAnsi="Simplified Arabic"/>
          <w:i/>
          <w:iCs/>
          <w:sz w:val="28"/>
        </w:rPr>
        <w:t>139</w:t>
      </w:r>
      <w:r w:rsidRPr="00DD1558">
        <w:rPr>
          <w:rFonts w:ascii="Simplified Arabic" w:hAnsi="Simplified Arabic"/>
          <w:sz w:val="28"/>
        </w:rPr>
        <w:t>, 110987. https://doi.org/10.1016/j.clinbiochem.2025.110987</w:t>
      </w:r>
    </w:p>
    <w:p w14:paraId="5800C18D"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Vergani, F. (2024). Higher education institutions as a microcosm of the circular economy.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435</w:t>
      </w:r>
      <w:r w:rsidRPr="00DD1558">
        <w:rPr>
          <w:rFonts w:ascii="Simplified Arabic" w:hAnsi="Simplified Arabic"/>
          <w:sz w:val="28"/>
        </w:rPr>
        <w:t>, 140592. https://doi.org/10.1016/j.jclepro.2024.140592</w:t>
      </w:r>
    </w:p>
    <w:p w14:paraId="300E1FDB"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Vlachopoulos, D. (2021). Organizational Change Management in Higher Education through the Lens of Executive Coaches. </w:t>
      </w:r>
      <w:r w:rsidRPr="00DD1558">
        <w:rPr>
          <w:rFonts w:ascii="Simplified Arabic" w:hAnsi="Simplified Arabic"/>
          <w:i/>
          <w:iCs/>
          <w:sz w:val="28"/>
        </w:rPr>
        <w:t>Education Sciences</w:t>
      </w:r>
      <w:r w:rsidRPr="00DD1558">
        <w:rPr>
          <w:rFonts w:ascii="Simplified Arabic" w:hAnsi="Simplified Arabic"/>
          <w:sz w:val="28"/>
        </w:rPr>
        <w:t xml:space="preserve">, </w:t>
      </w:r>
      <w:r w:rsidRPr="00DD1558">
        <w:rPr>
          <w:rFonts w:ascii="Simplified Arabic" w:hAnsi="Simplified Arabic"/>
          <w:i/>
          <w:iCs/>
          <w:sz w:val="28"/>
        </w:rPr>
        <w:t>11</w:t>
      </w:r>
      <w:r w:rsidRPr="00DD1558">
        <w:rPr>
          <w:rFonts w:ascii="Simplified Arabic" w:hAnsi="Simplified Arabic"/>
          <w:sz w:val="28"/>
        </w:rPr>
        <w:t>(6), 269. https://doi.org/10.3390/educsci11060269</w:t>
      </w:r>
    </w:p>
    <w:p w14:paraId="28E8E209"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Wang, Q., Zhang, R., &amp; Liu, J. (2020). Price/time/intellectual efficiency of procurement: Uncovering the related factors in Chinese public authorities. </w:t>
      </w:r>
      <w:r w:rsidRPr="00DD1558">
        <w:rPr>
          <w:rFonts w:ascii="Simplified Arabic" w:hAnsi="Simplified Arabic"/>
          <w:i/>
          <w:iCs/>
          <w:sz w:val="28"/>
        </w:rPr>
        <w:t>Journal of Purchasing and Supply Management</w:t>
      </w:r>
      <w:r w:rsidRPr="00DD1558">
        <w:rPr>
          <w:rFonts w:ascii="Simplified Arabic" w:hAnsi="Simplified Arabic"/>
          <w:sz w:val="28"/>
        </w:rPr>
        <w:t xml:space="preserve">, </w:t>
      </w:r>
      <w:r w:rsidRPr="00DD1558">
        <w:rPr>
          <w:rFonts w:ascii="Simplified Arabic" w:hAnsi="Simplified Arabic"/>
          <w:i/>
          <w:iCs/>
          <w:sz w:val="28"/>
        </w:rPr>
        <w:t>26</w:t>
      </w:r>
      <w:r w:rsidRPr="00DD1558">
        <w:rPr>
          <w:rFonts w:ascii="Simplified Arabic" w:hAnsi="Simplified Arabic"/>
          <w:sz w:val="28"/>
        </w:rPr>
        <w:t>(3), 100622. https://doi.org/10.1016/j.pursup.2020.100622</w:t>
      </w:r>
    </w:p>
    <w:p w14:paraId="09344612"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Wang, X., &amp; Qu, S. (2025). Measuring China’s Open Sharing for scientific instruments: An ascendency analysis with benchmark use-time data. </w:t>
      </w:r>
      <w:r w:rsidRPr="00DD1558">
        <w:rPr>
          <w:rFonts w:ascii="Simplified Arabic" w:hAnsi="Simplified Arabic"/>
          <w:i/>
          <w:iCs/>
          <w:sz w:val="28"/>
        </w:rPr>
        <w:t>Humanities and Social Sciences Communications</w:t>
      </w:r>
      <w:r w:rsidRPr="00DD1558">
        <w:rPr>
          <w:rFonts w:ascii="Simplified Arabic" w:hAnsi="Simplified Arabic"/>
          <w:sz w:val="28"/>
        </w:rPr>
        <w:t xml:space="preserve">, </w:t>
      </w:r>
      <w:r w:rsidRPr="00DD1558">
        <w:rPr>
          <w:rFonts w:ascii="Simplified Arabic" w:hAnsi="Simplified Arabic"/>
          <w:i/>
          <w:iCs/>
          <w:sz w:val="28"/>
        </w:rPr>
        <w:t>12</w:t>
      </w:r>
      <w:r w:rsidRPr="00DD1558">
        <w:rPr>
          <w:rFonts w:ascii="Simplified Arabic" w:hAnsi="Simplified Arabic"/>
          <w:sz w:val="28"/>
        </w:rPr>
        <w:t>(1), 1501. https://doi.org/10.1057/s41599-025-05767-y</w:t>
      </w:r>
    </w:p>
    <w:p w14:paraId="3570C900"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lastRenderedPageBreak/>
        <w:t xml:space="preserve">Wilke, C., Bowden, A., Sanders, T., Nickman, N. A., &amp; Ashmead, P. (2023). Implementation of radio-frequency identification technology to optimize medication inventory management in the intraoperative setting. </w:t>
      </w:r>
      <w:r w:rsidRPr="00DD1558">
        <w:rPr>
          <w:rFonts w:ascii="Simplified Arabic" w:hAnsi="Simplified Arabic"/>
          <w:i/>
          <w:iCs/>
          <w:sz w:val="28"/>
        </w:rPr>
        <w:t>American Journal of Health-System Pharmacy</w:t>
      </w:r>
      <w:r w:rsidRPr="00DD1558">
        <w:rPr>
          <w:rFonts w:ascii="Simplified Arabic" w:hAnsi="Simplified Arabic"/>
          <w:sz w:val="28"/>
        </w:rPr>
        <w:t xml:space="preserve">, </w:t>
      </w:r>
      <w:r w:rsidRPr="00DD1558">
        <w:rPr>
          <w:rFonts w:ascii="Simplified Arabic" w:hAnsi="Simplified Arabic"/>
          <w:i/>
          <w:iCs/>
          <w:sz w:val="28"/>
        </w:rPr>
        <w:t>80</w:t>
      </w:r>
      <w:r w:rsidRPr="00DD1558">
        <w:rPr>
          <w:rFonts w:ascii="Simplified Arabic" w:hAnsi="Simplified Arabic"/>
          <w:sz w:val="28"/>
        </w:rPr>
        <w:t>(6), 384–389. https://doi.org/10.1093/ajhp/zxac367</w:t>
      </w:r>
    </w:p>
    <w:p w14:paraId="42DBE223"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Zhao, J., Cui, H., Wang, G., Zhang, J., &amp; Yang, R. (2023). Risk assessment of safety level in university laboratories using questionnaire and Bayesian network. </w:t>
      </w:r>
      <w:r w:rsidRPr="00DD1558">
        <w:rPr>
          <w:rFonts w:ascii="Simplified Arabic" w:hAnsi="Simplified Arabic"/>
          <w:i/>
          <w:iCs/>
          <w:sz w:val="28"/>
        </w:rPr>
        <w:t>Journal of Loss Prevention in the Process Industries</w:t>
      </w:r>
      <w:r w:rsidRPr="00DD1558">
        <w:rPr>
          <w:rFonts w:ascii="Simplified Arabic" w:hAnsi="Simplified Arabic"/>
          <w:sz w:val="28"/>
        </w:rPr>
        <w:t xml:space="preserve">, </w:t>
      </w:r>
      <w:r w:rsidRPr="00DD1558">
        <w:rPr>
          <w:rFonts w:ascii="Simplified Arabic" w:hAnsi="Simplified Arabic"/>
          <w:i/>
          <w:iCs/>
          <w:sz w:val="28"/>
        </w:rPr>
        <w:t>83</w:t>
      </w:r>
      <w:r w:rsidRPr="00DD1558">
        <w:rPr>
          <w:rFonts w:ascii="Simplified Arabic" w:hAnsi="Simplified Arabic"/>
          <w:sz w:val="28"/>
        </w:rPr>
        <w:t>, 105054. https://doi.org/10.1016/j.jlp.2023.105054</w:t>
      </w:r>
    </w:p>
    <w:p w14:paraId="087F2A17" w14:textId="77777777" w:rsidR="00DD1558" w:rsidRPr="00DD1558" w:rsidRDefault="00DD1558" w:rsidP="00DD1558">
      <w:pPr>
        <w:bidi w:val="0"/>
        <w:spacing w:line="240" w:lineRule="auto"/>
        <w:rPr>
          <w:rFonts w:ascii="Simplified Arabic" w:hAnsi="Simplified Arabic"/>
          <w:sz w:val="28"/>
        </w:rPr>
      </w:pPr>
      <w:r w:rsidRPr="00DD1558">
        <w:rPr>
          <w:rFonts w:ascii="Simplified Arabic" w:hAnsi="Simplified Arabic"/>
          <w:sz w:val="28"/>
        </w:rPr>
        <w:t xml:space="preserve">Zhu, X., &amp; Liu, K. (2021). A systematic review and future directions of the sharing economy: Business models, operational insights and environment-based utilities. </w:t>
      </w:r>
      <w:r w:rsidRPr="00DD1558">
        <w:rPr>
          <w:rFonts w:ascii="Simplified Arabic" w:hAnsi="Simplified Arabic"/>
          <w:i/>
          <w:iCs/>
          <w:sz w:val="28"/>
        </w:rPr>
        <w:t>Journal of Cleaner Production</w:t>
      </w:r>
      <w:r w:rsidRPr="00DD1558">
        <w:rPr>
          <w:rFonts w:ascii="Simplified Arabic" w:hAnsi="Simplified Arabic"/>
          <w:sz w:val="28"/>
        </w:rPr>
        <w:t xml:space="preserve">, </w:t>
      </w:r>
      <w:r w:rsidRPr="00DD1558">
        <w:rPr>
          <w:rFonts w:ascii="Simplified Arabic" w:hAnsi="Simplified Arabic"/>
          <w:i/>
          <w:iCs/>
          <w:sz w:val="28"/>
        </w:rPr>
        <w:t>290</w:t>
      </w:r>
      <w:r w:rsidRPr="00DD1558">
        <w:rPr>
          <w:rFonts w:ascii="Simplified Arabic" w:hAnsi="Simplified Arabic"/>
          <w:sz w:val="28"/>
        </w:rPr>
        <w:t>, 125209. https://doi.org/10.1016/j.jclepro.2020.125209</w:t>
      </w:r>
    </w:p>
    <w:p w14:paraId="117E71E0" w14:textId="77777777" w:rsidR="00DD1558" w:rsidRPr="00DD1558" w:rsidRDefault="00DD1558" w:rsidP="00DD1558">
      <w:pPr>
        <w:bidi w:val="0"/>
        <w:spacing w:line="240" w:lineRule="auto"/>
        <w:rPr>
          <w:rFonts w:ascii="Simplified Arabic" w:hAnsi="Simplified Arabic"/>
          <w:sz w:val="24"/>
          <w:szCs w:val="24"/>
        </w:rPr>
      </w:pPr>
      <w:r w:rsidRPr="00DD1558">
        <w:rPr>
          <w:rFonts w:ascii="Simplified Arabic" w:hAnsi="Simplified Arabic"/>
          <w:sz w:val="24"/>
          <w:szCs w:val="24"/>
        </w:rPr>
        <w:fldChar w:fldCharType="end"/>
      </w:r>
    </w:p>
    <w:p w14:paraId="3AE356B9" w14:textId="77777777" w:rsidR="00DD1558" w:rsidRPr="00DD1558" w:rsidRDefault="00DD1558" w:rsidP="00DD1558">
      <w:pPr>
        <w:bidi w:val="0"/>
        <w:spacing w:line="240" w:lineRule="auto"/>
        <w:rPr>
          <w:rFonts w:ascii="Simplified Arabic" w:hAnsi="Simplified Arabic"/>
          <w:sz w:val="24"/>
          <w:szCs w:val="24"/>
        </w:rPr>
      </w:pPr>
    </w:p>
    <w:p w14:paraId="3E82C176" w14:textId="77777777" w:rsidR="00DD1558" w:rsidRPr="00DD1558" w:rsidRDefault="00DD1558" w:rsidP="00DD1558">
      <w:pPr>
        <w:bidi w:val="0"/>
        <w:spacing w:line="240" w:lineRule="auto"/>
        <w:rPr>
          <w:rFonts w:ascii="Simplified Arabic" w:hAnsi="Simplified Arabic"/>
          <w:sz w:val="24"/>
          <w:szCs w:val="24"/>
        </w:rPr>
      </w:pPr>
    </w:p>
    <w:p w14:paraId="3944A5EF" w14:textId="77777777" w:rsidR="00DD1558" w:rsidRPr="00DD1558" w:rsidRDefault="00DD1558" w:rsidP="00DD1558">
      <w:pPr>
        <w:bidi w:val="0"/>
        <w:spacing w:line="240" w:lineRule="auto"/>
        <w:rPr>
          <w:rFonts w:ascii="Simplified Arabic" w:hAnsi="Simplified Arabic"/>
          <w:sz w:val="24"/>
          <w:szCs w:val="24"/>
        </w:rPr>
      </w:pPr>
    </w:p>
    <w:p w14:paraId="199E820A" w14:textId="77777777" w:rsidR="00DD1558" w:rsidRPr="00DD1558" w:rsidRDefault="00DD1558" w:rsidP="00DD1558">
      <w:pPr>
        <w:bidi w:val="0"/>
        <w:spacing w:line="240" w:lineRule="auto"/>
        <w:rPr>
          <w:rFonts w:ascii="Simplified Arabic" w:hAnsi="Simplified Arabic"/>
          <w:sz w:val="24"/>
          <w:szCs w:val="24"/>
        </w:rPr>
      </w:pPr>
    </w:p>
    <w:p w14:paraId="70EF86A8" w14:textId="77777777" w:rsidR="00DD1558" w:rsidRPr="00DD1558" w:rsidRDefault="00DD1558" w:rsidP="00DD1558">
      <w:pPr>
        <w:bidi w:val="0"/>
        <w:spacing w:line="240" w:lineRule="auto"/>
        <w:rPr>
          <w:rFonts w:ascii="Simplified Arabic" w:hAnsi="Simplified Arabic"/>
          <w:sz w:val="24"/>
          <w:szCs w:val="24"/>
        </w:rPr>
      </w:pPr>
    </w:p>
    <w:p w14:paraId="300DD0BF" w14:textId="77777777" w:rsidR="00DD1558" w:rsidRDefault="00DD1558" w:rsidP="00DD1558">
      <w:pPr>
        <w:bidi w:val="0"/>
        <w:spacing w:line="240" w:lineRule="auto"/>
        <w:rPr>
          <w:rFonts w:ascii="Simplified Arabic" w:hAnsi="Simplified Arabic"/>
          <w:sz w:val="24"/>
          <w:szCs w:val="24"/>
          <w:rtl/>
        </w:rPr>
      </w:pPr>
    </w:p>
    <w:p w14:paraId="2CB9D40F" w14:textId="77777777" w:rsidR="006B3E91" w:rsidRPr="00DD1558" w:rsidRDefault="006B3E91" w:rsidP="006B3E91">
      <w:pPr>
        <w:bidi w:val="0"/>
        <w:spacing w:line="240" w:lineRule="auto"/>
        <w:rPr>
          <w:rFonts w:ascii="Simplified Arabic" w:hAnsi="Simplified Arabic"/>
          <w:sz w:val="24"/>
          <w:szCs w:val="24"/>
        </w:rPr>
      </w:pPr>
    </w:p>
    <w:p w14:paraId="1D0DF0A7" w14:textId="77777777" w:rsidR="00DD1558" w:rsidRPr="00DD1558" w:rsidRDefault="00DD1558" w:rsidP="00DD1558">
      <w:pPr>
        <w:bidi w:val="0"/>
        <w:spacing w:line="240" w:lineRule="auto"/>
        <w:rPr>
          <w:rFonts w:ascii="Simplified Arabic" w:hAnsi="Simplified Arabic"/>
          <w:sz w:val="24"/>
          <w:szCs w:val="24"/>
        </w:rPr>
      </w:pPr>
    </w:p>
    <w:p w14:paraId="3AD5F229" w14:textId="77777777" w:rsidR="00DD1558" w:rsidRPr="00DD1558" w:rsidRDefault="00DD1558" w:rsidP="00DD1558">
      <w:pPr>
        <w:bidi w:val="0"/>
        <w:spacing w:line="240" w:lineRule="auto"/>
        <w:rPr>
          <w:rFonts w:ascii="Simplified Arabic" w:hAnsi="Simplified Arabic"/>
          <w:sz w:val="24"/>
          <w:szCs w:val="24"/>
        </w:rPr>
      </w:pPr>
    </w:p>
    <w:p w14:paraId="3CB7F147" w14:textId="77777777" w:rsidR="00DD1558" w:rsidRPr="00DD1558" w:rsidRDefault="00DD1558" w:rsidP="00DD1558">
      <w:pPr>
        <w:keepNext/>
        <w:keepLines/>
        <w:bidi w:val="0"/>
        <w:spacing w:before="360" w:after="80"/>
        <w:outlineLvl w:val="0"/>
        <w:rPr>
          <w:rFonts w:ascii="Simplified Arabic" w:eastAsiaTheme="majorEastAsia" w:hAnsi="Simplified Arabic" w:cstheme="majorBidi"/>
          <w:b/>
          <w:sz w:val="32"/>
          <w:szCs w:val="40"/>
        </w:rPr>
      </w:pPr>
      <w:bookmarkStart w:id="203" w:name="_Toc237539793"/>
      <w:r w:rsidRPr="00DD1558">
        <w:rPr>
          <w:rFonts w:ascii="Simplified Arabic" w:eastAsiaTheme="majorEastAsia" w:hAnsi="Simplified Arabic" w:cstheme="majorBidi"/>
          <w:b/>
          <w:sz w:val="32"/>
          <w:szCs w:val="40"/>
        </w:rPr>
        <w:lastRenderedPageBreak/>
        <w:t>APPENDICES</w:t>
      </w:r>
      <w:bookmarkEnd w:id="203"/>
    </w:p>
    <w:p w14:paraId="77AFF739"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204" w:name="_Toc237539794"/>
      <w:r w:rsidRPr="00DD1558">
        <w:rPr>
          <w:rFonts w:ascii="Simplified Arabic" w:eastAsiaTheme="majorEastAsia" w:hAnsi="Simplified Arabic" w:cstheme="majorBidi"/>
          <w:b/>
          <w:sz w:val="28"/>
          <w:szCs w:val="32"/>
        </w:rPr>
        <w:t>Appendix A</w:t>
      </w:r>
      <w:bookmarkEnd w:id="204"/>
    </w:p>
    <w:p w14:paraId="34AC3C05" w14:textId="77777777" w:rsidR="00DD1558" w:rsidRPr="00DD1558" w:rsidRDefault="00DD1558" w:rsidP="00DD1558">
      <w:pPr>
        <w:bidi w:val="0"/>
        <w:rPr>
          <w:rFonts w:ascii="Simplified Arabic" w:hAnsi="Simplified Arabic"/>
          <w:b/>
          <w:bCs/>
          <w:sz w:val="28"/>
        </w:rPr>
      </w:pPr>
      <w:r w:rsidRPr="00DD1558">
        <w:rPr>
          <w:rFonts w:ascii="Simplified Arabic" w:hAnsi="Simplified Arabic"/>
          <w:b/>
          <w:bCs/>
          <w:sz w:val="28"/>
        </w:rPr>
        <w:t>The Inter-Lab Policy Framework</w:t>
      </w:r>
    </w:p>
    <w:p w14:paraId="4E875E76"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w:t>
      </w:r>
      <w:r w:rsidRPr="00DD1558">
        <w:rPr>
          <w:rFonts w:ascii="Simplified Arabic" w:eastAsia="Times New Roman" w:hAnsi="Simplified Arabic" w:cs="Simplified Arabic"/>
          <w:b/>
          <w:bCs/>
          <w:color w:val="1A1A1A"/>
          <w:sz w:val="28"/>
          <w:szCs w:val="28"/>
          <w14:ligatures w14:val="none"/>
        </w:rPr>
        <w:t>Inter-Lab Policy Framework</w:t>
      </w:r>
      <w:r w:rsidRPr="00DD1558">
        <w:rPr>
          <w:rFonts w:ascii="Simplified Arabic" w:eastAsia="Times New Roman" w:hAnsi="Simplified Arabic" w:cs="Simplified Arabic"/>
          <w:color w:val="1A1A1A"/>
          <w:sz w:val="28"/>
          <w:szCs w:val="28"/>
          <w14:ligatures w14:val="none"/>
        </w:rPr>
        <w:t xml:space="preserve"> is the operative instrument of participatory inventory: the Board-ratified policy governing temporary inter-laboratory asset loans and FEFO-based chemical redistribution. It is the organizational form of mitigation barrier MB2 and escalation-factor barrier EB3, and the element that most directly engages the sharing-governance caution that pooled assets fail through ambiguous responsibility: every loan must therefore carry an explicit, documented allocation of custody at every state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{"citationID":"D33Z2wFM","properties":{"unsorted":false,"formattedCitation":"(Strom et al., 2020; X. Wang &amp; Qu, 2025)","plainCitation":"(Strom et al., 2020; X. Wang &amp; Qu, 2025)","noteIndex":0},"citationItems":[{"id":508,"uris":["http://zotero.org/users/19711126/items/IFVMEKJ2"],"itemData":{"id":508,"type":"article-journal","container-title":"MRS Bulletin","DOI":"10.1557/mrs.2020.130","ISSN":"1938-1425","issue":"5","journalAbbreviation":"MRS Bulletin","language":"en","page":"331-335","source":"Springer Link","title":"Shared instrumentation facilities: Benefiting researchers and universities, and sustaining research excellence","title-short":"Shared instrumentation facilities","volume":"45","author":[{"family":"Strom","given":"T. Amanda"},{"family":"Haugstad","given":"Greg"},{"family":"Shu","given":"Jonathan"},{"family":"Seshadri","given":"Ram"}],"issued":{"date-parts":[["2020",5,1]]}}},{"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(Strom et al., 2020; 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The policy is specified in five components.</w:t>
      </w:r>
    </w:p>
    <w:p w14:paraId="3A3FBC1E" w14:textId="77777777" w:rsidR="00DD1558" w:rsidRPr="00DD1558" w:rsidRDefault="00DD1558" w:rsidP="00DD1558">
      <w:pPr>
        <w:bidi w:val="0"/>
        <w:spacing w:line="240" w:lineRule="auto"/>
        <w:jc w:val="both"/>
        <w:rPr>
          <w:rFonts w:ascii="Simplified Arabic" w:hAnsi="Simplified Arabic" w:cs="Simplified Arabic"/>
          <w:b/>
          <w:bCs/>
          <w:sz w:val="28"/>
          <w:szCs w:val="28"/>
        </w:rPr>
      </w:pPr>
      <w:r w:rsidRPr="00DD1558">
        <w:rPr>
          <w:rFonts w:ascii="Simplified Arabic" w:hAnsi="Simplified Arabic" w:cs="Simplified Arabic"/>
          <w:b/>
          <w:bCs/>
          <w:sz w:val="28"/>
          <w:szCs w:val="28"/>
        </w:rPr>
        <w:t>Eligibility and scope</w:t>
      </w:r>
    </w:p>
    <w:p w14:paraId="3A20B047" w14:textId="07384E61" w:rsid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policy distinguishes </w:t>
      </w:r>
      <w:r w:rsidRPr="00DD1558">
        <w:rPr>
          <w:rFonts w:ascii="Simplified Arabic" w:eastAsia="Times New Roman" w:hAnsi="Simplified Arabic" w:cs="Simplified Arabic"/>
          <w:i/>
          <w:iCs/>
          <w:color w:val="1A1A1A"/>
          <w:sz w:val="28"/>
          <w:szCs w:val="28"/>
          <w14:ligatures w14:val="none"/>
        </w:rPr>
        <w:t>loanable</w:t>
      </w:r>
      <w:r w:rsidRPr="00DD1558">
        <w:rPr>
          <w:rFonts w:ascii="Simplified Arabic" w:eastAsia="Times New Roman" w:hAnsi="Simplified Arabic" w:cs="Simplified Arabic"/>
          <w:color w:val="1A1A1A"/>
          <w:sz w:val="28"/>
          <w:szCs w:val="28"/>
          <w14:ligatures w14:val="none"/>
        </w:rPr>
        <w:t xml:space="preserve"> from </w:t>
      </w:r>
      <w:r w:rsidRPr="00DD1558">
        <w:rPr>
          <w:rFonts w:ascii="Simplified Arabic" w:eastAsia="Times New Roman" w:hAnsi="Simplified Arabic" w:cs="Simplified Arabic"/>
          <w:i/>
          <w:iCs/>
          <w:color w:val="1A1A1A"/>
          <w:sz w:val="28"/>
          <w:szCs w:val="28"/>
          <w14:ligatures w14:val="none"/>
        </w:rPr>
        <w:t>excluded</w:t>
      </w:r>
      <w:r w:rsidRPr="00DD1558">
        <w:rPr>
          <w:rFonts w:ascii="Simplified Arabic" w:eastAsia="Times New Roman" w:hAnsi="Simplified Arabic" w:cs="Simplified Arabic"/>
          <w:color w:val="1A1A1A"/>
          <w:sz w:val="28"/>
          <w:szCs w:val="28"/>
          <w14:ligatures w14:val="none"/>
        </w:rPr>
        <w:t xml:space="preserve"> item classes. Loanable classes comprise durable instruments and equipment, glassware, and consumables whose transfer does not compromise their function, together with chemical stocks eligible for redistribution under the FEFO rules. Excluded are: controlled and regulated substances, whose movement is governed by external regulation and institutional hazardous-substance rules rather than by this policy; calibrated-critical instruments, whose relocation would invalidate calibration, unless the Committee has approved a specific transfer protocol for the instrument class; and items under active booking by the custodian’s own scheduled teaching, against which the custodian’s recall right applies (</w:t>
      </w:r>
      <w:hyperlink w:anchor="Section416" w:history="1">
        <w:r w:rsidR="00525C8C" w:rsidRPr="00525C8C">
          <w:rPr>
            <w:rStyle w:val="Hyperlink"/>
            <w:rFonts w:ascii="Simplified Arabic" w:eastAsia="Times New Roman" w:hAnsi="Simplified Arabic" w:cs="Simplified Arabic"/>
            <w:sz w:val="28"/>
            <w:szCs w:val="28"/>
            <w14:ligatures w14:val="none"/>
          </w:rPr>
          <w:t>Section 4.1.6</w:t>
        </w:r>
      </w:hyperlink>
      <w:r w:rsidR="00525C8C" w:rsidRPr="00525C8C">
        <w:rPr>
          <w:rFonts w:ascii="Simplified Arabic" w:eastAsia="Times New Roman" w:hAnsi="Simplified Arabic" w:cs="Simplified Arabic"/>
          <w:sz w:val="28"/>
          <w:szCs w:val="28"/>
          <w14:ligatures w14:val="none"/>
        </w:rPr>
        <w:t xml:space="preserve"> (Inter-Lab Policy Framework)</w:t>
      </w:r>
      <w:r w:rsidRPr="00DD1558">
        <w:rPr>
          <w:rFonts w:ascii="Simplified Arabic" w:eastAsia="Times New Roman" w:hAnsi="Simplified Arabic" w:cs="Simplified Arabic"/>
          <w:color w:val="1A1A1A"/>
          <w:sz w:val="28"/>
          <w:szCs w:val="28"/>
          <w14:ligatures w14:val="none"/>
        </w:rPr>
        <w:t>). The classification is drafted by the Committee, ratified by the Board, and encoded in the registry by the Unit, so that eligibility is checkable at the moment of request rather than negotiable after it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{"citationID":"AklcHFqg","properties":{"unsorted":false,"formattedCitation":"(14001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8.1;</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{"citationID":"ZXNinzbA","properties":{"unsorted":false,"formattedCitation":"(Johnson et al., 2018)","plainCitation":"(Johnson et al., 2018)","noteIndex":0},"citationItems":[{"id":418,"uris":["http://zotero.org/users/19711126/items/HXZ6CZQA"],"itemData":{"id":418,"type":"article-journal","issue":"163","language":"en","source":"Zotero","title":"Bow Ties in Risk Management; using the new CCPS-EI book to avoid pitfalls","URL":"https://www.icheme.org/media/16937/hazards-28-paper-31.pdf","author":[{"family":"Johnson","given":"Martin"},{"family":"Manton","given":"Mark"},{"family":"Cowley","given":"Charles"},{"family":"Scanlon","given":"Mark"}],"issued":{"date-parts":[["2018"]]}}}],"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(Johnson et al., 2018)</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w:t>
      </w:r>
    </w:p>
    <w:p w14:paraId="5D2591E7" w14:textId="77777777" w:rsidR="002462E8" w:rsidRPr="00DD1558" w:rsidRDefault="002462E8" w:rsidP="002462E8">
      <w:pPr>
        <w:bidi w:val="0"/>
        <w:spacing w:before="180" w:line="240" w:lineRule="auto"/>
        <w:jc w:val="both"/>
        <w:rPr>
          <w:rFonts w:ascii="Simplified Arabic" w:eastAsia="Times New Roman" w:hAnsi="Simplified Arabic" w:cs="Simplified Arabic"/>
          <w:color w:val="1A1A1A"/>
          <w:sz w:val="28"/>
          <w:szCs w:val="28"/>
          <w14:ligatures w14:val="none"/>
        </w:rPr>
      </w:pPr>
    </w:p>
    <w:p w14:paraId="1317646B" w14:textId="77777777" w:rsidR="00DD1558" w:rsidRPr="00DD1558" w:rsidRDefault="00DD1558" w:rsidP="00DD1558">
      <w:pPr>
        <w:bidi w:val="0"/>
        <w:spacing w:before="180" w:line="240" w:lineRule="auto"/>
        <w:jc w:val="both"/>
        <w:rPr>
          <w:rFonts w:ascii="Simplified Arabic" w:eastAsia="Times New Roman" w:hAnsi="Simplified Arabic" w:cs="Simplified Arabic"/>
          <w:b/>
          <w:bCs/>
          <w:color w:val="1A1A1A"/>
          <w:sz w:val="28"/>
          <w:szCs w:val="28"/>
          <w14:ligatures w14:val="none"/>
        </w:rPr>
      </w:pPr>
      <w:r w:rsidRPr="00DD1558">
        <w:rPr>
          <w:rFonts w:ascii="Simplified Arabic" w:eastAsia="Times New Roman" w:hAnsi="Simplified Arabic" w:cs="Simplified Arabic"/>
          <w:b/>
          <w:bCs/>
          <w:color w:val="1A1A1A"/>
          <w:sz w:val="28"/>
          <w:szCs w:val="28"/>
          <w14:ligatures w14:val="none"/>
        </w:rPr>
        <w:lastRenderedPageBreak/>
        <w:t>Loan request–approval workflow</w:t>
      </w:r>
    </w:p>
    <w:p w14:paraId="0374216F"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The workflow is specified as numbered steps, each producing documented information at the moment of execution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{"citationID":"HwVgSH46","properties":{"unsorted":false,"formattedCitation":"(14001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7.5):</w:t>
      </w:r>
    </w:p>
    <w:p w14:paraId="19335A85" w14:textId="77777777"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Registry availability check.</w:t>
      </w:r>
      <w:r w:rsidRPr="00DD1558">
        <w:rPr>
          <w:rFonts w:ascii="Simplified Arabic" w:eastAsia="Cambria" w:hAnsi="Simplified Arabic" w:cs="Simplified Arabic"/>
          <w:color w:val="212121"/>
          <w:sz w:val="28"/>
          <w:szCs w:val="28"/>
          <w14:ligatures w14:val="none"/>
        </w:rPr>
        <w:t xml:space="preserve"> The borrowing laboratory’s designated staff query the shared registry for the required item class; the registry response — holdings, location, custody — is logged automatically. This is the eligibility clause (PB2) operating in its loan-direction mode.</w:t>
      </w:r>
    </w:p>
    <w:p w14:paraId="622466D2" w14:textId="77777777"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Borrower request.</w:t>
      </w:r>
      <w:r w:rsidRPr="00DD1558">
        <w:rPr>
          <w:rFonts w:ascii="Simplified Arabic" w:eastAsia="Cambria" w:hAnsi="Simplified Arabic" w:cs="Simplified Arabic"/>
          <w:color w:val="212121"/>
          <w:sz w:val="28"/>
          <w:szCs w:val="28"/>
          <w14:ligatures w14:val="none"/>
        </w:rPr>
        <w:t xml:space="preserve"> The borrower submits a request stating item, quantity, purpose (course or protocol), requested duration, and collection arrangements; requests are routed to the custodian department, with the Unit copied for logging.</w:t>
      </w:r>
    </w:p>
    <w:p w14:paraId="29898392" w14:textId="77777777"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Custodian approval.</w:t>
      </w:r>
      <w:r w:rsidRPr="00DD1558">
        <w:rPr>
          <w:rFonts w:ascii="Simplified Arabic" w:eastAsia="Cambria" w:hAnsi="Simplified Arabic" w:cs="Simplified Arabic"/>
          <w:color w:val="212121"/>
          <w:sz w:val="28"/>
          <w:szCs w:val="28"/>
          <w14:ligatures w14:val="none"/>
        </w:rPr>
        <w:t xml:space="preserve"> The custodian department approves or declines under Board-ratified rules, weighing its own scheduled demand, item-class eligibility, and outstanding loan load. Approval authority rests with the custodian supervisor; technicians do not approve. Declined requests state the ratified rule applied.</w:t>
      </w:r>
    </w:p>
    <w:p w14:paraId="1B89467E" w14:textId="774B0298"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Loan terms.</w:t>
      </w:r>
      <w:r w:rsidRPr="00DD1558">
        <w:rPr>
          <w:rFonts w:ascii="Simplified Arabic" w:eastAsia="Cambria" w:hAnsi="Simplified Arabic" w:cs="Simplified Arabic"/>
          <w:color w:val="212121"/>
          <w:sz w:val="28"/>
          <w:szCs w:val="28"/>
          <w14:ligatures w14:val="none"/>
        </w:rPr>
        <w:t xml:space="preserve"> An approved loan is issued with duration, a condition baseline (from </w:t>
      </w:r>
      <w:hyperlink w:anchor="Section416" w:history="1">
        <w:r w:rsidR="00525C8C" w:rsidRPr="00525C8C">
          <w:rPr>
            <w:rStyle w:val="Hyperlink"/>
            <w:rFonts w:ascii="Simplified Arabic" w:eastAsia="Cambria" w:hAnsi="Simplified Arabic" w:cs="Simplified Arabic"/>
            <w:sz w:val="28"/>
            <w:szCs w:val="28"/>
            <w14:ligatures w14:val="none"/>
          </w:rPr>
          <w:t>Section 4.1.6</w:t>
        </w:r>
      </w:hyperlink>
      <w:r w:rsidR="00525C8C" w:rsidRPr="00525C8C">
        <w:rPr>
          <w:rFonts w:ascii="Simplified Arabic" w:eastAsia="Cambria" w:hAnsi="Simplified Arabic" w:cs="Simplified Arabic"/>
          <w:sz w:val="28"/>
          <w:szCs w:val="28"/>
          <w14:ligatures w14:val="none"/>
        </w:rPr>
        <w:t xml:space="preserve"> (Scope &amp; Eligibility)</w:t>
      </w:r>
      <w:r w:rsidRPr="00DD1558">
        <w:rPr>
          <w:rFonts w:ascii="Simplified Arabic" w:eastAsia="Cambria" w:hAnsi="Simplified Arabic" w:cs="Simplified Arabic"/>
          <w:color w:val="212121"/>
          <w:sz w:val="28"/>
          <w:szCs w:val="28"/>
          <w14:ligatures w14:val="none"/>
        </w:rPr>
        <w:t>), and return criteria, logged in the registry by the executing technician.</w:t>
      </w:r>
    </w:p>
    <w:p w14:paraId="7C620A10" w14:textId="77777777"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Execution and logging.</w:t>
      </w:r>
      <w:r w:rsidRPr="00DD1558">
        <w:rPr>
          <w:rFonts w:ascii="Simplified Arabic" w:eastAsia="Cambria" w:hAnsi="Simplified Arabic" w:cs="Simplified Arabic"/>
          <w:color w:val="212121"/>
          <w:sz w:val="28"/>
          <w:szCs w:val="28"/>
          <w14:ligatures w14:val="none"/>
        </w:rPr>
        <w:t xml:space="preserve"> Technicians prepare, hand over, and log the loan per the custody-transfer protocol; the registry loan state moves to </w:t>
      </w:r>
      <w:r w:rsidRPr="00DD1558">
        <w:rPr>
          <w:rFonts w:ascii="Simplified Arabic" w:eastAsia="Cambria" w:hAnsi="Simplified Arabic" w:cs="Simplified Arabic"/>
          <w:i/>
          <w:iCs/>
          <w:color w:val="212121"/>
          <w:sz w:val="28"/>
          <w:szCs w:val="28"/>
          <w14:ligatures w14:val="none"/>
        </w:rPr>
        <w:t>on-loan</w:t>
      </w:r>
      <w:r w:rsidRPr="00DD1558">
        <w:rPr>
          <w:rFonts w:ascii="Simplified Arabic" w:eastAsia="Cambria" w:hAnsi="Simplified Arabic" w:cs="Simplified Arabic"/>
          <w:color w:val="212121"/>
          <w:sz w:val="28"/>
          <w:szCs w:val="28"/>
          <w14:ligatures w14:val="none"/>
        </w:rPr>
        <w:t xml:space="preserve"> with custodian and borrower recorded.</w:t>
      </w:r>
    </w:p>
    <w:p w14:paraId="58291427" w14:textId="77777777" w:rsidR="00DD1558" w:rsidRPr="00DD1558" w:rsidRDefault="00DD1558" w:rsidP="00DD1558">
      <w:pPr>
        <w:numPr>
          <w:ilvl w:val="1"/>
          <w:numId w:val="10"/>
        </w:numPr>
        <w:bidi w:val="0"/>
        <w:spacing w:before="36" w:after="36" w:line="240" w:lineRule="auto"/>
        <w:ind w:left="567"/>
        <w:jc w:val="both"/>
        <w:rPr>
          <w:rFonts w:ascii="Simplified Arabic" w:eastAsia="Cambria" w:hAnsi="Simplified Arabic" w:cs="Simplified Arabic"/>
          <w:color w:val="212121"/>
          <w:sz w:val="28"/>
          <w:szCs w:val="28"/>
          <w14:ligatures w14:val="none"/>
        </w:rPr>
      </w:pPr>
      <w:r w:rsidRPr="00DD1558">
        <w:rPr>
          <w:rFonts w:ascii="Simplified Arabic" w:eastAsia="Cambria" w:hAnsi="Simplified Arabic" w:cs="Simplified Arabic"/>
          <w:b/>
          <w:bCs/>
          <w:color w:val="212121"/>
          <w:sz w:val="28"/>
          <w:szCs w:val="28"/>
          <w14:ligatures w14:val="none"/>
        </w:rPr>
        <w:t>Return and closure.</w:t>
      </w:r>
      <w:r w:rsidRPr="00DD1558">
        <w:rPr>
          <w:rFonts w:ascii="Simplified Arabic" w:eastAsia="Cambria" w:hAnsi="Simplified Arabic" w:cs="Simplified Arabic"/>
          <w:color w:val="212121"/>
          <w:sz w:val="28"/>
          <w:szCs w:val="28"/>
          <w14:ligatures w14:val="none"/>
        </w:rPr>
        <w:t xml:space="preserve"> On return, technicians perform the return-condition check and log closure or escalate damage; the loan state closes.</w:t>
      </w:r>
    </w:p>
    <w:p w14:paraId="3AF6FE40" w14:textId="77777777" w:rsidR="00DD1558" w:rsidRDefault="00DD1558" w:rsidP="00DD1558">
      <w:pPr>
        <w:bidi w:val="0"/>
        <w:spacing w:before="36" w:after="36" w:line="240" w:lineRule="auto"/>
        <w:ind w:left="240"/>
        <w:jc w:val="both"/>
        <w:rPr>
          <w:rFonts w:ascii="Simplified Arabic" w:eastAsia="Cambria" w:hAnsi="Simplified Arabic" w:cs="Simplified Arabic"/>
          <w:color w:val="212121"/>
          <w:sz w:val="28"/>
          <w:szCs w:val="28"/>
          <w14:ligatures w14:val="none"/>
        </w:rPr>
      </w:pPr>
    </w:p>
    <w:p w14:paraId="190A8532" w14:textId="77777777" w:rsidR="002462E8" w:rsidRDefault="002462E8" w:rsidP="002462E8">
      <w:pPr>
        <w:bidi w:val="0"/>
        <w:spacing w:before="36" w:after="36" w:line="240" w:lineRule="auto"/>
        <w:ind w:left="240"/>
        <w:jc w:val="both"/>
        <w:rPr>
          <w:rFonts w:ascii="Simplified Arabic" w:eastAsia="Cambria" w:hAnsi="Simplified Arabic" w:cs="Simplified Arabic"/>
          <w:color w:val="212121"/>
          <w:sz w:val="28"/>
          <w:szCs w:val="28"/>
          <w14:ligatures w14:val="none"/>
        </w:rPr>
      </w:pPr>
    </w:p>
    <w:p w14:paraId="1D05F348" w14:textId="77777777" w:rsidR="002462E8" w:rsidRPr="00DD1558" w:rsidRDefault="002462E8" w:rsidP="002462E8">
      <w:pPr>
        <w:bidi w:val="0"/>
        <w:spacing w:before="36" w:after="36" w:line="240" w:lineRule="auto"/>
        <w:ind w:left="240"/>
        <w:jc w:val="both"/>
        <w:rPr>
          <w:rFonts w:ascii="Simplified Arabic" w:eastAsia="Cambria" w:hAnsi="Simplified Arabic" w:cs="Simplified Arabic"/>
          <w:color w:val="212121"/>
          <w:sz w:val="28"/>
          <w:szCs w:val="28"/>
          <w14:ligatures w14:val="none"/>
        </w:rPr>
      </w:pPr>
    </w:p>
    <w:p w14:paraId="3084AE2C" w14:textId="77777777" w:rsidR="00DD1558" w:rsidRPr="00DD1558" w:rsidRDefault="00DD1558" w:rsidP="00DD1558">
      <w:pPr>
        <w:bidi w:val="0"/>
        <w:spacing w:before="36" w:after="36" w:line="240" w:lineRule="auto"/>
        <w:jc w:val="both"/>
        <w:rPr>
          <w:rFonts w:ascii="Simplified Arabic" w:eastAsia="Cambria" w:hAnsi="Simplified Arabic" w:cs="Simplified Arabic"/>
          <w:b/>
          <w:bCs/>
          <w:color w:val="212121"/>
          <w:sz w:val="28"/>
          <w:szCs w:val="28"/>
          <w14:ligatures w14:val="none"/>
        </w:rPr>
      </w:pPr>
      <w:r w:rsidRPr="00DD1558">
        <w:rPr>
          <w:rFonts w:ascii="Simplified Arabic" w:eastAsia="Cambria" w:hAnsi="Simplified Arabic" w:cs="Simplified Arabic"/>
          <w:b/>
          <w:bCs/>
          <w:color w:val="212121"/>
          <w:sz w:val="28"/>
          <w:szCs w:val="28"/>
          <w14:ligatures w14:val="none"/>
        </w:rPr>
        <w:lastRenderedPageBreak/>
        <w:t>Custody transfer protocol</w:t>
      </w:r>
    </w:p>
    <w:p w14:paraId="6D1AAE6A" w14:textId="7A8F085D"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Custody transfer is the policy’s evidentiary core, designed against escalation factor EF3 (custody ambiguity). Every handover is documented through three artifacts: a </w:t>
      </w:r>
      <w:r w:rsidRPr="00DD1558">
        <w:rPr>
          <w:rFonts w:ascii="Simplified Arabic" w:eastAsia="Times New Roman" w:hAnsi="Simplified Arabic" w:cs="Simplified Arabic"/>
          <w:i/>
          <w:iCs/>
          <w:color w:val="1A1A1A"/>
          <w:sz w:val="28"/>
          <w:szCs w:val="28"/>
          <w14:ligatures w14:val="none"/>
        </w:rPr>
        <w:t>condition record</w:t>
      </w:r>
      <w:r w:rsidRPr="00DD1558">
        <w:rPr>
          <w:rFonts w:ascii="Simplified Arabic" w:eastAsia="Times New Roman" w:hAnsi="Simplified Arabic" w:cs="Simplified Arabic"/>
          <w:color w:val="1A1A1A"/>
          <w:sz w:val="28"/>
          <w:szCs w:val="28"/>
          <w14:ligatures w14:val="none"/>
        </w:rPr>
        <w:t xml:space="preserve"> (the item’s state at transfer, constituting the condition baseline), a </w:t>
      </w:r>
      <w:r w:rsidRPr="00DD1558">
        <w:rPr>
          <w:rFonts w:ascii="Simplified Arabic" w:eastAsia="Times New Roman" w:hAnsi="Simplified Arabic" w:cs="Simplified Arabic"/>
          <w:i/>
          <w:iCs/>
          <w:color w:val="1A1A1A"/>
          <w:sz w:val="28"/>
          <w:szCs w:val="28"/>
          <w14:ligatures w14:val="none"/>
        </w:rPr>
        <w:t>custody acknowledgment</w:t>
      </w:r>
      <w:r w:rsidRPr="00DD1558">
        <w:rPr>
          <w:rFonts w:ascii="Simplified Arabic" w:eastAsia="Times New Roman" w:hAnsi="Simplified Arabic" w:cs="Simplified Arabic"/>
          <w:color w:val="1A1A1A"/>
          <w:sz w:val="28"/>
          <w:szCs w:val="28"/>
          <w14:ligatures w14:val="none"/>
        </w:rPr>
        <w:t xml:space="preserve"> (the receiving party’s signed or system-logged acceptance), and a </w:t>
      </w:r>
      <w:r w:rsidRPr="00DD1558">
        <w:rPr>
          <w:rFonts w:ascii="Simplified Arabic" w:eastAsia="Times New Roman" w:hAnsi="Simplified Arabic" w:cs="Simplified Arabic"/>
          <w:i/>
          <w:iCs/>
          <w:color w:val="1A1A1A"/>
          <w:sz w:val="28"/>
          <w:szCs w:val="28"/>
          <w14:ligatures w14:val="none"/>
        </w:rPr>
        <w:t>chain-of-custody log</w:t>
      </w:r>
      <w:r w:rsidRPr="00DD1558">
        <w:rPr>
          <w:rFonts w:ascii="Simplified Arabic" w:eastAsia="Times New Roman" w:hAnsi="Simplified Arabic" w:cs="Simplified Arabic"/>
          <w:color w:val="1A1A1A"/>
          <w:sz w:val="28"/>
          <w:szCs w:val="28"/>
          <w14:ligatures w14:val="none"/>
        </w:rPr>
        <w:t xml:space="preserve"> (the time-ordered record of custody states from dispatch to return). The governing principle is that </w:t>
      </w:r>
      <w:r w:rsidRPr="00DD1558">
        <w:rPr>
          <w:rFonts w:ascii="Simplified Arabic" w:eastAsia="Times New Roman" w:hAnsi="Simplified Arabic" w:cs="Simplified Arabic"/>
          <w:b/>
          <w:bCs/>
          <w:color w:val="1A1A1A"/>
          <w:sz w:val="28"/>
          <w:szCs w:val="28"/>
          <w14:ligatures w14:val="none"/>
        </w:rPr>
        <w:t>custody is responsibility for care, not transfer of ownership</w:t>
      </w:r>
      <w:r w:rsidRPr="00DD1558">
        <w:rPr>
          <w:rFonts w:ascii="Simplified Arabic" w:eastAsia="Times New Roman" w:hAnsi="Simplified Arabic" w:cs="Simplified Arabic"/>
          <w:color w:val="1A1A1A"/>
          <w:sz w:val="28"/>
          <w:szCs w:val="28"/>
          <w14:ligatures w14:val="none"/>
        </w:rPr>
        <w:t>: the lending department retains ownership and stewardship, while the borrower holds custodial responsibility for the loan’s duration (</w:t>
      </w:r>
      <w:hyperlink w:anchor="section411" w:history="1">
        <w:r w:rsidR="00A20664" w:rsidRPr="0093358C">
          <w:rPr>
            <w:rStyle w:val="Hyperlink"/>
            <w:rFonts w:ascii="Simplified Arabic" w:eastAsia="Times New Roman" w:hAnsi="Simplified Arabic" w:cs="Simplified Arabic"/>
            <w:sz w:val="28"/>
            <w:szCs w:val="36"/>
            <w14:ligatures w14:val="none"/>
          </w:rPr>
          <w:t>Section 4.1.1</w:t>
        </w:r>
      </w:hyperlink>
      <w:r w:rsidRPr="00DD1558">
        <w:rPr>
          <w:rFonts w:ascii="Simplified Arabic" w:eastAsia="Times New Roman" w:hAnsi="Simplified Arabic" w:cs="Simplified Arabic"/>
          <w:color w:val="1A1A1A"/>
          <w:sz w:val="28"/>
          <w:szCs w:val="28"/>
          <w14:ligatures w14:val="none"/>
        </w:rPr>
        <w:t xml:space="preserve">, </w:t>
      </w:r>
      <w:hyperlink w:anchor="Principle2" w:history="1">
        <w:r w:rsidRPr="00DD1558">
          <w:rPr>
            <w:rFonts w:ascii="Simplified Arabic" w:eastAsia="Times New Roman" w:hAnsi="Simplified Arabic" w:cs="Simplified Arabic"/>
            <w:color w:val="467886" w:themeColor="hyperlink"/>
            <w:sz w:val="28"/>
            <w:szCs w:val="28"/>
            <w:u w:val="single"/>
            <w14:ligatures w14:val="none"/>
          </w:rPr>
          <w:t>Principle 2</w:t>
        </w:r>
      </w:hyperlink>
      <w:r w:rsidRPr="00DD1558">
        <w:rPr>
          <w:rFonts w:ascii="Simplified Arabic" w:eastAsia="Times New Roman" w:hAnsi="Simplified Arabic" w:cs="Simplified Arabic"/>
          <w:color w:val="1A1A1A"/>
          <w:sz w:val="28"/>
          <w:szCs w:val="28"/>
          <w14:ligatures w14:val="none"/>
        </w:rPr>
        <w:t>;</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{"citationID":"g9rfulUD","properties":{"unsorted":false,"formattedCitation":"(Zhu &amp; Liu, 2021)","plainCitation":"(Zhu &amp; Liu, 2021)","noteIndex":0},"citationItems":[{"id":534,"uris":["http://zotero.org/users/19711126/items/HFQSD64T"],"itemData":{"id":534,"type":"article-journal","abstract":"With the emergence of a series of physical sharing platforms such as Uber and Airbnb, the business model of the sharing economy (SE) is rapidly developing globally. Existing research on the sharing economy mainly involves three main aspects: the connotation of the sharing economy, the business model of the sharing economy, and the impact of the sharing economy. We begin by introducing the reasons why the sharing economy is booming and why customers from different positions participate in the sharing economy. Then we summarize the basic mechanisms of the consumer-to-consumer (C2C) and business-to-consumer (B2C) aspects of the sharing economy. Regarding the main causes of the sharing economy, we specifically focus on the impacts of the sharing economy on the environment, i.e., whether sharing economy is eco-friendly to the society. We consider product life cycle assessment (LCA) technology as one of the frontiers and key technologies in the fields of green design and green manufacturing. Furthermore, combined with the impact of COVID-19 on the sharing economy and the actual problems in real life, we present the future development directions of the sharing economy.","container-title":"Journal of Cleaner Production","DOI":"10.1016/j.jclepro.2020.125209","ISSN":"0959-6526","journalAbbreviation":"Journal of Cleaner Production","page":"125209","source":"ScienceDirect","title":"A systematic review and future directions of the sharing economy: business models, operational insights and environment-based utilities","title-short":"A systematic review and future directions of the sharing economy","volume":"290","author":[{"family":"Zhu","given":"Xiaoxi"},{"family":"Liu","given":"Kai"}],"issued":{"date-parts":[["2021",3,25]]}}}],"schema":"https://github.com/citation-style-language/schema/raw/master/csl-citation.json"}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(Zhu &amp; Liu, 2021)</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For chemical redistribution, the custody protocol operates jointly with FEFO: near-expiry stock moves first, so that a transfer is, where possible, a consumption transfer — the receiving laboratory consumes stock that would otherwise expire in the custodian’s store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{"citationID":"1q4Z4aC7","properties":{"unsorted":false,"formattedCitation":"(Durgan et al., 2023; Freese et al., 2024)","plainCitation":"(Durgan et al., 2023; Freese et al., 2024)","noteIndex":0},"citationItems":[{"id":432,"uris":["http://zotero.org/users/19711126/items/Q74PR9A9"],"itemData":{"id":432,"type":"article-journal","abstract":"Scientific research plays a vital role for society, but carries a significant environmental footprint, involving intensive use of energy and resources. Scientists are well placed to understand the unfolding climate and ecological crises, but may not appreciate how heavily their research, and other work-related activities, contribute to emissions and pollution. With the consequences of climate change and ecological breakdown playing out in real time, scientists now have an important, urgent role to play in catalyzing solutions. Here, we explore how research organizations can reduce their environmental impact, share useful resources and encourage the global community to engage in making science more sustainable.","container-title":"Immunology &amp; Cell Biology","DOI":"10.1111/imcb.12624","ISSN":"1440-1711","issue":"4","language":"en","license":"© 2023 The Authors. Immunology &amp; Cell Biology published by John Wiley &amp; Sons Australia, Ltd on behalf of the Australian and New Zealand Society for Immunology, Inc.","page":"289-301","source":"Wiley Online Library","title":"Green Labs: a guide to developing sustainable science in your organization","title-short":"Green Labs","volume":"101","author":[{"family":"Durgan","given":"Joanne"},{"family":"Rodríguez-Martínez","given":"Marta"},{"family":"Rouse","given":"Brendan"}],"issued":{"date-parts":[["2023"]]}}},{"id":439,"uris":["http://zotero.org/users/19711126/items/R6RIIVN3"],"itemData":{"id":439,"type":"article-journal","abstract":"Scientists are of key importance to the society to advocate awareness of the climate crisis and its underlying scientific evidence and provide solutions for a sustainable future. As much as scientific research has led to great achievements and benefits, traditional laboratory practices come with unintended environmental consequences. Scientists, while providing solutions to climate problems and educating the young innovators of the future, are also part of the problem: excessive energy consumption, (hazardous) waste generation, and resource depletion. Through their own research operations, science, research and laboratories have a significant carbon footprint and contribute to the climate crisis. Climate change requires a rapid response across all sectors of society, modeled by inspiring leaders. A broader scientific community that takes concrete actions would serve as an important step in convincing the general public of similar actions. Over the past years, grassroots movements across the sciences have recognized the overlooked impact of the scientific enterprise, and so-called Green Lab initiatives emerged seeking to address the environmental footprint of research. Driven by the voluntary efforts of researchers and staff, they educate peers, develop sustainability guidelines, write scientific publications and maintain accreditation frameworks. With this perspective we want to advocate for and spark leadership to promote a systemic change in laboratory practices and approach to research. Comprehensive evidence for the environmental impact of laboratories and their root-causes is presented, expanded with data from a current case study of the University of Groningen showcasing annual savings of 398</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763 € as well as 477.1 tons of CO2e. This is followed by guidelines for sustainable lab practices and hands-on advice on how to achieve a systemic change at research institutions and industry. How can we expect industry, politics, and society to change, if we as scientists are not changing either? Scientists should lead by example and practice the change they want to see.","container-title":"RSC Sustainability","DOI":"10.1039/d4su00056k","ISSN":"2753-8125","issue":"5","journalAbbreviation":"RSC Sustainability","page":"1300-1336","source":"Silverchair","title":"The relevance of sustainable laboratory practices","volume":"2","author":[{"family":"Freese","given":"Thomas"},{"family":"Elzinga","given":"Nils"},{"family":"Heinemann","given":"Matthias"},{"family":"Lerch","given":"Michael M."},{"family":"Feringa","given":"Ben L."}],"issued":{"date-parts":[["2024",5,1]]}}}],"schema":"https://github.com/citation-style-language/schema/raw/master/csl-citation.json"}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(Durgan et al., 2023; Freese et al., 2024)</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Consumption transfers close without return; returnable transfers follow the full chain-of-custody cycle.</w:t>
      </w:r>
    </w:p>
    <w:p w14:paraId="33A20FF2" w14:textId="77777777" w:rsidR="00DD1558" w:rsidRPr="00DD1558" w:rsidRDefault="00DD1558" w:rsidP="00DD1558">
      <w:pPr>
        <w:bidi w:val="0"/>
        <w:spacing w:line="240" w:lineRule="auto"/>
        <w:jc w:val="both"/>
        <w:rPr>
          <w:rFonts w:ascii="Simplified Arabic" w:hAnsi="Simplified Arabic" w:cs="Simplified Arabic"/>
          <w:b/>
          <w:bCs/>
          <w:sz w:val="28"/>
          <w:szCs w:val="28"/>
        </w:rPr>
      </w:pPr>
      <w:r w:rsidRPr="00DD1558">
        <w:rPr>
          <w:rFonts w:ascii="Simplified Arabic" w:hAnsi="Simplified Arabic" w:cs="Simplified Arabic"/>
          <w:b/>
          <w:bCs/>
          <w:sz w:val="28"/>
          <w:szCs w:val="28"/>
        </w:rPr>
        <w:t>Responsibility tracking</w:t>
      </w:r>
    </w:p>
    <w:p w14:paraId="6B4A7F11" w14:textId="77777777"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The policy defines four custody states and assigns accountability in each: </w:t>
      </w:r>
      <w:r w:rsidRPr="00DD1558">
        <w:rPr>
          <w:rFonts w:ascii="Simplified Arabic" w:eastAsia="Times New Roman" w:hAnsi="Simplified Arabic" w:cs="Simplified Arabic"/>
          <w:i/>
          <w:iCs/>
          <w:color w:val="1A1A1A"/>
          <w:sz w:val="28"/>
          <w:szCs w:val="28"/>
          <w14:ligatures w14:val="none"/>
        </w:rPr>
        <w:t>in-custody</w:t>
      </w:r>
      <w:r w:rsidRPr="00DD1558">
        <w:rPr>
          <w:rFonts w:ascii="Simplified Arabic" w:eastAsia="Times New Roman" w:hAnsi="Simplified Arabic" w:cs="Simplified Arabic"/>
          <w:color w:val="1A1A1A"/>
          <w:sz w:val="28"/>
          <w:szCs w:val="28"/>
          <w14:ligatures w14:val="none"/>
        </w:rPr>
        <w:t xml:space="preserve"> (custodian department accountable; technicians maintain records), </w:t>
      </w:r>
      <w:r w:rsidRPr="00DD1558">
        <w:rPr>
          <w:rFonts w:ascii="Simplified Arabic" w:eastAsia="Times New Roman" w:hAnsi="Simplified Arabic" w:cs="Simplified Arabic"/>
          <w:i/>
          <w:iCs/>
          <w:color w:val="1A1A1A"/>
          <w:sz w:val="28"/>
          <w:szCs w:val="28"/>
          <w14:ligatures w14:val="none"/>
        </w:rPr>
        <w:t>in-transit</w:t>
      </w:r>
      <w:r w:rsidRPr="00DD1558">
        <w:rPr>
          <w:rFonts w:ascii="Simplified Arabic" w:eastAsia="Times New Roman" w:hAnsi="Simplified Arabic" w:cs="Simplified Arabic"/>
          <w:color w:val="1A1A1A"/>
          <w:sz w:val="28"/>
          <w:szCs w:val="28"/>
          <w14:ligatures w14:val="none"/>
        </w:rPr>
        <w:t xml:space="preserve"> (accountability assigned per the custody acknowledgment, defaulting to the borrower once logged), </w:t>
      </w:r>
      <w:r w:rsidRPr="00DD1558">
        <w:rPr>
          <w:rFonts w:ascii="Simplified Arabic" w:eastAsia="Times New Roman" w:hAnsi="Simplified Arabic" w:cs="Simplified Arabic"/>
          <w:i/>
          <w:iCs/>
          <w:color w:val="1A1A1A"/>
          <w:sz w:val="28"/>
          <w:szCs w:val="28"/>
          <w14:ligatures w14:val="none"/>
        </w:rPr>
        <w:t>on-loan</w:t>
      </w:r>
      <w:r w:rsidRPr="00DD1558">
        <w:rPr>
          <w:rFonts w:ascii="Simplified Arabic" w:eastAsia="Times New Roman" w:hAnsi="Simplified Arabic" w:cs="Simplified Arabic"/>
          <w:color w:val="1A1A1A"/>
          <w:sz w:val="28"/>
          <w:szCs w:val="28"/>
          <w14:ligatures w14:val="none"/>
        </w:rPr>
        <w:t xml:space="preserve"> (borrower accountable for care, return, and damage reporting), and </w:t>
      </w:r>
      <w:r w:rsidRPr="00DD1558">
        <w:rPr>
          <w:rFonts w:ascii="Simplified Arabic" w:eastAsia="Times New Roman" w:hAnsi="Simplified Arabic" w:cs="Simplified Arabic"/>
          <w:i/>
          <w:iCs/>
          <w:color w:val="1A1A1A"/>
          <w:sz w:val="28"/>
          <w:szCs w:val="28"/>
          <w14:ligatures w14:val="none"/>
        </w:rPr>
        <w:t>returned-damaged</w:t>
      </w:r>
      <w:r w:rsidRPr="00DD1558">
        <w:rPr>
          <w:rFonts w:ascii="Simplified Arabic" w:eastAsia="Times New Roman" w:hAnsi="Simplified Arabic" w:cs="Simplified Arabic"/>
          <w:color w:val="1A1A1A"/>
          <w:sz w:val="28"/>
          <w:szCs w:val="28"/>
          <w14:ligatures w14:val="none"/>
        </w:rPr>
        <w:t xml:space="preserve"> (an exception state triggering escalation, not informal settlement). Exceptions follow a defined escalation ladder — </w:t>
      </w:r>
      <w:r w:rsidRPr="00DD1558">
        <w:rPr>
          <w:rFonts w:ascii="Simplified Arabic" w:eastAsia="Times New Roman" w:hAnsi="Simplified Arabic" w:cs="Simplified Arabic"/>
          <w:b/>
          <w:bCs/>
          <w:color w:val="1A1A1A"/>
          <w:sz w:val="28"/>
          <w:szCs w:val="28"/>
          <w14:ligatures w14:val="none"/>
        </w:rPr>
        <w:t xml:space="preserve">technician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Digital Supply Chain Unit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custodian supervisor </w:t>
      </w:r>
      <w:r w:rsidRPr="00DD1558">
        <w:rPr>
          <w:rFonts w:ascii="Times New Roman" w:eastAsia="Times New Roman" w:hAnsi="Times New Roman" w:cs="Times New Roman"/>
          <w:b/>
          <w:bCs/>
          <w:color w:val="1A1A1A"/>
          <w:sz w:val="28"/>
          <w:szCs w:val="28"/>
          <w14:ligatures w14:val="none"/>
        </w:rPr>
        <w:t>→</w:t>
      </w:r>
      <w:r w:rsidRPr="00DD1558">
        <w:rPr>
          <w:rFonts w:ascii="Simplified Arabic" w:eastAsia="Times New Roman" w:hAnsi="Simplified Arabic" w:cs="Simplified Arabic"/>
          <w:b/>
          <w:bCs/>
          <w:color w:val="1A1A1A"/>
          <w:sz w:val="28"/>
          <w:szCs w:val="28"/>
          <w14:ligatures w14:val="none"/>
        </w:rPr>
        <w:t xml:space="preserve"> Board</w:t>
      </w:r>
      <w:r w:rsidRPr="00DD1558">
        <w:rPr>
          <w:rFonts w:ascii="Simplified Arabic" w:eastAsia="Times New Roman" w:hAnsi="Simplified Arabic" w:cs="Simplified Arabic"/>
          <w:color w:val="1A1A1A"/>
          <w:sz w:val="28"/>
          <w:szCs w:val="28"/>
          <w14:ligatures w14:val="none"/>
        </w:rPr>
        <w:t xml:space="preserve"> — with each rung activated when the lower rung cannot resolve within its authority: technicians’ flag, the Unit routes and documents, the custodian supervisor decides within policy, and the Board adjudicates cross-departmental disputes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{"citationID":"8zt5t5d6","properties":{"unsorted":false,"formattedCitation":"(22301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clause 8.4 analogue).</w:t>
      </w:r>
    </w:p>
    <w:p w14:paraId="23F9AC4F" w14:textId="77777777" w:rsidR="00DD1558" w:rsidRPr="00DD1558" w:rsidRDefault="00DD1558" w:rsidP="00DD1558">
      <w:pPr>
        <w:bidi w:val="0"/>
        <w:spacing w:line="240" w:lineRule="auto"/>
        <w:jc w:val="both"/>
        <w:rPr>
          <w:rFonts w:ascii="Simplified Arabic" w:hAnsi="Simplified Arabic" w:cs="Simplified Arabic"/>
          <w:b/>
          <w:bCs/>
          <w:sz w:val="28"/>
          <w:szCs w:val="28"/>
        </w:rPr>
      </w:pPr>
      <w:r w:rsidRPr="00DD1558">
        <w:rPr>
          <w:rFonts w:ascii="Simplified Arabic" w:hAnsi="Simplified Arabic" w:cs="Simplified Arabic"/>
          <w:b/>
          <w:bCs/>
          <w:sz w:val="28"/>
          <w:szCs w:val="28"/>
        </w:rPr>
        <w:lastRenderedPageBreak/>
        <w:t>Risk controls</w:t>
      </w:r>
    </w:p>
    <w:p w14:paraId="3C54135D" w14:textId="6BD27D01" w:rsidR="00DD1558" w:rsidRPr="00DD1558" w:rsidRDefault="00DD1558" w:rsidP="00DD1558">
      <w:pPr>
        <w:bidi w:val="0"/>
        <w:spacing w:before="180" w:line="240" w:lineRule="auto"/>
        <w:jc w:val="both"/>
        <w:rPr>
          <w:rFonts w:ascii="Simplified Arabic" w:eastAsia="Times New Roman" w:hAnsi="Simplified Arabic" w:cs="Simplified Arabic"/>
          <w:color w:val="1A1A1A"/>
          <w:sz w:val="28"/>
          <w:szCs w:val="28"/>
          <w14:ligatures w14:val="none"/>
        </w:rPr>
      </w:pPr>
      <w:r w:rsidRPr="00DD1558">
        <w:rPr>
          <w:rFonts w:ascii="Simplified Arabic" w:eastAsia="Times New Roman" w:hAnsi="Simplified Arabic" w:cs="Simplified Arabic"/>
          <w:color w:val="1A1A1A"/>
          <w:sz w:val="28"/>
          <w:szCs w:val="28"/>
          <w14:ligatures w14:val="none"/>
        </w:rPr>
        <w:t xml:space="preserve">Five controls protect the lending regime. </w:t>
      </w:r>
      <w:r w:rsidRPr="00DD1558">
        <w:rPr>
          <w:rFonts w:ascii="Simplified Arabic" w:eastAsia="Times New Roman" w:hAnsi="Simplified Arabic" w:cs="Simplified Arabic"/>
          <w:b/>
          <w:bCs/>
          <w:color w:val="1A1A1A"/>
          <w:sz w:val="28"/>
          <w:szCs w:val="28"/>
          <w14:ligatures w14:val="none"/>
        </w:rPr>
        <w:t>First</w:t>
      </w:r>
      <w:r w:rsidRPr="00DD1558">
        <w:rPr>
          <w:rFonts w:ascii="Simplified Arabic" w:eastAsia="Times New Roman" w:hAnsi="Simplified Arabic" w:cs="Simplified Arabic"/>
          <w:color w:val="1A1A1A"/>
          <w:sz w:val="28"/>
          <w:szCs w:val="28"/>
          <w14:ligatures w14:val="none"/>
        </w:rPr>
        <w:t xml:space="preserve">, the </w:t>
      </w:r>
      <w:r w:rsidRPr="00DD1558">
        <w:rPr>
          <w:rFonts w:ascii="Simplified Arabic" w:eastAsia="Times New Roman" w:hAnsi="Simplified Arabic" w:cs="Simplified Arabic"/>
          <w:i/>
          <w:iCs/>
          <w:color w:val="1A1A1A"/>
          <w:sz w:val="28"/>
          <w:szCs w:val="28"/>
          <w14:ligatures w14:val="none"/>
        </w:rPr>
        <w:t>damage/loss liability principle</w:t>
      </w:r>
      <w:r w:rsidRPr="00DD1558">
        <w:rPr>
          <w:rFonts w:ascii="Simplified Arabic" w:eastAsia="Times New Roman" w:hAnsi="Simplified Arabic" w:cs="Simplified Arabic"/>
          <w:color w:val="1A1A1A"/>
          <w:sz w:val="28"/>
          <w:szCs w:val="28"/>
          <w14:ligatures w14:val="none"/>
        </w:rPr>
        <w:t xml:space="preserve">: the party holding custody when damage or loss occurs bears responsibility for remediation through departmental channels, with the chain-of-custody log as the evidentiary basis — a design response to the free-riding and responsibility-ambiguity failure modes of sharing arrangements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{"citationID":"T0xJ3AWx","properties":{"unsorted":false,"formattedCitation":"(X. Wang &amp; Qu, 2025)","plainCitation":"(X. Wang &amp; Qu, 2025)","noteIndex":0},"citationItems":[{"id":527,"uris":["http://zotero.org/users/19711126/items/YRGFL3RX"],"itemData":{"id":527,"type":"article-journal","abstract":"Over the past decade, China has significantly improved the retention and utilization rates of scientific instruments. However, systemic inefficiencies persist due to fragmented governance structures, human capital mismatches, and uneven regional development. This study evaluates the sustainability of 15 regional organizations managing large-scale scientific instruments from 2013 to 2022 by applying ecological network analysis (ENA) to model use-time as flow-based networks. Based on the concept of ascendency, this work introduces the degree of order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as a dynamic indicator of ecological efficiency. Empirical results reveal that while total instrument use-time (TST) has more than doubled, efficiency gains have been primarily driven by scale expansion rather than improved coordination. Technical staffing in typical regions such as Lanzhou increased by only 112% over ten years, lagging behind a</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&gt;</w:instrText>
      </w:r>
      <w:r w:rsidRPr="00DD1558">
        <w:rPr>
          <w:rFonts w:ascii="Times New Roman" w:eastAsia="Times New Roman" w:hAnsi="Times New Roman" w:cs="Times New Roman"/>
          <w:color w:val="1A1A1A"/>
          <w:sz w:val="28"/>
          <w:szCs w:val="28"/>
          <w14:ligatures w14:val="none"/>
        </w:rPr>
        <w:instrText> </w:instrText>
      </w:r>
      <w:r w:rsidRPr="00DD1558">
        <w:rPr>
          <w:rFonts w:ascii="Simplified Arabic" w:eastAsia="Times New Roman" w:hAnsi="Simplified Arabic" w:cs="Simplified Arabic"/>
          <w:color w:val="1A1A1A"/>
          <w:sz w:val="28"/>
          <w:szCs w:val="28"/>
          <w14:ligatures w14:val="none"/>
        </w:rPr>
        <w:instrText xml:space="preserve">200% growth in total use-time, leading to a decline in average mutual information (AMI) and suboptimal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performance. Furthermore, a statistically significant inverse relationship is found between average sharing time and ecological efficiency, indicating that quota-based sharing policies may inadvertently reduce systemic resilience. This paradox reflects a critical trade-off between quantity-driven incentives and the structural integrity of sharing networks. Regression analysis identifies GDP per capita and policy timeliness as significant predictors of organizational efficiency, yet accounts for only 65% of its variance, underscoring the need to incorporate operational and structural variables. To address these challenges, this study proposes an “efficiency window” framework that defines optimal </w:instrText>
      </w:r>
      <w:r w:rsidRPr="00DD1558">
        <w:rPr>
          <w:rFonts w:ascii="Cambria" w:eastAsia="Times New Roman" w:hAnsi="Cambria" w:cs="Cambria"/>
          <w:color w:val="1A1A1A"/>
          <w:sz w:val="28"/>
          <w:szCs w:val="28"/>
          <w14:ligatures w14:val="none"/>
        </w:rPr>
        <w:instrText>α</w:instrText>
      </w:r>
      <w:r w:rsidRPr="00DD1558">
        <w:rPr>
          <w:rFonts w:ascii="Simplified Arabic" w:eastAsia="Times New Roman" w:hAnsi="Simplified Arabic" w:cs="Simplified Arabic"/>
          <w:color w:val="1A1A1A"/>
          <w:sz w:val="28"/>
          <w:szCs w:val="28"/>
          <w14:ligatures w14:val="none"/>
        </w:rPr>
        <w:instrText xml:space="preserve"> ranges, enabling more adaptive evaluation across development stages. The findings offer a transferable model for assessing sustainability in resource-sharing infrastructures, while emphasizing the contextual limits of applying centralized governance approaches to decentralized systems. For policymakers, this study underscores the need to align economic incentives, staffing structures, and network flexibility to foster resilient, inclusive, and efficient scientific innovation ecosystems.","container-title":"Humanities and Social Sciences Communications","DOI":"10.1057/s41599-025-05767-y","ISSN":"2662-9992","issue":"1","journalAbbreviation":"Humanit Soc Sci Commun","language":"en","license":"2025 The Author(s)","page":"1501","publisher":"Palgrave","source":"www.nature.com","title":"Measuring China’s Open Sharing for scientific instruments: an ascendency analysis with benchmark use-time data","title-short":"Measuring China’s Open Sharing for scientific instruments","volume":"12","author":[{"family":"Wang","given":"Xiaobo"},{"family":"Qu","given":"Shanshan"}],"issued":{"date-parts":[["2025",9,26]]}}}],"schema":"https://github.com/citation-style-language/schema/raw/master/csl-citation.json"}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(X. Wang &amp; Qu, 2025)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b/>
          <w:bCs/>
          <w:color w:val="1A1A1A"/>
          <w:sz w:val="28"/>
          <w:szCs w:val="28"/>
          <w14:ligatures w14:val="none"/>
        </w:rPr>
        <w:t>Second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loan limits</w:t>
      </w:r>
      <w:r w:rsidRPr="00DD1558">
        <w:rPr>
          <w:rFonts w:ascii="Simplified Arabic" w:eastAsia="Times New Roman" w:hAnsi="Simplified Arabic" w:cs="Simplified Arabic"/>
          <w:color w:val="1A1A1A"/>
          <w:sz w:val="28"/>
          <w:szCs w:val="28"/>
          <w14:ligatures w14:val="none"/>
        </w:rPr>
        <w:t xml:space="preserve">: per-item-class caps on simultaneous outward loans protect the custodian’s own teaching base. </w:t>
      </w:r>
      <w:r w:rsidRPr="00DD1558">
        <w:rPr>
          <w:rFonts w:ascii="Simplified Arabic" w:eastAsia="Times New Roman" w:hAnsi="Simplified Arabic" w:cs="Simplified Arabic"/>
          <w:b/>
          <w:bCs/>
          <w:color w:val="1A1A1A"/>
          <w:sz w:val="28"/>
          <w:szCs w:val="28"/>
          <w14:ligatures w14:val="none"/>
        </w:rPr>
        <w:t>Third</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recall rights</w:t>
      </w:r>
      <w:r w:rsidRPr="00DD1558">
        <w:rPr>
          <w:rFonts w:ascii="Simplified Arabic" w:eastAsia="Times New Roman" w:hAnsi="Simplified Arabic" w:cs="Simplified Arabic"/>
          <w:color w:val="1A1A1A"/>
          <w:sz w:val="28"/>
          <w:szCs w:val="28"/>
          <w14:ligatures w14:val="none"/>
        </w:rPr>
        <w:t>: the custodian may recall loaned items when its own scheduled teaching requires them — the ISO 22301:2019 priority of prioritized activities over sharing convenience, since continuity solutions exist to protect prioritized activities, not to redistribute their dependencies away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{"citationID":"nvt5go4c","properties":{"unsorted":false,"formattedCitation":"(22301 ISO/IEC, 2019)","plainCitation":"(22301 ISO/IEC, 2019)","noteIndex":0},"citationItems":[{"id":466,"uris":["http://zotero.org/users/19711126/items/K2XGCQAW"],"itemData":{"id":466,"type":"standard","title":"ISO 22301:2019(en), Security and resilience — Business continuity management systems — Requirements","URL":"https://www.iso.org/obp/ui#iso:std:iso:22301:ed-2:v1:en","author":[{"family":"ISO/IEC","given":"22301"}],"accessed":{"date-parts":[["2026",8,6]]},"issued":{"date-parts":[["2019"]]}}}],"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(22301 ISO/IEC, 2019)</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 8.3). </w:t>
      </w:r>
      <w:r w:rsidRPr="00DD1558">
        <w:rPr>
          <w:rFonts w:ascii="Simplified Arabic" w:eastAsia="Times New Roman" w:hAnsi="Simplified Arabic" w:cs="Simplified Arabic"/>
          <w:b/>
          <w:bCs/>
          <w:color w:val="1A1A1A"/>
          <w:sz w:val="28"/>
          <w:szCs w:val="28"/>
          <w14:ligatures w14:val="none"/>
        </w:rPr>
        <w:t>Fourth</w:t>
      </w:r>
      <w:r w:rsidRPr="00DD1558">
        <w:rPr>
          <w:rFonts w:ascii="Simplified Arabic" w:eastAsia="Times New Roman" w:hAnsi="Simplified Arabic" w:cs="Simplified Arabic"/>
          <w:color w:val="1A1A1A"/>
          <w:sz w:val="28"/>
          <w:szCs w:val="28"/>
          <w14:ligatures w14:val="none"/>
        </w:rPr>
        <w:t xml:space="preserve">, the </w:t>
      </w:r>
      <w:r w:rsidRPr="00DD1558">
        <w:rPr>
          <w:rFonts w:ascii="Simplified Arabic" w:eastAsia="Times New Roman" w:hAnsi="Simplified Arabic" w:cs="Simplified Arabic"/>
          <w:i/>
          <w:iCs/>
          <w:color w:val="1A1A1A"/>
          <w:sz w:val="28"/>
          <w:szCs w:val="28"/>
          <w14:ligatures w14:val="none"/>
        </w:rPr>
        <w:t>audit trail</w:t>
      </w:r>
      <w:r w:rsidRPr="00DD1558">
        <w:rPr>
          <w:rFonts w:ascii="Simplified Arabic" w:eastAsia="Times New Roman" w:hAnsi="Simplified Arabic" w:cs="Simplified Arabic"/>
          <w:color w:val="1A1A1A"/>
          <w:sz w:val="28"/>
          <w:szCs w:val="28"/>
          <w14:ligatures w14:val="none"/>
        </w:rPr>
        <w:t xml:space="preserve">: every workflow step produces registry-logged documented information, so loans are reconstructible at audit without reliance on memory or email. </w:t>
      </w:r>
      <w:r w:rsidRPr="00DD1558">
        <w:rPr>
          <w:rFonts w:ascii="Simplified Arabic" w:eastAsia="Times New Roman" w:hAnsi="Simplified Arabic" w:cs="Simplified Arabic"/>
          <w:b/>
          <w:bCs/>
          <w:color w:val="1A1A1A"/>
          <w:sz w:val="28"/>
          <w:szCs w:val="28"/>
          <w14:ligatures w14:val="none"/>
        </w:rPr>
        <w:t>Fifth</w:t>
      </w:r>
      <w:r w:rsidRPr="00DD1558">
        <w:rPr>
          <w:rFonts w:ascii="Simplified Arabic" w:eastAsia="Times New Roman" w:hAnsi="Simplified Arabic" w:cs="Simplified Arabic"/>
          <w:color w:val="1A1A1A"/>
          <w:sz w:val="28"/>
          <w:szCs w:val="28"/>
          <w14:ligatures w14:val="none"/>
        </w:rPr>
        <w:t xml:space="preserve">, </w:t>
      </w:r>
      <w:r w:rsidRPr="00DD1558">
        <w:rPr>
          <w:rFonts w:ascii="Simplified Arabic" w:eastAsia="Times New Roman" w:hAnsi="Simplified Arabic" w:cs="Simplified Arabic"/>
          <w:i/>
          <w:iCs/>
          <w:color w:val="1A1A1A"/>
          <w:sz w:val="28"/>
          <w:szCs w:val="28"/>
          <w14:ligatures w14:val="none"/>
        </w:rPr>
        <w:t>review</w:t>
      </w:r>
      <w:r w:rsidRPr="00DD1558">
        <w:rPr>
          <w:rFonts w:ascii="Simplified Arabic" w:eastAsia="Times New Roman" w:hAnsi="Simplified Arabic" w:cs="Simplified Arabic"/>
          <w:color w:val="1A1A1A"/>
          <w:sz w:val="28"/>
          <w:szCs w:val="28"/>
          <w14:ligatures w14:val="none"/>
        </w:rPr>
        <w:t>: aggregate loan-flow and damage records feed the Board’s termly review, closing the PDCA loop on the policy itself (</w:t>
      </w:r>
      <w:r w:rsidRPr="00DD1558">
        <w:rPr>
          <w:rFonts w:ascii="Simplified Arabic" w:eastAsia="Times New Roman" w:hAnsi="Simplified Arabic" w:cs="Simplified Arabic"/>
          <w:color w:val="1A1A1A"/>
          <w:sz w:val="28"/>
          <w:szCs w:val="28"/>
          <w14:ligatures w14:val="none"/>
        </w:rPr>
        <w:fldChar w:fldCharType="begin"/>
      </w:r>
      <w:r w:rsidRPr="00DD1558">
        <w:rPr>
          <w:rFonts w:ascii="Simplified Arabic" w:eastAsia="Times New Roman" w:hAnsi="Simplified Arabic" w:cs="Simplified Arabic"/>
          <w:color w:val="1A1A1A"/>
          <w:sz w:val="28"/>
          <w:szCs w:val="28"/>
          <w14:ligatures w14:val="none"/>
        </w:rPr>
        <w:instrText xml:space="preserve"> ADDIN ZOTERO_ITEM CSL_CITATION {"citationID":"k5XhOXQu","properties":{"unsorted":false,"formattedCitation":"(14001 ISO/IEC, 2015)","plainCitation":"(14001 ISO/IEC, 2015)","noteIndex":0},"citationItems":[{"id":462,"uris":["http://zotero.org/users/19711126/items/IVKJ9HPD"],"itemData":{"id":462,"type":"standard","title":"ISO 14001:2015(en), Environmental management systems — Requirements with guidance for use","URL":"https://www.iso.org/obp/ui/#iso:std:iso:14001:ed-3:v1:en","author":[{"family":"ISO/IEC","given":"14001"}],"accessed":{"date-parts":[["2026",8,6]]},"issued":{"date-parts":[["2015"]]}}}],"schema":"https://github.com/citation-style-language/schema/raw/master/csl-citation.json"} </w:instrText>
      </w:r>
      <w:r w:rsidRPr="00DD1558">
        <w:rPr>
          <w:rFonts w:ascii="Simplified Arabic" w:eastAsia="Times New Roman" w:hAnsi="Simplified Arabic" w:cs="Simplified Arabic"/>
          <w:color w:val="1A1A1A"/>
          <w:sz w:val="28"/>
          <w:szCs w:val="28"/>
          <w14:ligatures w14:val="none"/>
        </w:rPr>
        <w:fldChar w:fldCharType="separate"/>
      </w:r>
      <w:r w:rsidRPr="00DD1558">
        <w:rPr>
          <w:rFonts w:ascii="Simplified Arabic" w:eastAsia="Times New Roman" w:hAnsi="Simplified Arabic" w:cs="Simplified Arabic"/>
          <w:color w:val="1A1A1A"/>
          <w:sz w:val="28"/>
          <w:szCs w:val="24"/>
          <w14:ligatures w14:val="none"/>
        </w:rPr>
        <w:t>(14001 ISO/IEC, 2015)</w:t>
      </w:r>
      <w:r w:rsidRPr="00DD1558">
        <w:rPr>
          <w:rFonts w:ascii="Simplified Arabic" w:eastAsia="Times New Roman" w:hAnsi="Simplified Arabic" w:cs="Simplified Arabic"/>
          <w:color w:val="1A1A1A"/>
          <w:sz w:val="28"/>
          <w:szCs w:val="28"/>
          <w14:ligatures w14:val="none"/>
        </w:rPr>
        <w:fldChar w:fldCharType="end"/>
      </w:r>
      <w:r w:rsidRPr="00DD1558">
        <w:rPr>
          <w:rFonts w:ascii="Simplified Arabic" w:eastAsia="Times New Roman" w:hAnsi="Simplified Arabic" w:cs="Simplified Arabic"/>
          <w:color w:val="1A1A1A"/>
          <w:sz w:val="28"/>
          <w:szCs w:val="28"/>
          <w14:ligatures w14:val="none"/>
        </w:rPr>
        <w:t xml:space="preserve">, clauses 9.3, 10). </w:t>
      </w:r>
      <w:hyperlink w:anchor="Figure34" w:history="1">
        <w:r w:rsidRPr="00DD1558">
          <w:rPr>
            <w:rFonts w:ascii="Simplified Arabic" w:eastAsia="Times New Roman" w:hAnsi="Simplified Arabic" w:cs="Simplified Arabic"/>
            <w:color w:val="467886" w:themeColor="hyperlink"/>
            <w:sz w:val="28"/>
            <w:szCs w:val="28"/>
            <w:u w:val="single"/>
            <w14:ligatures w14:val="none"/>
          </w:rPr>
          <w:t xml:space="preserve">Figure </w:t>
        </w:r>
        <w:r w:rsidR="00CA0BCC">
          <w:rPr>
            <w:rFonts w:ascii="Simplified Arabic" w:eastAsia="Times New Roman" w:hAnsi="Simplified Arabic" w:cs="Simplified Arabic"/>
            <w:color w:val="467886" w:themeColor="hyperlink"/>
            <w:sz w:val="28"/>
            <w:szCs w:val="28"/>
            <w:u w:val="single"/>
            <w14:ligatures w14:val="none"/>
          </w:rPr>
          <w:t>3</w:t>
        </w:r>
        <w:r w:rsidRPr="00DD1558">
          <w:rPr>
            <w:rFonts w:ascii="Simplified Arabic" w:eastAsia="Times New Roman" w:hAnsi="Simplified Arabic" w:cs="Simplified Arabic"/>
            <w:color w:val="467886" w:themeColor="hyperlink"/>
            <w:sz w:val="28"/>
            <w:szCs w:val="28"/>
            <w:u w:val="single"/>
            <w14:ligatures w14:val="none"/>
          </w:rPr>
          <w:t>.</w:t>
        </w:r>
        <w:r w:rsidR="00CA0BCC">
          <w:rPr>
            <w:rFonts w:ascii="Simplified Arabic" w:eastAsia="Times New Roman" w:hAnsi="Simplified Arabic" w:cs="Simplified Arabic"/>
            <w:color w:val="467886" w:themeColor="hyperlink"/>
            <w:sz w:val="28"/>
            <w:szCs w:val="28"/>
            <w:u w:val="single"/>
            <w14:ligatures w14:val="none"/>
          </w:rPr>
          <w:t>4</w:t>
        </w:r>
      </w:hyperlink>
      <w:r w:rsidRPr="00DD1558">
        <w:rPr>
          <w:rFonts w:ascii="Simplified Arabic" w:eastAsia="Times New Roman" w:hAnsi="Simplified Arabic" w:cs="Simplified Arabic"/>
          <w:color w:val="1A1A1A"/>
          <w:sz w:val="28"/>
          <w:szCs w:val="28"/>
          <w14:ligatures w14:val="none"/>
        </w:rPr>
        <w:t xml:space="preserve"> renders the workflow and its escalation ladder.</w:t>
      </w:r>
    </w:p>
    <w:p w14:paraId="0077A743" w14:textId="77777777" w:rsidR="00DD1558" w:rsidRPr="00DD1558" w:rsidRDefault="00DD1558" w:rsidP="00DD1558">
      <w:pPr>
        <w:bidi w:val="0"/>
        <w:spacing w:before="180" w:line="360" w:lineRule="auto"/>
        <w:jc w:val="center"/>
        <w:rPr>
          <w:rFonts w:ascii="Times New Roman" w:eastAsia="Times New Roman" w:hAnsi="Times New Roman" w:cs="Times New Roman"/>
          <w:color w:val="1A1A1A"/>
          <w:sz w:val="24"/>
          <w:szCs w:val="24"/>
          <w14:ligatures w14:val="none"/>
        </w:rPr>
      </w:pPr>
      <w:r w:rsidRPr="00DD1558">
        <w:rPr>
          <w:rFonts w:ascii="Times New Roman" w:eastAsia="Times New Roman" w:hAnsi="Times New Roman" w:cs="Times New Roman"/>
          <w:noProof/>
          <w:color w:val="1A1A1A"/>
          <w:sz w:val="24"/>
          <w:szCs w:val="24"/>
          <w14:ligatures w14:val="none"/>
        </w:rPr>
        <w:lastRenderedPageBreak/>
        <w:drawing>
          <wp:inline distT="0" distB="0" distL="0" distR="0" wp14:anchorId="79C5A05F" wp14:editId="2DA6615C">
            <wp:extent cx="4320000" cy="7128000"/>
            <wp:effectExtent l="0" t="0" r="4445" b="0"/>
            <wp:docPr id="1741522727" name="Picture"/>
            <wp:cNvGraphicFramePr/>
            <a:graphic xmlns:a="http://schemas.openxmlformats.org/drawingml/2006/main">
              <a:graphicData uri="http://schemas.openxmlformats.org/drawingml/2006/picture">
                <pic:pic xmlns:pic="http://schemas.openxmlformats.org/drawingml/2006/picture">
                  <pic:nvPicPr>
                    <pic:cNvPr id="72" name="Picture" descr="fig3.png"/>
                    <pic:cNvPicPr>
                      <a:picLocks noChangeAspect="1" noChangeArrowheads="1"/>
                    </pic:cNvPicPr>
                  </pic:nvPicPr>
                  <pic:blipFill>
                    <a:blip r:embed="rId13"/>
                    <a:stretch>
                      <a:fillRect/>
                    </a:stretch>
                  </pic:blipFill>
                  <pic:spPr bwMode="auto">
                    <a:xfrm>
                      <a:off x="0" y="0"/>
                      <a:ext cx="4320000" cy="7128000"/>
                    </a:xfrm>
                    <a:prstGeom prst="rect">
                      <a:avLst/>
                    </a:prstGeom>
                    <a:noFill/>
                    <a:ln w="9525">
                      <a:noFill/>
                      <a:headEnd/>
                      <a:tailEnd/>
                    </a:ln>
                  </pic:spPr>
                </pic:pic>
              </a:graphicData>
            </a:graphic>
          </wp:inline>
        </w:drawing>
      </w:r>
    </w:p>
    <w:p w14:paraId="2032A62B" w14:textId="5E50FC0C" w:rsidR="00DD1558" w:rsidRPr="002462E8" w:rsidRDefault="00DD1558" w:rsidP="002462E8">
      <w:pPr>
        <w:bidi w:val="0"/>
        <w:spacing w:before="180" w:line="240" w:lineRule="auto"/>
        <w:rPr>
          <w:rFonts w:ascii="Simplified Arabic" w:eastAsia="Times New Roman" w:hAnsi="Simplified Arabic" w:cs="Simplified Arabic"/>
          <w:sz w:val="24"/>
          <w:szCs w:val="24"/>
          <w14:ligatures w14:val="none"/>
        </w:rPr>
      </w:pPr>
      <w:r w:rsidRPr="00DD1558">
        <w:rPr>
          <w:rFonts w:ascii="Simplified Arabic" w:eastAsia="Times New Roman" w:hAnsi="Simplified Arabic" w:cs="Simplified Arabic"/>
          <w:i/>
          <w:iCs/>
          <w:sz w:val="24"/>
          <w:szCs w:val="24"/>
          <w14:ligatures w14:val="none"/>
        </w:rPr>
        <w:t xml:space="preserve">Figure </w:t>
      </w:r>
      <w:r w:rsidR="00CA0BCC">
        <w:rPr>
          <w:rFonts w:ascii="Simplified Arabic" w:eastAsia="Times New Roman" w:hAnsi="Simplified Arabic" w:cs="Simplified Arabic"/>
          <w:i/>
          <w:iCs/>
          <w:sz w:val="24"/>
          <w:szCs w:val="24"/>
          <w14:ligatures w14:val="none"/>
        </w:rPr>
        <w:t>3</w:t>
      </w:r>
      <w:r w:rsidRPr="00DD1558">
        <w:rPr>
          <w:rFonts w:ascii="Simplified Arabic" w:eastAsia="Times New Roman" w:hAnsi="Simplified Arabic" w:cs="Simplified Arabic"/>
          <w:i/>
          <w:iCs/>
          <w:sz w:val="24"/>
          <w:szCs w:val="24"/>
          <w14:ligatures w14:val="none"/>
        </w:rPr>
        <w:t>.</w:t>
      </w:r>
      <w:r w:rsidR="00CA0BCC">
        <w:rPr>
          <w:rFonts w:ascii="Simplified Arabic" w:eastAsia="Times New Roman" w:hAnsi="Simplified Arabic" w:cs="Simplified Arabic"/>
          <w:i/>
          <w:iCs/>
          <w:sz w:val="24"/>
          <w:szCs w:val="24"/>
          <w14:ligatures w14:val="none"/>
        </w:rPr>
        <w:t>4</w:t>
      </w:r>
      <w:r w:rsidRPr="00DD1558">
        <w:rPr>
          <w:rFonts w:ascii="Simplified Arabic" w:eastAsia="Times New Roman" w:hAnsi="Simplified Arabic" w:cs="Simplified Arabic"/>
          <w:i/>
          <w:iCs/>
          <w:sz w:val="24"/>
          <w:szCs w:val="24"/>
          <w14:ligatures w14:val="none"/>
        </w:rPr>
        <w:t xml:space="preserve">. Inter-lab loan workflow and escalation ladder under the Inter-Lab Policy Framework (design specification; custody states and controls per </w:t>
      </w:r>
      <w:hyperlink w:anchor="Section416" w:history="1">
        <w:r w:rsidR="002C0C03" w:rsidRPr="0093358C">
          <w:rPr>
            <w:rStyle w:val="Hyperlink"/>
            <w:rFonts w:ascii="Simplified Arabic" w:eastAsia="Times New Roman" w:hAnsi="Simplified Arabic" w:cs="Simplified Arabic"/>
            <w:i/>
            <w:iCs/>
            <w:sz w:val="24"/>
            <w:szCs w:val="24"/>
            <w14:ligatures w14:val="none"/>
          </w:rPr>
          <w:t>Section 4.1.6</w:t>
        </w:r>
      </w:hyperlink>
      <w:r w:rsidRPr="00DD1558">
        <w:rPr>
          <w:rFonts w:ascii="Simplified Arabic" w:eastAsia="Times New Roman" w:hAnsi="Simplified Arabic" w:cs="Simplified Arabic"/>
          <w:i/>
          <w:iCs/>
          <w:sz w:val="24"/>
          <w:szCs w:val="24"/>
          <w14:ligatures w14:val="none"/>
        </w:rPr>
        <w:t>).</w:t>
      </w:r>
    </w:p>
    <w:p w14:paraId="521D90E1"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205" w:name="_Toc237539795"/>
      <w:r w:rsidRPr="00DD1558">
        <w:rPr>
          <w:rFonts w:ascii="Simplified Arabic" w:eastAsiaTheme="majorEastAsia" w:hAnsi="Simplified Arabic" w:cstheme="majorBidi"/>
          <w:b/>
          <w:sz w:val="28"/>
          <w:szCs w:val="32"/>
        </w:rPr>
        <w:lastRenderedPageBreak/>
        <w:t>Appendix B</w:t>
      </w:r>
      <w:bookmarkEnd w:id="205"/>
    </w:p>
    <w:p w14:paraId="534BF459" w14:textId="05E0E816" w:rsidR="00DD1558" w:rsidRPr="00DD1558" w:rsidRDefault="00DD1558" w:rsidP="00DD1558">
      <w:pPr>
        <w:bidi w:val="0"/>
        <w:rPr>
          <w:rFonts w:ascii="Simplified Arabic" w:hAnsi="Simplified Arabic" w:cs="Simplified Arabic"/>
          <w:i/>
          <w:iCs/>
          <w:sz w:val="24"/>
          <w:szCs w:val="20"/>
        </w:rPr>
      </w:pPr>
      <w:r w:rsidRPr="00DD1558">
        <w:rPr>
          <w:rFonts w:ascii="Simplified Arabic" w:hAnsi="Simplified Arabic" w:cs="Simplified Arabic"/>
          <w:b/>
          <w:bCs/>
          <w:sz w:val="24"/>
          <w:szCs w:val="20"/>
        </w:rPr>
        <w:t xml:space="preserve">Table </w:t>
      </w:r>
      <w:r w:rsidR="00E25CEC">
        <w:rPr>
          <w:rFonts w:ascii="Simplified Arabic" w:hAnsi="Simplified Arabic" w:cs="Simplified Arabic"/>
          <w:b/>
          <w:bCs/>
          <w:sz w:val="24"/>
          <w:szCs w:val="20"/>
        </w:rPr>
        <w:t>4</w:t>
      </w:r>
      <w:r w:rsidRPr="00DD1558">
        <w:rPr>
          <w:rFonts w:ascii="Simplified Arabic" w:hAnsi="Simplified Arabic" w:cs="Simplified Arabic"/>
          <w:b/>
          <w:bCs/>
          <w:sz w:val="24"/>
          <w:szCs w:val="20"/>
        </w:rPr>
        <w:t>.</w:t>
      </w:r>
      <w:r w:rsidR="00E25CEC">
        <w:rPr>
          <w:rFonts w:ascii="Simplified Arabic" w:hAnsi="Simplified Arabic" w:cs="Simplified Arabic"/>
          <w:b/>
          <w:bCs/>
          <w:sz w:val="24"/>
          <w:szCs w:val="20"/>
        </w:rPr>
        <w:t>6</w:t>
      </w:r>
      <w:r w:rsidRPr="00DD1558">
        <w:rPr>
          <w:rFonts w:ascii="Simplified Arabic" w:hAnsi="Simplified Arabic" w:cs="Simplified Arabic"/>
          <w:b/>
          <w:bCs/>
          <w:sz w:val="24"/>
          <w:szCs w:val="20"/>
        </w:rPr>
        <w:t>.</w:t>
      </w:r>
      <w:r w:rsidRPr="00DD1558">
        <w:rPr>
          <w:rFonts w:ascii="Simplified Arabic" w:hAnsi="Simplified Arabic" w:cs="Simplified Arabic"/>
          <w:sz w:val="24"/>
          <w:szCs w:val="20"/>
        </w:rPr>
        <w:t xml:space="preserve"> </w:t>
      </w:r>
      <w:r w:rsidRPr="00DD1558">
        <w:rPr>
          <w:rFonts w:ascii="Simplified Arabic" w:hAnsi="Simplified Arabic" w:cs="Simplified Arabic"/>
          <w:i/>
          <w:iCs/>
          <w:sz w:val="24"/>
          <w:szCs w:val="20"/>
        </w:rPr>
        <w:t>Classified risk register for the participatory inventory framework (transition risks RR-01–RR-06; operational risks RR-07–RR-15)</w:t>
      </w:r>
    </w:p>
    <w:tbl>
      <w:tblPr>
        <w:tblStyle w:val="Table"/>
        <w:tblW w:w="5000" w:type="pct"/>
        <w:tblBorders>
          <w:top w:val="single" w:sz="12" w:space="0" w:color="44546A"/>
          <w:bottom w:val="single" w:sz="12" w:space="0" w:color="44546A"/>
        </w:tblBorders>
        <w:tblLayout w:type="fixed"/>
        <w:tblCellMar>
          <w:left w:w="60" w:type="dxa"/>
          <w:right w:w="60" w:type="dxa"/>
        </w:tblCellMar>
        <w:tblLook w:val="0020" w:firstRow="1" w:lastRow="0" w:firstColumn="0" w:lastColumn="0" w:noHBand="0" w:noVBand="0"/>
      </w:tblPr>
      <w:tblGrid>
        <w:gridCol w:w="616"/>
        <w:gridCol w:w="2289"/>
        <w:gridCol w:w="764"/>
        <w:gridCol w:w="1172"/>
        <w:gridCol w:w="957"/>
        <w:gridCol w:w="2004"/>
        <w:gridCol w:w="2404"/>
      </w:tblGrid>
      <w:tr w:rsidR="00DD1558" w:rsidRPr="00DD1558" w14:paraId="20EE6845"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620" w:type="dxa"/>
            <w:tcBorders>
              <w:bottom w:val="single" w:sz="8" w:space="0" w:color="44546A"/>
            </w:tcBorders>
            <w:vAlign w:val="top"/>
          </w:tcPr>
          <w:p w14:paraId="23E9CC0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ID</w:t>
            </w:r>
          </w:p>
        </w:tc>
        <w:tc>
          <w:tcPr>
            <w:tcW w:w="2300" w:type="dxa"/>
            <w:tcBorders>
              <w:bottom w:val="single" w:sz="8" w:space="0" w:color="44546A"/>
            </w:tcBorders>
            <w:vAlign w:val="top"/>
          </w:tcPr>
          <w:p w14:paraId="5B441BC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description</w:t>
            </w:r>
          </w:p>
        </w:tc>
        <w:tc>
          <w:tcPr>
            <w:tcW w:w="767" w:type="dxa"/>
            <w:tcBorders>
              <w:bottom w:val="single" w:sz="8" w:space="0" w:color="44546A"/>
            </w:tcBorders>
            <w:vAlign w:val="top"/>
          </w:tcPr>
          <w:p w14:paraId="5EE9895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FIRM category</w:t>
            </w:r>
          </w:p>
        </w:tc>
        <w:tc>
          <w:tcPr>
            <w:tcW w:w="1177" w:type="dxa"/>
            <w:tcBorders>
              <w:bottom w:val="single" w:sz="8" w:space="0" w:color="44546A"/>
            </w:tcBorders>
            <w:vAlign w:val="top"/>
          </w:tcPr>
          <w:p w14:paraId="40469A5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Associated Bow-Tie barrier</w:t>
            </w:r>
          </w:p>
        </w:tc>
        <w:tc>
          <w:tcPr>
            <w:tcW w:w="961" w:type="dxa"/>
            <w:tcBorders>
              <w:bottom w:val="single" w:sz="8" w:space="0" w:color="44546A"/>
            </w:tcBorders>
            <w:vAlign w:val="top"/>
          </w:tcPr>
          <w:p w14:paraId="6F9C876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Risk owner</w:t>
            </w:r>
          </w:p>
        </w:tc>
        <w:tc>
          <w:tcPr>
            <w:tcW w:w="2014" w:type="dxa"/>
            <w:tcBorders>
              <w:bottom w:val="single" w:sz="8" w:space="0" w:color="44546A"/>
            </w:tcBorders>
            <w:vAlign w:val="top"/>
          </w:tcPr>
          <w:p w14:paraId="630334E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Qualitative priority</w:t>
            </w:r>
          </w:p>
        </w:tc>
        <w:tc>
          <w:tcPr>
            <w:tcW w:w="2416" w:type="dxa"/>
            <w:tcBorders>
              <w:bottom w:val="single" w:sz="8" w:space="0" w:color="44546A"/>
            </w:tcBorders>
            <w:vAlign w:val="top"/>
          </w:tcPr>
          <w:p w14:paraId="0D12AFC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szCs w:val="22"/>
              </w:rPr>
              <w:t>Specific mitigation strategy</w:t>
            </w:r>
          </w:p>
        </w:tc>
      </w:tr>
      <w:tr w:rsidR="00DD1558" w:rsidRPr="00DD1558" w14:paraId="09FC7DA2" w14:textId="77777777" w:rsidTr="00C71E92">
        <w:tc>
          <w:tcPr>
            <w:tcW w:w="620" w:type="dxa"/>
          </w:tcPr>
          <w:p w14:paraId="7522E60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RR-01</w:t>
            </w:r>
          </w:p>
        </w:tc>
        <w:tc>
          <w:tcPr>
            <w:tcW w:w="2300" w:type="dxa"/>
          </w:tcPr>
          <w:p w14:paraId="56DF4E8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Policy ratification delay.</w:t>
            </w:r>
            <w:r w:rsidRPr="00DD1558">
              <w:rPr>
                <w:rFonts w:ascii="Simplified Arabic" w:hAnsi="Simplified Arabic" w:cs="Simplified Arabic"/>
                <w:szCs w:val="22"/>
              </w:rPr>
              <w:t xml:space="preserve"> The catalog standard, eligibility clauses, FEFO standard, and Inter-Lab Policy Framework stall in drafting or ratification, leaving the framework without enforceable content; traceable to the ratification-bottleneck theme in university change management (Vlachopoulos, 2021; Dean et al., 2024).</w:t>
            </w:r>
          </w:p>
        </w:tc>
        <w:tc>
          <w:tcPr>
            <w:tcW w:w="767" w:type="dxa"/>
          </w:tcPr>
          <w:p w14:paraId="4FD506B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3A7024C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(future PB1, PB2, MB1, EB3 left unratified)</w:t>
            </w:r>
          </w:p>
        </w:tc>
        <w:tc>
          <w:tcPr>
            <w:tcW w:w="961" w:type="dxa"/>
          </w:tcPr>
          <w:p w14:paraId="7B3FAEE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552587C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the entire barrier architecture depends on ratification; delay leaves every threat pathway open.</w:t>
            </w:r>
          </w:p>
        </w:tc>
        <w:tc>
          <w:tcPr>
            <w:tcW w:w="2416" w:type="dxa"/>
          </w:tcPr>
          <w:p w14:paraId="1BD65EB8" w14:textId="5D783A84"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Readiness gate G1 (policy ratification) held as a hard checkpoint in the </w:t>
            </w:r>
            <w:hyperlink w:anchor="Section416" w:history="1">
              <w:r w:rsidR="000F1211" w:rsidRPr="0093358C">
                <w:rPr>
                  <w:rStyle w:val="Hyperlink"/>
                  <w:rFonts w:ascii="Simplified Arabic" w:hAnsi="Simplified Arabic" w:cs="Simplified Arabic"/>
                  <w:szCs w:val="22"/>
                </w:rPr>
                <w:t>Section 4.1.6</w:t>
              </w:r>
            </w:hyperlink>
            <w:r w:rsidRPr="00DD1558">
              <w:rPr>
                <w:rFonts w:ascii="Simplified Arabic" w:hAnsi="Simplified Arabic" w:cs="Simplified Arabic"/>
                <w:szCs w:val="22"/>
              </w:rPr>
              <w:t xml:space="preserve"> roadmap; Board constitution scheduled first; drafting cycles time-boxed with departmental comment windows; Vision 2030 sponsorship framing to sustain leadership attention (Vlachopoulos, 2021).</w:t>
            </w:r>
          </w:p>
        </w:tc>
      </w:tr>
      <w:tr w:rsidR="00DD1558" w:rsidRPr="00DD1558" w14:paraId="4A2646A9" w14:textId="77777777" w:rsidTr="00C71E92">
        <w:tc>
          <w:tcPr>
            <w:tcW w:w="620" w:type="dxa"/>
          </w:tcPr>
          <w:p w14:paraId="366C599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RR-02</w:t>
            </w:r>
          </w:p>
        </w:tc>
        <w:tc>
          <w:tcPr>
            <w:tcW w:w="2300" w:type="dxa"/>
          </w:tcPr>
          <w:p w14:paraId="75B5AFF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Departmental resistance to shared visibility and custody rules.</w:t>
            </w:r>
            <w:r w:rsidRPr="00DD1558">
              <w:rPr>
                <w:rFonts w:ascii="Simplified Arabic" w:hAnsi="Simplified Arabic" w:cs="Simplified Arabic"/>
                <w:szCs w:val="22"/>
              </w:rPr>
              <w:t xml:space="preserve"> Departments perceive the shared registry </w:t>
            </w:r>
            <w:r w:rsidRPr="00DD1558">
              <w:rPr>
                <w:rFonts w:ascii="Simplified Arabic" w:hAnsi="Simplified Arabic" w:cs="Simplified Arabic"/>
                <w:szCs w:val="22"/>
              </w:rPr>
              <w:lastRenderedPageBreak/>
              <w:t>and loan regime as a loss of control over “their” stock and withhold participation or compliance; traceable to the resistance and trust-erosion themes in collaborative-governance scholarship (Ahn &amp; Baldwin, 2024; Lopes &amp; Farias, 2022).</w:t>
            </w:r>
          </w:p>
        </w:tc>
        <w:tc>
          <w:tcPr>
            <w:tcW w:w="767" w:type="dxa"/>
          </w:tcPr>
          <w:p w14:paraId="562DC80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356011F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(future PB2, MB2 undermined before deployment)</w:t>
            </w:r>
          </w:p>
        </w:tc>
        <w:tc>
          <w:tcPr>
            <w:tcW w:w="961" w:type="dxa"/>
          </w:tcPr>
          <w:p w14:paraId="419DB42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5A1609D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plausible without adverse coincidence, since the decentralized regime’s siloed custody (T4) is the </w:t>
            </w:r>
            <w:r w:rsidRPr="00DD1558">
              <w:rPr>
                <w:rFonts w:ascii="Simplified Arabic" w:hAnsi="Simplified Arabic" w:cs="Simplified Arabic"/>
                <w:szCs w:val="22"/>
              </w:rPr>
              <w:lastRenderedPageBreak/>
              <w:t>framework’s direct target.</w:t>
            </w:r>
          </w:p>
        </w:tc>
        <w:tc>
          <w:tcPr>
            <w:tcW w:w="2416" w:type="dxa"/>
          </w:tcPr>
          <w:p w14:paraId="1A83B793" w14:textId="7BC78D5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Stewardship-over-ownership policy design: custodian protections codified in the Inter-Lab Policy Framework (loan limits, </w:t>
            </w:r>
            <w:r w:rsidRPr="00DD1558">
              <w:rPr>
                <w:rFonts w:ascii="Simplified Arabic" w:hAnsi="Simplified Arabic" w:cs="Simplified Arabic"/>
                <w:szCs w:val="22"/>
              </w:rPr>
              <w:lastRenderedPageBreak/>
              <w:t>recall rights, liability principle); departmental representation on the Board; pilot-first gradualism to demonstrate benefit before scaling (</w:t>
            </w:r>
            <w:hyperlink w:anchor="Section416" w:history="1">
              <w:r w:rsidR="000F1211" w:rsidRPr="0093358C">
                <w:rPr>
                  <w:rStyle w:val="Hyperlink"/>
                  <w:rFonts w:ascii="Simplified Arabic" w:hAnsi="Simplified Arabic" w:cs="Simplified Arabic"/>
                  <w:szCs w:val="22"/>
                </w:rPr>
                <w:t>Section 4.1.6</w:t>
              </w:r>
            </w:hyperlink>
            <w:r w:rsidRPr="00DD1558">
              <w:rPr>
                <w:rFonts w:ascii="Simplified Arabic" w:hAnsi="Simplified Arabic" w:cs="Simplified Arabic"/>
                <w:szCs w:val="22"/>
              </w:rPr>
              <w:t xml:space="preserve"> change-management structure; Dean et al., 2024).</w:t>
            </w:r>
          </w:p>
        </w:tc>
      </w:tr>
      <w:tr w:rsidR="00DD1558" w:rsidRPr="00DD1558" w14:paraId="1C56E1EC" w14:textId="77777777" w:rsidTr="00C71E92">
        <w:tc>
          <w:tcPr>
            <w:tcW w:w="620" w:type="dxa"/>
          </w:tcPr>
          <w:p w14:paraId="3971AD7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RR-03</w:t>
            </w:r>
          </w:p>
        </w:tc>
        <w:tc>
          <w:tcPr>
            <w:tcW w:w="2300" w:type="dxa"/>
          </w:tcPr>
          <w:p w14:paraId="59179F0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Incomplete or nonconforming data onboarding.</w:t>
            </w:r>
            <w:r w:rsidRPr="00DD1558">
              <w:rPr>
                <w:rFonts w:ascii="Simplified Arabic" w:hAnsi="Simplified Arabic" w:cs="Simplified Arabic"/>
                <w:szCs w:val="22"/>
              </w:rPr>
              <w:t xml:space="preserve"> Departmental inventories enter the registry partially, late, or off-standard, so the shared-visibility premise of the eligibility check is false from the start; traceable to the implementation-fidelity theme in </w:t>
            </w:r>
            <w:r w:rsidRPr="00DD1558">
              <w:rPr>
                <w:rFonts w:ascii="Simplified Arabic" w:hAnsi="Simplified Arabic" w:cs="Simplified Arabic"/>
                <w:szCs w:val="22"/>
              </w:rPr>
              <w:lastRenderedPageBreak/>
              <w:t>educational change (Sung &amp; Kim, 2021).</w:t>
            </w:r>
          </w:p>
        </w:tc>
        <w:tc>
          <w:tcPr>
            <w:tcW w:w="767" w:type="dxa"/>
          </w:tcPr>
          <w:p w14:paraId="7A3D3E6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1A90450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(with PB1, PB2 downstream)</w:t>
            </w:r>
          </w:p>
        </w:tc>
        <w:tc>
          <w:tcPr>
            <w:tcW w:w="961" w:type="dxa"/>
          </w:tcPr>
          <w:p w14:paraId="2BB59D6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Unit</w:t>
            </w:r>
          </w:p>
        </w:tc>
        <w:tc>
          <w:tcPr>
            <w:tcW w:w="2014" w:type="dxa"/>
          </w:tcPr>
          <w:p w14:paraId="71651DA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a registry that is visibly incomplete defeats PB2 in practice, because checks return false absences.</w:t>
            </w:r>
          </w:p>
        </w:tc>
        <w:tc>
          <w:tcPr>
            <w:tcW w:w="2416" w:type="dxa"/>
          </w:tcPr>
          <w:p w14:paraId="4F30C087" w14:textId="596FFB6E"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Readiness gate G2 (data readiness) blocks pilot start until completeness and standard conformity are met; EB2 data-quality indicators (completeness, currency, consistency) operationalized from day one; Unit’s negative procedural power to decline certifying a check </w:t>
            </w:r>
            <w:r w:rsidRPr="00DD1558">
              <w:rPr>
                <w:rFonts w:ascii="Simplified Arabic" w:hAnsi="Simplified Arabic" w:cs="Simplified Arabic"/>
                <w:szCs w:val="22"/>
              </w:rPr>
              <w:lastRenderedPageBreak/>
              <w:t>when data-quality rules are unmet (</w:t>
            </w:r>
            <w:hyperlink w:anchor="Section414" w:history="1">
              <w:r w:rsidR="002C0C03" w:rsidRPr="0093358C">
                <w:rPr>
                  <w:rStyle w:val="Hyperlink"/>
                  <w:rFonts w:ascii="Simplified Arabic" w:hAnsi="Simplified Arabic" w:cs="Simplified Arabic"/>
                  <w:szCs w:val="22"/>
                </w:rPr>
                <w:t>Section 4.1.4</w:t>
              </w:r>
            </w:hyperlink>
            <w:r w:rsidRPr="00DD1558">
              <w:rPr>
                <w:rFonts w:ascii="Simplified Arabic" w:hAnsi="Simplified Arabic" w:cs="Simplified Arabic"/>
                <w:szCs w:val="22"/>
              </w:rPr>
              <w:t>).</w:t>
            </w:r>
          </w:p>
        </w:tc>
      </w:tr>
      <w:tr w:rsidR="00DD1558" w:rsidRPr="00DD1558" w14:paraId="73FB8760" w14:textId="77777777" w:rsidTr="00C71E92">
        <w:tc>
          <w:tcPr>
            <w:tcW w:w="620" w:type="dxa"/>
          </w:tcPr>
          <w:p w14:paraId="4C25DD4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RR-04</w:t>
            </w:r>
          </w:p>
        </w:tc>
        <w:tc>
          <w:tcPr>
            <w:tcW w:w="2300" w:type="dxa"/>
          </w:tcPr>
          <w:p w14:paraId="63A6854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Competence gaps in operational execution.</w:t>
            </w:r>
            <w:r w:rsidRPr="00DD1558">
              <w:rPr>
                <w:rFonts w:ascii="Simplified Arabic" w:hAnsi="Simplified Arabic" w:cs="Simplified Arabic"/>
                <w:szCs w:val="22"/>
              </w:rPr>
              <w:t xml:space="preserve"> Technicians and departmental staff lack trained familiarity with FEFO discipline, custody-transfer documentation, and registry standards at go-live, so correctly designed workflows are executed incorrectly.</w:t>
            </w:r>
          </w:p>
        </w:tc>
        <w:tc>
          <w:tcPr>
            <w:tcW w:w="767" w:type="dxa"/>
          </w:tcPr>
          <w:p w14:paraId="0654774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71716B6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MB1, EB3 (execution layer)</w:t>
            </w:r>
          </w:p>
        </w:tc>
        <w:tc>
          <w:tcPr>
            <w:tcW w:w="961" w:type="dxa"/>
          </w:tcPr>
          <w:p w14:paraId="27327BF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56CA0D3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degrades barrier execution but is correctable through the standards’ competence clauses before consequences propagate.</w:t>
            </w:r>
          </w:p>
        </w:tc>
        <w:tc>
          <w:tcPr>
            <w:tcW w:w="2416" w:type="dxa"/>
          </w:tcPr>
          <w:p w14:paraId="2068EA9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Role-based competence and awareness programme per ISO 14001:2015 clauses 7.2–7.3 and ISO 22301:2019 clause 7.2 (ISO, 2015; ISO, 2019): onboarding plus periodic refreshers administered by custodian departments with Unit support materials; training scheduled within the G2 phase of the roadmap.</w:t>
            </w:r>
          </w:p>
        </w:tc>
      </w:tr>
      <w:tr w:rsidR="00DD1558" w:rsidRPr="00DD1558" w14:paraId="3576694E" w14:textId="77777777" w:rsidTr="00C71E92">
        <w:tc>
          <w:tcPr>
            <w:tcW w:w="620" w:type="dxa"/>
          </w:tcPr>
          <w:p w14:paraId="138571C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RR-05</w:t>
            </w:r>
          </w:p>
        </w:tc>
        <w:tc>
          <w:tcPr>
            <w:tcW w:w="2300" w:type="dxa"/>
          </w:tcPr>
          <w:p w14:paraId="0169A09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Compliance fatigue and procedural decay.</w:t>
            </w:r>
            <w:r w:rsidRPr="00DD1558">
              <w:rPr>
                <w:rFonts w:ascii="Simplified Arabic" w:hAnsi="Simplified Arabic" w:cs="Simplified Arabic"/>
                <w:szCs w:val="22"/>
              </w:rPr>
              <w:t xml:space="preserve"> Procedural burden (checks, logs, rotation discipline) comes to be perceived as </w:t>
            </w:r>
            <w:r w:rsidRPr="00DD1558">
              <w:rPr>
                <w:rFonts w:ascii="Simplified Arabic" w:hAnsi="Simplified Arabic" w:cs="Simplified Arabic"/>
                <w:szCs w:val="22"/>
              </w:rPr>
              <w:lastRenderedPageBreak/>
              <w:t>disproportionate to benefit; staff revert to informal practice, hollowing out enforcement from within; traceable to the nominal-compliance theme (Sung &amp; Kim, 2021; Vlachopoulos, 2021).</w:t>
            </w:r>
          </w:p>
        </w:tc>
        <w:tc>
          <w:tcPr>
            <w:tcW w:w="767" w:type="dxa"/>
          </w:tcPr>
          <w:p w14:paraId="4C43033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41DF5BE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EB1 (with EF1 activated against PB2, MB1)</w:t>
            </w:r>
          </w:p>
        </w:tc>
        <w:tc>
          <w:tcPr>
            <w:tcW w:w="961" w:type="dxa"/>
          </w:tcPr>
          <w:p w14:paraId="30D67D9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2F9C2826"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a slow-burn degradation caught by audit cadence rather than a discrete event.</w:t>
            </w:r>
          </w:p>
        </w:tc>
        <w:tc>
          <w:tcPr>
            <w:tcW w:w="2416" w:type="dxa"/>
          </w:tcPr>
          <w:p w14:paraId="14BD190B" w14:textId="345AF3BD"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Proportionate-procedure design (auditability embedded in workflows, not appended as reporting burden — </w:t>
            </w:r>
            <w:hyperlink w:anchor="section411" w:history="1">
              <w:r w:rsidR="002C0C03" w:rsidRPr="0093358C">
                <w:rPr>
                  <w:rStyle w:val="Hyperlink"/>
                  <w:rFonts w:ascii="Simplified Arabic" w:eastAsia="Times New Roman" w:hAnsi="Simplified Arabic" w:cs="Simplified Arabic"/>
                  <w:szCs w:val="32"/>
                </w:rPr>
                <w:t>Section 4.1.1</w:t>
              </w:r>
            </w:hyperlink>
            <w:r w:rsidRPr="00DD1558">
              <w:rPr>
                <w:rFonts w:ascii="Simplified Arabic" w:hAnsi="Simplified Arabic" w:cs="Simplified Arabic"/>
                <w:szCs w:val="22"/>
              </w:rPr>
              <w:t xml:space="preserve">, </w:t>
            </w:r>
            <w:hyperlink w:anchor="Principle4" w:history="1">
              <w:r w:rsidRPr="00DD1558">
                <w:rPr>
                  <w:rFonts w:ascii="Simplified Arabic" w:hAnsi="Simplified Arabic" w:cs="Simplified Arabic"/>
                  <w:color w:val="467886" w:themeColor="hyperlink"/>
                  <w:szCs w:val="22"/>
                  <w:u w:val="single"/>
                </w:rPr>
                <w:t>Principle 4</w:t>
              </w:r>
            </w:hyperlink>
            <w:r w:rsidRPr="00DD1558">
              <w:rPr>
                <w:rFonts w:ascii="Simplified Arabic" w:hAnsi="Simplified Arabic" w:cs="Simplified Arabic"/>
                <w:szCs w:val="22"/>
              </w:rPr>
              <w:t xml:space="preserve">); </w:t>
            </w:r>
            <w:r w:rsidRPr="00DD1558">
              <w:rPr>
                <w:rFonts w:ascii="Simplified Arabic" w:hAnsi="Simplified Arabic" w:cs="Simplified Arabic"/>
                <w:szCs w:val="22"/>
              </w:rPr>
              <w:lastRenderedPageBreak/>
              <w:t>duties attached to existing roles; Board termly review of procedural burden; benefit communication through Unit reporting so that displaced purchases and redistributions are visible to participants (Dean et al., 2024).</w:t>
            </w:r>
          </w:p>
        </w:tc>
      </w:tr>
      <w:tr w:rsidR="00DD1558" w:rsidRPr="00DD1558" w14:paraId="78C36678" w14:textId="77777777" w:rsidTr="00C71E92">
        <w:tc>
          <w:tcPr>
            <w:tcW w:w="620" w:type="dxa"/>
          </w:tcPr>
          <w:p w14:paraId="1AB2928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RR-06</w:t>
            </w:r>
          </w:p>
        </w:tc>
        <w:tc>
          <w:tcPr>
            <w:tcW w:w="2300" w:type="dxa"/>
          </w:tcPr>
          <w:p w14:paraId="4FAD146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Custody disputes during the pilot.</w:t>
            </w:r>
            <w:r w:rsidRPr="00DD1558">
              <w:rPr>
                <w:rFonts w:ascii="Simplified Arabic" w:hAnsi="Simplified Arabic" w:cs="Simplified Arabic"/>
                <w:szCs w:val="22"/>
              </w:rPr>
              <w:t xml:space="preserve"> Early loans in the Biology Department pilot produce contested damage or responsibility claims before practice has settled.</w:t>
            </w:r>
          </w:p>
        </w:tc>
        <w:tc>
          <w:tcPr>
            <w:tcW w:w="767" w:type="dxa"/>
          </w:tcPr>
          <w:p w14:paraId="3DF54DF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06BD220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EB3 (trial under load)</w:t>
            </w:r>
          </w:p>
        </w:tc>
        <w:tc>
          <w:tcPr>
            <w:tcW w:w="961" w:type="dxa"/>
          </w:tcPr>
          <w:p w14:paraId="20CF0E7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426B576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Low</w:t>
            </w:r>
            <w:r w:rsidRPr="00DD1558">
              <w:rPr>
                <w:rFonts w:ascii="Simplified Arabic" w:hAnsi="Simplified Arabic" w:cs="Simplified Arabic"/>
                <w:szCs w:val="22"/>
              </w:rPr>
              <w:t xml:space="preserve"> — contained by the custody-transfer protocol’s evidentiary artifacts and bounded pilot scope; resolution path is protocolized.</w:t>
            </w:r>
          </w:p>
        </w:tc>
        <w:tc>
          <w:tcPr>
            <w:tcW w:w="2416" w:type="dxa"/>
          </w:tcPr>
          <w:p w14:paraId="2B04F8A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EB3 custody-transfer protocol applied from the first loan (condition record, custody acknowledgment, chain-of-custody log); defined escalation ladder technician </w:t>
            </w:r>
            <w:r w:rsidRPr="00DD1558">
              <w:rPr>
                <w:rFonts w:ascii="Times New Roman" w:hAnsi="Times New Roman" w:cs="Times New Roman"/>
                <w:szCs w:val="22"/>
              </w:rPr>
              <w:t>→</w:t>
            </w:r>
            <w:r w:rsidRPr="00DD1558">
              <w:rPr>
                <w:rFonts w:ascii="Simplified Arabic" w:hAnsi="Simplified Arabic" w:cs="Simplified Arabic"/>
                <w:szCs w:val="22"/>
              </w:rPr>
              <w:t xml:space="preserve"> Unit </w:t>
            </w:r>
            <w:r w:rsidRPr="00DD1558">
              <w:rPr>
                <w:rFonts w:ascii="Times New Roman" w:hAnsi="Times New Roman" w:cs="Times New Roman"/>
                <w:szCs w:val="22"/>
              </w:rPr>
              <w:t>→</w:t>
            </w:r>
            <w:r w:rsidRPr="00DD1558">
              <w:rPr>
                <w:rFonts w:ascii="Simplified Arabic" w:hAnsi="Simplified Arabic" w:cs="Simplified Arabic"/>
                <w:szCs w:val="22"/>
              </w:rPr>
              <w:t xml:space="preserve"> custodian supervisor </w:t>
            </w:r>
            <w:r w:rsidRPr="00DD1558">
              <w:rPr>
                <w:rFonts w:ascii="Times New Roman" w:hAnsi="Times New Roman" w:cs="Times New Roman"/>
                <w:szCs w:val="22"/>
              </w:rPr>
              <w:t>→</w:t>
            </w:r>
            <w:r w:rsidRPr="00DD1558">
              <w:rPr>
                <w:rFonts w:ascii="Simplified Arabic" w:hAnsi="Simplified Arabic" w:cs="Simplified Arabic"/>
                <w:szCs w:val="22"/>
              </w:rPr>
              <w:t xml:space="preserve"> Board; pilot exit criteria at G3 include demonstrated dispute-resolution integrity (Section 4 readiness gates).</w:t>
            </w:r>
          </w:p>
        </w:tc>
      </w:tr>
      <w:tr w:rsidR="00DD1558" w:rsidRPr="00DD1558" w14:paraId="26633D47" w14:textId="77777777" w:rsidTr="00C71E92">
        <w:tc>
          <w:tcPr>
            <w:tcW w:w="620" w:type="dxa"/>
          </w:tcPr>
          <w:p w14:paraId="7B3F00F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RR-07</w:t>
            </w:r>
          </w:p>
        </w:tc>
        <w:tc>
          <w:tcPr>
            <w:tcW w:w="2300" w:type="dxa"/>
          </w:tcPr>
          <w:p w14:paraId="3B14781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Eligibility-check bypass.</w:t>
            </w:r>
            <w:r w:rsidRPr="00DD1558">
              <w:rPr>
                <w:rFonts w:ascii="Simplified Arabic" w:hAnsi="Simplified Arabic" w:cs="Simplified Arabic"/>
                <w:szCs w:val="22"/>
              </w:rPr>
              <w:t xml:space="preserve"> Requisitions proceed without the mandatory registry check — through time pressure, habit, or deliberate circumvention — reactivating threat T1 and the duplicate-purchasing pathway.</w:t>
            </w:r>
          </w:p>
        </w:tc>
        <w:tc>
          <w:tcPr>
            <w:tcW w:w="767" w:type="dxa"/>
          </w:tcPr>
          <w:p w14:paraId="1B50EAE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F</w:t>
            </w:r>
          </w:p>
        </w:tc>
        <w:tc>
          <w:tcPr>
            <w:tcW w:w="1177" w:type="dxa"/>
          </w:tcPr>
          <w:p w14:paraId="0A501E6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PB2 (degraded by EF1)</w:t>
            </w:r>
          </w:p>
        </w:tc>
        <w:tc>
          <w:tcPr>
            <w:tcW w:w="961" w:type="dxa"/>
          </w:tcPr>
          <w:p w14:paraId="3EABD6C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Custodian Department</w:t>
            </w:r>
          </w:p>
        </w:tc>
        <w:tc>
          <w:tcPr>
            <w:tcW w:w="2014" w:type="dxa"/>
          </w:tcPr>
          <w:p w14:paraId="615C277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plausible under normal operations in a compliance-driven culture; defeats the framework’s primary fiscal barrier.</w:t>
            </w:r>
          </w:p>
        </w:tc>
        <w:tc>
          <w:tcPr>
            <w:tcW w:w="2416" w:type="dxa"/>
          </w:tcPr>
          <w:p w14:paraId="27634538" w14:textId="6FFB5049"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Barrier reinforcement: Unit verification of the documented check as a requisition precondition; EB1 audit cadence tests a sample of requisitions each term for check evidence; repeated violations escalate to the Board under </w:t>
            </w:r>
            <w:hyperlink w:anchor="Section412" w:history="1">
              <w:r w:rsidR="002C0C03" w:rsidRPr="0093358C">
                <w:rPr>
                  <w:rStyle w:val="Hyperlink"/>
                  <w:rFonts w:ascii="Simplified Arabic" w:hAnsi="Simplified Arabic" w:cs="Simplified Arabic"/>
                  <w:szCs w:val="22"/>
                </w:rPr>
                <w:t xml:space="preserve">Section </w:t>
              </w:r>
              <w:r w:rsidR="0093358C" w:rsidRPr="0093358C">
                <w:rPr>
                  <w:rStyle w:val="Hyperlink"/>
                  <w:rFonts w:ascii="Simplified Arabic" w:hAnsi="Simplified Arabic" w:cs="Simplified Arabic"/>
                  <w:szCs w:val="22"/>
                </w:rPr>
                <w:t>4.1.2</w:t>
              </w:r>
            </w:hyperlink>
            <w:r w:rsidR="0093358C" w:rsidRPr="002C0C03">
              <w:rPr>
                <w:rFonts w:ascii="Simplified Arabic" w:hAnsi="Simplified Arabic" w:cs="Simplified Arabic"/>
                <w:szCs w:val="22"/>
              </w:rPr>
              <w:t xml:space="preserve"> </w:t>
            </w:r>
            <w:r w:rsidR="0093358C" w:rsidRPr="00DD1558">
              <w:rPr>
                <w:rFonts w:ascii="Simplified Arabic" w:hAnsi="Simplified Arabic" w:cs="Simplified Arabic"/>
                <w:szCs w:val="22"/>
              </w:rPr>
              <w:t>decision</w:t>
            </w:r>
            <w:r w:rsidRPr="00DD1558">
              <w:rPr>
                <w:rFonts w:ascii="Simplified Arabic" w:hAnsi="Simplified Arabic" w:cs="Simplified Arabic"/>
                <w:szCs w:val="22"/>
              </w:rPr>
              <w:t xml:space="preserve"> rights; operating criteria discipline per ISO 14001:2015 clause 8.1 analogue (ISO, 2015).</w:t>
            </w:r>
          </w:p>
        </w:tc>
      </w:tr>
      <w:tr w:rsidR="00DD1558" w:rsidRPr="00DD1558" w14:paraId="56F16F0B" w14:textId="77777777" w:rsidTr="00C71E92">
        <w:tc>
          <w:tcPr>
            <w:tcW w:w="620" w:type="dxa"/>
          </w:tcPr>
          <w:p w14:paraId="48328EA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RR-08</w:t>
            </w:r>
          </w:p>
        </w:tc>
        <w:tc>
          <w:tcPr>
            <w:tcW w:w="2300" w:type="dxa"/>
          </w:tcPr>
          <w:p w14:paraId="56978FE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FEFO drift.</w:t>
            </w:r>
            <w:r w:rsidRPr="00DD1558">
              <w:rPr>
                <w:rFonts w:ascii="Simplified Arabic" w:hAnsi="Simplified Arabic" w:cs="Simplified Arabic"/>
                <w:szCs w:val="22"/>
              </w:rPr>
              <w:t xml:space="preserve"> Date-ordered rotation erodes into convenience picking, so earliest-expiring stock remains on shelves and the expiry pathway (T2 </w:t>
            </w:r>
            <w:r w:rsidRPr="00DD1558">
              <w:rPr>
                <w:rFonts w:ascii="Times New Roman" w:hAnsi="Times New Roman" w:cs="Times New Roman"/>
                <w:szCs w:val="22"/>
              </w:rPr>
              <w:t>→</w:t>
            </w:r>
            <w:r w:rsidRPr="00DD1558">
              <w:rPr>
                <w:rFonts w:ascii="Simplified Arabic" w:hAnsi="Simplified Arabic" w:cs="Simplified Arabic"/>
                <w:szCs w:val="22"/>
              </w:rPr>
              <w:t xml:space="preserve"> TE1) reopens </w:t>
            </w:r>
            <w:r w:rsidRPr="00DD1558">
              <w:rPr>
                <w:rFonts w:ascii="Simplified Arabic" w:hAnsi="Simplified Arabic" w:cs="Simplified Arabic"/>
                <w:szCs w:val="22"/>
              </w:rPr>
              <w:lastRenderedPageBreak/>
              <w:t>despite the standard’s existence.</w:t>
            </w:r>
          </w:p>
        </w:tc>
        <w:tc>
          <w:tcPr>
            <w:tcW w:w="767" w:type="dxa"/>
          </w:tcPr>
          <w:p w14:paraId="0F789F0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F</w:t>
            </w:r>
          </w:p>
        </w:tc>
        <w:tc>
          <w:tcPr>
            <w:tcW w:w="1177" w:type="dxa"/>
          </w:tcPr>
          <w:p w14:paraId="217ACBE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MB1 (degraded by EF1)</w:t>
            </w:r>
          </w:p>
        </w:tc>
        <w:tc>
          <w:tcPr>
            <w:tcW w:w="961" w:type="dxa"/>
          </w:tcPr>
          <w:p w14:paraId="7EEC50E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Technicians (execution-level owner; accountability rests with the custodia</w:t>
            </w:r>
            <w:r w:rsidRPr="00DD1558">
              <w:rPr>
                <w:rFonts w:ascii="Simplified Arabic" w:hAnsi="Simplified Arabic" w:cs="Simplified Arabic"/>
                <w:szCs w:val="22"/>
              </w:rPr>
              <w:lastRenderedPageBreak/>
              <w:t>n supervisor)</w:t>
            </w:r>
          </w:p>
        </w:tc>
        <w:tc>
          <w:tcPr>
            <w:tcW w:w="2014" w:type="dxa"/>
          </w:tcPr>
          <w:p w14:paraId="4AE78EE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lastRenderedPageBreak/>
              <w:t>High</w:t>
            </w:r>
            <w:r w:rsidRPr="00DD1558">
              <w:rPr>
                <w:rFonts w:ascii="Simplified Arabic" w:hAnsi="Simplified Arabic" w:cs="Simplified Arabic"/>
                <w:szCs w:val="22"/>
              </w:rPr>
              <w:t xml:space="preserve"> — the barrier lives or fails at the shelf; drift is silent until expiry surfaces.</w:t>
            </w:r>
          </w:p>
        </w:tc>
        <w:tc>
          <w:tcPr>
            <w:tcW w:w="2416" w:type="dxa"/>
          </w:tcPr>
          <w:p w14:paraId="3062BCCA"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Committee FEFO standard with labeling, date-marking, and expiry-flagging thresholds; technician escalation duty at defined thresholds; custodian supervisor accountability with EB1 audit of rotation </w:t>
            </w:r>
            <w:r w:rsidRPr="00DD1558">
              <w:rPr>
                <w:rFonts w:ascii="Simplified Arabic" w:hAnsi="Simplified Arabic" w:cs="Simplified Arabic"/>
                <w:szCs w:val="22"/>
              </w:rPr>
              <w:lastRenderedPageBreak/>
              <w:t>practice; competence maintenance per ISO 14001:2015 clause 7.2 (ISO, 2015; Durgan et al., 2023).</w:t>
            </w:r>
          </w:p>
        </w:tc>
      </w:tr>
      <w:tr w:rsidR="00DD1558" w:rsidRPr="00DD1558" w14:paraId="44F35CCC" w14:textId="77777777" w:rsidTr="00C71E92">
        <w:tc>
          <w:tcPr>
            <w:tcW w:w="620" w:type="dxa"/>
          </w:tcPr>
          <w:p w14:paraId="073DD4C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RR-09</w:t>
            </w:r>
          </w:p>
        </w:tc>
        <w:tc>
          <w:tcPr>
            <w:tcW w:w="2300" w:type="dxa"/>
          </w:tcPr>
          <w:p w14:paraId="6A18EA0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Registry data decay.</w:t>
            </w:r>
            <w:r w:rsidRPr="00DD1558">
              <w:rPr>
                <w:rFonts w:ascii="Simplified Arabic" w:hAnsi="Simplified Arabic" w:cs="Simplified Arabic"/>
                <w:szCs w:val="22"/>
              </w:rPr>
              <w:t xml:space="preserve"> Entries lag events, records go stale, and the registry’s picture of holdings diverges from physical stock, blinding PB1, PB2, and MB2 simultaneously (EF2).</w:t>
            </w:r>
          </w:p>
        </w:tc>
        <w:tc>
          <w:tcPr>
            <w:tcW w:w="767" w:type="dxa"/>
          </w:tcPr>
          <w:p w14:paraId="58D7D60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6B3BAF0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(degrading PB1, PB2, MB2)</w:t>
            </w:r>
          </w:p>
        </w:tc>
        <w:tc>
          <w:tcPr>
            <w:tcW w:w="961" w:type="dxa"/>
          </w:tcPr>
          <w:p w14:paraId="6BB7690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Unit</w:t>
            </w:r>
          </w:p>
        </w:tc>
        <w:tc>
          <w:tcPr>
            <w:tcW w:w="2014" w:type="dxa"/>
          </w:tcPr>
          <w:p w14:paraId="764418C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High</w:t>
            </w:r>
            <w:r w:rsidRPr="00DD1558">
              <w:rPr>
                <w:rFonts w:ascii="Simplified Arabic" w:hAnsi="Simplified Arabic" w:cs="Simplified Arabic"/>
                <w:szCs w:val="22"/>
              </w:rPr>
              <w:t xml:space="preserve"> — data decay is the single escalation factor that degrades three barriers at once.</w:t>
            </w:r>
          </w:p>
        </w:tc>
        <w:tc>
          <w:tcPr>
            <w:tcW w:w="2416" w:type="dxa"/>
          </w:tcPr>
          <w:p w14:paraId="2D76E31B" w14:textId="5160E766"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EB2 data-quality indicators monitored continuously by the Unit; technician entry discipline as barrier work (</w:t>
            </w:r>
            <w:hyperlink w:anchor="section415" w:history="1">
              <w:r w:rsidR="002C0C03" w:rsidRPr="0093358C">
                <w:rPr>
                  <w:rStyle w:val="Hyperlink"/>
                  <w:rFonts w:ascii="Simplified Arabic" w:hAnsi="Simplified Arabic" w:cs="Simplified Arabic"/>
                  <w:szCs w:val="22"/>
                </w:rPr>
                <w:t>Section 4.1.5</w:t>
              </w:r>
            </w:hyperlink>
            <w:r w:rsidRPr="00DD1558">
              <w:rPr>
                <w:rFonts w:ascii="Simplified Arabic" w:hAnsi="Simplified Arabic" w:cs="Simplified Arabic"/>
                <w:szCs w:val="22"/>
              </w:rPr>
              <w:t>); Unit reporting of data-quality trends to the Board’s termly review; nonconformity-and-corrective-action loop per the ISO clause 10 analogue (ISO, 2015; ISO, 2019).</w:t>
            </w:r>
          </w:p>
        </w:tc>
      </w:tr>
      <w:tr w:rsidR="00DD1558" w:rsidRPr="00DD1558" w14:paraId="250034A0" w14:textId="77777777" w:rsidTr="00C71E92">
        <w:tc>
          <w:tcPr>
            <w:tcW w:w="620" w:type="dxa"/>
          </w:tcPr>
          <w:p w14:paraId="473BDDB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RR-10</w:t>
            </w:r>
          </w:p>
        </w:tc>
        <w:tc>
          <w:tcPr>
            <w:tcW w:w="2300" w:type="dxa"/>
          </w:tcPr>
          <w:p w14:paraId="5EB5ACF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Loan integrity failure — damage, loss, or overdue return.</w:t>
            </w:r>
            <w:r w:rsidRPr="00DD1558">
              <w:rPr>
                <w:rFonts w:ascii="Simplified Arabic" w:hAnsi="Simplified Arabic" w:cs="Simplified Arabic"/>
                <w:szCs w:val="22"/>
              </w:rPr>
              <w:t xml:space="preserve"> Loaned items return damaged, are lost in transit, or are held beyond term, imposing remediation </w:t>
            </w:r>
            <w:r w:rsidRPr="00DD1558">
              <w:rPr>
                <w:rFonts w:ascii="Simplified Arabic" w:hAnsi="Simplified Arabic" w:cs="Simplified Arabic"/>
                <w:szCs w:val="22"/>
              </w:rPr>
              <w:lastRenderedPageBreak/>
              <w:t>burdens and deterring future lending; traceable to the free-riding and responsibility-ambiguity failure modes of sharing arrangements (Wang &amp; Qu, 2025).</w:t>
            </w:r>
          </w:p>
        </w:tc>
        <w:tc>
          <w:tcPr>
            <w:tcW w:w="767" w:type="dxa"/>
          </w:tcPr>
          <w:p w14:paraId="7ABA5B3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F</w:t>
            </w:r>
          </w:p>
        </w:tc>
        <w:tc>
          <w:tcPr>
            <w:tcW w:w="1177" w:type="dxa"/>
          </w:tcPr>
          <w:p w14:paraId="5A4B6AF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MB2 (with EB3 as evidentiary control)</w:t>
            </w:r>
          </w:p>
        </w:tc>
        <w:tc>
          <w:tcPr>
            <w:tcW w:w="961" w:type="dxa"/>
          </w:tcPr>
          <w:p w14:paraId="1A53289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Custodian Department (technicians execute records </w:t>
            </w:r>
            <w:r w:rsidRPr="00DD1558">
              <w:rPr>
                <w:rFonts w:ascii="Simplified Arabic" w:hAnsi="Simplified Arabic" w:cs="Simplified Arabic"/>
                <w:szCs w:val="22"/>
              </w:rPr>
              <w:lastRenderedPageBreak/>
              <w:t>and flag exceptions)</w:t>
            </w:r>
          </w:p>
        </w:tc>
        <w:tc>
          <w:tcPr>
            <w:tcW w:w="2014" w:type="dxa"/>
          </w:tcPr>
          <w:p w14:paraId="034854A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lastRenderedPageBreak/>
              <w:t>Moderate</w:t>
            </w:r>
            <w:r w:rsidRPr="00DD1558">
              <w:rPr>
                <w:rFonts w:ascii="Simplified Arabic" w:hAnsi="Simplified Arabic" w:cs="Simplified Arabic"/>
                <w:szCs w:val="22"/>
              </w:rPr>
              <w:t xml:space="preserve"> — individual events are bounded, but recurrence would erode the trust on which MB2 depends.</w:t>
            </w:r>
          </w:p>
        </w:tc>
        <w:tc>
          <w:tcPr>
            <w:tcW w:w="2416" w:type="dxa"/>
          </w:tcPr>
          <w:p w14:paraId="08E3C4C3" w14:textId="16DAEE85"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Inter-Lab Policy Framework risk controls: damage/loss liability principle with chain-of-custody log as evidence; loan limits; recall rights; returned-damaged </w:t>
            </w:r>
            <w:r w:rsidRPr="00DD1558">
              <w:rPr>
                <w:rFonts w:ascii="Simplified Arabic" w:hAnsi="Simplified Arabic" w:cs="Simplified Arabic"/>
                <w:szCs w:val="22"/>
              </w:rPr>
              <w:lastRenderedPageBreak/>
              <w:t>exception state triggering escalation rather than informal settlement; aggregate damage and overdue records to the Board’s termly review (</w:t>
            </w:r>
            <w:hyperlink w:anchor="Section416" w:history="1">
              <w:r w:rsidR="002C0C03" w:rsidRPr="0093358C">
                <w:rPr>
                  <w:rStyle w:val="Hyperlink"/>
                  <w:rFonts w:ascii="Simplified Arabic" w:hAnsi="Simplified Arabic" w:cs="Simplified Arabic"/>
                  <w:szCs w:val="22"/>
                </w:rPr>
                <w:t>Section 4.1.6</w:t>
              </w:r>
            </w:hyperlink>
            <w:r w:rsidR="002C0C03" w:rsidRPr="002C0C03">
              <w:rPr>
                <w:rFonts w:ascii="Simplified Arabic" w:hAnsi="Simplified Arabic" w:cs="Simplified Arabic"/>
                <w:szCs w:val="22"/>
              </w:rPr>
              <w:t xml:space="preserve"> </w:t>
            </w:r>
            <w:r w:rsidRPr="00DD1558">
              <w:rPr>
                <w:rFonts w:ascii="Simplified Arabic" w:hAnsi="Simplified Arabic" w:cs="Simplified Arabic"/>
                <w:szCs w:val="22"/>
              </w:rPr>
              <w:t>(e); Wang &amp; Qu, 2025).</w:t>
            </w:r>
          </w:p>
        </w:tc>
      </w:tr>
      <w:tr w:rsidR="00DD1558" w:rsidRPr="00DD1558" w14:paraId="07A1F76E" w14:textId="77777777" w:rsidTr="00C71E92">
        <w:tc>
          <w:tcPr>
            <w:tcW w:w="620" w:type="dxa"/>
          </w:tcPr>
          <w:p w14:paraId="13EFA90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RR-11</w:t>
            </w:r>
          </w:p>
        </w:tc>
        <w:tc>
          <w:tcPr>
            <w:tcW w:w="2300" w:type="dxa"/>
          </w:tcPr>
          <w:p w14:paraId="6C34EE29"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Custodian recall conflicts.</w:t>
            </w:r>
            <w:r w:rsidRPr="00DD1558">
              <w:rPr>
                <w:rFonts w:ascii="Simplified Arabic" w:hAnsi="Simplified Arabic" w:cs="Simplified Arabic"/>
                <w:szCs w:val="22"/>
              </w:rPr>
              <w:t xml:space="preserve"> A custodian exercises its recall right while a borrower’s scheduled teaching depends on the loaned item, transferring disruption rather than relieving it.</w:t>
            </w:r>
          </w:p>
        </w:tc>
        <w:tc>
          <w:tcPr>
            <w:tcW w:w="767" w:type="dxa"/>
          </w:tcPr>
          <w:p w14:paraId="45A1975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w:t>
            </w:r>
          </w:p>
        </w:tc>
        <w:tc>
          <w:tcPr>
            <w:tcW w:w="1177" w:type="dxa"/>
          </w:tcPr>
          <w:p w14:paraId="6336B66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MB2 (recall-right control)</w:t>
            </w:r>
          </w:p>
        </w:tc>
        <w:tc>
          <w:tcPr>
            <w:tcW w:w="961" w:type="dxa"/>
          </w:tcPr>
          <w:p w14:paraId="450034D5"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 (adjudication of cross-departmental conflicts)</w:t>
            </w:r>
          </w:p>
        </w:tc>
        <w:tc>
          <w:tcPr>
            <w:tcW w:w="2014" w:type="dxa"/>
          </w:tcPr>
          <w:p w14:paraId="33F797B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infrequent by design but consequential for C3 when it occurs, since teaching is semester-locked.</w:t>
            </w:r>
          </w:p>
        </w:tc>
        <w:tc>
          <w:tcPr>
            <w:tcW w:w="2416" w:type="dxa"/>
          </w:tcPr>
          <w:p w14:paraId="3C82F94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Policy sequencing: custodian recall rights are absolute for scheduled teaching (ISO 22301:2019 priority of prioritized activities; ISO, 2019, clause 8.3); loan durations set against published teaching calendars at approval; conflicts escalate to the Board, whose adjudication precedent is logged to refine loan-term rules.</w:t>
            </w:r>
          </w:p>
        </w:tc>
      </w:tr>
      <w:tr w:rsidR="00DD1558" w:rsidRPr="00DD1558" w14:paraId="39496E6F" w14:textId="77777777" w:rsidTr="00C71E92">
        <w:tc>
          <w:tcPr>
            <w:tcW w:w="620" w:type="dxa"/>
          </w:tcPr>
          <w:p w14:paraId="6B9DFA3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RR-12</w:t>
            </w:r>
          </w:p>
        </w:tc>
        <w:tc>
          <w:tcPr>
            <w:tcW w:w="2300" w:type="dxa"/>
          </w:tcPr>
          <w:p w14:paraId="2696211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Expiry clusters.</w:t>
            </w:r>
            <w:r w:rsidRPr="00DD1558">
              <w:rPr>
                <w:rFonts w:ascii="Simplified Arabic" w:hAnsi="Simplified Arabic" w:cs="Simplified Arabic"/>
                <w:szCs w:val="22"/>
              </w:rPr>
              <w:t xml:space="preserve"> Multiple chemical </w:t>
            </w:r>
            <w:r w:rsidRPr="00DD1558">
              <w:rPr>
                <w:rFonts w:ascii="Simplified Arabic" w:hAnsi="Simplified Arabic" w:cs="Simplified Arabic"/>
                <w:szCs w:val="22"/>
              </w:rPr>
              <w:lastRenderedPageBreak/>
              <w:t>stocks approach expiry simultaneously — for example after a bulk purchase or semester-end course completions — exceeding the redistribution mechanism’s absorptive capacity and forcing disposal of usable stock.</w:t>
            </w:r>
          </w:p>
        </w:tc>
        <w:tc>
          <w:tcPr>
            <w:tcW w:w="767" w:type="dxa"/>
          </w:tcPr>
          <w:p w14:paraId="687F95D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F</w:t>
            </w:r>
          </w:p>
        </w:tc>
        <w:tc>
          <w:tcPr>
            <w:tcW w:w="1177" w:type="dxa"/>
          </w:tcPr>
          <w:p w14:paraId="01A34A7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MB2 (capacity </w:t>
            </w:r>
            <w:r w:rsidRPr="00DD1558">
              <w:rPr>
                <w:rFonts w:ascii="Simplified Arabic" w:hAnsi="Simplified Arabic" w:cs="Simplified Arabic"/>
                <w:szCs w:val="22"/>
              </w:rPr>
              <w:lastRenderedPageBreak/>
              <w:t>exceeded; MB3 as fallback)</w:t>
            </w:r>
          </w:p>
        </w:tc>
        <w:tc>
          <w:tcPr>
            <w:tcW w:w="961" w:type="dxa"/>
          </w:tcPr>
          <w:p w14:paraId="706BB0E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Custodian </w:t>
            </w:r>
            <w:r w:rsidRPr="00DD1558">
              <w:rPr>
                <w:rFonts w:ascii="Simplified Arabic" w:hAnsi="Simplified Arabic" w:cs="Simplified Arabic"/>
                <w:szCs w:val="22"/>
              </w:rPr>
              <w:lastRenderedPageBreak/>
              <w:t>Department</w:t>
            </w:r>
          </w:p>
        </w:tc>
        <w:tc>
          <w:tcPr>
            <w:tcW w:w="2014" w:type="dxa"/>
          </w:tcPr>
          <w:p w14:paraId="6E6DB42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lastRenderedPageBreak/>
              <w:t>Moderate</w:t>
            </w:r>
            <w:r w:rsidRPr="00DD1558">
              <w:rPr>
                <w:rFonts w:ascii="Simplified Arabic" w:hAnsi="Simplified Arabic" w:cs="Simplified Arabic"/>
                <w:szCs w:val="22"/>
              </w:rPr>
              <w:t xml:space="preserve"> — partially self-</w:t>
            </w:r>
            <w:r w:rsidRPr="00DD1558">
              <w:rPr>
                <w:rFonts w:ascii="Simplified Arabic" w:hAnsi="Simplified Arabic" w:cs="Simplified Arabic"/>
                <w:szCs w:val="22"/>
              </w:rPr>
              <w:lastRenderedPageBreak/>
              <w:t>inflicted through procurement timing, hence controllable, but consequential for C1/C2 when realized.</w:t>
            </w:r>
          </w:p>
        </w:tc>
        <w:tc>
          <w:tcPr>
            <w:tcW w:w="2416" w:type="dxa"/>
          </w:tcPr>
          <w:p w14:paraId="01A530B0"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Technician expiry-flagging at threshold </w:t>
            </w:r>
            <w:r w:rsidRPr="00DD1558">
              <w:rPr>
                <w:rFonts w:ascii="Simplified Arabic" w:hAnsi="Simplified Arabic" w:cs="Simplified Arabic"/>
                <w:szCs w:val="22"/>
              </w:rPr>
              <w:lastRenderedPageBreak/>
              <w:t>(early-warning duty); Unit expiry-flag summaries give the Board forward visibility; MB2 redistribution prioritized for cluster items; PB3 joint/circular procurement rules reduce incoming volume bunching at source (Sönnichsen &amp; Clement, 2020; Freese et al., 2024).</w:t>
            </w:r>
          </w:p>
        </w:tc>
      </w:tr>
      <w:tr w:rsidR="00DD1558" w:rsidRPr="00DD1558" w14:paraId="6BCD5A53" w14:textId="77777777" w:rsidTr="00C71E92">
        <w:tc>
          <w:tcPr>
            <w:tcW w:w="620" w:type="dxa"/>
          </w:tcPr>
          <w:p w14:paraId="511E6F6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RR-13</w:t>
            </w:r>
          </w:p>
        </w:tc>
        <w:tc>
          <w:tcPr>
            <w:tcW w:w="2300" w:type="dxa"/>
          </w:tcPr>
          <w:p w14:paraId="17A4372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Disposal nonconformity.</w:t>
            </w:r>
            <w:r w:rsidRPr="00DD1558">
              <w:rPr>
                <w:rFonts w:ascii="Simplified Arabic" w:hAnsi="Simplified Arabic" w:cs="Simplified Arabic"/>
                <w:szCs w:val="22"/>
              </w:rPr>
              <w:t xml:space="preserve"> Expired or surplus chemicals enter disposal pathways outside the governed protocols — undocumented, mistimed, or routed through noncompliant channels — generating HSE exposure and </w:t>
            </w:r>
            <w:r w:rsidRPr="00DD1558">
              <w:rPr>
                <w:rFonts w:ascii="Simplified Arabic" w:hAnsi="Simplified Arabic" w:cs="Simplified Arabic"/>
                <w:szCs w:val="22"/>
              </w:rPr>
              <w:lastRenderedPageBreak/>
              <w:t>compliance-obligation breach.</w:t>
            </w:r>
          </w:p>
        </w:tc>
        <w:tc>
          <w:tcPr>
            <w:tcW w:w="767" w:type="dxa"/>
          </w:tcPr>
          <w:p w14:paraId="11E5B01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I</w:t>
            </w:r>
          </w:p>
        </w:tc>
        <w:tc>
          <w:tcPr>
            <w:tcW w:w="1177" w:type="dxa"/>
          </w:tcPr>
          <w:p w14:paraId="33A1F831"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MB3</w:t>
            </w:r>
          </w:p>
        </w:tc>
        <w:tc>
          <w:tcPr>
            <w:tcW w:w="961" w:type="dxa"/>
          </w:tcPr>
          <w:p w14:paraId="67BB375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Committee (with the college safety and compliance officer)</w:t>
            </w:r>
          </w:p>
        </w:tc>
        <w:tc>
          <w:tcPr>
            <w:tcW w:w="2014" w:type="dxa"/>
          </w:tcPr>
          <w:p w14:paraId="144789C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standing protocols exist, but disposal is episodic and easily bypassed under storage pressure.</w:t>
            </w:r>
          </w:p>
        </w:tc>
        <w:tc>
          <w:tcPr>
            <w:tcW w:w="2416" w:type="dxa"/>
          </w:tcPr>
          <w:p w14:paraId="177E855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MB3 governed disposal protocols with documented disposal records; redistribution-before-disposal rule (PB2 in its disposal-direction mode) checks live demand before any disposal; emergency-preparedness interface per ISO 14001:2015 clause 8.2 for </w:t>
            </w:r>
            <w:r w:rsidRPr="00DD1558">
              <w:rPr>
                <w:rFonts w:ascii="Simplified Arabic" w:hAnsi="Simplified Arabic" w:cs="Simplified Arabic"/>
                <w:szCs w:val="22"/>
              </w:rPr>
              <w:lastRenderedPageBreak/>
              <w:t>degraded-stock discovery; evaluation of compliance obligations per clause 9.1.2 (ISO, 2015).</w:t>
            </w:r>
          </w:p>
        </w:tc>
      </w:tr>
      <w:tr w:rsidR="00DD1558" w:rsidRPr="00DD1558" w14:paraId="335A82AB" w14:textId="77777777" w:rsidTr="00C71E92">
        <w:tc>
          <w:tcPr>
            <w:tcW w:w="620" w:type="dxa"/>
          </w:tcPr>
          <w:p w14:paraId="400F238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RR-14</w:t>
            </w:r>
          </w:p>
        </w:tc>
        <w:tc>
          <w:tcPr>
            <w:tcW w:w="2300" w:type="dxa"/>
          </w:tcPr>
          <w:p w14:paraId="1FD3CCBD"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Audit-finding recurrence.</w:t>
            </w:r>
            <w:r w:rsidRPr="00DD1558">
              <w:rPr>
                <w:rFonts w:ascii="Simplified Arabic" w:hAnsi="Simplified Arabic" w:cs="Simplified Arabic"/>
                <w:szCs w:val="22"/>
              </w:rPr>
              <w:t xml:space="preserve"> The same nonconformities reappear across successive audit cycles because corrective actions are assigned but not closed, converting EB1 from a control into a ritual.</w:t>
            </w:r>
          </w:p>
        </w:tc>
        <w:tc>
          <w:tcPr>
            <w:tcW w:w="767" w:type="dxa"/>
          </w:tcPr>
          <w:p w14:paraId="1B623372"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I</w:t>
            </w:r>
          </w:p>
        </w:tc>
        <w:tc>
          <w:tcPr>
            <w:tcW w:w="1177" w:type="dxa"/>
          </w:tcPr>
          <w:p w14:paraId="215C6C84"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EB1 (self-referential failure of the meta-control)</w:t>
            </w:r>
          </w:p>
        </w:tc>
        <w:tc>
          <w:tcPr>
            <w:tcW w:w="961" w:type="dxa"/>
          </w:tcPr>
          <w:p w14:paraId="71BBBE18"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Board</w:t>
            </w:r>
          </w:p>
        </w:tc>
        <w:tc>
          <w:tcPr>
            <w:tcW w:w="2014" w:type="dxa"/>
          </w:tcPr>
          <w:p w14:paraId="4A789D1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Moderate</w:t>
            </w:r>
            <w:r w:rsidRPr="00DD1558">
              <w:rPr>
                <w:rFonts w:ascii="Simplified Arabic" w:hAnsi="Simplified Arabic" w:cs="Simplified Arabic"/>
                <w:szCs w:val="22"/>
              </w:rPr>
              <w:t xml:space="preserve"> — indicates EF1 has colonized the enforcement layer itself; recoverable through the improvement loop if acted on.</w:t>
            </w:r>
          </w:p>
        </w:tc>
        <w:tc>
          <w:tcPr>
            <w:tcW w:w="2416" w:type="dxa"/>
          </w:tcPr>
          <w:p w14:paraId="1030989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Corrective-action tracking with named owners and closure evidence at each Board termly review, per the Annex SL clause 10 improvement logic (ISO, 2015; ISO, 2019); recurring findings escalated to the annual management review (clause 9.3 analogue); audit cadence adjusted toward repeat-finding domains.</w:t>
            </w:r>
          </w:p>
        </w:tc>
      </w:tr>
      <w:tr w:rsidR="00DD1558" w:rsidRPr="00DD1558" w14:paraId="6E21F1F5" w14:textId="77777777" w:rsidTr="00C71E92">
        <w:tc>
          <w:tcPr>
            <w:tcW w:w="620" w:type="dxa"/>
          </w:tcPr>
          <w:p w14:paraId="32539B3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RR-15</w:t>
            </w:r>
          </w:p>
        </w:tc>
        <w:tc>
          <w:tcPr>
            <w:tcW w:w="2300" w:type="dxa"/>
          </w:tcPr>
          <w:p w14:paraId="4C7720B7"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t>Premature digital platform investment.</w:t>
            </w:r>
            <w:r w:rsidRPr="00DD1558">
              <w:rPr>
                <w:rFonts w:ascii="Simplified Arabic" w:hAnsi="Simplified Arabic" w:cs="Simplified Arabic"/>
                <w:szCs w:val="22"/>
              </w:rPr>
              <w:t xml:space="preserve"> Pressure to acquire a smart-inventory platform (barcode/RFID) </w:t>
            </w:r>
            <w:r w:rsidRPr="00DD1558">
              <w:rPr>
                <w:rFonts w:ascii="Simplified Arabic" w:hAnsi="Simplified Arabic" w:cs="Simplified Arabic"/>
                <w:szCs w:val="22"/>
              </w:rPr>
              <w:lastRenderedPageBreak/>
              <w:t>before process standardization and role clarity are established, digitizing fragmentation and consuming budget without capability gain; traceable to the organization-before-technology finding of the digital-transformation literature (Rodríguez-Abitia &amp; Bribiesca-Correa, 2021; Bellantuono et al., 2021).</w:t>
            </w:r>
          </w:p>
        </w:tc>
        <w:tc>
          <w:tcPr>
            <w:tcW w:w="767" w:type="dxa"/>
          </w:tcPr>
          <w:p w14:paraId="112EF71B"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F</w:t>
            </w:r>
          </w:p>
        </w:tc>
        <w:tc>
          <w:tcPr>
            <w:tcW w:w="1177" w:type="dxa"/>
          </w:tcPr>
          <w:p w14:paraId="51CA8C7E"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(would bypass the Perform-band preconditi</w:t>
            </w:r>
            <w:r w:rsidRPr="00DD1558">
              <w:rPr>
                <w:rFonts w:ascii="Simplified Arabic" w:hAnsi="Simplified Arabic" w:cs="Simplified Arabic"/>
                <w:szCs w:val="22"/>
              </w:rPr>
              <w:lastRenderedPageBreak/>
              <w:t>on for platform value)</w:t>
            </w:r>
          </w:p>
        </w:tc>
        <w:tc>
          <w:tcPr>
            <w:tcW w:w="961" w:type="dxa"/>
          </w:tcPr>
          <w:p w14:paraId="627C94C3"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lastRenderedPageBreak/>
              <w:t xml:space="preserve">Board (gate authority); Unit (readiness </w:t>
            </w:r>
            <w:r w:rsidRPr="00DD1558">
              <w:rPr>
                <w:rFonts w:ascii="Simplified Arabic" w:hAnsi="Simplified Arabic" w:cs="Simplified Arabic"/>
                <w:szCs w:val="22"/>
              </w:rPr>
              <w:lastRenderedPageBreak/>
              <w:t>reporting)</w:t>
            </w:r>
          </w:p>
        </w:tc>
        <w:tc>
          <w:tcPr>
            <w:tcW w:w="2014" w:type="dxa"/>
          </w:tcPr>
          <w:p w14:paraId="6063F89F"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b/>
                <w:bCs/>
                <w:szCs w:val="22"/>
              </w:rPr>
              <w:lastRenderedPageBreak/>
              <w:t>Moderate</w:t>
            </w:r>
            <w:r w:rsidRPr="00DD1558">
              <w:rPr>
                <w:rFonts w:ascii="Simplified Arabic" w:hAnsi="Simplified Arabic" w:cs="Simplified Arabic"/>
                <w:szCs w:val="22"/>
              </w:rPr>
              <w:t xml:space="preserve"> — high fiscal consequence if realized, but structurally preventable by holding the gate.</w:t>
            </w:r>
          </w:p>
        </w:tc>
        <w:tc>
          <w:tcPr>
            <w:tcW w:w="2416" w:type="dxa"/>
          </w:tcPr>
          <w:p w14:paraId="7645C84C" w14:textId="77777777" w:rsidR="00DD1558" w:rsidRPr="00DD1558" w:rsidRDefault="00DD1558" w:rsidP="00DD1558">
            <w:pPr>
              <w:bidi w:val="0"/>
              <w:spacing w:after="0"/>
              <w:rPr>
                <w:rFonts w:ascii="Simplified Arabic" w:hAnsi="Simplified Arabic" w:cs="Simplified Arabic"/>
                <w:szCs w:val="22"/>
              </w:rPr>
            </w:pPr>
            <w:r w:rsidRPr="00DD1558">
              <w:rPr>
                <w:rFonts w:ascii="Simplified Arabic" w:hAnsi="Simplified Arabic" w:cs="Simplified Arabic"/>
                <w:szCs w:val="22"/>
              </w:rPr>
              <w:t xml:space="preserve">Readiness gate G4 (digital platform readiness) as a binding precondition: no platform procurement before </w:t>
            </w:r>
            <w:r w:rsidRPr="00DD1558">
              <w:rPr>
                <w:rFonts w:ascii="Simplified Arabic" w:hAnsi="Simplified Arabic" w:cs="Simplified Arabic"/>
                <w:szCs w:val="22"/>
              </w:rPr>
              <w:lastRenderedPageBreak/>
              <w:t>standardized processes, defined workflows, and role clarity are demonstrated; Unit maintains the requirements baseline so that when the gate opens, procurement targets organizational needs rather than vendor features (Carpitella &amp; Izquierdo, 2025).</w:t>
            </w:r>
          </w:p>
        </w:tc>
      </w:tr>
    </w:tbl>
    <w:p w14:paraId="274C4901" w14:textId="77777777" w:rsidR="00DD1558" w:rsidRDefault="00DD1558" w:rsidP="00DD1558">
      <w:pPr>
        <w:bidi w:val="0"/>
        <w:rPr>
          <w:rFonts w:ascii="Simplified Arabic" w:hAnsi="Simplified Arabic"/>
          <w:sz w:val="28"/>
        </w:rPr>
      </w:pPr>
    </w:p>
    <w:p w14:paraId="77CF1EA5" w14:textId="77777777" w:rsidR="002462E8" w:rsidRDefault="002462E8" w:rsidP="002462E8">
      <w:pPr>
        <w:bidi w:val="0"/>
        <w:rPr>
          <w:rFonts w:ascii="Simplified Arabic" w:hAnsi="Simplified Arabic"/>
          <w:sz w:val="28"/>
        </w:rPr>
      </w:pPr>
    </w:p>
    <w:p w14:paraId="41F86354" w14:textId="77777777" w:rsidR="002462E8" w:rsidRDefault="002462E8" w:rsidP="002462E8">
      <w:pPr>
        <w:bidi w:val="0"/>
        <w:rPr>
          <w:rFonts w:ascii="Simplified Arabic" w:hAnsi="Simplified Arabic"/>
          <w:sz w:val="28"/>
        </w:rPr>
      </w:pPr>
    </w:p>
    <w:p w14:paraId="2C4D0B4B" w14:textId="77777777" w:rsidR="002462E8" w:rsidRDefault="002462E8" w:rsidP="002462E8">
      <w:pPr>
        <w:bidi w:val="0"/>
        <w:rPr>
          <w:rFonts w:ascii="Simplified Arabic" w:hAnsi="Simplified Arabic"/>
          <w:sz w:val="28"/>
        </w:rPr>
      </w:pPr>
    </w:p>
    <w:p w14:paraId="1E4BBC3D" w14:textId="77777777" w:rsidR="002462E8" w:rsidRPr="00DD1558" w:rsidRDefault="002462E8" w:rsidP="002462E8">
      <w:pPr>
        <w:bidi w:val="0"/>
        <w:rPr>
          <w:rFonts w:ascii="Simplified Arabic" w:hAnsi="Simplified Arabic"/>
          <w:sz w:val="28"/>
        </w:rPr>
      </w:pPr>
    </w:p>
    <w:p w14:paraId="34996EBA" w14:textId="77777777" w:rsidR="00DD1558" w:rsidRPr="00DD1558" w:rsidRDefault="00DD1558" w:rsidP="00DD1558">
      <w:pPr>
        <w:keepNext/>
        <w:keepLines/>
        <w:bidi w:val="0"/>
        <w:spacing w:before="160" w:after="80"/>
        <w:outlineLvl w:val="1"/>
        <w:rPr>
          <w:rFonts w:ascii="Simplified Arabic" w:eastAsiaTheme="majorEastAsia" w:hAnsi="Simplified Arabic" w:cstheme="majorBidi"/>
          <w:b/>
          <w:sz w:val="28"/>
          <w:szCs w:val="32"/>
        </w:rPr>
      </w:pPr>
      <w:bookmarkStart w:id="206" w:name="_Toc237539796"/>
      <w:r w:rsidRPr="00DD1558">
        <w:rPr>
          <w:rFonts w:ascii="Simplified Arabic" w:eastAsiaTheme="majorEastAsia" w:hAnsi="Simplified Arabic" w:cstheme="majorBidi"/>
          <w:b/>
          <w:sz w:val="28"/>
          <w:szCs w:val="32"/>
        </w:rPr>
        <w:lastRenderedPageBreak/>
        <w:t>Appendix C</w:t>
      </w:r>
      <w:bookmarkEnd w:id="206"/>
    </w:p>
    <w:p w14:paraId="7D39945B" w14:textId="674475F3" w:rsidR="00DD1558" w:rsidRPr="00DD1558" w:rsidRDefault="00DD1558" w:rsidP="00DD1558">
      <w:pPr>
        <w:bidi w:val="0"/>
        <w:spacing w:before="180" w:line="240" w:lineRule="auto"/>
        <w:rPr>
          <w:rFonts w:ascii="Simplified Arabic" w:eastAsia="Times New Roman" w:hAnsi="Simplified Arabic" w:cs="Simplified Arabic"/>
          <w:color w:val="1A1A1A"/>
          <w:sz w:val="24"/>
          <w:szCs w:val="24"/>
          <w14:ligatures w14:val="none"/>
        </w:rPr>
      </w:pPr>
      <w:r w:rsidRPr="00DD1558">
        <w:rPr>
          <w:rFonts w:ascii="Simplified Arabic" w:eastAsia="Times New Roman" w:hAnsi="Simplified Arabic" w:cs="Simplified Arabic"/>
          <w:b/>
          <w:bCs/>
          <w:color w:val="1A1A1A"/>
          <w:sz w:val="24"/>
          <w:szCs w:val="24"/>
          <w14:ligatures w14:val="none"/>
        </w:rPr>
        <w:t xml:space="preserve">Table </w:t>
      </w:r>
      <w:r w:rsidR="009E3D5C">
        <w:rPr>
          <w:rFonts w:ascii="Simplified Arabic" w:eastAsia="Times New Roman" w:hAnsi="Simplified Arabic" w:cs="Simplified Arabic"/>
          <w:b/>
          <w:bCs/>
          <w:color w:val="1A1A1A"/>
          <w:sz w:val="24"/>
          <w:szCs w:val="24"/>
          <w14:ligatures w14:val="none"/>
        </w:rPr>
        <w:t>12</w:t>
      </w:r>
      <w:r w:rsidRPr="00DD1558">
        <w:rPr>
          <w:rFonts w:ascii="Simplified Arabic" w:eastAsia="Times New Roman" w:hAnsi="Simplified Arabic" w:cs="Simplified Arabic"/>
          <w:b/>
          <w:bCs/>
          <w:color w:val="1A1A1A"/>
          <w:sz w:val="24"/>
          <w:szCs w:val="24"/>
          <w14:ligatures w14:val="none"/>
        </w:rPr>
        <w:t>.</w:t>
      </w:r>
      <w:r w:rsidR="009E3D5C">
        <w:rPr>
          <w:rFonts w:ascii="Simplified Arabic" w:eastAsia="Times New Roman" w:hAnsi="Simplified Arabic" w:cs="Simplified Arabic"/>
          <w:b/>
          <w:bCs/>
          <w:color w:val="1A1A1A"/>
          <w:sz w:val="24"/>
          <w:szCs w:val="24"/>
          <w14:ligatures w14:val="none"/>
        </w:rPr>
        <w:t>4</w:t>
      </w:r>
      <w:r w:rsidRPr="00DD1558">
        <w:rPr>
          <w:rFonts w:ascii="Simplified Arabic" w:eastAsia="Times New Roman" w:hAnsi="Simplified Arabic" w:cs="Simplified Arabic"/>
          <w:b/>
          <w:bCs/>
          <w:color w:val="1A1A1A"/>
          <w:sz w:val="24"/>
          <w:szCs w:val="24"/>
          <w14:ligatures w14:val="none"/>
        </w:rPr>
        <w:t>.</w:t>
      </w:r>
      <w:r w:rsidRPr="00DD1558">
        <w:rPr>
          <w:rFonts w:ascii="Simplified Arabic" w:eastAsia="Times New Roman" w:hAnsi="Simplified Arabic" w:cs="Simplified Arabic"/>
          <w:color w:val="1A1A1A"/>
          <w:sz w:val="24"/>
          <w:szCs w:val="24"/>
          <w14:ligatures w14:val="none"/>
        </w:rPr>
        <w:t xml:space="preserve"> </w:t>
      </w:r>
      <w:r w:rsidRPr="00DD1558">
        <w:rPr>
          <w:rFonts w:ascii="Simplified Arabic" w:eastAsia="Times New Roman" w:hAnsi="Simplified Arabic" w:cs="Simplified Arabic"/>
          <w:i/>
          <w:iCs/>
          <w:color w:val="1A1A1A"/>
          <w:sz w:val="24"/>
          <w:szCs w:val="24"/>
          <w14:ligatures w14:val="none"/>
        </w:rPr>
        <w:t xml:space="preserve">Consolidated governance dashboard for the participatory inventory framework (directional targets: </w:t>
      </w:r>
      <w:r w:rsidRPr="00DD1558">
        <w:rPr>
          <w:rFonts w:ascii="Times New Roman" w:eastAsia="Times New Roman" w:hAnsi="Times New Roman" w:cs="Times New Roman"/>
          <w:i/>
          <w:iCs/>
          <w:color w:val="1A1A1A"/>
          <w:sz w:val="24"/>
          <w:szCs w:val="24"/>
          <w14:ligatures w14:val="none"/>
        </w:rPr>
        <w:t>↑</w:t>
      </w:r>
      <w:r w:rsidRPr="00DD1558">
        <w:rPr>
          <w:rFonts w:ascii="Simplified Arabic" w:eastAsia="Times New Roman" w:hAnsi="Simplified Arabic" w:cs="Simplified Arabic"/>
          <w:i/>
          <w:iCs/>
          <w:color w:val="1A1A1A"/>
          <w:sz w:val="24"/>
          <w:szCs w:val="24"/>
          <w14:ligatures w14:val="none"/>
        </w:rPr>
        <w:t xml:space="preserve"> increase; </w:t>
      </w:r>
      <w:r w:rsidRPr="00DD1558">
        <w:rPr>
          <w:rFonts w:ascii="Times New Roman" w:eastAsia="Times New Roman" w:hAnsi="Times New Roman" w:cs="Times New Roman"/>
          <w:i/>
          <w:iCs/>
          <w:color w:val="1A1A1A"/>
          <w:sz w:val="24"/>
          <w:szCs w:val="24"/>
          <w14:ligatures w14:val="none"/>
        </w:rPr>
        <w:t>↓</w:t>
      </w:r>
      <w:r w:rsidRPr="00DD1558">
        <w:rPr>
          <w:rFonts w:ascii="Simplified Arabic" w:eastAsia="Times New Roman" w:hAnsi="Simplified Arabic" w:cs="Simplified Arabic"/>
          <w:i/>
          <w:iCs/>
          <w:color w:val="1A1A1A"/>
          <w:sz w:val="24"/>
          <w:szCs w:val="24"/>
          <w14:ligatures w14:val="none"/>
        </w:rPr>
        <w:t xml:space="preserve"> decrease; E</w:t>
      </w:r>
      <w:r w:rsidRPr="00DD1558">
        <w:rPr>
          <w:rFonts w:ascii="Times New Roman" w:eastAsia="Times New Roman" w:hAnsi="Times New Roman" w:cs="Times New Roman"/>
          <w:i/>
          <w:iCs/>
          <w:color w:val="1A1A1A"/>
          <w:sz w:val="24"/>
          <w:szCs w:val="24"/>
          <w14:ligatures w14:val="none"/>
        </w:rPr>
        <w:t>→</w:t>
      </w:r>
      <w:r w:rsidRPr="00DD1558">
        <w:rPr>
          <w:rFonts w:ascii="Simplified Arabic" w:eastAsia="Times New Roman" w:hAnsi="Simplified Arabic" w:cs="Simplified Arabic"/>
          <w:i/>
          <w:iCs/>
          <w:color w:val="1A1A1A"/>
          <w:sz w:val="24"/>
          <w:szCs w:val="24"/>
          <w14:ligatures w14:val="none"/>
        </w:rPr>
        <w:t xml:space="preserve">I establish-then-improve; risk IDs per </w:t>
      </w:r>
      <w:hyperlink w:anchor="Table114" w:history="1">
        <w:r w:rsidRPr="009E3D5C">
          <w:rPr>
            <w:rStyle w:val="Hyperlink"/>
            <w:rFonts w:ascii="Simplified Arabic" w:eastAsia="Times New Roman" w:hAnsi="Simplified Arabic" w:cs="Simplified Arabic"/>
            <w:i/>
            <w:iCs/>
            <w:sz w:val="24"/>
            <w:szCs w:val="24"/>
            <w14:ligatures w14:val="none"/>
          </w:rPr>
          <w:t xml:space="preserve">Table </w:t>
        </w:r>
        <w:r w:rsidR="009E3D5C" w:rsidRPr="009E3D5C">
          <w:rPr>
            <w:rStyle w:val="Hyperlink"/>
            <w:rFonts w:ascii="Simplified Arabic" w:eastAsia="Times New Roman" w:hAnsi="Simplified Arabic" w:cs="Simplified Arabic"/>
            <w:i/>
            <w:iCs/>
            <w:sz w:val="24"/>
            <w:szCs w:val="24"/>
            <w14:ligatures w14:val="none"/>
          </w:rPr>
          <w:t>11</w:t>
        </w:r>
        <w:r w:rsidRPr="009E3D5C">
          <w:rPr>
            <w:rStyle w:val="Hyperlink"/>
            <w:rFonts w:ascii="Simplified Arabic" w:eastAsia="Times New Roman" w:hAnsi="Simplified Arabic" w:cs="Simplified Arabic"/>
            <w:i/>
            <w:iCs/>
            <w:sz w:val="24"/>
            <w:szCs w:val="24"/>
            <w14:ligatures w14:val="none"/>
          </w:rPr>
          <w:t>.</w:t>
        </w:r>
        <w:r w:rsidR="009E3D5C" w:rsidRPr="009E3D5C">
          <w:rPr>
            <w:rStyle w:val="Hyperlink"/>
            <w:rFonts w:ascii="Simplified Arabic" w:eastAsia="Times New Roman" w:hAnsi="Simplified Arabic" w:cs="Simplified Arabic"/>
            <w:i/>
            <w:iCs/>
            <w:sz w:val="24"/>
            <w:szCs w:val="24"/>
            <w14:ligatures w14:val="none"/>
          </w:rPr>
          <w:t>4</w:t>
        </w:r>
        <w:r w:rsidRPr="009E3D5C">
          <w:rPr>
            <w:rStyle w:val="Hyperlink"/>
            <w:rFonts w:ascii="Simplified Arabic" w:eastAsia="Times New Roman" w:hAnsi="Simplified Arabic" w:cs="Simplified Arabic"/>
            <w:i/>
            <w:iCs/>
            <w:sz w:val="24"/>
            <w:szCs w:val="24"/>
            <w14:ligatures w14:val="none"/>
          </w:rPr>
          <w:t>)</w:t>
        </w:r>
      </w:hyperlink>
    </w:p>
    <w:tbl>
      <w:tblPr>
        <w:tblStyle w:val="Table"/>
        <w:tblW w:w="5000" w:type="pct"/>
        <w:tblBorders>
          <w:top w:val="single" w:sz="12" w:space="0" w:color="44546A"/>
          <w:bottom w:val="single" w:sz="12" w:space="0" w:color="44546A"/>
        </w:tblBorders>
        <w:tblLayout w:type="fixed"/>
        <w:tblCellMar>
          <w:left w:w="60" w:type="dxa"/>
          <w:right w:w="60" w:type="dxa"/>
        </w:tblCellMar>
        <w:tblLook w:val="0020" w:firstRow="1" w:lastRow="0" w:firstColumn="0" w:lastColumn="0" w:noHBand="0" w:noVBand="0"/>
      </w:tblPr>
      <w:tblGrid>
        <w:gridCol w:w="719"/>
        <w:gridCol w:w="993"/>
        <w:gridCol w:w="1313"/>
        <w:gridCol w:w="1222"/>
        <w:gridCol w:w="1191"/>
        <w:gridCol w:w="1161"/>
        <w:gridCol w:w="1008"/>
        <w:gridCol w:w="1024"/>
        <w:gridCol w:w="810"/>
        <w:gridCol w:w="765"/>
      </w:tblGrid>
      <w:tr w:rsidR="00DD1558" w:rsidRPr="00DD1558" w14:paraId="48EC20D6"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900" w:type="dxa"/>
            <w:tcBorders>
              <w:bottom w:val="single" w:sz="8" w:space="0" w:color="44546A"/>
            </w:tcBorders>
            <w:vAlign w:val="top"/>
          </w:tcPr>
          <w:p w14:paraId="24FD6F8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KPI ID</w:t>
            </w:r>
          </w:p>
        </w:tc>
        <w:tc>
          <w:tcPr>
            <w:tcW w:w="1260" w:type="dxa"/>
            <w:tcBorders>
              <w:bottom w:val="single" w:sz="8" w:space="0" w:color="44546A"/>
            </w:tcBorders>
            <w:vAlign w:val="top"/>
          </w:tcPr>
          <w:p w14:paraId="29AB78D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Domain</w:t>
            </w:r>
          </w:p>
        </w:tc>
        <w:tc>
          <w:tcPr>
            <w:tcW w:w="1680" w:type="dxa"/>
            <w:tcBorders>
              <w:bottom w:val="single" w:sz="8" w:space="0" w:color="44546A"/>
            </w:tcBorders>
            <w:vAlign w:val="top"/>
          </w:tcPr>
          <w:p w14:paraId="3248775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Indicator</w:t>
            </w:r>
          </w:p>
        </w:tc>
        <w:tc>
          <w:tcPr>
            <w:tcW w:w="1560" w:type="dxa"/>
            <w:tcBorders>
              <w:bottom w:val="single" w:sz="8" w:space="0" w:color="44546A"/>
            </w:tcBorders>
            <w:vAlign w:val="top"/>
          </w:tcPr>
          <w:p w14:paraId="2116781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Measurement method</w:t>
            </w:r>
          </w:p>
        </w:tc>
        <w:tc>
          <w:tcPr>
            <w:tcW w:w="1520" w:type="dxa"/>
            <w:tcBorders>
              <w:bottom w:val="single" w:sz="8" w:space="0" w:color="44546A"/>
            </w:tcBorders>
            <w:vAlign w:val="top"/>
          </w:tcPr>
          <w:p w14:paraId="760A6C3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Data source</w:t>
            </w:r>
          </w:p>
        </w:tc>
        <w:tc>
          <w:tcPr>
            <w:tcW w:w="1480" w:type="dxa"/>
            <w:tcBorders>
              <w:bottom w:val="single" w:sz="8" w:space="0" w:color="44546A"/>
            </w:tcBorders>
            <w:vAlign w:val="top"/>
          </w:tcPr>
          <w:p w14:paraId="08E5591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Owner</w:t>
            </w:r>
          </w:p>
        </w:tc>
        <w:tc>
          <w:tcPr>
            <w:tcW w:w="1280" w:type="dxa"/>
            <w:tcBorders>
              <w:bottom w:val="single" w:sz="8" w:space="0" w:color="44546A"/>
            </w:tcBorders>
            <w:vAlign w:val="top"/>
          </w:tcPr>
          <w:p w14:paraId="619861C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Frequency</w:t>
            </w:r>
          </w:p>
        </w:tc>
        <w:tc>
          <w:tcPr>
            <w:tcW w:w="1300" w:type="dxa"/>
            <w:tcBorders>
              <w:bottom w:val="single" w:sz="8" w:space="0" w:color="44546A"/>
            </w:tcBorders>
            <w:vAlign w:val="top"/>
          </w:tcPr>
          <w:p w14:paraId="2DEB407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Directional target</w:t>
            </w:r>
          </w:p>
        </w:tc>
        <w:tc>
          <w:tcPr>
            <w:tcW w:w="1020" w:type="dxa"/>
            <w:tcBorders>
              <w:bottom w:val="single" w:sz="8" w:space="0" w:color="44546A"/>
            </w:tcBorders>
            <w:vAlign w:val="top"/>
          </w:tcPr>
          <w:p w14:paraId="3515122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Linked barrier</w:t>
            </w:r>
          </w:p>
        </w:tc>
        <w:tc>
          <w:tcPr>
            <w:tcW w:w="960" w:type="dxa"/>
            <w:tcBorders>
              <w:bottom w:val="single" w:sz="8" w:space="0" w:color="44546A"/>
            </w:tcBorders>
            <w:vAlign w:val="top"/>
          </w:tcPr>
          <w:p w14:paraId="04659AB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b/>
                <w:sz w:val="20"/>
                <w:szCs w:val="20"/>
              </w:rPr>
              <w:t>Linked risk IDs</w:t>
            </w:r>
          </w:p>
        </w:tc>
      </w:tr>
      <w:tr w:rsidR="00DD1558" w:rsidRPr="00DD1558" w14:paraId="12219BCB" w14:textId="77777777" w:rsidTr="00C71E92">
        <w:tc>
          <w:tcPr>
            <w:tcW w:w="900" w:type="dxa"/>
          </w:tcPr>
          <w:p w14:paraId="25B495D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KPI-O1</w:t>
            </w:r>
          </w:p>
        </w:tc>
        <w:tc>
          <w:tcPr>
            <w:tcW w:w="1260" w:type="dxa"/>
          </w:tcPr>
          <w:p w14:paraId="1BE5731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4C7CD0E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Shared asset utilization</w:t>
            </w:r>
          </w:p>
        </w:tc>
        <w:tc>
          <w:tcPr>
            <w:tcW w:w="1560" w:type="dxa"/>
          </w:tcPr>
          <w:p w14:paraId="6B66494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Qualitative reading of cross-lab loan events against custodian holdings</w:t>
            </w:r>
          </w:p>
        </w:tc>
        <w:tc>
          <w:tcPr>
            <w:tcW w:w="1520" w:type="dxa"/>
          </w:tcPr>
          <w:p w14:paraId="4E1677E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shared registry (loan audit trail)</w:t>
            </w:r>
          </w:p>
        </w:tc>
        <w:tc>
          <w:tcPr>
            <w:tcW w:w="1480" w:type="dxa"/>
          </w:tcPr>
          <w:p w14:paraId="4F0268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(compiles); Board (reviews)</w:t>
            </w:r>
          </w:p>
        </w:tc>
        <w:tc>
          <w:tcPr>
            <w:tcW w:w="1280" w:type="dxa"/>
          </w:tcPr>
          <w:p w14:paraId="2A618EF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7BB6261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15E03F7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MB2</w:t>
            </w:r>
          </w:p>
        </w:tc>
        <w:tc>
          <w:tcPr>
            <w:tcW w:w="960" w:type="dxa"/>
          </w:tcPr>
          <w:p w14:paraId="56EE618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RR-10, RR-11</w:t>
            </w:r>
          </w:p>
        </w:tc>
      </w:tr>
      <w:tr w:rsidR="00DD1558" w:rsidRPr="00DD1558" w14:paraId="0D9A5A9A" w14:textId="77777777" w:rsidTr="00C71E92">
        <w:tc>
          <w:tcPr>
            <w:tcW w:w="900" w:type="dxa"/>
          </w:tcPr>
          <w:p w14:paraId="2E62835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KPI-O2</w:t>
            </w:r>
          </w:p>
        </w:tc>
        <w:tc>
          <w:tcPr>
            <w:tcW w:w="1260" w:type="dxa"/>
          </w:tcPr>
          <w:p w14:paraId="1455EDE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3F94D1C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Inter-lab loan cycle time</w:t>
            </w:r>
          </w:p>
        </w:tc>
        <w:tc>
          <w:tcPr>
            <w:tcW w:w="1560" w:type="dxa"/>
          </w:tcPr>
          <w:p w14:paraId="4B4143E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Trend reading of workflow timestamps (request-to-approval; handover-to-return)</w:t>
            </w:r>
          </w:p>
        </w:tc>
        <w:tc>
          <w:tcPr>
            <w:tcW w:w="1520" w:type="dxa"/>
          </w:tcPr>
          <w:p w14:paraId="21D6784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workflow logs</w:t>
            </w:r>
          </w:p>
        </w:tc>
        <w:tc>
          <w:tcPr>
            <w:tcW w:w="1480" w:type="dxa"/>
          </w:tcPr>
          <w:p w14:paraId="3BD18F6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(compiles); Custodian Dept (responds)</w:t>
            </w:r>
          </w:p>
        </w:tc>
        <w:tc>
          <w:tcPr>
            <w:tcW w:w="1280" w:type="dxa"/>
          </w:tcPr>
          <w:p w14:paraId="7176C75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74CB4B6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3618516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EB3</w:t>
            </w:r>
          </w:p>
        </w:tc>
        <w:tc>
          <w:tcPr>
            <w:tcW w:w="960" w:type="dxa"/>
          </w:tcPr>
          <w:p w14:paraId="5DF7FC6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RR-06, RR-10</w:t>
            </w:r>
          </w:p>
        </w:tc>
      </w:tr>
      <w:tr w:rsidR="00DD1558" w:rsidRPr="00DD1558" w14:paraId="62FCE32C" w14:textId="77777777" w:rsidTr="00C71E92">
        <w:tc>
          <w:tcPr>
            <w:tcW w:w="900" w:type="dxa"/>
          </w:tcPr>
          <w:p w14:paraId="75928A5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KPI-O3</w:t>
            </w:r>
          </w:p>
        </w:tc>
        <w:tc>
          <w:tcPr>
            <w:tcW w:w="1260" w:type="dxa"/>
          </w:tcPr>
          <w:p w14:paraId="11D298A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573819F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FEFO conformity rate</w:t>
            </w:r>
          </w:p>
        </w:tc>
        <w:tc>
          <w:tcPr>
            <w:tcW w:w="1560" w:type="dxa"/>
          </w:tcPr>
          <w:p w14:paraId="1E48C88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Structured shelf-audit observation against the FEFO standard checklist</w:t>
            </w:r>
          </w:p>
        </w:tc>
        <w:tc>
          <w:tcPr>
            <w:tcW w:w="1520" w:type="dxa"/>
          </w:tcPr>
          <w:p w14:paraId="6942054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Shelf-audit records; expiry-flag entries</w:t>
            </w:r>
          </w:p>
        </w:tc>
        <w:tc>
          <w:tcPr>
            <w:tcW w:w="1480" w:type="dxa"/>
          </w:tcPr>
          <w:p w14:paraId="24D0BED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Board via EB1</w:t>
            </w:r>
          </w:p>
        </w:tc>
        <w:tc>
          <w:tcPr>
            <w:tcW w:w="1280" w:type="dxa"/>
          </w:tcPr>
          <w:p w14:paraId="773646B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w:t>
            </w:r>
          </w:p>
        </w:tc>
        <w:tc>
          <w:tcPr>
            <w:tcW w:w="1300" w:type="dxa"/>
          </w:tcPr>
          <w:p w14:paraId="78431FE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422B1FC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w:t>
            </w:r>
          </w:p>
        </w:tc>
        <w:tc>
          <w:tcPr>
            <w:tcW w:w="960" w:type="dxa"/>
          </w:tcPr>
          <w:p w14:paraId="0B7001A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RR-08, RR-12</w:t>
            </w:r>
          </w:p>
        </w:tc>
      </w:tr>
      <w:tr w:rsidR="00DD1558" w:rsidRPr="00DD1558" w14:paraId="60AA4D9E" w14:textId="77777777" w:rsidTr="00C71E92">
        <w:tc>
          <w:tcPr>
            <w:tcW w:w="900" w:type="dxa"/>
          </w:tcPr>
          <w:p w14:paraId="1AA3F7F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KPI-O4</w:t>
            </w:r>
          </w:p>
        </w:tc>
        <w:tc>
          <w:tcPr>
            <w:tcW w:w="1260" w:type="dxa"/>
          </w:tcPr>
          <w:p w14:paraId="1F6C5E3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Operational</w:t>
            </w:r>
          </w:p>
        </w:tc>
        <w:tc>
          <w:tcPr>
            <w:tcW w:w="1680" w:type="dxa"/>
          </w:tcPr>
          <w:p w14:paraId="1B66AF7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Duplicate-purchase displacement</w:t>
            </w:r>
          </w:p>
        </w:tc>
        <w:tc>
          <w:tcPr>
            <w:tcW w:w="1560" w:type="dxa"/>
          </w:tcPr>
          <w:p w14:paraId="4D65E8A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Review of eligibility-check outcomes (proceed vs. displaced)</w:t>
            </w:r>
          </w:p>
        </w:tc>
        <w:tc>
          <w:tcPr>
            <w:tcW w:w="1520" w:type="dxa"/>
          </w:tcPr>
          <w:p w14:paraId="599C387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 eligibility-check records</w:t>
            </w:r>
          </w:p>
        </w:tc>
        <w:tc>
          <w:tcPr>
            <w:tcW w:w="1480" w:type="dxa"/>
          </w:tcPr>
          <w:p w14:paraId="59303F7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(certifies/compiles); Board</w:t>
            </w:r>
          </w:p>
        </w:tc>
        <w:tc>
          <w:tcPr>
            <w:tcW w:w="1280" w:type="dxa"/>
          </w:tcPr>
          <w:p w14:paraId="2AFED40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0D19D62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333A8C4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w:t>
            </w:r>
          </w:p>
        </w:tc>
        <w:tc>
          <w:tcPr>
            <w:tcW w:w="960" w:type="dxa"/>
          </w:tcPr>
          <w:p w14:paraId="6824A3B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RR-07</w:t>
            </w:r>
          </w:p>
        </w:tc>
      </w:tr>
      <w:tr w:rsidR="00DD1558" w:rsidRPr="00DD1558" w14:paraId="4F406442" w14:textId="77777777" w:rsidTr="00C71E92">
        <w:tc>
          <w:tcPr>
            <w:tcW w:w="900" w:type="dxa"/>
          </w:tcPr>
          <w:p w14:paraId="00709CF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KPI-E1</w:t>
            </w:r>
          </w:p>
        </w:tc>
        <w:tc>
          <w:tcPr>
            <w:tcW w:w="1260" w:type="dxa"/>
          </w:tcPr>
          <w:p w14:paraId="7B41644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16B1B1E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Hazardous waste reduction</w:t>
            </w:r>
          </w:p>
        </w:tc>
        <w:tc>
          <w:tcPr>
            <w:tcW w:w="1560" w:type="dxa"/>
          </w:tcPr>
          <w:p w14:paraId="3A026DF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Qualitative trend of governed disposal manifests with composition commentary</w:t>
            </w:r>
          </w:p>
        </w:tc>
        <w:tc>
          <w:tcPr>
            <w:tcW w:w="1520" w:type="dxa"/>
          </w:tcPr>
          <w:p w14:paraId="0A426DE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 disposal manifests</w:t>
            </w:r>
          </w:p>
        </w:tc>
        <w:tc>
          <w:tcPr>
            <w:tcW w:w="1480" w:type="dxa"/>
          </w:tcPr>
          <w:p w14:paraId="317F45C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Committee (safety interface); Board</w:t>
            </w:r>
          </w:p>
        </w:tc>
        <w:tc>
          <w:tcPr>
            <w:tcW w:w="1280" w:type="dxa"/>
          </w:tcPr>
          <w:p w14:paraId="7AA5D89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consolidation</w:t>
            </w:r>
          </w:p>
        </w:tc>
        <w:tc>
          <w:tcPr>
            <w:tcW w:w="1300" w:type="dxa"/>
          </w:tcPr>
          <w:p w14:paraId="4772C9C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19B3EF0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 MB2, MB3</w:t>
            </w:r>
          </w:p>
        </w:tc>
        <w:tc>
          <w:tcPr>
            <w:tcW w:w="960" w:type="dxa"/>
          </w:tcPr>
          <w:p w14:paraId="26E58C3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RR-12, RR-13</w:t>
            </w:r>
          </w:p>
        </w:tc>
      </w:tr>
      <w:tr w:rsidR="00DD1558" w:rsidRPr="00DD1558" w14:paraId="41351385" w14:textId="77777777" w:rsidTr="00C71E92">
        <w:tc>
          <w:tcPr>
            <w:tcW w:w="900" w:type="dxa"/>
          </w:tcPr>
          <w:p w14:paraId="745308B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KPI-E2</w:t>
            </w:r>
          </w:p>
        </w:tc>
        <w:tc>
          <w:tcPr>
            <w:tcW w:w="1260" w:type="dxa"/>
          </w:tcPr>
          <w:p w14:paraId="3083803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3FDBCA4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Pre-expiry redistribution rate</w:t>
            </w:r>
          </w:p>
        </w:tc>
        <w:tc>
          <w:tcPr>
            <w:tcW w:w="1560" w:type="dxa"/>
          </w:tcPr>
          <w:p w14:paraId="6DEBD40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Balance of executed pre-expiry redistributions vs. expiry write-offs</w:t>
            </w:r>
          </w:p>
        </w:tc>
        <w:tc>
          <w:tcPr>
            <w:tcW w:w="1520" w:type="dxa"/>
          </w:tcPr>
          <w:p w14:paraId="0B318F9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MB2 custody logs; expiry-flag histories</w:t>
            </w:r>
          </w:p>
        </w:tc>
        <w:tc>
          <w:tcPr>
            <w:tcW w:w="1480" w:type="dxa"/>
          </w:tcPr>
          <w:p w14:paraId="075DA01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(compiles); Custodian Dept</w:t>
            </w:r>
          </w:p>
        </w:tc>
        <w:tc>
          <w:tcPr>
            <w:tcW w:w="1280" w:type="dxa"/>
          </w:tcPr>
          <w:p w14:paraId="2DD37A3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w:t>
            </w:r>
          </w:p>
        </w:tc>
        <w:tc>
          <w:tcPr>
            <w:tcW w:w="1300" w:type="dxa"/>
          </w:tcPr>
          <w:p w14:paraId="250413A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2872C3B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MB2</w:t>
            </w:r>
          </w:p>
        </w:tc>
        <w:tc>
          <w:tcPr>
            <w:tcW w:w="960" w:type="dxa"/>
          </w:tcPr>
          <w:p w14:paraId="55C9FE7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RR-09, RR-12</w:t>
            </w:r>
          </w:p>
        </w:tc>
      </w:tr>
      <w:tr w:rsidR="00DD1558" w:rsidRPr="00DD1558" w14:paraId="6E7FA0D0" w14:textId="77777777" w:rsidTr="00C71E92">
        <w:tc>
          <w:tcPr>
            <w:tcW w:w="900" w:type="dxa"/>
          </w:tcPr>
          <w:p w14:paraId="2C3AB6C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KPI-E3</w:t>
            </w:r>
          </w:p>
        </w:tc>
        <w:tc>
          <w:tcPr>
            <w:tcW w:w="1260" w:type="dxa"/>
          </w:tcPr>
          <w:p w14:paraId="6383960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4A1ECC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Expired-stock incidence</w:t>
            </w:r>
          </w:p>
        </w:tc>
        <w:tc>
          <w:tcPr>
            <w:tcW w:w="1560" w:type="dxa"/>
          </w:tcPr>
          <w:p w14:paraId="1A89DC1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Joint reading of expiry flags and audit expiry observations per cycle</w:t>
            </w:r>
          </w:p>
        </w:tc>
        <w:tc>
          <w:tcPr>
            <w:tcW w:w="1520" w:type="dxa"/>
          </w:tcPr>
          <w:p w14:paraId="35CC35F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expiry flags; shelf-audit records</w:t>
            </w:r>
          </w:p>
        </w:tc>
        <w:tc>
          <w:tcPr>
            <w:tcW w:w="1480" w:type="dxa"/>
          </w:tcPr>
          <w:p w14:paraId="7640257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Committee</w:t>
            </w:r>
          </w:p>
        </w:tc>
        <w:tc>
          <w:tcPr>
            <w:tcW w:w="1280" w:type="dxa"/>
          </w:tcPr>
          <w:p w14:paraId="15EB32E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 termly summary</w:t>
            </w:r>
          </w:p>
        </w:tc>
        <w:tc>
          <w:tcPr>
            <w:tcW w:w="1300" w:type="dxa"/>
          </w:tcPr>
          <w:p w14:paraId="7B0CC9E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34AB1BD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MB1</w:t>
            </w:r>
          </w:p>
        </w:tc>
        <w:tc>
          <w:tcPr>
            <w:tcW w:w="960" w:type="dxa"/>
          </w:tcPr>
          <w:p w14:paraId="23577DB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RR-08, RR-12</w:t>
            </w:r>
          </w:p>
        </w:tc>
      </w:tr>
      <w:tr w:rsidR="00DD1558" w:rsidRPr="00DD1558" w14:paraId="6B9D9873" w14:textId="77777777" w:rsidTr="00C71E92">
        <w:tc>
          <w:tcPr>
            <w:tcW w:w="900" w:type="dxa"/>
          </w:tcPr>
          <w:p w14:paraId="31492DA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KPI-E4</w:t>
            </w:r>
          </w:p>
        </w:tc>
        <w:tc>
          <w:tcPr>
            <w:tcW w:w="1260" w:type="dxa"/>
          </w:tcPr>
          <w:p w14:paraId="5F68E3F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Environmental</w:t>
            </w:r>
          </w:p>
        </w:tc>
        <w:tc>
          <w:tcPr>
            <w:tcW w:w="1680" w:type="dxa"/>
          </w:tcPr>
          <w:p w14:paraId="55FD559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Disposal-protocol conformity</w:t>
            </w:r>
          </w:p>
        </w:tc>
        <w:tc>
          <w:tcPr>
            <w:tcW w:w="1560" w:type="dxa"/>
          </w:tcPr>
          <w:p w14:paraId="72C94EC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Conformity assessment of disposal documentation; cl. 9.1.2 evaluation analogue; cl. 8.2 exercise note</w:t>
            </w:r>
          </w:p>
        </w:tc>
        <w:tc>
          <w:tcPr>
            <w:tcW w:w="1520" w:type="dxa"/>
          </w:tcPr>
          <w:p w14:paraId="2FE1239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 disposal records; evaluation and exercise documentation</w:t>
            </w:r>
          </w:p>
        </w:tc>
        <w:tc>
          <w:tcPr>
            <w:tcW w:w="1480" w:type="dxa"/>
          </w:tcPr>
          <w:p w14:paraId="6B1ED09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Committee with safety and compliance officer</w:t>
            </w:r>
          </w:p>
        </w:tc>
        <w:tc>
          <w:tcPr>
            <w:tcW w:w="1280" w:type="dxa"/>
          </w:tcPr>
          <w:p w14:paraId="1834F2F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 annual consolidation</w:t>
            </w:r>
          </w:p>
        </w:tc>
        <w:tc>
          <w:tcPr>
            <w:tcW w:w="1300" w:type="dxa"/>
          </w:tcPr>
          <w:p w14:paraId="4258E97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(then hold)</w:t>
            </w:r>
          </w:p>
        </w:tc>
        <w:tc>
          <w:tcPr>
            <w:tcW w:w="1020" w:type="dxa"/>
          </w:tcPr>
          <w:p w14:paraId="6801FD0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MB3</w:t>
            </w:r>
          </w:p>
        </w:tc>
        <w:tc>
          <w:tcPr>
            <w:tcW w:w="960" w:type="dxa"/>
          </w:tcPr>
          <w:p w14:paraId="2F55049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RR-13, RR-14</w:t>
            </w:r>
          </w:p>
        </w:tc>
      </w:tr>
      <w:tr w:rsidR="00DD1558" w:rsidRPr="00DD1558" w14:paraId="6D2279DB" w14:textId="77777777" w:rsidTr="00C71E92">
        <w:tc>
          <w:tcPr>
            <w:tcW w:w="900" w:type="dxa"/>
          </w:tcPr>
          <w:p w14:paraId="17EE693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KPI-G1</w:t>
            </w:r>
          </w:p>
        </w:tc>
        <w:tc>
          <w:tcPr>
            <w:tcW w:w="1260" w:type="dxa"/>
          </w:tcPr>
          <w:p w14:paraId="3046488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135A3B9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Catalog standardization coverage</w:t>
            </w:r>
          </w:p>
        </w:tc>
        <w:tc>
          <w:tcPr>
            <w:tcW w:w="1560" w:type="dxa"/>
          </w:tcPr>
          <w:p w14:paraId="07ABE43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 xml:space="preserve">Census of records conforming to the catalog </w:t>
            </w:r>
            <w:r w:rsidRPr="00DD1558">
              <w:rPr>
                <w:rFonts w:ascii="Simplified Arabic" w:hAnsi="Simplified Arabic" w:cs="Simplified Arabic"/>
                <w:sz w:val="20"/>
                <w:szCs w:val="20"/>
              </w:rPr>
              <w:lastRenderedPageBreak/>
              <w:t>standard vs. legacy records</w:t>
            </w:r>
          </w:p>
        </w:tc>
        <w:tc>
          <w:tcPr>
            <w:tcW w:w="1520" w:type="dxa"/>
          </w:tcPr>
          <w:p w14:paraId="685E26A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Registry onboarding records</w:t>
            </w:r>
          </w:p>
        </w:tc>
        <w:tc>
          <w:tcPr>
            <w:tcW w:w="1480" w:type="dxa"/>
          </w:tcPr>
          <w:p w14:paraId="7EFEDD3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w:t>
            </w:r>
          </w:p>
        </w:tc>
        <w:tc>
          <w:tcPr>
            <w:tcW w:w="1280" w:type="dxa"/>
          </w:tcPr>
          <w:p w14:paraId="1279786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 xml:space="preserve">Termly during onboarding; on </w:t>
            </w:r>
            <w:r w:rsidRPr="00DD1558">
              <w:rPr>
                <w:rFonts w:ascii="Simplified Arabic" w:hAnsi="Simplified Arabic" w:cs="Simplified Arabic"/>
                <w:sz w:val="20"/>
                <w:szCs w:val="20"/>
              </w:rPr>
              <w:lastRenderedPageBreak/>
              <w:t>change thereafter</w:t>
            </w:r>
          </w:p>
        </w:tc>
        <w:tc>
          <w:tcPr>
            <w:tcW w:w="1300" w:type="dxa"/>
          </w:tcPr>
          <w:p w14:paraId="590DA15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lastRenderedPageBreak/>
              <w:t>↑</w:t>
            </w:r>
            <w:r w:rsidRPr="00DD1558">
              <w:rPr>
                <w:rFonts w:ascii="Simplified Arabic" w:hAnsi="Simplified Arabic" w:cs="Simplified Arabic"/>
                <w:sz w:val="20"/>
                <w:szCs w:val="20"/>
              </w:rPr>
              <w:t xml:space="preserve"> (toward G2 criterion)</w:t>
            </w:r>
          </w:p>
        </w:tc>
        <w:tc>
          <w:tcPr>
            <w:tcW w:w="1020" w:type="dxa"/>
          </w:tcPr>
          <w:p w14:paraId="7AF4A70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PB1</w:t>
            </w:r>
          </w:p>
        </w:tc>
        <w:tc>
          <w:tcPr>
            <w:tcW w:w="960" w:type="dxa"/>
          </w:tcPr>
          <w:p w14:paraId="16B9B35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RR-03</w:t>
            </w:r>
          </w:p>
        </w:tc>
      </w:tr>
      <w:tr w:rsidR="00DD1558" w:rsidRPr="00DD1558" w14:paraId="593BEEF8" w14:textId="77777777" w:rsidTr="00C71E92">
        <w:tc>
          <w:tcPr>
            <w:tcW w:w="900" w:type="dxa"/>
          </w:tcPr>
          <w:p w14:paraId="5EA9B18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KPI-G2</w:t>
            </w:r>
          </w:p>
        </w:tc>
        <w:tc>
          <w:tcPr>
            <w:tcW w:w="1260" w:type="dxa"/>
          </w:tcPr>
          <w:p w14:paraId="2F0D7D1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338583EC"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data-quality conformity</w:t>
            </w:r>
          </w:p>
        </w:tc>
        <w:tc>
          <w:tcPr>
            <w:tcW w:w="1560" w:type="dxa"/>
          </w:tcPr>
          <w:p w14:paraId="2422CC0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EB2 completeness, currency, and consistency checks; spot checks vs. physical stock</w:t>
            </w:r>
          </w:p>
        </w:tc>
        <w:tc>
          <w:tcPr>
            <w:tcW w:w="1520" w:type="dxa"/>
          </w:tcPr>
          <w:p w14:paraId="65F9F37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Registry; EB1 spot checks</w:t>
            </w:r>
          </w:p>
        </w:tc>
        <w:tc>
          <w:tcPr>
            <w:tcW w:w="1480" w:type="dxa"/>
          </w:tcPr>
          <w:p w14:paraId="40FE3502"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w:t>
            </w:r>
          </w:p>
        </w:tc>
        <w:tc>
          <w:tcPr>
            <w:tcW w:w="1280" w:type="dxa"/>
          </w:tcPr>
          <w:p w14:paraId="7344759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Continuous; termly reporting</w:t>
            </w:r>
          </w:p>
        </w:tc>
        <w:tc>
          <w:tcPr>
            <w:tcW w:w="1300" w:type="dxa"/>
          </w:tcPr>
          <w:p w14:paraId="245F7F2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(then hold)</w:t>
            </w:r>
          </w:p>
        </w:tc>
        <w:tc>
          <w:tcPr>
            <w:tcW w:w="1020" w:type="dxa"/>
          </w:tcPr>
          <w:p w14:paraId="7E9E445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EB2</w:t>
            </w:r>
          </w:p>
        </w:tc>
        <w:tc>
          <w:tcPr>
            <w:tcW w:w="960" w:type="dxa"/>
          </w:tcPr>
          <w:p w14:paraId="18B0FF3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RR-03, RR-09</w:t>
            </w:r>
          </w:p>
        </w:tc>
      </w:tr>
      <w:tr w:rsidR="00DD1558" w:rsidRPr="00DD1558" w14:paraId="0C1027A2" w14:textId="77777777" w:rsidTr="00C71E92">
        <w:tc>
          <w:tcPr>
            <w:tcW w:w="900" w:type="dxa"/>
          </w:tcPr>
          <w:p w14:paraId="6B4B81F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KPI-G3</w:t>
            </w:r>
          </w:p>
        </w:tc>
        <w:tc>
          <w:tcPr>
            <w:tcW w:w="1260" w:type="dxa"/>
          </w:tcPr>
          <w:p w14:paraId="4AC529A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08DBFEE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 cadence adherence</w:t>
            </w:r>
          </w:p>
        </w:tc>
        <w:tc>
          <w:tcPr>
            <w:tcW w:w="1560" w:type="dxa"/>
          </w:tcPr>
          <w:p w14:paraId="7ACEBAD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Planned vs. executed audits, with deviation causes recorded</w:t>
            </w:r>
          </w:p>
        </w:tc>
        <w:tc>
          <w:tcPr>
            <w:tcW w:w="1520" w:type="dxa"/>
          </w:tcPr>
          <w:p w14:paraId="67E2723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 audit programme and outputs</w:t>
            </w:r>
          </w:p>
        </w:tc>
        <w:tc>
          <w:tcPr>
            <w:tcW w:w="1480" w:type="dxa"/>
          </w:tcPr>
          <w:p w14:paraId="7543A28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Board</w:t>
            </w:r>
          </w:p>
        </w:tc>
        <w:tc>
          <w:tcPr>
            <w:tcW w:w="1280" w:type="dxa"/>
          </w:tcPr>
          <w:p w14:paraId="3EBF285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confirmation</w:t>
            </w:r>
          </w:p>
        </w:tc>
        <w:tc>
          <w:tcPr>
            <w:tcW w:w="1300" w:type="dxa"/>
          </w:tcPr>
          <w:p w14:paraId="467BE2B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19B5F83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w:t>
            </w:r>
          </w:p>
        </w:tc>
        <w:tc>
          <w:tcPr>
            <w:tcW w:w="960" w:type="dxa"/>
          </w:tcPr>
          <w:p w14:paraId="74FF955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RR-05, RR-14</w:t>
            </w:r>
          </w:p>
        </w:tc>
      </w:tr>
      <w:tr w:rsidR="00DD1558" w:rsidRPr="00DD1558" w14:paraId="36696CF9" w14:textId="77777777" w:rsidTr="00C71E92">
        <w:tc>
          <w:tcPr>
            <w:tcW w:w="900" w:type="dxa"/>
          </w:tcPr>
          <w:p w14:paraId="62CD383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KPI-G4</w:t>
            </w:r>
          </w:p>
        </w:tc>
        <w:tc>
          <w:tcPr>
            <w:tcW w:w="1260" w:type="dxa"/>
          </w:tcPr>
          <w:p w14:paraId="75F2389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68721C4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Audit-findings resolution</w:t>
            </w:r>
          </w:p>
        </w:tc>
        <w:tc>
          <w:tcPr>
            <w:tcW w:w="1560" w:type="dxa"/>
          </w:tcPr>
          <w:p w14:paraId="7CB3896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Findings tracked open / carried-over / closed; recurrence flagged (cl. 10 analogue)</w:t>
            </w:r>
          </w:p>
        </w:tc>
        <w:tc>
          <w:tcPr>
            <w:tcW w:w="1520" w:type="dxa"/>
          </w:tcPr>
          <w:p w14:paraId="0EAB7523"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Corrective-action records</w:t>
            </w:r>
          </w:p>
        </w:tc>
        <w:tc>
          <w:tcPr>
            <w:tcW w:w="1480" w:type="dxa"/>
          </w:tcPr>
          <w:p w14:paraId="62B97A15"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Board</w:t>
            </w:r>
          </w:p>
        </w:tc>
        <w:tc>
          <w:tcPr>
            <w:tcW w:w="1280" w:type="dxa"/>
          </w:tcPr>
          <w:p w14:paraId="008D649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annual consolidation</w:t>
            </w:r>
          </w:p>
        </w:tc>
        <w:tc>
          <w:tcPr>
            <w:tcW w:w="1300" w:type="dxa"/>
          </w:tcPr>
          <w:p w14:paraId="4B58394A"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closure; </w:t>
            </w:r>
            <w:r w:rsidRPr="00DD1558">
              <w:rPr>
                <w:rFonts w:ascii="Times New Roman" w:hAnsi="Times New Roman" w:cs="Times New Roman"/>
                <w:sz w:val="20"/>
                <w:szCs w:val="20"/>
              </w:rPr>
              <w:t>↓</w:t>
            </w:r>
            <w:r w:rsidRPr="00DD1558">
              <w:rPr>
                <w:rFonts w:ascii="Simplified Arabic" w:hAnsi="Simplified Arabic" w:cs="Simplified Arabic"/>
                <w:sz w:val="20"/>
                <w:szCs w:val="20"/>
              </w:rPr>
              <w:t xml:space="preserve"> recurrence</w:t>
            </w:r>
          </w:p>
        </w:tc>
        <w:tc>
          <w:tcPr>
            <w:tcW w:w="1020" w:type="dxa"/>
          </w:tcPr>
          <w:p w14:paraId="129A963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EB1</w:t>
            </w:r>
          </w:p>
        </w:tc>
        <w:tc>
          <w:tcPr>
            <w:tcW w:w="960" w:type="dxa"/>
          </w:tcPr>
          <w:p w14:paraId="4F81821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RR-14</w:t>
            </w:r>
          </w:p>
        </w:tc>
      </w:tr>
      <w:tr w:rsidR="00DD1558" w:rsidRPr="00DD1558" w14:paraId="2149FF23" w14:textId="77777777" w:rsidTr="00C71E92">
        <w:tc>
          <w:tcPr>
            <w:tcW w:w="900" w:type="dxa"/>
          </w:tcPr>
          <w:p w14:paraId="05866F84"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KPI-G5</w:t>
            </w:r>
          </w:p>
        </w:tc>
        <w:tc>
          <w:tcPr>
            <w:tcW w:w="1260" w:type="dxa"/>
          </w:tcPr>
          <w:p w14:paraId="1170D36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3069DB19"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Eligibility-check execution</w:t>
            </w:r>
          </w:p>
        </w:tc>
        <w:tc>
          <w:tcPr>
            <w:tcW w:w="1560" w:type="dxa"/>
          </w:tcPr>
          <w:p w14:paraId="6807240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Audit test of requisition files for certified check evidence</w:t>
            </w:r>
          </w:p>
        </w:tc>
        <w:tc>
          <w:tcPr>
            <w:tcW w:w="1520" w:type="dxa"/>
          </w:tcPr>
          <w:p w14:paraId="74FDE121"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Requisition files; Unit certification logs</w:t>
            </w:r>
          </w:p>
        </w:tc>
        <w:tc>
          <w:tcPr>
            <w:tcW w:w="1480" w:type="dxa"/>
          </w:tcPr>
          <w:p w14:paraId="4AB29ED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Custodian Dept; Board</w:t>
            </w:r>
          </w:p>
        </w:tc>
        <w:tc>
          <w:tcPr>
            <w:tcW w:w="1280" w:type="dxa"/>
          </w:tcPr>
          <w:p w14:paraId="418518B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Each audit cycle</w:t>
            </w:r>
          </w:p>
        </w:tc>
        <w:tc>
          <w:tcPr>
            <w:tcW w:w="1300" w:type="dxa"/>
          </w:tcPr>
          <w:p w14:paraId="2A12FB0E"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Times New Roman" w:hAnsi="Times New Roman" w:cs="Times New Roman"/>
                <w:sz w:val="20"/>
                <w:szCs w:val="20"/>
              </w:rPr>
              <w:t>↑</w:t>
            </w:r>
          </w:p>
        </w:tc>
        <w:tc>
          <w:tcPr>
            <w:tcW w:w="1020" w:type="dxa"/>
          </w:tcPr>
          <w:p w14:paraId="35360D3F"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PB2</w:t>
            </w:r>
          </w:p>
        </w:tc>
        <w:tc>
          <w:tcPr>
            <w:tcW w:w="960" w:type="dxa"/>
          </w:tcPr>
          <w:p w14:paraId="75A6F67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RR-07</w:t>
            </w:r>
          </w:p>
        </w:tc>
      </w:tr>
      <w:tr w:rsidR="00DD1558" w:rsidRPr="00DD1558" w14:paraId="217CDFFF" w14:textId="77777777" w:rsidTr="00C71E92">
        <w:tc>
          <w:tcPr>
            <w:tcW w:w="900" w:type="dxa"/>
          </w:tcPr>
          <w:p w14:paraId="2ECD9558"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lastRenderedPageBreak/>
              <w:t>KPI-G6</w:t>
            </w:r>
          </w:p>
        </w:tc>
        <w:tc>
          <w:tcPr>
            <w:tcW w:w="1260" w:type="dxa"/>
          </w:tcPr>
          <w:p w14:paraId="1FE70A3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Governance</w:t>
            </w:r>
          </w:p>
        </w:tc>
        <w:tc>
          <w:tcPr>
            <w:tcW w:w="1680" w:type="dxa"/>
          </w:tcPr>
          <w:p w14:paraId="7D7FB120"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Digital readiness gate status</w:t>
            </w:r>
          </w:p>
        </w:tc>
        <w:tc>
          <w:tcPr>
            <w:tcW w:w="1560" w:type="dxa"/>
          </w:tcPr>
          <w:p w14:paraId="26BB0DF7"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Checklist assessment (met / partially met / not met) across data standards, process stability, role competence</w:t>
            </w:r>
          </w:p>
        </w:tc>
        <w:tc>
          <w:tcPr>
            <w:tcW w:w="1520" w:type="dxa"/>
          </w:tcPr>
          <w:p w14:paraId="7113819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requirements baseline; dashboard evidence</w:t>
            </w:r>
          </w:p>
        </w:tc>
        <w:tc>
          <w:tcPr>
            <w:tcW w:w="1480" w:type="dxa"/>
          </w:tcPr>
          <w:p w14:paraId="145F54ED"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Unit (maintains); Board (gate authority)</w:t>
            </w:r>
          </w:p>
        </w:tc>
        <w:tc>
          <w:tcPr>
            <w:tcW w:w="1280" w:type="dxa"/>
          </w:tcPr>
          <w:p w14:paraId="2849BE4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Termly; singular gate decision</w:t>
            </w:r>
          </w:p>
        </w:tc>
        <w:tc>
          <w:tcPr>
            <w:tcW w:w="1300" w:type="dxa"/>
          </w:tcPr>
          <w:p w14:paraId="3015436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E</w:t>
            </w:r>
            <w:r w:rsidRPr="00DD1558">
              <w:rPr>
                <w:rFonts w:ascii="Times New Roman" w:hAnsi="Times New Roman" w:cs="Times New Roman"/>
                <w:sz w:val="20"/>
                <w:szCs w:val="20"/>
              </w:rPr>
              <w:t>→</w:t>
            </w:r>
            <w:r w:rsidRPr="00DD1558">
              <w:rPr>
                <w:rFonts w:ascii="Simplified Arabic" w:hAnsi="Simplified Arabic" w:cs="Simplified Arabic"/>
                <w:sz w:val="20"/>
                <w:szCs w:val="20"/>
              </w:rPr>
              <w:t>I</w:t>
            </w:r>
          </w:p>
        </w:tc>
        <w:tc>
          <w:tcPr>
            <w:tcW w:w="1020" w:type="dxa"/>
          </w:tcPr>
          <w:p w14:paraId="3AC83E5B"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G4 gate (Perform precondition)</w:t>
            </w:r>
          </w:p>
        </w:tc>
        <w:tc>
          <w:tcPr>
            <w:tcW w:w="960" w:type="dxa"/>
          </w:tcPr>
          <w:p w14:paraId="2F0D04C6" w14:textId="77777777" w:rsidR="00DD1558" w:rsidRPr="00DD1558" w:rsidRDefault="00DD1558" w:rsidP="00DD1558">
            <w:pPr>
              <w:bidi w:val="0"/>
              <w:spacing w:before="36" w:after="36"/>
              <w:rPr>
                <w:rFonts w:ascii="Simplified Arabic" w:hAnsi="Simplified Arabic" w:cs="Simplified Arabic"/>
                <w:sz w:val="20"/>
                <w:szCs w:val="20"/>
              </w:rPr>
            </w:pPr>
            <w:r w:rsidRPr="00DD1558">
              <w:rPr>
                <w:rFonts w:ascii="Simplified Arabic" w:hAnsi="Simplified Arabic" w:cs="Simplified Arabic"/>
                <w:sz w:val="20"/>
                <w:szCs w:val="20"/>
              </w:rPr>
              <w:t>RR-15</w:t>
            </w:r>
          </w:p>
        </w:tc>
      </w:tr>
    </w:tbl>
    <w:p w14:paraId="5872767E" w14:textId="77777777" w:rsidR="002462E8" w:rsidRDefault="002462E8" w:rsidP="002462E8"/>
    <w:p w14:paraId="69D33033" w14:textId="77777777" w:rsidR="002462E8" w:rsidRDefault="002462E8" w:rsidP="002462E8"/>
    <w:p w14:paraId="4E89D1EC" w14:textId="77777777" w:rsidR="002462E8" w:rsidRDefault="002462E8" w:rsidP="002462E8"/>
    <w:p w14:paraId="0D983A3B" w14:textId="77777777" w:rsidR="002462E8" w:rsidRDefault="002462E8" w:rsidP="002462E8"/>
    <w:p w14:paraId="78131C9E" w14:textId="77777777" w:rsidR="002462E8" w:rsidRDefault="002462E8" w:rsidP="002462E8"/>
    <w:p w14:paraId="2EFA2451" w14:textId="77777777" w:rsidR="002462E8" w:rsidRDefault="002462E8" w:rsidP="002462E8"/>
    <w:p w14:paraId="13F54C67" w14:textId="77777777" w:rsidR="002462E8" w:rsidRDefault="002462E8" w:rsidP="002462E8"/>
    <w:p w14:paraId="1D21E698" w14:textId="77777777" w:rsidR="002462E8" w:rsidRDefault="002462E8" w:rsidP="002462E8"/>
    <w:p w14:paraId="3E91E3CE" w14:textId="77777777" w:rsidR="002462E8" w:rsidRDefault="002462E8" w:rsidP="002462E8"/>
    <w:p w14:paraId="2B3E1D38" w14:textId="77777777" w:rsidR="002462E8" w:rsidRDefault="002462E8" w:rsidP="002462E8"/>
    <w:p w14:paraId="062561B0" w14:textId="77777777" w:rsidR="002462E8" w:rsidRDefault="002462E8" w:rsidP="002462E8"/>
    <w:p w14:paraId="10BD7CAF" w14:textId="77777777" w:rsidR="002462E8" w:rsidRDefault="002462E8" w:rsidP="002462E8"/>
    <w:p w14:paraId="4B4EC96E" w14:textId="77777777" w:rsidR="002462E8" w:rsidRDefault="002462E8" w:rsidP="002462E8"/>
    <w:p w14:paraId="137867B7" w14:textId="77777777" w:rsidR="002462E8" w:rsidRDefault="002462E8" w:rsidP="002462E8"/>
    <w:p w14:paraId="7409A9A3" w14:textId="77777777" w:rsidR="002462E8" w:rsidRDefault="002462E8" w:rsidP="002462E8"/>
    <w:p w14:paraId="5AFBDC15" w14:textId="77777777" w:rsidR="002462E8" w:rsidRDefault="002462E8" w:rsidP="002462E8"/>
    <w:p w14:paraId="556A06F6" w14:textId="77777777" w:rsidR="002462E8" w:rsidRDefault="002462E8" w:rsidP="002462E8"/>
    <w:p w14:paraId="31566D42" w14:textId="77777777" w:rsidR="002462E8" w:rsidRDefault="002462E8" w:rsidP="002462E8"/>
    <w:p w14:paraId="49DF3694" w14:textId="218DD008" w:rsidR="002462E8" w:rsidRPr="00DD1558" w:rsidRDefault="00DD1558" w:rsidP="002462E8">
      <w:pPr>
        <w:keepNext/>
        <w:keepLines/>
        <w:bidi w:val="0"/>
        <w:spacing w:before="160" w:after="80"/>
        <w:outlineLvl w:val="1"/>
        <w:rPr>
          <w:rFonts w:ascii="Simplified Arabic" w:eastAsiaTheme="majorEastAsia" w:hAnsi="Simplified Arabic" w:cstheme="majorBidi"/>
          <w:b/>
          <w:sz w:val="28"/>
          <w:szCs w:val="32"/>
        </w:rPr>
      </w:pPr>
      <w:bookmarkStart w:id="207" w:name="_Toc237539797"/>
      <w:r w:rsidRPr="00DD1558">
        <w:rPr>
          <w:rFonts w:ascii="Simplified Arabic" w:eastAsiaTheme="majorEastAsia" w:hAnsi="Simplified Arabic" w:cstheme="majorBidi"/>
          <w:b/>
          <w:sz w:val="28"/>
          <w:szCs w:val="32"/>
        </w:rPr>
        <w:lastRenderedPageBreak/>
        <w:t>Appendix D</w:t>
      </w:r>
      <w:bookmarkEnd w:id="207"/>
    </w:p>
    <w:p w14:paraId="69B7CF29" w14:textId="2BAFA0CD"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r w:rsidRPr="00DD1558">
        <w:rPr>
          <w:rFonts w:ascii="Simplified Arabic" w:eastAsia="Times New Roman" w:hAnsi="Simplified Arabic" w:cs="Simplified Arabic"/>
          <w:b/>
          <w:bCs/>
          <w:sz w:val="24"/>
          <w:szCs w:val="32"/>
          <w14:ligatures w14:val="none"/>
        </w:rPr>
        <w:t xml:space="preserve">Table </w:t>
      </w:r>
      <w:r w:rsidR="009E3D5C">
        <w:rPr>
          <w:rFonts w:ascii="Simplified Arabic" w:eastAsia="Times New Roman" w:hAnsi="Simplified Arabic" w:cs="Simplified Arabic"/>
          <w:b/>
          <w:bCs/>
          <w:sz w:val="24"/>
          <w:szCs w:val="32"/>
          <w14:ligatures w14:val="none"/>
        </w:rPr>
        <w:t>7</w:t>
      </w:r>
      <w:r w:rsidRPr="00DD1558">
        <w:rPr>
          <w:rFonts w:ascii="Simplified Arabic" w:eastAsia="Times New Roman" w:hAnsi="Simplified Arabic" w:cs="Simplified Arabic"/>
          <w:b/>
          <w:bCs/>
          <w:sz w:val="24"/>
          <w:szCs w:val="32"/>
          <w14:ligatures w14:val="none"/>
        </w:rPr>
        <w:t>.</w:t>
      </w:r>
      <w:r w:rsidR="009E3D5C">
        <w:rPr>
          <w:rFonts w:ascii="Simplified Arabic" w:eastAsia="Times New Roman" w:hAnsi="Simplified Arabic" w:cs="Simplified Arabic"/>
          <w:b/>
          <w:bCs/>
          <w:sz w:val="24"/>
          <w:szCs w:val="32"/>
          <w14:ligatures w14:val="none"/>
        </w:rPr>
        <w:t>4</w:t>
      </w:r>
      <w:r w:rsidRPr="00DD1558">
        <w:rPr>
          <w:rFonts w:ascii="Simplified Arabic" w:eastAsia="Times New Roman" w:hAnsi="Simplified Arabic" w:cs="Simplified Arabic"/>
          <w:b/>
          <w:bCs/>
          <w:sz w:val="24"/>
          <w:szCs w:val="32"/>
          <w14:ligatures w14:val="none"/>
        </w:rPr>
        <w:t>.</w:t>
      </w:r>
      <w:r w:rsidRPr="00DD1558">
        <w:rPr>
          <w:rFonts w:ascii="Simplified Arabic" w:eastAsia="Times New Roman" w:hAnsi="Simplified Arabic" w:cs="Simplified Arabic"/>
          <w:sz w:val="24"/>
          <w:szCs w:val="32"/>
          <w14:ligatures w14:val="none"/>
        </w:rPr>
        <w:t xml:space="preserve"> </w:t>
      </w:r>
      <w:r w:rsidRPr="00DD1558">
        <w:rPr>
          <w:rFonts w:ascii="Simplified Arabic" w:eastAsia="Times New Roman" w:hAnsi="Simplified Arabic" w:cs="Simplified Arabic"/>
          <w:i/>
          <w:iCs/>
          <w:sz w:val="24"/>
          <w:szCs w:val="32"/>
          <w14:ligatures w14:val="none"/>
        </w:rPr>
        <w:t>RACI-style accountability matrix for key framework processes</w:t>
      </w:r>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1583"/>
        <w:gridCol w:w="1515"/>
        <w:gridCol w:w="1958"/>
        <w:gridCol w:w="1946"/>
        <w:gridCol w:w="1674"/>
        <w:gridCol w:w="1530"/>
      </w:tblGrid>
      <w:tr w:rsidR="00DD1558" w:rsidRPr="00DD1558" w14:paraId="7FE61EBA"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4B933EB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Process</w:t>
            </w:r>
          </w:p>
        </w:tc>
        <w:tc>
          <w:tcPr>
            <w:tcW w:w="0" w:type="auto"/>
            <w:tcBorders>
              <w:bottom w:val="single" w:sz="8" w:space="0" w:color="44546A"/>
            </w:tcBorders>
            <w:vAlign w:val="top"/>
          </w:tcPr>
          <w:p w14:paraId="6AD9149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Governance Board</w:t>
            </w:r>
          </w:p>
        </w:tc>
        <w:tc>
          <w:tcPr>
            <w:tcW w:w="0" w:type="auto"/>
            <w:tcBorders>
              <w:bottom w:val="single" w:sz="8" w:space="0" w:color="44546A"/>
            </w:tcBorders>
            <w:vAlign w:val="top"/>
          </w:tcPr>
          <w:p w14:paraId="24F7F49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Technical Standardization Committee</w:t>
            </w:r>
          </w:p>
        </w:tc>
        <w:tc>
          <w:tcPr>
            <w:tcW w:w="0" w:type="auto"/>
            <w:tcBorders>
              <w:bottom w:val="single" w:sz="8" w:space="0" w:color="44546A"/>
            </w:tcBorders>
            <w:vAlign w:val="top"/>
          </w:tcPr>
          <w:p w14:paraId="576E478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Digital Supply Chain Unit</w:t>
            </w:r>
          </w:p>
        </w:tc>
        <w:tc>
          <w:tcPr>
            <w:tcW w:w="0" w:type="auto"/>
            <w:tcBorders>
              <w:bottom w:val="single" w:sz="8" w:space="0" w:color="44546A"/>
            </w:tcBorders>
            <w:vAlign w:val="top"/>
          </w:tcPr>
          <w:p w14:paraId="3CB9D7C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Custodian Department</w:t>
            </w:r>
          </w:p>
        </w:tc>
        <w:tc>
          <w:tcPr>
            <w:tcW w:w="0" w:type="auto"/>
            <w:tcBorders>
              <w:bottom w:val="single" w:sz="8" w:space="0" w:color="44546A"/>
            </w:tcBorders>
            <w:vAlign w:val="top"/>
          </w:tcPr>
          <w:p w14:paraId="40971AA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b/>
              </w:rPr>
              <w:t>Laboratory Technicians</w:t>
            </w:r>
          </w:p>
        </w:tc>
      </w:tr>
      <w:tr w:rsidR="00DD1558" w:rsidRPr="00DD1558" w14:paraId="19A81202" w14:textId="77777777" w:rsidTr="00C71E92">
        <w:tc>
          <w:tcPr>
            <w:tcW w:w="0" w:type="auto"/>
          </w:tcPr>
          <w:p w14:paraId="3A35D043"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Catalog standard-setting</w:t>
            </w:r>
          </w:p>
        </w:tc>
        <w:tc>
          <w:tcPr>
            <w:tcW w:w="0" w:type="auto"/>
          </w:tcPr>
          <w:p w14:paraId="3D837C9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(ratifies)</w:t>
            </w:r>
          </w:p>
        </w:tc>
        <w:tc>
          <w:tcPr>
            <w:tcW w:w="0" w:type="auto"/>
          </w:tcPr>
          <w:p w14:paraId="784ECBE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(drafts, maintains)</w:t>
            </w:r>
          </w:p>
        </w:tc>
        <w:tc>
          <w:tcPr>
            <w:tcW w:w="0" w:type="auto"/>
          </w:tcPr>
          <w:p w14:paraId="01F10EC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(registry feasibility)</w:t>
            </w:r>
          </w:p>
        </w:tc>
        <w:tc>
          <w:tcPr>
            <w:tcW w:w="0" w:type="auto"/>
          </w:tcPr>
          <w:p w14:paraId="17CF874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(departmental comment)</w:t>
            </w:r>
          </w:p>
        </w:tc>
        <w:tc>
          <w:tcPr>
            <w:tcW w:w="0" w:type="auto"/>
          </w:tcPr>
          <w:p w14:paraId="0F85C37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r>
      <w:tr w:rsidR="00DD1558" w:rsidRPr="00DD1558" w14:paraId="334968FF" w14:textId="77777777" w:rsidTr="00C71E92">
        <w:tc>
          <w:tcPr>
            <w:tcW w:w="0" w:type="auto"/>
          </w:tcPr>
          <w:p w14:paraId="5FC79A8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Eligibility check before requisition</w:t>
            </w:r>
          </w:p>
        </w:tc>
        <w:tc>
          <w:tcPr>
            <w:tcW w:w="0" w:type="auto"/>
          </w:tcPr>
          <w:p w14:paraId="0780626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634A9FD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(clause owner)</w:t>
            </w:r>
          </w:p>
        </w:tc>
        <w:tc>
          <w:tcPr>
            <w:tcW w:w="0" w:type="auto"/>
          </w:tcPr>
          <w:p w14:paraId="40E3DAD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(operates/verifies check)</w:t>
            </w:r>
          </w:p>
        </w:tc>
        <w:tc>
          <w:tcPr>
            <w:tcW w:w="0" w:type="auto"/>
          </w:tcPr>
          <w:p w14:paraId="004E7599"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(must comply)</w:t>
            </w:r>
          </w:p>
        </w:tc>
        <w:tc>
          <w:tcPr>
            <w:tcW w:w="0" w:type="auto"/>
          </w:tcPr>
          <w:p w14:paraId="5D0210B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(data accuracy)</w:t>
            </w:r>
          </w:p>
        </w:tc>
      </w:tr>
      <w:tr w:rsidR="00DD1558" w:rsidRPr="00DD1558" w14:paraId="35129A37" w14:textId="77777777" w:rsidTr="00C71E92">
        <w:tc>
          <w:tcPr>
            <w:tcW w:w="0" w:type="auto"/>
          </w:tcPr>
          <w:p w14:paraId="224DDF4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Loan approval</w:t>
            </w:r>
          </w:p>
        </w:tc>
        <w:tc>
          <w:tcPr>
            <w:tcW w:w="0" w:type="auto"/>
          </w:tcPr>
          <w:p w14:paraId="207C263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55D33AB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2380487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(logs; data support)</w:t>
            </w:r>
          </w:p>
        </w:tc>
        <w:tc>
          <w:tcPr>
            <w:tcW w:w="0" w:type="auto"/>
          </w:tcPr>
          <w:p w14:paraId="0B67AEE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A/R (custodian supervisor approves)</w:t>
            </w:r>
          </w:p>
        </w:tc>
        <w:tc>
          <w:tcPr>
            <w:tcW w:w="0" w:type="auto"/>
          </w:tcPr>
          <w:p w14:paraId="23ACBE7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 (no approval role)</w:t>
            </w:r>
          </w:p>
        </w:tc>
      </w:tr>
      <w:tr w:rsidR="00DD1558" w:rsidRPr="00DD1558" w14:paraId="5847B0AA" w14:textId="77777777" w:rsidTr="00C71E92">
        <w:tc>
          <w:tcPr>
            <w:tcW w:w="0" w:type="auto"/>
          </w:tcPr>
          <w:p w14:paraId="25B30D6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FEFO execution</w:t>
            </w:r>
          </w:p>
        </w:tc>
        <w:tc>
          <w:tcPr>
            <w:tcW w:w="0" w:type="auto"/>
          </w:tcPr>
          <w:p w14:paraId="611688C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3889278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(standard owner)</w:t>
            </w:r>
          </w:p>
        </w:tc>
        <w:tc>
          <w:tcPr>
            <w:tcW w:w="0" w:type="auto"/>
          </w:tcPr>
          <w:p w14:paraId="00BD867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 (flag reports)</w:t>
            </w:r>
          </w:p>
        </w:tc>
        <w:tc>
          <w:tcPr>
            <w:tcW w:w="0" w:type="auto"/>
          </w:tcPr>
          <w:p w14:paraId="01DB32D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(supervisor accountable)</w:t>
            </w:r>
          </w:p>
        </w:tc>
        <w:tc>
          <w:tcPr>
            <w:tcW w:w="0" w:type="auto"/>
          </w:tcPr>
          <w:p w14:paraId="513ACFEE"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(rotation, flagging)</w:t>
            </w:r>
          </w:p>
        </w:tc>
      </w:tr>
      <w:tr w:rsidR="00DD1558" w:rsidRPr="00DD1558" w14:paraId="259FA2B0" w14:textId="77777777" w:rsidTr="00C71E92">
        <w:tc>
          <w:tcPr>
            <w:tcW w:w="0" w:type="auto"/>
          </w:tcPr>
          <w:p w14:paraId="51515B2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Custody transfer</w:t>
            </w:r>
          </w:p>
        </w:tc>
        <w:tc>
          <w:tcPr>
            <w:tcW w:w="0" w:type="auto"/>
          </w:tcPr>
          <w:p w14:paraId="3921ADA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5C0F76A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5848754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(chain-of-custody log)</w:t>
            </w:r>
          </w:p>
        </w:tc>
        <w:tc>
          <w:tcPr>
            <w:tcW w:w="0" w:type="auto"/>
          </w:tcPr>
          <w:p w14:paraId="6EC7377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w:t>
            </w:r>
          </w:p>
        </w:tc>
        <w:tc>
          <w:tcPr>
            <w:tcW w:w="0" w:type="auto"/>
          </w:tcPr>
          <w:p w14:paraId="6BA7F645"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(records, handover)</w:t>
            </w:r>
          </w:p>
        </w:tc>
      </w:tr>
      <w:tr w:rsidR="00DD1558" w:rsidRPr="00DD1558" w14:paraId="39A420FA" w14:textId="77777777" w:rsidTr="00C71E92">
        <w:tc>
          <w:tcPr>
            <w:tcW w:w="0" w:type="auto"/>
          </w:tcPr>
          <w:p w14:paraId="783109E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Registry upkeep</w:t>
            </w:r>
          </w:p>
        </w:tc>
        <w:tc>
          <w:tcPr>
            <w:tcW w:w="0" w:type="auto"/>
          </w:tcPr>
          <w:p w14:paraId="0C551C0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382165B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(data standard)</w:t>
            </w:r>
          </w:p>
        </w:tc>
        <w:tc>
          <w:tcPr>
            <w:tcW w:w="0" w:type="auto"/>
          </w:tcPr>
          <w:p w14:paraId="74477B7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(stewardship)</w:t>
            </w:r>
          </w:p>
        </w:tc>
        <w:tc>
          <w:tcPr>
            <w:tcW w:w="0" w:type="auto"/>
          </w:tcPr>
          <w:p w14:paraId="75584C3C"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5771891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(entries)</w:t>
            </w:r>
          </w:p>
        </w:tc>
      </w:tr>
      <w:tr w:rsidR="00DD1558" w:rsidRPr="00DD1558" w14:paraId="19796D0A" w14:textId="77777777" w:rsidTr="00C71E92">
        <w:tc>
          <w:tcPr>
            <w:tcW w:w="0" w:type="auto"/>
          </w:tcPr>
          <w:p w14:paraId="6891DB74"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Expiry escalation</w:t>
            </w:r>
          </w:p>
        </w:tc>
        <w:tc>
          <w:tcPr>
            <w:tcW w:w="0" w:type="auto"/>
          </w:tcPr>
          <w:p w14:paraId="3E9CD9AA"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22573782"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c>
          <w:tcPr>
            <w:tcW w:w="0" w:type="auto"/>
          </w:tcPr>
          <w:p w14:paraId="06F94D86"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 (routes, coordinates)</w:t>
            </w:r>
          </w:p>
        </w:tc>
        <w:tc>
          <w:tcPr>
            <w:tcW w:w="0" w:type="auto"/>
          </w:tcPr>
          <w:p w14:paraId="251FB23F"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 (decides redistribution)</w:t>
            </w:r>
          </w:p>
        </w:tc>
        <w:tc>
          <w:tcPr>
            <w:tcW w:w="0" w:type="auto"/>
          </w:tcPr>
          <w:p w14:paraId="4C05E6F0"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(flags, escalates)</w:t>
            </w:r>
          </w:p>
        </w:tc>
      </w:tr>
      <w:tr w:rsidR="00DD1558" w:rsidRPr="00DD1558" w14:paraId="5C2B7299" w14:textId="77777777" w:rsidTr="00C71E92">
        <w:tc>
          <w:tcPr>
            <w:tcW w:w="0" w:type="auto"/>
          </w:tcPr>
          <w:p w14:paraId="6258E907"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Audit &amp; management review</w:t>
            </w:r>
          </w:p>
        </w:tc>
        <w:tc>
          <w:tcPr>
            <w:tcW w:w="0" w:type="auto"/>
          </w:tcPr>
          <w:p w14:paraId="07F0ADE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A/R (cadence, review)</w:t>
            </w:r>
          </w:p>
        </w:tc>
        <w:tc>
          <w:tcPr>
            <w:tcW w:w="0" w:type="auto"/>
          </w:tcPr>
          <w:p w14:paraId="374D24A8"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2584066B"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R (reporting support)</w:t>
            </w:r>
          </w:p>
        </w:tc>
        <w:tc>
          <w:tcPr>
            <w:tcW w:w="0" w:type="auto"/>
          </w:tcPr>
          <w:p w14:paraId="54F6F1FD"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C</w:t>
            </w:r>
          </w:p>
        </w:tc>
        <w:tc>
          <w:tcPr>
            <w:tcW w:w="0" w:type="auto"/>
          </w:tcPr>
          <w:p w14:paraId="20AE5CD1" w14:textId="77777777" w:rsidR="00DD1558" w:rsidRPr="00DD1558" w:rsidRDefault="00DD1558" w:rsidP="00DD1558">
            <w:pPr>
              <w:bidi w:val="0"/>
              <w:spacing w:before="36" w:after="36"/>
              <w:rPr>
                <w:rFonts w:ascii="Simplified Arabic" w:hAnsi="Simplified Arabic" w:cs="Simplified Arabic"/>
              </w:rPr>
            </w:pPr>
            <w:r w:rsidRPr="00DD1558">
              <w:rPr>
                <w:rFonts w:ascii="Simplified Arabic" w:hAnsi="Simplified Arabic" w:cs="Simplified Arabic"/>
              </w:rPr>
              <w:t>I</w:t>
            </w:r>
          </w:p>
        </w:tc>
      </w:tr>
    </w:tbl>
    <w:p w14:paraId="09D84C06" w14:textId="77777777" w:rsidR="00DD1558" w:rsidRDefault="00DD1558" w:rsidP="00DD1558">
      <w:pPr>
        <w:bidi w:val="0"/>
        <w:rPr>
          <w:rFonts w:ascii="Simplified Arabic" w:hAnsi="Simplified Arabic"/>
          <w:i/>
          <w:iCs/>
          <w:color w:val="595959"/>
          <w:sz w:val="20"/>
        </w:rPr>
      </w:pPr>
    </w:p>
    <w:p w14:paraId="3010CA44" w14:textId="77777777" w:rsidR="002462E8" w:rsidRPr="00DD1558" w:rsidRDefault="002462E8" w:rsidP="002462E8">
      <w:pPr>
        <w:bidi w:val="0"/>
        <w:rPr>
          <w:rFonts w:ascii="Simplified Arabic" w:hAnsi="Simplified Arabic"/>
          <w:i/>
          <w:iCs/>
          <w:color w:val="595959"/>
          <w:sz w:val="20"/>
        </w:rPr>
      </w:pPr>
    </w:p>
    <w:p w14:paraId="49E93FFF" w14:textId="1F99E9A5" w:rsidR="00DD1558" w:rsidRPr="00DD1558" w:rsidRDefault="00DD1558" w:rsidP="00DD1558">
      <w:pPr>
        <w:bidi w:val="0"/>
        <w:spacing w:before="180" w:line="240" w:lineRule="auto"/>
        <w:rPr>
          <w:rFonts w:ascii="Simplified Arabic" w:eastAsia="Times New Roman" w:hAnsi="Simplified Arabic" w:cs="Simplified Arabic"/>
          <w:sz w:val="32"/>
          <w:szCs w:val="32"/>
          <w14:ligatures w14:val="none"/>
        </w:rPr>
      </w:pPr>
      <w:r w:rsidRPr="00DD1558">
        <w:rPr>
          <w:rFonts w:ascii="Simplified Arabic" w:eastAsia="Times New Roman" w:hAnsi="Simplified Arabic" w:cs="Simplified Arabic"/>
          <w:b/>
          <w:bCs/>
          <w:sz w:val="24"/>
          <w:szCs w:val="32"/>
          <w14:ligatures w14:val="none"/>
        </w:rPr>
        <w:lastRenderedPageBreak/>
        <w:t xml:space="preserve">Table </w:t>
      </w:r>
      <w:r w:rsidR="00FA26FF">
        <w:rPr>
          <w:rFonts w:ascii="Simplified Arabic" w:eastAsia="Times New Roman" w:hAnsi="Simplified Arabic" w:cs="Simplified Arabic"/>
          <w:b/>
          <w:bCs/>
          <w:sz w:val="24"/>
          <w:szCs w:val="32"/>
          <w14:ligatures w14:val="none"/>
        </w:rPr>
        <w:t>4</w:t>
      </w:r>
      <w:r w:rsidRPr="00DD1558">
        <w:rPr>
          <w:rFonts w:ascii="Simplified Arabic" w:eastAsia="Times New Roman" w:hAnsi="Simplified Arabic" w:cs="Simplified Arabic"/>
          <w:b/>
          <w:bCs/>
          <w:sz w:val="24"/>
          <w:szCs w:val="32"/>
          <w14:ligatures w14:val="none"/>
        </w:rPr>
        <w:t>.</w:t>
      </w:r>
      <w:r w:rsidR="00FA26FF">
        <w:rPr>
          <w:rFonts w:ascii="Simplified Arabic" w:eastAsia="Times New Roman" w:hAnsi="Simplified Arabic" w:cs="Simplified Arabic"/>
          <w:b/>
          <w:bCs/>
          <w:sz w:val="24"/>
          <w:szCs w:val="32"/>
          <w14:ligatures w14:val="none"/>
        </w:rPr>
        <w:t>2</w:t>
      </w:r>
      <w:r w:rsidRPr="00DD1558">
        <w:rPr>
          <w:rFonts w:ascii="Simplified Arabic" w:eastAsia="Times New Roman" w:hAnsi="Simplified Arabic" w:cs="Simplified Arabic"/>
          <w:b/>
          <w:bCs/>
          <w:sz w:val="24"/>
          <w:szCs w:val="32"/>
          <w14:ligatures w14:val="none"/>
        </w:rPr>
        <w:t>.</w:t>
      </w:r>
      <w:r w:rsidRPr="00DD1558">
        <w:rPr>
          <w:rFonts w:ascii="Simplified Arabic" w:eastAsia="Times New Roman" w:hAnsi="Simplified Arabic" w:cs="Simplified Arabic"/>
          <w:sz w:val="24"/>
          <w:szCs w:val="32"/>
          <w14:ligatures w14:val="none"/>
        </w:rPr>
        <w:t xml:space="preserve"> </w:t>
      </w:r>
      <w:r w:rsidRPr="00DD1558">
        <w:rPr>
          <w:rFonts w:ascii="Simplified Arabic" w:eastAsia="Times New Roman" w:hAnsi="Simplified Arabic" w:cs="Simplified Arabic"/>
          <w:i/>
          <w:iCs/>
          <w:sz w:val="24"/>
          <w:szCs w:val="32"/>
          <w14:ligatures w14:val="none"/>
        </w:rPr>
        <w:t xml:space="preserve">Barrier-ownership mapping from the </w:t>
      </w:r>
      <w:hyperlink w:anchor="section293" w:history="1">
        <w:r w:rsidR="00FA26FF" w:rsidRPr="0093358C">
          <w:rPr>
            <w:rStyle w:val="Hyperlink"/>
            <w:rFonts w:ascii="Simplified Arabic" w:eastAsia="Times New Roman" w:hAnsi="Simplified Arabic" w:cs="Simplified Arabic"/>
            <w:i/>
            <w:iCs/>
            <w:sz w:val="24"/>
            <w:szCs w:val="32"/>
            <w14:ligatures w14:val="none"/>
          </w:rPr>
          <w:t>Section 2.9.3</w:t>
        </w:r>
      </w:hyperlink>
      <w:r w:rsidRPr="00DD1558">
        <w:rPr>
          <w:rFonts w:ascii="Simplified Arabic" w:eastAsia="Times New Roman" w:hAnsi="Simplified Arabic" w:cs="Simplified Arabic"/>
          <w:i/>
          <w:iCs/>
          <w:sz w:val="24"/>
          <w:szCs w:val="32"/>
          <w14:ligatures w14:val="none"/>
        </w:rPr>
        <w:t xml:space="preserve"> Bow-Tie architecture to </w:t>
      </w:r>
      <w:hyperlink w:anchor="section41" w:history="1">
        <w:r w:rsidR="00752112" w:rsidRPr="0093358C">
          <w:rPr>
            <w:rStyle w:val="Hyperlink"/>
            <w:rFonts w:ascii="Simplified Arabic" w:eastAsia="Times New Roman" w:hAnsi="Simplified Arabic" w:cs="Simplified Arabic"/>
            <w:i/>
            <w:iCs/>
            <w:sz w:val="24"/>
            <w:szCs w:val="32"/>
            <w14:ligatures w14:val="none"/>
          </w:rPr>
          <w:t>Section 4.1</w:t>
        </w:r>
      </w:hyperlink>
      <w:r w:rsidRPr="00DD1558">
        <w:rPr>
          <w:rFonts w:ascii="Simplified Arabic" w:eastAsia="Times New Roman" w:hAnsi="Simplified Arabic" w:cs="Simplified Arabic"/>
          <w:i/>
          <w:iCs/>
          <w:sz w:val="24"/>
          <w:szCs w:val="32"/>
          <w14:ligatures w14:val="none"/>
        </w:rPr>
        <w:t xml:space="preserve"> bodies</w:t>
      </w:r>
    </w:p>
    <w:tbl>
      <w:tblPr>
        <w:tblStyle w:val="Table"/>
        <w:tblW w:w="5000" w:type="pct"/>
        <w:tblBorders>
          <w:top w:val="single" w:sz="12" w:space="0" w:color="44546A"/>
          <w:bottom w:val="single" w:sz="12" w:space="0" w:color="44546A"/>
        </w:tblBorders>
        <w:tblLook w:val="0020" w:firstRow="1" w:lastRow="0" w:firstColumn="0" w:lastColumn="0" w:noHBand="0" w:noVBand="0"/>
      </w:tblPr>
      <w:tblGrid>
        <w:gridCol w:w="2800"/>
        <w:gridCol w:w="4026"/>
        <w:gridCol w:w="3380"/>
      </w:tblGrid>
      <w:tr w:rsidR="00DD1558" w:rsidRPr="00DD1558" w14:paraId="2803CDC7" w14:textId="77777777" w:rsidTr="00C71E92">
        <w:trPr>
          <w:cnfStyle w:val="100000000000" w:firstRow="1" w:lastRow="0" w:firstColumn="0" w:lastColumn="0" w:oddVBand="0" w:evenVBand="0" w:oddHBand="0" w:evenHBand="0" w:firstRowFirstColumn="0" w:firstRowLastColumn="0" w:lastRowFirstColumn="0" w:lastRowLastColumn="0"/>
          <w:tblHeader/>
        </w:trPr>
        <w:tc>
          <w:tcPr>
            <w:tcW w:w="0" w:type="auto"/>
            <w:tcBorders>
              <w:bottom w:val="single" w:sz="8" w:space="0" w:color="44546A"/>
            </w:tcBorders>
            <w:vAlign w:val="top"/>
          </w:tcPr>
          <w:p w14:paraId="1448EDDC" w14:textId="4CB65894"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Barrier (</w:t>
            </w:r>
            <w:r w:rsidR="00FA26FF" w:rsidRPr="00FA26FF">
              <w:rPr>
                <w:rFonts w:ascii="Simplified Arabic" w:hAnsi="Simplified Arabic" w:cs="Simplified Arabic"/>
                <w:b/>
                <w:szCs w:val="28"/>
              </w:rPr>
              <w:t>Section 2.9.3</w:t>
            </w:r>
            <w:r w:rsidRPr="00DD1558">
              <w:rPr>
                <w:rFonts w:ascii="Simplified Arabic" w:hAnsi="Simplified Arabic" w:cs="Simplified Arabic"/>
                <w:b/>
                <w:szCs w:val="28"/>
              </w:rPr>
              <w:t>)</w:t>
            </w:r>
          </w:p>
        </w:tc>
        <w:tc>
          <w:tcPr>
            <w:tcW w:w="0" w:type="auto"/>
            <w:tcBorders>
              <w:bottom w:val="single" w:sz="8" w:space="0" w:color="44546A"/>
            </w:tcBorders>
            <w:vAlign w:val="top"/>
          </w:tcPr>
          <w:p w14:paraId="4CD9CAB1"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Organizational owner</w:t>
            </w:r>
          </w:p>
        </w:tc>
        <w:tc>
          <w:tcPr>
            <w:tcW w:w="0" w:type="auto"/>
            <w:tcBorders>
              <w:bottom w:val="single" w:sz="8" w:space="0" w:color="44546A"/>
            </w:tcBorders>
            <w:vAlign w:val="top"/>
          </w:tcPr>
          <w:p w14:paraId="5A41C3D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b/>
                <w:szCs w:val="28"/>
              </w:rPr>
              <w:t>Execution level</w:t>
            </w:r>
          </w:p>
        </w:tc>
      </w:tr>
      <w:tr w:rsidR="00DD1558" w:rsidRPr="00DD1558" w14:paraId="50772354" w14:textId="77777777" w:rsidTr="00C71E92">
        <w:tc>
          <w:tcPr>
            <w:tcW w:w="0" w:type="auto"/>
          </w:tcPr>
          <w:p w14:paraId="34FA12A0"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PB1 Standardized catalog &amp; records</w:t>
            </w:r>
          </w:p>
        </w:tc>
        <w:tc>
          <w:tcPr>
            <w:tcW w:w="0" w:type="auto"/>
          </w:tcPr>
          <w:p w14:paraId="78A95AF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Technical Standardization Committee</w:t>
            </w:r>
          </w:p>
        </w:tc>
        <w:tc>
          <w:tcPr>
            <w:tcW w:w="0" w:type="auto"/>
          </w:tcPr>
          <w:p w14:paraId="1413A39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(entries); Unit (registry)</w:t>
            </w:r>
          </w:p>
        </w:tc>
      </w:tr>
      <w:tr w:rsidR="00DD1558" w:rsidRPr="00DD1558" w14:paraId="080C8DEE" w14:textId="77777777" w:rsidTr="00C71E92">
        <w:tc>
          <w:tcPr>
            <w:tcW w:w="0" w:type="auto"/>
          </w:tcPr>
          <w:p w14:paraId="0593410F"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PB2 Eligibility clauses</w:t>
            </w:r>
          </w:p>
        </w:tc>
        <w:tc>
          <w:tcPr>
            <w:tcW w:w="0" w:type="auto"/>
          </w:tcPr>
          <w:p w14:paraId="7D33935E"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(drafts); Board (ratifies)</w:t>
            </w:r>
          </w:p>
        </w:tc>
        <w:tc>
          <w:tcPr>
            <w:tcW w:w="0" w:type="auto"/>
          </w:tcPr>
          <w:p w14:paraId="3EA982D2"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Unit (check operation); custodians (compliance)</w:t>
            </w:r>
          </w:p>
        </w:tc>
      </w:tr>
      <w:tr w:rsidR="00DD1558" w:rsidRPr="00DD1558" w14:paraId="0AA82D80" w14:textId="77777777" w:rsidTr="00C71E92">
        <w:tc>
          <w:tcPr>
            <w:tcW w:w="0" w:type="auto"/>
          </w:tcPr>
          <w:p w14:paraId="64AD9C8E"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PB3 Joint/circular procurement rules</w:t>
            </w:r>
          </w:p>
        </w:tc>
        <w:tc>
          <w:tcPr>
            <w:tcW w:w="0" w:type="auto"/>
          </w:tcPr>
          <w:p w14:paraId="735BDD28"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(ratifies); Committee (drafts)</w:t>
            </w:r>
          </w:p>
        </w:tc>
        <w:tc>
          <w:tcPr>
            <w:tcW w:w="0" w:type="auto"/>
          </w:tcPr>
          <w:p w14:paraId="2640451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Departments, via Unit procurement liaison</w:t>
            </w:r>
          </w:p>
        </w:tc>
      </w:tr>
      <w:tr w:rsidR="00DD1558" w:rsidRPr="00DD1558" w14:paraId="135C2833" w14:textId="77777777" w:rsidTr="00C71E92">
        <w:tc>
          <w:tcPr>
            <w:tcW w:w="0" w:type="auto"/>
          </w:tcPr>
          <w:p w14:paraId="70E6314F"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MB1 FEFO rotation</w:t>
            </w:r>
          </w:p>
        </w:tc>
        <w:tc>
          <w:tcPr>
            <w:tcW w:w="0" w:type="auto"/>
          </w:tcPr>
          <w:p w14:paraId="49FE8B2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(standard); custodian supervisor (accountable)</w:t>
            </w:r>
          </w:p>
        </w:tc>
        <w:tc>
          <w:tcPr>
            <w:tcW w:w="0" w:type="auto"/>
          </w:tcPr>
          <w:p w14:paraId="452E1158"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(rotation, flagging)</w:t>
            </w:r>
          </w:p>
        </w:tc>
      </w:tr>
      <w:tr w:rsidR="00DD1558" w:rsidRPr="00DD1558" w14:paraId="258649BE" w14:textId="77777777" w:rsidTr="00C71E92">
        <w:tc>
          <w:tcPr>
            <w:tcW w:w="0" w:type="auto"/>
          </w:tcPr>
          <w:p w14:paraId="517EEE17"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MB2 Inter-lab sharing / redistribution</w:t>
            </w:r>
          </w:p>
        </w:tc>
        <w:tc>
          <w:tcPr>
            <w:tcW w:w="0" w:type="auto"/>
          </w:tcPr>
          <w:p w14:paraId="0D80BFBA"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(Inter-Lab Policy Framework)</w:t>
            </w:r>
          </w:p>
        </w:tc>
        <w:tc>
          <w:tcPr>
            <w:tcW w:w="0" w:type="auto"/>
          </w:tcPr>
          <w:p w14:paraId="1F47EE1B"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Custodians (approval); technicians (execution)</w:t>
            </w:r>
          </w:p>
        </w:tc>
      </w:tr>
      <w:tr w:rsidR="00DD1558" w:rsidRPr="00DD1558" w14:paraId="797BDA07" w14:textId="77777777" w:rsidTr="00C71E92">
        <w:tc>
          <w:tcPr>
            <w:tcW w:w="0" w:type="auto"/>
          </w:tcPr>
          <w:p w14:paraId="2BC7BFE3"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MB3 Governed disposal protocols</w:t>
            </w:r>
          </w:p>
        </w:tc>
        <w:tc>
          <w:tcPr>
            <w:tcW w:w="0" w:type="auto"/>
          </w:tcPr>
          <w:p w14:paraId="29193458"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Committee, with safety &amp; compliance officer</w:t>
            </w:r>
          </w:p>
        </w:tc>
        <w:tc>
          <w:tcPr>
            <w:tcW w:w="0" w:type="auto"/>
          </w:tcPr>
          <w:p w14:paraId="46F9D562"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Departments under Unit reporting</w:t>
            </w:r>
          </w:p>
        </w:tc>
      </w:tr>
      <w:tr w:rsidR="00DD1558" w:rsidRPr="00DD1558" w14:paraId="0B205830" w14:textId="77777777" w:rsidTr="00C71E92">
        <w:tc>
          <w:tcPr>
            <w:tcW w:w="0" w:type="auto"/>
          </w:tcPr>
          <w:p w14:paraId="1F683F0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EB1 Audit cadence</w:t>
            </w:r>
          </w:p>
        </w:tc>
        <w:tc>
          <w:tcPr>
            <w:tcW w:w="0" w:type="auto"/>
          </w:tcPr>
          <w:p w14:paraId="7D47769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Governance Board</w:t>
            </w:r>
          </w:p>
        </w:tc>
        <w:tc>
          <w:tcPr>
            <w:tcW w:w="0" w:type="auto"/>
          </w:tcPr>
          <w:p w14:paraId="399E5B46"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Unit (reporting support)</w:t>
            </w:r>
          </w:p>
        </w:tc>
      </w:tr>
      <w:tr w:rsidR="00DD1558" w:rsidRPr="00DD1558" w14:paraId="43F24688" w14:textId="77777777" w:rsidTr="00C71E92">
        <w:tc>
          <w:tcPr>
            <w:tcW w:w="0" w:type="auto"/>
          </w:tcPr>
          <w:p w14:paraId="72E3CF0C"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EB2 Data-quality indicators</w:t>
            </w:r>
          </w:p>
        </w:tc>
        <w:tc>
          <w:tcPr>
            <w:tcW w:w="0" w:type="auto"/>
          </w:tcPr>
          <w:p w14:paraId="288B069B"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Digital Supply Chain Unit</w:t>
            </w:r>
          </w:p>
        </w:tc>
        <w:tc>
          <w:tcPr>
            <w:tcW w:w="0" w:type="auto"/>
          </w:tcPr>
          <w:p w14:paraId="78893CE6"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(entry discipline)</w:t>
            </w:r>
          </w:p>
        </w:tc>
      </w:tr>
      <w:tr w:rsidR="00DD1558" w:rsidRPr="00DD1558" w14:paraId="10DFCEBD" w14:textId="77777777" w:rsidTr="00C71E92">
        <w:tc>
          <w:tcPr>
            <w:tcW w:w="0" w:type="auto"/>
          </w:tcPr>
          <w:p w14:paraId="4088965D"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EB3 Custody-transfer protocol</w:t>
            </w:r>
          </w:p>
        </w:tc>
        <w:tc>
          <w:tcPr>
            <w:tcW w:w="0" w:type="auto"/>
          </w:tcPr>
          <w:p w14:paraId="52FD4826"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Board (policy); Committee (protocol content)</w:t>
            </w:r>
          </w:p>
        </w:tc>
        <w:tc>
          <w:tcPr>
            <w:tcW w:w="0" w:type="auto"/>
          </w:tcPr>
          <w:p w14:paraId="59C5B5E4" w14:textId="77777777" w:rsidR="00DD1558" w:rsidRPr="00DD1558" w:rsidRDefault="00DD1558" w:rsidP="00DD1558">
            <w:pPr>
              <w:bidi w:val="0"/>
              <w:spacing w:before="36" w:after="36"/>
              <w:rPr>
                <w:rFonts w:ascii="Simplified Arabic" w:hAnsi="Simplified Arabic" w:cs="Simplified Arabic"/>
                <w:szCs w:val="28"/>
              </w:rPr>
            </w:pPr>
            <w:r w:rsidRPr="00DD1558">
              <w:rPr>
                <w:rFonts w:ascii="Simplified Arabic" w:hAnsi="Simplified Arabic" w:cs="Simplified Arabic"/>
                <w:szCs w:val="28"/>
              </w:rPr>
              <w:t>Technicians (condition records, logs)</w:t>
            </w:r>
          </w:p>
        </w:tc>
      </w:tr>
    </w:tbl>
    <w:p w14:paraId="3D115E2A" w14:textId="77777777" w:rsidR="00772E4C" w:rsidRPr="00772E4C" w:rsidRDefault="00772E4C" w:rsidP="00772E4C">
      <w:pPr>
        <w:bidi w:val="0"/>
      </w:pPr>
    </w:p>
    <w:sectPr w:rsidR="00772E4C" w:rsidRPr="00772E4C" w:rsidSect="004D1F41">
      <w:headerReference w:type="even" r:id="rId15"/>
      <w:footerReference w:type="even" r:id="rId16"/>
      <w:footerReference w:type="default" r:id="rId17"/>
      <w:headerReference w:type="first" r:id="rId18"/>
      <w:footerReference w:type="first" r:id="rId19"/>
      <w:pgSz w:w="11907" w:h="16839" w:code="9"/>
      <w:pgMar w:top="2836" w:right="567" w:bottom="1276"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8070D" w14:textId="77777777" w:rsidR="00BB71E2" w:rsidRDefault="00BB71E2" w:rsidP="00BA4E8D">
      <w:pPr>
        <w:spacing w:after="0" w:line="240" w:lineRule="auto"/>
      </w:pPr>
      <w:r>
        <w:separator/>
      </w:r>
    </w:p>
  </w:endnote>
  <w:endnote w:type="continuationSeparator" w:id="0">
    <w:p w14:paraId="44D0DFB5" w14:textId="77777777" w:rsidR="00BB71E2" w:rsidRDefault="00BB71E2" w:rsidP="00BA4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69507596"/>
      <w:docPartObj>
        <w:docPartGallery w:val="Page Numbers (Bottom of Page)"/>
        <w:docPartUnique/>
      </w:docPartObj>
    </w:sdtPr>
    <w:sdtEndPr>
      <w:rPr>
        <w:noProof/>
      </w:rPr>
    </w:sdtEndPr>
    <w:sdtContent>
      <w:p w14:paraId="0298D457" w14:textId="43C47727" w:rsidR="004F66D2" w:rsidRDefault="004F66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4FDB7" w14:textId="77777777" w:rsidR="004F66D2" w:rsidRDefault="004F66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2D9A2" w14:textId="77777777" w:rsidR="00DD1558" w:rsidRDefault="00DD15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67367073"/>
      <w:docPartObj>
        <w:docPartGallery w:val="Page Numbers (Bottom of Page)"/>
        <w:docPartUnique/>
      </w:docPartObj>
    </w:sdtPr>
    <w:sdtEndPr>
      <w:rPr>
        <w:noProof/>
      </w:rPr>
    </w:sdtEndPr>
    <w:sdtContent>
      <w:p w14:paraId="34259CE6" w14:textId="77777777" w:rsidR="00DD1558" w:rsidRDefault="00DD15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00F77A" w14:textId="77777777" w:rsidR="00DD1558" w:rsidRDefault="00DD15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45B02" w14:textId="77777777" w:rsidR="00DD1558" w:rsidRDefault="00DD1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B95D8" w14:textId="77777777" w:rsidR="00BB71E2" w:rsidRDefault="00BB71E2" w:rsidP="00BA4E8D">
      <w:pPr>
        <w:spacing w:after="0" w:line="240" w:lineRule="auto"/>
      </w:pPr>
      <w:r>
        <w:separator/>
      </w:r>
    </w:p>
  </w:footnote>
  <w:footnote w:type="continuationSeparator" w:id="0">
    <w:p w14:paraId="7309EFEB" w14:textId="77777777" w:rsidR="00BB71E2" w:rsidRDefault="00BB71E2" w:rsidP="00BA4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41FE" w14:textId="354B956A" w:rsidR="00BA4E8D" w:rsidRPr="00BA4E8D" w:rsidRDefault="00853222" w:rsidP="00BA4E8D">
    <w:pPr>
      <w:pStyle w:val="Header"/>
      <w:rPr>
        <w:rFonts w:ascii="Simplified Arabic" w:hAnsi="Simplified Arabic" w:cs="Simplified Arabic"/>
        <w:b/>
        <w:bCs/>
        <w:noProof/>
        <w:sz w:val="32"/>
        <w:szCs w:val="32"/>
        <w:lang w:bidi="ar-SY"/>
      </w:rPr>
    </w:pPr>
    <w:r>
      <w:rPr>
        <w:noProof/>
      </w:rPr>
      <mc:AlternateContent>
        <mc:Choice Requires="wps">
          <w:drawing>
            <wp:anchor distT="0" distB="0" distL="114300" distR="114300" simplePos="0" relativeHeight="251662336" behindDoc="0" locked="0" layoutInCell="1" allowOverlap="1" wp14:anchorId="00C88803" wp14:editId="17CECE86">
              <wp:simplePos x="0" y="0"/>
              <wp:positionH relativeFrom="column">
                <wp:posOffset>-76200</wp:posOffset>
              </wp:positionH>
              <wp:positionV relativeFrom="paragraph">
                <wp:posOffset>-58420</wp:posOffset>
              </wp:positionV>
              <wp:extent cx="3180080" cy="1104900"/>
              <wp:effectExtent l="0" t="0" r="0" b="0"/>
              <wp:wrapSquare wrapText="bothSides"/>
              <wp:docPr id="502364654" name="Text Box 1"/>
              <wp:cNvGraphicFramePr/>
              <a:graphic xmlns:a="http://schemas.openxmlformats.org/drawingml/2006/main">
                <a:graphicData uri="http://schemas.microsoft.com/office/word/2010/wordprocessingShape">
                  <wps:wsp>
                    <wps:cNvSpPr txBox="1"/>
                    <wps:spPr>
                      <a:xfrm>
                        <a:off x="0" y="0"/>
                        <a:ext cx="3180080" cy="1104900"/>
                      </a:xfrm>
                      <a:prstGeom prst="rect">
                        <a:avLst/>
                      </a:prstGeom>
                      <a:noFill/>
                      <a:ln w="6350">
                        <a:noFill/>
                      </a:ln>
                    </wps:spPr>
                    <wps:txbx>
                      <w:txbxContent>
                        <w:p w14:paraId="01BB1F1F" w14:textId="77777777" w:rsidR="00EF4843" w:rsidRPr="0033002C" w:rsidRDefault="00EF4843" w:rsidP="00EF4843">
                          <w:pPr>
                            <w:pStyle w:val="Header"/>
                            <w:jc w:val="right"/>
                            <w:rPr>
                              <w:rFonts w:ascii="Simplified Arabic" w:hAnsi="Simplified Arabic" w:cs="Simplified Arabic"/>
                              <w:b/>
                              <w:bCs/>
                              <w:noProof/>
                              <w:sz w:val="32"/>
                              <w:szCs w:val="32"/>
                              <w:lang w:bidi="ar-SY"/>
                            </w:rPr>
                          </w:pPr>
                          <w:r w:rsidRPr="00EF4843">
                            <w:rPr>
                              <w:rFonts w:ascii="Simplified Arabic" w:hAnsi="Simplified Arabic" w:cs="Simplified Arabic"/>
                              <w:b/>
                              <w:bCs/>
                              <w:noProof/>
                              <w:sz w:val="32"/>
                              <w:szCs w:val="32"/>
                              <w:lang w:bidi="ar-SY"/>
                            </w:rPr>
                            <w:t>Midocean University College of Management Department of Project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88803" id="_x0000_t202" coordsize="21600,21600" o:spt="202" path="m,l,21600r21600,l21600,xe">
              <v:stroke joinstyle="miter"/>
              <v:path gradientshapeok="t" o:connecttype="rect"/>
            </v:shapetype>
            <v:shape id="_x0000_s1030" type="#_x0000_t202" style="position:absolute;left:0;text-align:left;margin-left:-6pt;margin-top:-4.6pt;width:250.4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" filled="f" stroked="f" strokeweight=".5pt">
              <v:textbox>
                <w:txbxContent>
                  <w:p w14:paraId="01BB1F1F" w14:textId="77777777" w:rsidR="00EF4843" w:rsidRPr="0033002C" w:rsidRDefault="00EF4843" w:rsidP="00EF4843">
                    <w:pPr>
                      <w:pStyle w:val="Header"/>
                      <w:jc w:val="right"/>
                      <w:rPr>
                        <w:rFonts w:ascii="Simplified Arabic" w:hAnsi="Simplified Arabic" w:cs="Simplified Arabic"/>
                        <w:b/>
                        <w:bCs/>
                        <w:noProof/>
                        <w:sz w:val="32"/>
                        <w:szCs w:val="32"/>
                        <w:lang w:bidi="ar-SY"/>
                      </w:rPr>
                    </w:pPr>
                    <w:r w:rsidRPr="00EF4843">
                      <w:rPr>
                        <w:rFonts w:ascii="Simplified Arabic" w:hAnsi="Simplified Arabic" w:cs="Simplified Arabic"/>
                        <w:b/>
                        <w:bCs/>
                        <w:noProof/>
                        <w:sz w:val="32"/>
                        <w:szCs w:val="32"/>
                        <w:lang w:bidi="ar-SY"/>
                      </w:rPr>
                      <w:t>Midocean University College of Management Department of Project Management</w:t>
                    </w:r>
                  </w:p>
                </w:txbxContent>
              </v:textbox>
              <w10:wrap type="square"/>
            </v:shape>
          </w:pict>
        </mc:Fallback>
      </mc:AlternateContent>
    </w:r>
    <w:r>
      <w:rPr>
        <w:noProof/>
      </w:rPr>
      <w:drawing>
        <wp:anchor distT="0" distB="0" distL="114300" distR="114300" simplePos="0" relativeHeight="251660288" behindDoc="0" locked="0" layoutInCell="1" allowOverlap="1" wp14:anchorId="29344A43" wp14:editId="562D02BC">
          <wp:simplePos x="0" y="0"/>
          <wp:positionH relativeFrom="margin">
            <wp:posOffset>4740910</wp:posOffset>
          </wp:positionH>
          <wp:positionV relativeFrom="paragraph">
            <wp:posOffset>-55549</wp:posOffset>
          </wp:positionV>
          <wp:extent cx="1732915" cy="768350"/>
          <wp:effectExtent l="0" t="0" r="635" b="0"/>
          <wp:wrapSquare wrapText="bothSides"/>
          <wp:docPr id="950445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41051" name="Picture 945741051"/>
                  <pic:cNvPicPr/>
                </pic:nvPicPr>
                <pic:blipFill>
                  <a:blip r:embed="rId1">
                    <a:extLst>
                      <a:ext uri="{28A0092B-C50C-407E-A947-70E740481C1C}">
                        <a14:useLocalDpi xmlns:a14="http://schemas.microsoft.com/office/drawing/2010/main" val="0"/>
                      </a:ext>
                    </a:extLst>
                  </a:blip>
                  <a:stretch>
                    <a:fillRect/>
                  </a:stretch>
                </pic:blipFill>
                <pic:spPr>
                  <a:xfrm>
                    <a:off x="0" y="0"/>
                    <a:ext cx="1732915" cy="7683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1E235" w14:textId="77777777" w:rsidR="00DD1558" w:rsidRDefault="00DD15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F64D0" w14:textId="77777777" w:rsidR="00DD1558" w:rsidRDefault="00DD15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EC65A6C"/>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0A99411"/>
    <w:multiLevelType w:val="multilevel"/>
    <w:tmpl w:val="0BF644EA"/>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2" w15:restartNumberingAfterBreak="0">
    <w:nsid w:val="03E401CB"/>
    <w:multiLevelType w:val="multilevel"/>
    <w:tmpl w:val="EDCA0F10"/>
    <w:lvl w:ilvl="0">
      <w:start w:val="3"/>
      <w:numFmt w:val="decimal"/>
      <w:lvlText w:val="%1"/>
      <w:lvlJc w:val="left"/>
      <w:pPr>
        <w:ind w:left="388" w:hanging="38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00161E"/>
    <w:multiLevelType w:val="multilevel"/>
    <w:tmpl w:val="75582940"/>
    <w:lvl w:ilvl="0">
      <w:start w:val="9"/>
      <w:numFmt w:val="decimal"/>
      <w:lvlText w:val="%1"/>
      <w:lvlJc w:val="left"/>
      <w:pPr>
        <w:ind w:left="388" w:hanging="38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2B3F00"/>
    <w:multiLevelType w:val="multilevel"/>
    <w:tmpl w:val="3E6039C2"/>
    <w:lvl w:ilvl="0">
      <w:start w:val="4"/>
      <w:numFmt w:val="decimal"/>
      <w:lvlText w:val="%1"/>
      <w:lvlJc w:val="left"/>
      <w:pPr>
        <w:ind w:left="626" w:hanging="626"/>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8545997"/>
    <w:multiLevelType w:val="multilevel"/>
    <w:tmpl w:val="F612BA9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E7D2367"/>
    <w:multiLevelType w:val="multilevel"/>
    <w:tmpl w:val="B4C2FA8E"/>
    <w:lvl w:ilvl="0">
      <w:start w:val="3"/>
      <w:numFmt w:val="decimal"/>
      <w:lvlText w:val="%1"/>
      <w:lvlJc w:val="left"/>
      <w:pPr>
        <w:ind w:left="388" w:hanging="38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ED1623"/>
    <w:multiLevelType w:val="hybridMultilevel"/>
    <w:tmpl w:val="AE3CB43A"/>
    <w:lvl w:ilvl="0" w:tplc="75C44B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9304D9"/>
    <w:multiLevelType w:val="hybridMultilevel"/>
    <w:tmpl w:val="BE0A1D18"/>
    <w:lvl w:ilvl="0" w:tplc="75C44B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056716"/>
    <w:multiLevelType w:val="hybridMultilevel"/>
    <w:tmpl w:val="F5E01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7830E2"/>
    <w:multiLevelType w:val="hybridMultilevel"/>
    <w:tmpl w:val="4EA21158"/>
    <w:lvl w:ilvl="0" w:tplc="75C44BF4">
      <w:start w:val="1"/>
      <w:numFmt w:val="lowerLetter"/>
      <w:lvlText w:val="(%1)"/>
      <w:lvlJc w:val="left"/>
      <w:pPr>
        <w:ind w:left="2589" w:hanging="222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36687E"/>
    <w:multiLevelType w:val="hybridMultilevel"/>
    <w:tmpl w:val="E7CC3318"/>
    <w:lvl w:ilvl="0" w:tplc="1CD20E4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4F1CAD"/>
    <w:multiLevelType w:val="multilevel"/>
    <w:tmpl w:val="F612BA9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5CC1097"/>
    <w:multiLevelType w:val="hybridMultilevel"/>
    <w:tmpl w:val="5DE6B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CD3710"/>
    <w:multiLevelType w:val="multilevel"/>
    <w:tmpl w:val="AA9A7302"/>
    <w:lvl w:ilvl="0">
      <w:start w:val="1"/>
      <w:numFmt w:val="decimal"/>
      <w:lvlText w:val="%1."/>
      <w:lvlJc w:val="left"/>
      <w:pPr>
        <w:ind w:left="960" w:hanging="360"/>
      </w:p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400" w:hanging="180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760" w:hanging="2160"/>
      </w:pPr>
      <w:rPr>
        <w:rFonts w:hint="default"/>
      </w:rPr>
    </w:lvl>
  </w:abstractNum>
  <w:abstractNum w:abstractNumId="15" w15:restartNumberingAfterBreak="0">
    <w:nsid w:val="679B643C"/>
    <w:multiLevelType w:val="hybridMultilevel"/>
    <w:tmpl w:val="07DAB11C"/>
    <w:lvl w:ilvl="0" w:tplc="75C44B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23614"/>
    <w:multiLevelType w:val="hybridMultilevel"/>
    <w:tmpl w:val="D39E0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66DEB"/>
    <w:multiLevelType w:val="multilevel"/>
    <w:tmpl w:val="6BC4D938"/>
    <w:lvl w:ilvl="0">
      <w:start w:val="1"/>
      <w:numFmt w:val="decimal"/>
      <w:lvlText w:val="%1."/>
      <w:lvlJc w:val="left"/>
      <w:pPr>
        <w:ind w:left="720" w:hanging="360"/>
      </w:pPr>
      <w:rPr>
        <w:rFonts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DBF0D60"/>
    <w:multiLevelType w:val="multilevel"/>
    <w:tmpl w:val="0BF644EA"/>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19" w15:restartNumberingAfterBreak="0">
    <w:nsid w:val="7C7B3CA5"/>
    <w:multiLevelType w:val="hybridMultilevel"/>
    <w:tmpl w:val="70526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7600084">
    <w:abstractNumId w:val="0"/>
  </w:num>
  <w:num w:numId="2" w16cid:durableId="419639412">
    <w:abstractNumId w:val="17"/>
  </w:num>
  <w:num w:numId="3" w16cid:durableId="2040229717">
    <w:abstractNumId w:val="16"/>
  </w:num>
  <w:num w:numId="4" w16cid:durableId="2005887765">
    <w:abstractNumId w:val="11"/>
  </w:num>
  <w:num w:numId="5" w16cid:durableId="6519550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16445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9396608">
    <w:abstractNumId w:val="3"/>
  </w:num>
  <w:num w:numId="8" w16cid:durableId="504326531">
    <w:abstractNumId w:val="2"/>
  </w:num>
  <w:num w:numId="9" w16cid:durableId="820459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84050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9130308">
    <w:abstractNumId w:val="15"/>
  </w:num>
  <w:num w:numId="12" w16cid:durableId="846018297">
    <w:abstractNumId w:val="10"/>
  </w:num>
  <w:num w:numId="13" w16cid:durableId="1712151762">
    <w:abstractNumId w:val="8"/>
  </w:num>
  <w:num w:numId="14" w16cid:durableId="1187014343">
    <w:abstractNumId w:val="7"/>
  </w:num>
  <w:num w:numId="15" w16cid:durableId="1753622395">
    <w:abstractNumId w:val="12"/>
  </w:num>
  <w:num w:numId="16" w16cid:durableId="1375159389">
    <w:abstractNumId w:val="14"/>
  </w:num>
  <w:num w:numId="17" w16cid:durableId="1871603408">
    <w:abstractNumId w:val="19"/>
  </w:num>
  <w:num w:numId="18" w16cid:durableId="1509635688">
    <w:abstractNumId w:val="18"/>
  </w:num>
  <w:num w:numId="19" w16cid:durableId="1373575426">
    <w:abstractNumId w:val="5"/>
  </w:num>
  <w:num w:numId="20" w16cid:durableId="634218209">
    <w:abstractNumId w:val="4"/>
  </w:num>
  <w:num w:numId="21" w16cid:durableId="1267345386">
    <w:abstractNumId w:val="13"/>
  </w:num>
  <w:num w:numId="22" w16cid:durableId="1052579996">
    <w:abstractNumId w:val="9"/>
  </w:num>
  <w:num w:numId="23" w16cid:durableId="1552690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E8D"/>
    <w:rsid w:val="00011A37"/>
    <w:rsid w:val="000173E4"/>
    <w:rsid w:val="00097A97"/>
    <w:rsid w:val="000A422D"/>
    <w:rsid w:val="000B163A"/>
    <w:rsid w:val="000B6195"/>
    <w:rsid w:val="000B6ABD"/>
    <w:rsid w:val="000F001F"/>
    <w:rsid w:val="000F1211"/>
    <w:rsid w:val="000F32D7"/>
    <w:rsid w:val="00110C72"/>
    <w:rsid w:val="00144B9A"/>
    <w:rsid w:val="001670AC"/>
    <w:rsid w:val="00172D6C"/>
    <w:rsid w:val="00173653"/>
    <w:rsid w:val="0018617A"/>
    <w:rsid w:val="00192725"/>
    <w:rsid w:val="001A78D2"/>
    <w:rsid w:val="001C6E4A"/>
    <w:rsid w:val="001F06E2"/>
    <w:rsid w:val="00231D5B"/>
    <w:rsid w:val="002333A7"/>
    <w:rsid w:val="00236A9A"/>
    <w:rsid w:val="002462E8"/>
    <w:rsid w:val="00255B7B"/>
    <w:rsid w:val="00272BB3"/>
    <w:rsid w:val="00273038"/>
    <w:rsid w:val="00286AD8"/>
    <w:rsid w:val="002C0C03"/>
    <w:rsid w:val="002D70B7"/>
    <w:rsid w:val="002E0295"/>
    <w:rsid w:val="002E0C9C"/>
    <w:rsid w:val="002F510A"/>
    <w:rsid w:val="003125BE"/>
    <w:rsid w:val="00360683"/>
    <w:rsid w:val="00393EBC"/>
    <w:rsid w:val="003B74F3"/>
    <w:rsid w:val="003E4BDE"/>
    <w:rsid w:val="00400AED"/>
    <w:rsid w:val="00407010"/>
    <w:rsid w:val="0042434E"/>
    <w:rsid w:val="00431D1E"/>
    <w:rsid w:val="00483B6F"/>
    <w:rsid w:val="00496D2F"/>
    <w:rsid w:val="00496D48"/>
    <w:rsid w:val="004B7B25"/>
    <w:rsid w:val="004D1F41"/>
    <w:rsid w:val="004F66D2"/>
    <w:rsid w:val="00512DAD"/>
    <w:rsid w:val="00525C8C"/>
    <w:rsid w:val="005669E3"/>
    <w:rsid w:val="0057729D"/>
    <w:rsid w:val="00581042"/>
    <w:rsid w:val="005C7A02"/>
    <w:rsid w:val="005D13E4"/>
    <w:rsid w:val="005F2579"/>
    <w:rsid w:val="0060178B"/>
    <w:rsid w:val="0065693B"/>
    <w:rsid w:val="00667F60"/>
    <w:rsid w:val="00683474"/>
    <w:rsid w:val="00683528"/>
    <w:rsid w:val="006852E4"/>
    <w:rsid w:val="006A4950"/>
    <w:rsid w:val="006B3E91"/>
    <w:rsid w:val="006C091A"/>
    <w:rsid w:val="006C469D"/>
    <w:rsid w:val="007021A0"/>
    <w:rsid w:val="00705D54"/>
    <w:rsid w:val="00715E9E"/>
    <w:rsid w:val="00730A82"/>
    <w:rsid w:val="00740554"/>
    <w:rsid w:val="00752112"/>
    <w:rsid w:val="007676B1"/>
    <w:rsid w:val="00772E4C"/>
    <w:rsid w:val="007B485E"/>
    <w:rsid w:val="007C3F91"/>
    <w:rsid w:val="007E17D3"/>
    <w:rsid w:val="007E74B5"/>
    <w:rsid w:val="00810621"/>
    <w:rsid w:val="00832778"/>
    <w:rsid w:val="00835506"/>
    <w:rsid w:val="008468B8"/>
    <w:rsid w:val="00853222"/>
    <w:rsid w:val="00861F15"/>
    <w:rsid w:val="00881815"/>
    <w:rsid w:val="0088472F"/>
    <w:rsid w:val="008F6BF9"/>
    <w:rsid w:val="00900AEF"/>
    <w:rsid w:val="00906737"/>
    <w:rsid w:val="00931E28"/>
    <w:rsid w:val="0093358C"/>
    <w:rsid w:val="00933942"/>
    <w:rsid w:val="00935DA7"/>
    <w:rsid w:val="00937FB7"/>
    <w:rsid w:val="00945B28"/>
    <w:rsid w:val="00946C99"/>
    <w:rsid w:val="009616A3"/>
    <w:rsid w:val="00972C67"/>
    <w:rsid w:val="009731F1"/>
    <w:rsid w:val="009A3F9D"/>
    <w:rsid w:val="009D14B7"/>
    <w:rsid w:val="009D553E"/>
    <w:rsid w:val="009E3D5C"/>
    <w:rsid w:val="009F5991"/>
    <w:rsid w:val="00A05FF4"/>
    <w:rsid w:val="00A17CC2"/>
    <w:rsid w:val="00A20664"/>
    <w:rsid w:val="00A6457F"/>
    <w:rsid w:val="00A94BAE"/>
    <w:rsid w:val="00AB7C74"/>
    <w:rsid w:val="00B377F4"/>
    <w:rsid w:val="00B73F9D"/>
    <w:rsid w:val="00B81D6D"/>
    <w:rsid w:val="00B81DC8"/>
    <w:rsid w:val="00B87262"/>
    <w:rsid w:val="00BA4E8D"/>
    <w:rsid w:val="00BB2507"/>
    <w:rsid w:val="00BB71E2"/>
    <w:rsid w:val="00BC0925"/>
    <w:rsid w:val="00BD4D84"/>
    <w:rsid w:val="00BD7773"/>
    <w:rsid w:val="00C86ACA"/>
    <w:rsid w:val="00C92F77"/>
    <w:rsid w:val="00C967DA"/>
    <w:rsid w:val="00CA0BCC"/>
    <w:rsid w:val="00CD2E5F"/>
    <w:rsid w:val="00D16051"/>
    <w:rsid w:val="00D170D0"/>
    <w:rsid w:val="00D20B42"/>
    <w:rsid w:val="00D34CAF"/>
    <w:rsid w:val="00D4076C"/>
    <w:rsid w:val="00D94EE8"/>
    <w:rsid w:val="00D96154"/>
    <w:rsid w:val="00DA45A9"/>
    <w:rsid w:val="00DA6319"/>
    <w:rsid w:val="00DC5C58"/>
    <w:rsid w:val="00DD1558"/>
    <w:rsid w:val="00E11E77"/>
    <w:rsid w:val="00E25CEC"/>
    <w:rsid w:val="00E275BE"/>
    <w:rsid w:val="00E306F1"/>
    <w:rsid w:val="00E31087"/>
    <w:rsid w:val="00E311E3"/>
    <w:rsid w:val="00E379E0"/>
    <w:rsid w:val="00E47704"/>
    <w:rsid w:val="00EA0DC8"/>
    <w:rsid w:val="00EB48E9"/>
    <w:rsid w:val="00EB7891"/>
    <w:rsid w:val="00EF3F14"/>
    <w:rsid w:val="00EF4843"/>
    <w:rsid w:val="00F2035C"/>
    <w:rsid w:val="00F24AF4"/>
    <w:rsid w:val="00F275ED"/>
    <w:rsid w:val="00F43ED2"/>
    <w:rsid w:val="00F65AC7"/>
    <w:rsid w:val="00F76374"/>
    <w:rsid w:val="00F76CC3"/>
    <w:rsid w:val="00F84E0F"/>
    <w:rsid w:val="00FA0DCE"/>
    <w:rsid w:val="00FA26FF"/>
    <w:rsid w:val="00FB13EE"/>
    <w:rsid w:val="00FB6C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BD201"/>
  <w15:chartTrackingRefBased/>
  <w15:docId w15:val="{3BD4197B-B904-4DA5-9BE0-8FE4DC57B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0178B"/>
    <w:pPr>
      <w:keepNext/>
      <w:keepLines/>
      <w:spacing w:before="360" w:after="80"/>
      <w:outlineLvl w:val="0"/>
    </w:pPr>
    <w:rPr>
      <w:rFonts w:ascii="Simplified Arabic" w:eastAsiaTheme="majorEastAsia" w:hAnsi="Simplified Arabic" w:cstheme="majorBidi"/>
      <w:b/>
      <w:sz w:val="32"/>
      <w:szCs w:val="40"/>
    </w:rPr>
  </w:style>
  <w:style w:type="paragraph" w:styleId="Heading2">
    <w:name w:val="heading 2"/>
    <w:basedOn w:val="Normal"/>
    <w:next w:val="Normal"/>
    <w:link w:val="Heading2Char"/>
    <w:uiPriority w:val="9"/>
    <w:unhideWhenUsed/>
    <w:qFormat/>
    <w:rsid w:val="00861F15"/>
    <w:pPr>
      <w:keepNext/>
      <w:keepLines/>
      <w:spacing w:before="160" w:after="80"/>
      <w:jc w:val="right"/>
      <w:outlineLvl w:val="1"/>
    </w:pPr>
    <w:rPr>
      <w:rFonts w:ascii="Simplified Arabic" w:eastAsiaTheme="majorEastAsia" w:hAnsi="Simplified Arabic" w:cstheme="majorBidi"/>
      <w:b/>
      <w:sz w:val="28"/>
      <w:szCs w:val="32"/>
    </w:rPr>
  </w:style>
  <w:style w:type="paragraph" w:styleId="Heading3">
    <w:name w:val="heading 3"/>
    <w:basedOn w:val="Normal"/>
    <w:next w:val="Normal"/>
    <w:link w:val="Heading3Char"/>
    <w:uiPriority w:val="9"/>
    <w:unhideWhenUsed/>
    <w:qFormat/>
    <w:rsid w:val="00861F15"/>
    <w:pPr>
      <w:keepNext/>
      <w:keepLines/>
      <w:spacing w:before="160" w:after="80"/>
      <w:jc w:val="right"/>
      <w:outlineLvl w:val="2"/>
    </w:pPr>
    <w:rPr>
      <w:rFonts w:ascii="Simplified Arabic" w:eastAsiaTheme="majorEastAsia" w:hAnsi="Simplified Arabic" w:cstheme="majorBidi"/>
      <w:sz w:val="28"/>
      <w:szCs w:val="28"/>
    </w:rPr>
  </w:style>
  <w:style w:type="paragraph" w:styleId="Heading4">
    <w:name w:val="heading 4"/>
    <w:basedOn w:val="Normal"/>
    <w:next w:val="Normal"/>
    <w:link w:val="Heading4Char"/>
    <w:uiPriority w:val="9"/>
    <w:unhideWhenUsed/>
    <w:qFormat/>
    <w:rsid w:val="00861F15"/>
    <w:pPr>
      <w:keepNext/>
      <w:keepLines/>
      <w:spacing w:before="80" w:after="40"/>
      <w:jc w:val="right"/>
      <w:outlineLvl w:val="3"/>
    </w:pPr>
    <w:rPr>
      <w:rFonts w:ascii="Simplified Arabic" w:eastAsiaTheme="majorEastAsia" w:hAnsi="Simplified Arabic" w:cstheme="majorBidi"/>
      <w:i/>
      <w:iCs/>
      <w:sz w:val="24"/>
    </w:rPr>
  </w:style>
  <w:style w:type="paragraph" w:styleId="Heading5">
    <w:name w:val="heading 5"/>
    <w:basedOn w:val="Normal"/>
    <w:next w:val="Normal"/>
    <w:link w:val="Heading5Char"/>
    <w:uiPriority w:val="9"/>
    <w:semiHidden/>
    <w:unhideWhenUsed/>
    <w:qFormat/>
    <w:rsid w:val="00BA4E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4E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4E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4E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4E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78B"/>
    <w:rPr>
      <w:rFonts w:ascii="Simplified Arabic" w:eastAsiaTheme="majorEastAsia" w:hAnsi="Simplified Arabic" w:cstheme="majorBidi"/>
      <w:b/>
      <w:sz w:val="32"/>
      <w:szCs w:val="40"/>
    </w:rPr>
  </w:style>
  <w:style w:type="character" w:customStyle="1" w:styleId="Heading2Char">
    <w:name w:val="Heading 2 Char"/>
    <w:basedOn w:val="DefaultParagraphFont"/>
    <w:link w:val="Heading2"/>
    <w:uiPriority w:val="9"/>
    <w:rsid w:val="00861F15"/>
    <w:rPr>
      <w:rFonts w:ascii="Simplified Arabic" w:eastAsiaTheme="majorEastAsia" w:hAnsi="Simplified Arabic" w:cstheme="majorBidi"/>
      <w:b/>
      <w:sz w:val="28"/>
      <w:szCs w:val="32"/>
    </w:rPr>
  </w:style>
  <w:style w:type="character" w:customStyle="1" w:styleId="Heading3Char">
    <w:name w:val="Heading 3 Char"/>
    <w:basedOn w:val="DefaultParagraphFont"/>
    <w:link w:val="Heading3"/>
    <w:uiPriority w:val="9"/>
    <w:rsid w:val="00861F15"/>
    <w:rPr>
      <w:rFonts w:ascii="Simplified Arabic" w:eastAsiaTheme="majorEastAsia" w:hAnsi="Simplified Arabic" w:cstheme="majorBidi"/>
      <w:sz w:val="28"/>
      <w:szCs w:val="28"/>
    </w:rPr>
  </w:style>
  <w:style w:type="character" w:customStyle="1" w:styleId="Heading4Char">
    <w:name w:val="Heading 4 Char"/>
    <w:basedOn w:val="DefaultParagraphFont"/>
    <w:link w:val="Heading4"/>
    <w:uiPriority w:val="9"/>
    <w:rsid w:val="00861F15"/>
    <w:rPr>
      <w:rFonts w:ascii="Simplified Arabic" w:eastAsiaTheme="majorEastAsia" w:hAnsi="Simplified Arabic" w:cstheme="majorBidi"/>
      <w:i/>
      <w:iCs/>
      <w:sz w:val="24"/>
    </w:rPr>
  </w:style>
  <w:style w:type="character" w:customStyle="1" w:styleId="Heading5Char">
    <w:name w:val="Heading 5 Char"/>
    <w:basedOn w:val="DefaultParagraphFont"/>
    <w:link w:val="Heading5"/>
    <w:uiPriority w:val="9"/>
    <w:semiHidden/>
    <w:rsid w:val="00BA4E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4E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4E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4E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4E8D"/>
    <w:rPr>
      <w:rFonts w:eastAsiaTheme="majorEastAsia" w:cstheme="majorBidi"/>
      <w:color w:val="272727" w:themeColor="text1" w:themeTint="D8"/>
    </w:rPr>
  </w:style>
  <w:style w:type="paragraph" w:styleId="Title">
    <w:name w:val="Title"/>
    <w:basedOn w:val="Normal"/>
    <w:next w:val="Normal"/>
    <w:link w:val="TitleChar"/>
    <w:uiPriority w:val="10"/>
    <w:qFormat/>
    <w:rsid w:val="00BA4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4E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4E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4E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4E8D"/>
    <w:pPr>
      <w:spacing w:before="160"/>
      <w:jc w:val="center"/>
    </w:pPr>
    <w:rPr>
      <w:i/>
      <w:iCs/>
      <w:color w:val="404040" w:themeColor="text1" w:themeTint="BF"/>
    </w:rPr>
  </w:style>
  <w:style w:type="character" w:customStyle="1" w:styleId="QuoteChar">
    <w:name w:val="Quote Char"/>
    <w:basedOn w:val="DefaultParagraphFont"/>
    <w:link w:val="Quote"/>
    <w:uiPriority w:val="29"/>
    <w:rsid w:val="00BA4E8D"/>
    <w:rPr>
      <w:i/>
      <w:iCs/>
      <w:color w:val="404040" w:themeColor="text1" w:themeTint="BF"/>
    </w:rPr>
  </w:style>
  <w:style w:type="paragraph" w:styleId="ListParagraph">
    <w:name w:val="List Paragraph"/>
    <w:basedOn w:val="Normal"/>
    <w:uiPriority w:val="34"/>
    <w:qFormat/>
    <w:rsid w:val="00BA4E8D"/>
    <w:pPr>
      <w:ind w:left="720"/>
      <w:contextualSpacing/>
    </w:pPr>
  </w:style>
  <w:style w:type="character" w:styleId="IntenseEmphasis">
    <w:name w:val="Intense Emphasis"/>
    <w:basedOn w:val="DefaultParagraphFont"/>
    <w:uiPriority w:val="21"/>
    <w:qFormat/>
    <w:rsid w:val="00BA4E8D"/>
    <w:rPr>
      <w:i/>
      <w:iCs/>
      <w:color w:val="0F4761" w:themeColor="accent1" w:themeShade="BF"/>
    </w:rPr>
  </w:style>
  <w:style w:type="paragraph" w:styleId="IntenseQuote">
    <w:name w:val="Intense Quote"/>
    <w:basedOn w:val="Normal"/>
    <w:next w:val="Normal"/>
    <w:link w:val="IntenseQuoteChar"/>
    <w:uiPriority w:val="30"/>
    <w:qFormat/>
    <w:rsid w:val="00BA4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4E8D"/>
    <w:rPr>
      <w:i/>
      <w:iCs/>
      <w:color w:val="0F4761" w:themeColor="accent1" w:themeShade="BF"/>
    </w:rPr>
  </w:style>
  <w:style w:type="character" w:styleId="IntenseReference">
    <w:name w:val="Intense Reference"/>
    <w:basedOn w:val="DefaultParagraphFont"/>
    <w:uiPriority w:val="32"/>
    <w:qFormat/>
    <w:rsid w:val="00BA4E8D"/>
    <w:rPr>
      <w:b/>
      <w:bCs/>
      <w:smallCaps/>
      <w:color w:val="0F4761" w:themeColor="accent1" w:themeShade="BF"/>
      <w:spacing w:val="5"/>
    </w:rPr>
  </w:style>
  <w:style w:type="paragraph" w:styleId="Header">
    <w:name w:val="header"/>
    <w:basedOn w:val="Normal"/>
    <w:link w:val="HeaderChar"/>
    <w:uiPriority w:val="99"/>
    <w:unhideWhenUsed/>
    <w:rsid w:val="00BA4E8D"/>
    <w:pPr>
      <w:tabs>
        <w:tab w:val="center" w:pos="4320"/>
        <w:tab w:val="right" w:pos="8640"/>
      </w:tabs>
      <w:spacing w:after="0" w:line="240" w:lineRule="auto"/>
    </w:pPr>
  </w:style>
  <w:style w:type="character" w:customStyle="1" w:styleId="HeaderChar">
    <w:name w:val="Header Char"/>
    <w:basedOn w:val="DefaultParagraphFont"/>
    <w:link w:val="Header"/>
    <w:uiPriority w:val="99"/>
    <w:rsid w:val="00BA4E8D"/>
  </w:style>
  <w:style w:type="paragraph" w:styleId="Footer">
    <w:name w:val="footer"/>
    <w:basedOn w:val="Normal"/>
    <w:link w:val="FooterChar"/>
    <w:uiPriority w:val="99"/>
    <w:unhideWhenUsed/>
    <w:rsid w:val="00BA4E8D"/>
    <w:pPr>
      <w:tabs>
        <w:tab w:val="center" w:pos="4320"/>
        <w:tab w:val="right" w:pos="8640"/>
      </w:tabs>
      <w:spacing w:after="0" w:line="240" w:lineRule="auto"/>
    </w:pPr>
  </w:style>
  <w:style w:type="character" w:customStyle="1" w:styleId="FooterChar">
    <w:name w:val="Footer Char"/>
    <w:basedOn w:val="DefaultParagraphFont"/>
    <w:link w:val="Footer"/>
    <w:uiPriority w:val="99"/>
    <w:rsid w:val="00BA4E8D"/>
  </w:style>
  <w:style w:type="paragraph" w:styleId="BodyText">
    <w:name w:val="Body Text"/>
    <w:basedOn w:val="Normal"/>
    <w:link w:val="BodyTextChar"/>
    <w:qFormat/>
    <w:rsid w:val="00946C99"/>
    <w:pPr>
      <w:bidi w:val="0"/>
      <w:spacing w:before="180" w:line="360" w:lineRule="auto"/>
    </w:pPr>
    <w:rPr>
      <w:rFonts w:ascii="Times New Roman" w:eastAsia="Times New Roman" w:hAnsi="Times New Roman" w:cs="Times New Roman"/>
      <w:color w:val="1A1A1A"/>
      <w:sz w:val="24"/>
      <w:szCs w:val="24"/>
      <w14:ligatures w14:val="none"/>
    </w:rPr>
  </w:style>
  <w:style w:type="character" w:customStyle="1" w:styleId="BodyTextChar">
    <w:name w:val="Body Text Char"/>
    <w:basedOn w:val="DefaultParagraphFont"/>
    <w:link w:val="BodyText"/>
    <w:rsid w:val="00946C99"/>
    <w:rPr>
      <w:rFonts w:ascii="Times New Roman" w:eastAsia="Times New Roman" w:hAnsi="Times New Roman" w:cs="Times New Roman"/>
      <w:color w:val="1A1A1A"/>
      <w:sz w:val="24"/>
      <w:szCs w:val="24"/>
      <w14:ligatures w14:val="none"/>
    </w:rPr>
  </w:style>
  <w:style w:type="paragraph" w:customStyle="1" w:styleId="FirstParagraph">
    <w:name w:val="First Paragraph"/>
    <w:basedOn w:val="BodyText"/>
    <w:next w:val="BodyText"/>
    <w:qFormat/>
    <w:rsid w:val="00946C99"/>
  </w:style>
  <w:style w:type="paragraph" w:customStyle="1" w:styleId="Compact">
    <w:name w:val="Compact"/>
    <w:basedOn w:val="BodyText"/>
    <w:qFormat/>
    <w:rsid w:val="009A3F9D"/>
    <w:pPr>
      <w:spacing w:before="36" w:after="36" w:line="240" w:lineRule="auto"/>
    </w:pPr>
    <w:rPr>
      <w:rFonts w:ascii="Cambria" w:eastAsia="Cambria" w:hAnsi="Cambria" w:cs="Cambria"/>
      <w:color w:val="212121"/>
      <w:sz w:val="22"/>
    </w:rPr>
  </w:style>
  <w:style w:type="table" w:customStyle="1" w:styleId="Table">
    <w:name w:val="Table"/>
    <w:semiHidden/>
    <w:unhideWhenUsed/>
    <w:qFormat/>
    <w:rsid w:val="000F001F"/>
    <w:pPr>
      <w:spacing w:after="200" w:line="240" w:lineRule="auto"/>
    </w:pPr>
    <w:rPr>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Bibliography">
    <w:name w:val="Bibliography"/>
    <w:basedOn w:val="Normal"/>
    <w:next w:val="Normal"/>
    <w:uiPriority w:val="37"/>
    <w:unhideWhenUsed/>
    <w:rsid w:val="00FB6C6E"/>
    <w:rPr>
      <w:rFonts w:ascii="Simplified Arabic" w:hAnsi="Simplified Arabic"/>
      <w:sz w:val="28"/>
    </w:rPr>
  </w:style>
  <w:style w:type="paragraph" w:styleId="BlockText">
    <w:name w:val="Block Text"/>
    <w:basedOn w:val="BodyText"/>
    <w:next w:val="BodyText"/>
    <w:uiPriority w:val="9"/>
    <w:unhideWhenUsed/>
    <w:qFormat/>
    <w:rsid w:val="00FB6C6E"/>
    <w:pPr>
      <w:spacing w:before="100" w:after="100" w:line="240" w:lineRule="auto"/>
      <w:ind w:left="480" w:right="480"/>
    </w:pPr>
    <w:rPr>
      <w:rFonts w:ascii="Cambria" w:eastAsia="Cambria" w:hAnsi="Cambria" w:cs="Cambria"/>
      <w:color w:val="212121"/>
      <w:sz w:val="22"/>
    </w:rPr>
  </w:style>
  <w:style w:type="character" w:styleId="Hyperlink">
    <w:name w:val="Hyperlink"/>
    <w:basedOn w:val="DefaultParagraphFont"/>
    <w:uiPriority w:val="99"/>
    <w:unhideWhenUsed/>
    <w:rsid w:val="00FB6C6E"/>
    <w:rPr>
      <w:color w:val="467886" w:themeColor="hyperlink"/>
      <w:u w:val="single"/>
    </w:rPr>
  </w:style>
  <w:style w:type="character" w:styleId="UnresolvedMention">
    <w:name w:val="Unresolved Mention"/>
    <w:basedOn w:val="DefaultParagraphFont"/>
    <w:uiPriority w:val="99"/>
    <w:semiHidden/>
    <w:unhideWhenUsed/>
    <w:rsid w:val="00FB6C6E"/>
    <w:rPr>
      <w:color w:val="605E5C"/>
      <w:shd w:val="clear" w:color="auto" w:fill="E1DFDD"/>
    </w:rPr>
  </w:style>
  <w:style w:type="paragraph" w:styleId="TOCHeading">
    <w:name w:val="TOC Heading"/>
    <w:basedOn w:val="Heading1"/>
    <w:next w:val="BodyText"/>
    <w:uiPriority w:val="39"/>
    <w:unhideWhenUsed/>
    <w:qFormat/>
    <w:rsid w:val="00FB6C6E"/>
    <w:pPr>
      <w:bidi w:val="0"/>
      <w:spacing w:before="240" w:after="120"/>
      <w:outlineLvl w:val="9"/>
    </w:pPr>
    <w:rPr>
      <w:rFonts w:asciiTheme="majorHAnsi" w:hAnsiTheme="majorHAnsi"/>
      <w:b w:val="0"/>
      <w:color w:val="0F4761" w:themeColor="accent1" w:themeShade="BF"/>
      <w:szCs w:val="32"/>
      <w14:ligatures w14:val="none"/>
    </w:rPr>
  </w:style>
  <w:style w:type="character" w:styleId="LineNumber">
    <w:name w:val="line number"/>
    <w:basedOn w:val="DefaultParagraphFont"/>
    <w:uiPriority w:val="99"/>
    <w:semiHidden/>
    <w:unhideWhenUsed/>
    <w:rsid w:val="00FB6C6E"/>
  </w:style>
  <w:style w:type="character" w:styleId="FollowedHyperlink">
    <w:name w:val="FollowedHyperlink"/>
    <w:basedOn w:val="DefaultParagraphFont"/>
    <w:uiPriority w:val="99"/>
    <w:semiHidden/>
    <w:unhideWhenUsed/>
    <w:rsid w:val="00FB6C6E"/>
    <w:rPr>
      <w:color w:val="96607D" w:themeColor="followedHyperlink"/>
      <w:u w:val="single"/>
    </w:rPr>
  </w:style>
  <w:style w:type="numbering" w:customStyle="1" w:styleId="NoList1">
    <w:name w:val="No List1"/>
    <w:next w:val="NoList"/>
    <w:uiPriority w:val="99"/>
    <w:semiHidden/>
    <w:unhideWhenUsed/>
    <w:rsid w:val="00DD1558"/>
  </w:style>
  <w:style w:type="paragraph" w:styleId="TOC1">
    <w:name w:val="toc 1"/>
    <w:basedOn w:val="Normal"/>
    <w:next w:val="Normal"/>
    <w:autoRedefine/>
    <w:uiPriority w:val="39"/>
    <w:unhideWhenUsed/>
    <w:rsid w:val="00E275BE"/>
    <w:pPr>
      <w:tabs>
        <w:tab w:val="right" w:leader="dot" w:pos="10196"/>
      </w:tabs>
      <w:spacing w:after="100"/>
    </w:pPr>
  </w:style>
  <w:style w:type="paragraph" w:styleId="TOC2">
    <w:name w:val="toc 2"/>
    <w:basedOn w:val="Normal"/>
    <w:next w:val="Normal"/>
    <w:autoRedefine/>
    <w:uiPriority w:val="39"/>
    <w:unhideWhenUsed/>
    <w:rsid w:val="00E275BE"/>
    <w:pPr>
      <w:tabs>
        <w:tab w:val="left" w:pos="6252"/>
        <w:tab w:val="right" w:leader="dot" w:pos="10196"/>
      </w:tabs>
      <w:bidi w:val="0"/>
      <w:spacing w:after="100"/>
      <w:ind w:left="220"/>
    </w:pPr>
  </w:style>
  <w:style w:type="paragraph" w:styleId="TOC3">
    <w:name w:val="toc 3"/>
    <w:basedOn w:val="Normal"/>
    <w:next w:val="Normal"/>
    <w:autoRedefine/>
    <w:uiPriority w:val="39"/>
    <w:unhideWhenUsed/>
    <w:rsid w:val="00DD1558"/>
    <w:pPr>
      <w:spacing w:after="100"/>
      <w:ind w:left="440"/>
    </w:pPr>
  </w:style>
  <w:style w:type="paragraph" w:styleId="TOC4">
    <w:name w:val="toc 4"/>
    <w:basedOn w:val="Normal"/>
    <w:next w:val="Normal"/>
    <w:autoRedefine/>
    <w:uiPriority w:val="39"/>
    <w:unhideWhenUsed/>
    <w:rsid w:val="00DD1558"/>
    <w:pPr>
      <w:bidi w:val="0"/>
      <w:spacing w:after="100" w:line="278" w:lineRule="auto"/>
      <w:ind w:left="720"/>
    </w:pPr>
    <w:rPr>
      <w:rFonts w:eastAsiaTheme="minorEastAsia"/>
      <w:kern w:val="2"/>
      <w:sz w:val="24"/>
      <w:szCs w:val="24"/>
    </w:rPr>
  </w:style>
  <w:style w:type="paragraph" w:styleId="TOC5">
    <w:name w:val="toc 5"/>
    <w:basedOn w:val="Normal"/>
    <w:next w:val="Normal"/>
    <w:autoRedefine/>
    <w:uiPriority w:val="39"/>
    <w:unhideWhenUsed/>
    <w:rsid w:val="00DD1558"/>
    <w:pPr>
      <w:bidi w:val="0"/>
      <w:spacing w:after="100" w:line="278" w:lineRule="auto"/>
      <w:ind w:left="960"/>
    </w:pPr>
    <w:rPr>
      <w:rFonts w:eastAsiaTheme="minorEastAsia"/>
      <w:kern w:val="2"/>
      <w:sz w:val="24"/>
      <w:szCs w:val="24"/>
    </w:rPr>
  </w:style>
  <w:style w:type="paragraph" w:styleId="TOC6">
    <w:name w:val="toc 6"/>
    <w:basedOn w:val="Normal"/>
    <w:next w:val="Normal"/>
    <w:autoRedefine/>
    <w:uiPriority w:val="39"/>
    <w:unhideWhenUsed/>
    <w:rsid w:val="00DD1558"/>
    <w:pPr>
      <w:bidi w:val="0"/>
      <w:spacing w:after="100" w:line="278" w:lineRule="auto"/>
      <w:ind w:left="1200"/>
    </w:pPr>
    <w:rPr>
      <w:rFonts w:eastAsiaTheme="minorEastAsia"/>
      <w:kern w:val="2"/>
      <w:sz w:val="24"/>
      <w:szCs w:val="24"/>
    </w:rPr>
  </w:style>
  <w:style w:type="paragraph" w:styleId="TOC7">
    <w:name w:val="toc 7"/>
    <w:basedOn w:val="Normal"/>
    <w:next w:val="Normal"/>
    <w:autoRedefine/>
    <w:uiPriority w:val="39"/>
    <w:unhideWhenUsed/>
    <w:rsid w:val="00DD1558"/>
    <w:pPr>
      <w:bidi w:val="0"/>
      <w:spacing w:after="100" w:line="278" w:lineRule="auto"/>
      <w:ind w:left="1440"/>
    </w:pPr>
    <w:rPr>
      <w:rFonts w:eastAsiaTheme="minorEastAsia"/>
      <w:kern w:val="2"/>
      <w:sz w:val="24"/>
      <w:szCs w:val="24"/>
    </w:rPr>
  </w:style>
  <w:style w:type="paragraph" w:styleId="TOC8">
    <w:name w:val="toc 8"/>
    <w:basedOn w:val="Normal"/>
    <w:next w:val="Normal"/>
    <w:autoRedefine/>
    <w:uiPriority w:val="39"/>
    <w:unhideWhenUsed/>
    <w:rsid w:val="00DD1558"/>
    <w:pPr>
      <w:bidi w:val="0"/>
      <w:spacing w:after="100" w:line="278" w:lineRule="auto"/>
      <w:ind w:left="1680"/>
    </w:pPr>
    <w:rPr>
      <w:rFonts w:eastAsiaTheme="minorEastAsia"/>
      <w:kern w:val="2"/>
      <w:sz w:val="24"/>
      <w:szCs w:val="24"/>
    </w:rPr>
  </w:style>
  <w:style w:type="paragraph" w:styleId="TOC9">
    <w:name w:val="toc 9"/>
    <w:basedOn w:val="BodyText"/>
    <w:next w:val="BodyText"/>
    <w:autoRedefine/>
    <w:uiPriority w:val="39"/>
    <w:unhideWhenUsed/>
    <w:rsid w:val="00E275BE"/>
    <w:pPr>
      <w:spacing w:after="100" w:line="278" w:lineRule="auto"/>
      <w:ind w:left="1701"/>
    </w:pPr>
    <w:rPr>
      <w:rFonts w:eastAsiaTheme="minorEastAsia"/>
      <w:kern w:val="2"/>
    </w:rPr>
  </w:style>
  <w:style w:type="paragraph" w:styleId="Caption">
    <w:name w:val="caption"/>
    <w:basedOn w:val="Normal"/>
    <w:next w:val="Normal"/>
    <w:uiPriority w:val="35"/>
    <w:unhideWhenUsed/>
    <w:qFormat/>
    <w:rsid w:val="00431D1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9E3D5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9D01D-CE83-4CB5-88B9-717E6A7D1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244</Pages>
  <Words>272877</Words>
  <Characters>1555399</Characters>
  <Application>Microsoft Office Word</Application>
  <DocSecurity>0</DocSecurity>
  <Lines>12961</Lines>
  <Paragraphs>3649</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Title Page:</vt:lpstr>
      <vt:lpstr>صفحة العنوان:</vt:lpstr>
      <vt:lpstr>إقرار طالب بإعداد وتسليم بحث علمي</vt:lpstr>
      <vt:lpstr>Acknowledgments</vt:lpstr>
      <vt:lpstr>الملخص العربي</vt:lpstr>
      <vt:lpstr>Abstract</vt:lpstr>
      <vt:lpstr>Table of Contents</vt:lpstr>
      <vt:lpstr>List of Tables</vt:lpstr>
      <vt:lpstr>List of Figures</vt:lpstr>
      <vt:lpstr>List of Abbreviations and Terminology</vt:lpstr>
    </vt:vector>
  </TitlesOfParts>
  <Company/>
  <LinksUpToDate>false</LinksUpToDate>
  <CharactersWithSpaces>1824627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H. Alsahli</dc:creator>
  <cp:keywords/>
  <dc:description/>
  <cp:lastModifiedBy>Manar H. Alsahli</cp:lastModifiedBy>
  <cp:revision>96</cp:revision>
  <dcterms:created xsi:type="dcterms:W3CDTF">2026-08-04T05:48:00Z</dcterms:created>
  <dcterms:modified xsi:type="dcterms:W3CDTF">2026-08-13T15:56:00Z</dcterms:modified>
</cp:coreProperties>
</file>