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0404EF6" w:rsidR="009125CE" w:rsidRPr="00BE3D42" w:rsidRDefault="00D7372F" w:rsidP="00D7372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E3D42">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5815354">
            <wp:simplePos x="0" y="0"/>
            <wp:positionH relativeFrom="margin">
              <wp:posOffset>353060</wp:posOffset>
            </wp:positionH>
            <wp:positionV relativeFrom="margin">
              <wp:posOffset>-80010</wp:posOffset>
            </wp:positionV>
            <wp:extent cx="1732457" cy="1607820"/>
            <wp:effectExtent l="0" t="0" r="127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2457" cy="1607820"/>
                    </a:xfrm>
                    <a:prstGeom prst="rect">
                      <a:avLst/>
                    </a:prstGeom>
                  </pic:spPr>
                </pic:pic>
              </a:graphicData>
            </a:graphic>
            <wp14:sizeRelH relativeFrom="margin">
              <wp14:pctWidth>0</wp14:pctWidth>
            </wp14:sizeRelH>
            <wp14:sizeRelV relativeFrom="margin">
              <wp14:pctHeight>0</wp14:pctHeight>
            </wp14:sizeRelV>
          </wp:anchor>
        </w:drawing>
      </w:r>
      <w:r w:rsidR="009125CE" w:rsidRPr="00BE3D42">
        <w:rPr>
          <w:rFonts w:ascii="Simplified Arabic" w:hAnsi="Simplified Arabic" w:cs="Simplified Arabic"/>
          <w:b/>
          <w:bCs/>
          <w:color w:val="000000" w:themeColor="text1"/>
          <w:sz w:val="32"/>
          <w:szCs w:val="32"/>
          <w:rtl/>
          <w:lang w:bidi="ar-EG"/>
        </w:rPr>
        <w:t xml:space="preserve">جامعة ميدأوشن </w:t>
      </w:r>
    </w:p>
    <w:p w14:paraId="1E957002" w14:textId="1C5F54AE" w:rsidR="00F546CE" w:rsidRPr="00BE3D42" w:rsidRDefault="009125CE" w:rsidP="00D7372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E3D42">
        <w:rPr>
          <w:rFonts w:ascii="Simplified Arabic" w:hAnsi="Simplified Arabic" w:cs="Simplified Arabic"/>
          <w:b/>
          <w:bCs/>
          <w:color w:val="000000" w:themeColor="text1"/>
          <w:sz w:val="32"/>
          <w:szCs w:val="32"/>
          <w:lang w:bidi="ar-EG"/>
        </w:rPr>
        <w:t xml:space="preserve"> </w:t>
      </w:r>
      <w:r w:rsidRPr="00BE3D42">
        <w:rPr>
          <w:rFonts w:ascii="Simplified Arabic" w:hAnsi="Simplified Arabic" w:cs="Simplified Arabic"/>
          <w:b/>
          <w:bCs/>
          <w:color w:val="000000" w:themeColor="text1"/>
          <w:sz w:val="32"/>
          <w:szCs w:val="32"/>
          <w:rtl/>
          <w:lang w:bidi="ar-EG"/>
        </w:rPr>
        <w:t xml:space="preserve">كلية </w:t>
      </w:r>
      <w:r w:rsidR="008C42C1" w:rsidRPr="00BE3D42">
        <w:rPr>
          <w:rFonts w:ascii="Simplified Arabic" w:hAnsi="Simplified Arabic" w:cs="Simplified Arabic"/>
          <w:b/>
          <w:bCs/>
          <w:color w:val="000000" w:themeColor="text1"/>
          <w:sz w:val="32"/>
          <w:szCs w:val="32"/>
          <w:rtl/>
          <w:lang w:bidi="ar-EG"/>
        </w:rPr>
        <w:t>الإدارة</w:t>
      </w:r>
      <w:r w:rsidRPr="00BE3D42">
        <w:rPr>
          <w:rFonts w:ascii="Simplified Arabic" w:hAnsi="Simplified Arabic" w:cs="Simplified Arabic"/>
          <w:b/>
          <w:bCs/>
          <w:color w:val="000000" w:themeColor="text1"/>
          <w:sz w:val="32"/>
          <w:szCs w:val="32"/>
          <w:rtl/>
          <w:lang w:bidi="ar-EG"/>
        </w:rPr>
        <w:t xml:space="preserve"> </w:t>
      </w:r>
    </w:p>
    <w:p w14:paraId="0217C513" w14:textId="28FA0F89" w:rsidR="009125CE" w:rsidRPr="00BE3D42" w:rsidRDefault="009125CE" w:rsidP="00D7372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E3D42">
        <w:rPr>
          <w:rFonts w:ascii="Simplified Arabic" w:hAnsi="Simplified Arabic" w:cs="Simplified Arabic"/>
          <w:b/>
          <w:bCs/>
          <w:color w:val="000000" w:themeColor="text1"/>
          <w:sz w:val="32"/>
          <w:szCs w:val="32"/>
          <w:rtl/>
          <w:lang w:bidi="ar-EG"/>
        </w:rPr>
        <w:t>تخصص</w:t>
      </w:r>
      <w:r w:rsidR="00B15A9E" w:rsidRPr="00BE3D42">
        <w:rPr>
          <w:rFonts w:ascii="Simplified Arabic" w:hAnsi="Simplified Arabic" w:cs="Simplified Arabic"/>
          <w:b/>
          <w:bCs/>
          <w:color w:val="000000" w:themeColor="text1"/>
          <w:sz w:val="32"/>
          <w:szCs w:val="32"/>
          <w:rtl/>
          <w:lang w:bidi="ar-EG"/>
        </w:rPr>
        <w:t xml:space="preserve"> </w:t>
      </w:r>
      <w:r w:rsidR="00854B0B" w:rsidRPr="00BE3D42">
        <w:rPr>
          <w:rFonts w:ascii="Simplified Arabic" w:hAnsi="Simplified Arabic" w:cs="Simplified Arabic"/>
          <w:b/>
          <w:bCs/>
          <w:color w:val="000000" w:themeColor="text1"/>
          <w:sz w:val="32"/>
          <w:szCs w:val="32"/>
          <w:rtl/>
          <w:lang w:bidi="ar-EG"/>
        </w:rPr>
        <w:t>اداره ا</w:t>
      </w:r>
      <w:r w:rsidR="00CC6261" w:rsidRPr="00BE3D42">
        <w:rPr>
          <w:rFonts w:ascii="Simplified Arabic" w:hAnsi="Simplified Arabic" w:cs="Simplified Arabic"/>
          <w:b/>
          <w:bCs/>
          <w:color w:val="000000" w:themeColor="text1"/>
          <w:sz w:val="32"/>
          <w:szCs w:val="32"/>
          <w:rtl/>
          <w:lang w:bidi="ar-EG"/>
        </w:rPr>
        <w:t>ل</w:t>
      </w:r>
      <w:r w:rsidR="0002547A" w:rsidRPr="00BE3D42">
        <w:rPr>
          <w:rFonts w:ascii="Simplified Arabic" w:hAnsi="Simplified Arabic" w:cs="Simplified Arabic"/>
          <w:b/>
          <w:bCs/>
          <w:color w:val="000000" w:themeColor="text1"/>
          <w:sz w:val="32"/>
          <w:szCs w:val="32"/>
          <w:rtl/>
          <w:lang w:bidi="ar-EG"/>
        </w:rPr>
        <w:t>اعمال</w:t>
      </w:r>
    </w:p>
    <w:p w14:paraId="0A25F43C" w14:textId="77777777" w:rsidR="008C7BB4" w:rsidRPr="00BE3D42" w:rsidRDefault="008C7BB4" w:rsidP="00D7372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7432C6F" w14:textId="77777777" w:rsidR="00F971C1" w:rsidRPr="00BE3D42" w:rsidRDefault="00F971C1" w:rsidP="00D7372F">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BE3D42">
        <w:rPr>
          <w:rFonts w:ascii="Simplified Arabic" w:hAnsi="Simplified Arabic" w:cs="Simplified Arabic"/>
          <w:b/>
          <w:bCs/>
          <w:color w:val="000000" w:themeColor="text1"/>
          <w:sz w:val="40"/>
          <w:szCs w:val="40"/>
          <w:rtl/>
        </w:rPr>
        <w:t>أثر الثقة في الموظف على قرار الحصول على التمويل الشخصي: دراسة ميدانية على عملاء أحد البنوك في المملكة العربية السعودية</w:t>
      </w:r>
    </w:p>
    <w:p w14:paraId="27EEA8E7" w14:textId="77777777" w:rsidR="00D7372F" w:rsidRPr="00BE3D42" w:rsidRDefault="00D7372F" w:rsidP="00D7372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38BCAA7E" w:rsidR="009125CE" w:rsidRPr="00BE3D42" w:rsidRDefault="009125CE" w:rsidP="00D7372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E3D42">
        <w:rPr>
          <w:rFonts w:ascii="Simplified Arabic" w:hAnsi="Simplified Arabic" w:cs="Simplified Arabic"/>
          <w:b/>
          <w:bCs/>
          <w:color w:val="000000" w:themeColor="text1"/>
          <w:sz w:val="36"/>
          <w:szCs w:val="36"/>
          <w:rtl/>
          <w:lang w:bidi="ar-EG"/>
        </w:rPr>
        <w:t>إعداد الطالب/</w:t>
      </w:r>
    </w:p>
    <w:p w14:paraId="75BE5E7D" w14:textId="40A438F0" w:rsidR="00D56F6C" w:rsidRPr="00BE3D42" w:rsidRDefault="00D56F6C" w:rsidP="00D7372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BE3D42">
        <w:rPr>
          <w:rFonts w:ascii="Simplified Arabic" w:hAnsi="Simplified Arabic" w:cs="Simplified Arabic"/>
          <w:color w:val="000000" w:themeColor="text1"/>
          <w:sz w:val="36"/>
          <w:szCs w:val="36"/>
          <w:rtl/>
          <w:lang w:bidi="ar-EG"/>
        </w:rPr>
        <w:t>عادل عقيل الجهني</w:t>
      </w:r>
    </w:p>
    <w:p w14:paraId="72AE4360" w14:textId="4D666B99" w:rsidR="00854B0B" w:rsidRPr="00BE3D42" w:rsidRDefault="00D56F6C" w:rsidP="00D7372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BE3D42">
        <w:rPr>
          <w:rFonts w:ascii="Simplified Arabic" w:hAnsi="Simplified Arabic" w:cs="Simplified Arabic"/>
          <w:color w:val="000000" w:themeColor="text1"/>
          <w:sz w:val="36"/>
          <w:szCs w:val="36"/>
          <w:rtl/>
          <w:lang w:bidi="ar-EG"/>
        </w:rPr>
        <w:t>٢٥٣٠٠٠٠٥٦</w:t>
      </w:r>
    </w:p>
    <w:tbl>
      <w:tblPr>
        <w:bidiVisual/>
        <w:tblW w:w="0" w:type="auto"/>
        <w:tblLook w:val="04A0" w:firstRow="1" w:lastRow="0" w:firstColumn="1" w:lastColumn="0" w:noHBand="0" w:noVBand="1"/>
      </w:tblPr>
      <w:tblGrid>
        <w:gridCol w:w="4530"/>
        <w:gridCol w:w="4531"/>
      </w:tblGrid>
      <w:tr w:rsidR="00D7372F" w:rsidRPr="00BE3D42" w14:paraId="12DCDEAD" w14:textId="77777777" w:rsidTr="00E216FE">
        <w:tc>
          <w:tcPr>
            <w:tcW w:w="4530" w:type="dxa"/>
          </w:tcPr>
          <w:p w14:paraId="68E35F1C" w14:textId="77777777" w:rsidR="00D7372F" w:rsidRPr="00BE3D42" w:rsidRDefault="00D7372F" w:rsidP="00E216F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E3D42">
              <w:rPr>
                <w:rFonts w:ascii="Simplified Arabic" w:hAnsi="Simplified Arabic" w:cs="Simplified Arabic" w:hint="cs"/>
                <w:b/>
                <w:bCs/>
                <w:color w:val="000000" w:themeColor="text1"/>
                <w:sz w:val="36"/>
                <w:szCs w:val="36"/>
                <w:rtl/>
                <w:lang w:bidi="ar-EG"/>
              </w:rPr>
              <w:t>المشرف الرئيسي/</w:t>
            </w:r>
          </w:p>
        </w:tc>
        <w:tc>
          <w:tcPr>
            <w:tcW w:w="4531" w:type="dxa"/>
          </w:tcPr>
          <w:p w14:paraId="75C49D8B" w14:textId="77777777" w:rsidR="00D7372F" w:rsidRPr="00BE3D42" w:rsidRDefault="00D7372F" w:rsidP="00E216F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E3D42">
              <w:rPr>
                <w:rFonts w:ascii="Simplified Arabic" w:hAnsi="Simplified Arabic" w:cs="Simplified Arabic" w:hint="cs"/>
                <w:b/>
                <w:bCs/>
                <w:color w:val="000000" w:themeColor="text1"/>
                <w:sz w:val="36"/>
                <w:szCs w:val="36"/>
                <w:rtl/>
                <w:lang w:bidi="ar-EG"/>
              </w:rPr>
              <w:t>المشرف الثاني/</w:t>
            </w:r>
          </w:p>
        </w:tc>
      </w:tr>
      <w:tr w:rsidR="00D7372F" w:rsidRPr="00BE3D42" w14:paraId="0B1A7ABC" w14:textId="77777777" w:rsidTr="00E216FE">
        <w:tc>
          <w:tcPr>
            <w:tcW w:w="4530" w:type="dxa"/>
          </w:tcPr>
          <w:p w14:paraId="3E574C05" w14:textId="77777777" w:rsidR="00D7372F" w:rsidRPr="00BE3D42" w:rsidRDefault="00D7372F" w:rsidP="00E216F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E3D4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60C25FF" w14:textId="77777777" w:rsidR="00D7372F" w:rsidRPr="00BE3D42" w:rsidRDefault="00D7372F" w:rsidP="00E216F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E3D42">
              <w:rPr>
                <w:rFonts w:ascii="Simplified Arabic" w:eastAsia="Calibri" w:hAnsi="Simplified Arabic" w:cs="Simplified Arabic"/>
                <w:color w:val="000000" w:themeColor="text1"/>
                <w:kern w:val="0"/>
                <w:sz w:val="36"/>
                <w:szCs w:val="36"/>
                <w:rtl/>
                <w:lang w:bidi="ar-EG"/>
                <w14:ligatures w14:val="none"/>
              </w:rPr>
              <w:t>د.فايز جراد</w:t>
            </w:r>
          </w:p>
        </w:tc>
      </w:tr>
    </w:tbl>
    <w:p w14:paraId="11E342A2" w14:textId="77777777" w:rsidR="00D7372F" w:rsidRPr="00BE3D42" w:rsidRDefault="00D7372F" w:rsidP="00D7372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E3D42">
        <w:rPr>
          <w:rFonts w:ascii="Simplified Arabic" w:hAnsi="Simplified Arabic" w:cs="Simplified Arabic"/>
          <w:b/>
          <w:bCs/>
          <w:color w:val="000000" w:themeColor="text1"/>
          <w:sz w:val="36"/>
          <w:szCs w:val="36"/>
          <w:rtl/>
          <w:lang w:bidi="ar-EG"/>
        </w:rPr>
        <w:t>العام الدراسي:</w:t>
      </w:r>
    </w:p>
    <w:p w14:paraId="56800D81" w14:textId="77777777" w:rsidR="00D7372F" w:rsidRPr="00BE3D42" w:rsidRDefault="00D7372F" w:rsidP="00D7372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BE3D42">
        <w:rPr>
          <w:rFonts w:ascii="Simplified Arabic" w:hAnsi="Simplified Arabic" w:cs="Simplified Arabic" w:hint="cs"/>
          <w:color w:val="000000" w:themeColor="text1"/>
          <w:sz w:val="36"/>
          <w:szCs w:val="36"/>
          <w:rtl/>
          <w:lang w:bidi="ar-EG"/>
        </w:rPr>
        <w:t xml:space="preserve">1448 </w:t>
      </w:r>
      <w:r w:rsidRPr="00BE3D42">
        <w:rPr>
          <w:rFonts w:ascii="Simplified Arabic" w:hAnsi="Simplified Arabic" w:cs="Simplified Arabic"/>
          <w:color w:val="000000" w:themeColor="text1"/>
          <w:sz w:val="36"/>
          <w:szCs w:val="36"/>
          <w:rtl/>
          <w:lang w:bidi="ar-EG"/>
        </w:rPr>
        <w:t>–</w:t>
      </w:r>
      <w:r w:rsidRPr="00BE3D42">
        <w:rPr>
          <w:rFonts w:ascii="Simplified Arabic" w:hAnsi="Simplified Arabic" w:cs="Simplified Arabic" w:hint="cs"/>
          <w:color w:val="000000" w:themeColor="text1"/>
          <w:sz w:val="36"/>
          <w:szCs w:val="36"/>
          <w:rtl/>
          <w:lang w:bidi="ar-EG"/>
        </w:rPr>
        <w:t xml:space="preserve"> 2026</w:t>
      </w:r>
    </w:p>
    <w:p w14:paraId="4EA346E3" w14:textId="77777777" w:rsidR="00D7372F" w:rsidRPr="00BE3D42" w:rsidRDefault="00D7372F" w:rsidP="00D7372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5BE0519B" w14:textId="77777777" w:rsidR="00D7372F" w:rsidRPr="00BE3D42" w:rsidRDefault="00D7372F" w:rsidP="00D7372F">
      <w:pPr>
        <w:spacing w:before="100" w:beforeAutospacing="1" w:after="100" w:afterAutospacing="1" w:line="276" w:lineRule="auto"/>
        <w:jc w:val="both"/>
        <w:rPr>
          <w:rFonts w:ascii="Simplified Arabic" w:hAnsi="Simplified Arabic" w:cs="Simplified Arabic"/>
          <w:color w:val="000000" w:themeColor="text1"/>
          <w:sz w:val="28"/>
          <w:szCs w:val="28"/>
          <w:rtl/>
        </w:rPr>
        <w:sectPr w:rsidR="00D7372F" w:rsidRPr="00BE3D42" w:rsidSect="00D7372F">
          <w:type w:val="continuous"/>
          <w:pgSz w:w="11906" w:h="16838" w:code="9"/>
          <w:pgMar w:top="1134" w:right="1701" w:bottom="1134" w:left="1134" w:header="720" w:footer="720" w:gutter="0"/>
          <w:pgNumType w:fmt="arabicAbjad" w:start="1"/>
          <w:cols w:space="708"/>
          <w:bidi/>
          <w:rtlGutter/>
          <w:docGrid w:linePitch="360"/>
        </w:sectPr>
      </w:pPr>
    </w:p>
    <w:p w14:paraId="5540B021" w14:textId="0E9CA776" w:rsidR="00D7372F" w:rsidRPr="00BE3D42" w:rsidRDefault="00B20F21" w:rsidP="00B20F2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117035"/>
      <w:r w:rsidRPr="00BE3D42">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3252EFE2" w14:textId="49471682" w:rsidR="00D7372F" w:rsidRPr="00BE3D42" w:rsidRDefault="00B20F21" w:rsidP="00B20F21">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Hlk172151144"/>
      <w:bookmarkStart w:id="2" w:name="_Toc169790489"/>
      <w:bookmarkStart w:id="3" w:name="_Toc233117036"/>
      <w:r w:rsidRPr="00BE3D42">
        <w:rPr>
          <w:rFonts w:ascii="Simplified Arabic" w:hAnsi="Simplified Arabic" w:cs="Simplified Arabic" w:hint="cs"/>
          <w:b/>
          <w:bCs/>
          <w:color w:val="000000" w:themeColor="text1"/>
          <w:sz w:val="36"/>
          <w:szCs w:val="36"/>
          <w:rtl/>
        </w:rPr>
        <w:t>1.1 المقدمة</w:t>
      </w:r>
      <w:bookmarkEnd w:id="3"/>
    </w:p>
    <w:p w14:paraId="2006CCBA" w14:textId="09D26490" w:rsidR="007E4485" w:rsidRPr="00BE3D42" w:rsidRDefault="007E4485" w:rsidP="00B20F21">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يُعدّ القطاع المصرفي من أكثر القطاعات الاقتصادية حيوية وتأثيراً في حركة النشاط الاقتصادي، إذ تضطلع البنوك التجارية بدور محوري في تعبئة الموارد المالية وتوجيهها نحو مختلف القطاعات الإنتاجية والاستهلاكية، فضلاً عن كونها الوسيط الأساسي بين المدّخرين والمقترضين. وقد شهد هذا القطاع تحوّلات هيكلية عميقة خلال العقود الأخيرة نتيجة التطورات التكنولوجية المتسارعة والتحرير المالي وتزايد حدة المنافسة بين المؤسسات المصرفية، مما دفع البنوك إلى البحث عن مداخل جديدة لاستقطاب العملاء والاحتفاظ بهم وتوسيع محافظها الائتمانية (علي </w:t>
      </w:r>
      <w:r w:rsidR="0002547A" w:rsidRPr="00BE3D42">
        <w:rPr>
          <w:rFonts w:ascii="Simplified Arabic" w:hAnsi="Simplified Arabic" w:cs="Simplified Arabic"/>
          <w:color w:val="000000" w:themeColor="text1"/>
          <w:sz w:val="28"/>
          <w:szCs w:val="28"/>
          <w:rtl/>
        </w:rPr>
        <w:t>واخرون</w:t>
      </w:r>
      <w:r w:rsidRPr="00BE3D42">
        <w:rPr>
          <w:rFonts w:ascii="Simplified Arabic" w:hAnsi="Simplified Arabic" w:cs="Simplified Arabic"/>
          <w:color w:val="000000" w:themeColor="text1"/>
          <w:sz w:val="28"/>
          <w:szCs w:val="28"/>
          <w:rtl/>
        </w:rPr>
        <w:t>، 2024</w:t>
      </w:r>
      <w:r w:rsidR="0002547A" w:rsidRPr="00BE3D42">
        <w:rPr>
          <w:rFonts w:ascii="Simplified Arabic" w:hAnsi="Simplified Arabic" w:cs="Simplified Arabic"/>
          <w:color w:val="000000" w:themeColor="text1"/>
          <w:sz w:val="28"/>
          <w:szCs w:val="28"/>
          <w:rtl/>
        </w:rPr>
        <w:t>).</w:t>
      </w:r>
    </w:p>
    <w:p w14:paraId="3FE8AD06" w14:textId="1D1E58A3" w:rsidR="007E4485" w:rsidRPr="00BE3D42" w:rsidRDefault="007E4485" w:rsidP="00B20F21">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ويحتل التمويل الشخصي مكانة بارزة ضمن المنتجات المصرفية الموجّهة للأفراد، حيث يُمثّل مصدراً رئيسياً لإيرادات البنوك التجارية من جهة، ووسيلة لتلبية الاحتياجات المالية المتنامية للعملاء من جهة أخرى. غير أن قرار العميل بالحصول على القرض الشخصي لا يخضع لاعتبارات مالية صرفة كسعر الفائدة وفترة السداد فحسب، بل تتداخل فيه عوامل سلوكية ونفسية واجتماعية متعددة تُشكّل في مجملها الإطار الذي يُتّخذ القرار في ضوئه، ومن أبرز هذه العوامل مدى ثقة العميل في المؤسسة المصرفية والعاملين فيها (عبيد الله</w:t>
      </w:r>
      <w:r w:rsidR="0002547A" w:rsidRPr="00BE3D42">
        <w:rPr>
          <w:rFonts w:ascii="Simplified Arabic" w:hAnsi="Simplified Arabic" w:cs="Simplified Arabic"/>
          <w:color w:val="000000" w:themeColor="text1"/>
          <w:sz w:val="28"/>
          <w:szCs w:val="28"/>
          <w:rtl/>
        </w:rPr>
        <w:t xml:space="preserve"> واخرون</w:t>
      </w:r>
      <w:r w:rsidRPr="00BE3D42">
        <w:rPr>
          <w:rFonts w:ascii="Simplified Arabic" w:hAnsi="Simplified Arabic" w:cs="Simplified Arabic"/>
          <w:color w:val="000000" w:themeColor="text1"/>
          <w:sz w:val="28"/>
          <w:szCs w:val="28"/>
          <w:rtl/>
        </w:rPr>
        <w:t>، 2023)</w:t>
      </w:r>
      <w:r w:rsidRPr="00BE3D42">
        <w:rPr>
          <w:rFonts w:ascii="Simplified Arabic" w:hAnsi="Simplified Arabic" w:cs="Simplified Arabic"/>
          <w:color w:val="000000" w:themeColor="text1"/>
          <w:sz w:val="28"/>
          <w:szCs w:val="28"/>
        </w:rPr>
        <w:t>.</w:t>
      </w:r>
    </w:p>
    <w:p w14:paraId="5C429486" w14:textId="77777777" w:rsidR="007E4485" w:rsidRPr="00BE3D42" w:rsidRDefault="007E4485" w:rsidP="00B20F21">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وتُعرَّف الثقة في السياق المصرفي بأنها اعتقاد العميل بأن الطرف الآخر سيتصرف بما يتوافق مع مصلحته وتوقعاته، وهي تتشكّل عبر تراكم الخبرات والتفاعلات المباشرة بين العميل والموظف المصرفي. وقد أثبتت الأدبيات أن الثقة الشخصية في الموظف تختلف جوهرياً عن الثقة المؤسسية في البنك ككيان، إذ ترتبط الأولى بسمات الموظف الفردية كالكفاءة والنزاهة والتعاطف والتواصل، بينما تتأثر الثانية بسمعة المؤسسة وحجمها ومركزها المالي</w:t>
      </w:r>
      <w:r w:rsidRPr="00BE3D42">
        <w:rPr>
          <w:rFonts w:ascii="Simplified Arabic" w:hAnsi="Simplified Arabic" w:cs="Simplified Arabic"/>
          <w:color w:val="000000" w:themeColor="text1"/>
          <w:sz w:val="28"/>
          <w:szCs w:val="28"/>
        </w:rPr>
        <w:t xml:space="preserve"> (Bada &amp; Karupiah, 2021).</w:t>
      </w:r>
    </w:p>
    <w:p w14:paraId="0148AE40" w14:textId="77777777" w:rsidR="007E4485" w:rsidRPr="00BE3D42" w:rsidRDefault="007E4485" w:rsidP="00B20F21">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ويُمثّل موظف الصف الأول في البنك حلقة الوصل الحرجة بين المؤسسة المصرفية وعملائها، فهو الذي يستقبل استفسارات العميل ويُقدّم له المشورة ويشرح شروط المنتجات التمويلية، وبالتالي فإن مستوى الثقة الذي يُولّده هذا الموظف لدى العميل ينعكس بشكل مباشر على تقييم العميل للخدمة المصرفية برمّتها. وقد أكّدت الدراسات أن ثقة المستهلك في موظفي الصف الأول تلعب دوراً وسيطاً بالغ الأهمية </w:t>
      </w:r>
      <w:r w:rsidRPr="00BE3D42">
        <w:rPr>
          <w:rFonts w:ascii="Simplified Arabic" w:hAnsi="Simplified Arabic" w:cs="Simplified Arabic"/>
          <w:color w:val="000000" w:themeColor="text1"/>
          <w:sz w:val="28"/>
          <w:szCs w:val="28"/>
          <w:rtl/>
        </w:rPr>
        <w:lastRenderedPageBreak/>
        <w:t>في العلاقة بين سلوك الموظف وإدراك العميل لجودة الخدمة، مما يعني أن بناء هذه الثقة ليس خياراً ترفيهياً بل ضرورة استراتيجية</w:t>
      </w:r>
      <w:r w:rsidRPr="00BE3D42">
        <w:rPr>
          <w:rFonts w:ascii="Simplified Arabic" w:hAnsi="Simplified Arabic" w:cs="Simplified Arabic"/>
          <w:color w:val="000000" w:themeColor="text1"/>
          <w:sz w:val="28"/>
          <w:szCs w:val="28"/>
        </w:rPr>
        <w:t xml:space="preserve"> (Karakasnaki et al., 2023).</w:t>
      </w:r>
    </w:p>
    <w:p w14:paraId="40425489" w14:textId="3F8A9CBD" w:rsidR="007E4485" w:rsidRPr="00BE3D42" w:rsidRDefault="007E4485" w:rsidP="00B20F21">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وانطلاقاً من هذا السياق النظري تأتي الدراسة الحالية لتتناول أثر ثقة العميل في موظف البنك بأبعادها (الكفاءة المهنية، النزاهة، التعاطف، التواصل الفعّال) على قرار الحصول على القرض الشخصي في البنوك التجارية، ساعيةً إلى تقديم إسهام علمي وعملي يُثري الأدبيات العربية في هذا المجال ويُزوّد صانعي القرار المصرفي برؤية أعمق حول البُعد الإنساني في العلاقة المصرفية وتأثيره على السلوك التمويلي للعملاء </w:t>
      </w:r>
      <w:r w:rsidR="0002547A" w:rsidRPr="00BE3D42">
        <w:rPr>
          <w:rFonts w:ascii="Simplified Arabic" w:hAnsi="Simplified Arabic" w:cs="Simplified Arabic"/>
          <w:color w:val="000000" w:themeColor="text1"/>
          <w:sz w:val="28"/>
          <w:szCs w:val="28"/>
          <w:rtl/>
        </w:rPr>
        <w:t>.</w:t>
      </w:r>
    </w:p>
    <w:p w14:paraId="7E4CE75D" w14:textId="255400AB" w:rsidR="00B20F21" w:rsidRPr="00BE3D42" w:rsidRDefault="00B20F21" w:rsidP="003D44CE">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117037"/>
      <w:bookmarkEnd w:id="1"/>
      <w:r w:rsidRPr="00BE3D42">
        <w:rPr>
          <w:rFonts w:ascii="Simplified Arabic" w:hAnsi="Simplified Arabic" w:cs="Simplified Arabic"/>
          <w:b/>
          <w:bCs/>
          <w:color w:val="000000" w:themeColor="text1"/>
          <w:sz w:val="36"/>
          <w:szCs w:val="36"/>
          <w:rtl/>
        </w:rPr>
        <w:t>2.1 مشكلة الدراسة</w:t>
      </w:r>
      <w:bookmarkEnd w:id="4"/>
    </w:p>
    <w:p w14:paraId="31EBEBEB" w14:textId="77777777" w:rsidR="007E4485" w:rsidRPr="00BE3D42" w:rsidRDefault="007E4485" w:rsidP="003D44CE">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يُشكّل القطاع المصرفي ركيزة جوهرية في البنية الاقتصادية لأي دولة، إذ تؤدي البنوك التجارية دوراً محورياً في تعبئة المدخرات وتوجيهها نحو قنوات الاستثمار والاستهلاك، ويُعدّ التمويل الشخصي أحد أبرز المنتجات المصرفية التي شهدت نمواً متسارعاً خلال السنوات الأخيرة نتيجة تزايد الاحتياجات الاستهلاكية للأفراد وتنوّع أنماط حياتهم. غير أن قرار العميل بالحصول على القرض الشخصي لا يُتّخذ في فراغ مالي بحت يقوم على المقارنة بين أسعار الفائدة والشروط الائتمانية فحسب، بل ينطوي على أبعاد نفسية واجتماعية معقدة يأتي في مقدمتها مستوى الثقة التي يضعها العميل في الموظف المصرفي الذي يتعامل معه وجهاً لوجه، ذلك الموظف الذي يُمثّل الواجهة الإنسانية الأولى للبنك ونقطة الاتصال الأكثر تأثيراً في تشكيل انطباعات العميل وقراراته التمويلية</w:t>
      </w:r>
      <w:r w:rsidRPr="00BE3D42">
        <w:rPr>
          <w:rFonts w:ascii="Simplified Arabic" w:hAnsi="Simplified Arabic" w:cs="Simplified Arabic"/>
          <w:color w:val="000000" w:themeColor="text1"/>
          <w:sz w:val="28"/>
          <w:szCs w:val="28"/>
        </w:rPr>
        <w:t>.</w:t>
      </w:r>
    </w:p>
    <w:p w14:paraId="42C65829" w14:textId="77777777" w:rsidR="007E4485" w:rsidRPr="00BE3D42" w:rsidRDefault="007E4485" w:rsidP="003D44CE">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وعلى الرغم من الاهتمام البحثي المتزايد بمفهوم الثقة في السياق المصرفي، فإن المتأمل في الأدبيات العربية والأجنبية يلحظ أن الجهود البحثية قد تركّزت بصورة أساسية على دراسة الثقة في إطار علاقتها بالرضا والولاء والاحتفاظ بالعملاء</w:t>
      </w:r>
      <w:r w:rsidRPr="00BE3D42">
        <w:rPr>
          <w:rFonts w:ascii="Simplified Arabic" w:hAnsi="Simplified Arabic" w:cs="Simplified Arabic"/>
          <w:color w:val="000000" w:themeColor="text1"/>
          <w:sz w:val="28"/>
          <w:szCs w:val="28"/>
        </w:rPr>
        <w:t xml:space="preserve"> (Chowdhury et al., 2024</w:t>
      </w:r>
      <w:r w:rsidRPr="00BE3D42">
        <w:rPr>
          <w:rFonts w:ascii="Simplified Arabic" w:hAnsi="Simplified Arabic" w:cs="Simplified Arabic"/>
          <w:color w:val="000000" w:themeColor="text1"/>
          <w:sz w:val="28"/>
          <w:szCs w:val="28"/>
          <w:rtl/>
        </w:rPr>
        <w:t xml:space="preserve">؛ الفقهاء، </w:t>
      </w:r>
      <w:r w:rsidRPr="00BE3D42">
        <w:rPr>
          <w:rFonts w:ascii="Simplified Arabic" w:hAnsi="Simplified Arabic" w:cs="Simplified Arabic"/>
          <w:color w:val="000000" w:themeColor="text1"/>
          <w:sz w:val="28"/>
          <w:szCs w:val="28"/>
        </w:rPr>
        <w:t>2018</w:t>
      </w:r>
      <w:r w:rsidRPr="00BE3D42">
        <w:rPr>
          <w:rFonts w:ascii="Simplified Arabic" w:hAnsi="Simplified Arabic" w:cs="Simplified Arabic"/>
          <w:color w:val="000000" w:themeColor="text1"/>
          <w:sz w:val="28"/>
          <w:szCs w:val="28"/>
          <w:rtl/>
        </w:rPr>
        <w:t>؛ علي وآخرون، 2024)، أو في سياق الخدمات المصرفية الإلكترونية والرقمية (بن صالح، 2023؛ الهرام وآخرون، 2025)، أو من منظور الثقة المؤسسية في البنك ككيان اعتباري</w:t>
      </w:r>
      <w:r w:rsidRPr="00BE3D42">
        <w:rPr>
          <w:rFonts w:ascii="Simplified Arabic" w:hAnsi="Simplified Arabic" w:cs="Simplified Arabic"/>
          <w:color w:val="000000" w:themeColor="text1"/>
          <w:sz w:val="28"/>
          <w:szCs w:val="28"/>
        </w:rPr>
        <w:t xml:space="preserve"> (Chang et al., 2025</w:t>
      </w:r>
      <w:r w:rsidRPr="00BE3D42">
        <w:rPr>
          <w:rFonts w:ascii="Simplified Arabic" w:hAnsi="Simplified Arabic" w:cs="Simplified Arabic"/>
          <w:color w:val="000000" w:themeColor="text1"/>
          <w:sz w:val="28"/>
          <w:szCs w:val="28"/>
          <w:rtl/>
        </w:rPr>
        <w:t>؛</w:t>
      </w:r>
      <w:r w:rsidRPr="00BE3D42">
        <w:rPr>
          <w:rFonts w:ascii="Simplified Arabic" w:hAnsi="Simplified Arabic" w:cs="Simplified Arabic"/>
          <w:color w:val="000000" w:themeColor="text1"/>
          <w:sz w:val="28"/>
          <w:szCs w:val="28"/>
        </w:rPr>
        <w:t xml:space="preserve"> Hagendorff et al., 2023). </w:t>
      </w:r>
      <w:r w:rsidRPr="00BE3D42">
        <w:rPr>
          <w:rFonts w:ascii="Simplified Arabic" w:hAnsi="Simplified Arabic" w:cs="Simplified Arabic"/>
          <w:color w:val="000000" w:themeColor="text1"/>
          <w:sz w:val="28"/>
          <w:szCs w:val="28"/>
          <w:rtl/>
        </w:rPr>
        <w:t xml:space="preserve">وفي المقابل ظلّت العلاقة المباشرة بين ثقة العميل في الموظف المصرفي تحديداً وبين قراره بالحصول على القرض الشخصي منطقة بحثية شبه مُعتمة لم تحظَ بالدراسة والتحليل </w:t>
      </w:r>
      <w:r w:rsidRPr="00BE3D42">
        <w:rPr>
          <w:rFonts w:ascii="Simplified Arabic" w:hAnsi="Simplified Arabic" w:cs="Simplified Arabic"/>
          <w:color w:val="000000" w:themeColor="text1"/>
          <w:sz w:val="28"/>
          <w:szCs w:val="28"/>
          <w:rtl/>
        </w:rPr>
        <w:lastRenderedPageBreak/>
        <w:t>الكافيين، لا سيما في البيئة المصرفية العربية التي تتميز بخصوصية ثقافية واجتماعية تجعل من العلاقة الشخصية بين العميل والموظف عاملاً بالغ التأثير في القرارات المالية</w:t>
      </w:r>
      <w:r w:rsidRPr="00BE3D42">
        <w:rPr>
          <w:rFonts w:ascii="Simplified Arabic" w:hAnsi="Simplified Arabic" w:cs="Simplified Arabic"/>
          <w:color w:val="000000" w:themeColor="text1"/>
          <w:sz w:val="28"/>
          <w:szCs w:val="28"/>
        </w:rPr>
        <w:t>.</w:t>
      </w:r>
    </w:p>
    <w:p w14:paraId="4E30E2CD" w14:textId="77777777" w:rsidR="007E4485" w:rsidRPr="00BE3D42" w:rsidRDefault="007E4485" w:rsidP="003D44CE">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وتتجلّى المشكلة البحثية بشكل أكثر وضوحاً حين ندرك أن كثيراً من العملاء يُحجمون عن الحصول على القروض الشخصية أو يتردّدون في اتخاذ قرارهم التمويلي رغم حاجتهم الفعلية إليها وتوفّر الشروط الائتمانية المناسبة، وذلك بسبب عدم اطمئنانهم إلى كفاءة الموظف المصرفي أو شعورهم بغياب النزاهة في المعلومات المقدّمة لهم أو افتقارهم إلى التعاطف الإنساني والتواصل الفعّال من جانب الموظف. وهذا ما أشارت إليه دراسة</w:t>
      </w:r>
      <w:r w:rsidRPr="00BE3D42">
        <w:rPr>
          <w:rFonts w:ascii="Simplified Arabic" w:hAnsi="Simplified Arabic" w:cs="Simplified Arabic"/>
          <w:color w:val="000000" w:themeColor="text1"/>
          <w:sz w:val="28"/>
          <w:szCs w:val="28"/>
        </w:rPr>
        <w:t xml:space="preserve"> (Nofandrilla et al., 2024) </w:t>
      </w:r>
      <w:r w:rsidRPr="00BE3D42">
        <w:rPr>
          <w:rFonts w:ascii="Simplified Arabic" w:hAnsi="Simplified Arabic" w:cs="Simplified Arabic"/>
          <w:color w:val="000000" w:themeColor="text1"/>
          <w:sz w:val="28"/>
          <w:szCs w:val="28"/>
          <w:rtl/>
        </w:rPr>
        <w:t>التي أكّدت أن الثقة عامل جوهري في قرارات الإقراض يحتاج إلى مزيد من البحث التجريبي في سياقات متنوعة، كما أكّدت دراسة</w:t>
      </w:r>
      <w:r w:rsidRPr="00BE3D42">
        <w:rPr>
          <w:rFonts w:ascii="Simplified Arabic" w:hAnsi="Simplified Arabic" w:cs="Simplified Arabic"/>
          <w:color w:val="000000" w:themeColor="text1"/>
          <w:sz w:val="28"/>
          <w:szCs w:val="28"/>
        </w:rPr>
        <w:t xml:space="preserve"> (Karakasnaki et al., 2023) </w:t>
      </w:r>
      <w:r w:rsidRPr="00BE3D42">
        <w:rPr>
          <w:rFonts w:ascii="Simplified Arabic" w:hAnsi="Simplified Arabic" w:cs="Simplified Arabic"/>
          <w:color w:val="000000" w:themeColor="text1"/>
          <w:sz w:val="28"/>
          <w:szCs w:val="28"/>
          <w:rtl/>
        </w:rPr>
        <w:t>أن ثقة المستهلك في موظف الصف الأول تتوسّط العلاقة بين سلوك الموظف والأداء المدرك دون أن تمتدّ الدراسة إلى استكشاف أثر هذه الثقة على القرارات التمويلية تحديداً. كما أوضحت دراسة (الجمال، 2021) أن العوامل المتعلقة بالعميل هي الأكثر تأثيراً في قرار الائتمان، لكنها لم تتناول بُعد الثقة في الموظف كمحدّد مستقل لقرار الاقتراض</w:t>
      </w:r>
      <w:r w:rsidRPr="00BE3D42">
        <w:rPr>
          <w:rFonts w:ascii="Simplified Arabic" w:hAnsi="Simplified Arabic" w:cs="Simplified Arabic"/>
          <w:color w:val="000000" w:themeColor="text1"/>
          <w:sz w:val="28"/>
          <w:szCs w:val="28"/>
        </w:rPr>
        <w:t>.</w:t>
      </w:r>
    </w:p>
    <w:p w14:paraId="4479BE5F" w14:textId="77777777" w:rsidR="007E4485" w:rsidRPr="00BE3D42" w:rsidRDefault="007E4485" w:rsidP="003D44CE">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وانطلاقاً مما سبق تتبلور مشكلة الدراسة الحالية في التساؤل الرئيسي التالي</w:t>
      </w:r>
      <w:r w:rsidRPr="00BE3D42">
        <w:rPr>
          <w:rFonts w:ascii="Simplified Arabic" w:hAnsi="Simplified Arabic" w:cs="Simplified Arabic"/>
          <w:color w:val="000000" w:themeColor="text1"/>
          <w:sz w:val="28"/>
          <w:szCs w:val="28"/>
        </w:rPr>
        <w:t xml:space="preserve">: </w:t>
      </w:r>
      <w:r w:rsidRPr="00BE3D42">
        <w:rPr>
          <w:rStyle w:val="Strong"/>
          <w:rFonts w:ascii="Simplified Arabic" w:hAnsi="Simplified Arabic" w:cs="Simplified Arabic"/>
          <w:b w:val="0"/>
          <w:bCs w:val="0"/>
          <w:color w:val="000000" w:themeColor="text1"/>
          <w:sz w:val="28"/>
          <w:szCs w:val="28"/>
          <w:rtl/>
        </w:rPr>
        <w:t>ما أثر ثقة العميل في موظف البنك بأبعادها (الكفاءة المهنية، النزاهة، التعاطف، التواصل الفعّال) على قرار الحصول على القرض الشخصي في البنوك التجارية؟</w:t>
      </w:r>
    </w:p>
    <w:p w14:paraId="6A4FD530" w14:textId="77777777" w:rsidR="003D44CE" w:rsidRPr="00BE3D42" w:rsidRDefault="003D44CE" w:rsidP="003D44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5" w:name="_Toc169790490"/>
      <w:bookmarkStart w:id="6" w:name="_Toc233117038"/>
      <w:bookmarkEnd w:id="2"/>
      <w:r w:rsidRPr="00BE3D42">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73A5E452" w14:textId="13B2895A" w:rsidR="003D44CE" w:rsidRPr="00BE3D42" w:rsidRDefault="003D44CE" w:rsidP="003D44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E3D42">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297B86E" w14:textId="77777777" w:rsidR="0002547A"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تستمد هذه الدراسة أهميتها العلمية من كونها تسعى إلى إثراء الأدبيات العربية في مجال التسويق المصرفي وسلوك المستهلك المالي، وذلك من خلال تناولها لمتغير بحثي لم يحظَ بالاهتمام الكافي في الدراسات العربية وهو العلاقة المباشرة بين ثقة العميل في موظف البنك وقرار الحصول على القرض الشخصي. </w:t>
      </w:r>
    </w:p>
    <w:p w14:paraId="4679E076" w14:textId="77777777" w:rsidR="0002547A"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كما تسهم الدراسة في بناء إطار نظري متكامل يربط بين أبعاد الثقة الشخصية (الكفاءة المهنية، النزاهة، التعاطف، التواصل الفعّال) وبين القرار التمويلي للعميل، وهو ما يُعدّ إضافة نوعية للنماذج </w:t>
      </w:r>
      <w:r w:rsidRPr="00BE3D42">
        <w:rPr>
          <w:rFonts w:ascii="Simplified Arabic" w:eastAsia="Times New Roman" w:hAnsi="Simplified Arabic" w:cs="Simplified Arabic"/>
          <w:color w:val="000000" w:themeColor="text1"/>
          <w:kern w:val="0"/>
          <w:sz w:val="28"/>
          <w:szCs w:val="28"/>
          <w:rtl/>
          <w14:ligatures w14:val="none"/>
        </w:rPr>
        <w:lastRenderedPageBreak/>
        <w:t xml:space="preserve">النظرية القائمة التي ركّزت على الثقة في سياق الولاء أو الرضا دون امتدادها إلى قرار الاقتراض الشخصي. </w:t>
      </w:r>
    </w:p>
    <w:p w14:paraId="634AE283" w14:textId="5493D5B2"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تُوفّر الدراسة قاعدة مرجعية حديثة للباحثين في حقل الخدمات المصرفية يمكن البناء عليها في دراسات مستقبلية تتناول متغيرات وسيطة أو معدّلة في هذه العلاقة، مما يفتح آفاقاً بحثية جديدة في بيئة عربية تتسم بخصوصية ثقافية واقتصادية تختلف عن البيئات الغربية التي أُجريت فيها معظم الدراسات السابقة</w:t>
      </w:r>
      <w:r w:rsidRPr="00BE3D42">
        <w:rPr>
          <w:rFonts w:ascii="Simplified Arabic" w:eastAsia="Times New Roman" w:hAnsi="Simplified Arabic" w:cs="Simplified Arabic"/>
          <w:color w:val="000000" w:themeColor="text1"/>
          <w:kern w:val="0"/>
          <w:sz w:val="28"/>
          <w:szCs w:val="28"/>
          <w14:ligatures w14:val="none"/>
        </w:rPr>
        <w:t>.</w:t>
      </w:r>
    </w:p>
    <w:p w14:paraId="4AE09461" w14:textId="77777777" w:rsidR="007E4485" w:rsidRPr="00BE3D42" w:rsidRDefault="007E4485" w:rsidP="003D44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2687648"/>
      <w:r w:rsidRPr="00BE3D42">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7"/>
    </w:p>
    <w:p w14:paraId="6D9178A6" w14:textId="77777777" w:rsidR="0002547A"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E3D42">
        <w:rPr>
          <w:rFonts w:ascii="Simplified Arabic" w:eastAsia="Times New Roman" w:hAnsi="Simplified Arabic" w:cs="Simplified Arabic"/>
          <w:color w:val="000000" w:themeColor="text1"/>
          <w:kern w:val="0"/>
          <w:sz w:val="28"/>
          <w:szCs w:val="28"/>
          <w:rtl/>
          <w14:ligatures w14:val="none"/>
        </w:rPr>
        <w:t>تبرز الأهمية العملية لهذه الدراسة في تقديمها نتائج وتوصيات قابلة للتطبيق المباشر من قِبل إدارات البنوك التجارية، إذ تُمكّنها من تحديد أبعاد الثقة الأكثر تأثيراً في قرار العميل بالحصول على القرض الشخصي وبالتالي توجيه برامج التدريب والتطوير المهني لموظفي الصف الأول نحو تعزيز هذه الأبعاد بشكل مستهدف.</w:t>
      </w:r>
    </w:p>
    <w:p w14:paraId="082C106E" w14:textId="77777777" w:rsidR="0002547A"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 كما تُفيد الدراسة صانعي القرار في المؤسسات المصرفية في تصميم استراتيجيات تسويقية مبنية على تقوية العلاقة الإنسانية بين الموظف والعميل بدلاً من الاقتصار على الحوافز المالية والعروض الترويجية، مما يُسهم في زيادة حجم محفظة القروض الشخصية وتحسين الحصة السوقية للبنك. </w:t>
      </w:r>
    </w:p>
    <w:p w14:paraId="2E8BDF33" w14:textId="77777777" w:rsidR="0002547A"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وتُساعد النتائج أيضاً مسؤولي الموارد البشرية في البنوك على وضع معايير اختيار وتقييم الموظفين تتضمن أبعاد الثقة المدروسة، ممّا ينعكس على جودة الخدمة المقدمة ورضا العملاء واستبقائهم على المدى الطويل. </w:t>
      </w:r>
    </w:p>
    <w:p w14:paraId="24A93072" w14:textId="2D9E5767"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 تُقدّم الدراسة مؤشرات عملية للجهات الرقابية والبنوك المركزية حول أهمية الجانب الإنساني في العلاقة المصرفية كعامل مؤثر في قرارات التمويل، بما يدعم وضع سياسات حماية المستهلك المالي وتعزيز الشمول المالي</w:t>
      </w:r>
      <w:r w:rsidRPr="00BE3D42">
        <w:rPr>
          <w:rFonts w:ascii="Simplified Arabic" w:eastAsia="Times New Roman" w:hAnsi="Simplified Arabic" w:cs="Simplified Arabic"/>
          <w:color w:val="000000" w:themeColor="text1"/>
          <w:kern w:val="0"/>
          <w:sz w:val="28"/>
          <w:szCs w:val="28"/>
          <w14:ligatures w14:val="none"/>
        </w:rPr>
        <w:t>.</w:t>
      </w:r>
    </w:p>
    <w:p w14:paraId="10BEDD75" w14:textId="78CEECB9" w:rsidR="003D44CE" w:rsidRPr="00BE3D42" w:rsidRDefault="003D44CE" w:rsidP="003D44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169790491"/>
      <w:bookmarkStart w:id="9" w:name="_Toc233117039"/>
      <w:bookmarkEnd w:id="5"/>
      <w:r w:rsidRPr="00BE3D42">
        <w:rPr>
          <w:rFonts w:ascii="Simplified Arabic" w:eastAsia="Times New Roman" w:hAnsi="Simplified Arabic" w:cs="Simplified Arabic"/>
          <w:b/>
          <w:bCs/>
          <w:color w:val="000000" w:themeColor="text1"/>
          <w:kern w:val="0"/>
          <w:sz w:val="36"/>
          <w:szCs w:val="36"/>
          <w:rtl/>
          <w14:ligatures w14:val="none"/>
        </w:rPr>
        <w:t>4.1 أهداف الدراسة:</w:t>
      </w:r>
      <w:bookmarkEnd w:id="9"/>
    </w:p>
    <w:p w14:paraId="0BF1B1DC" w14:textId="77777777"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lastRenderedPageBreak/>
        <w:t>تهدف الدراسة الحالية إلى دراسة أثر ثقة العميل في موظف البنك بأبعادها (الكفاءة المهنية، النزاهة، التعاطف، التواصل الفعّال) على قرار الحصول على القرض الشخصي في البنوك التجارية. ويتفرع من هذا الهدف الرئيسي عدة أهداف فرعية تتمثل فيما يلي</w:t>
      </w:r>
      <w:r w:rsidRPr="00BE3D42">
        <w:rPr>
          <w:rFonts w:ascii="Simplified Arabic" w:eastAsia="Times New Roman" w:hAnsi="Simplified Arabic" w:cs="Simplified Arabic"/>
          <w:color w:val="000000" w:themeColor="text1"/>
          <w:kern w:val="0"/>
          <w:sz w:val="28"/>
          <w:szCs w:val="28"/>
          <w14:ligatures w14:val="none"/>
        </w:rPr>
        <w:t>:</w:t>
      </w:r>
    </w:p>
    <w:p w14:paraId="52410403" w14:textId="77777777" w:rsidR="007E4485" w:rsidRPr="00BE3D42" w:rsidRDefault="007E4485" w:rsidP="003D44CE">
      <w:pPr>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التعرف على مستوى ثقة العملاء في موظفي البنوك التجارية من حيث أبعاد الكفاءة المهنية والنزاهة والتعاطف والتواصل الفعّال</w:t>
      </w:r>
      <w:r w:rsidRPr="00BE3D42">
        <w:rPr>
          <w:rFonts w:ascii="Simplified Arabic" w:eastAsia="Times New Roman" w:hAnsi="Simplified Arabic" w:cs="Simplified Arabic"/>
          <w:color w:val="000000" w:themeColor="text1"/>
          <w:kern w:val="0"/>
          <w:sz w:val="28"/>
          <w:szCs w:val="28"/>
          <w14:ligatures w14:val="none"/>
        </w:rPr>
        <w:t>.</w:t>
      </w:r>
    </w:p>
    <w:p w14:paraId="2343BEAF" w14:textId="77777777" w:rsidR="007E4485" w:rsidRPr="00BE3D42" w:rsidRDefault="007E4485" w:rsidP="003D44CE">
      <w:pPr>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قياس أثر الكفاءة المهنية لموظف البنك على قرار العميل بالحصول على القرض الشخصي</w:t>
      </w:r>
      <w:r w:rsidRPr="00BE3D42">
        <w:rPr>
          <w:rFonts w:ascii="Simplified Arabic" w:eastAsia="Times New Roman" w:hAnsi="Simplified Arabic" w:cs="Simplified Arabic"/>
          <w:color w:val="000000" w:themeColor="text1"/>
          <w:kern w:val="0"/>
          <w:sz w:val="28"/>
          <w:szCs w:val="28"/>
          <w14:ligatures w14:val="none"/>
        </w:rPr>
        <w:t>.</w:t>
      </w:r>
    </w:p>
    <w:p w14:paraId="78F70002" w14:textId="77777777" w:rsidR="007E4485" w:rsidRPr="00BE3D42" w:rsidRDefault="007E4485" w:rsidP="003D44CE">
      <w:pPr>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قياس أثر نزاهة موظف البنك على قرار العميل بالحصول على القرض الشخصي</w:t>
      </w:r>
      <w:r w:rsidRPr="00BE3D42">
        <w:rPr>
          <w:rFonts w:ascii="Simplified Arabic" w:eastAsia="Times New Roman" w:hAnsi="Simplified Arabic" w:cs="Simplified Arabic"/>
          <w:color w:val="000000" w:themeColor="text1"/>
          <w:kern w:val="0"/>
          <w:sz w:val="28"/>
          <w:szCs w:val="28"/>
          <w14:ligatures w14:val="none"/>
        </w:rPr>
        <w:t>.</w:t>
      </w:r>
    </w:p>
    <w:p w14:paraId="36C85506" w14:textId="77777777" w:rsidR="007E4485" w:rsidRPr="00BE3D42" w:rsidRDefault="007E4485" w:rsidP="003D44CE">
      <w:pPr>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قياس أثر تعاطف موظف البنك على قرار العميل بالحصول على القرض الشخصي</w:t>
      </w:r>
      <w:r w:rsidRPr="00BE3D42">
        <w:rPr>
          <w:rFonts w:ascii="Simplified Arabic" w:eastAsia="Times New Roman" w:hAnsi="Simplified Arabic" w:cs="Simplified Arabic"/>
          <w:color w:val="000000" w:themeColor="text1"/>
          <w:kern w:val="0"/>
          <w:sz w:val="28"/>
          <w:szCs w:val="28"/>
          <w14:ligatures w14:val="none"/>
        </w:rPr>
        <w:t>.</w:t>
      </w:r>
    </w:p>
    <w:p w14:paraId="3E728A3E" w14:textId="77777777" w:rsidR="007E4485" w:rsidRPr="00BE3D42" w:rsidRDefault="007E4485" w:rsidP="003D44CE">
      <w:pPr>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قياس أثر التواصل الفعّال لموظف البنك على قرار العميل بالحصول على القرض الشخصي</w:t>
      </w:r>
      <w:r w:rsidRPr="00BE3D42">
        <w:rPr>
          <w:rFonts w:ascii="Simplified Arabic" w:eastAsia="Times New Roman" w:hAnsi="Simplified Arabic" w:cs="Simplified Arabic"/>
          <w:color w:val="000000" w:themeColor="text1"/>
          <w:kern w:val="0"/>
          <w:sz w:val="28"/>
          <w:szCs w:val="28"/>
          <w14:ligatures w14:val="none"/>
        </w:rPr>
        <w:t>.</w:t>
      </w:r>
    </w:p>
    <w:p w14:paraId="24B60B0F" w14:textId="77777777" w:rsidR="007E4485" w:rsidRPr="00BE3D42" w:rsidRDefault="007E4485" w:rsidP="003D44CE">
      <w:pPr>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تقديم توصيات عملية لإدارات البنوك التجارية حول سُبل تعزيز ثقة العملاء في الموظفين بما ينعكس إيجاباً على قرارات التمويل الشخصي</w:t>
      </w:r>
      <w:r w:rsidRPr="00BE3D42">
        <w:rPr>
          <w:rFonts w:ascii="Simplified Arabic" w:eastAsia="Times New Roman" w:hAnsi="Simplified Arabic" w:cs="Simplified Arabic"/>
          <w:color w:val="000000" w:themeColor="text1"/>
          <w:kern w:val="0"/>
          <w:sz w:val="28"/>
          <w:szCs w:val="28"/>
          <w14:ligatures w14:val="none"/>
        </w:rPr>
        <w:t>.</w:t>
      </w:r>
    </w:p>
    <w:p w14:paraId="698269D2" w14:textId="77777777" w:rsidR="003D44CE" w:rsidRPr="00BE3D42" w:rsidRDefault="003D44CE" w:rsidP="003D44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169790498"/>
      <w:bookmarkStart w:id="11" w:name="_Toc233117040"/>
      <w:bookmarkEnd w:id="8"/>
      <w:r w:rsidRPr="00BE3D42">
        <w:rPr>
          <w:rFonts w:ascii="Simplified Arabic" w:eastAsia="Times New Roman" w:hAnsi="Simplified Arabic" w:cs="Simplified Arabic"/>
          <w:b/>
          <w:bCs/>
          <w:color w:val="000000" w:themeColor="text1"/>
          <w:kern w:val="0"/>
          <w:sz w:val="36"/>
          <w:szCs w:val="36"/>
          <w:rtl/>
          <w14:ligatures w14:val="none"/>
        </w:rPr>
        <w:t>5.1 تساؤلات الدراسة</w:t>
      </w:r>
      <w:bookmarkEnd w:id="11"/>
    </w:p>
    <w:p w14:paraId="4B1EAF50" w14:textId="4B2294CD" w:rsidR="003D44CE" w:rsidRPr="00BE3D42" w:rsidRDefault="003D44CE" w:rsidP="003D44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E3D42">
        <w:rPr>
          <w:rFonts w:ascii="Simplified Arabic" w:eastAsia="Times New Roman" w:hAnsi="Simplified Arabic" w:cs="Simplified Arabic"/>
          <w:b/>
          <w:bCs/>
          <w:color w:val="000000" w:themeColor="text1"/>
          <w:kern w:val="0"/>
          <w:sz w:val="32"/>
          <w:szCs w:val="32"/>
          <w:rtl/>
          <w14:ligatures w14:val="none"/>
        </w:rPr>
        <w:t>السؤال الرئيسي</w:t>
      </w:r>
    </w:p>
    <w:p w14:paraId="011FDE18" w14:textId="77777777"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ما أثر ثقة العميل في موظف البنك بأبعادها (الكفاءة المهنية، النزاهة، التعاطف، التواصل الفعّال) على قرار الحصول على القرض الشخصي في البنوك التجارية؟</w:t>
      </w:r>
    </w:p>
    <w:p w14:paraId="3E97ED06" w14:textId="77777777" w:rsidR="007E4485" w:rsidRPr="00BE3D42" w:rsidRDefault="007E4485" w:rsidP="003D44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2687652"/>
      <w:r w:rsidRPr="00BE3D42">
        <w:rPr>
          <w:rFonts w:ascii="Simplified Arabic" w:eastAsia="Times New Roman" w:hAnsi="Simplified Arabic" w:cs="Simplified Arabic"/>
          <w:b/>
          <w:bCs/>
          <w:color w:val="000000" w:themeColor="text1"/>
          <w:kern w:val="0"/>
          <w:sz w:val="32"/>
          <w:szCs w:val="32"/>
          <w:rtl/>
          <w14:ligatures w14:val="none"/>
        </w:rPr>
        <w:t>الأسئلة الفرعية</w:t>
      </w:r>
      <w:bookmarkEnd w:id="12"/>
    </w:p>
    <w:p w14:paraId="656CE2C2" w14:textId="77777777" w:rsidR="007E4485" w:rsidRPr="00BE3D42" w:rsidRDefault="007E4485" w:rsidP="003D44CE">
      <w:pPr>
        <w:numPr>
          <w:ilvl w:val="0"/>
          <w:numId w:val="3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ما مستوى ثقة العملاء في موظفي البنوك التجارية من حيث أبعاد الكفاءة المهنية والنزاهة والتعاطف والتواصل الفعّال؟</w:t>
      </w:r>
    </w:p>
    <w:p w14:paraId="1D442124" w14:textId="77777777" w:rsidR="007E4485" w:rsidRPr="00BE3D42" w:rsidRDefault="007E4485" w:rsidP="003D44CE">
      <w:pPr>
        <w:numPr>
          <w:ilvl w:val="0"/>
          <w:numId w:val="3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ما أثر الكفاءة المهنية لموظف البنك على قرار العميل بالحصول على القرض الشخصي؟</w:t>
      </w:r>
    </w:p>
    <w:p w14:paraId="59B834CC" w14:textId="77777777" w:rsidR="007E4485" w:rsidRPr="00BE3D42" w:rsidRDefault="007E4485" w:rsidP="003D44CE">
      <w:pPr>
        <w:numPr>
          <w:ilvl w:val="0"/>
          <w:numId w:val="3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ما أثر نزاهة موظف البنك على قرار العميل بالحصول على القرض الشخصي؟</w:t>
      </w:r>
    </w:p>
    <w:p w14:paraId="0ACE6455" w14:textId="77777777" w:rsidR="007E4485" w:rsidRPr="00BE3D42" w:rsidRDefault="007E4485" w:rsidP="003D44CE">
      <w:pPr>
        <w:numPr>
          <w:ilvl w:val="0"/>
          <w:numId w:val="3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ما أثر تعاطف موظف البنك على قرار العميل بالحصول على القرض الشخصي؟</w:t>
      </w:r>
    </w:p>
    <w:p w14:paraId="2AEBCBC6" w14:textId="77777777" w:rsidR="007E4485" w:rsidRPr="00BE3D42" w:rsidRDefault="007E4485" w:rsidP="003D44CE">
      <w:pPr>
        <w:numPr>
          <w:ilvl w:val="0"/>
          <w:numId w:val="3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ما أثر التواصل الفعّال لموظف البنك على قرار العميل بالحصول على القرض الشخصي؟</w:t>
      </w:r>
    </w:p>
    <w:p w14:paraId="11AD4BC0" w14:textId="77777777" w:rsidR="003D44CE" w:rsidRPr="00BE3D42" w:rsidRDefault="003D44CE" w:rsidP="003D44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0"/>
      <w:bookmarkStart w:id="14" w:name="_Toc233117041"/>
      <w:bookmarkEnd w:id="10"/>
      <w:r w:rsidRPr="00BE3D42">
        <w:rPr>
          <w:rFonts w:ascii="Simplified Arabic" w:eastAsia="Times New Roman" w:hAnsi="Simplified Arabic" w:cs="Simplified Arabic"/>
          <w:b/>
          <w:bCs/>
          <w:color w:val="000000" w:themeColor="text1"/>
          <w:kern w:val="0"/>
          <w:sz w:val="36"/>
          <w:szCs w:val="36"/>
          <w:rtl/>
          <w14:ligatures w14:val="none"/>
        </w:rPr>
        <w:lastRenderedPageBreak/>
        <w:t>6.1 فروض الدراسة:</w:t>
      </w:r>
      <w:bookmarkEnd w:id="14"/>
    </w:p>
    <w:p w14:paraId="524C163B" w14:textId="403FCBE7" w:rsidR="003D44CE" w:rsidRPr="00BE3D42" w:rsidRDefault="003D44CE" w:rsidP="003D44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E3D42">
        <w:rPr>
          <w:rFonts w:ascii="Simplified Arabic" w:eastAsia="Times New Roman" w:hAnsi="Simplified Arabic" w:cs="Simplified Arabic"/>
          <w:b/>
          <w:bCs/>
          <w:color w:val="000000" w:themeColor="text1"/>
          <w:kern w:val="0"/>
          <w:sz w:val="32"/>
          <w:szCs w:val="32"/>
          <w:rtl/>
          <w14:ligatures w14:val="none"/>
        </w:rPr>
        <w:t>الفرض الرئيسي</w:t>
      </w:r>
    </w:p>
    <w:p w14:paraId="6A89EF8D" w14:textId="77777777" w:rsidR="007E4485" w:rsidRPr="00BE3D42" w:rsidRDefault="007E4485" w:rsidP="003D44CE">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14:ligatures w14:val="none"/>
        </w:rPr>
        <w:t xml:space="preserve">H1: </w:t>
      </w:r>
      <w:r w:rsidRPr="00BE3D4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Cambria" w:eastAsia="Times New Roman" w:hAnsi="Cambria" w:cs="Cambria"/>
          <w:color w:val="000000" w:themeColor="text1"/>
          <w:kern w:val="0"/>
          <w:sz w:val="28"/>
          <w:szCs w:val="28"/>
          <w14:ligatures w14:val="none"/>
        </w:rPr>
        <w:t>α≤</w:t>
      </w:r>
      <w:r w:rsidRPr="00BE3D42">
        <w:rPr>
          <w:rFonts w:ascii="Simplified Arabic" w:eastAsia="Times New Roman" w:hAnsi="Simplified Arabic" w:cs="Simplified Arabic"/>
          <w:color w:val="000000" w:themeColor="text1"/>
          <w:kern w:val="0"/>
          <w:sz w:val="28"/>
          <w:szCs w:val="28"/>
          <w14:ligatures w14:val="none"/>
        </w:rPr>
        <w:t xml:space="preserve">0.05) </w:t>
      </w:r>
      <w:r w:rsidRPr="00BE3D42">
        <w:rPr>
          <w:rFonts w:ascii="Simplified Arabic" w:eastAsia="Times New Roman" w:hAnsi="Simplified Arabic" w:cs="Simplified Arabic"/>
          <w:color w:val="000000" w:themeColor="text1"/>
          <w:kern w:val="0"/>
          <w:sz w:val="28"/>
          <w:szCs w:val="28"/>
          <w:rtl/>
          <w14:ligatures w14:val="none"/>
        </w:rPr>
        <w:t>لثقة العميل في موظف البنك بأبعادها (الكفاءة المهنية، النزاهة، التعاطف، التواصل الفعّال) على قرار الحصول على القرض الشخصي في البنوك التجارية</w:t>
      </w:r>
      <w:r w:rsidRPr="00BE3D42">
        <w:rPr>
          <w:rFonts w:ascii="Simplified Arabic" w:eastAsia="Times New Roman" w:hAnsi="Simplified Arabic" w:cs="Simplified Arabic"/>
          <w:color w:val="000000" w:themeColor="text1"/>
          <w:kern w:val="0"/>
          <w:sz w:val="28"/>
          <w:szCs w:val="28"/>
          <w14:ligatures w14:val="none"/>
        </w:rPr>
        <w:t>.</w:t>
      </w:r>
    </w:p>
    <w:p w14:paraId="48B7D2C8" w14:textId="77777777" w:rsidR="007E4485" w:rsidRPr="00BE3D42" w:rsidRDefault="007E4485" w:rsidP="003D44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2687655"/>
      <w:r w:rsidRPr="00BE3D42">
        <w:rPr>
          <w:rFonts w:ascii="Simplified Arabic" w:eastAsia="Times New Roman" w:hAnsi="Simplified Arabic" w:cs="Simplified Arabic"/>
          <w:b/>
          <w:bCs/>
          <w:color w:val="000000" w:themeColor="text1"/>
          <w:kern w:val="0"/>
          <w:sz w:val="32"/>
          <w:szCs w:val="32"/>
          <w:rtl/>
          <w14:ligatures w14:val="none"/>
        </w:rPr>
        <w:t>الفروض الفرعية</w:t>
      </w:r>
      <w:bookmarkEnd w:id="15"/>
    </w:p>
    <w:p w14:paraId="4F1E2556" w14:textId="77777777" w:rsidR="007E4485" w:rsidRPr="00BE3D42" w:rsidRDefault="007E4485" w:rsidP="003D44CE">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14:ligatures w14:val="none"/>
        </w:rPr>
        <w:t xml:space="preserve">H1a: </w:t>
      </w:r>
      <w:r w:rsidRPr="00BE3D4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Cambria" w:eastAsia="Times New Roman" w:hAnsi="Cambria" w:cs="Cambria"/>
          <w:color w:val="000000" w:themeColor="text1"/>
          <w:kern w:val="0"/>
          <w:sz w:val="28"/>
          <w:szCs w:val="28"/>
          <w14:ligatures w14:val="none"/>
        </w:rPr>
        <w:t>α≤</w:t>
      </w:r>
      <w:r w:rsidRPr="00BE3D42">
        <w:rPr>
          <w:rFonts w:ascii="Simplified Arabic" w:eastAsia="Times New Roman" w:hAnsi="Simplified Arabic" w:cs="Simplified Arabic"/>
          <w:color w:val="000000" w:themeColor="text1"/>
          <w:kern w:val="0"/>
          <w:sz w:val="28"/>
          <w:szCs w:val="28"/>
          <w14:ligatures w14:val="none"/>
        </w:rPr>
        <w:t xml:space="preserve">0.05) </w:t>
      </w:r>
      <w:r w:rsidRPr="00BE3D42">
        <w:rPr>
          <w:rFonts w:ascii="Simplified Arabic" w:eastAsia="Times New Roman" w:hAnsi="Simplified Arabic" w:cs="Simplified Arabic"/>
          <w:color w:val="000000" w:themeColor="text1"/>
          <w:kern w:val="0"/>
          <w:sz w:val="28"/>
          <w:szCs w:val="28"/>
          <w:rtl/>
          <w14:ligatures w14:val="none"/>
        </w:rPr>
        <w:t>للكفاءة المهنية لموظف البنك على قرار العميل بالحصول على القرض الشخصي</w:t>
      </w:r>
      <w:r w:rsidRPr="00BE3D42">
        <w:rPr>
          <w:rFonts w:ascii="Simplified Arabic" w:eastAsia="Times New Roman" w:hAnsi="Simplified Arabic" w:cs="Simplified Arabic"/>
          <w:color w:val="000000" w:themeColor="text1"/>
          <w:kern w:val="0"/>
          <w:sz w:val="28"/>
          <w:szCs w:val="28"/>
          <w14:ligatures w14:val="none"/>
        </w:rPr>
        <w:t>.</w:t>
      </w:r>
    </w:p>
    <w:p w14:paraId="528B368C" w14:textId="77777777" w:rsidR="007E4485" w:rsidRPr="00BE3D42" w:rsidRDefault="007E4485" w:rsidP="003D44CE">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14:ligatures w14:val="none"/>
        </w:rPr>
        <w:t xml:space="preserve">H1b: </w:t>
      </w:r>
      <w:r w:rsidRPr="00BE3D4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Cambria" w:eastAsia="Times New Roman" w:hAnsi="Cambria" w:cs="Cambria"/>
          <w:color w:val="000000" w:themeColor="text1"/>
          <w:kern w:val="0"/>
          <w:sz w:val="28"/>
          <w:szCs w:val="28"/>
          <w14:ligatures w14:val="none"/>
        </w:rPr>
        <w:t>α≤</w:t>
      </w:r>
      <w:r w:rsidRPr="00BE3D42">
        <w:rPr>
          <w:rFonts w:ascii="Simplified Arabic" w:eastAsia="Times New Roman" w:hAnsi="Simplified Arabic" w:cs="Simplified Arabic"/>
          <w:color w:val="000000" w:themeColor="text1"/>
          <w:kern w:val="0"/>
          <w:sz w:val="28"/>
          <w:szCs w:val="28"/>
          <w14:ligatures w14:val="none"/>
        </w:rPr>
        <w:t xml:space="preserve">0.05) </w:t>
      </w:r>
      <w:r w:rsidRPr="00BE3D42">
        <w:rPr>
          <w:rFonts w:ascii="Simplified Arabic" w:eastAsia="Times New Roman" w:hAnsi="Simplified Arabic" w:cs="Simplified Arabic"/>
          <w:color w:val="000000" w:themeColor="text1"/>
          <w:kern w:val="0"/>
          <w:sz w:val="28"/>
          <w:szCs w:val="28"/>
          <w:rtl/>
          <w14:ligatures w14:val="none"/>
        </w:rPr>
        <w:t>لنزاهة موظف البنك على قرار العميل بالحصول على القرض الشخصي</w:t>
      </w:r>
      <w:r w:rsidRPr="00BE3D42">
        <w:rPr>
          <w:rFonts w:ascii="Simplified Arabic" w:eastAsia="Times New Roman" w:hAnsi="Simplified Arabic" w:cs="Simplified Arabic"/>
          <w:color w:val="000000" w:themeColor="text1"/>
          <w:kern w:val="0"/>
          <w:sz w:val="28"/>
          <w:szCs w:val="28"/>
          <w14:ligatures w14:val="none"/>
        </w:rPr>
        <w:t>.</w:t>
      </w:r>
    </w:p>
    <w:p w14:paraId="41B87EB0" w14:textId="77777777" w:rsidR="007E4485" w:rsidRPr="00BE3D42" w:rsidRDefault="007E4485" w:rsidP="003D44CE">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14:ligatures w14:val="none"/>
        </w:rPr>
        <w:t xml:space="preserve">H1c: </w:t>
      </w:r>
      <w:r w:rsidRPr="00BE3D4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Cambria" w:eastAsia="Times New Roman" w:hAnsi="Cambria" w:cs="Cambria"/>
          <w:color w:val="000000" w:themeColor="text1"/>
          <w:kern w:val="0"/>
          <w:sz w:val="28"/>
          <w:szCs w:val="28"/>
          <w14:ligatures w14:val="none"/>
        </w:rPr>
        <w:t>α≤</w:t>
      </w:r>
      <w:r w:rsidRPr="00BE3D42">
        <w:rPr>
          <w:rFonts w:ascii="Simplified Arabic" w:eastAsia="Times New Roman" w:hAnsi="Simplified Arabic" w:cs="Simplified Arabic"/>
          <w:color w:val="000000" w:themeColor="text1"/>
          <w:kern w:val="0"/>
          <w:sz w:val="28"/>
          <w:szCs w:val="28"/>
          <w14:ligatures w14:val="none"/>
        </w:rPr>
        <w:t xml:space="preserve">0.05) </w:t>
      </w:r>
      <w:r w:rsidRPr="00BE3D42">
        <w:rPr>
          <w:rFonts w:ascii="Simplified Arabic" w:eastAsia="Times New Roman" w:hAnsi="Simplified Arabic" w:cs="Simplified Arabic"/>
          <w:color w:val="000000" w:themeColor="text1"/>
          <w:kern w:val="0"/>
          <w:sz w:val="28"/>
          <w:szCs w:val="28"/>
          <w:rtl/>
          <w14:ligatures w14:val="none"/>
        </w:rPr>
        <w:t>لتعاطف موظف البنك على قرار العميل بالحصول على القرض الشخصي</w:t>
      </w:r>
      <w:r w:rsidRPr="00BE3D42">
        <w:rPr>
          <w:rFonts w:ascii="Simplified Arabic" w:eastAsia="Times New Roman" w:hAnsi="Simplified Arabic" w:cs="Simplified Arabic"/>
          <w:color w:val="000000" w:themeColor="text1"/>
          <w:kern w:val="0"/>
          <w:sz w:val="28"/>
          <w:szCs w:val="28"/>
          <w14:ligatures w14:val="none"/>
        </w:rPr>
        <w:t>.</w:t>
      </w:r>
    </w:p>
    <w:p w14:paraId="5DE0FA01" w14:textId="77777777" w:rsidR="007E4485" w:rsidRPr="00BE3D42" w:rsidRDefault="007E4485" w:rsidP="003D44CE">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14:ligatures w14:val="none"/>
        </w:rPr>
        <w:t xml:space="preserve">H1d: </w:t>
      </w:r>
      <w:r w:rsidRPr="00BE3D4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Cambria" w:eastAsia="Times New Roman" w:hAnsi="Cambria" w:cs="Cambria"/>
          <w:color w:val="000000" w:themeColor="text1"/>
          <w:kern w:val="0"/>
          <w:sz w:val="28"/>
          <w:szCs w:val="28"/>
          <w14:ligatures w14:val="none"/>
        </w:rPr>
        <w:t>α≤</w:t>
      </w:r>
      <w:r w:rsidRPr="00BE3D42">
        <w:rPr>
          <w:rFonts w:ascii="Simplified Arabic" w:eastAsia="Times New Roman" w:hAnsi="Simplified Arabic" w:cs="Simplified Arabic"/>
          <w:color w:val="000000" w:themeColor="text1"/>
          <w:kern w:val="0"/>
          <w:sz w:val="28"/>
          <w:szCs w:val="28"/>
          <w14:ligatures w14:val="none"/>
        </w:rPr>
        <w:t xml:space="preserve">0.05) </w:t>
      </w:r>
      <w:r w:rsidRPr="00BE3D42">
        <w:rPr>
          <w:rFonts w:ascii="Simplified Arabic" w:eastAsia="Times New Roman" w:hAnsi="Simplified Arabic" w:cs="Simplified Arabic"/>
          <w:color w:val="000000" w:themeColor="text1"/>
          <w:kern w:val="0"/>
          <w:sz w:val="28"/>
          <w:szCs w:val="28"/>
          <w:rtl/>
          <w14:ligatures w14:val="none"/>
        </w:rPr>
        <w:t>للتواصل الفعّال لموظف البنك على قرار العميل بالحصول على القرض الشخصي</w:t>
      </w:r>
      <w:r w:rsidRPr="00BE3D42">
        <w:rPr>
          <w:rFonts w:ascii="Simplified Arabic" w:eastAsia="Times New Roman" w:hAnsi="Simplified Arabic" w:cs="Simplified Arabic"/>
          <w:color w:val="000000" w:themeColor="text1"/>
          <w:kern w:val="0"/>
          <w:sz w:val="28"/>
          <w:szCs w:val="28"/>
          <w14:ligatures w14:val="none"/>
        </w:rPr>
        <w:t>.</w:t>
      </w:r>
    </w:p>
    <w:p w14:paraId="3096B3CB" w14:textId="77777777" w:rsidR="003D44CE" w:rsidRPr="00BE3D42" w:rsidRDefault="003D44CE" w:rsidP="003D44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169790501"/>
      <w:bookmarkStart w:id="17" w:name="_Toc233117042"/>
      <w:bookmarkEnd w:id="13"/>
      <w:r w:rsidRPr="00BE3D42">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7"/>
    </w:p>
    <w:p w14:paraId="42BD043C" w14:textId="207C3B94" w:rsidR="003D44CE" w:rsidRPr="00BE3D42" w:rsidRDefault="003D44CE" w:rsidP="003D44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E3D42">
        <w:rPr>
          <w:rFonts w:ascii="Simplified Arabic" w:eastAsia="Times New Roman" w:hAnsi="Simplified Arabic" w:cs="Simplified Arabic"/>
          <w:b/>
          <w:bCs/>
          <w:color w:val="000000" w:themeColor="text1"/>
          <w:kern w:val="0"/>
          <w:sz w:val="32"/>
          <w:szCs w:val="32"/>
          <w:rtl/>
          <w14:ligatures w14:val="none"/>
        </w:rPr>
        <w:t>المحور الأول: المتغير المستقل (الثقة في موظف البنك) وعلاقته بمتغيرات أخرى</w:t>
      </w:r>
    </w:p>
    <w:p w14:paraId="32EFA91B" w14:textId="77777777" w:rsidR="003D44CE" w:rsidRPr="00BE3D42" w:rsidRDefault="003D44CE"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w:t>
      </w:r>
      <w:r w:rsidRPr="00BE3D42">
        <w:rPr>
          <w:rFonts w:ascii="Simplified Arabic" w:eastAsia="Times New Roman" w:hAnsi="Simplified Arabic" w:cs="Simplified Arabic"/>
          <w:b/>
          <w:bCs/>
          <w:color w:val="000000" w:themeColor="text1"/>
          <w:kern w:val="0"/>
          <w:sz w:val="28"/>
          <w:szCs w:val="28"/>
          <w14:ligatures w14:val="none"/>
        </w:rPr>
        <w:t xml:space="preserve"> Bada &amp; Karupiah (2021): "Interpersonal dimension of trust on customer interaction in the banking sector". </w:t>
      </w:r>
    </w:p>
    <w:p w14:paraId="7B9932A5" w14:textId="2F372EED" w:rsidR="003D44CE" w:rsidRPr="00BE3D42" w:rsidRDefault="003D44CE"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أثر أبعاد الثقة الشخصية بأبعادها (الثقة المعرفية، الثقة العاطفية، ثقة الإحسان) على تفاعل العملاء مع القطاع المصرفي في سوكوتو بنيجيريا. واستخدمت الدراسة المنهج الكمي باستخدام</w:t>
      </w:r>
      <w:r w:rsidRPr="00BE3D42">
        <w:rPr>
          <w:rFonts w:ascii="Simplified Arabic" w:eastAsia="Times New Roman" w:hAnsi="Simplified Arabic" w:cs="Simplified Arabic"/>
          <w:color w:val="000000" w:themeColor="text1"/>
          <w:kern w:val="0"/>
          <w:sz w:val="28"/>
          <w:szCs w:val="28"/>
          <w14:ligatures w14:val="none"/>
        </w:rPr>
        <w:t xml:space="preserve"> PLS-SEM 3.2</w:t>
      </w:r>
      <w:r w:rsidRPr="00BE3D42">
        <w:rPr>
          <w:rFonts w:ascii="Simplified Arabic" w:eastAsia="Times New Roman" w:hAnsi="Simplified Arabic" w:cs="Simplified Arabic"/>
          <w:color w:val="000000" w:themeColor="text1"/>
          <w:kern w:val="0"/>
          <w:sz w:val="28"/>
          <w:szCs w:val="28"/>
          <w:rtl/>
          <w14:ligatures w14:val="none"/>
        </w:rPr>
        <w:t xml:space="preserve">، وتكونت العينة من (500) عميل مصرفي. وتوصلت نتائج الدراسة </w:t>
      </w:r>
      <w:r w:rsidRPr="00BE3D42">
        <w:rPr>
          <w:rFonts w:ascii="Simplified Arabic" w:eastAsia="Times New Roman" w:hAnsi="Simplified Arabic" w:cs="Simplified Arabic"/>
          <w:color w:val="000000" w:themeColor="text1"/>
          <w:kern w:val="0"/>
          <w:sz w:val="28"/>
          <w:szCs w:val="28"/>
          <w:rtl/>
          <w14:ligatures w14:val="none"/>
        </w:rPr>
        <w:lastRenderedPageBreak/>
        <w:t>إلى أن أبعاد الثقة الثلاثة تؤثر إيجاباً وبدلالة إحصائية على تفاعل العملاء مع البنك. وأوصت الدراسة بتعزيز الجوانب الشخصية في العلاقة بين الموظف والعميل</w:t>
      </w:r>
      <w:r w:rsidRPr="00BE3D42">
        <w:rPr>
          <w:rFonts w:ascii="Simplified Arabic" w:eastAsia="Times New Roman" w:hAnsi="Simplified Arabic" w:cs="Simplified Arabic"/>
          <w:color w:val="000000" w:themeColor="text1"/>
          <w:kern w:val="0"/>
          <w:sz w:val="28"/>
          <w:szCs w:val="28"/>
          <w14:ligatures w14:val="none"/>
        </w:rPr>
        <w:t>.</w:t>
      </w:r>
    </w:p>
    <w:p w14:paraId="785C95FF" w14:textId="77777777" w:rsidR="003D44CE" w:rsidRPr="00BE3D42" w:rsidRDefault="003D44CE"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 محمدي</w:t>
      </w:r>
      <w:r w:rsidRPr="00BE3D42">
        <w:rPr>
          <w:rFonts w:ascii="Simplified Arabic" w:eastAsia="Times New Roman" w:hAnsi="Simplified Arabic" w:cs="Simplified Arabic"/>
          <w:b/>
          <w:bCs/>
          <w:color w:val="000000" w:themeColor="text1"/>
          <w:kern w:val="0"/>
          <w:sz w:val="28"/>
          <w:szCs w:val="28"/>
          <w14:ligatures w14:val="none"/>
        </w:rPr>
        <w:t xml:space="preserve"> (2022): "</w:t>
      </w:r>
      <w:r w:rsidRPr="00BE3D42">
        <w:rPr>
          <w:rFonts w:ascii="Simplified Arabic" w:eastAsia="Times New Roman" w:hAnsi="Simplified Arabic" w:cs="Simplified Arabic"/>
          <w:b/>
          <w:bCs/>
          <w:color w:val="000000" w:themeColor="text1"/>
          <w:kern w:val="0"/>
          <w:sz w:val="28"/>
          <w:szCs w:val="28"/>
          <w:rtl/>
          <w14:ligatures w14:val="none"/>
        </w:rPr>
        <w:t>دور جودة الخدمة المصرفية في زيادة ثقة الزبون بالبنوك التجارية – دراسة حالة بنوك الخليج</w:t>
      </w:r>
      <w:r w:rsidRPr="00BE3D42">
        <w:rPr>
          <w:rFonts w:ascii="Simplified Arabic" w:eastAsia="Times New Roman" w:hAnsi="Simplified Arabic" w:cs="Simplified Arabic"/>
          <w:b/>
          <w:bCs/>
          <w:color w:val="000000" w:themeColor="text1"/>
          <w:kern w:val="0"/>
          <w:sz w:val="28"/>
          <w:szCs w:val="28"/>
          <w14:ligatures w14:val="none"/>
        </w:rPr>
        <w:t xml:space="preserve"> (AGB) </w:t>
      </w:r>
      <w:r w:rsidRPr="00BE3D42">
        <w:rPr>
          <w:rFonts w:ascii="Simplified Arabic" w:eastAsia="Times New Roman" w:hAnsi="Simplified Arabic" w:cs="Simplified Arabic"/>
          <w:b/>
          <w:bCs/>
          <w:color w:val="000000" w:themeColor="text1"/>
          <w:kern w:val="0"/>
          <w:sz w:val="28"/>
          <w:szCs w:val="28"/>
          <w:rtl/>
          <w14:ligatures w14:val="none"/>
        </w:rPr>
        <w:t>والفلاحة والتنمية الريفية</w:t>
      </w:r>
      <w:r w:rsidRPr="00BE3D42">
        <w:rPr>
          <w:rFonts w:ascii="Simplified Arabic" w:eastAsia="Times New Roman" w:hAnsi="Simplified Arabic" w:cs="Simplified Arabic"/>
          <w:b/>
          <w:bCs/>
          <w:color w:val="000000" w:themeColor="text1"/>
          <w:kern w:val="0"/>
          <w:sz w:val="28"/>
          <w:szCs w:val="28"/>
          <w14:ligatures w14:val="none"/>
        </w:rPr>
        <w:t xml:space="preserve"> (BADR) </w:t>
      </w:r>
      <w:r w:rsidRPr="00BE3D42">
        <w:rPr>
          <w:rFonts w:ascii="Simplified Arabic" w:eastAsia="Times New Roman" w:hAnsi="Simplified Arabic" w:cs="Simplified Arabic"/>
          <w:b/>
          <w:bCs/>
          <w:color w:val="000000" w:themeColor="text1"/>
          <w:kern w:val="0"/>
          <w:sz w:val="28"/>
          <w:szCs w:val="28"/>
          <w:rtl/>
          <w14:ligatures w14:val="none"/>
        </w:rPr>
        <w:t>والقرض الشعبي الجزائري</w:t>
      </w:r>
      <w:r w:rsidRPr="00BE3D42">
        <w:rPr>
          <w:rFonts w:ascii="Simplified Arabic" w:eastAsia="Times New Roman" w:hAnsi="Simplified Arabic" w:cs="Simplified Arabic"/>
          <w:b/>
          <w:bCs/>
          <w:color w:val="000000" w:themeColor="text1"/>
          <w:kern w:val="0"/>
          <w:sz w:val="28"/>
          <w:szCs w:val="28"/>
          <w14:ligatures w14:val="none"/>
        </w:rPr>
        <w:t xml:space="preserve"> (CPA) </w:t>
      </w:r>
      <w:r w:rsidRPr="00BE3D42">
        <w:rPr>
          <w:rFonts w:ascii="Simplified Arabic" w:eastAsia="Times New Roman" w:hAnsi="Simplified Arabic" w:cs="Simplified Arabic"/>
          <w:b/>
          <w:bCs/>
          <w:color w:val="000000" w:themeColor="text1"/>
          <w:kern w:val="0"/>
          <w:sz w:val="28"/>
          <w:szCs w:val="28"/>
          <w:rtl/>
          <w14:ligatures w14:val="none"/>
        </w:rPr>
        <w:t xml:space="preserve">بورقلة". </w:t>
      </w:r>
    </w:p>
    <w:p w14:paraId="2827295F" w14:textId="12F35226" w:rsidR="003D44CE" w:rsidRPr="00BE3D42" w:rsidRDefault="003D44CE"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أثر أبعاد جودة الخدمة المصرفية بأبعادها (الملموسية، الاعتمادية، الاستجابة، الأمان، التعاطف) على ثقة الزبائن في البنوك التجارية بورقلة (الجزائر). واستخدمت الدراسة المنهج الوصفي التحليلي، وتكونت العينة من عملاء البنوك الثلاثة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Simplified Arabic" w:eastAsia="Times New Roman" w:hAnsi="Simplified Arabic" w:cs="Simplified Arabic"/>
          <w:color w:val="000000" w:themeColor="text1"/>
          <w:kern w:val="0"/>
          <w:sz w:val="28"/>
          <w:szCs w:val="28"/>
          <w:rtl/>
          <w14:ligatures w14:val="none"/>
        </w:rPr>
        <w:t>وتوصلت نتائج الدراسة إلى أن جميع أبعاد جودة الخدمة لها أثر إيجابي ذو دلالة إحصائية على الثقة مع تفاوت في قوة التأثير بين الأبعاد. وأوصت الدراسة بالتركيز على تحسين الاستجابة والتعاطف لتقوية ثقة العملاء</w:t>
      </w:r>
      <w:r w:rsidRPr="00BE3D42">
        <w:rPr>
          <w:rFonts w:ascii="Simplified Arabic" w:eastAsia="Times New Roman" w:hAnsi="Simplified Arabic" w:cs="Simplified Arabic"/>
          <w:color w:val="000000" w:themeColor="text1"/>
          <w:kern w:val="0"/>
          <w:sz w:val="28"/>
          <w:szCs w:val="28"/>
          <w14:ligatures w14:val="none"/>
        </w:rPr>
        <w:t>.</w:t>
      </w:r>
    </w:p>
    <w:p w14:paraId="1BA32EAF"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 بن صالح</w:t>
      </w:r>
      <w:r w:rsidRPr="00BE3D42">
        <w:rPr>
          <w:rFonts w:ascii="Simplified Arabic" w:eastAsia="Times New Roman" w:hAnsi="Simplified Arabic" w:cs="Simplified Arabic"/>
          <w:b/>
          <w:bCs/>
          <w:color w:val="000000" w:themeColor="text1"/>
          <w:kern w:val="0"/>
          <w:sz w:val="28"/>
          <w:szCs w:val="28"/>
          <w14:ligatures w14:val="none"/>
        </w:rPr>
        <w:t xml:space="preserve"> (2023): "</w:t>
      </w:r>
      <w:r w:rsidRPr="00BE3D42">
        <w:rPr>
          <w:rFonts w:ascii="Simplified Arabic" w:eastAsia="Times New Roman" w:hAnsi="Simplified Arabic" w:cs="Simplified Arabic"/>
          <w:b/>
          <w:bCs/>
          <w:color w:val="000000" w:themeColor="text1"/>
          <w:kern w:val="0"/>
          <w:sz w:val="28"/>
          <w:szCs w:val="28"/>
          <w:rtl/>
          <w14:ligatures w14:val="none"/>
        </w:rPr>
        <w:t xml:space="preserve">العوامل المؤثرة على ثقة العملاء في الخدمات المصرفية الإلكترونية – دراسة حالة البنوك الجزائرية". </w:t>
      </w:r>
    </w:p>
    <w:p w14:paraId="048C7439" w14:textId="5E42AFDC"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على ثقة العملاء بأبعادها (السرية، الأمان، سهولة الاستخدام، سمعة البنك، حجم البنك، التجارب السابقة، الكفاءة التقنية) على ثقة العملاء في الخدمات المصرفية الإلكترونية في البنوك التجارية الجزائرية. واستخدمت الدراسة المنهج الوصفي التحليلي، وتكونت العينة من عملاء البنوك التجارية في ولاية قالمة بالجزائر. وتوصلت نتائج الدراسة إلى أن جميع الأبعاد المدروسة تؤثر إيجاباً وبدلالة إحصائية على مستوى ثقة العملاء. وأوصت الدراسة بتعزيز الأمان الرقمي وتبسيط واجهات الاستخدام وزيادة التوعية بالخدمات الرقمية</w:t>
      </w:r>
      <w:r w:rsidRPr="00BE3D42">
        <w:rPr>
          <w:rFonts w:ascii="Simplified Arabic" w:eastAsia="Times New Roman" w:hAnsi="Simplified Arabic" w:cs="Simplified Arabic"/>
          <w:color w:val="000000" w:themeColor="text1"/>
          <w:kern w:val="0"/>
          <w:sz w:val="28"/>
          <w:szCs w:val="28"/>
          <w14:ligatures w14:val="none"/>
        </w:rPr>
        <w:t>.</w:t>
      </w:r>
    </w:p>
    <w:p w14:paraId="21E27668"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 علي ومحمود وفضل الله وتميم</w:t>
      </w:r>
      <w:r w:rsidRPr="00BE3D42">
        <w:rPr>
          <w:rFonts w:ascii="Simplified Arabic" w:eastAsia="Times New Roman" w:hAnsi="Simplified Arabic" w:cs="Simplified Arabic"/>
          <w:b/>
          <w:bCs/>
          <w:color w:val="000000" w:themeColor="text1"/>
          <w:kern w:val="0"/>
          <w:sz w:val="28"/>
          <w:szCs w:val="28"/>
          <w14:ligatures w14:val="none"/>
        </w:rPr>
        <w:t xml:space="preserve"> (2024): "</w:t>
      </w:r>
      <w:r w:rsidRPr="00BE3D42">
        <w:rPr>
          <w:rFonts w:ascii="Simplified Arabic" w:eastAsia="Times New Roman" w:hAnsi="Simplified Arabic" w:cs="Simplified Arabic"/>
          <w:b/>
          <w:bCs/>
          <w:color w:val="000000" w:themeColor="text1"/>
          <w:kern w:val="0"/>
          <w:sz w:val="28"/>
          <w:szCs w:val="28"/>
          <w:rtl/>
          <w14:ligatures w14:val="none"/>
        </w:rPr>
        <w:t>تأثير أتمتة الخدمات المصرفية على رضا العملاء وولائهم للبنوك التجارية</w:t>
      </w:r>
      <w:r w:rsidRPr="00BE3D42">
        <w:rPr>
          <w:rFonts w:ascii="Simplified Arabic" w:eastAsia="Times New Roman" w:hAnsi="Simplified Arabic" w:cs="Simplified Arabic"/>
          <w:b/>
          <w:bCs/>
          <w:color w:val="000000" w:themeColor="text1"/>
          <w:kern w:val="0"/>
          <w:sz w:val="28"/>
          <w:szCs w:val="28"/>
          <w14:ligatures w14:val="none"/>
        </w:rPr>
        <w:t xml:space="preserve"> – </w:t>
      </w:r>
      <w:r w:rsidRPr="00BE3D42">
        <w:rPr>
          <w:rFonts w:ascii="Simplified Arabic" w:eastAsia="Times New Roman" w:hAnsi="Simplified Arabic" w:cs="Simplified Arabic"/>
          <w:b/>
          <w:bCs/>
          <w:color w:val="000000" w:themeColor="text1"/>
          <w:kern w:val="0"/>
          <w:sz w:val="28"/>
          <w:szCs w:val="28"/>
          <w:rtl/>
          <w14:ligatures w14:val="none"/>
        </w:rPr>
        <w:t xml:space="preserve">بنك أم درمان الوطني السوداني أنموذجاً". </w:t>
      </w:r>
    </w:p>
    <w:p w14:paraId="6B31FC7E" w14:textId="07E54B14"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تأثير أتمتة الخدمات المصرفية بأبعادها (جودة الخدمة، الأمان، التكنولوجيا المالية) على رضا العملاء وولائهم في بنك أم درمان الوطني بجمهورية السودان. واستخدمت الدراسة المنهج الوصفي التحليلي، وتكونت العينة من</w:t>
      </w:r>
      <w:r w:rsidRPr="00BE3D42">
        <w:rPr>
          <w:rFonts w:ascii="Simplified Arabic" w:eastAsia="Times New Roman" w:hAnsi="Simplified Arabic" w:cs="Simplified Arabic"/>
          <w:color w:val="000000" w:themeColor="text1"/>
          <w:kern w:val="0"/>
          <w:sz w:val="28"/>
          <w:szCs w:val="28"/>
          <w14:ligatures w14:val="none"/>
        </w:rPr>
        <w:t xml:space="preserve"> (83) </w:t>
      </w:r>
      <w:r w:rsidRPr="00BE3D42">
        <w:rPr>
          <w:rFonts w:ascii="Simplified Arabic" w:eastAsia="Times New Roman" w:hAnsi="Simplified Arabic" w:cs="Simplified Arabic"/>
          <w:color w:val="000000" w:themeColor="text1"/>
          <w:kern w:val="0"/>
          <w:sz w:val="28"/>
          <w:szCs w:val="28"/>
          <w:rtl/>
          <w14:ligatures w14:val="none"/>
        </w:rPr>
        <w:t xml:space="preserve">مفردة من عملاء البنك، وتم تحليل البيانات </w:t>
      </w:r>
      <w:r w:rsidRPr="00BE3D42">
        <w:rPr>
          <w:rFonts w:ascii="Simplified Arabic" w:eastAsia="Times New Roman" w:hAnsi="Simplified Arabic" w:cs="Simplified Arabic"/>
          <w:color w:val="000000" w:themeColor="text1"/>
          <w:kern w:val="0"/>
          <w:sz w:val="28"/>
          <w:szCs w:val="28"/>
          <w:rtl/>
          <w14:ligatures w14:val="none"/>
        </w:rPr>
        <w:lastRenderedPageBreak/>
        <w:t>باستخدام برنامج</w:t>
      </w:r>
      <w:r w:rsidRPr="00BE3D42">
        <w:rPr>
          <w:rFonts w:ascii="Simplified Arabic" w:eastAsia="Times New Roman" w:hAnsi="Simplified Arabic" w:cs="Simplified Arabic"/>
          <w:color w:val="000000" w:themeColor="text1"/>
          <w:kern w:val="0"/>
          <w:sz w:val="28"/>
          <w:szCs w:val="28"/>
          <w14:ligatures w14:val="none"/>
        </w:rPr>
        <w:t xml:space="preserve"> SPSS V.25. </w:t>
      </w:r>
      <w:r w:rsidRPr="00BE3D42">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تأثير إيجابي ذي دلالة إحصائية عند مستوى </w:t>
      </w:r>
      <w:r w:rsidRPr="00BE3D42">
        <w:rPr>
          <w:rFonts w:ascii="Simplified Arabic" w:eastAsia="Times New Roman" w:hAnsi="Simplified Arabic" w:cs="Simplified Arabic"/>
          <w:color w:val="000000" w:themeColor="text1"/>
          <w:kern w:val="0"/>
          <w:sz w:val="28"/>
          <w:szCs w:val="28"/>
          <w14:ligatures w14:val="none"/>
        </w:rPr>
        <w:t>(</w:t>
      </w:r>
      <w:r w:rsidRPr="00BE3D42">
        <w:rPr>
          <w:rFonts w:ascii="Cambria" w:eastAsia="Times New Roman" w:hAnsi="Cambria" w:cs="Cambria"/>
          <w:color w:val="000000" w:themeColor="text1"/>
          <w:kern w:val="0"/>
          <w:sz w:val="28"/>
          <w:szCs w:val="28"/>
          <w14:ligatures w14:val="none"/>
        </w:rPr>
        <w:t>α≤</w:t>
      </w:r>
      <w:r w:rsidRPr="00BE3D42">
        <w:rPr>
          <w:rFonts w:ascii="Simplified Arabic" w:eastAsia="Times New Roman" w:hAnsi="Simplified Arabic" w:cs="Simplified Arabic"/>
          <w:color w:val="000000" w:themeColor="text1"/>
          <w:kern w:val="0"/>
          <w:sz w:val="28"/>
          <w:szCs w:val="28"/>
          <w14:ligatures w14:val="none"/>
        </w:rPr>
        <w:t xml:space="preserve">0.05) </w:t>
      </w:r>
      <w:r w:rsidRPr="00BE3D42">
        <w:rPr>
          <w:rFonts w:ascii="Simplified Arabic" w:eastAsia="Times New Roman" w:hAnsi="Simplified Arabic" w:cs="Simplified Arabic"/>
          <w:color w:val="000000" w:themeColor="text1"/>
          <w:kern w:val="0"/>
          <w:sz w:val="28"/>
          <w:szCs w:val="28"/>
          <w:rtl/>
          <w14:ligatures w14:val="none"/>
        </w:rPr>
        <w:t>لأتمتة الخدمات المصرفية على رضا العملاء وولائهم. وأوصت الدراسة بتحسين الأتمتة وتطويرها باستمرار وتعزيز التوعية بالخدمات المصرفية الإلكترونية وتحسين الأمن السيبراني</w:t>
      </w:r>
      <w:r w:rsidRPr="00BE3D42">
        <w:rPr>
          <w:rFonts w:ascii="Simplified Arabic" w:eastAsia="Times New Roman" w:hAnsi="Simplified Arabic" w:cs="Simplified Arabic"/>
          <w:color w:val="000000" w:themeColor="text1"/>
          <w:kern w:val="0"/>
          <w:sz w:val="28"/>
          <w:szCs w:val="28"/>
          <w14:ligatures w14:val="none"/>
        </w:rPr>
        <w:t>.</w:t>
      </w:r>
    </w:p>
    <w:p w14:paraId="4CB58669"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w:t>
      </w:r>
      <w:r w:rsidRPr="00BE3D42">
        <w:rPr>
          <w:rFonts w:ascii="Simplified Arabic" w:eastAsia="Times New Roman" w:hAnsi="Simplified Arabic" w:cs="Simplified Arabic"/>
          <w:b/>
          <w:bCs/>
          <w:color w:val="000000" w:themeColor="text1"/>
          <w:kern w:val="0"/>
          <w:sz w:val="28"/>
          <w:szCs w:val="28"/>
          <w14:ligatures w14:val="none"/>
        </w:rPr>
        <w:t xml:space="preserve"> Karakasnaki, Katsouli &amp; Koukoufikis (2023): "Frontline employees' performance in the financial services industry: The significance of trust, empathy and consumer orientation". </w:t>
      </w:r>
    </w:p>
    <w:p w14:paraId="02D3280E" w14:textId="6AF25058"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أثر ثقة المستهلكين في موظفي الصف الأول بأبعادها (التعاطف، التوجه نحو العميل) على الأداء المدرك للموظفين في قطاع الخدمات المالية باليونان. واستخدمت الدراسة تصميماً زمنياً متتابعاً</w:t>
      </w:r>
      <w:r w:rsidRPr="00BE3D42">
        <w:rPr>
          <w:rFonts w:ascii="Simplified Arabic" w:eastAsia="Times New Roman" w:hAnsi="Simplified Arabic" w:cs="Simplified Arabic"/>
          <w:color w:val="000000" w:themeColor="text1"/>
          <w:kern w:val="0"/>
          <w:sz w:val="28"/>
          <w:szCs w:val="28"/>
          <w14:ligatures w14:val="none"/>
        </w:rPr>
        <w:t xml:space="preserve"> (Time-lag) </w:t>
      </w:r>
      <w:r w:rsidRPr="00BE3D42">
        <w:rPr>
          <w:rFonts w:ascii="Simplified Arabic" w:eastAsia="Times New Roman" w:hAnsi="Simplified Arabic" w:cs="Simplified Arabic"/>
          <w:color w:val="000000" w:themeColor="text1"/>
          <w:kern w:val="0"/>
          <w:sz w:val="28"/>
          <w:szCs w:val="28"/>
          <w:rtl/>
          <w14:ligatures w14:val="none"/>
        </w:rPr>
        <w:t>باستخدام استبيانات إلكترونية في موجتين، وتكونت العينة من (375) عميلاً مصرفياً. وتوصلت نتائج الدراسة إلى أن ثقة المستهلك في موظف الصف الأول تتوسط العلاقة بين كلٍّ من التعاطف المدرك والتوجه نحو العميل من جهة والأداء المدرك من جهة أخرى. وأوصت الدراسة بتبني استراتيجيات لبناء ثقة العميل في الموظف لتعزيز أدائه المدرك</w:t>
      </w:r>
      <w:r w:rsidRPr="00BE3D42">
        <w:rPr>
          <w:rFonts w:ascii="Simplified Arabic" w:eastAsia="Times New Roman" w:hAnsi="Simplified Arabic" w:cs="Simplified Arabic"/>
          <w:color w:val="000000" w:themeColor="text1"/>
          <w:kern w:val="0"/>
          <w:sz w:val="28"/>
          <w:szCs w:val="28"/>
          <w14:ligatures w14:val="none"/>
        </w:rPr>
        <w:t>.</w:t>
      </w:r>
    </w:p>
    <w:p w14:paraId="6D0136E1"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w:t>
      </w:r>
      <w:r w:rsidRPr="00BE3D42">
        <w:rPr>
          <w:rFonts w:ascii="Simplified Arabic" w:eastAsia="Times New Roman" w:hAnsi="Simplified Arabic" w:cs="Simplified Arabic"/>
          <w:b/>
          <w:bCs/>
          <w:color w:val="000000" w:themeColor="text1"/>
          <w:kern w:val="0"/>
          <w:sz w:val="28"/>
          <w:szCs w:val="28"/>
          <w14:ligatures w14:val="none"/>
        </w:rPr>
        <w:t xml:space="preserve"> Chowdhury, Quaosar, Saba &amp; Rahman (2024): "The mediating role of trust in shaping customer loyalty of bank: Insights from a developing country perspective". </w:t>
      </w:r>
    </w:p>
    <w:p w14:paraId="79B44C64" w14:textId="62A339C4"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للثقة بأبعادها (جودة الخدمة، القيمة المدركة، الرضا) على ولاء عملاء البنوك في بنغلاديش. واستخدمت الدراسة المنهج الكمي مع نمذجة المعادلات البنائية، وتكونت العينة من عملاء البنوك التجارية في بنغلاديش. وتوصلت نتائج الدراسة إلى أن الثقة تلعب دوراً وسيطاً معنوياً في العلاقة بين جودة الخدمة والرضا من جهة وولاء العميل من جهة أخرى. وأوصت الدراسة ببناء برامج لتعزيز الثقة لزيادة الولاء في الاقتصادات النامية</w:t>
      </w:r>
      <w:r w:rsidRPr="00BE3D42">
        <w:rPr>
          <w:rFonts w:ascii="Simplified Arabic" w:eastAsia="Times New Roman" w:hAnsi="Simplified Arabic" w:cs="Simplified Arabic"/>
          <w:color w:val="000000" w:themeColor="text1"/>
          <w:kern w:val="0"/>
          <w:sz w:val="28"/>
          <w:szCs w:val="28"/>
          <w14:ligatures w14:val="none"/>
        </w:rPr>
        <w:t>.</w:t>
      </w:r>
    </w:p>
    <w:p w14:paraId="1DD9450A"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w:t>
      </w:r>
      <w:r w:rsidRPr="00BE3D42">
        <w:rPr>
          <w:rFonts w:ascii="Simplified Arabic" w:eastAsia="Times New Roman" w:hAnsi="Simplified Arabic" w:cs="Simplified Arabic"/>
          <w:b/>
          <w:bCs/>
          <w:color w:val="000000" w:themeColor="text1"/>
          <w:kern w:val="0"/>
          <w:sz w:val="28"/>
          <w:szCs w:val="28"/>
          <w14:ligatures w14:val="none"/>
        </w:rPr>
        <w:t xml:space="preserve"> Nofandrilla, Wijaya &amp; Setiaji (2024): "Does trust matter in lending decisions? A systematic literature review and research agendas for future studies". </w:t>
      </w:r>
    </w:p>
    <w:p w14:paraId="14E39816" w14:textId="333A5485"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الثقة بأبعادها (بناء الثقة، مفهوم الثقة، تأثير الثقة على مخرجات الإقراض) على قرارات الإقراض. واستخدمت الدراسة منهج المراجعة المنهجية للأدبيات</w:t>
      </w:r>
      <w:r w:rsidRPr="00BE3D42">
        <w:rPr>
          <w:rFonts w:ascii="Simplified Arabic" w:eastAsia="Times New Roman" w:hAnsi="Simplified Arabic" w:cs="Simplified Arabic"/>
          <w:color w:val="000000" w:themeColor="text1"/>
          <w:kern w:val="0"/>
          <w:sz w:val="28"/>
          <w:szCs w:val="28"/>
          <w14:ligatures w14:val="none"/>
        </w:rPr>
        <w:t xml:space="preserve"> (SLR)</w:t>
      </w:r>
      <w:r w:rsidRPr="00BE3D42">
        <w:rPr>
          <w:rFonts w:ascii="Simplified Arabic" w:eastAsia="Times New Roman" w:hAnsi="Simplified Arabic" w:cs="Simplified Arabic"/>
          <w:color w:val="000000" w:themeColor="text1"/>
          <w:kern w:val="0"/>
          <w:sz w:val="28"/>
          <w:szCs w:val="28"/>
          <w:rtl/>
          <w14:ligatures w14:val="none"/>
        </w:rPr>
        <w:t>، وتكونت العينة من مجموعة من الدراسات المنشورة في قواعد بيانات علمية محكّمة. وتوصلت نتائج الدراسة إلى أن الثقة عامل جوهري يؤثر في قرارات الإقراض عبر خمسة محاور رئيسية تشمل متطلبات الضمانات والمحو المالي والعوامل المؤسسية. وأوصت الدراسة بمزيد من الأبحاث التجريبية حول آليات بناء الثقة في سياقات إقراض متنوعة</w:t>
      </w:r>
      <w:r w:rsidRPr="00BE3D42">
        <w:rPr>
          <w:rFonts w:ascii="Simplified Arabic" w:eastAsia="Times New Roman" w:hAnsi="Simplified Arabic" w:cs="Simplified Arabic"/>
          <w:color w:val="000000" w:themeColor="text1"/>
          <w:kern w:val="0"/>
          <w:sz w:val="28"/>
          <w:szCs w:val="28"/>
          <w14:ligatures w14:val="none"/>
        </w:rPr>
        <w:t>.</w:t>
      </w:r>
    </w:p>
    <w:p w14:paraId="2767B49C" w14:textId="77777777" w:rsidR="007E4485" w:rsidRPr="00BE3D42" w:rsidRDefault="007E4485" w:rsidP="003D44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2687658"/>
      <w:r w:rsidRPr="00BE3D42">
        <w:rPr>
          <w:rFonts w:ascii="Simplified Arabic" w:eastAsia="Times New Roman" w:hAnsi="Simplified Arabic" w:cs="Simplified Arabic"/>
          <w:b/>
          <w:bCs/>
          <w:color w:val="000000" w:themeColor="text1"/>
          <w:kern w:val="0"/>
          <w:sz w:val="32"/>
          <w:szCs w:val="32"/>
          <w:rtl/>
          <w14:ligatures w14:val="none"/>
        </w:rPr>
        <w:t>المحور الثاني: المتغير التابع (قرار الحصول على القرض الشخصي / الائتمان) وعلاقته بمتغيرات أخرى</w:t>
      </w:r>
      <w:bookmarkEnd w:id="18"/>
    </w:p>
    <w:p w14:paraId="2045F7DE"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 الجمال</w:t>
      </w:r>
      <w:r w:rsidRPr="00BE3D42">
        <w:rPr>
          <w:rFonts w:ascii="Simplified Arabic" w:eastAsia="Times New Roman" w:hAnsi="Simplified Arabic" w:cs="Simplified Arabic"/>
          <w:b/>
          <w:bCs/>
          <w:color w:val="000000" w:themeColor="text1"/>
          <w:kern w:val="0"/>
          <w:sz w:val="28"/>
          <w:szCs w:val="28"/>
          <w14:ligatures w14:val="none"/>
        </w:rPr>
        <w:t xml:space="preserve"> (2021): "</w:t>
      </w:r>
      <w:r w:rsidRPr="00BE3D42">
        <w:rPr>
          <w:rFonts w:ascii="Simplified Arabic" w:eastAsia="Times New Roman" w:hAnsi="Simplified Arabic" w:cs="Simplified Arabic"/>
          <w:b/>
          <w:bCs/>
          <w:color w:val="000000" w:themeColor="text1"/>
          <w:kern w:val="0"/>
          <w:sz w:val="28"/>
          <w:szCs w:val="28"/>
          <w:rtl/>
          <w14:ligatures w14:val="none"/>
        </w:rPr>
        <w:t xml:space="preserve">العوامل المؤثرة في قرار منح الائتمان لدى البنوك التجارية في محافظة جنين". </w:t>
      </w:r>
    </w:p>
    <w:p w14:paraId="22476F82" w14:textId="3742C495"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قرار منح الائتمان بأبعادها (العوامل المتعلقة بالعميل، العوامل المتعلقة بالقرض، العوامل الخارجية، العوامل المتعلقة بالبنك) على قرار منح الائتمان في البنوك التجارية في محافظة جنين بفلسطين. واستخدمت الدراسة المنهج الوصفي التحليلي، وتكونت العينة من (87) موظفاً من قسم التسهيلات الائتمانية في البنوك التجارية، وتم تحليل البيانات باستخدام</w:t>
      </w:r>
      <w:r w:rsidRPr="00BE3D42">
        <w:rPr>
          <w:rFonts w:ascii="Simplified Arabic" w:eastAsia="Times New Roman" w:hAnsi="Simplified Arabic" w:cs="Simplified Arabic"/>
          <w:color w:val="000000" w:themeColor="text1"/>
          <w:kern w:val="0"/>
          <w:sz w:val="28"/>
          <w:szCs w:val="28"/>
          <w14:ligatures w14:val="none"/>
        </w:rPr>
        <w:t xml:space="preserve"> SPSS. </w:t>
      </w:r>
      <w:r w:rsidRPr="00BE3D42">
        <w:rPr>
          <w:rFonts w:ascii="Simplified Arabic" w:eastAsia="Times New Roman" w:hAnsi="Simplified Arabic" w:cs="Simplified Arabic"/>
          <w:color w:val="000000" w:themeColor="text1"/>
          <w:kern w:val="0"/>
          <w:sz w:val="28"/>
          <w:szCs w:val="28"/>
          <w:rtl/>
          <w14:ligatures w14:val="none"/>
        </w:rPr>
        <w:t>وتوصلت نتائج الدراسة إلى أن العوامل المتعلقة بالعميل هي الأكثر تأثيراً في قرار منح الائتمان، تليها العوامل المتعلقة بالقرض ثم العوامل الخارجية وأخيراً العوامل المتعلقة بالبنك. وأوصت الدراسة بتركيز موظفي الائتمان على المركز المالي للعميل وقدرته على السداد وطبيعة القرض</w:t>
      </w:r>
      <w:r w:rsidRPr="00BE3D42">
        <w:rPr>
          <w:rFonts w:ascii="Simplified Arabic" w:eastAsia="Times New Roman" w:hAnsi="Simplified Arabic" w:cs="Simplified Arabic"/>
          <w:color w:val="000000" w:themeColor="text1"/>
          <w:kern w:val="0"/>
          <w:sz w:val="28"/>
          <w:szCs w:val="28"/>
          <w14:ligatures w14:val="none"/>
        </w:rPr>
        <w:t>.</w:t>
      </w:r>
    </w:p>
    <w:p w14:paraId="177C662B"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 عبيد الله والمري وزايد</w:t>
      </w:r>
      <w:r w:rsidRPr="00BE3D42">
        <w:rPr>
          <w:rFonts w:ascii="Simplified Arabic" w:eastAsia="Times New Roman" w:hAnsi="Simplified Arabic" w:cs="Simplified Arabic"/>
          <w:b/>
          <w:bCs/>
          <w:color w:val="000000" w:themeColor="text1"/>
          <w:kern w:val="0"/>
          <w:sz w:val="28"/>
          <w:szCs w:val="28"/>
          <w14:ligatures w14:val="none"/>
        </w:rPr>
        <w:t xml:space="preserve"> (2023): "</w:t>
      </w:r>
      <w:r w:rsidRPr="00BE3D42">
        <w:rPr>
          <w:rFonts w:ascii="Simplified Arabic" w:eastAsia="Times New Roman" w:hAnsi="Simplified Arabic" w:cs="Simplified Arabic"/>
          <w:b/>
          <w:bCs/>
          <w:color w:val="000000" w:themeColor="text1"/>
          <w:kern w:val="0"/>
          <w:sz w:val="28"/>
          <w:szCs w:val="28"/>
          <w:rtl/>
          <w14:ligatures w14:val="none"/>
        </w:rPr>
        <w:t xml:space="preserve">محددات الطلب على القروض الاستهلاكية في قطر". </w:t>
      </w:r>
    </w:p>
    <w:p w14:paraId="298D9389" w14:textId="1A683187"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محددات الطلب على القروض الاستهلاكية بأبعادها (الجنس، الحالة الاجتماعية، الدخل، حجم الأسرة، الإدارة المالية، إدراك المخاطر المالية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Simplified Arabic" w:eastAsia="Times New Roman" w:hAnsi="Simplified Arabic" w:cs="Simplified Arabic"/>
          <w:color w:val="000000" w:themeColor="text1"/>
          <w:kern w:val="0"/>
          <w:sz w:val="28"/>
          <w:szCs w:val="28"/>
          <w:rtl/>
          <w14:ligatures w14:val="none"/>
        </w:rPr>
        <w:t>على قرار الاقتراض الاستهلاكي في دولة قطر. واستخدمت الدراسة المنهج الوصفي التحليلي مع نموذج بروبيت ونموذج هيكمان، وتكونت العينة من (246) مشاركاً</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63% من المبحوثين حصلوا على قروض استهلاكية، وأن الذكور والمتزوجين وذوي الدخل الأعلى أكثر طلباً للقروض، بينما يرتبط كبر حجم الأسرة والإدارة المالية الجيدة وارتفاع إدراك المخاطر المالية سلبياً بالطلب على </w:t>
      </w:r>
      <w:r w:rsidRPr="00BE3D42">
        <w:rPr>
          <w:rFonts w:ascii="Simplified Arabic" w:eastAsia="Times New Roman" w:hAnsi="Simplified Arabic" w:cs="Simplified Arabic"/>
          <w:color w:val="000000" w:themeColor="text1"/>
          <w:kern w:val="0"/>
          <w:sz w:val="28"/>
          <w:szCs w:val="28"/>
          <w:rtl/>
          <w14:ligatures w14:val="none"/>
        </w:rPr>
        <w:lastRenderedPageBreak/>
        <w:t>القروض. وأوصت الدراسة بتعزيز الثقافة المالية وتطوير منتجات تمويلية تناسب الخصائص الديموغرافية المختلفة</w:t>
      </w:r>
      <w:r w:rsidRPr="00BE3D42">
        <w:rPr>
          <w:rFonts w:ascii="Simplified Arabic" w:eastAsia="Times New Roman" w:hAnsi="Simplified Arabic" w:cs="Simplified Arabic"/>
          <w:color w:val="000000" w:themeColor="text1"/>
          <w:kern w:val="0"/>
          <w:sz w:val="28"/>
          <w:szCs w:val="28"/>
          <w14:ligatures w14:val="none"/>
        </w:rPr>
        <w:t>.</w:t>
      </w:r>
    </w:p>
    <w:p w14:paraId="65800FE1"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 الفقهاء</w:t>
      </w:r>
      <w:r w:rsidRPr="00BE3D42">
        <w:rPr>
          <w:rFonts w:ascii="Simplified Arabic" w:eastAsia="Times New Roman" w:hAnsi="Simplified Arabic" w:cs="Simplified Arabic"/>
          <w:b/>
          <w:bCs/>
          <w:color w:val="000000" w:themeColor="text1"/>
          <w:kern w:val="0"/>
          <w:sz w:val="28"/>
          <w:szCs w:val="28"/>
          <w14:ligatures w14:val="none"/>
        </w:rPr>
        <w:t xml:space="preserve"> (2018): "</w:t>
      </w:r>
      <w:r w:rsidRPr="00BE3D42">
        <w:rPr>
          <w:rFonts w:ascii="Simplified Arabic" w:eastAsia="Times New Roman" w:hAnsi="Simplified Arabic" w:cs="Simplified Arabic"/>
          <w:b/>
          <w:bCs/>
          <w:color w:val="000000" w:themeColor="text1"/>
          <w:kern w:val="0"/>
          <w:sz w:val="28"/>
          <w:szCs w:val="28"/>
          <w:rtl/>
          <w14:ligatures w14:val="none"/>
        </w:rPr>
        <w:t xml:space="preserve">أسباب نوايا العملاء لترك المصرف الذي يتعاملون معه: اختبار الدور الوسيط لرضا العملاء". </w:t>
      </w:r>
    </w:p>
    <w:p w14:paraId="3761C949" w14:textId="7CEE1189"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عدة عوامل بأبعادها </w:t>
      </w:r>
      <w:r w:rsidRPr="00BE3D42">
        <w:rPr>
          <w:rFonts w:ascii="Simplified Arabic" w:eastAsia="Times New Roman" w:hAnsi="Simplified Arabic" w:cs="Simplified Arabic"/>
          <w:color w:val="000000" w:themeColor="text1"/>
          <w:kern w:val="0"/>
          <w:sz w:val="28"/>
          <w:szCs w:val="28"/>
          <w14:ligatures w14:val="none"/>
        </w:rPr>
        <w:t>(</w:t>
      </w:r>
      <w:r w:rsidRPr="00BE3D42">
        <w:rPr>
          <w:rFonts w:ascii="Simplified Arabic" w:eastAsia="Times New Roman" w:hAnsi="Simplified Arabic" w:cs="Simplified Arabic"/>
          <w:color w:val="000000" w:themeColor="text1"/>
          <w:kern w:val="0"/>
          <w:sz w:val="28"/>
          <w:szCs w:val="28"/>
          <w:rtl/>
          <w14:ligatures w14:val="none"/>
        </w:rPr>
        <w:t>ارتفاع تكاليف التحوّل، ضعف ثقة العملاء، جاذبية البدائل المتاحة، انعدام الأريحية) على نوايا العملاء لترك المصرف الحالي مع اختبار الدور الوسيط لرضا العملاء في المصارف التجارية بفلسطين. واستخدمت الدراسة المنهج الوصفي التحليلي، وتكونت العينة من (288) عميلاً مصرفياً في محافظات شمال الضفة الغربية. وتوصلت نتائج الدراسة إلى وجود تأثير معنوي لضعف الثقة وارتفاع تكاليف التحوّل وجاذبية البدائل وانعدام الأريحية في نوايا العملاء لترك المصرف، وأن لرضا العملاء دوراً وسيطياً معنوياً. وأوصت الدراسة بتقليل معدل تسرب العملاء من خلال تعزيز الثقة وتحسين جودة الخدمة</w:t>
      </w:r>
      <w:r w:rsidRPr="00BE3D42">
        <w:rPr>
          <w:rFonts w:ascii="Simplified Arabic" w:eastAsia="Times New Roman" w:hAnsi="Simplified Arabic" w:cs="Simplified Arabic"/>
          <w:color w:val="000000" w:themeColor="text1"/>
          <w:kern w:val="0"/>
          <w:sz w:val="28"/>
          <w:szCs w:val="28"/>
          <w14:ligatures w14:val="none"/>
        </w:rPr>
        <w:t>.</w:t>
      </w:r>
    </w:p>
    <w:p w14:paraId="13EFD870"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 باب الله</w:t>
      </w:r>
      <w:r w:rsidRPr="00BE3D42">
        <w:rPr>
          <w:rFonts w:ascii="Simplified Arabic" w:eastAsia="Times New Roman" w:hAnsi="Simplified Arabic" w:cs="Simplified Arabic"/>
          <w:b/>
          <w:bCs/>
          <w:color w:val="000000" w:themeColor="text1"/>
          <w:kern w:val="0"/>
          <w:sz w:val="28"/>
          <w:szCs w:val="28"/>
          <w14:ligatures w14:val="none"/>
        </w:rPr>
        <w:t xml:space="preserve"> (2025): "</w:t>
      </w:r>
      <w:r w:rsidRPr="00BE3D42">
        <w:rPr>
          <w:rFonts w:ascii="Simplified Arabic" w:eastAsia="Times New Roman" w:hAnsi="Simplified Arabic" w:cs="Simplified Arabic"/>
          <w:b/>
          <w:bCs/>
          <w:color w:val="000000" w:themeColor="text1"/>
          <w:kern w:val="0"/>
          <w:sz w:val="28"/>
          <w:szCs w:val="28"/>
          <w:rtl/>
          <w14:ligatures w14:val="none"/>
        </w:rPr>
        <w:t xml:space="preserve">محددات قرار الائتمان المصرفي في البنوك التجارية الليبية من وجهة نظر العاملين بالمصارف والأكاديميين". </w:t>
      </w:r>
    </w:p>
    <w:p w14:paraId="3D73B92E" w14:textId="734F0385"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أهم العوامل المحددة لقرار منح الائتمان بأبعادها (المركز المالي للعميل، السمات الخاصة بالشركة طالبة الائتمان، نمط السياسة الائتمانية للبنك المقرض) على قرار منح الائتمان في المصارف التجارية الليبية. واستخدمت الدراسة المنهج الوصفي التحليلي، وتكونت العينة من (30) استمارة صالحة للتحليل من العاملين بمصرف الجمهورية مرزق والأكاديميين بجامعة فزان، وتم التحليل باستخدام </w:t>
      </w:r>
      <w:r w:rsidRPr="00BE3D42">
        <w:rPr>
          <w:rFonts w:ascii="Simplified Arabic" w:eastAsia="Times New Roman" w:hAnsi="Simplified Arabic" w:cs="Simplified Arabic"/>
          <w:color w:val="000000" w:themeColor="text1"/>
          <w:kern w:val="0"/>
          <w:sz w:val="28"/>
          <w:szCs w:val="28"/>
          <w14:ligatures w14:val="none"/>
        </w:rPr>
        <w:t xml:space="preserve">SPSS. </w:t>
      </w:r>
      <w:r w:rsidRPr="00BE3D42">
        <w:rPr>
          <w:rFonts w:ascii="Simplified Arabic" w:eastAsia="Times New Roman" w:hAnsi="Simplified Arabic" w:cs="Simplified Arabic"/>
          <w:color w:val="000000" w:themeColor="text1"/>
          <w:kern w:val="0"/>
          <w:sz w:val="28"/>
          <w:szCs w:val="28"/>
          <w:rtl/>
          <w14:ligatures w14:val="none"/>
        </w:rPr>
        <w:t>وتوصلت نتائج الدراسة إلى وجود دور ذي دلالة إحصائية لكافة العوامل المدروسة في اتخاذ قرار منح الائتمان. وأوصت الدراسة بتطوير معايير الائتمان وتدريب العاملين على تحليل الجدارة الائتمانية</w:t>
      </w:r>
      <w:r w:rsidRPr="00BE3D42">
        <w:rPr>
          <w:rFonts w:ascii="Simplified Arabic" w:eastAsia="Times New Roman" w:hAnsi="Simplified Arabic" w:cs="Simplified Arabic"/>
          <w:color w:val="000000" w:themeColor="text1"/>
          <w:kern w:val="0"/>
          <w:sz w:val="28"/>
          <w:szCs w:val="28"/>
          <w14:ligatures w14:val="none"/>
        </w:rPr>
        <w:t>.</w:t>
      </w:r>
    </w:p>
    <w:p w14:paraId="3947066B"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 الهرام ودينار والفاخري</w:t>
      </w:r>
      <w:r w:rsidRPr="00BE3D42">
        <w:rPr>
          <w:rFonts w:ascii="Simplified Arabic" w:eastAsia="Times New Roman" w:hAnsi="Simplified Arabic" w:cs="Simplified Arabic"/>
          <w:b/>
          <w:bCs/>
          <w:color w:val="000000" w:themeColor="text1"/>
          <w:kern w:val="0"/>
          <w:sz w:val="28"/>
          <w:szCs w:val="28"/>
          <w14:ligatures w14:val="none"/>
        </w:rPr>
        <w:t xml:space="preserve"> (2025): "</w:t>
      </w:r>
      <w:r w:rsidRPr="00BE3D42">
        <w:rPr>
          <w:rFonts w:ascii="Simplified Arabic" w:eastAsia="Times New Roman" w:hAnsi="Simplified Arabic" w:cs="Simplified Arabic"/>
          <w:b/>
          <w:bCs/>
          <w:color w:val="000000" w:themeColor="text1"/>
          <w:kern w:val="0"/>
          <w:sz w:val="28"/>
          <w:szCs w:val="28"/>
          <w:rtl/>
          <w14:ligatures w14:val="none"/>
        </w:rPr>
        <w:t xml:space="preserve">مدى رضا العملاء عن الخدمات المصرفية الرقمية في مصرفي (الصحاري والوحدة) ببنغازي، ليبيا". </w:t>
      </w:r>
    </w:p>
    <w:p w14:paraId="1B93F460" w14:textId="74CE0F82"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مدى رضا العملاء عن الخدمات المصرفية الرقمية بأبعادها (سهولة الاستخدام، التعليمات، الثقة في التطبيق الإلكتروني) على رضا العملاء في مصرفي الصحاري والوحدة ببنغازي. واستخدمت الدراسة المنهج الوصفي التحليلي، وتكونت العينة من (61) عميلاً، وتم تحليل البيانات باستخدام المتوسط الحسابي والانحراف المعياري. وتوصلت نتائج الدراسة إلى أن معظم العملاء راضون بشكل أقل من المتوسط عن الخدمات الرقمية وأن لديهم ثقة متوسطة في تطبيق المصرف الإلكتروني. وأوصت الدراسة بتبسيط عمليات الاستخدام وتوفير تعليمات واضحة وتعزيز الثقة بالأنظمة الإلكترونية</w:t>
      </w:r>
      <w:r w:rsidRPr="00BE3D42">
        <w:rPr>
          <w:rFonts w:ascii="Simplified Arabic" w:eastAsia="Times New Roman" w:hAnsi="Simplified Arabic" w:cs="Simplified Arabic"/>
          <w:color w:val="000000" w:themeColor="text1"/>
          <w:kern w:val="0"/>
          <w:sz w:val="28"/>
          <w:szCs w:val="28"/>
          <w14:ligatures w14:val="none"/>
        </w:rPr>
        <w:t>.</w:t>
      </w:r>
    </w:p>
    <w:p w14:paraId="349EB992"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w:t>
      </w:r>
      <w:r w:rsidRPr="00BE3D42">
        <w:rPr>
          <w:rFonts w:ascii="Simplified Arabic" w:eastAsia="Times New Roman" w:hAnsi="Simplified Arabic" w:cs="Simplified Arabic"/>
          <w:b/>
          <w:bCs/>
          <w:color w:val="000000" w:themeColor="text1"/>
          <w:kern w:val="0"/>
          <w:sz w:val="28"/>
          <w:szCs w:val="28"/>
          <w14:ligatures w14:val="none"/>
        </w:rPr>
        <w:t xml:space="preserve"> Hagendorff, Lim &amp; Nguyen (2023): "Lender trust and bank loan contracts". </w:t>
      </w:r>
    </w:p>
    <w:p w14:paraId="6C076C60" w14:textId="4841EA7C"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أثر ثقة المقرض بأبعادها (الثقة الشخصية، الثقة المؤسسية) على عقود القروض المصرفية في الولايات المتحدة الأمريكية. واستخدمت الدراسة منهج التحليل الكمي لبيانات عقود القروض المصرفية. وتوصلت نتائج الدراسة إلى أن ارتفاع مستوى الثقة يرتبط بشروط إقراض أكثر مرونة وأسعار فائدة أقل. وأوصت الدراسة بتعزيز بناء الثقة كآلية لخفض تكاليف الاقتراض وتحسين كفاءة سوق الائتمان</w:t>
      </w:r>
      <w:r w:rsidRPr="00BE3D42">
        <w:rPr>
          <w:rFonts w:ascii="Simplified Arabic" w:eastAsia="Times New Roman" w:hAnsi="Simplified Arabic" w:cs="Simplified Arabic"/>
          <w:color w:val="000000" w:themeColor="text1"/>
          <w:kern w:val="0"/>
          <w:sz w:val="28"/>
          <w:szCs w:val="28"/>
          <w14:ligatures w14:val="none"/>
        </w:rPr>
        <w:t>.</w:t>
      </w:r>
    </w:p>
    <w:p w14:paraId="23CD65B9"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w:t>
      </w:r>
      <w:r w:rsidRPr="00BE3D42">
        <w:rPr>
          <w:rFonts w:ascii="Simplified Arabic" w:eastAsia="Times New Roman" w:hAnsi="Simplified Arabic" w:cs="Simplified Arabic"/>
          <w:b/>
          <w:bCs/>
          <w:color w:val="000000" w:themeColor="text1"/>
          <w:kern w:val="0"/>
          <w:sz w:val="28"/>
          <w:szCs w:val="28"/>
          <w14:ligatures w14:val="none"/>
        </w:rPr>
        <w:t xml:space="preserve"> Chang, Tomy &amp; Wang (2025): "Trust in banks and borrower behavior: Evidence from supervisory actions and local information quality". </w:t>
      </w:r>
    </w:p>
    <w:p w14:paraId="73D59795" w14:textId="19C43969"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هدفت الدراسة إلى التعرف على أثر ثقة العملاء في البنوك بأبعادها (الإجراءات الرقابية، جودة المعلومات المحلية، الإعلام) على سلوك المقترضين الأفراد في الولايات المتحدة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باستخدام بيانات إجراءات البنك المركزي، وتكونت العينة من بيانات مصرفية على مستوى المقاطعات الأمريكية</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Simplified Arabic" w:eastAsia="Times New Roman" w:hAnsi="Simplified Arabic" w:cs="Simplified Arabic"/>
          <w:color w:val="000000" w:themeColor="text1"/>
          <w:kern w:val="0"/>
          <w:sz w:val="28"/>
          <w:szCs w:val="28"/>
          <w:rtl/>
          <w14:ligatures w14:val="none"/>
        </w:rPr>
        <w:t>وتوصلت نتائج الدراسة إلى أن الثقة تؤثر بشكل جوهري في قرارات الاقتراض لدى الأفراد وأن وسائل الإعلام تلعب دوراً في تشكيل هذه الثقة. وأوصت الدراسة بتحسين الشفافية المصرفية والتواصل الإعلامي لتعزيز ثقة المقترضين</w:t>
      </w:r>
      <w:r w:rsidRPr="00BE3D42">
        <w:rPr>
          <w:rFonts w:ascii="Simplified Arabic" w:eastAsia="Times New Roman" w:hAnsi="Simplified Arabic" w:cs="Simplified Arabic"/>
          <w:color w:val="000000" w:themeColor="text1"/>
          <w:kern w:val="0"/>
          <w:sz w:val="28"/>
          <w:szCs w:val="28"/>
          <w14:ligatures w14:val="none"/>
        </w:rPr>
        <w:t>.</w:t>
      </w:r>
    </w:p>
    <w:p w14:paraId="63C2B958" w14:textId="77777777" w:rsidR="003D44CE" w:rsidRPr="00BE3D42" w:rsidRDefault="007E4485" w:rsidP="003D44CE">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E3D42">
        <w:rPr>
          <w:rFonts w:ascii="Simplified Arabic" w:eastAsia="Times New Roman" w:hAnsi="Simplified Arabic" w:cs="Simplified Arabic"/>
          <w:b/>
          <w:bCs/>
          <w:color w:val="000000" w:themeColor="text1"/>
          <w:kern w:val="0"/>
          <w:sz w:val="28"/>
          <w:szCs w:val="28"/>
          <w:rtl/>
          <w14:ligatures w14:val="none"/>
        </w:rPr>
        <w:t>دراسة</w:t>
      </w:r>
      <w:r w:rsidRPr="00BE3D42">
        <w:rPr>
          <w:rFonts w:ascii="Simplified Arabic" w:eastAsia="Times New Roman" w:hAnsi="Simplified Arabic" w:cs="Simplified Arabic"/>
          <w:b/>
          <w:bCs/>
          <w:color w:val="000000" w:themeColor="text1"/>
          <w:kern w:val="0"/>
          <w:sz w:val="28"/>
          <w:szCs w:val="28"/>
          <w14:ligatures w14:val="none"/>
        </w:rPr>
        <w:t xml:space="preserve"> Subedi &amp; Joshi (2025): "Factors influencing customers' borrowing decisions in commercial banks". </w:t>
      </w:r>
    </w:p>
    <w:p w14:paraId="642520F1" w14:textId="404D5D61" w:rsidR="007E4485" w:rsidRPr="00BE3D42" w:rsidRDefault="007E4485" w:rsidP="003D44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العوامل المؤثرة في قرارات الاقتراض لدى العملاء بأبعادها (سعر الفائدة، سرعة الموافقة، قلة المستندات المطلوبة، جودة الخدمة) على قرار الاقتراض من البنوك التجارية في نيبال</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(384) مشاركاً</w:t>
      </w:r>
      <w:r w:rsidRPr="00BE3D42">
        <w:rPr>
          <w:rFonts w:ascii="Simplified Arabic" w:eastAsia="Times New Roman" w:hAnsi="Simplified Arabic" w:cs="Simplified Arabic"/>
          <w:color w:val="000000" w:themeColor="text1"/>
          <w:kern w:val="0"/>
          <w:sz w:val="28"/>
          <w:szCs w:val="28"/>
          <w14:ligatures w14:val="none"/>
        </w:rPr>
        <w:t xml:space="preserve">. </w:t>
      </w:r>
      <w:r w:rsidRPr="00BE3D42">
        <w:rPr>
          <w:rFonts w:ascii="Simplified Arabic" w:eastAsia="Times New Roman" w:hAnsi="Simplified Arabic" w:cs="Simplified Arabic"/>
          <w:color w:val="000000" w:themeColor="text1"/>
          <w:kern w:val="0"/>
          <w:sz w:val="28"/>
          <w:szCs w:val="28"/>
          <w:rtl/>
          <w14:ligatures w14:val="none"/>
        </w:rPr>
        <w:t>وتوصلت نتائج الدراسة إلى أن سعر الفائدة وسرعة الموافقة وجودة الخدمة هي أكثر العوامل تأثيراً في قرار الاقتراض. وأوصت الدراسة بتبسيط الإجراءات وتقديم أسعار فائدة تنافسية لجذب المقترضين</w:t>
      </w:r>
      <w:r w:rsidRPr="00BE3D42">
        <w:rPr>
          <w:rFonts w:ascii="Simplified Arabic" w:eastAsia="Times New Roman" w:hAnsi="Simplified Arabic" w:cs="Simplified Arabic"/>
          <w:color w:val="000000" w:themeColor="text1"/>
          <w:kern w:val="0"/>
          <w:sz w:val="28"/>
          <w:szCs w:val="28"/>
          <w14:ligatures w14:val="none"/>
        </w:rPr>
        <w:t>.</w:t>
      </w:r>
    </w:p>
    <w:p w14:paraId="453E4417" w14:textId="522055A5" w:rsidR="00E216FE" w:rsidRPr="00BE3D42" w:rsidRDefault="00E216FE" w:rsidP="00E216F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19" w:name="_Toc222687660"/>
      <w:bookmarkStart w:id="20" w:name="_Toc233117043"/>
      <w:r w:rsidRPr="00BE3D42">
        <w:rPr>
          <w:rFonts w:ascii="Simplified Arabic" w:eastAsia="Times New Roman" w:hAnsi="Simplified Arabic" w:cs="Simplified Arabic"/>
          <w:b/>
          <w:bCs/>
          <w:color w:val="000000" w:themeColor="text1"/>
          <w:kern w:val="36"/>
          <w:sz w:val="36"/>
          <w:szCs w:val="36"/>
          <w:rtl/>
          <w14:ligatures w14:val="none"/>
        </w:rPr>
        <w:t>8.1 الفجوة البحثية</w:t>
      </w:r>
      <w:bookmarkEnd w:id="20"/>
    </w:p>
    <w:p w14:paraId="3DAFE2E4" w14:textId="7118DA1B" w:rsidR="007E4485" w:rsidRPr="00BE3D42" w:rsidRDefault="007E4485" w:rsidP="00E216FE">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BE3D42">
        <w:rPr>
          <w:rFonts w:ascii="Simplified Arabic" w:eastAsia="Times New Roman" w:hAnsi="Simplified Arabic" w:cs="Simplified Arabic"/>
          <w:color w:val="000000" w:themeColor="text1"/>
          <w:kern w:val="36"/>
          <w:sz w:val="28"/>
          <w:szCs w:val="28"/>
          <w:rtl/>
          <w14:ligatures w14:val="none"/>
        </w:rPr>
        <w:t>تتفق الدراسة الحالية مع الدراسات السابقة في عدة أوجه؛ فمن حيث الهدف تشترك مع دراسات</w:t>
      </w:r>
      <w:r w:rsidR="0002547A" w:rsidRPr="00BE3D42">
        <w:rPr>
          <w:rFonts w:ascii="Simplified Arabic" w:eastAsia="Times New Roman" w:hAnsi="Simplified Arabic" w:cs="Simplified Arabic"/>
          <w:color w:val="000000" w:themeColor="text1"/>
          <w:kern w:val="36"/>
          <w:sz w:val="28"/>
          <w:szCs w:val="28"/>
          <w:rtl/>
          <w14:ligatures w14:val="none"/>
        </w:rPr>
        <w:t>(</w:t>
      </w:r>
      <w:r w:rsidRPr="00BE3D42">
        <w:rPr>
          <w:rFonts w:ascii="Simplified Arabic" w:hAnsi="Simplified Arabic" w:cs="Simplified Arabic"/>
          <w:color w:val="000000" w:themeColor="text1"/>
          <w:sz w:val="28"/>
          <w:szCs w:val="28"/>
          <w:rtl/>
        </w:rPr>
        <w:t>بن صالح، 2023؛</w:t>
      </w:r>
      <w:r w:rsidRPr="00BE3D42">
        <w:rPr>
          <w:rFonts w:ascii="Simplified Arabic" w:hAnsi="Simplified Arabic" w:cs="Simplified Arabic"/>
          <w:color w:val="000000" w:themeColor="text1"/>
          <w:sz w:val="28"/>
          <w:szCs w:val="28"/>
        </w:rPr>
        <w:t xml:space="preserve"> Bada &amp; Karupiah, 2021</w:t>
      </w:r>
      <w:r w:rsidRPr="00BE3D42">
        <w:rPr>
          <w:rFonts w:ascii="Simplified Arabic" w:hAnsi="Simplified Arabic" w:cs="Simplified Arabic"/>
          <w:color w:val="000000" w:themeColor="text1"/>
          <w:sz w:val="28"/>
          <w:szCs w:val="28"/>
          <w:rtl/>
        </w:rPr>
        <w:t xml:space="preserve">؛ </w:t>
      </w:r>
      <w:r w:rsidRPr="00BE3D42">
        <w:rPr>
          <w:rFonts w:ascii="Simplified Arabic" w:hAnsi="Simplified Arabic" w:cs="Simplified Arabic"/>
          <w:color w:val="000000" w:themeColor="text1"/>
          <w:sz w:val="28"/>
          <w:szCs w:val="28"/>
        </w:rPr>
        <w:t>Karakasnaki et al., 2023</w:t>
      </w:r>
      <w:r w:rsidRPr="00BE3D42">
        <w:rPr>
          <w:rFonts w:ascii="Simplified Arabic" w:hAnsi="Simplified Arabic" w:cs="Simplified Arabic"/>
          <w:color w:val="000000" w:themeColor="text1"/>
          <w:sz w:val="28"/>
          <w:szCs w:val="28"/>
          <w:rtl/>
        </w:rPr>
        <w:t>؛</w:t>
      </w:r>
      <w:r w:rsidRPr="00BE3D42">
        <w:rPr>
          <w:rFonts w:ascii="Simplified Arabic" w:hAnsi="Simplified Arabic" w:cs="Simplified Arabic"/>
          <w:color w:val="000000" w:themeColor="text1"/>
          <w:sz w:val="28"/>
          <w:szCs w:val="28"/>
        </w:rPr>
        <w:t xml:space="preserve"> Chowdhury et al., 2024) </w:t>
      </w:r>
      <w:r w:rsidRPr="00BE3D42">
        <w:rPr>
          <w:rFonts w:ascii="Simplified Arabic" w:hAnsi="Simplified Arabic" w:cs="Simplified Arabic"/>
          <w:color w:val="000000" w:themeColor="text1"/>
          <w:sz w:val="28"/>
          <w:szCs w:val="28"/>
          <w:rtl/>
        </w:rPr>
        <w:t xml:space="preserve">في التركيز على الثقة كمتغير محوري في العلاقة بين العميل والمؤسسة المصرفية، كما تتفق مع دراسات </w:t>
      </w:r>
      <w:r w:rsidRPr="00BE3D42">
        <w:rPr>
          <w:rFonts w:ascii="Simplified Arabic" w:hAnsi="Simplified Arabic" w:cs="Simplified Arabic"/>
          <w:color w:val="000000" w:themeColor="text1"/>
          <w:sz w:val="28"/>
          <w:szCs w:val="28"/>
        </w:rPr>
        <w:t>(</w:t>
      </w:r>
      <w:r w:rsidRPr="00BE3D42">
        <w:rPr>
          <w:rFonts w:ascii="Simplified Arabic" w:hAnsi="Simplified Arabic" w:cs="Simplified Arabic"/>
          <w:color w:val="000000" w:themeColor="text1"/>
          <w:sz w:val="28"/>
          <w:szCs w:val="28"/>
          <w:rtl/>
        </w:rPr>
        <w:t>الجمال، 2021؛ عبيد الله وآخرون، 2023؛ باب الله، 2025؛</w:t>
      </w:r>
      <w:r w:rsidRPr="00BE3D42">
        <w:rPr>
          <w:rFonts w:ascii="Simplified Arabic" w:hAnsi="Simplified Arabic" w:cs="Simplified Arabic"/>
          <w:color w:val="000000" w:themeColor="text1"/>
          <w:sz w:val="28"/>
          <w:szCs w:val="28"/>
        </w:rPr>
        <w:t xml:space="preserve"> Subedi &amp; Joshi, 2025) </w:t>
      </w:r>
      <w:r w:rsidRPr="00BE3D42">
        <w:rPr>
          <w:rFonts w:ascii="Simplified Arabic" w:hAnsi="Simplified Arabic" w:cs="Simplified Arabic"/>
          <w:color w:val="000000" w:themeColor="text1"/>
          <w:sz w:val="28"/>
          <w:szCs w:val="28"/>
          <w:rtl/>
        </w:rPr>
        <w:t>في الاهتمام بالعوامل المحددة لقرارات الائتمان والاقتراض</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ومن حيث المنهج تتفق مع غالبية الدراسات المستعرضة في استخدام المنهج الوصفي التحليلي والاستبانة أداةً رئيسية لجمع البيانات والاعتماد على التحليل الإحصائي عبر برنامج</w:t>
      </w:r>
      <w:r w:rsidRPr="00BE3D42">
        <w:rPr>
          <w:rFonts w:ascii="Simplified Arabic" w:hAnsi="Simplified Arabic" w:cs="Simplified Arabic"/>
          <w:color w:val="000000" w:themeColor="text1"/>
          <w:sz w:val="28"/>
          <w:szCs w:val="28"/>
        </w:rPr>
        <w:t xml:space="preserve"> SPSS </w:t>
      </w:r>
      <w:r w:rsidRPr="00BE3D42">
        <w:rPr>
          <w:rFonts w:ascii="Simplified Arabic" w:hAnsi="Simplified Arabic" w:cs="Simplified Arabic"/>
          <w:color w:val="000000" w:themeColor="text1"/>
          <w:sz w:val="28"/>
          <w:szCs w:val="28"/>
          <w:rtl/>
        </w:rPr>
        <w:t>أو نمذجة المعادلات البنائية. ومن حيث الأبعاد تتقاطع مع دراسة</w:t>
      </w:r>
      <w:r w:rsidRPr="00BE3D42">
        <w:rPr>
          <w:rFonts w:ascii="Simplified Arabic" w:hAnsi="Simplified Arabic" w:cs="Simplified Arabic"/>
          <w:color w:val="000000" w:themeColor="text1"/>
          <w:sz w:val="28"/>
          <w:szCs w:val="28"/>
        </w:rPr>
        <w:t xml:space="preserve"> (Karakasnaki et al., 2023) </w:t>
      </w:r>
      <w:r w:rsidRPr="00BE3D42">
        <w:rPr>
          <w:rFonts w:ascii="Simplified Arabic" w:hAnsi="Simplified Arabic" w:cs="Simplified Arabic"/>
          <w:color w:val="000000" w:themeColor="text1"/>
          <w:sz w:val="28"/>
          <w:szCs w:val="28"/>
          <w:rtl/>
        </w:rPr>
        <w:t>في تناول بُعد التعاطف، ومع دراسة</w:t>
      </w:r>
      <w:r w:rsidRPr="00BE3D42">
        <w:rPr>
          <w:rFonts w:ascii="Simplified Arabic" w:hAnsi="Simplified Arabic" w:cs="Simplified Arabic"/>
          <w:color w:val="000000" w:themeColor="text1"/>
          <w:sz w:val="28"/>
          <w:szCs w:val="28"/>
        </w:rPr>
        <w:t xml:space="preserve"> (Bada &amp; Karupiah, 2021) </w:t>
      </w:r>
      <w:r w:rsidRPr="00BE3D42">
        <w:rPr>
          <w:rFonts w:ascii="Simplified Arabic" w:hAnsi="Simplified Arabic" w:cs="Simplified Arabic"/>
          <w:color w:val="000000" w:themeColor="text1"/>
          <w:sz w:val="28"/>
          <w:szCs w:val="28"/>
          <w:rtl/>
        </w:rPr>
        <w:t>في الاهتمام بالجانب الشخصي للثقة بين الموظف والعميل</w:t>
      </w:r>
      <w:r w:rsidRPr="00BE3D42">
        <w:rPr>
          <w:rFonts w:ascii="Simplified Arabic" w:hAnsi="Simplified Arabic" w:cs="Simplified Arabic"/>
          <w:color w:val="000000" w:themeColor="text1"/>
          <w:sz w:val="28"/>
          <w:szCs w:val="28"/>
        </w:rPr>
        <w:t>.</w:t>
      </w:r>
      <w:bookmarkEnd w:id="19"/>
    </w:p>
    <w:p w14:paraId="1FA028C9" w14:textId="51E5D184" w:rsidR="007E4485" w:rsidRPr="00BE3D42" w:rsidRDefault="007E4485" w:rsidP="00E216FE">
      <w:pPr>
        <w:pStyle w:val="NormalWeb"/>
        <w:bidi/>
        <w:spacing w:line="276" w:lineRule="auto"/>
        <w:ind w:firstLine="425"/>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غير أن الدراسة الحالية تختلف عن الدراسات السابقة في جوانب جوهرية؛ فمن حيث الهدف تفحص العلاقة المباشرة بين ثقة العميل في موظف البنك تحديداً وقرار الحصول على القرض الشخصي، في حين ركّزت الدراسات السابقة على الثقة في سياق الولاء</w:t>
      </w:r>
      <w:r w:rsidRPr="00BE3D42">
        <w:rPr>
          <w:rFonts w:ascii="Simplified Arabic" w:hAnsi="Simplified Arabic" w:cs="Simplified Arabic"/>
          <w:color w:val="000000" w:themeColor="text1"/>
          <w:sz w:val="28"/>
          <w:szCs w:val="28"/>
        </w:rPr>
        <w:t xml:space="preserve"> (Chowdhury et al., 2024</w:t>
      </w:r>
      <w:r w:rsidRPr="00BE3D42">
        <w:rPr>
          <w:rFonts w:ascii="Simplified Arabic" w:hAnsi="Simplified Arabic" w:cs="Simplified Arabic"/>
          <w:color w:val="000000" w:themeColor="text1"/>
          <w:sz w:val="28"/>
          <w:szCs w:val="28"/>
          <w:rtl/>
        </w:rPr>
        <w:t>؛ علي وآخرون، 2024) أو الرضا (الفقهاء، 2018؛ الهرام وآخرون، 2025) أو الأداء المدرك</w:t>
      </w:r>
      <w:r w:rsidRPr="00BE3D42">
        <w:rPr>
          <w:rFonts w:ascii="Simplified Arabic" w:hAnsi="Simplified Arabic" w:cs="Simplified Arabic"/>
          <w:color w:val="000000" w:themeColor="text1"/>
          <w:sz w:val="28"/>
          <w:szCs w:val="28"/>
        </w:rPr>
        <w:t xml:space="preserve"> (Karakasnaki et al., 2023) </w:t>
      </w:r>
      <w:r w:rsidRPr="00BE3D42">
        <w:rPr>
          <w:rFonts w:ascii="Simplified Arabic" w:hAnsi="Simplified Arabic" w:cs="Simplified Arabic"/>
          <w:color w:val="000000" w:themeColor="text1"/>
          <w:sz w:val="28"/>
          <w:szCs w:val="28"/>
          <w:rtl/>
        </w:rPr>
        <w:t>دون ربطها بقرار التمويل الشخصي. ومن حيث الأبعاد تتبنى الدراسة الحالية أبعاداً متخصصة في ثقة العميل بالموظف وهي (الكفاءة المهنية، النزاهة، التعاطف، التواصل الفعّال)، بينما اعتمدت الدراسات السابقة أبعاداً مختلفة كالثقة المعرفية والعاطفية</w:t>
      </w:r>
      <w:r w:rsidRPr="00BE3D42">
        <w:rPr>
          <w:rFonts w:ascii="Simplified Arabic" w:hAnsi="Simplified Arabic" w:cs="Simplified Arabic"/>
          <w:color w:val="000000" w:themeColor="text1"/>
          <w:sz w:val="28"/>
          <w:szCs w:val="28"/>
        </w:rPr>
        <w:t xml:space="preserve"> (Bada &amp; Karupiah, 2021) </w:t>
      </w:r>
      <w:r w:rsidRPr="00BE3D42">
        <w:rPr>
          <w:rFonts w:ascii="Simplified Arabic" w:hAnsi="Simplified Arabic" w:cs="Simplified Arabic"/>
          <w:color w:val="000000" w:themeColor="text1"/>
          <w:sz w:val="28"/>
          <w:szCs w:val="28"/>
          <w:rtl/>
        </w:rPr>
        <w:t>أو أبعاد جودة الخدمة الشاملة وفق نموذج</w:t>
      </w:r>
      <w:r w:rsidRPr="00BE3D42">
        <w:rPr>
          <w:rFonts w:ascii="Simplified Arabic" w:hAnsi="Simplified Arabic" w:cs="Simplified Arabic"/>
          <w:color w:val="000000" w:themeColor="text1"/>
          <w:sz w:val="28"/>
          <w:szCs w:val="28"/>
        </w:rPr>
        <w:t xml:space="preserve"> SERVQUAL (</w:t>
      </w:r>
      <w:r w:rsidRPr="00BE3D42">
        <w:rPr>
          <w:rFonts w:ascii="Simplified Arabic" w:hAnsi="Simplified Arabic" w:cs="Simplified Arabic"/>
          <w:color w:val="000000" w:themeColor="text1"/>
          <w:sz w:val="28"/>
          <w:szCs w:val="28"/>
          <w:rtl/>
        </w:rPr>
        <w:t xml:space="preserve">محمدي، </w:t>
      </w:r>
      <w:r w:rsidRPr="00BE3D42">
        <w:rPr>
          <w:rFonts w:ascii="Simplified Arabic" w:hAnsi="Simplified Arabic" w:cs="Simplified Arabic"/>
          <w:color w:val="000000" w:themeColor="text1"/>
          <w:sz w:val="28"/>
          <w:szCs w:val="28"/>
        </w:rPr>
        <w:t xml:space="preserve">2022) </w:t>
      </w:r>
      <w:r w:rsidRPr="00BE3D42">
        <w:rPr>
          <w:rFonts w:ascii="Simplified Arabic" w:hAnsi="Simplified Arabic" w:cs="Simplified Arabic"/>
          <w:color w:val="000000" w:themeColor="text1"/>
          <w:sz w:val="28"/>
          <w:szCs w:val="28"/>
          <w:rtl/>
        </w:rPr>
        <w:t>أو المتغيرات الديموغرافية والاقتصادية (عبيد الله وآخرون، 2023</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 xml:space="preserve">ومن حيث بيئة التطبيق أُجريت معظم الدراسات الأجنبية في نيجيريا واليونان وبنغلاديش ونيبال والولايات المتحدة، فيما طُبّقت الدراسات العربية في الجزائر وفلسطين </w:t>
      </w:r>
      <w:r w:rsidRPr="00BE3D42">
        <w:rPr>
          <w:rFonts w:ascii="Simplified Arabic" w:hAnsi="Simplified Arabic" w:cs="Simplified Arabic"/>
          <w:color w:val="000000" w:themeColor="text1"/>
          <w:sz w:val="28"/>
          <w:szCs w:val="28"/>
          <w:rtl/>
        </w:rPr>
        <w:lastRenderedPageBreak/>
        <w:t>وقطر والسودان وليبيا، بينما تُجرى الدراسة الحالية في بيئة مصرفية عربية مغايرة ذات خصوصية ثقافية واقتصادية، مما يُشكّل إسهاماً أصيلاً في سدّ الفراغ البحثي القائم في الأدبيات العربية حول العلاقة المباشرة بين ثقة العميل في الموظف وقراره بالحصول على التمويل الشخصي</w:t>
      </w:r>
      <w:r w:rsidRPr="00BE3D42">
        <w:rPr>
          <w:rFonts w:ascii="Simplified Arabic" w:hAnsi="Simplified Arabic" w:cs="Simplified Arabic"/>
          <w:color w:val="000000" w:themeColor="text1"/>
          <w:sz w:val="28"/>
          <w:szCs w:val="28"/>
        </w:rPr>
        <w:t>.</w:t>
      </w:r>
    </w:p>
    <w:p w14:paraId="1CE6B14D" w14:textId="77777777" w:rsidR="00E216FE" w:rsidRPr="00BE3D42" w:rsidRDefault="00E216FE" w:rsidP="00E216F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22622903"/>
      <w:bookmarkStart w:id="23" w:name="_Toc233117044"/>
      <w:bookmarkEnd w:id="16"/>
      <w:r w:rsidRPr="00BE3D42">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3"/>
    </w:p>
    <w:p w14:paraId="23A8FCA3" w14:textId="592C9AA2" w:rsidR="00E216FE" w:rsidRPr="00BE3D42" w:rsidRDefault="00E216FE" w:rsidP="00E216F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E3D42">
        <w:rPr>
          <w:rFonts w:ascii="Simplified Arabic" w:eastAsia="Times New Roman" w:hAnsi="Simplified Arabic" w:cs="Simplified Arabic"/>
          <w:b/>
          <w:bCs/>
          <w:color w:val="000000" w:themeColor="text1"/>
          <w:kern w:val="0"/>
          <w:sz w:val="32"/>
          <w:szCs w:val="32"/>
          <w:rtl/>
          <w14:ligatures w14:val="none"/>
        </w:rPr>
        <w:t>أولاً: مفهوم الثقة في السياق المصرفي</w:t>
      </w:r>
    </w:p>
    <w:p w14:paraId="4F095E92"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تُعدّ الثقة من أكثر المفاهيم تناولاً في أدبيات التسويق والسلوك التنظيمي والعلاقات المصرفية، وقد تعددت التعريفات التي قُدّمت لها بتعدد الحقول المعرفية التي تناولتها. ففي إطارها العام تُشير الثقة إلى استعداد الفرد لقبول حالة من الضعف أمام طرف آخر بناءً على توقعات إيجابية بشأن نواياه وسلوكه المستقبلي، وهو ما يعني أن الثقة تنطوي بالضرورة على عنصر المخاطرة وعدم اليقين. وفي السياق المصرفي تحديداً تتبلور الثقة في اعتقاد العميل بأن البنك وموظفيه سيتصرفون بما يحقق مصلحته ويتوافق مع توقعاته، وأنهم يمتلكون القدرة والرغبة الحقيقية في تقديم خدمة ذات جودة عالية دون استغلال أو تضليل. وقد ميّزت الأدبيات بين مستويين مختلفين من الثقة المصرفية: الثقة المؤسسية التي تتوجّه نحو البنك ككيان اعتباري وتتأثر بسمعته وحجمه ومركزه المالي واستقراره التاريخي، والثقة الشخصية التي تتوجّه نحو الموظف المصرفي الذي يتعامل معه العميل مباشرةً وتتشكّل عبر التفاعلات الشخصية المتكررة وتتأثر بسمات الموظف الفردية وسلوكه المهني</w:t>
      </w:r>
      <w:r w:rsidRPr="00BE3D42">
        <w:rPr>
          <w:rFonts w:ascii="Simplified Arabic" w:eastAsia="Times New Roman" w:hAnsi="Simplified Arabic" w:cs="Simplified Arabic"/>
          <w:color w:val="000000" w:themeColor="text1"/>
          <w:kern w:val="0"/>
          <w:sz w:val="28"/>
          <w:szCs w:val="28"/>
          <w14:ligatures w14:val="none"/>
        </w:rPr>
        <w:t xml:space="preserve"> (Bada &amp; Karupiah, 2021).</w:t>
      </w:r>
    </w:p>
    <w:p w14:paraId="357DE573"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وتكتسب الثقة الشخصية في الموظف المصرفي أهمية خاصة في سياق الخدمات المالية مقارنةً بالقطاعات الأخرى، ويعود ذلك إلى طبيعة الخدمة المصرفية التي تتسم بدرجة عالية من التعقيد وعدم الملموسية وعدم تماثل المعلومات بين مقدّم الخدمة والعميل. فالعميل الذي يرغب في الحصول على قرض شخصي غالباً ما يفتقر إلى المعرفة التقنية الكافية لفهم التفاصيل المالية والقانونية المعقدة المرتبطة بعقد القرض، مما يجعله يعتمد بشكل كبير على المعلومات والمشورة التي يقدّمها له الموظف المصرفي، وبالتالي فإن مستوى ثقته في هذا الموظف يُصبح عاملاً حاسماً في توجيه قراره التمويلي</w:t>
      </w:r>
      <w:r w:rsidRPr="00BE3D42">
        <w:rPr>
          <w:rFonts w:ascii="Simplified Arabic" w:eastAsia="Times New Roman" w:hAnsi="Simplified Arabic" w:cs="Simplified Arabic"/>
          <w:color w:val="000000" w:themeColor="text1"/>
          <w:kern w:val="0"/>
          <w:sz w:val="28"/>
          <w:szCs w:val="28"/>
          <w14:ligatures w14:val="none"/>
        </w:rPr>
        <w:t xml:space="preserve"> (Karakasnaki et al., 2023).</w:t>
      </w:r>
    </w:p>
    <w:p w14:paraId="39D84186" w14:textId="77777777" w:rsidR="007E4485" w:rsidRPr="00BE3D42" w:rsidRDefault="007E4485" w:rsidP="00E216F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2687663"/>
      <w:r w:rsidRPr="00BE3D42">
        <w:rPr>
          <w:rFonts w:ascii="Simplified Arabic" w:eastAsia="Times New Roman" w:hAnsi="Simplified Arabic" w:cs="Simplified Arabic"/>
          <w:b/>
          <w:bCs/>
          <w:color w:val="000000" w:themeColor="text1"/>
          <w:kern w:val="0"/>
          <w:sz w:val="32"/>
          <w:szCs w:val="32"/>
          <w:rtl/>
          <w14:ligatures w14:val="none"/>
        </w:rPr>
        <w:t>ثانياً: أبعاد ثقة العميل في موظف البنك</w:t>
      </w:r>
      <w:bookmarkEnd w:id="24"/>
    </w:p>
    <w:p w14:paraId="385675DD"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lastRenderedPageBreak/>
        <w:t>استناداً إلى الأدبيات النظرية والتجريبية ذات الصلة تتبنى الدراسة الحالية أربعة أبعاد لقياس ثقة العميل في موظف البنك، وتتمثل فيما يلي</w:t>
      </w:r>
      <w:r w:rsidRPr="00BE3D42">
        <w:rPr>
          <w:rFonts w:ascii="Simplified Arabic" w:eastAsia="Times New Roman" w:hAnsi="Simplified Arabic" w:cs="Simplified Arabic"/>
          <w:color w:val="000000" w:themeColor="text1"/>
          <w:kern w:val="0"/>
          <w:sz w:val="28"/>
          <w:szCs w:val="28"/>
          <w14:ligatures w14:val="none"/>
        </w:rPr>
        <w:t>:</w:t>
      </w:r>
    </w:p>
    <w:p w14:paraId="67F4845C"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يتعلق البُعد الأول بالكفاءة المهنية ويُشير إلى إدراك العميل لمدى امتلاك الموظف المصرفي للمعارف والمهارات والخبرات التقنية اللازمة لتقديم خدمة متميزة في مجال التمويل الشخصي. فحين يشعر العميل بأن الموظف يمتلك إلماماً عميقاً بالمنتجات التمويلية وشروطها ومخاطرها وقدرة على الإجابة عن استفساراته بدقة ووضوح، فإن ذلك يُعزّز ثقته في المعلومات المقدّمة ويُقلّل من حالة عدم اليقين التي ترافق قرار الاقتراض. وقد أكّدت الدراسات أن الكفاءة المدركة للموظف تُعدّ المحرّك الأول لبناء الثقة في العلاقات المصرفية لأنها تُطمئن العميل إلى أن مصالحه في أيدٍ أمينة وقادرة</w:t>
      </w:r>
      <w:r w:rsidRPr="00BE3D42">
        <w:rPr>
          <w:rFonts w:ascii="Simplified Arabic" w:eastAsia="Times New Roman" w:hAnsi="Simplified Arabic" w:cs="Simplified Arabic"/>
          <w:color w:val="000000" w:themeColor="text1"/>
          <w:kern w:val="0"/>
          <w:sz w:val="28"/>
          <w:szCs w:val="28"/>
          <w14:ligatures w14:val="none"/>
        </w:rPr>
        <w:t xml:space="preserve"> (Nofandrilla et al., 2024).</w:t>
      </w:r>
    </w:p>
    <w:p w14:paraId="2A86BEE6"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أما البُعد الثاني فيتمثل في النزاهة ويُعبّر عن إدراك العميل لمدى التزام الموظف المصرفي بالصدق والشفافية والأمانة في تعاملاته، بما يشمل تقديم معلومات دقيقة وغير مضلّلة حول شروط القرض وتكاليفه الحقيقية والتزاماته المترتبة، والامتناع عن إخفاء أي معلومات جوهرية قد تؤثر في قرار العميل. وتبرز أهمية هذا البُعد في سياق التمويل الشخصي بشكل خاص نظراً لعدم تماثل المعلومات بين الموظف والعميل، حيث يمتلك الأول معرفة تفصيلية بشروط القرض ورسومه الخفية قد لا يُدركها الثاني بشكل كامل، مما يجعل نزاهة الموظف ضمانة أساسية لحماية مصلحة العميل وبناء ثقته </w:t>
      </w:r>
      <w:r w:rsidRPr="00BE3D42">
        <w:rPr>
          <w:rFonts w:ascii="Simplified Arabic" w:eastAsia="Times New Roman" w:hAnsi="Simplified Arabic" w:cs="Simplified Arabic"/>
          <w:color w:val="000000" w:themeColor="text1"/>
          <w:kern w:val="0"/>
          <w:sz w:val="28"/>
          <w:szCs w:val="28"/>
          <w14:ligatures w14:val="none"/>
        </w:rPr>
        <w:t>(</w:t>
      </w:r>
      <w:r w:rsidRPr="00BE3D42">
        <w:rPr>
          <w:rFonts w:ascii="Simplified Arabic" w:eastAsia="Times New Roman" w:hAnsi="Simplified Arabic" w:cs="Simplified Arabic"/>
          <w:color w:val="000000" w:themeColor="text1"/>
          <w:kern w:val="0"/>
          <w:sz w:val="28"/>
          <w:szCs w:val="28"/>
          <w:rtl/>
          <w14:ligatures w14:val="none"/>
        </w:rPr>
        <w:t>الجمال، 2021</w:t>
      </w:r>
      <w:r w:rsidRPr="00BE3D42">
        <w:rPr>
          <w:rFonts w:ascii="Simplified Arabic" w:eastAsia="Times New Roman" w:hAnsi="Simplified Arabic" w:cs="Simplified Arabic"/>
          <w:color w:val="000000" w:themeColor="text1"/>
          <w:kern w:val="0"/>
          <w:sz w:val="28"/>
          <w:szCs w:val="28"/>
          <w14:ligatures w14:val="none"/>
        </w:rPr>
        <w:t>).</w:t>
      </w:r>
    </w:p>
    <w:p w14:paraId="0E56529A"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ويتناول البُعد الثالث التعاطف ويُقصد به إدراك العميل لمدى اهتمام الموظف المصرفي بحاجاته الفردية وظروفه الشخصية وقدرته على فهم مشاعره ومخاوفه المالية. فالعميل الذي يتقدّم بطلب قرض شخصي غالباً ما يمرّ بظروف مالية تستدعي قدراً من التفهّم والاهتمام الشخصي، وحين يشعر بأن الموظف يتعامل معه كإنسان له خصوصيته وليس مجرد رقم في ملف ائتماني، فإن ذلك يُولّد لديه شعوراً بالارتياح والأمان يدفعه نحو اتخاذ قراره التمويلي بثقة أكبر. وقد أثبتت الدراسات أن التعاطف المدرك يُسهم في تعزيز الرابطة العاطفية بين العميل والموظف ويُقلّل من القلق المرتبط بقرارات الاقتراض</w:t>
      </w:r>
      <w:r w:rsidRPr="00BE3D42">
        <w:rPr>
          <w:rFonts w:ascii="Simplified Arabic" w:eastAsia="Times New Roman" w:hAnsi="Simplified Arabic" w:cs="Simplified Arabic"/>
          <w:color w:val="000000" w:themeColor="text1"/>
          <w:kern w:val="0"/>
          <w:sz w:val="28"/>
          <w:szCs w:val="28"/>
          <w14:ligatures w14:val="none"/>
        </w:rPr>
        <w:t xml:space="preserve"> (Chowdhury et al., 2024).</w:t>
      </w:r>
    </w:p>
    <w:p w14:paraId="20AB97A4" w14:textId="27E20C2C"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ويختص البُعد الرابع بالتواصل الفعّال ويُشير إلى إدراك العميل لمدى قدرة الموظف المصرفي على إيصال المعلومات بوضوح وبساطة والإنصات الجيد لاحتياجاته والاستجابة لاستفساراته في الوقت </w:t>
      </w:r>
      <w:r w:rsidRPr="00BE3D42">
        <w:rPr>
          <w:rFonts w:ascii="Simplified Arabic" w:eastAsia="Times New Roman" w:hAnsi="Simplified Arabic" w:cs="Simplified Arabic"/>
          <w:color w:val="000000" w:themeColor="text1"/>
          <w:kern w:val="0"/>
          <w:sz w:val="28"/>
          <w:szCs w:val="28"/>
          <w:rtl/>
          <w14:ligatures w14:val="none"/>
        </w:rPr>
        <w:lastRenderedPageBreak/>
        <w:t xml:space="preserve">المناسب. ويُشكّل هذا البُعد القناة التي تتدفق من خلالها الأبعاد الثلاثة السابقة، فالكفاءة والنزاهة والتعاطف لا قيمة لها إذا لم يتمكّن الموظف من إيصالها للعميل عبر تواصل لفظي وغير لفظي فعّال. وتزداد أهمية هذا البُعد في مجال التمويل الشخصي حيث يحتاج العميل إلى شرح مبسّط ومفهوم للمصطلحات المالية والشروط التعاقدية المعقدة ليتمكّن من اتخاذ قرار مستنير (محمدي، </w:t>
      </w:r>
      <w:r w:rsidRPr="00BE3D42">
        <w:rPr>
          <w:rFonts w:ascii="Simplified Arabic" w:eastAsia="Times New Roman" w:hAnsi="Simplified Arabic" w:cs="Simplified Arabic"/>
          <w:color w:val="000000" w:themeColor="text1"/>
          <w:kern w:val="0"/>
          <w:sz w:val="28"/>
          <w:szCs w:val="28"/>
          <w14:ligatures w14:val="none"/>
        </w:rPr>
        <w:t>2022</w:t>
      </w:r>
      <w:r w:rsidR="00DD3562" w:rsidRPr="00BE3D42">
        <w:rPr>
          <w:rFonts w:ascii="Simplified Arabic" w:eastAsia="Times New Roman" w:hAnsi="Simplified Arabic" w:cs="Simplified Arabic"/>
          <w:color w:val="000000" w:themeColor="text1"/>
          <w:kern w:val="0"/>
          <w:sz w:val="28"/>
          <w:szCs w:val="28"/>
          <w:rtl/>
          <w14:ligatures w14:val="none"/>
        </w:rPr>
        <w:t>)</w:t>
      </w:r>
    </w:p>
    <w:p w14:paraId="71E5432B" w14:textId="17D82254" w:rsidR="007E4485" w:rsidRPr="00BE3D42" w:rsidRDefault="007E4485" w:rsidP="00E216F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2687664"/>
      <w:r w:rsidRPr="00BE3D42">
        <w:rPr>
          <w:rFonts w:ascii="Simplified Arabic" w:eastAsia="Times New Roman" w:hAnsi="Simplified Arabic" w:cs="Simplified Arabic"/>
          <w:b/>
          <w:bCs/>
          <w:color w:val="000000" w:themeColor="text1"/>
          <w:kern w:val="0"/>
          <w:sz w:val="32"/>
          <w:szCs w:val="32"/>
          <w:rtl/>
          <w14:ligatures w14:val="none"/>
        </w:rPr>
        <w:t>ثالثاً: قرار الحصول على القرض الشخصي</w:t>
      </w:r>
      <w:bookmarkEnd w:id="25"/>
    </w:p>
    <w:p w14:paraId="034ECB9A"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يُعرَّف القرض الشخصي بأنه تسهيل ائتماني يمنحه البنك التجاري للعميل الفرد لتمويل احتياجاته الاستهلاكية أو الشخصية مقابل التزامه بسداد المبلغ مضافاً إليه الفوائد أو الأرباح المتفق عليها على أقساط دورية خلال فترة زمنية محددة. ويمرّ قرار العميل بالحصول على القرض الشخصي بمراحل متعددة تبدأ بإدراك الحاجة المالية ثم البحث عن المعلومات والمقارنة بين البدائل المتاحة وصولاً إلى الاختيار النهائي للبنك والمنتج التمويلي. وقد أثبتت الدراسات أن هذا القرار لا يتحدد بالعوامل المالية الموضوعية وحدها كسعر الفائدة ومدة السداد وحجم القسط الشهري، بل تتداخل فيه عوامل شخصية وسلوكية كالخصائص الديموغرافية ومستوى الثقافة المالية وإدراك المخاطر (عبيد الله والمري وزايد، 2023)</w:t>
      </w:r>
      <w:r w:rsidRPr="00BE3D42">
        <w:rPr>
          <w:rFonts w:ascii="Simplified Arabic" w:eastAsia="Times New Roman" w:hAnsi="Simplified Arabic" w:cs="Simplified Arabic"/>
          <w:color w:val="000000" w:themeColor="text1"/>
          <w:kern w:val="0"/>
          <w:sz w:val="28"/>
          <w:szCs w:val="28"/>
          <w14:ligatures w14:val="none"/>
        </w:rPr>
        <w:t>.</w:t>
      </w:r>
    </w:p>
    <w:p w14:paraId="00E5738B"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وتُشير الأدبيات الحديثة إلى أن الثقة في المؤسسة المصرفية وموظفيها تحتل مرتبة متقدمة بين العوامل المؤثرة في قرارات الاقتراض، إذ يميل العملاء إلى التعامل مع البنوك والموظفين الذين يثقون بهم حتى وإن لم تكن الشروط المالية هي الأفضل مقارنةً بالمنافسين، وهو ما يعني أن الثقة قد تعمل كعامل تعويضي يُغطّي على فروقات السعر والشروط</w:t>
      </w:r>
      <w:r w:rsidRPr="00BE3D42">
        <w:rPr>
          <w:rFonts w:ascii="Simplified Arabic" w:eastAsia="Times New Roman" w:hAnsi="Simplified Arabic" w:cs="Simplified Arabic"/>
          <w:color w:val="000000" w:themeColor="text1"/>
          <w:kern w:val="0"/>
          <w:sz w:val="28"/>
          <w:szCs w:val="28"/>
          <w14:ligatures w14:val="none"/>
        </w:rPr>
        <w:t xml:space="preserve"> (Hagendorff et al., 2023). </w:t>
      </w:r>
      <w:r w:rsidRPr="00BE3D42">
        <w:rPr>
          <w:rFonts w:ascii="Simplified Arabic" w:eastAsia="Times New Roman" w:hAnsi="Simplified Arabic" w:cs="Simplified Arabic"/>
          <w:color w:val="000000" w:themeColor="text1"/>
          <w:kern w:val="0"/>
          <w:sz w:val="28"/>
          <w:szCs w:val="28"/>
          <w:rtl/>
          <w14:ligatures w14:val="none"/>
        </w:rPr>
        <w:t>كما أظهرت الدراسات أن سلوك المقترضين يتأثر بشكل جوهري بمستوى ثقتهم في البنك، وأن التراجع في هذه الثقة يؤدي إلى إحجام العملاء عن الاقتراض أو تحوّلهم إلى مؤسسات مالية أخرى</w:t>
      </w:r>
      <w:r w:rsidRPr="00BE3D42">
        <w:rPr>
          <w:rFonts w:ascii="Simplified Arabic" w:eastAsia="Times New Roman" w:hAnsi="Simplified Arabic" w:cs="Simplified Arabic"/>
          <w:color w:val="000000" w:themeColor="text1"/>
          <w:kern w:val="0"/>
          <w:sz w:val="28"/>
          <w:szCs w:val="28"/>
          <w14:ligatures w14:val="none"/>
        </w:rPr>
        <w:t xml:space="preserve"> (Chang et al., 2025).</w:t>
      </w:r>
    </w:p>
    <w:p w14:paraId="7D8E4F7F" w14:textId="2D095774" w:rsidR="007E4485" w:rsidRPr="00BE3D42" w:rsidRDefault="007E4485" w:rsidP="00E216F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6" w:name="_Toc222687665"/>
      <w:r w:rsidRPr="00BE3D42">
        <w:rPr>
          <w:rFonts w:ascii="Simplified Arabic" w:eastAsia="Times New Roman" w:hAnsi="Simplified Arabic" w:cs="Simplified Arabic"/>
          <w:b/>
          <w:bCs/>
          <w:color w:val="000000" w:themeColor="text1"/>
          <w:kern w:val="0"/>
          <w:sz w:val="32"/>
          <w:szCs w:val="32"/>
          <w:rtl/>
          <w14:ligatures w14:val="none"/>
        </w:rPr>
        <w:t>رابعاً: العلاقة بين ثقة العميل في الموظف وقرار القرض الشخصي</w:t>
      </w:r>
      <w:bookmarkEnd w:id="26"/>
    </w:p>
    <w:p w14:paraId="578CAE38"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يستند الإطار النظري للدراسة الحالية إلى الدمج بين عدة نظريات مفسّرة للعلاقة بين الثقة وسلوك المستهلك المالي. فمن منظور نظرية السلوك المخطط</w:t>
      </w:r>
      <w:r w:rsidRPr="00BE3D42">
        <w:rPr>
          <w:rFonts w:ascii="Simplified Arabic" w:eastAsia="Times New Roman" w:hAnsi="Simplified Arabic" w:cs="Simplified Arabic"/>
          <w:color w:val="000000" w:themeColor="text1"/>
          <w:kern w:val="0"/>
          <w:sz w:val="28"/>
          <w:szCs w:val="28"/>
          <w14:ligatures w14:val="none"/>
        </w:rPr>
        <w:t xml:space="preserve"> (Theory of Planned Behavior) </w:t>
      </w:r>
      <w:r w:rsidRPr="00BE3D42">
        <w:rPr>
          <w:rFonts w:ascii="Simplified Arabic" w:eastAsia="Times New Roman" w:hAnsi="Simplified Arabic" w:cs="Simplified Arabic"/>
          <w:color w:val="000000" w:themeColor="text1"/>
          <w:kern w:val="0"/>
          <w:sz w:val="28"/>
          <w:szCs w:val="28"/>
          <w:rtl/>
          <w14:ligatures w14:val="none"/>
        </w:rPr>
        <w:t>تُعدّ الثقة في الموظف المصرفي أحد المعتقدات السلوكية التي تُشكّل اتجاه العميل نحو الاقتراض وتؤثر في نيّته السلوكية للحصول على القرض. ومن منظور نظرية التبادل الاجتماعي</w:t>
      </w:r>
      <w:r w:rsidRPr="00BE3D42">
        <w:rPr>
          <w:rFonts w:ascii="Simplified Arabic" w:eastAsia="Times New Roman" w:hAnsi="Simplified Arabic" w:cs="Simplified Arabic"/>
          <w:color w:val="000000" w:themeColor="text1"/>
          <w:kern w:val="0"/>
          <w:sz w:val="28"/>
          <w:szCs w:val="28"/>
          <w14:ligatures w14:val="none"/>
        </w:rPr>
        <w:t xml:space="preserve"> (Social Exchange </w:t>
      </w:r>
      <w:r w:rsidRPr="00BE3D42">
        <w:rPr>
          <w:rFonts w:ascii="Simplified Arabic" w:eastAsia="Times New Roman" w:hAnsi="Simplified Arabic" w:cs="Simplified Arabic"/>
          <w:color w:val="000000" w:themeColor="text1"/>
          <w:kern w:val="0"/>
          <w:sz w:val="28"/>
          <w:szCs w:val="28"/>
          <w14:ligatures w14:val="none"/>
        </w:rPr>
        <w:lastRenderedPageBreak/>
        <w:t xml:space="preserve">Theory) </w:t>
      </w:r>
      <w:r w:rsidRPr="00BE3D42">
        <w:rPr>
          <w:rFonts w:ascii="Simplified Arabic" w:eastAsia="Times New Roman" w:hAnsi="Simplified Arabic" w:cs="Simplified Arabic"/>
          <w:color w:val="000000" w:themeColor="text1"/>
          <w:kern w:val="0"/>
          <w:sz w:val="28"/>
          <w:szCs w:val="28"/>
          <w:rtl/>
          <w14:ligatures w14:val="none"/>
        </w:rPr>
        <w:t>تتأسس العلاقة بين العميل والموظف على مبدأ التبادل المتكافئ، حيث يمنح العميل ثقته للموظف مقابل حصوله على خدمة مهنية ونزيهة ومتعاطفة، وحين يتحقق هذا التبادل المتوازن يتولّد لدى العميل استعداد أكبر لاتخاذ قرارات مالية مهمة كالحصول على قرض شخصي. أما من منظور نظرية تقليل عدم اليقين</w:t>
      </w:r>
      <w:r w:rsidRPr="00BE3D42">
        <w:rPr>
          <w:rFonts w:ascii="Simplified Arabic" w:eastAsia="Times New Roman" w:hAnsi="Simplified Arabic" w:cs="Simplified Arabic"/>
          <w:color w:val="000000" w:themeColor="text1"/>
          <w:kern w:val="0"/>
          <w:sz w:val="28"/>
          <w:szCs w:val="28"/>
          <w14:ligatures w14:val="none"/>
        </w:rPr>
        <w:t xml:space="preserve"> (Uncertainty Reduction Theory) </w:t>
      </w:r>
      <w:r w:rsidRPr="00BE3D42">
        <w:rPr>
          <w:rFonts w:ascii="Simplified Arabic" w:eastAsia="Times New Roman" w:hAnsi="Simplified Arabic" w:cs="Simplified Arabic"/>
          <w:color w:val="000000" w:themeColor="text1"/>
          <w:kern w:val="0"/>
          <w:sz w:val="28"/>
          <w:szCs w:val="28"/>
          <w:rtl/>
          <w14:ligatures w14:val="none"/>
        </w:rPr>
        <w:t>فإن الثقة في الموظف تعمل كآلية لتقليل حالة عدم اليقين والمخاطر المدركة المرتبطة بقرار الاقتراض، مما يُسهّل عملية اتخاذ القرار ويُقصّر الفترة الزمنية بين نية الاقتراض والسلوك الفعلي</w:t>
      </w:r>
      <w:r w:rsidRPr="00BE3D42">
        <w:rPr>
          <w:rFonts w:ascii="Simplified Arabic" w:eastAsia="Times New Roman" w:hAnsi="Simplified Arabic" w:cs="Simplified Arabic"/>
          <w:color w:val="000000" w:themeColor="text1"/>
          <w:kern w:val="0"/>
          <w:sz w:val="28"/>
          <w:szCs w:val="28"/>
          <w14:ligatures w14:val="none"/>
        </w:rPr>
        <w:t xml:space="preserve"> (Nofandrilla et al., 2024).</w:t>
      </w:r>
    </w:p>
    <w:p w14:paraId="4B048784" w14:textId="0102FE52"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eastAsia="Times New Roman" w:hAnsi="Simplified Arabic" w:cs="Simplified Arabic"/>
          <w:color w:val="000000" w:themeColor="text1"/>
          <w:kern w:val="0"/>
          <w:sz w:val="28"/>
          <w:szCs w:val="28"/>
          <w:rtl/>
          <w14:ligatures w14:val="none"/>
        </w:rPr>
        <w:t xml:space="preserve">وبناءً على ما تقدّم يفترض النموذج النظري للدراسة الحالية وجود علاقة سببية مباشرة بين أبعاد ثقة العميل في موظف البنك (الكفاءة المهنية، النزاهة، التعاطف، التواصل الفعّال) وبين قرار العميل بالحصول على القرض الشخصي، بحيث يؤدي ارتفاع مستوى الثقة في كل بُعد من هذه الأبعاد إلى تعزيز احتمالية اتخاذ العميل لقرار إيجابي بالاقتراض، وهو ما ستسعى الدراسة إلى اختباره تجريبياً من خلال البيانات الميدانية </w:t>
      </w:r>
      <w:r w:rsidR="00DD3562" w:rsidRPr="00BE3D42">
        <w:rPr>
          <w:rFonts w:ascii="Simplified Arabic" w:eastAsia="Times New Roman" w:hAnsi="Simplified Arabic" w:cs="Simplified Arabic"/>
          <w:color w:val="000000" w:themeColor="text1"/>
          <w:kern w:val="0"/>
          <w:sz w:val="28"/>
          <w:szCs w:val="28"/>
          <w:rtl/>
          <w14:ligatures w14:val="none"/>
        </w:rPr>
        <w:t>(</w:t>
      </w:r>
      <w:r w:rsidRPr="00BE3D42">
        <w:rPr>
          <w:rFonts w:ascii="Simplified Arabic" w:eastAsia="Times New Roman" w:hAnsi="Simplified Arabic" w:cs="Simplified Arabic"/>
          <w:color w:val="000000" w:themeColor="text1"/>
          <w:kern w:val="0"/>
          <w:sz w:val="28"/>
          <w:szCs w:val="28"/>
          <w:rtl/>
          <w14:ligatures w14:val="none"/>
        </w:rPr>
        <w:t>باب الله، 2025</w:t>
      </w:r>
      <w:r w:rsidR="00DD3562" w:rsidRPr="00BE3D42">
        <w:rPr>
          <w:rFonts w:ascii="Simplified Arabic" w:eastAsia="Times New Roman" w:hAnsi="Simplified Arabic" w:cs="Simplified Arabic"/>
          <w:color w:val="000000" w:themeColor="text1"/>
          <w:kern w:val="0"/>
          <w:sz w:val="28"/>
          <w:szCs w:val="28"/>
          <w:rtl/>
          <w14:ligatures w14:val="none"/>
        </w:rPr>
        <w:t>)</w:t>
      </w:r>
    </w:p>
    <w:p w14:paraId="142892FC" w14:textId="088DD67B" w:rsidR="00E216FE" w:rsidRPr="00BE3D42" w:rsidRDefault="00E216FE" w:rsidP="00E216FE">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7" w:name="_Toc169790506"/>
      <w:bookmarkStart w:id="28" w:name="_Toc233117045"/>
      <w:bookmarkEnd w:id="21"/>
      <w:bookmarkEnd w:id="22"/>
      <w:r w:rsidRPr="00BE3D42">
        <w:rPr>
          <w:rFonts w:ascii="Simplified Arabic" w:hAnsi="Simplified Arabic" w:cs="Simplified Arabic"/>
          <w:b/>
          <w:bCs/>
          <w:color w:val="000000" w:themeColor="text1"/>
          <w:sz w:val="36"/>
          <w:szCs w:val="36"/>
          <w:rtl/>
        </w:rPr>
        <w:t>10.1 المنهجية وطرق البحث:</w:t>
      </w:r>
      <w:bookmarkEnd w:id="28"/>
    </w:p>
    <w:p w14:paraId="77F92221" w14:textId="77777777" w:rsidR="007E4485" w:rsidRPr="00BE3D42" w:rsidRDefault="007E4485" w:rsidP="00E216FE">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سوف تعتمد الدراسة الحالية على المنهج الوصفي التحليلي باعتباره المنهج الأكثر ملاءمة لطبيعة الدراسة وأهدافها، حيث سيتم من خلاله وصف الظاهرة المدروسة وتحليلها كمّياً للكشف عن أثر ثقة العميل في موظف البنك بأبعادها (الكفاءة المهنية، النزاهة، التعاطف، التواصل الفعّال) على قرار الحصول على القرض الشخصي في البنوك التجارية. وسيُستخدم الجانب الوصفي في تحديد مستويات ثقة العملاء في موظفي البنوك واتجاهاتهم نحو قرار الاقتراض الشخصي، بينما سيُوظَّف الجانب التحليلي في اختبار الفروض واستكشاف العلاقات السببية بين متغيرات الدراسة</w:t>
      </w:r>
      <w:r w:rsidRPr="00BE3D42">
        <w:rPr>
          <w:rFonts w:ascii="Simplified Arabic" w:hAnsi="Simplified Arabic" w:cs="Simplified Arabic"/>
          <w:color w:val="000000" w:themeColor="text1"/>
          <w:sz w:val="28"/>
          <w:szCs w:val="28"/>
        </w:rPr>
        <w:t>.</w:t>
      </w:r>
    </w:p>
    <w:p w14:paraId="2B9F496B" w14:textId="77777777" w:rsidR="007E4485" w:rsidRPr="00BE3D42" w:rsidRDefault="007E4485"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وسوف تسير الدراسة وفق مرحلتين متكاملتين: تتمثل المرحلة الأولى في المسح المكتبي والنظري من خلال الاطلاع على الكتب والدوريات العلمية والرسائل الجامعية وقواعد البيانات الإلكترونية العربية والأجنبية ذات الصلة بموضوع الثقة في موظف البنك وقرارات الاقتراض الشخصي، وذلك لبناء الإطار النظري وتحديد أبعاد المتغيرات وتطوير أداة الدراسة. أما المرحلة الثانية فستتمثل في الدراسة الميدانية التي سيتم خلالها توزيع الاستبانة على عينة الدراسة وجمع البيانات الأولية وتحليلها إحصائياً للوصول إلى النتائج واختبار الفروض وتقديم التوصيات</w:t>
      </w:r>
      <w:r w:rsidRPr="00BE3D42">
        <w:rPr>
          <w:rFonts w:ascii="Simplified Arabic" w:hAnsi="Simplified Arabic" w:cs="Simplified Arabic"/>
          <w:color w:val="000000" w:themeColor="text1"/>
          <w:sz w:val="28"/>
          <w:szCs w:val="28"/>
        </w:rPr>
        <w:t>.</w:t>
      </w:r>
    </w:p>
    <w:p w14:paraId="35810FAB" w14:textId="4E91CBCB" w:rsidR="00E216FE" w:rsidRPr="00BE3D42" w:rsidRDefault="00E216FE" w:rsidP="00E216FE">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9" w:name="_Toc233117046"/>
      <w:r w:rsidRPr="00BE3D42">
        <w:rPr>
          <w:rFonts w:ascii="Simplified Arabic" w:hAnsi="Simplified Arabic" w:cs="Simplified Arabic"/>
          <w:b/>
          <w:bCs/>
          <w:color w:val="000000" w:themeColor="text1"/>
          <w:sz w:val="36"/>
          <w:szCs w:val="36"/>
          <w:rtl/>
        </w:rPr>
        <w:lastRenderedPageBreak/>
        <w:t>11.1 مجتمع وعينة الدراسة</w:t>
      </w:r>
      <w:bookmarkEnd w:id="29"/>
    </w:p>
    <w:p w14:paraId="74AFF04E" w14:textId="77777777" w:rsidR="007E4485" w:rsidRPr="00BE3D42" w:rsidRDefault="007E4485" w:rsidP="00E216FE">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سيتكون مجتمع الدراسة من جميع عملاء البنوك التجارية الذين سبق لهم التقدم بطلب قرض شخصي أو الحصول عليه خلال الاثني عشر شهراً الأخيرة، وذلك في نطاق المنطقة الجغرافية المستهدفة. ونظراً لصعوبة حصر مجتمع الدراسة بشكل دقيق لتعدد البنوك وتنوع عملائها وعدم توفر إحصاءات رسمية دقيقة بأعداد المقترضين الأفراد، فإن المجتمع سيُعدّ مجتمعاً غير محدود</w:t>
      </w:r>
      <w:r w:rsidRPr="00BE3D42">
        <w:rPr>
          <w:rFonts w:ascii="Simplified Arabic" w:hAnsi="Simplified Arabic" w:cs="Simplified Arabic"/>
          <w:color w:val="000000" w:themeColor="text1"/>
          <w:sz w:val="28"/>
          <w:szCs w:val="28"/>
        </w:rPr>
        <w:t xml:space="preserve"> (Infinite Population)</w:t>
      </w:r>
      <w:r w:rsidRPr="00BE3D42">
        <w:rPr>
          <w:rFonts w:ascii="Simplified Arabic" w:hAnsi="Simplified Arabic" w:cs="Simplified Arabic"/>
          <w:color w:val="000000" w:themeColor="text1"/>
          <w:sz w:val="28"/>
          <w:szCs w:val="28"/>
          <w:rtl/>
        </w:rPr>
        <w:t>، مما يستلزم اللجوء إلى أسلوب العينة لاختيار مفردات الدراسة</w:t>
      </w:r>
      <w:r w:rsidRPr="00BE3D42">
        <w:rPr>
          <w:rFonts w:ascii="Simplified Arabic" w:hAnsi="Simplified Arabic" w:cs="Simplified Arabic"/>
          <w:color w:val="000000" w:themeColor="text1"/>
          <w:sz w:val="28"/>
          <w:szCs w:val="28"/>
        </w:rPr>
        <w:t>.</w:t>
      </w:r>
    </w:p>
    <w:p w14:paraId="1CA2CF4F" w14:textId="77777777" w:rsidR="007E4485" w:rsidRPr="00BE3D42" w:rsidRDefault="007E4485"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وسيتم اختيار عينة عشوائية ميسّرة </w:t>
      </w:r>
      <w:r w:rsidRPr="00BE3D42">
        <w:rPr>
          <w:rFonts w:ascii="Simplified Arabic" w:hAnsi="Simplified Arabic" w:cs="Simplified Arabic"/>
          <w:color w:val="000000" w:themeColor="text1"/>
          <w:sz w:val="28"/>
          <w:szCs w:val="28"/>
        </w:rPr>
        <w:t xml:space="preserve">(Convenience Sampling) </w:t>
      </w:r>
      <w:r w:rsidRPr="00BE3D42">
        <w:rPr>
          <w:rFonts w:ascii="Simplified Arabic" w:hAnsi="Simplified Arabic" w:cs="Simplified Arabic"/>
          <w:color w:val="000000" w:themeColor="text1"/>
          <w:sz w:val="28"/>
          <w:szCs w:val="28"/>
          <w:rtl/>
        </w:rPr>
        <w:t xml:space="preserve">بحجم لا يقل عن (384) مفردة وفقاً لمعادلة كوكران </w:t>
      </w:r>
      <w:r w:rsidRPr="00BE3D42">
        <w:rPr>
          <w:rFonts w:ascii="Simplified Arabic" w:hAnsi="Simplified Arabic" w:cs="Simplified Arabic"/>
          <w:color w:val="000000" w:themeColor="text1"/>
          <w:sz w:val="28"/>
          <w:szCs w:val="28"/>
        </w:rPr>
        <w:t xml:space="preserve">(Cochran) </w:t>
      </w:r>
      <w:r w:rsidRPr="00BE3D42">
        <w:rPr>
          <w:rFonts w:ascii="Simplified Arabic" w:hAnsi="Simplified Arabic" w:cs="Simplified Arabic"/>
          <w:color w:val="000000" w:themeColor="text1"/>
          <w:sz w:val="28"/>
          <w:szCs w:val="28"/>
          <w:rtl/>
        </w:rPr>
        <w:t>عند مستوى ثقة 95% وهامش خطأ 5%، مع استهداف توزيع (420) استمارة لتعويض الفاقد المتوقع من الاستمارات غير المكتملة أو غير الصالحة للتحليل الإحصائي. وسيتم توزيع الاستبانات على عملاء عدد من فروع البنوك التجارية المختلفة لضمان تنوع العينة من حيث الخصائص الديموغرافية (الجنس، العمر، المؤهل العلمي، مستوى الدخل)، وسيُشترط في المستجيب أن يكون قد تعامل مع موظف البنك بشأن قرض شخصي خلال العام الأخير لضمان قدرته على تقييم أبعاد الثقة بموضوعية</w:t>
      </w:r>
      <w:r w:rsidRPr="00BE3D42">
        <w:rPr>
          <w:rFonts w:ascii="Simplified Arabic" w:hAnsi="Simplified Arabic" w:cs="Simplified Arabic"/>
          <w:color w:val="000000" w:themeColor="text1"/>
          <w:sz w:val="28"/>
          <w:szCs w:val="28"/>
        </w:rPr>
        <w:t>.</w:t>
      </w:r>
    </w:p>
    <w:p w14:paraId="68B6EAFE" w14:textId="4E66ECB8" w:rsidR="00E42E37" w:rsidRPr="00BE3D42" w:rsidRDefault="00E216FE" w:rsidP="00E216FE">
      <w:pPr>
        <w:pStyle w:val="NormalWeb"/>
        <w:bidi/>
        <w:spacing w:line="276" w:lineRule="auto"/>
        <w:jc w:val="both"/>
        <w:outlineLvl w:val="1"/>
        <w:rPr>
          <w:rFonts w:ascii="Simplified Arabic" w:hAnsi="Simplified Arabic" w:cs="Simplified Arabic"/>
          <w:b/>
          <w:bCs/>
          <w:color w:val="000000" w:themeColor="text1"/>
          <w:kern w:val="36"/>
          <w:sz w:val="36"/>
          <w:szCs w:val="36"/>
        </w:rPr>
      </w:pPr>
      <w:bookmarkStart w:id="30" w:name="_Toc233117047"/>
      <w:r w:rsidRPr="00BE3D42">
        <w:rPr>
          <w:rFonts w:ascii="Simplified Arabic" w:hAnsi="Simplified Arabic" w:cs="Simplified Arabic" w:hint="cs"/>
          <w:b/>
          <w:bCs/>
          <w:color w:val="000000" w:themeColor="text1"/>
          <w:kern w:val="36"/>
          <w:sz w:val="36"/>
          <w:szCs w:val="36"/>
          <w:rtl/>
        </w:rPr>
        <w:t xml:space="preserve">12.1 </w:t>
      </w:r>
      <w:r w:rsidR="00E42E37" w:rsidRPr="00BE3D42">
        <w:rPr>
          <w:rFonts w:ascii="Simplified Arabic" w:hAnsi="Simplified Arabic" w:cs="Simplified Arabic"/>
          <w:b/>
          <w:bCs/>
          <w:color w:val="000000" w:themeColor="text1"/>
          <w:kern w:val="36"/>
          <w:sz w:val="36"/>
          <w:szCs w:val="36"/>
          <w:rtl/>
        </w:rPr>
        <w:t>مصادر جمع البيانات</w:t>
      </w:r>
      <w:bookmarkEnd w:id="30"/>
    </w:p>
    <w:p w14:paraId="3A31C288" w14:textId="77777777" w:rsidR="007E4485" w:rsidRPr="00BE3D42" w:rsidRDefault="007E4485" w:rsidP="00D7372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bookmarkStart w:id="31" w:name="_Toc222687668"/>
      <w:r w:rsidRPr="00BE3D42">
        <w:rPr>
          <w:rFonts w:ascii="Simplified Arabic" w:hAnsi="Simplified Arabic" w:cs="Simplified Arabic"/>
          <w:color w:val="000000" w:themeColor="text1"/>
          <w:sz w:val="28"/>
          <w:szCs w:val="28"/>
          <w:rtl/>
        </w:rPr>
        <w:t>سوف تعتمد الدراسة على مصدرين أساسيين لجمع البيانات: أولاً المصادر الثانوية المتمثلة في الكتب والمراجع العلمية والدوريات المحكّمة والرسائل الجامعية والتقارير المصرفية وقواعد البيانات الإلكترونية العربية والأجنبية، وذلك لبناء الإطار النظري وتحديد المفاهيم والأبعاد والمؤشرات</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ثانياً المصادر الأولية المتمثلة في الاستبانة التي سيتم تصميمها وتوزيعها على أفراد عينة الدراسة لجمع البيانات الميدانية اللازمة لاختبار الفروض والإجابة عن تساؤلات الدراسة</w:t>
      </w:r>
      <w:r w:rsidRPr="00BE3D42">
        <w:rPr>
          <w:rFonts w:ascii="Simplified Arabic" w:hAnsi="Simplified Arabic" w:cs="Simplified Arabic"/>
          <w:color w:val="000000" w:themeColor="text1"/>
          <w:sz w:val="28"/>
          <w:szCs w:val="28"/>
        </w:rPr>
        <w:t>.</w:t>
      </w:r>
      <w:bookmarkEnd w:id="31"/>
    </w:p>
    <w:p w14:paraId="341BB9B2" w14:textId="71FAAB84" w:rsidR="00E216FE" w:rsidRPr="00BE3D42" w:rsidRDefault="00E216FE" w:rsidP="00E216FE">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2" w:name="_Toc233117048"/>
      <w:r w:rsidRPr="00BE3D42">
        <w:rPr>
          <w:rFonts w:ascii="Simplified Arabic" w:hAnsi="Simplified Arabic" w:cs="Simplified Arabic"/>
          <w:b/>
          <w:bCs/>
          <w:color w:val="000000" w:themeColor="text1"/>
          <w:sz w:val="36"/>
          <w:szCs w:val="36"/>
          <w:rtl/>
        </w:rPr>
        <w:t>13.1  أداة الدراسة</w:t>
      </w:r>
      <w:bookmarkEnd w:id="32"/>
    </w:p>
    <w:p w14:paraId="3CFD6E67" w14:textId="526B8FAD" w:rsidR="00042FFC" w:rsidRPr="00BE3D42" w:rsidRDefault="007E4485" w:rsidP="00F7159D">
      <w:pPr>
        <w:pStyle w:val="NormalWeb"/>
        <w:bidi/>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سوف تُستخدم الاستبانة أداةً رئيسية لجمع البيانات الأولية، وستتكون من ثلاثة أقسام: القسم الأول يتضمن البيانات الديموغرافية للمستجيبين (الجنس، العمر، المؤهل العلمي، مستوى الدخل). القسم الثاني يتعلق بالمتغير المستقل (ثقة العميل في موظف البنك) ويشمل أربعة أبعاد هي: بُعد الكفاءة المهنية ويتكون </w:t>
      </w:r>
      <w:r w:rsidRPr="00BE3D42">
        <w:rPr>
          <w:rFonts w:ascii="Simplified Arabic" w:hAnsi="Simplified Arabic" w:cs="Simplified Arabic"/>
          <w:color w:val="000000" w:themeColor="text1"/>
          <w:sz w:val="28"/>
          <w:szCs w:val="28"/>
          <w:rtl/>
        </w:rPr>
        <w:lastRenderedPageBreak/>
        <w:t>من (4) فقرات، وبُعد النزاهة ويتكون من (4) فقرات، وبُعد التعاطف ويتكون من (4) فقرات، وبُعد التواصل الفعّال ويتكون من (4) فقرات، ليصبح إجمالي فقرات المتغير المستقل (16) فقرة. أما القسم الثالث فيتعلق بالمتغير التابع (قرار الحصول على القرض الشخصي) وهو أحادي المحور ويتكون من</w:t>
      </w:r>
      <w:r w:rsidRPr="00BE3D42">
        <w:rPr>
          <w:rFonts w:ascii="Simplified Arabic" w:hAnsi="Simplified Arabic" w:cs="Simplified Arabic"/>
          <w:color w:val="000000" w:themeColor="text1"/>
          <w:sz w:val="28"/>
          <w:szCs w:val="28"/>
        </w:rPr>
        <w:t xml:space="preserve"> (10) </w:t>
      </w:r>
      <w:r w:rsidRPr="00BE3D42">
        <w:rPr>
          <w:rFonts w:ascii="Simplified Arabic" w:hAnsi="Simplified Arabic" w:cs="Simplified Arabic"/>
          <w:color w:val="000000" w:themeColor="text1"/>
          <w:sz w:val="28"/>
          <w:szCs w:val="28"/>
          <w:rtl/>
        </w:rPr>
        <w:t>فقرات. وبذلك يصبح إجمالي فقرات الاستبانة (26) فقرة بالإضافة إلى البيانات الديموغرافية، وسيتم قياس جميع الفقرات باستخدام مقياس ليكرت الخماسي (1</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غير موافق بشدة، 2= غير موافق، 3= محايد، 4= موافق، 5= موافق بشدة</w:t>
      </w:r>
      <w:r w:rsidR="00DD3562" w:rsidRPr="00BE3D42">
        <w:rPr>
          <w:rFonts w:ascii="Simplified Arabic" w:hAnsi="Simplified Arabic" w:cs="Simplified Arabic"/>
          <w:color w:val="000000" w:themeColor="text1"/>
          <w:sz w:val="28"/>
          <w:szCs w:val="28"/>
          <w:rtl/>
        </w:rPr>
        <w:t>)</w:t>
      </w:r>
    </w:p>
    <w:p w14:paraId="4B8A4E44" w14:textId="49DBC42C" w:rsidR="00E216FE" w:rsidRPr="00BE3D42" w:rsidRDefault="00E216FE" w:rsidP="00E216F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3" w:name="_Toc233117049"/>
      <w:r w:rsidRPr="00BE3D42">
        <w:rPr>
          <w:rFonts w:ascii="Simplified Arabic" w:hAnsi="Simplified Arabic" w:cs="Simplified Arabic"/>
          <w:b/>
          <w:bCs/>
          <w:color w:val="000000" w:themeColor="text1"/>
          <w:sz w:val="36"/>
          <w:szCs w:val="36"/>
          <w:rtl/>
        </w:rPr>
        <w:t>14.1  الأساليب الإحصائية المستخدمة</w:t>
      </w:r>
      <w:bookmarkEnd w:id="33"/>
    </w:p>
    <w:p w14:paraId="0BDA4556" w14:textId="76CA6708" w:rsidR="00E42E37" w:rsidRPr="00BE3D42" w:rsidRDefault="007E4485" w:rsidP="00F7159D">
      <w:pPr>
        <w:spacing w:before="100" w:beforeAutospacing="1" w:after="100" w:afterAutospacing="1" w:line="240" w:lineRule="auto"/>
        <w:ind w:firstLine="424"/>
        <w:jc w:val="both"/>
        <w:rPr>
          <w:rFonts w:ascii="Simplified Arabic" w:eastAsia="Times New Roman" w:hAnsi="Simplified Arabic" w:cs="Simplified Arabic"/>
          <w:color w:val="000000" w:themeColor="text1"/>
          <w:kern w:val="0"/>
          <w:sz w:val="28"/>
          <w:szCs w:val="28"/>
          <w14:ligatures w14:val="none"/>
        </w:rPr>
      </w:pPr>
      <w:r w:rsidRPr="00BE3D42">
        <w:rPr>
          <w:rFonts w:ascii="Simplified Arabic" w:hAnsi="Simplified Arabic" w:cs="Simplified Arabic"/>
          <w:color w:val="000000" w:themeColor="text1"/>
          <w:sz w:val="28"/>
          <w:szCs w:val="28"/>
          <w:rtl/>
        </w:rPr>
        <w:t>سوف يتم تحليل بيانات الدراسة باستخدام برنامج الحزمة الإحصائية للعلوم الاجتماعية</w:t>
      </w:r>
      <w:r w:rsidRPr="00BE3D42">
        <w:rPr>
          <w:rFonts w:ascii="Simplified Arabic" w:hAnsi="Simplified Arabic" w:cs="Simplified Arabic"/>
          <w:color w:val="000000" w:themeColor="text1"/>
          <w:sz w:val="28"/>
          <w:szCs w:val="28"/>
        </w:rPr>
        <w:t xml:space="preserve"> (SPSS V.26)</w:t>
      </w:r>
      <w:r w:rsidRPr="00BE3D42">
        <w:rPr>
          <w:rFonts w:ascii="Simplified Arabic" w:hAnsi="Simplified Arabic" w:cs="Simplified Arabic"/>
          <w:color w:val="000000" w:themeColor="text1"/>
          <w:sz w:val="28"/>
          <w:szCs w:val="28"/>
          <w:rtl/>
        </w:rPr>
        <w:t>، وسيتم توظيف مجموعة من الأساليب الإحصائية تشمل</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معامل ألفا كرونباخ</w:t>
      </w:r>
      <w:r w:rsidRPr="00BE3D42">
        <w:rPr>
          <w:rFonts w:ascii="Simplified Arabic" w:hAnsi="Simplified Arabic" w:cs="Simplified Arabic"/>
          <w:color w:val="000000" w:themeColor="text1"/>
          <w:sz w:val="28"/>
          <w:szCs w:val="28"/>
        </w:rPr>
        <w:t xml:space="preserve"> (Cronbach's Alpha) </w:t>
      </w:r>
      <w:r w:rsidRPr="00BE3D42">
        <w:rPr>
          <w:rFonts w:ascii="Simplified Arabic" w:hAnsi="Simplified Arabic" w:cs="Simplified Arabic"/>
          <w:color w:val="000000" w:themeColor="text1"/>
          <w:sz w:val="28"/>
          <w:szCs w:val="28"/>
          <w:rtl/>
        </w:rPr>
        <w:t>لاختبار ثبات أداة الدراسة، والتحليل العاملي التوكيدي للتحقق من صدق البناء، والإحصاء الوصفي المتمثل في التكرارات والنسب المئوية والمتوسطات الحسابية والانحرافات المعيارية لوصف خصائص العينة ومستويات الاستجابة، ومعامل ارتباط بيرسون</w:t>
      </w:r>
      <w:r w:rsidRPr="00BE3D42">
        <w:rPr>
          <w:rFonts w:ascii="Simplified Arabic" w:hAnsi="Simplified Arabic" w:cs="Simplified Arabic"/>
          <w:color w:val="000000" w:themeColor="text1"/>
          <w:sz w:val="28"/>
          <w:szCs w:val="28"/>
        </w:rPr>
        <w:t xml:space="preserve"> (Pearson Correlation) </w:t>
      </w:r>
      <w:r w:rsidRPr="00BE3D42">
        <w:rPr>
          <w:rFonts w:ascii="Simplified Arabic" w:hAnsi="Simplified Arabic" w:cs="Simplified Arabic"/>
          <w:color w:val="000000" w:themeColor="text1"/>
          <w:sz w:val="28"/>
          <w:szCs w:val="28"/>
          <w:rtl/>
        </w:rPr>
        <w:t>لقياس العلاقة بين المتغيرات، وتحليل الانحدار الخطي البسيط والمتعدد</w:t>
      </w:r>
      <w:r w:rsidRPr="00BE3D42">
        <w:rPr>
          <w:rFonts w:ascii="Simplified Arabic" w:hAnsi="Simplified Arabic" w:cs="Simplified Arabic"/>
          <w:color w:val="000000" w:themeColor="text1"/>
          <w:sz w:val="28"/>
          <w:szCs w:val="28"/>
        </w:rPr>
        <w:t xml:space="preserve"> (Simple &amp; Multiple Linear Regression) </w:t>
      </w:r>
      <w:r w:rsidRPr="00BE3D42">
        <w:rPr>
          <w:rFonts w:ascii="Simplified Arabic" w:hAnsi="Simplified Arabic" w:cs="Simplified Arabic"/>
          <w:color w:val="000000" w:themeColor="text1"/>
          <w:sz w:val="28"/>
          <w:szCs w:val="28"/>
          <w:rtl/>
        </w:rPr>
        <w:t>لاختبار أثر أبعاد المتغير المستقل على المتغير التابع، واختبار</w:t>
      </w:r>
      <w:r w:rsidRPr="00BE3D42">
        <w:rPr>
          <w:rFonts w:ascii="Simplified Arabic" w:hAnsi="Simplified Arabic" w:cs="Simplified Arabic"/>
          <w:color w:val="000000" w:themeColor="text1"/>
          <w:sz w:val="28"/>
          <w:szCs w:val="28"/>
        </w:rPr>
        <w:t xml:space="preserve"> (T-Test) </w:t>
      </w:r>
      <w:r w:rsidRPr="00BE3D42">
        <w:rPr>
          <w:rFonts w:ascii="Simplified Arabic" w:hAnsi="Simplified Arabic" w:cs="Simplified Arabic"/>
          <w:color w:val="000000" w:themeColor="text1"/>
          <w:sz w:val="28"/>
          <w:szCs w:val="28"/>
          <w:rtl/>
        </w:rPr>
        <w:t>وتحليل التباين الأحادي</w:t>
      </w:r>
      <w:r w:rsidRPr="00BE3D42">
        <w:rPr>
          <w:rFonts w:ascii="Simplified Arabic" w:hAnsi="Simplified Arabic" w:cs="Simplified Arabic"/>
          <w:color w:val="000000" w:themeColor="text1"/>
          <w:sz w:val="28"/>
          <w:szCs w:val="28"/>
        </w:rPr>
        <w:t xml:space="preserve"> (One-Way ANOVA) </w:t>
      </w:r>
      <w:r w:rsidRPr="00BE3D42">
        <w:rPr>
          <w:rFonts w:ascii="Simplified Arabic" w:hAnsi="Simplified Arabic" w:cs="Simplified Arabic"/>
          <w:color w:val="000000" w:themeColor="text1"/>
          <w:sz w:val="28"/>
          <w:szCs w:val="28"/>
          <w:rtl/>
        </w:rPr>
        <w:t>للكشف عن الفروق في استجابات أفراد العينة وفقاً للمتغيرات الديموغرافية، واختبار</w:t>
      </w:r>
      <w:r w:rsidRPr="00BE3D42">
        <w:rPr>
          <w:rFonts w:ascii="Simplified Arabic" w:hAnsi="Simplified Arabic" w:cs="Simplified Arabic"/>
          <w:color w:val="000000" w:themeColor="text1"/>
          <w:sz w:val="28"/>
          <w:szCs w:val="28"/>
        </w:rPr>
        <w:t xml:space="preserve"> (VIF) </w:t>
      </w:r>
      <w:r w:rsidRPr="00BE3D42">
        <w:rPr>
          <w:rFonts w:ascii="Simplified Arabic" w:hAnsi="Simplified Arabic" w:cs="Simplified Arabic"/>
          <w:color w:val="000000" w:themeColor="text1"/>
          <w:sz w:val="28"/>
          <w:szCs w:val="28"/>
          <w:rtl/>
        </w:rPr>
        <w:t>للتأكد من عدم وجود ازدواجية خطية بين المتغيرات المستقلة</w:t>
      </w:r>
      <w:r w:rsidRPr="00BE3D42">
        <w:rPr>
          <w:rFonts w:ascii="Simplified Arabic" w:hAnsi="Simplified Arabic" w:cs="Simplified Arabic"/>
          <w:color w:val="000000" w:themeColor="text1"/>
          <w:sz w:val="28"/>
          <w:szCs w:val="28"/>
        </w:rPr>
        <w:t>.</w:t>
      </w:r>
      <w:r w:rsidR="00234633" w:rsidRPr="00BE3D42">
        <w:rPr>
          <w:rFonts w:ascii="Simplified Arabic" w:eastAsia="Times New Roman" w:hAnsi="Simplified Arabic" w:cs="Simplified Arabic"/>
          <w:color w:val="000000" w:themeColor="text1"/>
          <w:kern w:val="0"/>
          <w:sz w:val="28"/>
          <w:szCs w:val="28"/>
          <w:rtl/>
          <w14:ligatures w14:val="none"/>
        </w:rPr>
        <w:t>.</w:t>
      </w:r>
    </w:p>
    <w:p w14:paraId="269C22BF" w14:textId="4ED59F2A" w:rsidR="00E216FE" w:rsidRPr="00BE3D42" w:rsidRDefault="00E216FE" w:rsidP="00E216FE">
      <w:pPr>
        <w:pStyle w:val="NormalWeb"/>
        <w:bidi/>
        <w:spacing w:line="276" w:lineRule="auto"/>
        <w:jc w:val="both"/>
        <w:outlineLvl w:val="1"/>
        <w:rPr>
          <w:rStyle w:val="Strong"/>
          <w:rFonts w:ascii="Simplified Arabic" w:hAnsi="Simplified Arabic" w:cs="Simplified Arabic"/>
          <w:color w:val="000000" w:themeColor="text1"/>
          <w:sz w:val="36"/>
          <w:szCs w:val="36"/>
        </w:rPr>
      </w:pPr>
      <w:bookmarkStart w:id="34" w:name="_Toc233117050"/>
      <w:r w:rsidRPr="00BE3D42">
        <w:rPr>
          <w:rStyle w:val="Strong"/>
          <w:rFonts w:ascii="Simplified Arabic" w:hAnsi="Simplified Arabic" w:cs="Simplified Arabic"/>
          <w:color w:val="000000" w:themeColor="text1"/>
          <w:sz w:val="36"/>
          <w:szCs w:val="36"/>
          <w:rtl/>
        </w:rPr>
        <w:t>15.1 حدود الدراسة</w:t>
      </w:r>
      <w:bookmarkEnd w:id="34"/>
    </w:p>
    <w:p w14:paraId="6BC7C95E" w14:textId="0BF4AC1A" w:rsidR="007E4485" w:rsidRPr="00BE3D42" w:rsidRDefault="007E4485" w:rsidP="00E216FE">
      <w:pPr>
        <w:pStyle w:val="NormalWeb"/>
        <w:numPr>
          <w:ilvl w:val="0"/>
          <w:numId w:val="38"/>
        </w:numPr>
        <w:bidi/>
        <w:spacing w:line="276" w:lineRule="auto"/>
        <w:ind w:left="424"/>
        <w:jc w:val="both"/>
        <w:rPr>
          <w:rFonts w:ascii="Simplified Arabic" w:hAnsi="Simplified Arabic" w:cs="Simplified Arabic"/>
          <w:color w:val="000000" w:themeColor="text1"/>
          <w:sz w:val="28"/>
          <w:szCs w:val="28"/>
        </w:rPr>
      </w:pPr>
      <w:r w:rsidRPr="00BE3D42">
        <w:rPr>
          <w:rStyle w:val="Strong"/>
          <w:rFonts w:ascii="Simplified Arabic" w:hAnsi="Simplified Arabic" w:cs="Simplified Arabic"/>
          <w:b w:val="0"/>
          <w:bCs w:val="0"/>
          <w:color w:val="000000" w:themeColor="text1"/>
          <w:sz w:val="28"/>
          <w:szCs w:val="28"/>
          <w:rtl/>
        </w:rPr>
        <w:t>الحدود الموضوعية</w:t>
      </w:r>
      <w:r w:rsidRPr="00BE3D42">
        <w:rPr>
          <w:rStyle w:val="Strong"/>
          <w:rFonts w:ascii="Simplified Arabic" w:hAnsi="Simplified Arabic" w:cs="Simplified Arabic"/>
          <w:b w:val="0"/>
          <w:bCs w:val="0"/>
          <w:color w:val="000000" w:themeColor="text1"/>
          <w:sz w:val="28"/>
          <w:szCs w:val="28"/>
        </w:rPr>
        <w:t>:</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ستقتصر الدراسة على دراسة أثر ثقة العميل في موظف البنك بأبعادها الأربعة (الكفاءة المهنية، النزاهة، التعاطف، التواصل الفعّال) على قرار الحصول على القرض الشخصي</w:t>
      </w:r>
      <w:r w:rsidR="00DD3562" w:rsidRPr="00BE3D42">
        <w:rPr>
          <w:rFonts w:ascii="Simplified Arabic" w:hAnsi="Simplified Arabic" w:cs="Simplified Arabic"/>
          <w:color w:val="000000" w:themeColor="text1"/>
          <w:sz w:val="28"/>
          <w:szCs w:val="28"/>
          <w:rtl/>
        </w:rPr>
        <w:t>.</w:t>
      </w:r>
    </w:p>
    <w:p w14:paraId="6A850E63" w14:textId="77777777" w:rsidR="007E4485" w:rsidRPr="00BE3D42" w:rsidRDefault="007E4485" w:rsidP="00D7372F">
      <w:pPr>
        <w:pStyle w:val="NormalWeb"/>
        <w:numPr>
          <w:ilvl w:val="0"/>
          <w:numId w:val="38"/>
        </w:numPr>
        <w:bidi/>
        <w:spacing w:line="276" w:lineRule="auto"/>
        <w:ind w:left="424"/>
        <w:jc w:val="both"/>
        <w:rPr>
          <w:rFonts w:ascii="Simplified Arabic" w:hAnsi="Simplified Arabic" w:cs="Simplified Arabic"/>
          <w:color w:val="000000" w:themeColor="text1"/>
          <w:sz w:val="28"/>
          <w:szCs w:val="28"/>
          <w:rtl/>
          <w:lang w:bidi="ar-EG"/>
        </w:rPr>
      </w:pPr>
      <w:r w:rsidRPr="00BE3D42">
        <w:rPr>
          <w:rStyle w:val="Strong"/>
          <w:rFonts w:ascii="Simplified Arabic" w:hAnsi="Simplified Arabic" w:cs="Simplified Arabic"/>
          <w:b w:val="0"/>
          <w:bCs w:val="0"/>
          <w:color w:val="000000" w:themeColor="text1"/>
          <w:sz w:val="28"/>
          <w:szCs w:val="28"/>
          <w:rtl/>
        </w:rPr>
        <w:t>الحدود البشرية</w:t>
      </w:r>
      <w:r w:rsidRPr="00BE3D42">
        <w:rPr>
          <w:rStyle w:val="Strong"/>
          <w:rFonts w:ascii="Simplified Arabic" w:hAnsi="Simplified Arabic" w:cs="Simplified Arabic"/>
          <w:b w:val="0"/>
          <w:bCs w:val="0"/>
          <w:color w:val="000000" w:themeColor="text1"/>
          <w:sz w:val="28"/>
          <w:szCs w:val="28"/>
        </w:rPr>
        <w:t>:</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ستقتصر الدراسة على عملاء البنوك التجارية الذين سبق لهم التقدم بطلب قرض شخصي أو الحصول عليه خلال الاثني عشر شهراً الأخيرة</w:t>
      </w:r>
      <w:r w:rsidRPr="00BE3D42">
        <w:rPr>
          <w:rFonts w:ascii="Simplified Arabic" w:hAnsi="Simplified Arabic" w:cs="Simplified Arabic"/>
          <w:color w:val="000000" w:themeColor="text1"/>
          <w:sz w:val="28"/>
          <w:szCs w:val="28"/>
        </w:rPr>
        <w:t>.</w:t>
      </w:r>
    </w:p>
    <w:p w14:paraId="0D85D3E5" w14:textId="16001102" w:rsidR="007E4485" w:rsidRPr="00BE3D42" w:rsidRDefault="007E4485" w:rsidP="00D7372F">
      <w:pPr>
        <w:pStyle w:val="NormalWeb"/>
        <w:numPr>
          <w:ilvl w:val="0"/>
          <w:numId w:val="38"/>
        </w:numPr>
        <w:bidi/>
        <w:spacing w:line="276" w:lineRule="auto"/>
        <w:ind w:left="424"/>
        <w:jc w:val="both"/>
        <w:rPr>
          <w:rFonts w:ascii="Simplified Arabic" w:hAnsi="Simplified Arabic" w:cs="Simplified Arabic"/>
          <w:color w:val="000000" w:themeColor="text1"/>
          <w:sz w:val="28"/>
          <w:szCs w:val="28"/>
        </w:rPr>
      </w:pPr>
      <w:r w:rsidRPr="00BE3D42">
        <w:rPr>
          <w:rStyle w:val="Strong"/>
          <w:rFonts w:ascii="Simplified Arabic" w:hAnsi="Simplified Arabic" w:cs="Simplified Arabic"/>
          <w:b w:val="0"/>
          <w:bCs w:val="0"/>
          <w:color w:val="000000" w:themeColor="text1"/>
          <w:sz w:val="28"/>
          <w:szCs w:val="28"/>
          <w:rtl/>
        </w:rPr>
        <w:t>الحدود المكانية</w:t>
      </w:r>
      <w:r w:rsidRPr="00BE3D42">
        <w:rPr>
          <w:rStyle w:val="Strong"/>
          <w:rFonts w:ascii="Simplified Arabic" w:hAnsi="Simplified Arabic" w:cs="Simplified Arabic"/>
          <w:b w:val="0"/>
          <w:bCs w:val="0"/>
          <w:color w:val="000000" w:themeColor="text1"/>
          <w:sz w:val="28"/>
          <w:szCs w:val="28"/>
        </w:rPr>
        <w:t>:</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 xml:space="preserve">سيتم تطبيق الدراسة على عينة من فروع البنوك التجارية في </w:t>
      </w:r>
      <w:r w:rsidR="00DD3562" w:rsidRPr="00BE3D42">
        <w:rPr>
          <w:rFonts w:ascii="Simplified Arabic" w:hAnsi="Simplified Arabic" w:cs="Simplified Arabic"/>
          <w:color w:val="000000" w:themeColor="text1"/>
          <w:sz w:val="28"/>
          <w:szCs w:val="28"/>
          <w:rtl/>
        </w:rPr>
        <w:t>الرياض.</w:t>
      </w:r>
    </w:p>
    <w:p w14:paraId="621EA931" w14:textId="77777777" w:rsidR="007E4485" w:rsidRPr="00BE3D42" w:rsidRDefault="007E4485" w:rsidP="00D7372F">
      <w:pPr>
        <w:pStyle w:val="NormalWeb"/>
        <w:numPr>
          <w:ilvl w:val="0"/>
          <w:numId w:val="38"/>
        </w:numPr>
        <w:bidi/>
        <w:spacing w:line="276" w:lineRule="auto"/>
        <w:ind w:left="424"/>
        <w:jc w:val="both"/>
        <w:rPr>
          <w:rFonts w:ascii="Simplified Arabic" w:hAnsi="Simplified Arabic" w:cs="Simplified Arabic"/>
          <w:color w:val="000000" w:themeColor="text1"/>
          <w:sz w:val="28"/>
          <w:szCs w:val="28"/>
          <w:rtl/>
        </w:rPr>
      </w:pPr>
      <w:r w:rsidRPr="00BE3D42">
        <w:rPr>
          <w:rStyle w:val="Strong"/>
          <w:rFonts w:ascii="Simplified Arabic" w:hAnsi="Simplified Arabic" w:cs="Simplified Arabic"/>
          <w:b w:val="0"/>
          <w:bCs w:val="0"/>
          <w:color w:val="000000" w:themeColor="text1"/>
          <w:sz w:val="28"/>
          <w:szCs w:val="28"/>
          <w:rtl/>
        </w:rPr>
        <w:t>الحدود الزمانية</w:t>
      </w:r>
      <w:r w:rsidRPr="00BE3D42">
        <w:rPr>
          <w:rStyle w:val="Strong"/>
          <w:rFonts w:ascii="Simplified Arabic" w:hAnsi="Simplified Arabic" w:cs="Simplified Arabic"/>
          <w:b w:val="0"/>
          <w:bCs w:val="0"/>
          <w:color w:val="000000" w:themeColor="text1"/>
          <w:sz w:val="28"/>
          <w:szCs w:val="28"/>
        </w:rPr>
        <w:t>:</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سيتم جمع البيانات الميدانية خلال الفصل الدراسي الثاني من العام الجامعي 2025/2026م</w:t>
      </w:r>
      <w:r w:rsidRPr="00BE3D42">
        <w:rPr>
          <w:rFonts w:ascii="Simplified Arabic" w:hAnsi="Simplified Arabic" w:cs="Simplified Arabic"/>
          <w:color w:val="000000" w:themeColor="text1"/>
          <w:sz w:val="28"/>
          <w:szCs w:val="28"/>
        </w:rPr>
        <w:t>.</w:t>
      </w:r>
    </w:p>
    <w:p w14:paraId="02E208C0" w14:textId="659A9FDE" w:rsidR="002F3B1A" w:rsidRPr="00BE3D42" w:rsidRDefault="00E216FE" w:rsidP="00E216FE">
      <w:pPr>
        <w:jc w:val="center"/>
        <w:outlineLvl w:val="0"/>
        <w:rPr>
          <w:rFonts w:ascii="Simplified Arabic" w:hAnsi="Simplified Arabic" w:cs="Simplified Arabic"/>
          <w:b/>
          <w:bCs/>
          <w:color w:val="000000" w:themeColor="text1"/>
          <w:sz w:val="40"/>
          <w:szCs w:val="40"/>
        </w:rPr>
      </w:pPr>
      <w:r w:rsidRPr="00BE3D42">
        <w:rPr>
          <w:rFonts w:ascii="Simplified Arabic" w:hAnsi="Simplified Arabic" w:cs="Simplified Arabic"/>
          <w:b/>
          <w:bCs/>
          <w:color w:val="000000" w:themeColor="text1"/>
          <w:sz w:val="40"/>
          <w:szCs w:val="40"/>
          <w:rtl/>
        </w:rPr>
        <w:br w:type="page"/>
      </w:r>
      <w:bookmarkStart w:id="35" w:name="_Toc233117051"/>
      <w:r w:rsidRPr="00BE3D42">
        <w:rPr>
          <w:rFonts w:ascii="Simplified Arabic" w:hAnsi="Simplified Arabic" w:cs="Simplified Arabic" w:hint="cs"/>
          <w:b/>
          <w:bCs/>
          <w:color w:val="000000" w:themeColor="text1"/>
          <w:sz w:val="40"/>
          <w:szCs w:val="40"/>
          <w:rtl/>
        </w:rPr>
        <w:lastRenderedPageBreak/>
        <w:t xml:space="preserve">الفصل الثاني: </w:t>
      </w:r>
      <w:r w:rsidR="002F3B1A" w:rsidRPr="00BE3D42">
        <w:rPr>
          <w:rFonts w:ascii="Simplified Arabic" w:hAnsi="Simplified Arabic" w:cs="Simplified Arabic"/>
          <w:b/>
          <w:bCs/>
          <w:color w:val="000000" w:themeColor="text1"/>
          <w:sz w:val="40"/>
          <w:szCs w:val="40"/>
          <w:rtl/>
        </w:rPr>
        <w:t>الإطار النظري للدراسة</w:t>
      </w:r>
      <w:bookmarkEnd w:id="35"/>
    </w:p>
    <w:p w14:paraId="34765A8F" w14:textId="5351EBB5" w:rsidR="002F3B1A" w:rsidRPr="00BE3D42" w:rsidRDefault="002F3B1A" w:rsidP="00E216FE">
      <w:pPr>
        <w:pStyle w:val="NormalWeb"/>
        <w:bidi/>
        <w:spacing w:line="276" w:lineRule="auto"/>
        <w:jc w:val="center"/>
        <w:outlineLvl w:val="1"/>
        <w:rPr>
          <w:rFonts w:ascii="Simplified Arabic" w:hAnsi="Simplified Arabic" w:cs="Simplified Arabic"/>
          <w:b/>
          <w:bCs/>
          <w:color w:val="000000" w:themeColor="text1"/>
          <w:sz w:val="36"/>
          <w:szCs w:val="36"/>
        </w:rPr>
      </w:pPr>
      <w:bookmarkStart w:id="36" w:name="_Toc233117052"/>
      <w:r w:rsidRPr="00BE3D42">
        <w:rPr>
          <w:rFonts w:ascii="Simplified Arabic" w:hAnsi="Simplified Arabic" w:cs="Simplified Arabic"/>
          <w:b/>
          <w:bCs/>
          <w:color w:val="000000" w:themeColor="text1"/>
          <w:sz w:val="36"/>
          <w:szCs w:val="36"/>
          <w:rtl/>
        </w:rPr>
        <w:t>المبحث الأول: ثقة العميل في موظف البنك</w:t>
      </w:r>
      <w:bookmarkEnd w:id="36"/>
    </w:p>
    <w:p w14:paraId="3B7CEB41" w14:textId="1D357269"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37" w:name="_Toc233117053"/>
      <w:r w:rsidRPr="00BE3D42">
        <w:rPr>
          <w:rFonts w:ascii="Simplified Arabic" w:hAnsi="Simplified Arabic" w:cs="Simplified Arabic" w:hint="cs"/>
          <w:b/>
          <w:bCs/>
          <w:color w:val="000000" w:themeColor="text1"/>
          <w:sz w:val="32"/>
          <w:szCs w:val="32"/>
          <w:rtl/>
        </w:rPr>
        <w:t xml:space="preserve">1.1.2 </w:t>
      </w:r>
      <w:r w:rsidR="002F3B1A" w:rsidRPr="00BE3D42">
        <w:rPr>
          <w:rFonts w:ascii="Simplified Arabic" w:hAnsi="Simplified Arabic" w:cs="Simplified Arabic"/>
          <w:b/>
          <w:bCs/>
          <w:color w:val="000000" w:themeColor="text1"/>
          <w:sz w:val="32"/>
          <w:szCs w:val="32"/>
          <w:rtl/>
        </w:rPr>
        <w:t>تمهيد</w:t>
      </w:r>
      <w:bookmarkEnd w:id="37"/>
    </w:p>
    <w:p w14:paraId="4259FC26"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تُعدّ ثقة العميل في موظف البنك من أكثر المفاهيم محوريةً في أدبيات التسويق المصرفي وسلوك المستهلك المالي، إذ تمثّل الجسر النفسي والاجتماعي الذي يربط بين المؤسسة المصرفية بوصفها كياناً مؤسسياً مجرّداً، وبين العميل بوصفه فاعلاً اقتصادياً يسعى إلى تعظيم منفعته وتقليل المخاطر المرتبطة بقراراته المالية. وقد فرضت التحوّلات المتسارعة في الصناعة المصرفية، من رقمنة الخدمات وتعقّد المنتجات المالية واشتداد المنافسة، ضرورةَ إعادة النظر في طبيعة العلاقة بين العميل والموظف الذي يمثّل الواجهة الإنسانية للبنك. فالموظف لم يعد مجرد وسيط لتقديم خدمة نمطية، بل أصبح حاملاً لرأس مال علائقي تتجسّد فيه سمعة المؤسسة وكفاءتها وقيمها الأخلاقية، بحيث يصبح بناء الثقة معه شرطاً ضرورياً لاستمرار التعامل والتوسع فيه</w:t>
      </w:r>
      <w:r w:rsidRPr="00BE3D42">
        <w:rPr>
          <w:rFonts w:ascii="Simplified Arabic" w:hAnsi="Simplified Arabic" w:cs="Simplified Arabic"/>
          <w:color w:val="000000" w:themeColor="text1"/>
          <w:sz w:val="28"/>
          <w:szCs w:val="28"/>
        </w:rPr>
        <w:t>.</w:t>
      </w:r>
    </w:p>
    <w:p w14:paraId="112B07FD"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ويكتسب هذا المتغير أهمية مضاعفة في سياق القرارات المالية ذات الطابع الالتزامي طويل الأجل كقرار الاقتراض الشخصي، حيث يتقاطع البُعد العقلاني المتعلّق بالشروط المالية والضمانات، مع البُعد العلائقي المتعلّق بالطمأنينة النفسية إزاء الطرف الذي يتولّى تقديم المشورة وتسهيل الإجراءات. ومن ثمّ، فإن استجلاء أبعاد ثقة العميل في موظف البنك، وتحديد مكوّناتها النظرية ومداخل تفسيرها، يُعدّ خطوة تأسيسية لفهم الكيفية التي تُترجَم بها هذه الثقة إلى سلوك مالي فعلي. ويسعى هذا المبحث إلى تقديم معالجة نظرية متكاملة لهذا المتغير من حيث المفهوم والأهمية والأهداف والأبعاد والاستراتيجيات الداعمة لبنائه</w:t>
      </w:r>
      <w:r w:rsidRPr="00BE3D42">
        <w:rPr>
          <w:rFonts w:ascii="Simplified Arabic" w:hAnsi="Simplified Arabic" w:cs="Simplified Arabic"/>
          <w:color w:val="000000" w:themeColor="text1"/>
          <w:sz w:val="28"/>
          <w:szCs w:val="28"/>
        </w:rPr>
        <w:t>.</w:t>
      </w:r>
    </w:p>
    <w:p w14:paraId="3ADE21A5" w14:textId="36FB39FB"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38" w:name="_Toc233117054"/>
      <w:r w:rsidRPr="00BE3D42">
        <w:rPr>
          <w:rFonts w:ascii="Simplified Arabic" w:hAnsi="Simplified Arabic" w:cs="Simplified Arabic" w:hint="cs"/>
          <w:b/>
          <w:bCs/>
          <w:color w:val="000000" w:themeColor="text1"/>
          <w:sz w:val="32"/>
          <w:szCs w:val="32"/>
          <w:rtl/>
        </w:rPr>
        <w:t>2.1.2</w:t>
      </w:r>
      <w:r w:rsidR="002F3B1A" w:rsidRPr="00BE3D42">
        <w:rPr>
          <w:rFonts w:ascii="Simplified Arabic" w:hAnsi="Simplified Arabic" w:cs="Simplified Arabic"/>
          <w:b/>
          <w:bCs/>
          <w:color w:val="000000" w:themeColor="text1"/>
          <w:sz w:val="32"/>
          <w:szCs w:val="32"/>
          <w:rtl/>
        </w:rPr>
        <w:t xml:space="preserve"> مفهوم ثقة العميل في موظف البنك</w:t>
      </w:r>
      <w:bookmarkEnd w:id="38"/>
    </w:p>
    <w:p w14:paraId="76BD7B46" w14:textId="7E0333EE"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تتعدّد المداخل النظرية في تعريف ثقة العميل في موظف البنك تبعاً لتعدّد الأطر التحليلية التي اشتغل عليها الباحثون، فمنهم من قاربها بوصفها حالة نفسية إدراكية، ومنهم من تناولها بوصفها علاقة سلوكية متبادلة، وآخرون نظروا إليها بوصفها رصيداً اجتماعياً تراكمياً ينعكس على جودة التفاعل. وقد سعى</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Pr>
        <w:lastRenderedPageBreak/>
        <w:t xml:space="preserve">Bada &amp;Karupiah (2021) </w:t>
      </w:r>
      <w:r w:rsidRPr="00BE3D42">
        <w:rPr>
          <w:rFonts w:ascii="Simplified Arabic" w:hAnsi="Simplified Arabic" w:cs="Simplified Arabic"/>
          <w:color w:val="000000" w:themeColor="text1"/>
          <w:sz w:val="28"/>
          <w:szCs w:val="28"/>
          <w:rtl/>
        </w:rPr>
        <w:t>إلى وضع الثقة في إطارها العلائقي البين</w:t>
      </w:r>
      <w:r w:rsidRPr="00BE3D42">
        <w:rPr>
          <w:rFonts w:ascii="Simplified Arabic" w:hAnsi="Simplified Arabic" w:cs="Simplified Arabic"/>
          <w:color w:val="000000" w:themeColor="text1"/>
          <w:sz w:val="28"/>
          <w:szCs w:val="28"/>
          <w:rtl/>
        </w:rPr>
        <w:noBreakHyphen/>
        <w:t>شخصي، باعتبارها استعداداً نفسياً يُبديه العميل للاعتماد على موظف البنك في ظل ظروف عدم التأكد، انطلاقاً من توقّع معقول بأن سلوك الموظف سيكون متسقاً مع مصلحة العميل وغير منطوٍ على انتهازية. ويُبرز هذا التعريف أن الثقة ليست حدثاً آنياً، وإنما هي بناء تدريجي يتشكّل من خلال التفاعلات المتكررة التي يختبر فيها العميل قدرة الموظف على الوفاء بالتوقعات الموضوعية والوجدانية</w:t>
      </w:r>
      <w:r w:rsidRPr="00BE3D42">
        <w:rPr>
          <w:rFonts w:ascii="Simplified Arabic" w:hAnsi="Simplified Arabic" w:cs="Simplified Arabic"/>
          <w:color w:val="000000" w:themeColor="text1"/>
          <w:sz w:val="28"/>
          <w:szCs w:val="28"/>
        </w:rPr>
        <w:t>.</w:t>
      </w:r>
    </w:p>
    <w:p w14:paraId="5E2F1F71" w14:textId="438FDB8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زاوية مغايرة، يقارب</w:t>
      </w:r>
      <w:r w:rsidRPr="00BE3D42">
        <w:rPr>
          <w:rFonts w:ascii="Simplified Arabic" w:hAnsi="Simplified Arabic" w:cs="Simplified Arabic"/>
          <w:color w:val="000000" w:themeColor="text1"/>
          <w:sz w:val="28"/>
          <w:szCs w:val="28"/>
        </w:rPr>
        <w:t xml:space="preserve"> Hagendorff et al.,(2023) </w:t>
      </w:r>
      <w:r w:rsidRPr="00BE3D42">
        <w:rPr>
          <w:rFonts w:ascii="Simplified Arabic" w:hAnsi="Simplified Arabic" w:cs="Simplified Arabic"/>
          <w:color w:val="000000" w:themeColor="text1"/>
          <w:sz w:val="28"/>
          <w:szCs w:val="28"/>
          <w:rtl/>
        </w:rPr>
        <w:t>مفهوم الثقة في سياق العقود الائتمانية، حيث ينظرون إليها بوصفها متغيراً مؤسسياً يتجاوز العلاقة الفردية ليؤثّر في بنية الشروط التعاقدية ذاتها، بما يجعل الموظف ممثلاً لمستوى أعمّ من الثقة المُسقطة على المؤسسة. وفي السياق ذاته، يميّز</w:t>
      </w:r>
      <w:r w:rsidRPr="00BE3D42">
        <w:rPr>
          <w:rFonts w:ascii="Simplified Arabic" w:hAnsi="Simplified Arabic" w:cs="Simplified Arabic"/>
          <w:color w:val="000000" w:themeColor="text1"/>
          <w:sz w:val="28"/>
          <w:szCs w:val="28"/>
        </w:rPr>
        <w:t xml:space="preserve"> Chang</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al.,(2025) </w:t>
      </w:r>
      <w:r w:rsidRPr="00BE3D42">
        <w:rPr>
          <w:rFonts w:ascii="Simplified Arabic" w:hAnsi="Simplified Arabic" w:cs="Simplified Arabic"/>
          <w:color w:val="000000" w:themeColor="text1"/>
          <w:sz w:val="28"/>
          <w:szCs w:val="28"/>
          <w:rtl/>
        </w:rPr>
        <w:t>بين الثقة الموجّهة نحو البنك بوصفه كياناً، والثقة الموجّهة نحو الأفراد العاملين فيه، مع التأكيد على أن النوع الثاني يلعب دوراً أكثر مباشرةً في تشكيل سلوك المقترض، لأن الموظف هو الوسيط الذي تتجسّد عبره وعود المؤسسة</w:t>
      </w:r>
      <w:r w:rsidRPr="00BE3D42">
        <w:rPr>
          <w:rFonts w:ascii="Simplified Arabic" w:hAnsi="Simplified Arabic" w:cs="Simplified Arabic"/>
          <w:color w:val="000000" w:themeColor="text1"/>
          <w:sz w:val="28"/>
          <w:szCs w:val="28"/>
        </w:rPr>
        <w:t>.</w:t>
      </w:r>
    </w:p>
    <w:p w14:paraId="50D62B5C" w14:textId="59AE289E"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ويذهب</w:t>
      </w:r>
      <w:r w:rsidRPr="00BE3D42">
        <w:rPr>
          <w:rFonts w:ascii="Simplified Arabic" w:hAnsi="Simplified Arabic" w:cs="Simplified Arabic"/>
          <w:color w:val="000000" w:themeColor="text1"/>
          <w:sz w:val="28"/>
          <w:szCs w:val="28"/>
        </w:rPr>
        <w:t xml:space="preserve"> Chowdhury</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إلى تعريف الثقة باعتبارها بنية وسيطية متعددة الأبعاد تجمع بين الإدراك العقلاني للكفاءة، والتقييم الأخلاقي للنزاهة، والاستجابة الوجدانية للتعاطف، بحيث لا يمكن اختزالها في بُعد واحد. هذا التعريف يضع الثقة في موقع المتغير الجامع الذي تتقاطع فيه أبعاد متعددة لا تعمل بمعزل بعضها عن بعض، وإنما تتفاعل لتكوّن إحساساً كلياً بالأمان العلائقي. ويوسّع</w:t>
      </w:r>
      <w:r w:rsidRPr="00BE3D42">
        <w:rPr>
          <w:rFonts w:ascii="Simplified Arabic" w:hAnsi="Simplified Arabic" w:cs="Simplified Arabic"/>
          <w:color w:val="000000" w:themeColor="text1"/>
          <w:sz w:val="28"/>
          <w:szCs w:val="28"/>
        </w:rPr>
        <w:t xml:space="preserve"> Karakasnaki et al.,(2023) </w:t>
      </w:r>
      <w:r w:rsidRPr="00BE3D42">
        <w:rPr>
          <w:rFonts w:ascii="Simplified Arabic" w:hAnsi="Simplified Arabic" w:cs="Simplified Arabic"/>
          <w:color w:val="000000" w:themeColor="text1"/>
          <w:sz w:val="28"/>
          <w:szCs w:val="28"/>
          <w:rtl/>
        </w:rPr>
        <w:t>هذا المنظور بربط الثقة بأداء موظفي الخط الأمامي في الصناعة المالية، حيث يُعرّفونها بوصفها محصلة تراكمية لقدرة الموظف على إظهار التعاطف وتوجّه المستهلك في كل نقطة تماس خدمي</w:t>
      </w:r>
      <w:r w:rsidRPr="00BE3D42">
        <w:rPr>
          <w:rFonts w:ascii="Simplified Arabic" w:hAnsi="Simplified Arabic" w:cs="Simplified Arabic"/>
          <w:color w:val="000000" w:themeColor="text1"/>
          <w:sz w:val="28"/>
          <w:szCs w:val="28"/>
        </w:rPr>
        <w:t>.</w:t>
      </w:r>
    </w:p>
    <w:p w14:paraId="434A452F"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وفي الأدبيات العربية، تناولت بن صالح (2023) الثقة بوصفها استعداداً سلوكياً يبديه العميل للتعامل مع الخدمات المصرفية في ظل وجود مخاطر متوقعة، مع التأكيد على أن هذا الاستعداد يتغذّى من الخبرات السابقة ومن إدراك العميل لمدى التزام الجهاز البشري في البنك بالمعايير المهنية والأخلاقية. ومن جانبها، تنظر محمدي (2022) إلى الثقة بوصفها نتاجاً مباشراً لجودة الخدمة المصرفية، حيث تتحوّل الجودة المُدركة إلى رصيد ثقة يُسهم في تعميق العلاقة بين الزبون والبنك. وتقدّم نجيمي وبوطالب (2023) قراءة تنظيمية مكمّلة، إذ يُعرّفان الثقة بوصفها حالة من القبول المتبادل تتأسس على توقع </w:t>
      </w:r>
      <w:r w:rsidRPr="00BE3D42">
        <w:rPr>
          <w:rFonts w:ascii="Simplified Arabic" w:hAnsi="Simplified Arabic" w:cs="Simplified Arabic"/>
          <w:color w:val="000000" w:themeColor="text1"/>
          <w:sz w:val="28"/>
          <w:szCs w:val="28"/>
          <w:rtl/>
        </w:rPr>
        <w:lastRenderedPageBreak/>
        <w:t>السلوك الإيجابي من الطرف الآخر، وهو ما يجعلها قابلة للتطبيق على العلاقة بين العميل والموظف بوصفها نمطاً خاصاً من العلاقات التنظيمية الموسّعة</w:t>
      </w:r>
      <w:r w:rsidRPr="00BE3D42">
        <w:rPr>
          <w:rFonts w:ascii="Simplified Arabic" w:hAnsi="Simplified Arabic" w:cs="Simplified Arabic"/>
          <w:color w:val="000000" w:themeColor="text1"/>
          <w:sz w:val="28"/>
          <w:szCs w:val="28"/>
        </w:rPr>
        <w:t>.</w:t>
      </w:r>
    </w:p>
    <w:p w14:paraId="134CF0F9"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ويُلاحظ من استعراض هذه التعريفات أن ثمة تقارباً جوهرياً في النظر إلى الثقة بوصفها حالة إدراكية</w:t>
      </w:r>
      <w:r w:rsidRPr="00BE3D42">
        <w:rPr>
          <w:rFonts w:ascii="Simplified Arabic" w:hAnsi="Simplified Arabic" w:cs="Simplified Arabic"/>
          <w:color w:val="000000" w:themeColor="text1"/>
          <w:sz w:val="28"/>
          <w:szCs w:val="28"/>
          <w:rtl/>
        </w:rPr>
        <w:noBreakHyphen/>
        <w:t>وجدانية تتشكّل في سياق علاقة غير متماثلة المعلومات، يكون فيها العميل أقل اطلاعاً على تفاصيل المنتج المصرفي من الموظف، فيلجأ إلى الثقة بوصفها آلية تعويضية تُمكّنه من اتخاذ القرار في ظل عدم اليقين. وفي ضوء ما تقدّم، يمكن للباحث أن يصوغ تعريفاً إجرائياً لثقة العميل في موظف البنك بوصفها: “حالة إدراكية</w:t>
      </w:r>
      <w:r w:rsidRPr="00BE3D42">
        <w:rPr>
          <w:rFonts w:ascii="Simplified Arabic" w:hAnsi="Simplified Arabic" w:cs="Simplified Arabic"/>
          <w:color w:val="000000" w:themeColor="text1"/>
          <w:sz w:val="28"/>
          <w:szCs w:val="28"/>
          <w:rtl/>
        </w:rPr>
        <w:noBreakHyphen/>
        <w:t>سلوكية يُبديها العميل تجاه موظف البنك الذي يتعامل معه، تقوم على توقعه بأن الموظف يمتلك الكفاءة المهنية اللازمة لتقديم خدمة دقيقة، ويلتزم بمعايير النزاهة الأخلاقية في التعامل، ويُبدي تعاطفاً صادقاً مع احتياجاته، ويتواصل معه بشكل واضح وفعّال، بحيث تتحوّل هذه التوقعات إلى رصيد علائقي يُؤثّر في قراره المالي بالحصول على الخدمات المصرفية وفي مقدّمتها القروض الشخصية”. وهذا التعريف يجمع بين المداخل المتعددة المُستعرضة، ويضع المتغير في سياقه التطبيقي المرتبط بقرار الاقتراض، وهو السياق الذي تشتغل عليه الدراسة الحالية</w:t>
      </w:r>
      <w:r w:rsidRPr="00BE3D42">
        <w:rPr>
          <w:rFonts w:ascii="Simplified Arabic" w:hAnsi="Simplified Arabic" w:cs="Simplified Arabic"/>
          <w:color w:val="000000" w:themeColor="text1"/>
          <w:sz w:val="28"/>
          <w:szCs w:val="28"/>
        </w:rPr>
        <w:t>.</w:t>
      </w:r>
    </w:p>
    <w:p w14:paraId="09C52C38" w14:textId="42891FF3"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39" w:name="_Toc233117055"/>
      <w:r w:rsidRPr="00BE3D42">
        <w:rPr>
          <w:rFonts w:ascii="Simplified Arabic" w:hAnsi="Simplified Arabic" w:cs="Simplified Arabic" w:hint="cs"/>
          <w:b/>
          <w:bCs/>
          <w:color w:val="000000" w:themeColor="text1"/>
          <w:sz w:val="32"/>
          <w:szCs w:val="32"/>
          <w:rtl/>
        </w:rPr>
        <w:t>3.1.2</w:t>
      </w:r>
      <w:r w:rsidR="002F3B1A" w:rsidRPr="00BE3D42">
        <w:rPr>
          <w:rFonts w:ascii="Simplified Arabic" w:hAnsi="Simplified Arabic" w:cs="Simplified Arabic"/>
          <w:b/>
          <w:bCs/>
          <w:color w:val="000000" w:themeColor="text1"/>
          <w:sz w:val="32"/>
          <w:szCs w:val="32"/>
          <w:rtl/>
        </w:rPr>
        <w:t xml:space="preserve"> أهمية ثقة العميل في موظف البنك</w:t>
      </w:r>
      <w:bookmarkEnd w:id="39"/>
    </w:p>
    <w:p w14:paraId="6C3E16D0"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تنبع أهمية ثقة العميل في موظف البنك من كونها متغيراً نوعياً يتجاوز في أثره الحدود الضيقة للتفاعل الفردي ليطال البنية العامة لأداء المؤسسة المصرفية ومكانتها في السوق. فالقطاع المصرفي يعمل في بيئة تتسم بعدم تماثل المعلومات وارتفاع المخاطر المُدركة، مما يجعل الثقة هي العملة الناعمة التي يجري عبرها تخفيض تكاليف المعاملة وتسهيل تدفّق القرارات المالية. ومن هذا المنطلق، تحوّلت الثقة في الموظف من كونها صفة سلوكية مرغوبة إلى كونها أصلاً استراتيجياً تتنافس البنوك على بنائه وصيانته</w:t>
      </w:r>
      <w:r w:rsidRPr="00BE3D42">
        <w:rPr>
          <w:rFonts w:ascii="Simplified Arabic" w:hAnsi="Simplified Arabic" w:cs="Simplified Arabic"/>
          <w:color w:val="000000" w:themeColor="text1"/>
          <w:sz w:val="28"/>
          <w:szCs w:val="28"/>
        </w:rPr>
        <w:t>.</w:t>
      </w:r>
    </w:p>
    <w:p w14:paraId="24FE2BCA" w14:textId="78CF1D3B"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ويُشير</w:t>
      </w:r>
      <w:r w:rsidRPr="00BE3D42">
        <w:rPr>
          <w:rFonts w:ascii="Simplified Arabic" w:hAnsi="Simplified Arabic" w:cs="Simplified Arabic"/>
          <w:color w:val="000000" w:themeColor="text1"/>
          <w:sz w:val="28"/>
          <w:szCs w:val="28"/>
        </w:rPr>
        <w:t xml:space="preserve"> Chowdhury</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 xml:space="preserve">إلى أن أهمية الثقة تتجلى في كونها: أولاً، تمثّل محوراً وسيطاً يربط بين جودة الخدمة المُقدّمة وولاء العميل، بحيث لا يمكن للجودة وحدها أن تُنتج ولاءً ما لم تمر عبر قناة الثقة. ثانياً، تُسهم الثقة في خفض التكاليف النفسية المرتبطة بالقرار المصرفي، إذ يستعيض العميل عن الفحص المعمّق لكل تفاصيل المنتج بالاعتماد على من يثق بكفاءته ونزاهته. ثالثاً، تُشكّل الثقة درعاً واقية ضد التحوّل التنافسي، حيث يصعب على البنوك المنافسة استمالة العميل الذي يرتبط بعلاقة </w:t>
      </w:r>
      <w:r w:rsidRPr="00BE3D42">
        <w:rPr>
          <w:rFonts w:ascii="Simplified Arabic" w:hAnsi="Simplified Arabic" w:cs="Simplified Arabic"/>
          <w:color w:val="000000" w:themeColor="text1"/>
          <w:sz w:val="28"/>
          <w:szCs w:val="28"/>
          <w:rtl/>
        </w:rPr>
        <w:lastRenderedPageBreak/>
        <w:t>ثقة راسخة مع موظفه. رابعاً، تُعزّز الثقة فاعلية التواصل التسويقي، لأن الرسائل الصادرة من موظف موثوق تكتسب وزناً إقناعياً أكبر من نظائرها الصادرة في غياب هذا الرصيد العلائقي</w:t>
      </w:r>
      <w:r w:rsidRPr="00BE3D42">
        <w:rPr>
          <w:rFonts w:ascii="Simplified Arabic" w:hAnsi="Simplified Arabic" w:cs="Simplified Arabic"/>
          <w:color w:val="000000" w:themeColor="text1"/>
          <w:sz w:val="28"/>
          <w:szCs w:val="28"/>
        </w:rPr>
        <w:t>.</w:t>
      </w:r>
    </w:p>
    <w:p w14:paraId="45E2B288" w14:textId="15FF5F39"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ويرى</w:t>
      </w:r>
      <w:r w:rsidRPr="00BE3D42">
        <w:rPr>
          <w:rFonts w:ascii="Simplified Arabic" w:hAnsi="Simplified Arabic" w:cs="Simplified Arabic"/>
          <w:color w:val="000000" w:themeColor="text1"/>
          <w:sz w:val="28"/>
          <w:szCs w:val="28"/>
        </w:rPr>
        <w:t xml:space="preserve"> Bada &amp;Karupiah (2021) </w:t>
      </w:r>
      <w:r w:rsidRPr="00BE3D42">
        <w:rPr>
          <w:rFonts w:ascii="Simplified Arabic" w:hAnsi="Simplified Arabic" w:cs="Simplified Arabic"/>
          <w:color w:val="000000" w:themeColor="text1"/>
          <w:sz w:val="28"/>
          <w:szCs w:val="28"/>
          <w:rtl/>
        </w:rPr>
        <w:t>أن أهمية الثقة تظهر بشكل خاص في سياق التفاعلات البين</w:t>
      </w:r>
      <w:r w:rsidRPr="00BE3D42">
        <w:rPr>
          <w:rFonts w:ascii="Simplified Arabic" w:hAnsi="Simplified Arabic" w:cs="Simplified Arabic"/>
          <w:color w:val="000000" w:themeColor="text1"/>
          <w:sz w:val="28"/>
          <w:szCs w:val="28"/>
          <w:rtl/>
        </w:rPr>
        <w:noBreakHyphen/>
        <w:t>شخصية المصرفية، حيث تعمل الثقة بوصفها رأس مال علائقي يُمكّن الموظف من التأثير في إدراك العميل لمستوى الخدمة، ويُحوّل العلاقة من علاقة معاملاتية عابرة إلى علاقة استمرارية ذات طابع تراكمي. وتُضيف هذه الرؤية أن الثقة تُسهم في تعزيز قدرة الموظف على إدارة لحظات الحقيقة، أي تلك اللحظات الحرجة التي يتشكّل فيها الانطباع العام للعميل عن المؤسسة، كما تُسهم في امتصاص الأخطاء الإجرائية العرضية دون أن تتحوّل إلى أزمات علائقية كبرى</w:t>
      </w:r>
      <w:r w:rsidRPr="00BE3D42">
        <w:rPr>
          <w:rFonts w:ascii="Simplified Arabic" w:hAnsi="Simplified Arabic" w:cs="Simplified Arabic"/>
          <w:color w:val="000000" w:themeColor="text1"/>
          <w:sz w:val="28"/>
          <w:szCs w:val="28"/>
        </w:rPr>
        <w:t>.</w:t>
      </w:r>
    </w:p>
    <w:p w14:paraId="24E7F68E" w14:textId="13D276B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ويُبرز</w:t>
      </w:r>
      <w:r w:rsidRPr="00BE3D42">
        <w:rPr>
          <w:rFonts w:ascii="Simplified Arabic" w:hAnsi="Simplified Arabic" w:cs="Simplified Arabic"/>
          <w:color w:val="000000" w:themeColor="text1"/>
          <w:sz w:val="28"/>
          <w:szCs w:val="28"/>
        </w:rPr>
        <w:t xml:space="preserve"> Hagendorff</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بُعداً اقتصادياً مكمّلاً لأهمية الثقة، إذ يرون أنها تُؤثّر في هيكل العقود الائتمانية ذاته، بحيث ينعكس مستوى الثقة على شروط الإقراض ومعدلات الفائدة والضمانات المطلوبة، مما يجعلها متغيراً ذا انعكاس مالي مباشر وليس مجرد متغير سلوكي معزول. وفي السياق المتصل، يُلفت</w:t>
      </w:r>
      <w:r w:rsidRPr="00BE3D42">
        <w:rPr>
          <w:rFonts w:ascii="Simplified Arabic" w:hAnsi="Simplified Arabic" w:cs="Simplified Arabic"/>
          <w:color w:val="000000" w:themeColor="text1"/>
          <w:sz w:val="28"/>
          <w:szCs w:val="28"/>
        </w:rPr>
        <w:t xml:space="preserve"> Chang et al.,(2025) </w:t>
      </w:r>
      <w:r w:rsidRPr="00BE3D42">
        <w:rPr>
          <w:rFonts w:ascii="Simplified Arabic" w:hAnsi="Simplified Arabic" w:cs="Simplified Arabic"/>
          <w:color w:val="000000" w:themeColor="text1"/>
          <w:sz w:val="28"/>
          <w:szCs w:val="28"/>
          <w:rtl/>
        </w:rPr>
        <w:t>إلى أن الثقة في الجهاز البشري للبنك تُؤثّر في سلوك المقترض من حيث الالتزام بالسداد ومستوى الإفصاح عن المعلومات المالية، وهو ما يمنح الثقة وزناً إضافياً بوصفها أداة لإدارة المخاطر الائتمانية</w:t>
      </w:r>
      <w:r w:rsidRPr="00BE3D42">
        <w:rPr>
          <w:rFonts w:ascii="Simplified Arabic" w:hAnsi="Simplified Arabic" w:cs="Simplified Arabic"/>
          <w:color w:val="000000" w:themeColor="text1"/>
          <w:sz w:val="28"/>
          <w:szCs w:val="28"/>
        </w:rPr>
        <w:t>.</w:t>
      </w:r>
    </w:p>
    <w:p w14:paraId="71EA75AE" w14:textId="0558E2FC"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ويرى</w:t>
      </w:r>
      <w:r w:rsidRPr="00BE3D42">
        <w:rPr>
          <w:rFonts w:ascii="Simplified Arabic" w:hAnsi="Simplified Arabic" w:cs="Simplified Arabic"/>
          <w:color w:val="000000" w:themeColor="text1"/>
          <w:sz w:val="28"/>
          <w:szCs w:val="28"/>
        </w:rPr>
        <w:t xml:space="preserve"> Karakasnaki</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أن أهمية الثقة تتمظهر كذلك في علاقتها بأداء موظفي الخط الأمامي، إذ تعمل بوصفها وسيطاً يُحوّل سمات الموظف الشخصية كالتعاطف والتوجّه نحو المستهلك إلى نتائج خدمية ملموسة. ومن منظور تنظيمي أوسع، يُشير</w:t>
      </w:r>
      <w:r w:rsidRPr="00BE3D42">
        <w:rPr>
          <w:rFonts w:ascii="Simplified Arabic" w:hAnsi="Simplified Arabic" w:cs="Simplified Arabic"/>
          <w:color w:val="000000" w:themeColor="text1"/>
          <w:sz w:val="28"/>
          <w:szCs w:val="28"/>
        </w:rPr>
        <w:t xml:space="preserve"> Eva </w:t>
      </w:r>
      <w:r w:rsidRPr="00BE3D42">
        <w:rPr>
          <w:rFonts w:ascii="Simplified Arabic" w:hAnsi="Simplified Arabic" w:cs="Simplified Arabic"/>
          <w:color w:val="000000" w:themeColor="text1"/>
          <w:sz w:val="28"/>
          <w:szCs w:val="28"/>
          <w:rtl/>
        </w:rPr>
        <w:t>وآخرون (2024) إلى أن الثقة تُعزّز فاعلية القيادة والتواصل والعمل الجماعي داخل المؤسسة، مما ينعكس بشكل غير مباشر على جودة التفاعل مع العميل، إذ إن الموظف الذي يعمل في بيئة ثقة داخلية يكون أكثر قدرة على إنتاج علاقة ثقة مع العميل الخارجي</w:t>
      </w:r>
      <w:r w:rsidRPr="00BE3D42">
        <w:rPr>
          <w:rFonts w:ascii="Simplified Arabic" w:hAnsi="Simplified Arabic" w:cs="Simplified Arabic"/>
          <w:color w:val="000000" w:themeColor="text1"/>
          <w:sz w:val="28"/>
          <w:szCs w:val="28"/>
        </w:rPr>
        <w:t>.</w:t>
      </w:r>
    </w:p>
    <w:p w14:paraId="4AB19B15"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وفي الأدبيات العربية، تنظر محمدي (2022) إلى أهمية الثقة بوصفها رافعةً لجودة العلاقة المصرفية، حيث تُسهم في تثبيت الزبون وتعميق ارتباطه بالبنك. ويضيف الفقهاء (2018) بُعداً مكمّلاً يتعلّق بالأهمية الوقائية للثقة، إذ تعمل بوصفها حاجزاً نفسياً يحول دون تشكّل نوايا ترك البنك، فحين تنخفض الثقة تتآكل قاعدة الاستبقاء وتزداد احتمالات التحوّل إلى المنافسين. ومن جانبها، تربط بن صالح </w:t>
      </w:r>
      <w:r w:rsidRPr="00BE3D42">
        <w:rPr>
          <w:rFonts w:ascii="Simplified Arabic" w:hAnsi="Simplified Arabic" w:cs="Simplified Arabic"/>
          <w:color w:val="000000" w:themeColor="text1"/>
          <w:sz w:val="28"/>
          <w:szCs w:val="28"/>
          <w:rtl/>
        </w:rPr>
        <w:lastRenderedPageBreak/>
        <w:t>(2023) أهمية الثقة بمستوى تبنّي العميل للخدمات المصرفية الإلكترونية، حيث تُمثّل الثقة شرطاً مسبقاً لقبول العميل للتحوّل الرقمي وتجاوز قلقه إزاء المخاطر التقنية والمالية المرتبطة به</w:t>
      </w:r>
      <w:r w:rsidRPr="00BE3D42">
        <w:rPr>
          <w:rFonts w:ascii="Simplified Arabic" w:hAnsi="Simplified Arabic" w:cs="Simplified Arabic"/>
          <w:color w:val="000000" w:themeColor="text1"/>
          <w:sz w:val="28"/>
          <w:szCs w:val="28"/>
        </w:rPr>
        <w:t>.</w:t>
      </w:r>
    </w:p>
    <w:p w14:paraId="1A974CAC"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وتتسع دائرة الأهمية لتشمل البُعد المؤسسي، إذ يرى الهرام وآخرون (2025) أن الثقة في الجهاز البشري للبنك تُعدّ مدخلاً جوهرياً لرضا العميل عن الخدمات الرقمية، لأن الموظف يظلّ المرجع البشري الذي يلجأ إليه العميل عند مواجهة العقبات التقنية أو الإجرائية. ومن منظور سلوك الإقراض، يُبرز الجمال (2021) أهمية الثقة في عملية منح الائتمان بوصفها أحد المعايير غير الرسمية التي يستند إليها الموظف في تقييم العميل، مما يجعل الثقة متغيراً يعمل في اتجاهين: من العميل نحو الموظف ومن الموظف نحو العميل. ويؤكد باب الله (2025) هذا التوجّه بإشارته إلى أن الجوانب العلائقية والإنسانية تتشابك مع الجوانب المالية في تشكيل قرار الائتمان المصرفي</w:t>
      </w:r>
      <w:r w:rsidRPr="00BE3D42">
        <w:rPr>
          <w:rFonts w:ascii="Simplified Arabic" w:hAnsi="Simplified Arabic" w:cs="Simplified Arabic"/>
          <w:color w:val="000000" w:themeColor="text1"/>
          <w:sz w:val="28"/>
          <w:szCs w:val="28"/>
        </w:rPr>
        <w:t>.</w:t>
      </w:r>
    </w:p>
    <w:p w14:paraId="3965265F" w14:textId="78637DDD"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0" w:name="_Toc233117056"/>
      <w:r w:rsidRPr="00BE3D42">
        <w:rPr>
          <w:rFonts w:ascii="Simplified Arabic" w:hAnsi="Simplified Arabic" w:cs="Simplified Arabic" w:hint="cs"/>
          <w:b/>
          <w:bCs/>
          <w:color w:val="000000" w:themeColor="text1"/>
          <w:sz w:val="32"/>
          <w:szCs w:val="32"/>
          <w:rtl/>
        </w:rPr>
        <w:t>4.1.2</w:t>
      </w:r>
      <w:r w:rsidR="002F3B1A" w:rsidRPr="00BE3D42">
        <w:rPr>
          <w:rFonts w:ascii="Simplified Arabic" w:hAnsi="Simplified Arabic" w:cs="Simplified Arabic"/>
          <w:b/>
          <w:bCs/>
          <w:color w:val="000000" w:themeColor="text1"/>
          <w:sz w:val="32"/>
          <w:szCs w:val="32"/>
          <w:rtl/>
        </w:rPr>
        <w:t xml:space="preserve"> أهداف بناء ثقة العميل في موظف البنك</w:t>
      </w:r>
      <w:bookmarkEnd w:id="40"/>
    </w:p>
    <w:p w14:paraId="787DD3B7"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تتعدّد الأهداف التي تسعى المؤسسات المصرفية إلى تحقيقها من خلال بناء ثقة العميل في موظفيها، وهي أهداف تتوزّع بين الاستراتيجي والتشغيلي، وبين العلائقي والمالي. وقد تناول الباحثون هذه الأهداف من زوايا متعددة يمكن استعراضها على النحو الآتي</w:t>
      </w:r>
      <w:r w:rsidRPr="00BE3D42">
        <w:rPr>
          <w:rFonts w:ascii="Simplified Arabic" w:hAnsi="Simplified Arabic" w:cs="Simplified Arabic"/>
          <w:color w:val="000000" w:themeColor="text1"/>
          <w:sz w:val="28"/>
          <w:szCs w:val="28"/>
        </w:rPr>
        <w:t>:</w:t>
      </w:r>
    </w:p>
    <w:p w14:paraId="0E2FFF15" w14:textId="0DB5C876"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يرى</w:t>
      </w:r>
      <w:r w:rsidRPr="00BE3D42">
        <w:rPr>
          <w:rFonts w:ascii="Simplified Arabic" w:hAnsi="Simplified Arabic" w:cs="Simplified Arabic"/>
          <w:color w:val="000000" w:themeColor="text1"/>
          <w:sz w:val="28"/>
          <w:szCs w:val="28"/>
        </w:rPr>
        <w:t xml:space="preserve"> Chowdhury</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أن أبرز أهداف بناء الثقة تتمثّل في: تعزيز ولاء العميل وتحويله من متعامل عابر إلى شريك علاقة طويلة الأجل، وترسيخ سلوك التوصية الإيجابية الذي يُمثّل قناة تسويقية منخفضة التكلفة وعالية المصداقية، وتقليل حساسية العميل للسعر بحيث لا تصبح الفروقات السعرية الطفيفة محرّكاً كافياً للتحوّل، وتعميق درجة الاندماج العلائقي مع البنك بشكل يتجاوز المنتج الواحد إلى سلة المنتجات</w:t>
      </w:r>
      <w:r w:rsidRPr="00BE3D42">
        <w:rPr>
          <w:rFonts w:ascii="Simplified Arabic" w:hAnsi="Simplified Arabic" w:cs="Simplified Arabic"/>
          <w:color w:val="000000" w:themeColor="text1"/>
          <w:sz w:val="28"/>
          <w:szCs w:val="28"/>
        </w:rPr>
        <w:t>.</w:t>
      </w:r>
    </w:p>
    <w:p w14:paraId="625975CF" w14:textId="267F35C0"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ويُحدّد</w:t>
      </w:r>
      <w:r w:rsidRPr="00BE3D42">
        <w:rPr>
          <w:rFonts w:ascii="Simplified Arabic" w:hAnsi="Simplified Arabic" w:cs="Simplified Arabic"/>
          <w:color w:val="000000" w:themeColor="text1"/>
          <w:sz w:val="28"/>
          <w:szCs w:val="28"/>
        </w:rPr>
        <w:t xml:space="preserve"> Bada &amp;Karupiah (2021) </w:t>
      </w:r>
      <w:r w:rsidRPr="00BE3D42">
        <w:rPr>
          <w:rFonts w:ascii="Simplified Arabic" w:hAnsi="Simplified Arabic" w:cs="Simplified Arabic"/>
          <w:color w:val="000000" w:themeColor="text1"/>
          <w:sz w:val="28"/>
          <w:szCs w:val="28"/>
          <w:rtl/>
        </w:rPr>
        <w:t>جملة من الأهداف ذات الطابع التفاعلي تتضمن: بناء جسر اتصالي مستقر بين العميل والموظف يُسهّل تبادل المعلومات الحساسة، ورفع كفاءة عملية تشخيص احتياجات العميل، وتمكين الموظف من ممارسة دوره الاستشاري بفاعلية، وامتصاص التوترات العرضية التي قد تنشأ عن أخطاء إجرائية أو تأخيرات تشغيلية</w:t>
      </w:r>
      <w:r w:rsidRPr="00BE3D42">
        <w:rPr>
          <w:rFonts w:ascii="Simplified Arabic" w:hAnsi="Simplified Arabic" w:cs="Simplified Arabic"/>
          <w:color w:val="000000" w:themeColor="text1"/>
          <w:sz w:val="28"/>
          <w:szCs w:val="28"/>
        </w:rPr>
        <w:t>.</w:t>
      </w:r>
    </w:p>
    <w:p w14:paraId="1D097459" w14:textId="22B27538"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lastRenderedPageBreak/>
        <w:t>ويُضيف</w:t>
      </w:r>
      <w:r w:rsidRPr="00BE3D42">
        <w:rPr>
          <w:rFonts w:ascii="Simplified Arabic" w:hAnsi="Simplified Arabic" w:cs="Simplified Arabic"/>
          <w:color w:val="000000" w:themeColor="text1"/>
          <w:sz w:val="28"/>
          <w:szCs w:val="28"/>
        </w:rPr>
        <w:t xml:space="preserve"> Karakasnaki</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أهدافاً مرتبطة بأداء الخط الأمامي تشمل: رفع مستوى الانخراط الوجداني للموظف في خدمة العميل، وتنمية التوجّه نحو المستهلك بوصفه ثقافة عمل وليس مجرد سلوك ظرفي، وتعزيز قدرة الموظف على التعامل مع التنوّع في توقّعات العملاء، وتحسين جودة لحظات التفاعل الحرجة</w:t>
      </w:r>
      <w:r w:rsidRPr="00BE3D42">
        <w:rPr>
          <w:rFonts w:ascii="Simplified Arabic" w:hAnsi="Simplified Arabic" w:cs="Simplified Arabic"/>
          <w:color w:val="000000" w:themeColor="text1"/>
          <w:sz w:val="28"/>
          <w:szCs w:val="28"/>
        </w:rPr>
        <w:t>.</w:t>
      </w:r>
    </w:p>
    <w:p w14:paraId="0EC12E43" w14:textId="51BA5042"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منظور اقتصادي، يُبرز</w:t>
      </w:r>
      <w:r w:rsidRPr="00BE3D42">
        <w:rPr>
          <w:rFonts w:ascii="Simplified Arabic" w:hAnsi="Simplified Arabic" w:cs="Simplified Arabic"/>
          <w:color w:val="000000" w:themeColor="text1"/>
          <w:sz w:val="28"/>
          <w:szCs w:val="28"/>
        </w:rPr>
        <w:t xml:space="preserve"> Hagendorff</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أهدافاً مالية تتمحور حول: ترشيد شروط الإقراض، وتخفيض تكاليف المراقبة بعد منح الائتمان، وتعزيز كفاءة العقود من خلال خفض الحاجة إلى الضمانات المُفرطة، وتحسين جودة محفظة القروض من خلال انتقاء العملاء الأكثر التزاماً علائقياً. ويتقاطع هذا مع ما يُشير إليه</w:t>
      </w:r>
      <w:r w:rsidRPr="00BE3D42">
        <w:rPr>
          <w:rFonts w:ascii="Simplified Arabic" w:hAnsi="Simplified Arabic" w:cs="Simplified Arabic"/>
          <w:color w:val="000000" w:themeColor="text1"/>
          <w:sz w:val="28"/>
          <w:szCs w:val="28"/>
        </w:rPr>
        <w:t xml:space="preserve"> Chang</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al.,(2025) </w:t>
      </w:r>
      <w:r w:rsidRPr="00BE3D42">
        <w:rPr>
          <w:rFonts w:ascii="Simplified Arabic" w:hAnsi="Simplified Arabic" w:cs="Simplified Arabic"/>
          <w:color w:val="000000" w:themeColor="text1"/>
          <w:sz w:val="28"/>
          <w:szCs w:val="28"/>
          <w:rtl/>
        </w:rPr>
        <w:t>من أن بناء الثقة يستهدف تحسين جودة المعلومات المتدفقة بين العميل والبنك، وتشجيع سلوك الإفصاح الطوعي، ودعم استقرار العلاقة الائتمانية في الأوقات التي تتعرّض فيها المؤسسة لضغوط رقابية</w:t>
      </w:r>
      <w:r w:rsidRPr="00BE3D42">
        <w:rPr>
          <w:rFonts w:ascii="Simplified Arabic" w:hAnsi="Simplified Arabic" w:cs="Simplified Arabic"/>
          <w:color w:val="000000" w:themeColor="text1"/>
          <w:sz w:val="28"/>
          <w:szCs w:val="28"/>
        </w:rPr>
        <w:t>.</w:t>
      </w:r>
    </w:p>
    <w:p w14:paraId="24186F19"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وفي السياق العربي، يُشير الجمال (2021) إلى أن أهداف بناء الثقة في علاقة العميل بالموظف تتضمن: تحسين قدرة البنك على اتخاذ قرارات ائتمانية أكثر دقة من خلال توافر بيانات نوعية عن العميل تتجاوز ما تقدّمه السجلات الرسمية، ورفع كفاءة تقييم المخاطر، وتعزيز قدرة البنك على التوسّع في منح الائتمان دون التضحية بمعايير السلامة. وتُضيف بن صالح (2023) أهدافاً مرتبطة بالتحوّل الرقمي تتمثّل في: تخفيف مقاومة العميل لتبنّي القنوات الإلكترونية، ودعم انتقاله السلس بين القنوات التقليدية والرقمية، وتعزيز إحساسه بالأمان إزاء العمليات الافتراضية</w:t>
      </w:r>
      <w:r w:rsidRPr="00BE3D42">
        <w:rPr>
          <w:rFonts w:ascii="Simplified Arabic" w:hAnsi="Simplified Arabic" w:cs="Simplified Arabic"/>
          <w:color w:val="000000" w:themeColor="text1"/>
          <w:sz w:val="28"/>
          <w:szCs w:val="28"/>
        </w:rPr>
        <w:t>.</w:t>
      </w:r>
    </w:p>
    <w:p w14:paraId="586AD2BE"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منظور الاستبقاء، يُحدّد الفقهاء (2018) أهدافاً تتعلّق بـ: تقليص نوايا الترك، وتعزيز رضا العميل بوصفه متغيراً وسيطاً، وبناء حاجز نفسي ضد إغراءات المنافسين، وترسيخ الانتماء العلائقي للبنك. وفي الإطار نفسه، يرى علي وآخرون (2024) أن أهداف الثقة تتضمن دعم استمرارية العميل في التعامل مع البنك حتى في ظل التحوّلات التقنية المتسارعة، وضمان انتقال الولاء من القناة البشرية إلى القناة الرقمية دون انكسار</w:t>
      </w:r>
      <w:r w:rsidRPr="00BE3D42">
        <w:rPr>
          <w:rFonts w:ascii="Simplified Arabic" w:hAnsi="Simplified Arabic" w:cs="Simplified Arabic"/>
          <w:color w:val="000000" w:themeColor="text1"/>
          <w:sz w:val="28"/>
          <w:szCs w:val="28"/>
        </w:rPr>
        <w:t>.</w:t>
      </w:r>
    </w:p>
    <w:p w14:paraId="1523B9DD" w14:textId="1BCA7FEB"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ويُبرز نجيمي وبوطالب (2023) من زاوية تنظيمية أن أهداف الثقة تشمل تعزيز الاستقرار في العلاقة، وتقليل السلوكيات الانسحابية، ورفع مستوى التعاون الطوعي، وهي أهداف يمكن نقلها بصورة قياسية إلى العلاقة الخارجية مع العميل. ويُضيف</w:t>
      </w:r>
      <w:r w:rsidRPr="00BE3D42">
        <w:rPr>
          <w:rFonts w:ascii="Simplified Arabic" w:hAnsi="Simplified Arabic" w:cs="Simplified Arabic"/>
          <w:color w:val="000000" w:themeColor="text1"/>
          <w:sz w:val="28"/>
          <w:szCs w:val="28"/>
        </w:rPr>
        <w:t xml:space="preserve"> Men</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al.,(2022) </w:t>
      </w:r>
      <w:r w:rsidRPr="00BE3D42">
        <w:rPr>
          <w:rFonts w:ascii="Simplified Arabic" w:hAnsi="Simplified Arabic" w:cs="Simplified Arabic"/>
          <w:color w:val="000000" w:themeColor="text1"/>
          <w:sz w:val="28"/>
          <w:szCs w:val="28"/>
          <w:rtl/>
        </w:rPr>
        <w:t xml:space="preserve">هدفاً مكمّلاً يتعلّق بأن الثقة </w:t>
      </w:r>
      <w:r w:rsidRPr="00BE3D42">
        <w:rPr>
          <w:rFonts w:ascii="Simplified Arabic" w:hAnsi="Simplified Arabic" w:cs="Simplified Arabic"/>
          <w:color w:val="000000" w:themeColor="text1"/>
          <w:sz w:val="28"/>
          <w:szCs w:val="28"/>
          <w:rtl/>
        </w:rPr>
        <w:lastRenderedPageBreak/>
        <w:t>المبنية على التواصل الفعّال تُسهم في تجاوز فترات عدم اليقين والأزمات، وهو ما يُمكن إسقاطه على المراحل الحرجة في علاقة العميل بالبنك كمراحل التفاوض على شروط القرض أو إعادة الجدولة</w:t>
      </w:r>
      <w:r w:rsidRPr="00BE3D42">
        <w:rPr>
          <w:rFonts w:ascii="Simplified Arabic" w:hAnsi="Simplified Arabic" w:cs="Simplified Arabic"/>
          <w:color w:val="000000" w:themeColor="text1"/>
          <w:sz w:val="28"/>
          <w:szCs w:val="28"/>
        </w:rPr>
        <w:t>.</w:t>
      </w:r>
    </w:p>
    <w:p w14:paraId="169E09E9" w14:textId="785511CF"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1" w:name="_Toc233117057"/>
      <w:r w:rsidRPr="00BE3D42">
        <w:rPr>
          <w:rFonts w:ascii="Simplified Arabic" w:hAnsi="Simplified Arabic" w:cs="Simplified Arabic" w:hint="cs"/>
          <w:b/>
          <w:bCs/>
          <w:color w:val="000000" w:themeColor="text1"/>
          <w:sz w:val="32"/>
          <w:szCs w:val="32"/>
          <w:rtl/>
        </w:rPr>
        <w:t>5.1.2</w:t>
      </w:r>
      <w:r w:rsidR="002F3B1A" w:rsidRPr="00BE3D42">
        <w:rPr>
          <w:rFonts w:ascii="Simplified Arabic" w:hAnsi="Simplified Arabic" w:cs="Simplified Arabic"/>
          <w:b/>
          <w:bCs/>
          <w:color w:val="000000" w:themeColor="text1"/>
          <w:sz w:val="32"/>
          <w:szCs w:val="32"/>
          <w:rtl/>
        </w:rPr>
        <w:t xml:space="preserve"> أبعاد ثقة العميل في موظف البنك</w:t>
      </w:r>
      <w:bookmarkEnd w:id="41"/>
    </w:p>
    <w:p w14:paraId="47EEF314" w14:textId="4FCE5589"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تم تحديد أبعاد المتغير المستقل في هذه الدراسة بناءً على ما قدّمه</w:t>
      </w:r>
      <w:r w:rsidRPr="00BE3D42">
        <w:rPr>
          <w:rFonts w:ascii="Simplified Arabic" w:hAnsi="Simplified Arabic" w:cs="Simplified Arabic"/>
          <w:color w:val="000000" w:themeColor="text1"/>
          <w:sz w:val="28"/>
          <w:szCs w:val="28"/>
        </w:rPr>
        <w:t xml:space="preserve"> Chowdhury</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من تأصيل لمحاور الثقة بوصفها متغيراً وسيطياً متعدد الأبعاد في العلاقة المصرفية، وما طرحه</w:t>
      </w:r>
      <w:r w:rsidRPr="00BE3D42">
        <w:rPr>
          <w:rFonts w:ascii="Simplified Arabic" w:hAnsi="Simplified Arabic" w:cs="Simplified Arabic"/>
          <w:color w:val="000000" w:themeColor="text1"/>
          <w:sz w:val="28"/>
          <w:szCs w:val="28"/>
        </w:rPr>
        <w:t xml:space="preserve"> Bada &amp; Karupiah (2021) </w:t>
      </w:r>
      <w:r w:rsidRPr="00BE3D42">
        <w:rPr>
          <w:rFonts w:ascii="Simplified Arabic" w:hAnsi="Simplified Arabic" w:cs="Simplified Arabic"/>
          <w:color w:val="000000" w:themeColor="text1"/>
          <w:sz w:val="28"/>
          <w:szCs w:val="28"/>
          <w:rtl/>
        </w:rPr>
        <w:t>من قراءة بين</w:t>
      </w:r>
      <w:r w:rsidRPr="00BE3D42">
        <w:rPr>
          <w:rFonts w:ascii="Simplified Arabic" w:hAnsi="Simplified Arabic" w:cs="Simplified Arabic"/>
          <w:color w:val="000000" w:themeColor="text1"/>
          <w:sz w:val="28"/>
          <w:szCs w:val="28"/>
          <w:rtl/>
        </w:rPr>
        <w:noBreakHyphen/>
        <w:t>شخصية لمكوّنات الثقة، وما توصّل إليه</w:t>
      </w:r>
      <w:r w:rsidRPr="00BE3D42">
        <w:rPr>
          <w:rFonts w:ascii="Simplified Arabic" w:hAnsi="Simplified Arabic" w:cs="Simplified Arabic"/>
          <w:color w:val="000000" w:themeColor="text1"/>
          <w:sz w:val="28"/>
          <w:szCs w:val="28"/>
        </w:rPr>
        <w:t xml:space="preserve"> Karakasnaki</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 xml:space="preserve"> في معالجتهم لأداء الخط الأمامي من خلال محاور الثقة والتعاطف والتوجّه نحو المستهلك. وقد استقرّ الاختيار على أربعة أبعاد متكاملة هي: الكفاءة المهنية، والنزاهة، والتعاطف، والتواصل الفعّال، وفيما يلي بيان مفصّل لكل بُعد</w:t>
      </w:r>
      <w:r w:rsidRPr="00BE3D42">
        <w:rPr>
          <w:rFonts w:ascii="Simplified Arabic" w:hAnsi="Simplified Arabic" w:cs="Simplified Arabic"/>
          <w:color w:val="000000" w:themeColor="text1"/>
          <w:sz w:val="28"/>
          <w:szCs w:val="28"/>
        </w:rPr>
        <w:t>.</w:t>
      </w:r>
    </w:p>
    <w:p w14:paraId="34F03263" w14:textId="77777777" w:rsidR="002F3B1A" w:rsidRPr="00BE3D42" w:rsidRDefault="002F3B1A" w:rsidP="00D7372F">
      <w:pPr>
        <w:pStyle w:val="NormalWeb"/>
        <w:bidi/>
        <w:spacing w:line="276" w:lineRule="auto"/>
        <w:jc w:val="both"/>
        <w:rPr>
          <w:rFonts w:ascii="Simplified Arabic" w:hAnsi="Simplified Arabic" w:cs="Simplified Arabic"/>
          <w:b/>
          <w:bCs/>
          <w:color w:val="000000" w:themeColor="text1"/>
          <w:sz w:val="28"/>
          <w:szCs w:val="28"/>
        </w:rPr>
      </w:pPr>
      <w:r w:rsidRPr="00BE3D42">
        <w:rPr>
          <w:rFonts w:ascii="Simplified Arabic" w:hAnsi="Simplified Arabic" w:cs="Simplified Arabic"/>
          <w:b/>
          <w:bCs/>
          <w:color w:val="000000" w:themeColor="text1"/>
          <w:sz w:val="28"/>
          <w:szCs w:val="28"/>
          <w:rtl/>
        </w:rPr>
        <w:t>البُعد الأول: الكفاءة المهنية</w:t>
      </w:r>
    </w:p>
    <w:p w14:paraId="7DC9DDEC" w14:textId="6270DAEC"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تُمثّل الكفاءة المهنية الركيزة الإدراكية</w:t>
      </w:r>
      <w:r w:rsidRPr="00BE3D42">
        <w:rPr>
          <w:rFonts w:ascii="Simplified Arabic" w:hAnsi="Simplified Arabic" w:cs="Simplified Arabic"/>
          <w:color w:val="000000" w:themeColor="text1"/>
          <w:sz w:val="28"/>
          <w:szCs w:val="28"/>
          <w:rtl/>
        </w:rPr>
        <w:noBreakHyphen/>
        <w:t>العقلانية في بناء ثقة العميل، إذ تنصرف إلى مدى امتلاك موظف البنك للمعارف الفنية والمهارات التطبيقية والخبرة العملية التي تُمكّنه من أداء مهامه بدقة واقتدار. ويتشكّل إدراك العميل لكفاءة الموظف من خلال جملة من المؤشرات تتضمن: القدرة على تقديم إجابات وافية ودقيقة عن المنتجات المصرفية، والإلمام بالشروط والإجراءات المتعلّقة بالقروض الشخصية، والمعرفة بالأنظمة واللوائح المنظِّمة للعمل المصرفي، والقدرة على معالجة الحالات غير النمطية التي تخرج عن السيناريوهات الاعتيادية. ويرى</w:t>
      </w:r>
      <w:r w:rsidRPr="00BE3D42">
        <w:rPr>
          <w:rFonts w:ascii="Simplified Arabic" w:hAnsi="Simplified Arabic" w:cs="Simplified Arabic"/>
          <w:color w:val="000000" w:themeColor="text1"/>
          <w:sz w:val="28"/>
          <w:szCs w:val="28"/>
        </w:rPr>
        <w:t xml:space="preserve"> Karakasnaki</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أن الكفاءة المهنية تتحوّل في سياق الخدمات المالية إلى عملة إقناعية، إذ يستدلّ العميل من خلالها على جدارة المؤسسة ككل، نظراً لكون الموظف ممثلاً واجهياً لها. كما تُسهم الكفاءة في خفض القلق الإدراكي لدى العميل، لأن إحساسه بأنه أمام موظف عالم بتفاصيل عمله يُعفيه من عبء التحقق المستقل من كل معلومة. وتمتدّ الكفاءة لتشمل البُعد الاستشاري، إذ لا يكتفي العميل بأن يتلقى الإجراء بل يتطلّع إلى أن يحصل على توجيه يُساعده في المفاضلة بين البدائل التمويلية المتاحة بما يتسق مع وضعه المالي. وفي هذا الإطار، يُبرز</w:t>
      </w:r>
      <w:r w:rsidRPr="00BE3D42">
        <w:rPr>
          <w:rFonts w:ascii="Simplified Arabic" w:hAnsi="Simplified Arabic" w:cs="Simplified Arabic"/>
          <w:color w:val="000000" w:themeColor="text1"/>
          <w:sz w:val="28"/>
          <w:szCs w:val="28"/>
        </w:rPr>
        <w:t xml:space="preserve"> Hagendorff</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أن الكفاءة المهنية للموظف تُعدّ من العوامل التي تنعكس على جودة العقود الائتمانية ذاتها، حيث تُحسّن من قدرة المؤسسة على تشخيص العميل وتقديم منتج ملائم</w:t>
      </w:r>
      <w:r w:rsidRPr="00BE3D42">
        <w:rPr>
          <w:rFonts w:ascii="Simplified Arabic" w:hAnsi="Simplified Arabic" w:cs="Simplified Arabic"/>
          <w:color w:val="000000" w:themeColor="text1"/>
          <w:sz w:val="28"/>
          <w:szCs w:val="28"/>
        </w:rPr>
        <w:t>.</w:t>
      </w:r>
    </w:p>
    <w:p w14:paraId="44539E65" w14:textId="77777777" w:rsidR="002F3B1A" w:rsidRPr="00BE3D42" w:rsidRDefault="002F3B1A" w:rsidP="00D7372F">
      <w:pPr>
        <w:pStyle w:val="NormalWeb"/>
        <w:bidi/>
        <w:spacing w:line="276" w:lineRule="auto"/>
        <w:jc w:val="both"/>
        <w:rPr>
          <w:rFonts w:ascii="Simplified Arabic" w:hAnsi="Simplified Arabic" w:cs="Simplified Arabic"/>
          <w:b/>
          <w:bCs/>
          <w:color w:val="000000" w:themeColor="text1"/>
          <w:sz w:val="28"/>
          <w:szCs w:val="28"/>
        </w:rPr>
      </w:pPr>
      <w:r w:rsidRPr="00BE3D42">
        <w:rPr>
          <w:rFonts w:ascii="Simplified Arabic" w:hAnsi="Simplified Arabic" w:cs="Simplified Arabic"/>
          <w:b/>
          <w:bCs/>
          <w:color w:val="000000" w:themeColor="text1"/>
          <w:sz w:val="28"/>
          <w:szCs w:val="28"/>
          <w:rtl/>
        </w:rPr>
        <w:t>البُعد الثاني: النزاهة</w:t>
      </w:r>
    </w:p>
    <w:p w14:paraId="56F065AD" w14:textId="5AFF84CC"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lastRenderedPageBreak/>
        <w:t>تنصرف النزاهة إلى البُعد الأخلاقي في شخصية موظف البنك، وهي تتمظهر في التزامه بمجموعة من المبادئ المهنية التي تضمن للعميل أن يكون التعامل قائماً على الصدق والشفافية وعدم الاستغلال. وتتضمن مظاهر النزاهة: الإفصاح الكامل عن شروط القرض دون إخفاء بنود ذات أثر مالي على العميل، والامتناع عن الترويج لمنتجات لا تناسب وضع العميل لمجرّد تحقيق أهداف بيعية، وعدم التمييز بين العملاء على أسس غير موضوعية، والوفاء بالوعود المُقدّمة في مراحل التفاوض. ويرى</w:t>
      </w:r>
      <w:r w:rsidRPr="00BE3D42">
        <w:rPr>
          <w:rFonts w:ascii="Simplified Arabic" w:hAnsi="Simplified Arabic" w:cs="Simplified Arabic"/>
          <w:color w:val="000000" w:themeColor="text1"/>
          <w:sz w:val="28"/>
          <w:szCs w:val="28"/>
        </w:rPr>
        <w:t xml:space="preserve"> Hagendorff</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أن النزاهة تُمثّل المتغير الذي يُحوّل العلاقة الائتمانية من علاقة محكومة بشكوك متبادلة إلى علاقة قابلة للاستثمار طويل الأجل، فحين يدرك العميل أن الموظف يتعامل معه بنزاهة فإنه يستجيب بتوفير معلومات أدق وبسلوك سدادي أكثر التزاماً، كما يُشير في الاتجاه نفسه</w:t>
      </w:r>
      <w:r w:rsidRPr="00BE3D42">
        <w:rPr>
          <w:rFonts w:ascii="Simplified Arabic" w:hAnsi="Simplified Arabic" w:cs="Simplified Arabic"/>
          <w:color w:val="000000" w:themeColor="text1"/>
          <w:sz w:val="28"/>
          <w:szCs w:val="28"/>
        </w:rPr>
        <w:t xml:space="preserve"> Chang </w:t>
      </w:r>
      <w:r w:rsidRPr="00BE3D42">
        <w:rPr>
          <w:rFonts w:ascii="Simplified Arabic" w:hAnsi="Simplified Arabic" w:cs="Simplified Arabic"/>
          <w:color w:val="000000" w:themeColor="text1"/>
          <w:sz w:val="28"/>
          <w:szCs w:val="28"/>
          <w:rtl/>
        </w:rPr>
        <w:t>وآخرون (2025). وتمتدّ النزاهة لتشمل البُعد المؤسسي، إذ يُسقط العميل تقييمه لنزاهة الموظف على البنك ككل، فيصبح الموظف الواحد قادراً على تعزيز أو إضعاف السمعة الأخلاقية للمؤسسة. وفي السياق العربي، يُربط الجمال (2021) بين النزاهة في التعامل والقدرة على بناء قرارات ائتمانية سليمة، إذ إن غياب النزاهة يُضخّم مخاطر الاختيار العكسي ويُربك آليات التقييم. وتُضيف بن صالح (2023) أن النزاهة تُمثّل شرطاً لاستمرارية ثقة العميل في القنوات المصرفية المختلفة، إذ تنتقل الثقة الأخلاقية من السياق التقليدي إلى السياق الرقمي بوصفها رصيداً مُؤسسياً مُتراكماً</w:t>
      </w:r>
      <w:r w:rsidRPr="00BE3D42">
        <w:rPr>
          <w:rFonts w:ascii="Simplified Arabic" w:hAnsi="Simplified Arabic" w:cs="Simplified Arabic"/>
          <w:color w:val="000000" w:themeColor="text1"/>
          <w:sz w:val="28"/>
          <w:szCs w:val="28"/>
        </w:rPr>
        <w:t>.</w:t>
      </w:r>
    </w:p>
    <w:p w14:paraId="5F7987A5" w14:textId="77777777" w:rsidR="002F3B1A" w:rsidRPr="00BE3D42" w:rsidRDefault="002F3B1A" w:rsidP="00D7372F">
      <w:pPr>
        <w:pStyle w:val="NormalWeb"/>
        <w:bidi/>
        <w:spacing w:line="276" w:lineRule="auto"/>
        <w:jc w:val="both"/>
        <w:rPr>
          <w:rFonts w:ascii="Simplified Arabic" w:hAnsi="Simplified Arabic" w:cs="Simplified Arabic"/>
          <w:b/>
          <w:bCs/>
          <w:color w:val="000000" w:themeColor="text1"/>
          <w:sz w:val="28"/>
          <w:szCs w:val="28"/>
        </w:rPr>
      </w:pPr>
      <w:r w:rsidRPr="00BE3D42">
        <w:rPr>
          <w:rFonts w:ascii="Simplified Arabic" w:hAnsi="Simplified Arabic" w:cs="Simplified Arabic"/>
          <w:b/>
          <w:bCs/>
          <w:color w:val="000000" w:themeColor="text1"/>
          <w:sz w:val="28"/>
          <w:szCs w:val="28"/>
          <w:rtl/>
        </w:rPr>
        <w:t>البُعد الثالث: التعاطف</w:t>
      </w:r>
    </w:p>
    <w:p w14:paraId="5455B110" w14:textId="1567C4CD"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يُمثّل التعاطف البُعد الوجداني في الثقة، وينصرف إلى قدرة موظف البنك على وضع نفسه مكان العميل وفهم احتياجاته ومخاوفه من منظوره الخاص، ثم الاستجابة لها بأسلوب يُشعره بأنه مرئي ومسموع وليس مجرد رقم في طابور المعاملات. ويتجلّى التعاطف في: الإصغاء الفعّال لانشغالات العميل، ومراعاة ظروفه الشخصية والمالية عند تقديم البدائل، والصبر في شرح التفاصيل التي قد يجدها العميل معقّدة، وإبداء الاهتمام الصادق بمآلات قراره المالي. ويُؤكّد</w:t>
      </w:r>
      <w:r w:rsidRPr="00BE3D42">
        <w:rPr>
          <w:rFonts w:ascii="Simplified Arabic" w:hAnsi="Simplified Arabic" w:cs="Simplified Arabic"/>
          <w:color w:val="000000" w:themeColor="text1"/>
          <w:sz w:val="28"/>
          <w:szCs w:val="28"/>
        </w:rPr>
        <w:t xml:space="preserve"> Karakasnaki</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أن التعاطف يُمثّل أحد أبرز محدّدات أداء موظفي الخط الأمامي في الصناعة المالية، إذ يعمل بوصفه قناة لتحويل الكفاءة المهنية إلى تجربة عميل إيجابية، فبدون تعاطف تتحوّل الكفاءة إلى أداء بارد لا يُنتج ولاءً. وفي السياق المصرفي تحديداً، يكتسب التعاطف أهمية مضاعفة عند التعامل مع قرارات حساسة كقرار الاقتراض الشخصي، حيث يُعاني العميل من توتر مرتبط بالالتزام المالي المستقبلي، فيكون التعاطف هو ما يُحوّل اللقاء من تجربة ضاغطة إلى تجربة طمأنينة. ويُبرز</w:t>
      </w:r>
      <w:r w:rsidRPr="00BE3D42">
        <w:rPr>
          <w:rFonts w:ascii="Simplified Arabic" w:hAnsi="Simplified Arabic" w:cs="Simplified Arabic"/>
          <w:color w:val="000000" w:themeColor="text1"/>
          <w:sz w:val="28"/>
          <w:szCs w:val="28"/>
        </w:rPr>
        <w:t xml:space="preserve"> Bada &amp;Karupiah </w:t>
      </w:r>
      <w:r w:rsidRPr="00BE3D42">
        <w:rPr>
          <w:rFonts w:ascii="Simplified Arabic" w:hAnsi="Simplified Arabic" w:cs="Simplified Arabic"/>
          <w:color w:val="000000" w:themeColor="text1"/>
          <w:sz w:val="28"/>
          <w:szCs w:val="28"/>
        </w:rPr>
        <w:lastRenderedPageBreak/>
        <w:t xml:space="preserve">(2021) </w:t>
      </w:r>
      <w:r w:rsidRPr="00BE3D42">
        <w:rPr>
          <w:rFonts w:ascii="Simplified Arabic" w:hAnsi="Simplified Arabic" w:cs="Simplified Arabic"/>
          <w:color w:val="000000" w:themeColor="text1"/>
          <w:sz w:val="28"/>
          <w:szCs w:val="28"/>
          <w:rtl/>
        </w:rPr>
        <w:t>أن التعاطف يُؤسّس لرأس مال علائقي تراكمي، إذ يتذكّر العميل المعاملة الإنسانية أطول مما يتذكّر تفاصيل الإجراء. ويربط</w:t>
      </w:r>
      <w:r w:rsidRPr="00BE3D42">
        <w:rPr>
          <w:rFonts w:ascii="Simplified Arabic" w:hAnsi="Simplified Arabic" w:cs="Simplified Arabic"/>
          <w:color w:val="000000" w:themeColor="text1"/>
          <w:sz w:val="28"/>
          <w:szCs w:val="28"/>
        </w:rPr>
        <w:t xml:space="preserve"> Chowdhury</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بين التعاطف وبناء الولاء، باعتباره قناة وجدانية تجعل العميل أكثر مقاومة لإغراءات التحوّل</w:t>
      </w:r>
      <w:r w:rsidRPr="00BE3D42">
        <w:rPr>
          <w:rFonts w:ascii="Simplified Arabic" w:hAnsi="Simplified Arabic" w:cs="Simplified Arabic"/>
          <w:color w:val="000000" w:themeColor="text1"/>
          <w:sz w:val="28"/>
          <w:szCs w:val="28"/>
        </w:rPr>
        <w:t>.</w:t>
      </w:r>
    </w:p>
    <w:p w14:paraId="767690C5" w14:textId="77777777" w:rsidR="002F3B1A" w:rsidRPr="00BE3D42" w:rsidRDefault="002F3B1A" w:rsidP="00D7372F">
      <w:pPr>
        <w:pStyle w:val="NormalWeb"/>
        <w:bidi/>
        <w:spacing w:line="276" w:lineRule="auto"/>
        <w:jc w:val="both"/>
        <w:rPr>
          <w:rFonts w:ascii="Simplified Arabic" w:hAnsi="Simplified Arabic" w:cs="Simplified Arabic"/>
          <w:b/>
          <w:bCs/>
          <w:color w:val="000000" w:themeColor="text1"/>
          <w:sz w:val="28"/>
          <w:szCs w:val="28"/>
        </w:rPr>
      </w:pPr>
      <w:r w:rsidRPr="00BE3D42">
        <w:rPr>
          <w:rFonts w:ascii="Simplified Arabic" w:hAnsi="Simplified Arabic" w:cs="Simplified Arabic"/>
          <w:b/>
          <w:bCs/>
          <w:color w:val="000000" w:themeColor="text1"/>
          <w:sz w:val="28"/>
          <w:szCs w:val="28"/>
          <w:rtl/>
        </w:rPr>
        <w:t>البُعد الرابع: التواصل الفعّال</w:t>
      </w:r>
    </w:p>
    <w:p w14:paraId="3D9CCD3A" w14:textId="208AC30C"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يُمثّل التواصل الفعّال البُعد التفاعلي الذي تتجسّد عبره الأبعاد الثلاثة السابقة، إذ لا تكفي الكفاءة والنزاهة والتعاطف ما لم تُترجَم إلى تفاعل اتصالي واضح ومنظَّم. ويتضمن التواصل الفعّال: وضوح اللغة المستخدمة وتجنّب المصطلحات التقنية غير المفهومة، وتنظيم تسلسل المعلومات المُقدَّمة بما يُيسّر استيعابها، والإصغاء الجيد الذي يضمن التقاط رسائل العميل الصريحة والضمنية، وتوظيف لغة الجسد بما يتسق مع المضمون اللفظي، والاستجابة في توقيت مناسب لاستفسارات العميل ومتطلباته. ويُؤكّد</w:t>
      </w:r>
      <w:r w:rsidRPr="00BE3D42">
        <w:rPr>
          <w:rFonts w:ascii="Simplified Arabic" w:hAnsi="Simplified Arabic" w:cs="Simplified Arabic"/>
          <w:color w:val="000000" w:themeColor="text1"/>
          <w:sz w:val="28"/>
          <w:szCs w:val="28"/>
        </w:rPr>
        <w:t xml:space="preserve"> Men</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al.,(2022) </w:t>
      </w:r>
      <w:r w:rsidRPr="00BE3D42">
        <w:rPr>
          <w:rFonts w:ascii="Simplified Arabic" w:hAnsi="Simplified Arabic" w:cs="Simplified Arabic"/>
          <w:color w:val="000000" w:themeColor="text1"/>
          <w:sz w:val="28"/>
          <w:szCs w:val="28"/>
          <w:rtl/>
        </w:rPr>
        <w:t xml:space="preserve"> أن التواصل الفعّال يكتسب أهمية مضاعفة في فترات عدم اليقين، حيث تتوسّع الفجوة بين الجهتين ويُصبح التواصل الواضح هو الجسر الذي يُغلق هذه الفجوة، وهو ما ينطبق على لحظات التفاوض الائتماني التي يكتنفها قدر من الغموض بالنسبة للعميل. ويُبرز</w:t>
      </w:r>
      <w:r w:rsidRPr="00BE3D42">
        <w:rPr>
          <w:rFonts w:ascii="Simplified Arabic" w:hAnsi="Simplified Arabic" w:cs="Simplified Arabic"/>
          <w:color w:val="000000" w:themeColor="text1"/>
          <w:sz w:val="28"/>
          <w:szCs w:val="28"/>
        </w:rPr>
        <w:t xml:space="preserve"> Eva</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أن التواصل يعمل بالتلازم مع القيادة والعمل الجماعي لتشكيل بيئة ثقة، وهو ما يُمكن إسقاطه على العلاقة الخارجية بحيث يصبح التواصل أداة لبناء ثقة العميل عبر إشعاره بأنه طرف فاعل في الحوار وليس مجرد متلقٍّ للقرار. وفي الإطار العربي، تُشير محمدي (2022) إلى أن التواصل الفعّال يُمثّل أحد الأركان الإجرائية لجودة الخدمة المصرفية، إذ تتشكّل من خلاله تجربة العميل المباشرة وتُترجم عبره وعود البنك إلى إدراكات ملموسة</w:t>
      </w:r>
      <w:r w:rsidRPr="00BE3D42">
        <w:rPr>
          <w:rFonts w:ascii="Simplified Arabic" w:hAnsi="Simplified Arabic" w:cs="Simplified Arabic"/>
          <w:color w:val="000000" w:themeColor="text1"/>
          <w:sz w:val="28"/>
          <w:szCs w:val="28"/>
        </w:rPr>
        <w:t>.</w:t>
      </w:r>
    </w:p>
    <w:p w14:paraId="437A070E"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ويُضاف إلى الأبعاد الأربعة السابقة أن ثمة عناصر مكمّلة تُغني فهم بناء الثقة، منها: الاتساق السلوكي عبر الوقت، إذ لا تتشكّل الثقة من تفاعل عابر بل من نمط متّسق من السلوكيات تُؤكّد على دلالة الأبعاد الأربعة. ومنها كذلك القدرة على الاحتواء عند الأزمات، حيث تُختبَر الثقة في اللحظات الصعبة أكثر من اللحظات الاعتيادية. ومنها أيضاً المساءلة الذاتية، أي قدرة الموظف على الاعتراف بالخطأ ومعالجته دون تهرّب، وهو ما يُعزّز إدراك العميل لنزاهته وتواصله الفعّال في آن واحد</w:t>
      </w:r>
      <w:r w:rsidRPr="00BE3D42">
        <w:rPr>
          <w:rFonts w:ascii="Simplified Arabic" w:hAnsi="Simplified Arabic" w:cs="Simplified Arabic"/>
          <w:color w:val="000000" w:themeColor="text1"/>
          <w:sz w:val="28"/>
          <w:szCs w:val="28"/>
        </w:rPr>
        <w:t>.</w:t>
      </w:r>
    </w:p>
    <w:p w14:paraId="3B6D8DE3" w14:textId="5DB80524"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2" w:name="_Toc233117058"/>
      <w:r w:rsidRPr="00BE3D42">
        <w:rPr>
          <w:rFonts w:ascii="Simplified Arabic" w:hAnsi="Simplified Arabic" w:cs="Simplified Arabic" w:hint="cs"/>
          <w:b/>
          <w:bCs/>
          <w:color w:val="000000" w:themeColor="text1"/>
          <w:sz w:val="32"/>
          <w:szCs w:val="32"/>
          <w:rtl/>
        </w:rPr>
        <w:t>6.1.2</w:t>
      </w:r>
      <w:r w:rsidR="002F3B1A" w:rsidRPr="00BE3D42">
        <w:rPr>
          <w:rFonts w:ascii="Simplified Arabic" w:hAnsi="Simplified Arabic" w:cs="Simplified Arabic"/>
          <w:b/>
          <w:bCs/>
          <w:color w:val="000000" w:themeColor="text1"/>
          <w:sz w:val="32"/>
          <w:szCs w:val="32"/>
          <w:rtl/>
        </w:rPr>
        <w:t xml:space="preserve"> استراتيجيات بناء ثقة العميل في موظف البنك</w:t>
      </w:r>
      <w:bookmarkEnd w:id="42"/>
    </w:p>
    <w:p w14:paraId="74E90338"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lastRenderedPageBreak/>
        <w:t>يستلزم بناء ثقة العميل في موظف البنك جملة من الاستراتيجيات المتكاملة التي تعمل على المستويين الفردي والمؤسسي. وعلى المستوى الأول، تأتي استراتيجية تنمية الكفاءة المهنية من خلال برامج تدريبية مستمرة تستهدف تعميق معرفة الموظف بالمنتجات المصرفية وآليات تقييم الجدارة الائتمانية ومهارات الاستشارة المالية، بما يجعله قادراً على تقديم قيمة مضافة للعميل تتجاوز الإجراء الروتيني. وتُكمّلها استراتيجية ترسيخ الثقافة الأخلاقية عبر مدوّنات سلوك واضحة وآليات للمراجعة الداخلية تضمن أن النزاهة ليست خياراً فردياً بل التزاماً مؤسسياً</w:t>
      </w:r>
      <w:r w:rsidRPr="00BE3D42">
        <w:rPr>
          <w:rFonts w:ascii="Simplified Arabic" w:hAnsi="Simplified Arabic" w:cs="Simplified Arabic"/>
          <w:color w:val="000000" w:themeColor="text1"/>
          <w:sz w:val="28"/>
          <w:szCs w:val="28"/>
        </w:rPr>
        <w:t>.</w:t>
      </w:r>
    </w:p>
    <w:p w14:paraId="2A2D7FAB" w14:textId="3FD35148" w:rsidR="002F3B1A" w:rsidRPr="00BE3D42" w:rsidRDefault="002F3B1A" w:rsidP="00F7159D">
      <w:pPr>
        <w:pStyle w:val="NormalWeb"/>
        <w:bidi/>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وتأتي استراتيجية التواصل المتمحور حول العميل بوصفها أداة لتفعيل الأبعاد العلائقية، حيث يتمّ تدريب الموظفين على مهارات الإصغاء الفعّال وإدارة الحوار في المواقف الحساسة، مع توظيف أدوات تقنية تُيسّر تتبّع تاريخ العميل والاستجابة لاستفساراته في توقيت مناسب. ويُؤكّد</w:t>
      </w:r>
      <w:r w:rsidRPr="00BE3D42">
        <w:rPr>
          <w:rFonts w:ascii="Simplified Arabic" w:hAnsi="Simplified Arabic" w:cs="Simplified Arabic"/>
          <w:color w:val="000000" w:themeColor="text1"/>
          <w:sz w:val="28"/>
          <w:szCs w:val="28"/>
        </w:rPr>
        <w:t xml:space="preserve"> Men</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al.,(2022) </w:t>
      </w:r>
      <w:r w:rsidRPr="00BE3D42">
        <w:rPr>
          <w:rFonts w:ascii="Simplified Arabic" w:hAnsi="Simplified Arabic" w:cs="Simplified Arabic"/>
          <w:color w:val="000000" w:themeColor="text1"/>
          <w:sz w:val="28"/>
          <w:szCs w:val="28"/>
          <w:rtl/>
        </w:rPr>
        <w:t>على أن استراتيجيات التواصل ينبغي أن تُصمَّم بمراعاة السياقات الاستثنائية وفترات عدم اليقين، حيث تختلف متطلبات التواصل عن السياقات الاعتيادية. وتتقاطع مع ذلك استراتيجية بناء بيئة عمل داخلية داعمة، إذ يُشير</w:t>
      </w:r>
      <w:r w:rsidRPr="00BE3D42">
        <w:rPr>
          <w:rFonts w:ascii="Simplified Arabic" w:hAnsi="Simplified Arabic" w:cs="Simplified Arabic"/>
          <w:color w:val="000000" w:themeColor="text1"/>
          <w:sz w:val="28"/>
          <w:szCs w:val="28"/>
        </w:rPr>
        <w:t xml:space="preserve"> Eva</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إلى أن جودة القيادة والتواصل الداخلي تنعكس على قدرة الموظف على إنتاج ثقة خارجية، وهو ما يجعل الاستثمار في الثقة التنظيمية الداخلية شرطاً مسبقاً للثقة الخارجية</w:t>
      </w:r>
      <w:r w:rsidRPr="00BE3D42">
        <w:rPr>
          <w:rFonts w:ascii="Simplified Arabic" w:hAnsi="Simplified Arabic" w:cs="Simplified Arabic"/>
          <w:color w:val="000000" w:themeColor="text1"/>
          <w:sz w:val="28"/>
          <w:szCs w:val="28"/>
        </w:rPr>
        <w:t>.</w:t>
      </w:r>
    </w:p>
    <w:p w14:paraId="2E879492" w14:textId="641DFD53" w:rsidR="002F3B1A" w:rsidRPr="00BE3D42" w:rsidRDefault="002F3B1A" w:rsidP="00F7159D">
      <w:pPr>
        <w:pStyle w:val="NormalWeb"/>
        <w:bidi/>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جانبه، يُلفت</w:t>
      </w:r>
      <w:r w:rsidRPr="00BE3D42">
        <w:rPr>
          <w:rFonts w:ascii="Simplified Arabic" w:hAnsi="Simplified Arabic" w:cs="Simplified Arabic"/>
          <w:color w:val="000000" w:themeColor="text1"/>
          <w:sz w:val="28"/>
          <w:szCs w:val="28"/>
        </w:rPr>
        <w:t xml:space="preserve"> Braganza</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al.,(2021) </w:t>
      </w:r>
      <w:r w:rsidRPr="00BE3D42">
        <w:rPr>
          <w:rFonts w:ascii="Simplified Arabic" w:hAnsi="Simplified Arabic" w:cs="Simplified Arabic"/>
          <w:color w:val="000000" w:themeColor="text1"/>
          <w:sz w:val="28"/>
          <w:szCs w:val="28"/>
          <w:rtl/>
        </w:rPr>
        <w:t>إلى أن استراتيجيات التحوّل التكنولوجي ينبغي أن تُدار بحذر، لأن إدخال الذكاء الاصطناعي والأتمتة في الخدمات المصرفية يُمكن أن يُعيد تشكيل العقد النفسي بين الموظف والمؤسسة، وينعكس بدوره على قدرة الموظف على بناء الثقة مع العميل، مما يستدعي استراتيجيات مرافقة لإعادة تعريف دور الموظف في البيئة الرقمية. وفي السياق ذاته، تُشير</w:t>
      </w:r>
      <w:r w:rsidRPr="00BE3D42">
        <w:rPr>
          <w:rFonts w:ascii="Simplified Arabic" w:hAnsi="Simplified Arabic" w:cs="Simplified Arabic"/>
          <w:color w:val="000000" w:themeColor="text1"/>
          <w:sz w:val="28"/>
          <w:szCs w:val="28"/>
        </w:rPr>
        <w:t xml:space="preserve"> Jabeen &amp; Rahim (2021) </w:t>
      </w:r>
      <w:r w:rsidRPr="00BE3D42">
        <w:rPr>
          <w:rFonts w:ascii="Simplified Arabic" w:hAnsi="Simplified Arabic" w:cs="Simplified Arabic"/>
          <w:color w:val="000000" w:themeColor="text1"/>
          <w:sz w:val="28"/>
          <w:szCs w:val="28"/>
          <w:rtl/>
        </w:rPr>
        <w:t>إلى أن أنماط القيادة السلبية تُقوّض ثقة الموظف الداخلية وتنعكس على انخراطه الوظيفي، مما يجعل تبنّي أنماط قيادية داعمة استراتيجية أساسية في بناء الثقة بأبعادها المختلفة</w:t>
      </w:r>
      <w:r w:rsidRPr="00BE3D42">
        <w:rPr>
          <w:rFonts w:ascii="Simplified Arabic" w:hAnsi="Simplified Arabic" w:cs="Simplified Arabic"/>
          <w:color w:val="000000" w:themeColor="text1"/>
          <w:sz w:val="28"/>
          <w:szCs w:val="28"/>
        </w:rPr>
        <w:t>.</w:t>
      </w:r>
    </w:p>
    <w:p w14:paraId="27EC1445" w14:textId="6311B365" w:rsidR="002F3B1A" w:rsidRPr="00BE3D42" w:rsidRDefault="002F3B1A" w:rsidP="00F7159D">
      <w:pPr>
        <w:pStyle w:val="NormalWeb"/>
        <w:bidi/>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وعلى المستوى المؤسسي، تتكامل هذه الاستراتيجيات مع استراتيجية بناء سمعة البنك في السوق، حيث يُشير</w:t>
      </w:r>
      <w:r w:rsidRPr="00BE3D42">
        <w:rPr>
          <w:rFonts w:ascii="Simplified Arabic" w:hAnsi="Simplified Arabic" w:cs="Simplified Arabic"/>
          <w:color w:val="000000" w:themeColor="text1"/>
          <w:sz w:val="28"/>
          <w:szCs w:val="28"/>
        </w:rPr>
        <w:t xml:space="preserve"> Hagendorff</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إلى أن السمعة المؤسسية ترفد ثقة الموظف بمصداقية إضافية تُسهّل عمله. كما تتقاطع مع استراتيجية إدارة تجربة العميل عبر القنوات المتعددة، التي تضمن اتساق إدراك العميل للموظف عبر التفاعلات التقليدية والرقمية، وهو ما تُؤكّده بن صالح (2023) في سياق الخدمات الإلكترونية، والهرام وآخرون (2025) في سياق الخدمات الرقمية. وأخيراً، تأتي استراتيجية القياس المستمر لمستوى الثقة بوصفها أداة لإدارة هذا الأصل غير المرئي، حيث تتيح المسوحات الدورية ومؤشرات الأداء العلائقية رصد تطوّر الثقة وتشخيص نقاط الضعف قبل أن تتحوّل إلى أزمات استبقاء، وهو ما يُشير إليه الفقهاء (2018) في معالجته لنوايا ترك المصرف</w:t>
      </w:r>
      <w:r w:rsidRPr="00BE3D42">
        <w:rPr>
          <w:rFonts w:ascii="Simplified Arabic" w:hAnsi="Simplified Arabic" w:cs="Simplified Arabic"/>
          <w:color w:val="000000" w:themeColor="text1"/>
          <w:sz w:val="28"/>
          <w:szCs w:val="28"/>
        </w:rPr>
        <w:t>.</w:t>
      </w:r>
    </w:p>
    <w:p w14:paraId="26D265B2" w14:textId="6FFF49AF" w:rsidR="002F3B1A" w:rsidRPr="00BE3D42" w:rsidRDefault="00E216FE" w:rsidP="00E216FE">
      <w:pPr>
        <w:jc w:val="center"/>
        <w:outlineLvl w:val="1"/>
        <w:rPr>
          <w:rFonts w:ascii="Simplified Arabic" w:hAnsi="Simplified Arabic" w:cs="Simplified Arabic"/>
          <w:b/>
          <w:bCs/>
          <w:color w:val="000000" w:themeColor="text1"/>
          <w:sz w:val="36"/>
          <w:szCs w:val="36"/>
        </w:rPr>
      </w:pPr>
      <w:r w:rsidRPr="00BE3D42">
        <w:rPr>
          <w:rFonts w:ascii="Simplified Arabic" w:hAnsi="Simplified Arabic" w:cs="Simplified Arabic"/>
          <w:b/>
          <w:bCs/>
          <w:color w:val="000000" w:themeColor="text1"/>
          <w:sz w:val="36"/>
          <w:szCs w:val="36"/>
          <w:rtl/>
        </w:rPr>
        <w:br w:type="page"/>
      </w:r>
      <w:bookmarkStart w:id="43" w:name="_Toc233117059"/>
      <w:r w:rsidR="002F3B1A" w:rsidRPr="00BE3D42">
        <w:rPr>
          <w:rFonts w:ascii="Simplified Arabic" w:hAnsi="Simplified Arabic" w:cs="Simplified Arabic"/>
          <w:b/>
          <w:bCs/>
          <w:color w:val="000000" w:themeColor="text1"/>
          <w:sz w:val="36"/>
          <w:szCs w:val="36"/>
          <w:rtl/>
        </w:rPr>
        <w:lastRenderedPageBreak/>
        <w:t>المبحث الثاني: قرار الحصول على القرض الشخصي (المتغير التابع)</w:t>
      </w:r>
      <w:bookmarkEnd w:id="43"/>
    </w:p>
    <w:p w14:paraId="70943434" w14:textId="4C861CD6"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4" w:name="_Toc233117060"/>
      <w:r w:rsidRPr="00BE3D42">
        <w:rPr>
          <w:rFonts w:ascii="Simplified Arabic" w:hAnsi="Simplified Arabic" w:cs="Simplified Arabic" w:hint="cs"/>
          <w:b/>
          <w:bCs/>
          <w:color w:val="000000" w:themeColor="text1"/>
          <w:sz w:val="32"/>
          <w:szCs w:val="32"/>
          <w:rtl/>
        </w:rPr>
        <w:t xml:space="preserve">1.2.2 </w:t>
      </w:r>
      <w:r w:rsidR="002F3B1A" w:rsidRPr="00BE3D42">
        <w:rPr>
          <w:rFonts w:ascii="Simplified Arabic" w:hAnsi="Simplified Arabic" w:cs="Simplified Arabic"/>
          <w:b/>
          <w:bCs/>
          <w:color w:val="000000" w:themeColor="text1"/>
          <w:sz w:val="32"/>
          <w:szCs w:val="32"/>
          <w:rtl/>
        </w:rPr>
        <w:t>تمهيد</w:t>
      </w:r>
      <w:bookmarkEnd w:id="44"/>
    </w:p>
    <w:p w14:paraId="00A3A73B"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يحتلّ قرار الحصول على القرض الشخصي موقعاً متميّزاً في الأدبيات المالية والسلوكية، بوصفه أحد أكثر القرارات المالية شيوعاً في حياة الأفراد، وأكثرها تشابكاً مع المتغيرات الاقتصادية والاجتماعية والنفسية في آن واحد. فهذا القرار لا يُعبّر فقط عن استجابة فردية لاحتياج تمويلي عاجل، بل يُمثّل تقاطعاً معقّداً بين تقديرات العميل لقدرته السدادية المستقبلية، وإدراكه لشروط السوق المصرفي، وثقته في الجهة التي ستتولّى منحه التمويل. ومن ثمّ، فإن دراسة هذا القرار تستلزم الانتقال من المنظور الكلّي الذي يتعامل مع الإقراض بوصفه ظاهرة اقتصادية مجمّعة، إلى منظور جزئي يضع العميل في مركز التحليل بوصفه فاعلاً اقتصادياً يُوازن بين منافع وتكاليف متعددة الأبعاد</w:t>
      </w:r>
      <w:r w:rsidRPr="00BE3D42">
        <w:rPr>
          <w:rFonts w:ascii="Simplified Arabic" w:hAnsi="Simplified Arabic" w:cs="Simplified Arabic"/>
          <w:color w:val="000000" w:themeColor="text1"/>
          <w:sz w:val="28"/>
          <w:szCs w:val="28"/>
        </w:rPr>
        <w:t>.</w:t>
      </w:r>
    </w:p>
    <w:p w14:paraId="21532B1F"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وقد فرض التطوّر المتسارع في الصناعة المصرفية، وما رافقه من توسّع في منتجات الإقراض الاستهلاكي وتنوّع في قنوات تقديمها، ضرورةَ إعادة فهم محدّدات قرار الاقتراض الشخصي بشكل يتجاوز المقاربات التقليدية التي اقتصرت على المتغيرات الاقتصادية كمعدّل الفائدة ومستوى الدخل. فالعميل المعاصر يتخذ قراره في بيئة معلوماتية أكثر ثراءً، وأمام بدائل أكثر تنوّعاً، ومع توقعات أعلى من المؤسسة المصرفية، مما يجعل الجوانب العلائقية كالثقة في الموظف، والجوانب الإدراكية كجودة الخدمة المُدركة، عوامل لا تقلّ أهمية عن الجوانب المالية البحتة. ويسعى هذا المبحث إلى تقديم معالجة نظرية مفصّلة لهذا القرار من حيث المفهوم والأهمية والأهداف ومحدّداته واستراتيجيات ترشيده، بما يُؤسّس لربطه بالمتغير المستقل المدروس</w:t>
      </w:r>
      <w:r w:rsidRPr="00BE3D42">
        <w:rPr>
          <w:rFonts w:ascii="Simplified Arabic" w:hAnsi="Simplified Arabic" w:cs="Simplified Arabic"/>
          <w:color w:val="000000" w:themeColor="text1"/>
          <w:sz w:val="28"/>
          <w:szCs w:val="28"/>
        </w:rPr>
        <w:t>.</w:t>
      </w:r>
    </w:p>
    <w:p w14:paraId="0EAA0FF2" w14:textId="5D60910A"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5" w:name="_Toc233117061"/>
      <w:r w:rsidRPr="00BE3D42">
        <w:rPr>
          <w:rFonts w:ascii="Simplified Arabic" w:hAnsi="Simplified Arabic" w:cs="Simplified Arabic" w:hint="cs"/>
          <w:b/>
          <w:bCs/>
          <w:color w:val="000000" w:themeColor="text1"/>
          <w:sz w:val="32"/>
          <w:szCs w:val="32"/>
          <w:rtl/>
        </w:rPr>
        <w:t>2.2.2</w:t>
      </w:r>
      <w:r w:rsidR="002F3B1A" w:rsidRPr="00BE3D42">
        <w:rPr>
          <w:rFonts w:ascii="Simplified Arabic" w:hAnsi="Simplified Arabic" w:cs="Simplified Arabic"/>
          <w:b/>
          <w:bCs/>
          <w:color w:val="000000" w:themeColor="text1"/>
          <w:sz w:val="32"/>
          <w:szCs w:val="32"/>
          <w:rtl/>
        </w:rPr>
        <w:t xml:space="preserve"> مفهوم قرار الحصول على القرض الشخصي</w:t>
      </w:r>
      <w:bookmarkEnd w:id="45"/>
    </w:p>
    <w:p w14:paraId="2D326110" w14:textId="1B73210F"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يتشكّل مفهوم قرار الاقتراض الشخصي عبر تداخل ثلاثة حقول معرفية رئيسية: حقل التمويل الذي يعالجه بوصفه قراراً ماليّاً، وحقل سلوك المستهلك الذي يقاربه بوصفه عملية شرائية، وحقل علم النفس الاقتصادي الذي يُبرز أبعاده الإدراكية والوجدانية. وقد قدّم</w:t>
      </w:r>
      <w:r w:rsidRPr="00BE3D42">
        <w:rPr>
          <w:rFonts w:ascii="Simplified Arabic" w:hAnsi="Simplified Arabic" w:cs="Simplified Arabic"/>
          <w:color w:val="000000" w:themeColor="text1"/>
          <w:sz w:val="28"/>
          <w:szCs w:val="28"/>
        </w:rPr>
        <w:t xml:space="preserve"> Nofandrilla</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 xml:space="preserve">معالجة منهجية لهذا المفهوم في سياق قرارات الإقراض، حيث يُعرّفون قرار الاقتراض بوصفه عملية متعددة المراحل يقوم خلالها الفرد بتقييم حاجته التمويلية، والمفاضلة بين البدائل المتاحة في السوق، واختيار </w:t>
      </w:r>
      <w:r w:rsidRPr="00BE3D42">
        <w:rPr>
          <w:rFonts w:ascii="Simplified Arabic" w:hAnsi="Simplified Arabic" w:cs="Simplified Arabic"/>
          <w:color w:val="000000" w:themeColor="text1"/>
          <w:sz w:val="28"/>
          <w:szCs w:val="28"/>
          <w:rtl/>
        </w:rPr>
        <w:lastRenderedPageBreak/>
        <w:t>البنك والمنتج الأنسب، ثم الانتقال إلى مرحلة التنفيذ التي تتضمن تقديم الطلب والتفاوض على الشروط والتوقيع على العقد. ويُبرز هذا التعريف الطبيعة العملياتية للقرار وتعدد مراحله، مما يجعل التأثير عليه ممكناً في أكثر من نقطة</w:t>
      </w:r>
      <w:r w:rsidRPr="00BE3D42">
        <w:rPr>
          <w:rFonts w:ascii="Simplified Arabic" w:hAnsi="Simplified Arabic" w:cs="Simplified Arabic"/>
          <w:color w:val="000000" w:themeColor="text1"/>
          <w:sz w:val="28"/>
          <w:szCs w:val="28"/>
        </w:rPr>
        <w:t>.</w:t>
      </w:r>
    </w:p>
    <w:p w14:paraId="00C2701B" w14:textId="5468BBF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منظور سلوكي تطبيقي، يُعرّف</w:t>
      </w:r>
      <w:r w:rsidRPr="00BE3D42">
        <w:rPr>
          <w:rFonts w:ascii="Simplified Arabic" w:hAnsi="Simplified Arabic" w:cs="Simplified Arabic"/>
          <w:color w:val="000000" w:themeColor="text1"/>
          <w:sz w:val="28"/>
          <w:szCs w:val="28"/>
        </w:rPr>
        <w:t xml:space="preserve"> Subedi &amp;Joshi (2025) </w:t>
      </w:r>
      <w:r w:rsidRPr="00BE3D42">
        <w:rPr>
          <w:rFonts w:ascii="Simplified Arabic" w:hAnsi="Simplified Arabic" w:cs="Simplified Arabic"/>
          <w:color w:val="000000" w:themeColor="text1"/>
          <w:sz w:val="28"/>
          <w:szCs w:val="28"/>
          <w:rtl/>
        </w:rPr>
        <w:t>قرار الاقتراض الشخصي بوصفه محصلة لتفاعل مجموعة من العوامل التي يقيّمها العميل في البنوك التجارية، وتشمل الجوانب المتعلقة بشروط التمويل، وسمعة البنك، وجودة التفاعل مع موظفيه، وسهولة الإجراءات. ويضع هذا التعريف القرار في سياقه التطبيقي بوصفه حصيلة موازنة بين عوامل متعددة وليس استجابة لعامل واحد. وفي الاتجاه نفسه، تُعالج عبيد الله وآخرون (2023) قرار الاقتراض الاستهلاكي بوصفه استجابة سلوكية للطلب على التمويل، تتأثر بالخصائص الديموغرافية للعميل ومستوى دخله وطبيعة احتياجاته، مع التأكيد على أن الطلب على القروض الاستهلاكية يخضع لمنطق مختلف عن الطلب على القروض الاستثمارية، نظراً لتداخل الدوافع الاستهلاكية مع الاعتبارات المالية</w:t>
      </w:r>
      <w:r w:rsidRPr="00BE3D42">
        <w:rPr>
          <w:rFonts w:ascii="Simplified Arabic" w:hAnsi="Simplified Arabic" w:cs="Simplified Arabic"/>
          <w:color w:val="000000" w:themeColor="text1"/>
          <w:sz w:val="28"/>
          <w:szCs w:val="28"/>
        </w:rPr>
        <w:t>.</w:t>
      </w:r>
    </w:p>
    <w:p w14:paraId="3E536A01"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منظور إدارة المؤسسات، تُقارب الدراسات قرار التمويل بوصفه قراراً استراتيجياً يُؤثّر في بنية رأس المال وفي المردودية والقيمة، وهو ما تتناوله يوسفي ولعقون (2023) في معالجتهما لأثر قرار التمويل على قيمة المؤسسة، وما يُشير إليه بن حميدة والياس (2021) في تناولهما لأثره على مردودية المؤسسات الصغيرة والمتوسطة، وما يطرحه جمعي (2021) في معالجته لأثره على الأداء المالي. ورغم أن هذه المعالجات تنطلق من زاوية المؤسسة لا الفرد، فإنها تُقدّم إطاراً تحليلياً قابلاً للإسقاط على القرار الفردي من حيث المنطق الأساسي للموازنة بين تكلفة التمويل وعوائده. وفي السياق نفسه، يُبرز الشمري والصبيحي (2024) أن قرار التمويل يرتبط بدورة حياة الكيان المالي، بحيث تتغيّر أولوياته ومحدّداته باختلاف المرحلة، وهو ما يُمكن إسقاطه على دورة حياة العميل المالية التي تتغيّر فيها احتياجاته التمويلية بتغيّر مرحلته العمرية والمهنية</w:t>
      </w:r>
      <w:r w:rsidRPr="00BE3D42">
        <w:rPr>
          <w:rFonts w:ascii="Simplified Arabic" w:hAnsi="Simplified Arabic" w:cs="Simplified Arabic"/>
          <w:color w:val="000000" w:themeColor="text1"/>
          <w:sz w:val="28"/>
          <w:szCs w:val="28"/>
        </w:rPr>
        <w:t>.</w:t>
      </w:r>
    </w:p>
    <w:p w14:paraId="21166E50"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ومن منظور المؤسسات المصرفية بوصفها الطرف الممنوح، يُعالج الجمال (2021) قرار منح الائتمان بوصفه عملية تقييمية تستند إلى عوامل متعددة تتعلّق بالعميل وبالبنك وبالبيئة الاقتصادية، ويُكمّل باب الله (2025) هذه المعالجة بإبرازه لمحددات قرار الائتمان من وجهتي نظر العاملين والأكاديميين، مما يكشف عن أن قرار الاقتراض يتشكّل في فضاء تفاوضي بين العميل والبنك، تحكمه شروط متبادلة لا قرار أحادي من طرف واحد. وتضيف بلقاسمي وخوري (2023) بُعداً منهجياً يتعلّق بدور دراسة </w:t>
      </w:r>
      <w:r w:rsidRPr="00BE3D42">
        <w:rPr>
          <w:rFonts w:ascii="Simplified Arabic" w:hAnsi="Simplified Arabic" w:cs="Simplified Arabic"/>
          <w:color w:val="000000" w:themeColor="text1"/>
          <w:sz w:val="28"/>
          <w:szCs w:val="28"/>
          <w:rtl/>
        </w:rPr>
        <w:lastRenderedPageBreak/>
        <w:t>الجدوى المالية في ترشيد قرار التمويل، وهو ما يُبرز أن ثمة بنية تحتية تحليلية تسبق القرار وتؤثّر فيه. ومن منظور النظم المعلوماتية، يُلفت خيري وعبد الحميد (2025) إلى أن نظم دعم القرار باتت تُؤدّي دوراً متنامياً في قرارات التمويل المصرفي، وهو ما ينعكس على بيئة قرار العميل عبر إعادة تشكيل أدوات التقييم والاستجابة</w:t>
      </w:r>
      <w:r w:rsidRPr="00BE3D42">
        <w:rPr>
          <w:rFonts w:ascii="Simplified Arabic" w:hAnsi="Simplified Arabic" w:cs="Simplified Arabic"/>
          <w:color w:val="000000" w:themeColor="text1"/>
          <w:sz w:val="28"/>
          <w:szCs w:val="28"/>
        </w:rPr>
        <w:t>.</w:t>
      </w:r>
    </w:p>
    <w:p w14:paraId="7492B466"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ويتضمن قرار الاقتراض الشخصي في جوهره عنصراً معرفياً يتعلّق بمعرفة العميل بالمنتجات المتاحة وشروطها، وعنصراً تقييمياً يتعلّق بمفاضلته بين البدائل وفق معايير شخصية، وعنصراً وجدانياً يتعلّق بمستوى الراحة النفسية الذي يستشعره إزاء البنك والموظف، وعنصراً سلوكياً يتعلّق بترجمة هذه الإدراكات إلى فعل تطبيقي يتمثّل في إكمال الطلب أو التراجع عنه. وفي ضوء ما تقدّم، يمكن للباحث أن يُقدّم تعريفاً إجرائياً لقرار الحصول على القرض الشخصي بوصفه: “العملية المعرفية</w:t>
      </w:r>
      <w:r w:rsidRPr="00BE3D42">
        <w:rPr>
          <w:rFonts w:ascii="Simplified Arabic" w:hAnsi="Simplified Arabic" w:cs="Simplified Arabic"/>
          <w:color w:val="000000" w:themeColor="text1"/>
          <w:sz w:val="28"/>
          <w:szCs w:val="28"/>
          <w:rtl/>
        </w:rPr>
        <w:noBreakHyphen/>
        <w:t>السلوكية التي يتخذها العميل في البنك التجاري للحصول على تمويل شخصي، انطلاقاً من تقييمه لحاجته التمويلية وللبدائل المتاحة، ومروراً بمفاضلته بين عروض البنوك المختلفة، واستناداً إلى إدراكه لشروط التمويل وثقته في الجهاز البشري المقدِّم له، وصولاً إلى التزامه التعاقدي بالحصول على القرض من بنك بعينه”. وهذا التعريف يستوعب المعالجات السابقة ويضع القرار في سياقه التطبيقي الذي تشتغل عليه الدراسة الحالية</w:t>
      </w:r>
      <w:r w:rsidRPr="00BE3D42">
        <w:rPr>
          <w:rFonts w:ascii="Simplified Arabic" w:hAnsi="Simplified Arabic" w:cs="Simplified Arabic"/>
          <w:color w:val="000000" w:themeColor="text1"/>
          <w:sz w:val="28"/>
          <w:szCs w:val="28"/>
        </w:rPr>
        <w:t>.</w:t>
      </w:r>
    </w:p>
    <w:p w14:paraId="3B1F95E1" w14:textId="779A9309"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6" w:name="_Toc233117062"/>
      <w:r w:rsidRPr="00BE3D42">
        <w:rPr>
          <w:rFonts w:ascii="Simplified Arabic" w:hAnsi="Simplified Arabic" w:cs="Simplified Arabic" w:hint="cs"/>
          <w:b/>
          <w:bCs/>
          <w:color w:val="000000" w:themeColor="text1"/>
          <w:sz w:val="32"/>
          <w:szCs w:val="32"/>
          <w:rtl/>
        </w:rPr>
        <w:t>3.2.2</w:t>
      </w:r>
      <w:r w:rsidR="002F3B1A" w:rsidRPr="00BE3D42">
        <w:rPr>
          <w:rFonts w:ascii="Simplified Arabic" w:hAnsi="Simplified Arabic" w:cs="Simplified Arabic"/>
          <w:b/>
          <w:bCs/>
          <w:color w:val="000000" w:themeColor="text1"/>
          <w:sz w:val="32"/>
          <w:szCs w:val="32"/>
          <w:rtl/>
        </w:rPr>
        <w:t xml:space="preserve"> أهمية قرار الحصول على القرض الشخصي</w:t>
      </w:r>
      <w:bookmarkEnd w:id="46"/>
    </w:p>
    <w:p w14:paraId="45C5B713"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تتأتى أهمية قرار الاقتراض الشخصي من كونه قراراً يلتقي فيه المستويان الفردي والمؤسسي، إذ يُؤثّر في رفاه العميل ومستوى استهلاكه ومساره المالي من جهة، ويُمثّل لبنة أساسية في نشاط البنوك التجارية ومحفظتها الائتمانية من جهة أخرى. ولا تنحصر أهميته في كونه قراراً مالياً ظرفياً، بل تمتدّ لتشمل تأثيراته البنيوية على سلوك الاستهلاك والادخار، وعلى البنية المالية للأسر، وعلى الديناميكيات الاقتصادية الكلية المرتبطة بحجم الائتمان الممنوح</w:t>
      </w:r>
      <w:r w:rsidRPr="00BE3D42">
        <w:rPr>
          <w:rFonts w:ascii="Simplified Arabic" w:hAnsi="Simplified Arabic" w:cs="Simplified Arabic"/>
          <w:color w:val="000000" w:themeColor="text1"/>
          <w:sz w:val="28"/>
          <w:szCs w:val="28"/>
        </w:rPr>
        <w:t>.</w:t>
      </w:r>
    </w:p>
    <w:p w14:paraId="4D0D21AD" w14:textId="0260174F"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ويُبرز</w:t>
      </w:r>
      <w:r w:rsidRPr="00BE3D42">
        <w:rPr>
          <w:rFonts w:ascii="Simplified Arabic" w:hAnsi="Simplified Arabic" w:cs="Simplified Arabic"/>
          <w:color w:val="000000" w:themeColor="text1"/>
          <w:sz w:val="28"/>
          <w:szCs w:val="28"/>
        </w:rPr>
        <w:t xml:space="preserve"> Subedi &amp;Joshi (2025) </w:t>
      </w:r>
      <w:r w:rsidRPr="00BE3D42">
        <w:rPr>
          <w:rFonts w:ascii="Simplified Arabic" w:hAnsi="Simplified Arabic" w:cs="Simplified Arabic"/>
          <w:color w:val="000000" w:themeColor="text1"/>
          <w:sz w:val="28"/>
          <w:szCs w:val="28"/>
          <w:rtl/>
        </w:rPr>
        <w:t xml:space="preserve">أن أهمية قرار الاقتراض تظهر في عدة وجوه: أولاً، أنه يُعدّ المخرج النهائي لمنظومة كاملة من العوامل المؤثّرة، مما يجعل دراسته بوابةً لفهم سلوك العميل المصرفي ككل. ثانياً، أنه يُمثّل نقطة تقاطع بين عرض البنك وطلب العميل، فيكشف عن مدى توافق المنتج المُقدَّم مع الحاجة الفعلية. ثالثاً، أنه يُعدّ مؤشراً على نوعية العلاقة بين العميل والبنك، إذ يصعب أن يتخذ العميل </w:t>
      </w:r>
      <w:r w:rsidRPr="00BE3D42">
        <w:rPr>
          <w:rFonts w:ascii="Simplified Arabic" w:hAnsi="Simplified Arabic" w:cs="Simplified Arabic"/>
          <w:color w:val="000000" w:themeColor="text1"/>
          <w:sz w:val="28"/>
          <w:szCs w:val="28"/>
          <w:rtl/>
        </w:rPr>
        <w:lastRenderedPageBreak/>
        <w:t>قرار اقتراض من بنك لا يثق بالعاملين فيه. رابعاً، أنه يفتح الباب أمام علاقة استمرارية، إذ كثيراً ما يكون القرض الشخصي الناجح نقطة بداية لعلاقات مالية أوسع</w:t>
      </w:r>
      <w:r w:rsidRPr="00BE3D42">
        <w:rPr>
          <w:rFonts w:ascii="Simplified Arabic" w:hAnsi="Simplified Arabic" w:cs="Simplified Arabic"/>
          <w:color w:val="000000" w:themeColor="text1"/>
          <w:sz w:val="28"/>
          <w:szCs w:val="28"/>
        </w:rPr>
        <w:t>.</w:t>
      </w:r>
    </w:p>
    <w:p w14:paraId="0BD1D885" w14:textId="1C46892B"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ويُضيف</w:t>
      </w:r>
      <w:r w:rsidRPr="00BE3D42">
        <w:rPr>
          <w:rFonts w:ascii="Simplified Arabic" w:hAnsi="Simplified Arabic" w:cs="Simplified Arabic"/>
          <w:color w:val="000000" w:themeColor="text1"/>
          <w:sz w:val="28"/>
          <w:szCs w:val="28"/>
        </w:rPr>
        <w:t xml:space="preserve"> Nofandrilla</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al.,(2024)  </w:t>
      </w:r>
      <w:r w:rsidRPr="00BE3D42">
        <w:rPr>
          <w:rFonts w:ascii="Simplified Arabic" w:hAnsi="Simplified Arabic" w:cs="Simplified Arabic"/>
          <w:color w:val="000000" w:themeColor="text1"/>
          <w:sz w:val="28"/>
          <w:szCs w:val="28"/>
          <w:rtl/>
        </w:rPr>
        <w:t>أن أهمية القرار تكمن في كونه يُترجم متغيرات نفسية وعلائقية إلى نتائج اقتصادية ملموسة، فالثقة بوصفها متغيراً معنوياً تتجسّد في قرار الاقتراض بوصفه فعلاً ماديّاً، مما يجعل القرار جسراً تحليلياً بين المستوى الإدراكي والمستوى السلوكي. ومن منظور اقتصادي، يُبرز</w:t>
      </w:r>
      <w:r w:rsidRPr="00BE3D42">
        <w:rPr>
          <w:rFonts w:ascii="Simplified Arabic" w:hAnsi="Simplified Arabic" w:cs="Simplified Arabic"/>
          <w:color w:val="000000" w:themeColor="text1"/>
          <w:sz w:val="28"/>
          <w:szCs w:val="28"/>
        </w:rPr>
        <w:t xml:space="preserve"> Hagendorff</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al.,(2023) </w:t>
      </w:r>
      <w:r w:rsidRPr="00BE3D42">
        <w:rPr>
          <w:rFonts w:ascii="Simplified Arabic" w:hAnsi="Simplified Arabic" w:cs="Simplified Arabic"/>
          <w:color w:val="000000" w:themeColor="text1"/>
          <w:sz w:val="28"/>
          <w:szCs w:val="28"/>
          <w:rtl/>
        </w:rPr>
        <w:t>أن قرارات الاقتراض تُشكّل في مجموعها بنية الائتمان في الاقتصاد، وتُؤثّر في كفاءة تخصيص الموارد المالية، مما يمنح دراستها أهمية تتجاوز المستوى الفردي إلى المستوى النظامي</w:t>
      </w:r>
      <w:r w:rsidRPr="00BE3D42">
        <w:rPr>
          <w:rFonts w:ascii="Simplified Arabic" w:hAnsi="Simplified Arabic" w:cs="Simplified Arabic"/>
          <w:color w:val="000000" w:themeColor="text1"/>
          <w:sz w:val="28"/>
          <w:szCs w:val="28"/>
        </w:rPr>
        <w:t>.</w:t>
      </w:r>
    </w:p>
    <w:p w14:paraId="0C6C24A9" w14:textId="0125F22A"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ويُشير</w:t>
      </w:r>
      <w:r w:rsidRPr="00BE3D42">
        <w:rPr>
          <w:rFonts w:ascii="Simplified Arabic" w:hAnsi="Simplified Arabic" w:cs="Simplified Arabic"/>
          <w:color w:val="000000" w:themeColor="text1"/>
          <w:sz w:val="28"/>
          <w:szCs w:val="28"/>
        </w:rPr>
        <w:t xml:space="preserve"> Chang</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al.,(2025) </w:t>
      </w:r>
      <w:r w:rsidRPr="00BE3D42">
        <w:rPr>
          <w:rFonts w:ascii="Simplified Arabic" w:hAnsi="Simplified Arabic" w:cs="Simplified Arabic"/>
          <w:color w:val="000000" w:themeColor="text1"/>
          <w:sz w:val="28"/>
          <w:szCs w:val="28"/>
          <w:rtl/>
        </w:rPr>
        <w:t>إلى أن أهمية قرار الاقتراض تظهر بشكل خاص في أوقات الضغوط الرقابية وتراجع جودة المعلومات المحلية، إذ يصبح القرار أكثر حساسية للعوامل العلائقية والمؤسسية، مما يُعمّق أهمية فهم محدّداته في سياقات السوق المختلفة. ومن منظور المؤسسة المصرفية، يُلفت الجمال (2021) إلى أن قرار العميل بالاقتراض يُمثّل المُقابِل المنطقي لقرار البنك بمنح الائتمان، وهو ما يجعل دراسته متلازمة مع دراسة معايير منح الائتمان، فكلاهما يُغذّي الآخر. ويُكمّل باب الله (2025) هذا المنظور بإشارته إلى أن المحدّدات التي يستخدمها البنك في قراره تُشكّل بدورها قيداً على قرار العميل، فيتشكّل القراران في فضاء تفاوضي مشترك</w:t>
      </w:r>
      <w:r w:rsidRPr="00BE3D42">
        <w:rPr>
          <w:rFonts w:ascii="Simplified Arabic" w:hAnsi="Simplified Arabic" w:cs="Simplified Arabic"/>
          <w:color w:val="000000" w:themeColor="text1"/>
          <w:sz w:val="28"/>
          <w:szCs w:val="28"/>
        </w:rPr>
        <w:t>.</w:t>
      </w:r>
    </w:p>
    <w:p w14:paraId="2BC71FAB"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منظور سلوك العميل، يُبرز الفقهاء (2018) أن قرار الاستمرار في التعامل المصرفي أو ترك البنك يرتبط بتجارب العميل المتراكمة، ومن بينها تجاربه في الحصول على التمويل، مما يجعل قرار الاقتراض بوابةً لقرارات أكبر تتعلّق بمصير العلاقة المصرفية ككل. وتُضيف عبيد الله وآخرون (2023) أن أهمية قرار الاقتراض الاستهلاكي تظهر في انعكاسه على مستوى الطلب الكلّي على هذا النوع من القروض، وهو ما يُغذّي بدوره استراتيجيات البنوك في تصميم منتجاتها وتسعيرها</w:t>
      </w:r>
      <w:r w:rsidRPr="00BE3D42">
        <w:rPr>
          <w:rFonts w:ascii="Simplified Arabic" w:hAnsi="Simplified Arabic" w:cs="Simplified Arabic"/>
          <w:color w:val="000000" w:themeColor="text1"/>
          <w:sz w:val="28"/>
          <w:szCs w:val="28"/>
        </w:rPr>
        <w:t>.</w:t>
      </w:r>
    </w:p>
    <w:p w14:paraId="1116A669" w14:textId="199BCC52"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وتتسع دائرة الأهمية لتشمل بُعداً ائتمانياً مرتبطاً بسلوك السداد اللاحق للقرار، إذ يُؤثّر السياق الذي اتُّخذ فيه القرار على التزام العميل المستقبلي، فالقرار المتخذ في ظل علاقة ثقة وفهم متبادل يُنتج التزاماً سدادياً مختلفاً عن القرار المتخذ في ظل ضغط بيعي أو معلومات ناقصة، وهو ما يُلمح إليه</w:t>
      </w:r>
      <w:r w:rsidRPr="00BE3D42">
        <w:rPr>
          <w:rFonts w:ascii="Simplified Arabic" w:hAnsi="Simplified Arabic" w:cs="Simplified Arabic"/>
          <w:color w:val="000000" w:themeColor="text1"/>
          <w:sz w:val="28"/>
          <w:szCs w:val="28"/>
        </w:rPr>
        <w:t xml:space="preserve"> Chang</w:t>
      </w:r>
      <w:r w:rsidRPr="00BE3D42">
        <w:rPr>
          <w:rFonts w:ascii="Simplified Arabic" w:eastAsiaTheme="minorHAnsi" w:hAnsi="Simplified Arabic" w:cs="Simplified Arabic"/>
          <w:color w:val="000000" w:themeColor="text1"/>
          <w:kern w:val="2"/>
          <w:sz w:val="28"/>
          <w:szCs w:val="28"/>
          <w14:ligatures w14:val="standardContextual"/>
        </w:rPr>
        <w:t xml:space="preserve"> </w:t>
      </w:r>
      <w:r w:rsidRPr="00BE3D42">
        <w:rPr>
          <w:rFonts w:ascii="Simplified Arabic" w:hAnsi="Simplified Arabic" w:cs="Simplified Arabic"/>
          <w:color w:val="000000" w:themeColor="text1"/>
          <w:sz w:val="28"/>
          <w:szCs w:val="28"/>
        </w:rPr>
        <w:t xml:space="preserve">et al.,(2025) </w:t>
      </w:r>
      <w:r w:rsidRPr="00BE3D42">
        <w:rPr>
          <w:rFonts w:ascii="Simplified Arabic" w:hAnsi="Simplified Arabic" w:cs="Simplified Arabic"/>
          <w:color w:val="000000" w:themeColor="text1"/>
          <w:sz w:val="28"/>
          <w:szCs w:val="28"/>
          <w:rtl/>
        </w:rPr>
        <w:t xml:space="preserve">في معالجتهم للعلاقة بين الثقة وسلوك المقترض. كما تظهر أهمية القرار في بُعده </w:t>
      </w:r>
      <w:r w:rsidRPr="00BE3D42">
        <w:rPr>
          <w:rFonts w:ascii="Simplified Arabic" w:hAnsi="Simplified Arabic" w:cs="Simplified Arabic"/>
          <w:color w:val="000000" w:themeColor="text1"/>
          <w:sz w:val="28"/>
          <w:szCs w:val="28"/>
          <w:rtl/>
        </w:rPr>
        <w:lastRenderedPageBreak/>
        <w:t>الاستراتيجي للبنك، إذ تُسهم القرارات المتراكمة للعملاء في تشكيل محفظة القروض الشخصية للبنك ومستوى مخاطرها وعوائدها</w:t>
      </w:r>
      <w:r w:rsidRPr="00BE3D42">
        <w:rPr>
          <w:rFonts w:ascii="Simplified Arabic" w:hAnsi="Simplified Arabic" w:cs="Simplified Arabic"/>
          <w:color w:val="000000" w:themeColor="text1"/>
          <w:sz w:val="28"/>
          <w:szCs w:val="28"/>
        </w:rPr>
        <w:t>.</w:t>
      </w:r>
    </w:p>
    <w:p w14:paraId="2CFAC1F8" w14:textId="219CF826"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7" w:name="_Toc233117063"/>
      <w:r w:rsidRPr="00BE3D42">
        <w:rPr>
          <w:rFonts w:ascii="Simplified Arabic" w:hAnsi="Simplified Arabic" w:cs="Simplified Arabic" w:hint="cs"/>
          <w:b/>
          <w:bCs/>
          <w:color w:val="000000" w:themeColor="text1"/>
          <w:sz w:val="32"/>
          <w:szCs w:val="32"/>
          <w:rtl/>
        </w:rPr>
        <w:t>4.2.2</w:t>
      </w:r>
      <w:r w:rsidR="002F3B1A" w:rsidRPr="00BE3D42">
        <w:rPr>
          <w:rFonts w:ascii="Simplified Arabic" w:hAnsi="Simplified Arabic" w:cs="Simplified Arabic"/>
          <w:b/>
          <w:bCs/>
          <w:color w:val="000000" w:themeColor="text1"/>
          <w:sz w:val="32"/>
          <w:szCs w:val="32"/>
          <w:rtl/>
        </w:rPr>
        <w:t xml:space="preserve"> أهداف دراسة قرار الحصول على القرض الشخصي</w:t>
      </w:r>
      <w:bookmarkEnd w:id="47"/>
    </w:p>
    <w:p w14:paraId="2AF006EF"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تنطوي دراسة قرار الاقتراض الشخصي على جملة من الأهداف المعرفية والتطبيقية التي يسعى الباحثون إلى تحقيقها، ويمكن استعراضها على النحو الآتي</w:t>
      </w:r>
      <w:r w:rsidRPr="00BE3D42">
        <w:rPr>
          <w:rFonts w:ascii="Simplified Arabic" w:hAnsi="Simplified Arabic" w:cs="Simplified Arabic"/>
          <w:color w:val="000000" w:themeColor="text1"/>
          <w:sz w:val="28"/>
          <w:szCs w:val="28"/>
        </w:rPr>
        <w:t>:</w:t>
      </w:r>
    </w:p>
    <w:p w14:paraId="5546CF5F" w14:textId="5C372A76"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يرى</w:t>
      </w:r>
      <w:r w:rsidRPr="00BE3D42">
        <w:rPr>
          <w:rFonts w:ascii="Simplified Arabic" w:hAnsi="Simplified Arabic" w:cs="Simplified Arabic"/>
          <w:color w:val="000000" w:themeColor="text1"/>
          <w:sz w:val="28"/>
          <w:szCs w:val="28"/>
        </w:rPr>
        <w:t xml:space="preserve"> Subedi &amp;Joshi (2025) </w:t>
      </w:r>
      <w:r w:rsidRPr="00BE3D42">
        <w:rPr>
          <w:rFonts w:ascii="Simplified Arabic" w:hAnsi="Simplified Arabic" w:cs="Simplified Arabic"/>
          <w:color w:val="000000" w:themeColor="text1"/>
          <w:sz w:val="28"/>
          <w:szCs w:val="28"/>
          <w:rtl/>
        </w:rPr>
        <w:t>أن أهداف دراسة قرار الاقتراض تتمحور حول: تحديد العوامل التي تُؤثّر في اختيار العميل للبنك المُقرض، وفهم الأوزان النسبية لهذه العوامل، وتشخيص الفجوات بين ما يُقدّمه البنك وما يتوقّعه العميل، وتقديم مدخلات لصنّاع القرار المصرفي لتطوير منتجاتهم. وتتقاطع هذه الأهداف مع ما يطرحه</w:t>
      </w:r>
      <w:r w:rsidRPr="00BE3D42">
        <w:rPr>
          <w:rFonts w:ascii="Simplified Arabic" w:hAnsi="Simplified Arabic" w:cs="Simplified Arabic"/>
          <w:color w:val="000000" w:themeColor="text1"/>
          <w:sz w:val="28"/>
          <w:szCs w:val="28"/>
        </w:rPr>
        <w:t xml:space="preserve"> Nofandrilla</w:t>
      </w:r>
      <w:r w:rsidR="006D05B4" w:rsidRPr="00BE3D42">
        <w:rPr>
          <w:rFonts w:ascii="Simplified Arabic" w:hAnsi="Simplified Arabic" w:cs="Simplified Arabic"/>
          <w:color w:val="000000" w:themeColor="text1"/>
          <w:sz w:val="28"/>
          <w:szCs w:val="28"/>
        </w:rPr>
        <w:t xml:space="preserve"> et al.,(2024)</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من أهداف تتعلّق بـ: استكشاف الدور الذي تلعبه الثقة في قرارات الإقراض، وبناء أجندات بحثية مستقبلية تربط المتغيرات النفسية بالقرارات المالية، وتقديم إطار منهجي يُمكن البناء عليه في الدراسات التطبيقية اللاحقة</w:t>
      </w:r>
      <w:r w:rsidRPr="00BE3D42">
        <w:rPr>
          <w:rFonts w:ascii="Simplified Arabic" w:hAnsi="Simplified Arabic" w:cs="Simplified Arabic"/>
          <w:color w:val="000000" w:themeColor="text1"/>
          <w:sz w:val="28"/>
          <w:szCs w:val="28"/>
        </w:rPr>
        <w:t>.</w:t>
      </w:r>
    </w:p>
    <w:p w14:paraId="188E5378" w14:textId="2CDFCE26"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ويُحدّد</w:t>
      </w:r>
      <w:r w:rsidRPr="00BE3D42">
        <w:rPr>
          <w:rFonts w:ascii="Simplified Arabic" w:hAnsi="Simplified Arabic" w:cs="Simplified Arabic"/>
          <w:color w:val="000000" w:themeColor="text1"/>
          <w:sz w:val="28"/>
          <w:szCs w:val="28"/>
        </w:rPr>
        <w:t xml:space="preserve"> Hagendorff</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al.,(2023)</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أهدافاً ذات طابع اقتصادي تتضمن: فهم كيفية انعكاس المتغيرات العلائقية على شروط العقود الائتمانية، وتقدير الأثر المالي لهذه المتغيرات على تكلفة التمويل، وتقديم تفسيرات تكميلية لما لا تستطيع المتغيرات المالية البحتة تفسيره من تباين في قرارات الإقراض. ويُكمّل</w:t>
      </w:r>
      <w:r w:rsidRPr="00BE3D42">
        <w:rPr>
          <w:rFonts w:ascii="Simplified Arabic" w:hAnsi="Simplified Arabic" w:cs="Simplified Arabic"/>
          <w:color w:val="000000" w:themeColor="text1"/>
          <w:sz w:val="28"/>
          <w:szCs w:val="28"/>
        </w:rPr>
        <w:t xml:space="preserve"> Chang</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al.,(2025)</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هذه الأهداف بإضافة: تتبّع أثر الثقة على سلوك المقترض في مراحل ما بعد الحصول على القرض، وفهم العلاقة بين جودة المعلومات والقرارات المالية، وتشخيص حساسية قرارات الاقتراض للعوامل الرقابية والمؤسسية</w:t>
      </w:r>
      <w:r w:rsidRPr="00BE3D42">
        <w:rPr>
          <w:rFonts w:ascii="Simplified Arabic" w:hAnsi="Simplified Arabic" w:cs="Simplified Arabic"/>
          <w:color w:val="000000" w:themeColor="text1"/>
          <w:sz w:val="28"/>
          <w:szCs w:val="28"/>
        </w:rPr>
        <w:t>.</w:t>
      </w:r>
    </w:p>
    <w:p w14:paraId="2724E1E9"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وفي السياق العربي، يطرح الجمال (2021) أهدافاً تتعلّق بـ: تحديد العوامل المؤثّرة في قرار منح الائتمان من منظور البنك، وفهم كيفية تقاطع هذه العوامل مع قرار العميل بطلب التمويل، وتقديم توصيات لتحسين كفاءة عملية الإقراض. وتتقاطع هذه الأهداف مع ما يطرحه باب الله (2025) من اهتمام بـ: استجلاء محدّدات قرار الائتمان من زوايا متعددة تشمل العاملين والأكاديميين، وتقديم رؤية تكاملية تجمع بين الممارسة والمعرفة النظرية، ودعم قرارات السياسة الائتمانية في البنوك التجارية. وتُضيف عبيد الله وآخرون (2023) أهدافاً تتعلّق بـ: تحديد محدّدات الطلب على القروض الاستهلاكية، وفهم تأثير المتغيرات الاجتماعية والاقتصادية على هذا الطلب، وتقديم مدخلات لرسم سياسات الائتمان الاستهلاكي</w:t>
      </w:r>
      <w:r w:rsidRPr="00BE3D42">
        <w:rPr>
          <w:rFonts w:ascii="Simplified Arabic" w:hAnsi="Simplified Arabic" w:cs="Simplified Arabic"/>
          <w:color w:val="000000" w:themeColor="text1"/>
          <w:sz w:val="28"/>
          <w:szCs w:val="28"/>
        </w:rPr>
        <w:t>.</w:t>
      </w:r>
    </w:p>
    <w:p w14:paraId="4CFB6DC7"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lastRenderedPageBreak/>
        <w:t>ومن منظور المؤسسة الاقتصادية، تطرح يوسفي ولعقون (2023) أهدافاً تتعلّق بدراسة أثر قرار التمويل على القيمة، ويتقاطع معها بن حميدة والياس (2021) في دراستهما لأثره على المردودية، وجمعي (2021) في معالجته لأثره على الأداء المالي. ورغم اختلاف الوحدة التحليلية في هذه الدراسات، فإنها تشترك في هدف فهم النتائج المالية المترتبة على قرار التمويل، وهو ما يُمكن إسقاطه على الفرد بوصفه يسعى بدوره إلى تعظيم منفعته المالية. ويطرح الشمري والصبيحي (2024) هدف فهم العلاقة بين قرار التمويل ومرحلة دورة الحياة، وهو ما يفتح أفقاً بحثياً لربط قرار الاقتراض الشخصي بمراحل الحياة المختلفة للعميل</w:t>
      </w:r>
      <w:r w:rsidRPr="00BE3D42">
        <w:rPr>
          <w:rFonts w:ascii="Simplified Arabic" w:hAnsi="Simplified Arabic" w:cs="Simplified Arabic"/>
          <w:color w:val="000000" w:themeColor="text1"/>
          <w:sz w:val="28"/>
          <w:szCs w:val="28"/>
        </w:rPr>
        <w:t>.</w:t>
      </w:r>
    </w:p>
    <w:p w14:paraId="64AF45BB"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وتُضيف بلقاسمي وخوري (2023) هدف فهم دور دراسة الجدوى المالية في ترشيد قرار التمويل، وهو ما يُمكن مدّه ليشمل دور التحليل المالي الشخصي في ترشيد قرار العميل بالاقتراض. كما يطرح خيري وعبد الحميد (2025) هدف فهم أثر نظم دعم القرار في اتخاذ قرارات التمويل، مع التأكيد على الأدوار التعديلية والوسيطة للإدارة الإلكترونية والموارد البشرية، وهو ما يُمكن البناء عليه لفهم كيف تتفاعل أنظمة البنك مع جهازه البشري في إنتاج تجربة العميل التي تقوده إلى القرار. ومن منظور تجربة العميل، يطرح علي وآخرون (2024) هدف فهم أثر أتمتة الخدمات على رضا العملاء وولائهم، وهو ما يرتبط ارتباطاً وثيقاً بقرارات العميل المستقبلية بما فيها قرار الاقتراض</w:t>
      </w:r>
      <w:r w:rsidRPr="00BE3D42">
        <w:rPr>
          <w:rFonts w:ascii="Simplified Arabic" w:hAnsi="Simplified Arabic" w:cs="Simplified Arabic"/>
          <w:color w:val="000000" w:themeColor="text1"/>
          <w:sz w:val="28"/>
          <w:szCs w:val="28"/>
        </w:rPr>
        <w:t>.</w:t>
      </w:r>
    </w:p>
    <w:p w14:paraId="3312F9FD" w14:textId="16CE065B"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8" w:name="_Toc233117064"/>
      <w:r w:rsidRPr="00BE3D42">
        <w:rPr>
          <w:rFonts w:ascii="Simplified Arabic" w:hAnsi="Simplified Arabic" w:cs="Simplified Arabic" w:hint="cs"/>
          <w:b/>
          <w:bCs/>
          <w:color w:val="000000" w:themeColor="text1"/>
          <w:sz w:val="32"/>
          <w:szCs w:val="32"/>
          <w:rtl/>
        </w:rPr>
        <w:t>5.2.2</w:t>
      </w:r>
      <w:r w:rsidR="002F3B1A" w:rsidRPr="00BE3D42">
        <w:rPr>
          <w:rFonts w:ascii="Simplified Arabic" w:hAnsi="Simplified Arabic" w:cs="Simplified Arabic"/>
          <w:b/>
          <w:bCs/>
          <w:color w:val="000000" w:themeColor="text1"/>
          <w:sz w:val="32"/>
          <w:szCs w:val="32"/>
          <w:rtl/>
        </w:rPr>
        <w:t xml:space="preserve"> محدّدات قرار الحصول على القرض الشخصي</w:t>
      </w:r>
      <w:bookmarkEnd w:id="48"/>
    </w:p>
    <w:p w14:paraId="7A0D3DB1" w14:textId="010DBF86"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تم تحديد محدّدات قرار الاقتراض الشخصي في هذه الدراسة بناءً على ما طرحه</w:t>
      </w:r>
      <w:r w:rsidRPr="00BE3D42">
        <w:rPr>
          <w:rFonts w:ascii="Simplified Arabic" w:hAnsi="Simplified Arabic" w:cs="Simplified Arabic"/>
          <w:color w:val="000000" w:themeColor="text1"/>
          <w:sz w:val="28"/>
          <w:szCs w:val="28"/>
        </w:rPr>
        <w:t xml:space="preserve"> Subedi </w:t>
      </w:r>
      <w:r w:rsidR="006D05B4" w:rsidRPr="00BE3D42">
        <w:rPr>
          <w:rFonts w:ascii="Simplified Arabic" w:hAnsi="Simplified Arabic" w:cs="Simplified Arabic"/>
          <w:color w:val="000000" w:themeColor="text1"/>
          <w:sz w:val="28"/>
          <w:szCs w:val="28"/>
        </w:rPr>
        <w:t>&amp;</w:t>
      </w:r>
      <w:r w:rsidRPr="00BE3D42">
        <w:rPr>
          <w:rFonts w:ascii="Simplified Arabic" w:hAnsi="Simplified Arabic" w:cs="Simplified Arabic"/>
          <w:color w:val="000000" w:themeColor="text1"/>
          <w:sz w:val="28"/>
          <w:szCs w:val="28"/>
        </w:rPr>
        <w:t xml:space="preserve">Joshi (2025) </w:t>
      </w:r>
      <w:r w:rsidRPr="00BE3D42">
        <w:rPr>
          <w:rFonts w:ascii="Simplified Arabic" w:hAnsi="Simplified Arabic" w:cs="Simplified Arabic"/>
          <w:color w:val="000000" w:themeColor="text1"/>
          <w:sz w:val="28"/>
          <w:szCs w:val="28"/>
          <w:rtl/>
        </w:rPr>
        <w:t>في معالجتهما للعوامل المؤثّرة على قرارات اقتراض العملاء في البنوك التجارية، وما قدّمه</w:t>
      </w:r>
      <w:r w:rsidRPr="00BE3D42">
        <w:rPr>
          <w:rFonts w:ascii="Simplified Arabic" w:hAnsi="Simplified Arabic" w:cs="Simplified Arabic"/>
          <w:color w:val="000000" w:themeColor="text1"/>
          <w:sz w:val="28"/>
          <w:szCs w:val="28"/>
        </w:rPr>
        <w:t xml:space="preserve"> Nofandrilla</w:t>
      </w:r>
      <w:r w:rsidR="006D05B4" w:rsidRPr="00BE3D42">
        <w:rPr>
          <w:rFonts w:ascii="Simplified Arabic" w:hAnsi="Simplified Arabic" w:cs="Simplified Arabic"/>
          <w:color w:val="000000" w:themeColor="text1"/>
          <w:sz w:val="28"/>
          <w:szCs w:val="28"/>
        </w:rPr>
        <w:t xml:space="preserve"> et al.,(2024)</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في مراجعتهم المنهجية لدور الثقة في قرارات الإقراض، وما تناوله الجمال (2021) وباب الله (2025) في تحليلهما لمحدّدات قرار الائتمان المصرفي. وتتوزّع هذه المحدّدات على ثلاث مجموعات رئيسية: محدّدات مرتبطة بالعميل، ومحدّدات مرتبطة بالبنك، ومحدّدات مرتبطة بالبيئة الاقتصادية، وفيما يلي بيان مفصّل لكل مجموعة</w:t>
      </w:r>
      <w:r w:rsidRPr="00BE3D42">
        <w:rPr>
          <w:rFonts w:ascii="Simplified Arabic" w:hAnsi="Simplified Arabic" w:cs="Simplified Arabic"/>
          <w:color w:val="000000" w:themeColor="text1"/>
          <w:sz w:val="28"/>
          <w:szCs w:val="28"/>
        </w:rPr>
        <w:t>.</w:t>
      </w:r>
    </w:p>
    <w:p w14:paraId="6904A6E2" w14:textId="77777777" w:rsidR="002F3B1A" w:rsidRPr="00BE3D42" w:rsidRDefault="002F3B1A" w:rsidP="00E216FE">
      <w:pPr>
        <w:pStyle w:val="NormalWeb"/>
        <w:numPr>
          <w:ilvl w:val="0"/>
          <w:numId w:val="40"/>
        </w:numPr>
        <w:bidi/>
        <w:spacing w:line="276" w:lineRule="auto"/>
        <w:ind w:left="424"/>
        <w:jc w:val="both"/>
        <w:rPr>
          <w:rFonts w:ascii="Simplified Arabic" w:hAnsi="Simplified Arabic" w:cs="Simplified Arabic"/>
          <w:b/>
          <w:bCs/>
          <w:color w:val="000000" w:themeColor="text1"/>
          <w:sz w:val="28"/>
          <w:szCs w:val="28"/>
        </w:rPr>
      </w:pPr>
      <w:r w:rsidRPr="00BE3D42">
        <w:rPr>
          <w:rFonts w:ascii="Simplified Arabic" w:hAnsi="Simplified Arabic" w:cs="Simplified Arabic"/>
          <w:b/>
          <w:bCs/>
          <w:color w:val="000000" w:themeColor="text1"/>
          <w:sz w:val="28"/>
          <w:szCs w:val="28"/>
          <w:rtl/>
        </w:rPr>
        <w:t>المحدّدات المرتبطة بالعميل</w:t>
      </w:r>
    </w:p>
    <w:p w14:paraId="72832868"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تتمحور هذه المحدّدات حول الخصائص الشخصية والاقتصادية للعميل التي تُشكّل أرضية اتخاذه للقرار. وتتضمن هذه المحدّدات: مستوى الدخل وانتظامه، إذ يُمثّل الدخل القاعدة المادية التي يستند إليها </w:t>
      </w:r>
      <w:r w:rsidRPr="00BE3D42">
        <w:rPr>
          <w:rFonts w:ascii="Simplified Arabic" w:hAnsi="Simplified Arabic" w:cs="Simplified Arabic"/>
          <w:color w:val="000000" w:themeColor="text1"/>
          <w:sz w:val="28"/>
          <w:szCs w:val="28"/>
          <w:rtl/>
        </w:rPr>
        <w:lastRenderedPageBreak/>
        <w:t>العميل في تقدير قدرته السدادية، ويُؤثّر في حجم القرض الذي يجرؤ على طلبه وفي اختياره للبنك الذي يستهدف العملاء من شريحته الدخلية. كما تتضمن مستوى التعليم والوعي المالي، حيث يرتبط ارتفاع الوعي المالي بقدرة أكبر على المفاضلة بين العروض وفهم الشروط التعاقدية، وهو ما يُلمح إليه عبيد الله وآخرون (2023) في معالجتهم لمحدّدات الطلب على القروض الاستهلاكية. وتمتدّ هذه المحدّدات لتشمل الخصائص الديموغرافية كالعمر والحالة الاجتماعية، وطبيعة الحاجة التمويلية، ومستوى التحمّل النفسي للالتزام المالي طويل الأجل</w:t>
      </w:r>
      <w:r w:rsidRPr="00BE3D42">
        <w:rPr>
          <w:rFonts w:ascii="Simplified Arabic" w:hAnsi="Simplified Arabic" w:cs="Simplified Arabic"/>
          <w:color w:val="000000" w:themeColor="text1"/>
          <w:sz w:val="28"/>
          <w:szCs w:val="28"/>
        </w:rPr>
        <w:t>.</w:t>
      </w:r>
    </w:p>
    <w:p w14:paraId="2CB204BC" w14:textId="4D38A82C"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ويُضاف إلى ذلك العامل العلائقي المتمثّل في ثقة العميل في الجهاز البشري للبنك، وهو ما يُمثّل المتغير المستقل في هذه الدراسة. ويُؤكّد</w:t>
      </w:r>
      <w:r w:rsidRPr="00BE3D42">
        <w:rPr>
          <w:rFonts w:ascii="Simplified Arabic" w:hAnsi="Simplified Arabic" w:cs="Simplified Arabic"/>
          <w:color w:val="000000" w:themeColor="text1"/>
          <w:sz w:val="28"/>
          <w:szCs w:val="28"/>
        </w:rPr>
        <w:t xml:space="preserve"> Nofandrilla</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al.,(2024)</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أن الثقة باتت تُعدّ من المحدّدات المحورية في قرارات الإقراض، إذ تعمل بوصفها مرشّحاً معنوياً يُؤثّر في كيفية معالجة العميل للمعلومات المتعلّقة بالبنك، وفي استعداده لتقديم البيانات الشخصية المطلوبة، وفي قبوله للشروط المقترحة. ويتقاطع مع ذلك ما يطرحه</w:t>
      </w:r>
      <w:r w:rsidRPr="00BE3D42">
        <w:rPr>
          <w:rFonts w:ascii="Simplified Arabic" w:hAnsi="Simplified Arabic" w:cs="Simplified Arabic"/>
          <w:color w:val="000000" w:themeColor="text1"/>
          <w:sz w:val="28"/>
          <w:szCs w:val="28"/>
        </w:rPr>
        <w:t xml:space="preserve"> Chowdhury</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al.,(2024)</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من أن الثقة تعمل بوصفها وسيطاً يربط بين تجربة العميل وقراره النهائي، مما يجعل بناء الثقة شرطاً ضرورياً ولكن غير كافٍ لاتخاذ القرار</w:t>
      </w:r>
      <w:r w:rsidRPr="00BE3D42">
        <w:rPr>
          <w:rFonts w:ascii="Simplified Arabic" w:hAnsi="Simplified Arabic" w:cs="Simplified Arabic"/>
          <w:color w:val="000000" w:themeColor="text1"/>
          <w:sz w:val="28"/>
          <w:szCs w:val="28"/>
        </w:rPr>
        <w:t>.</w:t>
      </w:r>
    </w:p>
    <w:p w14:paraId="446C69F4" w14:textId="77777777" w:rsidR="002F3B1A" w:rsidRPr="00BE3D42" w:rsidRDefault="002F3B1A" w:rsidP="00E216FE">
      <w:pPr>
        <w:pStyle w:val="NormalWeb"/>
        <w:numPr>
          <w:ilvl w:val="0"/>
          <w:numId w:val="40"/>
        </w:numPr>
        <w:bidi/>
        <w:spacing w:line="276" w:lineRule="auto"/>
        <w:ind w:left="424"/>
        <w:jc w:val="both"/>
        <w:rPr>
          <w:rFonts w:ascii="Simplified Arabic" w:hAnsi="Simplified Arabic" w:cs="Simplified Arabic"/>
          <w:b/>
          <w:bCs/>
          <w:color w:val="000000" w:themeColor="text1"/>
          <w:sz w:val="28"/>
          <w:szCs w:val="28"/>
        </w:rPr>
      </w:pPr>
      <w:r w:rsidRPr="00BE3D42">
        <w:rPr>
          <w:rFonts w:ascii="Simplified Arabic" w:hAnsi="Simplified Arabic" w:cs="Simplified Arabic"/>
          <w:b/>
          <w:bCs/>
          <w:color w:val="000000" w:themeColor="text1"/>
          <w:sz w:val="28"/>
          <w:szCs w:val="28"/>
          <w:rtl/>
        </w:rPr>
        <w:t>المحدّدات المرتبطة بالبنك</w:t>
      </w:r>
    </w:p>
    <w:p w14:paraId="0E297E53"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تشمل هذه المحدّدات جملة من الخصائص المؤسسية للبنك التي تُؤثّر في إدراك العميل لجاذبيته بوصفه جهة مقرضة. ومن أبرز هذه المحدّدات: شروط التمويل المتمثّلة في معدل الفائدة وفترة السداد ومرونة الجدولة والمصاريف الإدارية، وهي شروط تُشكّل البُعد المالي المباشر للقرار. وتتضمن كذلك سهولة الإجراءات وسرعة البتّ في الطلب، إذ تتزايد أهمية البُعد الزمني في تجربة العميل المعاصر. ويُضاف إلى ذلك سمعة البنك في السوق، وجودة خدماته، ومستوى تقنياته، ومدى انتشار فروعه وقنواته الإلكترونية</w:t>
      </w:r>
      <w:r w:rsidRPr="00BE3D42">
        <w:rPr>
          <w:rFonts w:ascii="Simplified Arabic" w:hAnsi="Simplified Arabic" w:cs="Simplified Arabic"/>
          <w:color w:val="000000" w:themeColor="text1"/>
          <w:sz w:val="28"/>
          <w:szCs w:val="28"/>
        </w:rPr>
        <w:t>.</w:t>
      </w:r>
    </w:p>
    <w:p w14:paraId="68DFF0F8" w14:textId="26AB2256"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ويحتلّ الجهاز البشري للبنك موقعاً متميّزاً ضمن هذه المحدّدات، إذ يُمثّل الواجهة التي يختبر العميل من خلالها أبعاد البنك الأخرى. وهنا يتجلّى الترابط بين المتغير المستقل والمتغير التابع في هذه الدراسة، حيث تنعكس أبعاد ثقة العميل في الموظف (الكفاءة المهنية، النزاهة، التعاطف، التواصل الفعّال) على قراره النهائي بالاقتراض. ويُؤكّد</w:t>
      </w:r>
      <w:r w:rsidRPr="00BE3D42">
        <w:rPr>
          <w:rFonts w:ascii="Simplified Arabic" w:hAnsi="Simplified Arabic" w:cs="Simplified Arabic"/>
          <w:color w:val="000000" w:themeColor="text1"/>
          <w:sz w:val="28"/>
          <w:szCs w:val="28"/>
        </w:rPr>
        <w:t xml:space="preserve"> Subedi </w:t>
      </w:r>
      <w:r w:rsidR="006D05B4" w:rsidRPr="00BE3D42">
        <w:rPr>
          <w:rFonts w:ascii="Simplified Arabic" w:hAnsi="Simplified Arabic" w:cs="Simplified Arabic"/>
          <w:color w:val="000000" w:themeColor="text1"/>
          <w:sz w:val="28"/>
          <w:szCs w:val="28"/>
        </w:rPr>
        <w:t>&amp;</w:t>
      </w:r>
      <w:r w:rsidRPr="00BE3D42">
        <w:rPr>
          <w:rFonts w:ascii="Simplified Arabic" w:hAnsi="Simplified Arabic" w:cs="Simplified Arabic"/>
          <w:color w:val="000000" w:themeColor="text1"/>
          <w:sz w:val="28"/>
          <w:szCs w:val="28"/>
        </w:rPr>
        <w:t xml:space="preserve">Joshi (2025) </w:t>
      </w:r>
      <w:r w:rsidRPr="00BE3D42">
        <w:rPr>
          <w:rFonts w:ascii="Simplified Arabic" w:hAnsi="Simplified Arabic" w:cs="Simplified Arabic"/>
          <w:color w:val="000000" w:themeColor="text1"/>
          <w:sz w:val="28"/>
          <w:szCs w:val="28"/>
          <w:rtl/>
        </w:rPr>
        <w:t>أن جودة التفاعل مع الموظفين تُمثّل أحد أبرز العوامل التي يستند إليها العميل في اختيار البنك المُقرض، وهو ما يتقاطع مع ما يطرحه</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Pr>
        <w:lastRenderedPageBreak/>
        <w:t>Karakasnaki</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al.,(2023)</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من أن أداء موظفي الخط الأمامي يُؤثّر بشكل مباشر في القرارات المالية للعملاء</w:t>
      </w:r>
      <w:r w:rsidRPr="00BE3D42">
        <w:rPr>
          <w:rFonts w:ascii="Simplified Arabic" w:hAnsi="Simplified Arabic" w:cs="Simplified Arabic"/>
          <w:color w:val="000000" w:themeColor="text1"/>
          <w:sz w:val="28"/>
          <w:szCs w:val="28"/>
        </w:rPr>
        <w:t>.</w:t>
      </w:r>
    </w:p>
    <w:p w14:paraId="722C4A7C" w14:textId="12A3A455"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ويُلفت</w:t>
      </w:r>
      <w:r w:rsidRPr="00BE3D42">
        <w:rPr>
          <w:rFonts w:ascii="Simplified Arabic" w:hAnsi="Simplified Arabic" w:cs="Simplified Arabic"/>
          <w:color w:val="000000" w:themeColor="text1"/>
          <w:sz w:val="28"/>
          <w:szCs w:val="28"/>
        </w:rPr>
        <w:t xml:space="preserve"> Hagendorff</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al.,(2023)</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إلى أن المحدّدات المؤسسية للبنك لا تعمل بمعزل عن المحدّدات العلائقية، بل تتفاعل معها بحيث تُكتسب الشروط المالية معناها من خلال السياق العلائقي الذي تُقدَّم فيه. كما يُشير علي وآخرون (2024) إلى أن مستوى أتمتة الخدمات بات يُمثّل محدّداً مستجدّاً يُؤثّر في رضا العميل وولائه، ومن ثمّ في قراراته المالية اللاحقة. وتُضيف بلقاسمي وخوري (2023) محدّداً منهجياً يتعلّق بمدى استناد البنك إلى دراسات الجدوى في قراراته الائتمانية، وهو ما ينعكس على جودة العرض المُقدَّم للعميل. ومن منظور النظم المعلوماتية، يُشير خيري وعبد الحميد (2025) إلى أن استخدام نظم دعم القرار في البنك يُعزّز كفاءة قراراته الائتمانية ويُسهم في تحسين تجربة العميل ودرجة اطمئنانه للجهة المُقرضة</w:t>
      </w:r>
      <w:r w:rsidRPr="00BE3D42">
        <w:rPr>
          <w:rFonts w:ascii="Simplified Arabic" w:hAnsi="Simplified Arabic" w:cs="Simplified Arabic"/>
          <w:color w:val="000000" w:themeColor="text1"/>
          <w:sz w:val="28"/>
          <w:szCs w:val="28"/>
        </w:rPr>
        <w:t>.</w:t>
      </w:r>
    </w:p>
    <w:p w14:paraId="28326292" w14:textId="77777777" w:rsidR="002F3B1A" w:rsidRPr="00BE3D42" w:rsidRDefault="002F3B1A" w:rsidP="00E216FE">
      <w:pPr>
        <w:pStyle w:val="NormalWeb"/>
        <w:numPr>
          <w:ilvl w:val="0"/>
          <w:numId w:val="40"/>
        </w:numPr>
        <w:bidi/>
        <w:spacing w:line="276" w:lineRule="auto"/>
        <w:ind w:left="424"/>
        <w:jc w:val="both"/>
        <w:rPr>
          <w:rFonts w:ascii="Simplified Arabic" w:hAnsi="Simplified Arabic" w:cs="Simplified Arabic"/>
          <w:b/>
          <w:bCs/>
          <w:color w:val="000000" w:themeColor="text1"/>
          <w:sz w:val="28"/>
          <w:szCs w:val="28"/>
        </w:rPr>
      </w:pPr>
      <w:r w:rsidRPr="00BE3D42">
        <w:rPr>
          <w:rFonts w:ascii="Simplified Arabic" w:hAnsi="Simplified Arabic" w:cs="Simplified Arabic"/>
          <w:b/>
          <w:bCs/>
          <w:color w:val="000000" w:themeColor="text1"/>
          <w:sz w:val="28"/>
          <w:szCs w:val="28"/>
          <w:rtl/>
        </w:rPr>
        <w:t>المحدّدات المرتبطة بالبيئة الاقتصادية</w:t>
      </w:r>
    </w:p>
    <w:p w14:paraId="2FFC47B1"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تتشكّل هذه المحدّدات من جملة من المتغيرات الكلّية التي تُؤطّر قرار العميل وتُحدّد فضاء البدائل المتاحة أمامه. وتشمل: مستوى أسعار الفائدة في الاقتصاد ككل، ومعدلات التضخم التي تُؤثّر في القيمة الحقيقية لأقساط السداد، ومستوى الاستقرار الاقتصادي الذي يُؤثّر في توقعات العميل بشأن دخله المستقبلي، والسياسات الائتمانية للبنك المركزي التي تُحدّد سقوف الإقراض ونسب الدخل المسموح بتخصيصها لخدمة الدين. وتُضيف عبيد الله وآخرون (2023) أن العوامل الاجتماعية كالأنماط الاستهلاكية السائدة وتوقعات المجتمع تلعب دوراً في تشكيل اتجاهات الأفراد نحو الاقتراض</w:t>
      </w:r>
      <w:r w:rsidRPr="00BE3D42">
        <w:rPr>
          <w:rFonts w:ascii="Simplified Arabic" w:hAnsi="Simplified Arabic" w:cs="Simplified Arabic"/>
          <w:color w:val="000000" w:themeColor="text1"/>
          <w:sz w:val="28"/>
          <w:szCs w:val="28"/>
        </w:rPr>
        <w:t>.</w:t>
      </w:r>
    </w:p>
    <w:p w14:paraId="7C57242B" w14:textId="22947B60"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ويُبرز</w:t>
      </w:r>
      <w:r w:rsidRPr="00BE3D42">
        <w:rPr>
          <w:rFonts w:ascii="Simplified Arabic" w:hAnsi="Simplified Arabic" w:cs="Simplified Arabic"/>
          <w:color w:val="000000" w:themeColor="text1"/>
          <w:sz w:val="28"/>
          <w:szCs w:val="28"/>
        </w:rPr>
        <w:t xml:space="preserve"> Chang</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al.,(2025)</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أن جودة البيئة المعلوماتية المحلية تُؤثّر في قرارات الاقتراض، إذ ترتفع حساسية القرار للعوامل العلائقية في البيئات التي تنخفض فيها جودة المعلومات، مما يجعل المحدّدات البيئية متشابكة مع المحدّدات العلائقية وليس مستقلة عنها. ويُضاف إلى ذلك العامل التشريعي المتعلّق بحماية المستهلك المالي، ومستوى الشفافية المطلوبة من البنوك في الإفصاح عن شروط التمويل</w:t>
      </w:r>
      <w:r w:rsidRPr="00BE3D42">
        <w:rPr>
          <w:rFonts w:ascii="Simplified Arabic" w:hAnsi="Simplified Arabic" w:cs="Simplified Arabic"/>
          <w:color w:val="000000" w:themeColor="text1"/>
          <w:sz w:val="28"/>
          <w:szCs w:val="28"/>
        </w:rPr>
        <w:t>.</w:t>
      </w:r>
    </w:p>
    <w:p w14:paraId="361381C7"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 xml:space="preserve">ويمكن إضافة محدّدات تكميلية تتعلّق بـ: حجم المنافسة في السوق المصرفي وأثره على تنوّع البدائل المعروضة، ومستوى الشمول المالي الذي يُحدّد مدى وصول الفئات المختلفة إلى الخدمات الائتمانية، والتطوّرات التقنية التي تُعيد تشكيل قنوات تقديم القرض ذاتها. ويُؤكّد ذلك بن صالح (2023) </w:t>
      </w:r>
      <w:r w:rsidRPr="00BE3D42">
        <w:rPr>
          <w:rFonts w:ascii="Simplified Arabic" w:hAnsi="Simplified Arabic" w:cs="Simplified Arabic"/>
          <w:color w:val="000000" w:themeColor="text1"/>
          <w:sz w:val="28"/>
          <w:szCs w:val="28"/>
          <w:rtl/>
        </w:rPr>
        <w:lastRenderedPageBreak/>
        <w:t>في معالجتها لثقة العملاء في الخدمات الإلكترونية، حيث تنتقل قرارات الاقتراض تدريجياً نحو القنوات الرقمية، مما يُعيد تشكيل المحدّدات التقليدية ويُضيف إليها محدّدات جديدة تتعلّق بالأمان السيبراني وسهولة الاستخدام. وفي السياق نفسه، يُبرز الهرام وآخرون (2025) أن رضا العملاء عن الخدمات المصرفية الرقمية بات يُمثّل عاملاً ذا أثر متنامٍ في قراراتهم المالية، بما فيها قرار الاقتراض</w:t>
      </w:r>
      <w:r w:rsidRPr="00BE3D42">
        <w:rPr>
          <w:rFonts w:ascii="Simplified Arabic" w:hAnsi="Simplified Arabic" w:cs="Simplified Arabic"/>
          <w:color w:val="000000" w:themeColor="text1"/>
          <w:sz w:val="28"/>
          <w:szCs w:val="28"/>
        </w:rPr>
        <w:t>.</w:t>
      </w:r>
    </w:p>
    <w:p w14:paraId="25668862" w14:textId="73DA6152" w:rsidR="002F3B1A" w:rsidRPr="00BE3D42" w:rsidRDefault="00E216FE" w:rsidP="00E216FE">
      <w:pPr>
        <w:pStyle w:val="NormalWeb"/>
        <w:bidi/>
        <w:spacing w:line="276" w:lineRule="auto"/>
        <w:jc w:val="both"/>
        <w:outlineLvl w:val="2"/>
        <w:rPr>
          <w:rFonts w:ascii="Simplified Arabic" w:hAnsi="Simplified Arabic" w:cs="Simplified Arabic"/>
          <w:b/>
          <w:bCs/>
          <w:color w:val="000000" w:themeColor="text1"/>
          <w:sz w:val="32"/>
          <w:szCs w:val="32"/>
        </w:rPr>
      </w:pPr>
      <w:bookmarkStart w:id="49" w:name="_Toc233117065"/>
      <w:r w:rsidRPr="00BE3D42">
        <w:rPr>
          <w:rFonts w:ascii="Simplified Arabic" w:hAnsi="Simplified Arabic" w:cs="Simplified Arabic" w:hint="cs"/>
          <w:b/>
          <w:bCs/>
          <w:color w:val="000000" w:themeColor="text1"/>
          <w:sz w:val="32"/>
          <w:szCs w:val="32"/>
          <w:rtl/>
        </w:rPr>
        <w:t>6.2.2</w:t>
      </w:r>
      <w:r w:rsidR="002F3B1A" w:rsidRPr="00BE3D42">
        <w:rPr>
          <w:rFonts w:ascii="Simplified Arabic" w:hAnsi="Simplified Arabic" w:cs="Simplified Arabic"/>
          <w:b/>
          <w:bCs/>
          <w:color w:val="000000" w:themeColor="text1"/>
          <w:sz w:val="32"/>
          <w:szCs w:val="32"/>
          <w:rtl/>
        </w:rPr>
        <w:t xml:space="preserve"> استراتيجيات ترشيد قرار الحصول على القرض الشخصي</w:t>
      </w:r>
      <w:bookmarkEnd w:id="49"/>
    </w:p>
    <w:p w14:paraId="698AF050"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يستلزم ترشيد قرار الاقتراض الشخصي تكامل استراتيجيات تُعمل على مستوى العميل والبنك والبيئة المؤسسية. وعلى مستوى العميل، تأتي استراتيجية رفع الوعي المالي بوصفها أداةً لتمكينه من تقييم احتياجاته التمويلية بدقة، والمفاضلة بين البدائل المتاحة، وفهم أعباء الالتزام طويل الأجل. وتُكمّلها استراتيجية التخطيط المالي الشخصي التي تضع قرار الاقتراض في سياق أوسع من الأهداف المالية للفرد، فلا يكون قراراً ظرفياً منفصلاً</w:t>
      </w:r>
      <w:r w:rsidRPr="00BE3D42">
        <w:rPr>
          <w:rFonts w:ascii="Simplified Arabic" w:hAnsi="Simplified Arabic" w:cs="Simplified Arabic"/>
          <w:color w:val="000000" w:themeColor="text1"/>
          <w:sz w:val="28"/>
          <w:szCs w:val="28"/>
        </w:rPr>
        <w:t>.</w:t>
      </w:r>
    </w:p>
    <w:p w14:paraId="12322FAA" w14:textId="7B645850"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وعلى مستوى البنك، تتعدّد الاستراتيجيات الرامية إلى دعم اتخاذ العميل لقرار رشيد، ومنها: استراتيجية الشفافية في الإفصاح عن شروط التمويل، إذ يُؤكّد</w:t>
      </w:r>
      <w:r w:rsidRPr="00BE3D42">
        <w:rPr>
          <w:rFonts w:ascii="Simplified Arabic" w:hAnsi="Simplified Arabic" w:cs="Simplified Arabic"/>
          <w:color w:val="000000" w:themeColor="text1"/>
          <w:sz w:val="28"/>
          <w:szCs w:val="28"/>
        </w:rPr>
        <w:t xml:space="preserve"> Hagendorff</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al.,(2023)</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أن جودة الإفصاح تُعدّ مدخلاً جوهرياً لبناء عقود ائتمانية متوازنة. وتتقاطع مع ذلك استراتيجية الاستشارة المالية المُقدَّمة للعميل قبل اتخاذ القرار، حيث يتحوّل دور الموظف من مجرد مُنفِّذ للإجراء إلى مستشار يُساعد العميل على فهم المنتج وملاءمته لظروفه، وهو ما يستلزم تنمية الكفاءة المهنية للموظف ومهاراته في التواصل الفعّال، بما يتسق مع أبعاد المتغير المستقل في هذه الدراسة. ويُشير</w:t>
      </w:r>
      <w:r w:rsidRPr="00BE3D42">
        <w:rPr>
          <w:rFonts w:ascii="Simplified Arabic" w:hAnsi="Simplified Arabic" w:cs="Simplified Arabic"/>
          <w:color w:val="000000" w:themeColor="text1"/>
          <w:sz w:val="28"/>
          <w:szCs w:val="28"/>
        </w:rPr>
        <w:t xml:space="preserve"> Karakasnaki </w:t>
      </w:r>
      <w:r w:rsidR="006D05B4" w:rsidRPr="00BE3D42">
        <w:rPr>
          <w:rFonts w:ascii="Simplified Arabic" w:hAnsi="Simplified Arabic" w:cs="Simplified Arabic"/>
          <w:color w:val="000000" w:themeColor="text1"/>
          <w:sz w:val="28"/>
          <w:szCs w:val="28"/>
        </w:rPr>
        <w:t>et al.,(2023)</w:t>
      </w:r>
      <w:r w:rsidRPr="00BE3D42">
        <w:rPr>
          <w:rFonts w:ascii="Simplified Arabic" w:hAnsi="Simplified Arabic" w:cs="Simplified Arabic"/>
          <w:color w:val="000000" w:themeColor="text1"/>
          <w:sz w:val="28"/>
          <w:szCs w:val="28"/>
          <w:rtl/>
        </w:rPr>
        <w:t xml:space="preserve"> إلى أن الجمع بين الكفاءة والتعاطف والتوجّه نحو المستهلك يُمثّل أساساً لأداء فعّال لموظفي الخط الأمامي، وهو ما ينعكس على ترشيد قرار العميل</w:t>
      </w:r>
      <w:r w:rsidRPr="00BE3D42">
        <w:rPr>
          <w:rFonts w:ascii="Simplified Arabic" w:hAnsi="Simplified Arabic" w:cs="Simplified Arabic"/>
          <w:color w:val="000000" w:themeColor="text1"/>
          <w:sz w:val="28"/>
          <w:szCs w:val="28"/>
        </w:rPr>
        <w:t>.</w:t>
      </w:r>
    </w:p>
    <w:p w14:paraId="2A5B573D" w14:textId="47CA7A1A"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منظور تنظيمي، تأتي استراتيجية بناء بيئة عمل داخلية داعمة بوصفها شرطاً مسبقاً لإنتاج تجربة عميل عالية الجودة. ويُؤكّد</w:t>
      </w:r>
      <w:r w:rsidRPr="00BE3D42">
        <w:rPr>
          <w:rFonts w:ascii="Simplified Arabic" w:hAnsi="Simplified Arabic" w:cs="Simplified Arabic"/>
          <w:color w:val="000000" w:themeColor="text1"/>
          <w:sz w:val="28"/>
          <w:szCs w:val="28"/>
        </w:rPr>
        <w:t xml:space="preserve"> Eva</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al.,(2024)</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على أن جودة القيادة والتواصل والعمل الجماعي تُعزّز الثقة الداخلية للموظفين، وهو ما ينعكس على قدرتهم على إنتاج تجربة عميل تُسهّل اتخاذ قرارات رشيدة. ويُكمّل ذلك ما يطرحه</w:t>
      </w:r>
      <w:r w:rsidRPr="00BE3D42">
        <w:rPr>
          <w:rFonts w:ascii="Simplified Arabic" w:hAnsi="Simplified Arabic" w:cs="Simplified Arabic"/>
          <w:color w:val="000000" w:themeColor="text1"/>
          <w:sz w:val="28"/>
          <w:szCs w:val="28"/>
        </w:rPr>
        <w:t xml:space="preserve"> Men</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al.,(2022)</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 xml:space="preserve">من أهمية التواصل الإشرافي الفعّال في فترات عدم اليقين، حيث يُسهم في تماسك المؤسسة وقدرتها على خدمة عملائها في الظروف الاستثنائية. </w:t>
      </w:r>
      <w:r w:rsidRPr="00BE3D42">
        <w:rPr>
          <w:rFonts w:ascii="Simplified Arabic" w:hAnsi="Simplified Arabic" w:cs="Simplified Arabic"/>
          <w:color w:val="000000" w:themeColor="text1"/>
          <w:sz w:val="28"/>
          <w:szCs w:val="28"/>
          <w:rtl/>
        </w:rPr>
        <w:lastRenderedPageBreak/>
        <w:t>وتُضيف</w:t>
      </w:r>
      <w:r w:rsidRPr="00BE3D42">
        <w:rPr>
          <w:rFonts w:ascii="Simplified Arabic" w:hAnsi="Simplified Arabic" w:cs="Simplified Arabic"/>
          <w:color w:val="000000" w:themeColor="text1"/>
          <w:sz w:val="28"/>
          <w:szCs w:val="28"/>
        </w:rPr>
        <w:t xml:space="preserve"> Jabeen </w:t>
      </w:r>
      <w:r w:rsidR="006D05B4" w:rsidRPr="00BE3D42">
        <w:rPr>
          <w:rFonts w:ascii="Simplified Arabic" w:hAnsi="Simplified Arabic" w:cs="Simplified Arabic"/>
          <w:color w:val="000000" w:themeColor="text1"/>
          <w:sz w:val="28"/>
          <w:szCs w:val="28"/>
        </w:rPr>
        <w:t>&amp;</w:t>
      </w:r>
      <w:r w:rsidRPr="00BE3D42">
        <w:rPr>
          <w:rFonts w:ascii="Simplified Arabic" w:hAnsi="Simplified Arabic" w:cs="Simplified Arabic"/>
          <w:color w:val="000000" w:themeColor="text1"/>
          <w:sz w:val="28"/>
          <w:szCs w:val="28"/>
        </w:rPr>
        <w:t xml:space="preserve">Rahim (2021) </w:t>
      </w:r>
      <w:r w:rsidRPr="00BE3D42">
        <w:rPr>
          <w:rFonts w:ascii="Simplified Arabic" w:hAnsi="Simplified Arabic" w:cs="Simplified Arabic"/>
          <w:color w:val="000000" w:themeColor="text1"/>
          <w:sz w:val="28"/>
          <w:szCs w:val="28"/>
          <w:rtl/>
        </w:rPr>
        <w:t>أن تجنّب أنماط القيادة الاستبدادية يُحافظ على انخراط الموظف وثقته، وهو ما ينعكس بدوره على جودة تفاعله مع العميل</w:t>
      </w:r>
      <w:r w:rsidRPr="00BE3D42">
        <w:rPr>
          <w:rFonts w:ascii="Simplified Arabic" w:hAnsi="Simplified Arabic" w:cs="Simplified Arabic"/>
          <w:color w:val="000000" w:themeColor="text1"/>
          <w:sz w:val="28"/>
          <w:szCs w:val="28"/>
        </w:rPr>
        <w:t>.</w:t>
      </w:r>
    </w:p>
    <w:p w14:paraId="0D2E87C5" w14:textId="095C0AD9"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ومن منظور تقني، تأتي استراتيجية التحوّل الرقمي المُدار بحذر، حيث يُحذّر</w:t>
      </w:r>
      <w:r w:rsidRPr="00BE3D42">
        <w:rPr>
          <w:rFonts w:ascii="Simplified Arabic" w:hAnsi="Simplified Arabic" w:cs="Simplified Arabic"/>
          <w:color w:val="000000" w:themeColor="text1"/>
          <w:sz w:val="28"/>
          <w:szCs w:val="28"/>
        </w:rPr>
        <w:t xml:space="preserve"> Braganza</w:t>
      </w:r>
      <w:r w:rsidR="006D05B4" w:rsidRPr="00BE3D42">
        <w:rPr>
          <w:rFonts w:ascii="Simplified Arabic" w:eastAsiaTheme="minorHAnsi" w:hAnsi="Simplified Arabic" w:cs="Simplified Arabic"/>
          <w:color w:val="000000" w:themeColor="text1"/>
          <w:kern w:val="2"/>
          <w:sz w:val="28"/>
          <w:szCs w:val="28"/>
          <w14:ligatures w14:val="standardContextual"/>
        </w:rPr>
        <w:t xml:space="preserve"> </w:t>
      </w:r>
      <w:r w:rsidR="006D05B4" w:rsidRPr="00BE3D42">
        <w:rPr>
          <w:rFonts w:ascii="Simplified Arabic" w:hAnsi="Simplified Arabic" w:cs="Simplified Arabic"/>
          <w:color w:val="000000" w:themeColor="text1"/>
          <w:sz w:val="28"/>
          <w:szCs w:val="28"/>
        </w:rPr>
        <w:t>et al.,(2021)</w:t>
      </w:r>
      <w:r w:rsidRPr="00BE3D42">
        <w:rPr>
          <w:rFonts w:ascii="Simplified Arabic" w:hAnsi="Simplified Arabic" w:cs="Simplified Arabic"/>
          <w:color w:val="000000" w:themeColor="text1"/>
          <w:sz w:val="28"/>
          <w:szCs w:val="28"/>
        </w:rPr>
        <w:t xml:space="preserve"> </w:t>
      </w:r>
      <w:r w:rsidRPr="00BE3D42">
        <w:rPr>
          <w:rFonts w:ascii="Simplified Arabic" w:hAnsi="Simplified Arabic" w:cs="Simplified Arabic"/>
          <w:color w:val="000000" w:themeColor="text1"/>
          <w:sz w:val="28"/>
          <w:szCs w:val="28"/>
          <w:rtl/>
        </w:rPr>
        <w:t>من أن إدخال الذكاء الاصطناعي والأتمتة دون استراتيجيات مرافقة قد يُؤثّر سلباً على العقد النفسي للموظف وعلى قدرته على إنتاج ثقة العميل. ويتطلّب ذلك توازناً بين كفاءة الأتمتة ودفء التفاعل البشري، وهو ما يُلمح إليه علي وآخرون (2024) في معالجتهم لأثر الأتمتة على رضا العملاء وولائهم</w:t>
      </w:r>
      <w:r w:rsidRPr="00BE3D42">
        <w:rPr>
          <w:rFonts w:ascii="Simplified Arabic" w:hAnsi="Simplified Arabic" w:cs="Simplified Arabic"/>
          <w:color w:val="000000" w:themeColor="text1"/>
          <w:sz w:val="28"/>
          <w:szCs w:val="28"/>
        </w:rPr>
        <w:t>.</w:t>
      </w:r>
    </w:p>
    <w:p w14:paraId="4D1B446B"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وعلى المستوى المؤسسي الموسّع، تأتي استراتيجية بناء أنظمة دعم القرار التي تُحسّن من جودة قرارات البنك الائتمانية وتنعكس بشكل غير مباشر على ترشيد قرار العميل، وهو ما يُبرزه خيري وعبد الحميد (2025) في معالجتهم لأثر هذه النظم في قرارات التمويل. وتُكمّلها استراتيجية اعتماد دراسات الجدوى المالية في عمليات التقييم الائتماني، كما تُشير إليه بلقاسمي وخوري (2023). كما تتقاطع مع استراتيجية القياس المستمر لرضا العملاء عن الخدمات الرقمية والتقليدية، بما يضمن تطوير تجربتهم وتعزيز ثقتهم في الجهاز البشري للبنك، وهو ما يُبرزه الهرام وآخرون (2025) وبن صالح (2023). وفي الإطار الاستبقائي، تُمثّل استراتيجية رصد نوايا الترك ومعالجتها مبكراً أداةً للحفاظ على قاعدة العملاء وضمان استمرار العلاقات الائتمانية، وهو ما يُلمح إليه الفقهاء (2018) في معالجته للوسيط بين رضا العملاء ونواياهم</w:t>
      </w:r>
      <w:r w:rsidRPr="00BE3D42">
        <w:rPr>
          <w:rFonts w:ascii="Simplified Arabic" w:hAnsi="Simplified Arabic" w:cs="Simplified Arabic"/>
          <w:color w:val="000000" w:themeColor="text1"/>
          <w:sz w:val="28"/>
          <w:szCs w:val="28"/>
        </w:rPr>
        <w:t>.</w:t>
      </w:r>
    </w:p>
    <w:p w14:paraId="2A1C8B06" w14:textId="77777777" w:rsidR="002F3B1A" w:rsidRPr="00BE3D42" w:rsidRDefault="002F3B1A" w:rsidP="00D7372F">
      <w:pPr>
        <w:pStyle w:val="NormalWeb"/>
        <w:bidi/>
        <w:spacing w:line="276" w:lineRule="auto"/>
        <w:ind w:firstLine="424"/>
        <w:jc w:val="both"/>
        <w:rPr>
          <w:rFonts w:ascii="Simplified Arabic" w:hAnsi="Simplified Arabic" w:cs="Simplified Arabic"/>
          <w:color w:val="000000" w:themeColor="text1"/>
          <w:sz w:val="28"/>
          <w:szCs w:val="28"/>
        </w:rPr>
      </w:pPr>
      <w:r w:rsidRPr="00BE3D42">
        <w:rPr>
          <w:rFonts w:ascii="Simplified Arabic" w:hAnsi="Simplified Arabic" w:cs="Simplified Arabic"/>
          <w:color w:val="000000" w:themeColor="text1"/>
          <w:sz w:val="28"/>
          <w:szCs w:val="28"/>
          <w:rtl/>
        </w:rPr>
        <w:t>وتمتدّ الاستراتيجيات لتشمل البُعد التعاوني بين البنك والعميل، حيث يُصبح القرض ثمرة عملية تفاوض متبادل لا قراراً أحادياً، وهو ما يستلزم تطوير قنوات حوار فعّالة وآليات لاستقبال ملاحظات العميل ودمجها في تصميم المنتجات. ويتقاطع ذلك مع المعالجات التي قدّمها الجمال (2021) وباب الله (2025) لمحدّدات قرار الائتمان من زوايا متعددة، حيث يتجلّى أن استدامة العلاقة الائتمانية تستلزم وعياً مشتركاً بين البنك والعميل بمحدّدات القرار وآليات ترشيده</w:t>
      </w:r>
      <w:r w:rsidRPr="00BE3D42">
        <w:rPr>
          <w:rFonts w:ascii="Simplified Arabic" w:hAnsi="Simplified Arabic" w:cs="Simplified Arabic"/>
          <w:color w:val="000000" w:themeColor="text1"/>
          <w:sz w:val="28"/>
          <w:szCs w:val="28"/>
        </w:rPr>
        <w:t>.</w:t>
      </w:r>
    </w:p>
    <w:p w14:paraId="6FE445A4" w14:textId="5346EF1A" w:rsidR="00E216FE" w:rsidRPr="00BE3D42" w:rsidRDefault="00D7372F" w:rsidP="007A7AC5">
      <w:pPr>
        <w:jc w:val="center"/>
        <w:outlineLvl w:val="0"/>
        <w:rPr>
          <w:rFonts w:ascii="Simplified Arabic" w:hAnsi="Simplified Arabic" w:cs="Simplified Arabic"/>
          <w:b/>
          <w:bCs/>
          <w:color w:val="000000" w:themeColor="text1"/>
          <w:szCs w:val="28"/>
          <w:rtl/>
        </w:rPr>
        <w:sectPr w:rsidR="00E216FE" w:rsidRPr="00BE3D42" w:rsidSect="00D7372F">
          <w:footerReference w:type="default" r:id="rId9"/>
          <w:pgSz w:w="11906" w:h="16838" w:code="9"/>
          <w:pgMar w:top="1134" w:right="1701" w:bottom="1134" w:left="1134" w:header="720" w:footer="720" w:gutter="0"/>
          <w:pgNumType w:start="1"/>
          <w:cols w:space="708"/>
          <w:bidi/>
          <w:rtlGutter/>
          <w:docGrid w:linePitch="360"/>
        </w:sectPr>
      </w:pPr>
      <w:r w:rsidRPr="00BE3D42">
        <w:rPr>
          <w:rFonts w:ascii="Simplified Arabic" w:hAnsi="Simplified Arabic" w:cs="Simplified Arabic"/>
          <w:b/>
          <w:bCs/>
          <w:color w:val="000000" w:themeColor="text1"/>
          <w:sz w:val="40"/>
          <w:szCs w:val="40"/>
          <w:rtl/>
        </w:rPr>
        <w:br w:type="page"/>
      </w:r>
      <w:bookmarkStart w:id="50" w:name="_GoBack"/>
      <w:bookmarkEnd w:id="27"/>
      <w:bookmarkEnd w:id="50"/>
    </w:p>
    <w:p w14:paraId="24827C07" w14:textId="5806AB23" w:rsidR="0081623B" w:rsidRPr="00BE3D42" w:rsidRDefault="00246C3F" w:rsidP="00E216FE">
      <w:pPr>
        <w:tabs>
          <w:tab w:val="left" w:pos="5472"/>
        </w:tabs>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E3D42">
        <w:rPr>
          <w:rFonts w:asciiTheme="majorBidi" w:hAnsiTheme="majorBidi" w:cstheme="majorBidi"/>
          <w:b/>
          <w:bCs/>
          <w:noProof/>
          <w:color w:val="000000" w:themeColor="text1"/>
          <w:sz w:val="32"/>
          <w:szCs w:val="32"/>
        </w:rPr>
        <w:lastRenderedPageBreak/>
        <w:drawing>
          <wp:anchor distT="0" distB="0" distL="114300" distR="114300" simplePos="0" relativeHeight="251658240" behindDoc="1" locked="0" layoutInCell="1" allowOverlap="1" wp14:anchorId="76B23884" wp14:editId="044625F6">
            <wp:simplePos x="0" y="0"/>
            <wp:positionH relativeFrom="column">
              <wp:posOffset>3966210</wp:posOffset>
            </wp:positionH>
            <wp:positionV relativeFrom="paragraph">
              <wp:posOffset>0</wp:posOffset>
            </wp:positionV>
            <wp:extent cx="1670685" cy="1548130"/>
            <wp:effectExtent l="0" t="0" r="5715" b="0"/>
            <wp:wrapTight wrapText="bothSides">
              <wp:wrapPolygon edited="0">
                <wp:start x="0" y="0"/>
                <wp:lineTo x="0" y="21263"/>
                <wp:lineTo x="21428" y="21263"/>
                <wp:lineTo x="21428"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0685" cy="1548130"/>
                    </a:xfrm>
                    <a:prstGeom prst="rect">
                      <a:avLst/>
                    </a:prstGeom>
                    <a:noFill/>
                  </pic:spPr>
                </pic:pic>
              </a:graphicData>
            </a:graphic>
            <wp14:sizeRelH relativeFrom="margin">
              <wp14:pctWidth>0</wp14:pctWidth>
            </wp14:sizeRelH>
            <wp14:sizeRelV relativeFrom="margin">
              <wp14:pctHeight>0</wp14:pctHeight>
            </wp14:sizeRelV>
          </wp:anchor>
        </w:drawing>
      </w:r>
      <w:r w:rsidRPr="00BE3D42">
        <w:rPr>
          <w:rFonts w:asciiTheme="majorBidi" w:eastAsia="Calibri" w:hAnsiTheme="majorBidi" w:cstheme="majorBidi"/>
          <w:b/>
          <w:bCs/>
          <w:color w:val="000000" w:themeColor="text1"/>
          <w:kern w:val="0"/>
          <w:sz w:val="32"/>
          <w:szCs w:val="32"/>
          <w:lang w:bidi="ar-EG"/>
          <w14:ligatures w14:val="none"/>
        </w:rPr>
        <w:t xml:space="preserve">Mid </w:t>
      </w:r>
      <w:r w:rsidR="0081623B" w:rsidRPr="00BE3D42">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BE3D42" w:rsidRDefault="0081623B" w:rsidP="00E216F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E3D42">
        <w:rPr>
          <w:rFonts w:asciiTheme="majorBidi" w:eastAsia="Calibri" w:hAnsiTheme="majorBidi" w:cstheme="majorBidi"/>
          <w:b/>
          <w:bCs/>
          <w:color w:val="000000" w:themeColor="text1"/>
          <w:kern w:val="0"/>
          <w:sz w:val="32"/>
          <w:szCs w:val="32"/>
          <w:lang w:bidi="ar-EG"/>
          <w14:ligatures w14:val="none"/>
        </w:rPr>
        <w:t>College of Management</w:t>
      </w:r>
    </w:p>
    <w:p w14:paraId="1F6A29C8" w14:textId="60369EED" w:rsidR="00E66E20" w:rsidRPr="00BE3D42" w:rsidRDefault="00857739" w:rsidP="00E216F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BE3D42">
        <w:rPr>
          <w:rFonts w:asciiTheme="majorBidi" w:eastAsia="Calibri" w:hAnsiTheme="majorBidi" w:cstheme="majorBidi"/>
          <w:b/>
          <w:bCs/>
          <w:color w:val="000000" w:themeColor="text1"/>
          <w:kern w:val="0"/>
          <w:sz w:val="32"/>
          <w:szCs w:val="32"/>
          <w:lang w:bidi="ar-EG"/>
          <w14:ligatures w14:val="none"/>
        </w:rPr>
        <w:t xml:space="preserve">Department </w:t>
      </w:r>
      <w:r w:rsidR="0002547A" w:rsidRPr="00BE3D42">
        <w:rPr>
          <w:rFonts w:asciiTheme="majorBidi" w:eastAsia="Calibri" w:hAnsiTheme="majorBidi" w:cstheme="majorBidi"/>
          <w:b/>
          <w:bCs/>
          <w:color w:val="000000" w:themeColor="text1"/>
          <w:kern w:val="0"/>
          <w:sz w:val="32"/>
          <w:szCs w:val="32"/>
          <w:lang w:bidi="ar-EG"/>
          <w14:ligatures w14:val="none"/>
        </w:rPr>
        <w:t xml:space="preserve">business administration </w:t>
      </w:r>
      <w:r w:rsidR="00277FAC" w:rsidRPr="00BE3D42">
        <w:rPr>
          <w:rFonts w:asciiTheme="majorBidi" w:eastAsia="Calibri" w:hAnsiTheme="majorBidi" w:cstheme="majorBidi"/>
          <w:b/>
          <w:bCs/>
          <w:color w:val="000000" w:themeColor="text1"/>
          <w:kern w:val="0"/>
          <w:sz w:val="32"/>
          <w:szCs w:val="32"/>
          <w14:ligatures w14:val="none"/>
        </w:rPr>
        <w:t xml:space="preserve"> </w:t>
      </w:r>
    </w:p>
    <w:p w14:paraId="7F1106F3" w14:textId="77777777" w:rsidR="00E27D3B" w:rsidRPr="00BE3D42" w:rsidRDefault="00E27D3B" w:rsidP="00E216F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0311753E" w14:textId="77777777" w:rsidR="0002547A" w:rsidRPr="00BE3D42" w:rsidRDefault="0002547A" w:rsidP="00E216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BE3D42">
        <w:rPr>
          <w:rFonts w:asciiTheme="majorBidi" w:eastAsia="Calibri" w:hAnsiTheme="majorBidi" w:cstheme="majorBidi"/>
          <w:b/>
          <w:bCs/>
          <w:color w:val="000000" w:themeColor="text1"/>
          <w:kern w:val="0"/>
          <w:sz w:val="40"/>
          <w:szCs w:val="40"/>
          <w:lang w:bidi="ar-EG"/>
          <w14:ligatures w14:val="none"/>
        </w:rPr>
        <w:t>The Impact of Employee Trust on Personal Financing Decisions: A Field Study on Customers of a Bank in the Kingdom of Saudi Arabia</w:t>
      </w:r>
    </w:p>
    <w:p w14:paraId="42615264" w14:textId="77777777" w:rsidR="00E216FE" w:rsidRPr="00BE3D42" w:rsidRDefault="00E216FE" w:rsidP="00E216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6B38F4BA" w:rsidR="000D353F" w:rsidRPr="00BE3D42" w:rsidRDefault="000D353F" w:rsidP="00E216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E3D42">
        <w:rPr>
          <w:rFonts w:asciiTheme="majorBidi" w:eastAsia="Calibri" w:hAnsiTheme="majorBidi" w:cstheme="majorBidi"/>
          <w:b/>
          <w:bCs/>
          <w:color w:val="000000" w:themeColor="text1"/>
          <w:kern w:val="0"/>
          <w:sz w:val="36"/>
          <w:szCs w:val="36"/>
          <w:lang w:bidi="ar-EG"/>
          <w14:ligatures w14:val="none"/>
        </w:rPr>
        <w:t>Prepared by:</w:t>
      </w:r>
    </w:p>
    <w:p w14:paraId="55F78857" w14:textId="39541732" w:rsidR="00D56F6C" w:rsidRPr="00BE3D42" w:rsidRDefault="001F016F" w:rsidP="00E216F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BE3D42">
        <w:rPr>
          <w:rFonts w:asciiTheme="majorBidi" w:eastAsia="Calibri" w:hAnsiTheme="majorBidi" w:cstheme="majorBidi"/>
          <w:color w:val="000000" w:themeColor="text1"/>
          <w:kern w:val="0"/>
          <w:sz w:val="36"/>
          <w:szCs w:val="36"/>
          <w:lang w:bidi="ar-EG"/>
          <w14:ligatures w14:val="none"/>
        </w:rPr>
        <w:t>a</w:t>
      </w:r>
      <w:r w:rsidR="00D56F6C" w:rsidRPr="00BE3D42">
        <w:rPr>
          <w:rFonts w:asciiTheme="majorBidi" w:eastAsia="Calibri" w:hAnsiTheme="majorBidi" w:cstheme="majorBidi"/>
          <w:color w:val="000000" w:themeColor="text1"/>
          <w:kern w:val="0"/>
          <w:sz w:val="36"/>
          <w:szCs w:val="36"/>
          <w:lang w:bidi="ar-EG"/>
          <w14:ligatures w14:val="none"/>
        </w:rPr>
        <w:t>del Aqeel Al-Juhani</w:t>
      </w:r>
    </w:p>
    <w:p w14:paraId="122AF52F" w14:textId="78647ECC" w:rsidR="00E216FE" w:rsidRPr="00BE3D42" w:rsidRDefault="00E216FE" w:rsidP="00E216F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14:ligatures w14:val="none"/>
        </w:rPr>
      </w:pPr>
      <w:r w:rsidRPr="00BE3D42">
        <w:rPr>
          <w:rFonts w:asciiTheme="majorBidi" w:eastAsia="Calibri" w:hAnsiTheme="majorBidi" w:cstheme="majorBidi" w:hint="cs"/>
          <w:color w:val="000000" w:themeColor="text1"/>
          <w:kern w:val="0"/>
          <w:sz w:val="36"/>
          <w:szCs w:val="36"/>
          <w:rtl/>
          <w14:ligatures w14:val="none"/>
        </w:rPr>
        <w:t>253000056</w:t>
      </w:r>
    </w:p>
    <w:p w14:paraId="2E6749D3" w14:textId="77777777" w:rsidR="00E216FE" w:rsidRPr="00BE3D42" w:rsidRDefault="00E216FE" w:rsidP="00E216F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216FE" w:rsidRPr="00BE3D42" w14:paraId="2AC7A3E4" w14:textId="77777777" w:rsidTr="00E216FE">
        <w:tc>
          <w:tcPr>
            <w:tcW w:w="4530" w:type="dxa"/>
          </w:tcPr>
          <w:p w14:paraId="39936DC7" w14:textId="77777777" w:rsidR="00E216FE" w:rsidRPr="00BE3D42" w:rsidRDefault="00E216FE" w:rsidP="00E216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E3D42">
              <w:rPr>
                <w:rFonts w:asciiTheme="majorBidi" w:eastAsia="Calibri" w:hAnsiTheme="majorBidi" w:cstheme="majorBidi"/>
                <w:b/>
                <w:bCs/>
                <w:color w:val="000000" w:themeColor="text1"/>
                <w:kern w:val="0"/>
                <w:sz w:val="36"/>
                <w:szCs w:val="36"/>
                <w:lang w:bidi="ar-EG"/>
                <w14:ligatures w14:val="none"/>
              </w:rPr>
              <w:t>Main supervisor</w:t>
            </w:r>
            <w:r w:rsidRPr="00BE3D42">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7E72D74" w14:textId="77777777" w:rsidR="00E216FE" w:rsidRPr="00BE3D42" w:rsidRDefault="00E216FE" w:rsidP="00E216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E3D42">
              <w:rPr>
                <w:rFonts w:asciiTheme="majorBidi" w:eastAsia="Calibri" w:hAnsiTheme="majorBidi" w:cstheme="majorBidi"/>
                <w:b/>
                <w:bCs/>
                <w:color w:val="000000" w:themeColor="text1"/>
                <w:kern w:val="0"/>
                <w:sz w:val="36"/>
                <w:szCs w:val="36"/>
                <w:lang w:bidi="ar-EG"/>
                <w14:ligatures w14:val="none"/>
              </w:rPr>
              <w:t>Second supervisor</w:t>
            </w:r>
            <w:r w:rsidRPr="00BE3D42">
              <w:rPr>
                <w:rFonts w:asciiTheme="majorBidi" w:eastAsia="Calibri" w:hAnsiTheme="majorBidi" w:cstheme="majorBidi"/>
                <w:b/>
                <w:bCs/>
                <w:color w:val="000000" w:themeColor="text1"/>
                <w:kern w:val="0"/>
                <w:sz w:val="36"/>
                <w:szCs w:val="36"/>
                <w:rtl/>
                <w:lang w:bidi="ar-EG"/>
                <w14:ligatures w14:val="none"/>
              </w:rPr>
              <w:t>/</w:t>
            </w:r>
          </w:p>
        </w:tc>
      </w:tr>
      <w:tr w:rsidR="00E216FE" w:rsidRPr="00BE3D42" w14:paraId="37AA94DB" w14:textId="77777777" w:rsidTr="00E216FE">
        <w:tc>
          <w:tcPr>
            <w:tcW w:w="4530" w:type="dxa"/>
          </w:tcPr>
          <w:p w14:paraId="47E7391F" w14:textId="77777777" w:rsidR="00E216FE" w:rsidRPr="00BE3D42" w:rsidRDefault="00E216FE" w:rsidP="00E216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E3D42">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C872532" w14:textId="77777777" w:rsidR="00E216FE" w:rsidRPr="00BE3D42" w:rsidRDefault="00E216FE" w:rsidP="00E216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E3D42">
              <w:rPr>
                <w:rFonts w:asciiTheme="majorBidi" w:eastAsia="Calibri" w:hAnsiTheme="majorBidi" w:cstheme="majorBidi"/>
                <w:color w:val="000000" w:themeColor="text1"/>
                <w:kern w:val="0"/>
                <w:sz w:val="36"/>
                <w:szCs w:val="36"/>
                <w:lang w:bidi="ar-EG"/>
                <w14:ligatures w14:val="none"/>
              </w:rPr>
              <w:t>Dr. Fayez Jarad</w:t>
            </w:r>
          </w:p>
        </w:tc>
      </w:tr>
    </w:tbl>
    <w:p w14:paraId="261D570C" w14:textId="77777777" w:rsidR="00E216FE" w:rsidRPr="00BE3D42" w:rsidRDefault="00E216FE" w:rsidP="00E216FE">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E3D42">
        <w:rPr>
          <w:rFonts w:asciiTheme="majorBidi" w:eastAsia="Calibri" w:hAnsiTheme="majorBidi" w:cstheme="majorBidi"/>
          <w:color w:val="000000" w:themeColor="text1"/>
          <w:kern w:val="0"/>
          <w:sz w:val="36"/>
          <w:szCs w:val="36"/>
          <w:rtl/>
          <w:lang w:bidi="ar-EG"/>
          <w14:ligatures w14:val="none"/>
        </w:rPr>
        <w:t>1448 – 2026</w:t>
      </w:r>
    </w:p>
    <w:p w14:paraId="4B87F373" w14:textId="77777777" w:rsidR="00E216FE" w:rsidRPr="00BE3D42" w:rsidRDefault="00E216FE" w:rsidP="00E216F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342E308E" w14:textId="77777777" w:rsidR="00E27D3B" w:rsidRPr="00BE3D42" w:rsidRDefault="00E27D3B" w:rsidP="00E216F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27307412" w14:textId="77777777" w:rsidR="00EA15E2" w:rsidRPr="00BE3D42" w:rsidRDefault="00EA15E2" w:rsidP="00E216F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7296D620" w14:textId="77777777" w:rsidR="00EA15E2" w:rsidRPr="00BE3D42" w:rsidRDefault="00EA15E2" w:rsidP="00E216F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68287F43" w14:textId="77777777" w:rsidR="00E27D3B" w:rsidRPr="00BE3D42" w:rsidRDefault="00E27D3B" w:rsidP="00E216FE">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6E52896B" w14:textId="131F0F90" w:rsidR="009125CE" w:rsidRPr="00BE3D42" w:rsidRDefault="009125CE" w:rsidP="00E216FE">
      <w:pPr>
        <w:bidi w:val="0"/>
        <w:spacing w:before="100" w:beforeAutospacing="1" w:after="100" w:afterAutospacing="1" w:line="276" w:lineRule="auto"/>
        <w:jc w:val="both"/>
        <w:rPr>
          <w:rFonts w:asciiTheme="majorBidi" w:hAnsiTheme="majorBidi" w:cstheme="majorBidi"/>
          <w:color w:val="000000" w:themeColor="text1"/>
          <w:sz w:val="28"/>
          <w:szCs w:val="28"/>
          <w:rtl/>
        </w:rPr>
      </w:pPr>
    </w:p>
    <w:sectPr w:rsidR="009125CE" w:rsidRPr="00BE3D42" w:rsidSect="00D7372F">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4AC6B6" w14:textId="77777777" w:rsidR="0073734E" w:rsidRDefault="0073734E" w:rsidP="009125CE">
      <w:pPr>
        <w:spacing w:after="0" w:line="240" w:lineRule="auto"/>
      </w:pPr>
      <w:r>
        <w:separator/>
      </w:r>
    </w:p>
  </w:endnote>
  <w:endnote w:type="continuationSeparator" w:id="0">
    <w:p w14:paraId="2C449F18" w14:textId="77777777" w:rsidR="0073734E" w:rsidRDefault="0073734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4791635"/>
      <w:docPartObj>
        <w:docPartGallery w:val="Page Numbers (Bottom of Page)"/>
        <w:docPartUnique/>
      </w:docPartObj>
    </w:sdtPr>
    <w:sdtEndPr>
      <w:rPr>
        <w:rFonts w:ascii="Simplified Arabic" w:hAnsi="Simplified Arabic" w:cs="Simplified Arabic"/>
        <w:b/>
        <w:bCs/>
        <w:noProof/>
        <w:sz w:val="24"/>
        <w:szCs w:val="24"/>
      </w:rPr>
    </w:sdtEndPr>
    <w:sdtContent>
      <w:p w14:paraId="746F4C31" w14:textId="77777777" w:rsidR="00F7159D" w:rsidRDefault="00F7159D">
        <w:pPr>
          <w:pStyle w:val="Footer"/>
          <w:jc w:val="center"/>
        </w:pPr>
        <w:r>
          <w:rPr>
            <w:noProof/>
          </w:rPr>
          <mc:AlternateContent>
            <mc:Choice Requires="wps">
              <w:drawing>
                <wp:inline distT="0" distB="0" distL="0" distR="0" wp14:anchorId="4210AFE6" wp14:editId="1538EA17">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E7167C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6CCAFB1E" w14:textId="77777777" w:rsidR="00F7159D" w:rsidRPr="00D7372F" w:rsidRDefault="00F7159D" w:rsidP="00D7372F">
        <w:pPr>
          <w:pStyle w:val="Footer"/>
          <w:jc w:val="center"/>
          <w:rPr>
            <w:rFonts w:ascii="Simplified Arabic" w:hAnsi="Simplified Arabic" w:cs="Simplified Arabic"/>
            <w:b/>
            <w:bCs/>
            <w:sz w:val="24"/>
            <w:szCs w:val="24"/>
          </w:rPr>
        </w:pPr>
        <w:r w:rsidRPr="00D7372F">
          <w:rPr>
            <w:rFonts w:ascii="Simplified Arabic" w:hAnsi="Simplified Arabic" w:cs="Simplified Arabic"/>
            <w:b/>
            <w:bCs/>
            <w:sz w:val="24"/>
            <w:szCs w:val="24"/>
          </w:rPr>
          <w:fldChar w:fldCharType="begin"/>
        </w:r>
        <w:r w:rsidRPr="00D7372F">
          <w:rPr>
            <w:rFonts w:ascii="Simplified Arabic" w:hAnsi="Simplified Arabic" w:cs="Simplified Arabic"/>
            <w:b/>
            <w:bCs/>
            <w:sz w:val="24"/>
            <w:szCs w:val="24"/>
          </w:rPr>
          <w:instrText xml:space="preserve"> PAGE    \* MERGEFORMAT </w:instrText>
        </w:r>
        <w:r w:rsidRPr="00D7372F">
          <w:rPr>
            <w:rFonts w:ascii="Simplified Arabic" w:hAnsi="Simplified Arabic" w:cs="Simplified Arabic"/>
            <w:b/>
            <w:bCs/>
            <w:sz w:val="24"/>
            <w:szCs w:val="24"/>
          </w:rPr>
          <w:fldChar w:fldCharType="separate"/>
        </w:r>
        <w:r w:rsidR="007A7AC5">
          <w:rPr>
            <w:rFonts w:ascii="Simplified Arabic" w:hAnsi="Simplified Arabic" w:cs="Simplified Arabic"/>
            <w:b/>
            <w:bCs/>
            <w:noProof/>
            <w:sz w:val="24"/>
            <w:szCs w:val="24"/>
            <w:rtl/>
          </w:rPr>
          <w:t>38</w:t>
        </w:r>
        <w:r w:rsidRPr="00D7372F">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0BC99" w14:textId="4D7E6C94" w:rsidR="00F7159D" w:rsidRPr="00D7372F" w:rsidRDefault="00F7159D" w:rsidP="00E216FE">
    <w:pPr>
      <w:pStyle w:val="Foo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45AE8" w14:textId="77777777" w:rsidR="0073734E" w:rsidRDefault="0073734E" w:rsidP="009125CE">
      <w:pPr>
        <w:spacing w:after="0" w:line="240" w:lineRule="auto"/>
      </w:pPr>
      <w:r>
        <w:separator/>
      </w:r>
    </w:p>
  </w:footnote>
  <w:footnote w:type="continuationSeparator" w:id="0">
    <w:p w14:paraId="386D5C84" w14:textId="77777777" w:rsidR="0073734E" w:rsidRDefault="0073734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11.4pt;height:11.4pt" o:bullet="t">
        <v:imagedata r:id="rId1" o:title="msoD87A"/>
      </v:shape>
    </w:pict>
  </w:numPicBullet>
  <w:abstractNum w:abstractNumId="0">
    <w:nsid w:val="03E8111E"/>
    <w:multiLevelType w:val="multilevel"/>
    <w:tmpl w:val="DF4C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593119"/>
    <w:multiLevelType w:val="hybridMultilevel"/>
    <w:tmpl w:val="84203BF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337175"/>
    <w:multiLevelType w:val="multilevel"/>
    <w:tmpl w:val="AAA86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2400F9"/>
    <w:multiLevelType w:val="hybridMultilevel"/>
    <w:tmpl w:val="232CA1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E4279A"/>
    <w:multiLevelType w:val="hybridMultilevel"/>
    <w:tmpl w:val="D3BEA8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3567D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6D0376"/>
    <w:multiLevelType w:val="multilevel"/>
    <w:tmpl w:val="E110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CD472C"/>
    <w:multiLevelType w:val="hybridMultilevel"/>
    <w:tmpl w:val="4F7C9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B70453"/>
    <w:multiLevelType w:val="hybridMultilevel"/>
    <w:tmpl w:val="1D4E796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8B64BC"/>
    <w:multiLevelType w:val="hybridMultilevel"/>
    <w:tmpl w:val="8E9C9D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1D67C4"/>
    <w:multiLevelType w:val="hybridMultilevel"/>
    <w:tmpl w:val="3A007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887FC0"/>
    <w:multiLevelType w:val="hybridMultilevel"/>
    <w:tmpl w:val="918C2E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926589"/>
    <w:multiLevelType w:val="hybridMultilevel"/>
    <w:tmpl w:val="FED03C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DD6CAA"/>
    <w:multiLevelType w:val="multilevel"/>
    <w:tmpl w:val="F2DC6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92068A"/>
    <w:multiLevelType w:val="multilevel"/>
    <w:tmpl w:val="FAA06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071E76"/>
    <w:multiLevelType w:val="multilevel"/>
    <w:tmpl w:val="9DDEB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1B2F63"/>
    <w:multiLevelType w:val="hybridMultilevel"/>
    <w:tmpl w:val="C3FAEC6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57A381D"/>
    <w:multiLevelType w:val="multilevel"/>
    <w:tmpl w:val="F05A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184009"/>
    <w:multiLevelType w:val="multilevel"/>
    <w:tmpl w:val="AF9A5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35"/>
  </w:num>
  <w:num w:numId="3">
    <w:abstractNumId w:val="32"/>
  </w:num>
  <w:num w:numId="4">
    <w:abstractNumId w:val="34"/>
  </w:num>
  <w:num w:numId="5">
    <w:abstractNumId w:val="3"/>
  </w:num>
  <w:num w:numId="6">
    <w:abstractNumId w:val="39"/>
  </w:num>
  <w:num w:numId="7">
    <w:abstractNumId w:val="9"/>
  </w:num>
  <w:num w:numId="8">
    <w:abstractNumId w:val="11"/>
  </w:num>
  <w:num w:numId="9">
    <w:abstractNumId w:val="36"/>
  </w:num>
  <w:num w:numId="10">
    <w:abstractNumId w:val="8"/>
  </w:num>
  <w:num w:numId="11">
    <w:abstractNumId w:val="25"/>
  </w:num>
  <w:num w:numId="12">
    <w:abstractNumId w:val="27"/>
  </w:num>
  <w:num w:numId="13">
    <w:abstractNumId w:val="41"/>
  </w:num>
  <w:num w:numId="14">
    <w:abstractNumId w:val="30"/>
  </w:num>
  <w:num w:numId="15">
    <w:abstractNumId w:val="1"/>
  </w:num>
  <w:num w:numId="16">
    <w:abstractNumId w:val="28"/>
  </w:num>
  <w:num w:numId="17">
    <w:abstractNumId w:val="40"/>
  </w:num>
  <w:num w:numId="18">
    <w:abstractNumId w:val="23"/>
  </w:num>
  <w:num w:numId="19">
    <w:abstractNumId w:val="22"/>
  </w:num>
  <w:num w:numId="20">
    <w:abstractNumId w:val="29"/>
  </w:num>
  <w:num w:numId="21">
    <w:abstractNumId w:val="38"/>
  </w:num>
  <w:num w:numId="22">
    <w:abstractNumId w:val="21"/>
  </w:num>
  <w:num w:numId="23">
    <w:abstractNumId w:val="24"/>
  </w:num>
  <w:num w:numId="24">
    <w:abstractNumId w:val="7"/>
  </w:num>
  <w:num w:numId="25">
    <w:abstractNumId w:val="31"/>
  </w:num>
  <w:num w:numId="26">
    <w:abstractNumId w:val="4"/>
  </w:num>
  <w:num w:numId="27">
    <w:abstractNumId w:val="37"/>
  </w:num>
  <w:num w:numId="28">
    <w:abstractNumId w:val="0"/>
  </w:num>
  <w:num w:numId="29">
    <w:abstractNumId w:val="10"/>
  </w:num>
  <w:num w:numId="30">
    <w:abstractNumId w:val="20"/>
  </w:num>
  <w:num w:numId="31">
    <w:abstractNumId w:val="16"/>
  </w:num>
  <w:num w:numId="32">
    <w:abstractNumId w:val="2"/>
  </w:num>
  <w:num w:numId="33">
    <w:abstractNumId w:val="14"/>
  </w:num>
  <w:num w:numId="34">
    <w:abstractNumId w:val="17"/>
  </w:num>
  <w:num w:numId="35">
    <w:abstractNumId w:val="6"/>
  </w:num>
  <w:num w:numId="36">
    <w:abstractNumId w:val="18"/>
  </w:num>
  <w:num w:numId="37">
    <w:abstractNumId w:val="12"/>
  </w:num>
  <w:num w:numId="38">
    <w:abstractNumId w:val="15"/>
  </w:num>
  <w:num w:numId="39">
    <w:abstractNumId w:val="5"/>
  </w:num>
  <w:num w:numId="40">
    <w:abstractNumId w:val="26"/>
  </w:num>
  <w:num w:numId="41">
    <w:abstractNumId w:val="13"/>
  </w:num>
  <w:num w:numId="42">
    <w:abstractNumId w:val="3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2547A"/>
    <w:rsid w:val="00042FFC"/>
    <w:rsid w:val="0004554E"/>
    <w:rsid w:val="00052AB0"/>
    <w:rsid w:val="00053122"/>
    <w:rsid w:val="000543EF"/>
    <w:rsid w:val="000602CA"/>
    <w:rsid w:val="000610C9"/>
    <w:rsid w:val="00061FA2"/>
    <w:rsid w:val="00064FF1"/>
    <w:rsid w:val="00067938"/>
    <w:rsid w:val="0007370A"/>
    <w:rsid w:val="0007525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749"/>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016F"/>
    <w:rsid w:val="001F159D"/>
    <w:rsid w:val="001F46A5"/>
    <w:rsid w:val="00207629"/>
    <w:rsid w:val="0021718D"/>
    <w:rsid w:val="00217ADA"/>
    <w:rsid w:val="00223AE0"/>
    <w:rsid w:val="002304C2"/>
    <w:rsid w:val="00234450"/>
    <w:rsid w:val="00234633"/>
    <w:rsid w:val="00246C3F"/>
    <w:rsid w:val="00250D99"/>
    <w:rsid w:val="00251BCA"/>
    <w:rsid w:val="00256363"/>
    <w:rsid w:val="00260558"/>
    <w:rsid w:val="0026283D"/>
    <w:rsid w:val="00270FB5"/>
    <w:rsid w:val="00274BDE"/>
    <w:rsid w:val="002766BC"/>
    <w:rsid w:val="00277FA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3B1A"/>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160"/>
    <w:rsid w:val="00396510"/>
    <w:rsid w:val="003A5312"/>
    <w:rsid w:val="003A757C"/>
    <w:rsid w:val="003B30A9"/>
    <w:rsid w:val="003B48BD"/>
    <w:rsid w:val="003B51C3"/>
    <w:rsid w:val="003C2495"/>
    <w:rsid w:val="003D44CE"/>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2BFA"/>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0F3B"/>
    <w:rsid w:val="005527F0"/>
    <w:rsid w:val="00557A05"/>
    <w:rsid w:val="00557B85"/>
    <w:rsid w:val="005663EA"/>
    <w:rsid w:val="0058591B"/>
    <w:rsid w:val="00586F13"/>
    <w:rsid w:val="00590B27"/>
    <w:rsid w:val="005979A0"/>
    <w:rsid w:val="00597F74"/>
    <w:rsid w:val="005A2A63"/>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3B6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95ED0"/>
    <w:rsid w:val="006A0FCA"/>
    <w:rsid w:val="006A2677"/>
    <w:rsid w:val="006A3B5F"/>
    <w:rsid w:val="006A6C3D"/>
    <w:rsid w:val="006A700F"/>
    <w:rsid w:val="006B07CD"/>
    <w:rsid w:val="006B3A4B"/>
    <w:rsid w:val="006B40EF"/>
    <w:rsid w:val="006B4F02"/>
    <w:rsid w:val="006D05B4"/>
    <w:rsid w:val="006D0A16"/>
    <w:rsid w:val="006D4C88"/>
    <w:rsid w:val="006E4126"/>
    <w:rsid w:val="006E41F3"/>
    <w:rsid w:val="006E65A3"/>
    <w:rsid w:val="006E6617"/>
    <w:rsid w:val="006F162C"/>
    <w:rsid w:val="006F29F1"/>
    <w:rsid w:val="006F7F85"/>
    <w:rsid w:val="0070333D"/>
    <w:rsid w:val="00705AF7"/>
    <w:rsid w:val="00706E7F"/>
    <w:rsid w:val="0071504C"/>
    <w:rsid w:val="007178EE"/>
    <w:rsid w:val="007301E5"/>
    <w:rsid w:val="00731DC0"/>
    <w:rsid w:val="0073734E"/>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0CCF"/>
    <w:rsid w:val="00791E1F"/>
    <w:rsid w:val="00792A28"/>
    <w:rsid w:val="007A7A94"/>
    <w:rsid w:val="007A7AC5"/>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4485"/>
    <w:rsid w:val="007E6564"/>
    <w:rsid w:val="007F1674"/>
    <w:rsid w:val="007F1855"/>
    <w:rsid w:val="007F2AAC"/>
    <w:rsid w:val="007F6F3A"/>
    <w:rsid w:val="00806716"/>
    <w:rsid w:val="00807477"/>
    <w:rsid w:val="00811E32"/>
    <w:rsid w:val="008124AA"/>
    <w:rsid w:val="008156EA"/>
    <w:rsid w:val="0081623B"/>
    <w:rsid w:val="008202F4"/>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19DF"/>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508"/>
    <w:rsid w:val="009C3E61"/>
    <w:rsid w:val="009C6715"/>
    <w:rsid w:val="009D108D"/>
    <w:rsid w:val="009D2E51"/>
    <w:rsid w:val="009D2E90"/>
    <w:rsid w:val="009D4539"/>
    <w:rsid w:val="009D59AE"/>
    <w:rsid w:val="009E1436"/>
    <w:rsid w:val="009E31A0"/>
    <w:rsid w:val="009E5668"/>
    <w:rsid w:val="009E7E32"/>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266D6"/>
    <w:rsid w:val="00A30D10"/>
    <w:rsid w:val="00A31A25"/>
    <w:rsid w:val="00A348C1"/>
    <w:rsid w:val="00A3547E"/>
    <w:rsid w:val="00A35B21"/>
    <w:rsid w:val="00A37413"/>
    <w:rsid w:val="00A40ADE"/>
    <w:rsid w:val="00A44EBE"/>
    <w:rsid w:val="00A4659A"/>
    <w:rsid w:val="00A50745"/>
    <w:rsid w:val="00A55EF3"/>
    <w:rsid w:val="00A57461"/>
    <w:rsid w:val="00A71BCE"/>
    <w:rsid w:val="00A74F76"/>
    <w:rsid w:val="00A75115"/>
    <w:rsid w:val="00A823EC"/>
    <w:rsid w:val="00A840CF"/>
    <w:rsid w:val="00A86E11"/>
    <w:rsid w:val="00A97576"/>
    <w:rsid w:val="00AA005F"/>
    <w:rsid w:val="00AA2EA0"/>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0F21"/>
    <w:rsid w:val="00B31E1F"/>
    <w:rsid w:val="00B346DF"/>
    <w:rsid w:val="00B36FBC"/>
    <w:rsid w:val="00B4269F"/>
    <w:rsid w:val="00B44182"/>
    <w:rsid w:val="00B467CC"/>
    <w:rsid w:val="00B53A0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E3D42"/>
    <w:rsid w:val="00BF35D5"/>
    <w:rsid w:val="00C01C2B"/>
    <w:rsid w:val="00C1175F"/>
    <w:rsid w:val="00C11CB2"/>
    <w:rsid w:val="00C12ECA"/>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56F6C"/>
    <w:rsid w:val="00D60743"/>
    <w:rsid w:val="00D7372F"/>
    <w:rsid w:val="00D75AD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3562"/>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16FE"/>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159D"/>
    <w:rsid w:val="00F72CBB"/>
    <w:rsid w:val="00F733B2"/>
    <w:rsid w:val="00F91846"/>
    <w:rsid w:val="00F95872"/>
    <w:rsid w:val="00F971C1"/>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B20F21"/>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B20F21"/>
    <w:rPr>
      <w:rFonts w:ascii="Simplified Arabic" w:eastAsiaTheme="majorEastAsia"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6D05B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2">
    <w:name w:val="Grid Table 4 Accent 2"/>
    <w:basedOn w:val="TableNormal"/>
    <w:uiPriority w:val="49"/>
    <w:rsid w:val="00D7372F"/>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E216F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3016546">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8278736">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75193015">
      <w:bodyDiv w:val="1"/>
      <w:marLeft w:val="0"/>
      <w:marRight w:val="0"/>
      <w:marTop w:val="0"/>
      <w:marBottom w:val="0"/>
      <w:divBdr>
        <w:top w:val="none" w:sz="0" w:space="0" w:color="auto"/>
        <w:left w:val="none" w:sz="0" w:space="0" w:color="auto"/>
        <w:bottom w:val="none" w:sz="0" w:space="0" w:color="auto"/>
        <w:right w:val="none" w:sz="0" w:space="0" w:color="auto"/>
      </w:divBdr>
    </w:div>
    <w:div w:id="182519217">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18247695">
      <w:bodyDiv w:val="1"/>
      <w:marLeft w:val="0"/>
      <w:marRight w:val="0"/>
      <w:marTop w:val="0"/>
      <w:marBottom w:val="0"/>
      <w:divBdr>
        <w:top w:val="none" w:sz="0" w:space="0" w:color="auto"/>
        <w:left w:val="none" w:sz="0" w:space="0" w:color="auto"/>
        <w:bottom w:val="none" w:sz="0" w:space="0" w:color="auto"/>
        <w:right w:val="none" w:sz="0" w:space="0" w:color="auto"/>
      </w:divBdr>
    </w:div>
    <w:div w:id="218439303">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760263">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619618">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8431889">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835896">
      <w:bodyDiv w:val="1"/>
      <w:marLeft w:val="0"/>
      <w:marRight w:val="0"/>
      <w:marTop w:val="0"/>
      <w:marBottom w:val="0"/>
      <w:divBdr>
        <w:top w:val="none" w:sz="0" w:space="0" w:color="auto"/>
        <w:left w:val="none" w:sz="0" w:space="0" w:color="auto"/>
        <w:bottom w:val="none" w:sz="0" w:space="0" w:color="auto"/>
        <w:right w:val="none" w:sz="0" w:space="0" w:color="auto"/>
      </w:divBdr>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5834739">
      <w:bodyDiv w:val="1"/>
      <w:marLeft w:val="0"/>
      <w:marRight w:val="0"/>
      <w:marTop w:val="0"/>
      <w:marBottom w:val="0"/>
      <w:divBdr>
        <w:top w:val="none" w:sz="0" w:space="0" w:color="auto"/>
        <w:left w:val="none" w:sz="0" w:space="0" w:color="auto"/>
        <w:bottom w:val="none" w:sz="0" w:space="0" w:color="auto"/>
        <w:right w:val="none" w:sz="0" w:space="0" w:color="auto"/>
      </w:divBdr>
    </w:div>
    <w:div w:id="457577590">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722978">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19730571">
      <w:bodyDiv w:val="1"/>
      <w:marLeft w:val="0"/>
      <w:marRight w:val="0"/>
      <w:marTop w:val="0"/>
      <w:marBottom w:val="0"/>
      <w:divBdr>
        <w:top w:val="none" w:sz="0" w:space="0" w:color="auto"/>
        <w:left w:val="none" w:sz="0" w:space="0" w:color="auto"/>
        <w:bottom w:val="none" w:sz="0" w:space="0" w:color="auto"/>
        <w:right w:val="none" w:sz="0" w:space="0" w:color="auto"/>
      </w:divBdr>
    </w:div>
    <w:div w:id="620185255">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479792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6760751">
      <w:bodyDiv w:val="1"/>
      <w:marLeft w:val="0"/>
      <w:marRight w:val="0"/>
      <w:marTop w:val="0"/>
      <w:marBottom w:val="0"/>
      <w:divBdr>
        <w:top w:val="none" w:sz="0" w:space="0" w:color="auto"/>
        <w:left w:val="none" w:sz="0" w:space="0" w:color="auto"/>
        <w:bottom w:val="none" w:sz="0" w:space="0" w:color="auto"/>
        <w:right w:val="none" w:sz="0" w:space="0" w:color="auto"/>
      </w:divBdr>
    </w:div>
    <w:div w:id="736056840">
      <w:bodyDiv w:val="1"/>
      <w:marLeft w:val="0"/>
      <w:marRight w:val="0"/>
      <w:marTop w:val="0"/>
      <w:marBottom w:val="0"/>
      <w:divBdr>
        <w:top w:val="none" w:sz="0" w:space="0" w:color="auto"/>
        <w:left w:val="none" w:sz="0" w:space="0" w:color="auto"/>
        <w:bottom w:val="none" w:sz="0" w:space="0" w:color="auto"/>
        <w:right w:val="none" w:sz="0" w:space="0" w:color="auto"/>
      </w:divBdr>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565533">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993235">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6663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937890">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514805">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286743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6973245">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0682164">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8170544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063709">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932493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9585301">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902133">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748753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918422">
      <w:bodyDiv w:val="1"/>
      <w:marLeft w:val="0"/>
      <w:marRight w:val="0"/>
      <w:marTop w:val="0"/>
      <w:marBottom w:val="0"/>
      <w:divBdr>
        <w:top w:val="none" w:sz="0" w:space="0" w:color="auto"/>
        <w:left w:val="none" w:sz="0" w:space="0" w:color="auto"/>
        <w:bottom w:val="none" w:sz="0" w:space="0" w:color="auto"/>
        <w:right w:val="none" w:sz="0" w:space="0" w:color="auto"/>
      </w:divBdr>
    </w:div>
    <w:div w:id="1713308191">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938127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5828805">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7553627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992175">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0666421">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357123">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39567248">
      <w:bodyDiv w:val="1"/>
      <w:marLeft w:val="0"/>
      <w:marRight w:val="0"/>
      <w:marTop w:val="0"/>
      <w:marBottom w:val="0"/>
      <w:divBdr>
        <w:top w:val="none" w:sz="0" w:space="0" w:color="auto"/>
        <w:left w:val="none" w:sz="0" w:space="0" w:color="auto"/>
        <w:bottom w:val="none" w:sz="0" w:space="0" w:color="auto"/>
        <w:right w:val="none" w:sz="0" w:space="0" w:color="auto"/>
      </w:divBdr>
    </w:div>
    <w:div w:id="2142577633">
      <w:bodyDiv w:val="1"/>
      <w:marLeft w:val="0"/>
      <w:marRight w:val="0"/>
      <w:marTop w:val="0"/>
      <w:marBottom w:val="0"/>
      <w:divBdr>
        <w:top w:val="none" w:sz="0" w:space="0" w:color="auto"/>
        <w:left w:val="none" w:sz="0" w:space="0" w:color="auto"/>
        <w:bottom w:val="none" w:sz="0" w:space="0" w:color="auto"/>
        <w:right w:val="none" w:sz="0" w:space="0" w:color="auto"/>
      </w:divBdr>
    </w:div>
    <w:div w:id="2145998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886740-66B2-4482-93CB-1BDDEA166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10876</Words>
  <Characters>61996</Characters>
  <Application>Microsoft Office Word</Application>
  <DocSecurity>0</DocSecurity>
  <Lines>516</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2026-06-23T11:32:00Z</cp:lastPrinted>
  <dcterms:created xsi:type="dcterms:W3CDTF">2026-06-23T11:34:00Z</dcterms:created>
  <dcterms:modified xsi:type="dcterms:W3CDTF">2026-06-23T11:34:00Z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