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9DA4629" w:rsidR="009125CE" w:rsidRPr="00281D95" w:rsidRDefault="00281D95" w:rsidP="00281D95">
      <w:pPr>
        <w:spacing w:before="100" w:beforeAutospacing="1" w:after="100" w:afterAutospacing="1" w:line="360" w:lineRule="auto"/>
        <w:jc w:val="both"/>
        <w:rPr>
          <w:rFonts w:ascii="Sakkal Majalla" w:hAnsi="Sakkal Majalla" w:cs="Sakkal Majalla"/>
          <w:b/>
          <w:bCs/>
          <w:sz w:val="32"/>
          <w:szCs w:val="32"/>
          <w:lang w:bidi="ar-EG"/>
        </w:rPr>
      </w:pPr>
      <w:r w:rsidRPr="00281D95">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5CF78A90">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81D95">
        <w:rPr>
          <w:rFonts w:ascii="Sakkal Majalla" w:hAnsi="Sakkal Majalla" w:cs="Sakkal Majalla"/>
          <w:b/>
          <w:bCs/>
          <w:sz w:val="32"/>
          <w:szCs w:val="32"/>
          <w:rtl/>
          <w:lang w:bidi="ar-EG"/>
        </w:rPr>
        <w:t xml:space="preserve">جامعة ميدأوشن </w:t>
      </w:r>
    </w:p>
    <w:p w14:paraId="1E957002" w14:textId="6268643C" w:rsidR="00F546CE" w:rsidRPr="00281D95" w:rsidRDefault="009125CE" w:rsidP="00281D95">
      <w:pPr>
        <w:spacing w:before="100" w:beforeAutospacing="1" w:after="100" w:afterAutospacing="1" w:line="360" w:lineRule="auto"/>
        <w:jc w:val="both"/>
        <w:rPr>
          <w:rFonts w:ascii="Sakkal Majalla" w:hAnsi="Sakkal Majalla" w:cs="Sakkal Majalla"/>
          <w:b/>
          <w:bCs/>
          <w:sz w:val="32"/>
          <w:szCs w:val="32"/>
          <w:rtl/>
          <w:lang w:bidi="ar-EG"/>
        </w:rPr>
      </w:pPr>
      <w:r w:rsidRPr="00281D95">
        <w:rPr>
          <w:rFonts w:ascii="Sakkal Majalla" w:hAnsi="Sakkal Majalla" w:cs="Sakkal Majalla"/>
          <w:b/>
          <w:bCs/>
          <w:sz w:val="32"/>
          <w:szCs w:val="32"/>
          <w:lang w:bidi="ar-EG"/>
        </w:rPr>
        <w:t xml:space="preserve">    </w:t>
      </w:r>
      <w:r w:rsidRPr="00281D95">
        <w:rPr>
          <w:rFonts w:ascii="Sakkal Majalla" w:hAnsi="Sakkal Majalla" w:cs="Sakkal Majalla"/>
          <w:b/>
          <w:bCs/>
          <w:sz w:val="32"/>
          <w:szCs w:val="32"/>
          <w:rtl/>
          <w:lang w:bidi="ar-EG"/>
        </w:rPr>
        <w:t xml:space="preserve">كلية الإدارة </w:t>
      </w:r>
    </w:p>
    <w:p w14:paraId="0217C513" w14:textId="55E89B4A" w:rsidR="009125CE" w:rsidRPr="00281D95" w:rsidRDefault="009125CE" w:rsidP="00281D95">
      <w:pPr>
        <w:spacing w:before="100" w:beforeAutospacing="1" w:after="100" w:afterAutospacing="1" w:line="360" w:lineRule="auto"/>
        <w:jc w:val="both"/>
        <w:rPr>
          <w:rFonts w:ascii="Sakkal Majalla" w:hAnsi="Sakkal Majalla" w:cs="Sakkal Majalla"/>
          <w:sz w:val="32"/>
          <w:szCs w:val="32"/>
          <w:rtl/>
          <w:lang w:bidi="ar-EG"/>
        </w:rPr>
      </w:pPr>
      <w:r w:rsidRPr="00281D95">
        <w:rPr>
          <w:rFonts w:ascii="Sakkal Majalla" w:hAnsi="Sakkal Majalla" w:cs="Sakkal Majalla"/>
          <w:b/>
          <w:bCs/>
          <w:sz w:val="32"/>
          <w:szCs w:val="32"/>
          <w:rtl/>
          <w:lang w:bidi="ar-EG"/>
        </w:rPr>
        <w:t>تخصص</w:t>
      </w:r>
      <w:r w:rsidR="00B15A9E" w:rsidRPr="00281D95">
        <w:rPr>
          <w:rFonts w:ascii="Sakkal Majalla" w:hAnsi="Sakkal Majalla" w:cs="Sakkal Majalla"/>
          <w:b/>
          <w:bCs/>
          <w:sz w:val="32"/>
          <w:szCs w:val="32"/>
          <w:rtl/>
          <w:lang w:bidi="ar-EG"/>
        </w:rPr>
        <w:t xml:space="preserve"> </w:t>
      </w:r>
      <w:r w:rsidR="00857739" w:rsidRPr="00281D95">
        <w:rPr>
          <w:rFonts w:ascii="Sakkal Majalla" w:hAnsi="Sakkal Majalla" w:cs="Sakkal Majalla"/>
          <w:b/>
          <w:bCs/>
          <w:sz w:val="32"/>
          <w:szCs w:val="32"/>
          <w:rtl/>
          <w:lang w:bidi="ar-EG"/>
        </w:rPr>
        <w:t>إدارة</w:t>
      </w:r>
      <w:r w:rsidR="00234535" w:rsidRPr="00281D95">
        <w:rPr>
          <w:rFonts w:ascii="Sakkal Majalla" w:hAnsi="Sakkal Majalla" w:cs="Sakkal Majalla"/>
          <w:b/>
          <w:bCs/>
          <w:sz w:val="32"/>
          <w:szCs w:val="32"/>
          <w:rtl/>
          <w:lang w:bidi="ar-EG"/>
        </w:rPr>
        <w:t xml:space="preserve"> </w:t>
      </w:r>
      <w:r w:rsidR="005675FE" w:rsidRPr="00281D95">
        <w:rPr>
          <w:rFonts w:ascii="Sakkal Majalla" w:hAnsi="Sakkal Majalla" w:cs="Sakkal Majalla"/>
          <w:b/>
          <w:bCs/>
          <w:sz w:val="32"/>
          <w:szCs w:val="32"/>
          <w:rtl/>
          <w:lang w:bidi="ar-EG"/>
        </w:rPr>
        <w:t>أعمال</w:t>
      </w:r>
    </w:p>
    <w:p w14:paraId="5F6542BF" w14:textId="77777777" w:rsidR="009125CE" w:rsidRPr="00281D95" w:rsidRDefault="009125CE" w:rsidP="00281D95">
      <w:pPr>
        <w:spacing w:before="100" w:beforeAutospacing="1" w:after="100" w:afterAutospacing="1" w:line="360" w:lineRule="auto"/>
        <w:jc w:val="both"/>
        <w:rPr>
          <w:rFonts w:ascii="Sakkal Majalla" w:hAnsi="Sakkal Majalla" w:cs="Sakkal Majalla"/>
          <w:szCs w:val="28"/>
          <w:rtl/>
          <w:lang w:bidi="ar-EG"/>
        </w:rPr>
      </w:pPr>
    </w:p>
    <w:p w14:paraId="6850B9A0" w14:textId="6DE047C3" w:rsidR="009A456F" w:rsidRPr="00281D95" w:rsidRDefault="009A456F" w:rsidP="009A456F">
      <w:pPr>
        <w:spacing w:before="100" w:beforeAutospacing="1" w:after="100" w:afterAutospacing="1" w:line="360" w:lineRule="auto"/>
        <w:jc w:val="center"/>
        <w:rPr>
          <w:rFonts w:ascii="Sakkal Majalla" w:hAnsi="Sakkal Majalla" w:cs="Sakkal Majalla"/>
          <w:b/>
          <w:bCs/>
          <w:sz w:val="40"/>
          <w:szCs w:val="40"/>
          <w:rtl/>
          <w:lang w:bidi="ar-EG"/>
        </w:rPr>
      </w:pPr>
      <w:r w:rsidRPr="00281D95">
        <w:rPr>
          <w:rFonts w:ascii="Sakkal Majalla" w:hAnsi="Sakkal Majalla" w:cs="Sakkal Majalla"/>
          <w:b/>
          <w:bCs/>
          <w:sz w:val="40"/>
          <w:szCs w:val="40"/>
          <w:rtl/>
          <w:lang w:bidi="ar-EG"/>
        </w:rPr>
        <w:t>أثر تقييم المخاطر الائتمانية على تحسين جودة القرارات الائتمانية: دراسة ميدانية على البنوك التجارية</w:t>
      </w:r>
    </w:p>
    <w:p w14:paraId="1C53D9DC" w14:textId="1F8B94B9" w:rsidR="001046FA" w:rsidRPr="00281D95" w:rsidRDefault="001046FA" w:rsidP="00281D95">
      <w:pPr>
        <w:spacing w:before="100" w:beforeAutospacing="1" w:after="100" w:afterAutospacing="1" w:line="360" w:lineRule="auto"/>
        <w:jc w:val="center"/>
        <w:rPr>
          <w:rFonts w:ascii="Sakkal Majalla" w:hAnsi="Sakkal Majalla" w:cs="Sakkal Majalla"/>
          <w:b/>
          <w:bCs/>
          <w:sz w:val="40"/>
          <w:szCs w:val="40"/>
          <w:rtl/>
          <w:lang w:bidi="ar-EG"/>
        </w:rPr>
      </w:pPr>
    </w:p>
    <w:p w14:paraId="751A7E65" w14:textId="275C55C9" w:rsidR="009125CE" w:rsidRPr="00281D95" w:rsidRDefault="009125CE" w:rsidP="00281D95">
      <w:pPr>
        <w:spacing w:before="100" w:beforeAutospacing="1" w:after="100" w:afterAutospacing="1" w:line="360" w:lineRule="auto"/>
        <w:jc w:val="center"/>
        <w:rPr>
          <w:rFonts w:ascii="Sakkal Majalla" w:hAnsi="Sakkal Majalla" w:cs="Sakkal Majalla"/>
          <w:b/>
          <w:bCs/>
          <w:sz w:val="36"/>
          <w:szCs w:val="36"/>
          <w:rtl/>
          <w:lang w:bidi="ar-EG"/>
        </w:rPr>
      </w:pPr>
      <w:r w:rsidRPr="00281D95">
        <w:rPr>
          <w:rFonts w:ascii="Sakkal Majalla" w:hAnsi="Sakkal Majalla" w:cs="Sakkal Majalla"/>
          <w:b/>
          <w:bCs/>
          <w:sz w:val="36"/>
          <w:szCs w:val="36"/>
          <w:rtl/>
          <w:lang w:bidi="ar-EG"/>
        </w:rPr>
        <w:t>إعداد الطالب/</w:t>
      </w:r>
    </w:p>
    <w:p w14:paraId="5320F361" w14:textId="4380C8B8" w:rsidR="003A44F1" w:rsidRDefault="00E97FB7" w:rsidP="00281D95">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محمد سعيد باسنبل</w:t>
      </w:r>
    </w:p>
    <w:p w14:paraId="41C65039" w14:textId="3C2D4A36" w:rsidR="00E97FB7" w:rsidRDefault="00FE4278" w:rsidP="00281D95">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243000934</w:t>
      </w:r>
    </w:p>
    <w:p w14:paraId="48D551F3" w14:textId="3076A9C0" w:rsidR="00281D95" w:rsidRPr="00281D95" w:rsidRDefault="00281D95" w:rsidP="00281D95">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تحت إشراف/ </w:t>
      </w:r>
    </w:p>
    <w:p w14:paraId="16B42A53" w14:textId="77777777" w:rsidR="005675FE" w:rsidRPr="00281D95" w:rsidRDefault="005675FE" w:rsidP="00281D95">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281D95">
        <w:rPr>
          <w:rFonts w:ascii="Sakkal Majalla" w:eastAsia="Calibri" w:hAnsi="Sakkal Majalla" w:cs="Sakkal Majalla"/>
          <w:b/>
          <w:bCs/>
          <w:kern w:val="0"/>
          <w:sz w:val="36"/>
          <w:szCs w:val="36"/>
          <w:rtl/>
          <w:lang w:bidi="ar-EG"/>
          <w14:ligatures w14:val="none"/>
        </w:rPr>
        <w:t>أ.د / الفيصل عبد الحميد</w:t>
      </w:r>
    </w:p>
    <w:p w14:paraId="5ED51648" w14:textId="77777777" w:rsidR="005675FE" w:rsidRPr="00281D95" w:rsidRDefault="005675FE" w:rsidP="00281D95">
      <w:pPr>
        <w:spacing w:before="100" w:beforeAutospacing="1" w:after="100" w:afterAutospacing="1" w:line="360" w:lineRule="auto"/>
        <w:jc w:val="center"/>
        <w:rPr>
          <w:rFonts w:ascii="Sakkal Majalla" w:hAnsi="Sakkal Majalla" w:cs="Sakkal Majalla"/>
          <w:b/>
          <w:bCs/>
          <w:sz w:val="36"/>
          <w:szCs w:val="36"/>
          <w:rtl/>
          <w:lang w:bidi="ar-EG"/>
        </w:rPr>
      </w:pPr>
      <w:r w:rsidRPr="00281D95">
        <w:rPr>
          <w:rFonts w:ascii="Sakkal Majalla" w:hAnsi="Sakkal Majalla" w:cs="Sakkal Majalla"/>
          <w:b/>
          <w:bCs/>
          <w:sz w:val="36"/>
          <w:szCs w:val="36"/>
          <w:rtl/>
          <w:lang w:bidi="ar-EG"/>
        </w:rPr>
        <w:t>العام الدراسي:</w:t>
      </w:r>
    </w:p>
    <w:p w14:paraId="2FC4BD58" w14:textId="77777777" w:rsidR="005675FE" w:rsidRPr="00281D95" w:rsidRDefault="005675FE" w:rsidP="00281D95">
      <w:pPr>
        <w:spacing w:before="100" w:beforeAutospacing="1" w:after="100" w:afterAutospacing="1" w:line="360" w:lineRule="auto"/>
        <w:jc w:val="center"/>
        <w:rPr>
          <w:rFonts w:ascii="Sakkal Majalla" w:hAnsi="Sakkal Majalla" w:cs="Sakkal Majalla"/>
          <w:b/>
          <w:bCs/>
          <w:sz w:val="36"/>
          <w:szCs w:val="36"/>
          <w:lang w:bidi="ar-EG"/>
        </w:rPr>
      </w:pPr>
      <w:r w:rsidRPr="00281D95">
        <w:rPr>
          <w:rFonts w:ascii="Sakkal Majalla" w:hAnsi="Sakkal Majalla" w:cs="Sakkal Majalla"/>
          <w:b/>
          <w:bCs/>
          <w:sz w:val="36"/>
          <w:szCs w:val="36"/>
          <w:lang w:bidi="ar-EG"/>
        </w:rPr>
        <w:t>2025</w:t>
      </w:r>
    </w:p>
    <w:p w14:paraId="39038DC2" w14:textId="5A7C54E6" w:rsidR="00F71005" w:rsidRPr="00281D95" w:rsidRDefault="00F71005" w:rsidP="00281D95">
      <w:pPr>
        <w:spacing w:before="100" w:beforeAutospacing="1" w:after="100" w:afterAutospacing="1" w:line="360" w:lineRule="auto"/>
        <w:jc w:val="both"/>
        <w:rPr>
          <w:rFonts w:ascii="Sakkal Majalla" w:hAnsi="Sakkal Majalla" w:cs="Sakkal Majalla"/>
          <w:b/>
          <w:bCs/>
          <w:szCs w:val="28"/>
          <w:rtl/>
          <w:lang w:bidi="ar-EG"/>
        </w:rPr>
      </w:pPr>
    </w:p>
    <w:p w14:paraId="447BCB82" w14:textId="77777777" w:rsidR="00281D95" w:rsidRDefault="00281D95" w:rsidP="00281D95">
      <w:pPr>
        <w:spacing w:before="100" w:beforeAutospacing="1" w:after="100" w:afterAutospacing="1" w:line="360" w:lineRule="auto"/>
        <w:jc w:val="both"/>
        <w:rPr>
          <w:rFonts w:ascii="Sakkal Majalla" w:hAnsi="Sakkal Majalla" w:cs="Sakkal Majalla"/>
          <w:b/>
          <w:bCs/>
          <w:szCs w:val="28"/>
          <w:rtl/>
          <w:lang w:bidi="ar-EG"/>
        </w:rPr>
        <w:sectPr w:rsidR="00281D95" w:rsidSect="00281D95">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640C7A0E" w14:textId="68960ABE" w:rsidR="00281D95" w:rsidRPr="00281D95" w:rsidRDefault="00281D95" w:rsidP="00281D95">
      <w:pPr>
        <w:pStyle w:val="a9"/>
        <w:bidi/>
        <w:spacing w:line="360" w:lineRule="auto"/>
        <w:jc w:val="center"/>
        <w:outlineLvl w:val="0"/>
        <w:rPr>
          <w:rFonts w:ascii="Sakkal Majalla" w:hAnsi="Sakkal Majalla" w:cs="Sakkal Majalla"/>
          <w:b/>
          <w:bCs/>
          <w:sz w:val="40"/>
          <w:szCs w:val="40"/>
          <w:rtl/>
        </w:rPr>
      </w:pPr>
      <w:bookmarkStart w:id="0" w:name="_Toc200849138"/>
      <w:bookmarkStart w:id="1" w:name="_Toc169790488"/>
      <w:r w:rsidRPr="00281D95">
        <w:rPr>
          <w:rFonts w:ascii="Sakkal Majalla" w:hAnsi="Sakkal Majalla" w:cs="Sakkal Majalla" w:hint="cs"/>
          <w:b/>
          <w:bCs/>
          <w:sz w:val="40"/>
          <w:szCs w:val="40"/>
          <w:rtl/>
        </w:rPr>
        <w:t>الفصل الأول: الإطار العام للدراسة</w:t>
      </w:r>
      <w:bookmarkEnd w:id="0"/>
      <w:r w:rsidRPr="00281D95">
        <w:rPr>
          <w:rFonts w:ascii="Sakkal Majalla" w:hAnsi="Sakkal Majalla" w:cs="Sakkal Majalla" w:hint="cs"/>
          <w:b/>
          <w:bCs/>
          <w:sz w:val="40"/>
          <w:szCs w:val="40"/>
          <w:rtl/>
        </w:rPr>
        <w:t xml:space="preserve"> </w:t>
      </w:r>
    </w:p>
    <w:p w14:paraId="5F271B26" w14:textId="58CEB22F" w:rsidR="00281D95" w:rsidRPr="00281D95" w:rsidRDefault="00281D95" w:rsidP="00281D95">
      <w:pPr>
        <w:pStyle w:val="a9"/>
        <w:bidi/>
        <w:spacing w:line="360" w:lineRule="auto"/>
        <w:outlineLvl w:val="1"/>
        <w:rPr>
          <w:rFonts w:ascii="Sakkal Majalla" w:hAnsi="Sakkal Majalla" w:cs="Sakkal Majalla"/>
          <w:b/>
          <w:bCs/>
          <w:sz w:val="36"/>
          <w:szCs w:val="36"/>
          <w:rtl/>
        </w:rPr>
      </w:pPr>
      <w:bookmarkStart w:id="2" w:name="_Toc200849139"/>
      <w:r w:rsidRPr="00281D95">
        <w:rPr>
          <w:rFonts w:ascii="Sakkal Majalla" w:hAnsi="Sakkal Majalla" w:cs="Sakkal Majalla" w:hint="cs"/>
          <w:b/>
          <w:bCs/>
          <w:sz w:val="36"/>
          <w:szCs w:val="36"/>
          <w:rtl/>
        </w:rPr>
        <w:t>المقدمة</w:t>
      </w:r>
      <w:bookmarkEnd w:id="2"/>
    </w:p>
    <w:p w14:paraId="34D249D8" w14:textId="66BEF7D2" w:rsidR="00636F0B" w:rsidRPr="00281D95" w:rsidRDefault="00636F0B" w:rsidP="00281D95">
      <w:pPr>
        <w:pStyle w:val="a9"/>
        <w:bidi/>
        <w:spacing w:line="360" w:lineRule="auto"/>
        <w:ind w:firstLine="706"/>
        <w:jc w:val="both"/>
        <w:rPr>
          <w:rFonts w:ascii="Sakkal Majalla" w:hAnsi="Sakkal Majalla" w:cs="Sakkal Majalla"/>
          <w:sz w:val="28"/>
          <w:szCs w:val="28"/>
        </w:rPr>
      </w:pPr>
      <w:r w:rsidRPr="00281D95">
        <w:rPr>
          <w:rFonts w:ascii="Sakkal Majalla" w:hAnsi="Sakkal Majalla" w:cs="Sakkal Majalla"/>
          <w:sz w:val="28"/>
          <w:szCs w:val="28"/>
          <w:rtl/>
        </w:rPr>
        <w:t>يشهد القطاع المصرفي تحولات كبيرة في طريقة تقييم مخاطر الائتمان  حيث أصبح الاعتماد على التكنولوجيا الحديثة أمرًا ضروريًا لضمان اتخاذ قرارات إقراضية أكثر دقة وكفاءة و لم يعد التقييم التقليدي الذي يعتمد على التحليل اليدوي للبيانات المالية للمقترضين كافيًا لمواكبة التحديات المتزايدة في الأسواق المالية</w:t>
      </w:r>
      <w:r w:rsidR="00E11BFD" w:rsidRPr="00281D95">
        <w:rPr>
          <w:rFonts w:ascii="Sakkal Majalla" w:hAnsi="Sakkal Majalla" w:cs="Sakkal Majalla"/>
          <w:sz w:val="28"/>
          <w:szCs w:val="28"/>
          <w:rtl/>
        </w:rPr>
        <w:t xml:space="preserve"> و</w:t>
      </w:r>
      <w:r w:rsidRPr="00281D95">
        <w:rPr>
          <w:rFonts w:ascii="Sakkal Majalla" w:hAnsi="Sakkal Majalla" w:cs="Sakkal Majalla"/>
          <w:sz w:val="28"/>
          <w:szCs w:val="28"/>
          <w:rtl/>
        </w:rPr>
        <w:t xml:space="preserve"> تلجأ المؤسسات المالية</w:t>
      </w:r>
      <w:r w:rsidR="00E11BFD"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 xml:space="preserve"> مثل </w:t>
      </w:r>
      <w:r w:rsidR="008B0E78" w:rsidRPr="00281D95">
        <w:rPr>
          <w:rFonts w:ascii="Sakkal Majalla" w:hAnsi="Sakkal Majalla" w:cs="Sakkal Majalla"/>
          <w:sz w:val="28"/>
          <w:szCs w:val="28"/>
          <w:rtl/>
        </w:rPr>
        <w:t xml:space="preserve"> البنوك التجارية </w:t>
      </w:r>
      <w:r w:rsidR="00E11BFD"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إلى تقنيات الذكاء الاصطناعي والتعلم الآلي لتعزيز قدرتها على تحليل البيانات الضخمة</w:t>
      </w:r>
      <w:r w:rsidR="00E11BFD"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مما يساعدها في تحديد المخاطر المحتملة بدقة أعلى واتخاذ قرارات أكثر استنارة</w:t>
      </w:r>
      <w:r w:rsidRPr="00281D95">
        <w:rPr>
          <w:rFonts w:ascii="Sakkal Majalla" w:hAnsi="Sakkal Majalla" w:cs="Sakkal Majalla"/>
          <w:sz w:val="28"/>
          <w:szCs w:val="28"/>
        </w:rPr>
        <w:t>.</w:t>
      </w:r>
    </w:p>
    <w:p w14:paraId="0267BFC9" w14:textId="67444AC1" w:rsidR="00636F0B" w:rsidRPr="00281D95" w:rsidRDefault="00636F0B"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أصبحت هذه التقنيات تتيح للبنوك تحليل أنماط السلوك الائتماني للمقترضين عبر فحص سجلاتهم المالية وسلوكيات الدفع السابقة</w:t>
      </w:r>
      <w:r w:rsidR="00E11BFD" w:rsidRPr="00281D95">
        <w:rPr>
          <w:rFonts w:ascii="Sakkal Majalla" w:hAnsi="Sakkal Majalla" w:cs="Sakkal Majalla"/>
          <w:sz w:val="28"/>
          <w:szCs w:val="28"/>
          <w:rtl/>
        </w:rPr>
        <w:t xml:space="preserve"> و</w:t>
      </w:r>
      <w:r w:rsidRPr="00281D95">
        <w:rPr>
          <w:rFonts w:ascii="Sakkal Majalla" w:hAnsi="Sakkal Majalla" w:cs="Sakkal Majalla"/>
          <w:sz w:val="28"/>
          <w:szCs w:val="28"/>
          <w:rtl/>
        </w:rPr>
        <w:t xml:space="preserve"> باستخدام نماذج الذكاء الاصطناعي</w:t>
      </w:r>
      <w:r w:rsidR="00E11BFD"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 xml:space="preserve"> يمكن التنبؤ باحتمالات التخلف عن السداد بناءً على مجموعة متنوعة من العوامل</w:t>
      </w:r>
      <w:r w:rsidR="00D77856"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 xml:space="preserve"> مما يمنح المؤسسات المالية ميزة تنافسية في إدارة المخاطر الائتمانية بفعالية</w:t>
      </w:r>
      <w:r w:rsidR="00D77856" w:rsidRPr="00281D95">
        <w:rPr>
          <w:rFonts w:ascii="Sakkal Majalla" w:hAnsi="Sakkal Majalla" w:cs="Sakkal Majalla"/>
          <w:sz w:val="28"/>
          <w:szCs w:val="28"/>
          <w:rtl/>
        </w:rPr>
        <w:t xml:space="preserve"> و</w:t>
      </w:r>
      <w:r w:rsidRPr="00281D95">
        <w:rPr>
          <w:rFonts w:ascii="Sakkal Majalla" w:hAnsi="Sakkal Majalla" w:cs="Sakkal Majalla"/>
          <w:sz w:val="28"/>
          <w:szCs w:val="28"/>
          <w:rtl/>
        </w:rPr>
        <w:t>تعتمد هذه النماذج على تحليل عدد ضخم من البيانات</w:t>
      </w:r>
      <w:r w:rsidR="00D77856" w:rsidRPr="00281D95">
        <w:rPr>
          <w:rFonts w:ascii="Sakkal Majalla" w:hAnsi="Sakkal Majalla" w:cs="Sakkal Majalla"/>
          <w:sz w:val="28"/>
          <w:szCs w:val="28"/>
          <w:rtl/>
        </w:rPr>
        <w:t xml:space="preserve"> و</w:t>
      </w:r>
      <w:r w:rsidRPr="00281D95">
        <w:rPr>
          <w:rFonts w:ascii="Sakkal Majalla" w:hAnsi="Sakkal Majalla" w:cs="Sakkal Majalla"/>
          <w:sz w:val="28"/>
          <w:szCs w:val="28"/>
          <w:rtl/>
        </w:rPr>
        <w:t xml:space="preserve"> التي تشمل ليس فقط التاريخ الائتماني للمقترض</w:t>
      </w:r>
      <w:r w:rsidR="00D77856"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بل أيضًا معلومات أخرى مثل العوامل الاقتصادية والبيانات السلوكية</w:t>
      </w:r>
      <w:r w:rsidR="00D77856"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 xml:space="preserve"> وهو ما يجعل القرار الائتماني أكثر دقة ويقلل من الأخطاء البشرية</w:t>
      </w:r>
      <w:r w:rsidRPr="00281D95">
        <w:rPr>
          <w:rFonts w:ascii="Sakkal Majalla" w:hAnsi="Sakkal Majalla" w:cs="Sakkal Majalla"/>
          <w:sz w:val="28"/>
          <w:szCs w:val="28"/>
        </w:rPr>
        <w:t xml:space="preserve"> (Muhindo et al., 2024) (Beeram &amp; Devi, 2024).</w:t>
      </w:r>
    </w:p>
    <w:p w14:paraId="61352D1A" w14:textId="3EB9BDE7" w:rsidR="00636F0B" w:rsidRPr="00281D95" w:rsidRDefault="00636F0B"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تلعب الشبكات العصبية العميقة دورًا محوريًا في تحسين التقييمات الائتمانية فهي قادرة على تحليل العلاقات المعقدة بين المتغيرات المالية المختلفة مما يتيح فهمًا أعمق لنمط المخاطر لكل عميل على حدة. هذا التحليل المتطور يعزز قدرة البنوك على تصنيف العملاء وفقًا لمستوى المخاطر الخاص بهم</w:t>
      </w:r>
      <w:r w:rsidR="00D77856"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وهو ما يسهم في تقليل معدلات التخلف عن السداد وتحسين جودة المحفظة الائتمانية</w:t>
      </w:r>
      <w:r w:rsidRPr="00281D95">
        <w:rPr>
          <w:rFonts w:ascii="Sakkal Majalla" w:hAnsi="Sakkal Majalla" w:cs="Sakkal Majalla"/>
          <w:sz w:val="28"/>
          <w:szCs w:val="28"/>
        </w:rPr>
        <w:t xml:space="preserve"> (Li, 2023).</w:t>
      </w:r>
    </w:p>
    <w:p w14:paraId="5010294B" w14:textId="5DE23AC5" w:rsidR="00636F0B" w:rsidRPr="00281D95" w:rsidRDefault="00636F0B"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لم يقتصر أثر هذه التقنيات على تحسين التنبؤ بالمخاطر فحسب</w:t>
      </w:r>
      <w:r w:rsidR="00CE7399"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بل ساهمت أيضًا في تحسين الكفاءة التشغيلية للبنوك</w:t>
      </w:r>
      <w:r w:rsidR="00CE7399" w:rsidRPr="00281D95">
        <w:rPr>
          <w:rFonts w:ascii="Sakkal Majalla" w:hAnsi="Sakkal Majalla" w:cs="Sakkal Majalla"/>
          <w:sz w:val="28"/>
          <w:szCs w:val="28"/>
          <w:rtl/>
        </w:rPr>
        <w:t xml:space="preserve"> و</w:t>
      </w:r>
      <w:r w:rsidRPr="00281D95">
        <w:rPr>
          <w:rFonts w:ascii="Sakkal Majalla" w:hAnsi="Sakkal Majalla" w:cs="Sakkal Majalla"/>
          <w:sz w:val="28"/>
          <w:szCs w:val="28"/>
          <w:rtl/>
        </w:rPr>
        <w:t xml:space="preserve"> كانت عملية تقييم مخاطر الائتمان تستغرق وقتًا طويلًا وتتطلب تدخلاً بشريًا كبيرًا</w:t>
      </w:r>
      <w:r w:rsidR="00CE7399"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مما يزيد من التكاليف التشغيلية ويؤخر اتخاذ القرارات</w:t>
      </w:r>
      <w:r w:rsidR="00CE7399" w:rsidRPr="00281D95">
        <w:rPr>
          <w:rFonts w:ascii="Sakkal Majalla" w:hAnsi="Sakkal Majalla" w:cs="Sakkal Majalla"/>
          <w:sz w:val="28"/>
          <w:szCs w:val="28"/>
          <w:rtl/>
        </w:rPr>
        <w:t xml:space="preserve"> و</w:t>
      </w:r>
      <w:r w:rsidRPr="00281D95">
        <w:rPr>
          <w:rFonts w:ascii="Sakkal Majalla" w:hAnsi="Sakkal Majalla" w:cs="Sakkal Majalla"/>
          <w:sz w:val="28"/>
          <w:szCs w:val="28"/>
          <w:rtl/>
        </w:rPr>
        <w:t xml:space="preserve"> بفضل الذكاء الاصطناعي</w:t>
      </w:r>
      <w:r w:rsidR="00CE7399"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 xml:space="preserve"> أصبحت هذه العملية أسرع وأكثر كفاءة</w:t>
      </w:r>
      <w:r w:rsidR="00CE7399"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 xml:space="preserve"> حيث يمكن تحليل البيانات بشكل لحظي واتخاذ قرارات فورية دون الحاجة إلى مراجعات مطولة</w:t>
      </w:r>
      <w:r w:rsidRPr="00281D95">
        <w:rPr>
          <w:rFonts w:ascii="Sakkal Majalla" w:hAnsi="Sakkal Majalla" w:cs="Sakkal Majalla"/>
          <w:sz w:val="28"/>
          <w:szCs w:val="28"/>
        </w:rPr>
        <w:t xml:space="preserve"> (Beeram &amp; Devi, 2024).</w:t>
      </w:r>
    </w:p>
    <w:p w14:paraId="170D13D7" w14:textId="10330790" w:rsidR="00636F0B" w:rsidRPr="00281D95" w:rsidRDefault="00DA662F"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 xml:space="preserve"> </w:t>
      </w:r>
      <w:r w:rsidR="00636F0B" w:rsidRPr="00281D95">
        <w:rPr>
          <w:rFonts w:ascii="Sakkal Majalla" w:hAnsi="Sakkal Majalla" w:cs="Sakkal Majalla"/>
          <w:sz w:val="28"/>
          <w:szCs w:val="28"/>
          <w:rtl/>
        </w:rPr>
        <w:t xml:space="preserve"> أصبح بإمكان البنوك الآن إدارة المخاطر بطريقة أكثر ديناميكية</w:t>
      </w:r>
      <w:r w:rsidRPr="00281D95">
        <w:rPr>
          <w:rFonts w:ascii="Sakkal Majalla" w:hAnsi="Sakkal Majalla" w:cs="Sakkal Majalla"/>
          <w:sz w:val="28"/>
          <w:szCs w:val="28"/>
          <w:rtl/>
        </w:rPr>
        <w:t xml:space="preserve"> و</w:t>
      </w:r>
      <w:r w:rsidR="00636F0B" w:rsidRPr="00281D95">
        <w:rPr>
          <w:rFonts w:ascii="Sakkal Majalla" w:hAnsi="Sakkal Majalla" w:cs="Sakkal Majalla"/>
          <w:sz w:val="28"/>
          <w:szCs w:val="28"/>
          <w:rtl/>
        </w:rPr>
        <w:t>في الماضي</w:t>
      </w:r>
      <w:r w:rsidRPr="00281D95">
        <w:rPr>
          <w:rFonts w:ascii="Sakkal Majalla" w:hAnsi="Sakkal Majalla" w:cs="Sakkal Majalla"/>
          <w:sz w:val="28"/>
          <w:szCs w:val="28"/>
          <w:rtl/>
        </w:rPr>
        <w:t xml:space="preserve"> </w:t>
      </w:r>
      <w:r w:rsidR="00636F0B" w:rsidRPr="00281D95">
        <w:rPr>
          <w:rFonts w:ascii="Sakkal Majalla" w:hAnsi="Sakkal Majalla" w:cs="Sakkal Majalla"/>
          <w:sz w:val="28"/>
          <w:szCs w:val="28"/>
          <w:rtl/>
        </w:rPr>
        <w:t xml:space="preserve"> كانت التقييمات الائتمانية تتم عند تقديم طلب القرض فقط</w:t>
      </w:r>
      <w:r w:rsidRPr="00281D95">
        <w:rPr>
          <w:rFonts w:ascii="Sakkal Majalla" w:hAnsi="Sakkal Majalla" w:cs="Sakkal Majalla"/>
          <w:sz w:val="28"/>
          <w:szCs w:val="28"/>
          <w:rtl/>
        </w:rPr>
        <w:t xml:space="preserve"> </w:t>
      </w:r>
      <w:r w:rsidR="00636F0B" w:rsidRPr="00281D95">
        <w:rPr>
          <w:rFonts w:ascii="Sakkal Majalla" w:hAnsi="Sakkal Majalla" w:cs="Sakkal Majalla"/>
          <w:sz w:val="28"/>
          <w:szCs w:val="28"/>
          <w:rtl/>
        </w:rPr>
        <w:t xml:space="preserve"> دون تحديث مستمر للمعلومات</w:t>
      </w:r>
      <w:r w:rsidRPr="00281D95">
        <w:rPr>
          <w:rFonts w:ascii="Sakkal Majalla" w:hAnsi="Sakkal Majalla" w:cs="Sakkal Majalla"/>
          <w:sz w:val="28"/>
          <w:szCs w:val="28"/>
          <w:rtl/>
        </w:rPr>
        <w:t xml:space="preserve"> </w:t>
      </w:r>
      <w:r w:rsidR="00636F0B" w:rsidRPr="00281D95">
        <w:rPr>
          <w:rFonts w:ascii="Sakkal Majalla" w:hAnsi="Sakkal Majalla" w:cs="Sakkal Majalla"/>
          <w:sz w:val="28"/>
          <w:szCs w:val="28"/>
          <w:rtl/>
        </w:rPr>
        <w:t xml:space="preserve"> أما الآن</w:t>
      </w:r>
      <w:r w:rsidRPr="00281D95">
        <w:rPr>
          <w:rFonts w:ascii="Sakkal Majalla" w:hAnsi="Sakkal Majalla" w:cs="Sakkal Majalla"/>
          <w:sz w:val="28"/>
          <w:szCs w:val="28"/>
          <w:rtl/>
        </w:rPr>
        <w:t xml:space="preserve"> </w:t>
      </w:r>
      <w:r w:rsidR="00636F0B" w:rsidRPr="00281D95">
        <w:rPr>
          <w:rFonts w:ascii="Sakkal Majalla" w:hAnsi="Sakkal Majalla" w:cs="Sakkal Majalla"/>
          <w:sz w:val="28"/>
          <w:szCs w:val="28"/>
          <w:rtl/>
        </w:rPr>
        <w:t>فبفضل التكامل المستمر للبيانات</w:t>
      </w:r>
      <w:r w:rsidRPr="00281D95">
        <w:rPr>
          <w:rFonts w:ascii="Sakkal Majalla" w:hAnsi="Sakkal Majalla" w:cs="Sakkal Majalla"/>
          <w:sz w:val="28"/>
          <w:szCs w:val="28"/>
          <w:rtl/>
        </w:rPr>
        <w:t xml:space="preserve"> </w:t>
      </w:r>
      <w:r w:rsidR="00636F0B" w:rsidRPr="00281D95">
        <w:rPr>
          <w:rFonts w:ascii="Sakkal Majalla" w:hAnsi="Sakkal Majalla" w:cs="Sakkal Majalla"/>
          <w:sz w:val="28"/>
          <w:szCs w:val="28"/>
          <w:rtl/>
        </w:rPr>
        <w:t>يمكن للبنوك تحديث تقييماتها الائتمانية بشكل دوري بناءً على التغيرات في سلوك العملاء والظروف الاقتصادية</w:t>
      </w:r>
      <w:r w:rsidRPr="00281D95">
        <w:rPr>
          <w:rFonts w:ascii="Sakkal Majalla" w:hAnsi="Sakkal Majalla" w:cs="Sakkal Majalla"/>
          <w:sz w:val="28"/>
          <w:szCs w:val="28"/>
          <w:rtl/>
        </w:rPr>
        <w:t xml:space="preserve"> و</w:t>
      </w:r>
      <w:r w:rsidR="00636F0B" w:rsidRPr="00281D95">
        <w:rPr>
          <w:rFonts w:ascii="Sakkal Majalla" w:hAnsi="Sakkal Majalla" w:cs="Sakkal Majalla"/>
          <w:sz w:val="28"/>
          <w:szCs w:val="28"/>
          <w:rtl/>
        </w:rPr>
        <w:t>هذا الأسلوب يساعد في التعامل بشكل استباقي مع المخاطر المحتملة</w:t>
      </w:r>
      <w:r w:rsidRPr="00281D95">
        <w:rPr>
          <w:rFonts w:ascii="Sakkal Majalla" w:hAnsi="Sakkal Majalla" w:cs="Sakkal Majalla"/>
          <w:sz w:val="28"/>
          <w:szCs w:val="28"/>
          <w:rtl/>
        </w:rPr>
        <w:t xml:space="preserve"> </w:t>
      </w:r>
      <w:r w:rsidR="00636F0B" w:rsidRPr="00281D95">
        <w:rPr>
          <w:rFonts w:ascii="Sakkal Majalla" w:hAnsi="Sakkal Majalla" w:cs="Sakkal Majalla"/>
          <w:sz w:val="28"/>
          <w:szCs w:val="28"/>
          <w:rtl/>
        </w:rPr>
        <w:t>مما يقلل من الخسائر المالية ويحسن استقرار النظام المصرفي</w:t>
      </w:r>
      <w:r w:rsidR="00636F0B" w:rsidRPr="00281D95">
        <w:rPr>
          <w:rFonts w:ascii="Sakkal Majalla" w:hAnsi="Sakkal Majalla" w:cs="Sakkal Majalla"/>
          <w:sz w:val="28"/>
          <w:szCs w:val="28"/>
        </w:rPr>
        <w:t xml:space="preserve"> (Adesanya, 2024).</w:t>
      </w:r>
    </w:p>
    <w:p w14:paraId="6BBEE0AA" w14:textId="4A4C9B60" w:rsidR="00636F0B" w:rsidRPr="00281D95" w:rsidRDefault="00636F0B"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لكن على الرغم من هذه الفوائد</w:t>
      </w:r>
      <w:r w:rsidR="00C54E7E"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 xml:space="preserve"> لا تخلو هذه التقنيات من التحديات</w:t>
      </w:r>
      <w:r w:rsidR="00C54E7E" w:rsidRPr="00281D95">
        <w:rPr>
          <w:rFonts w:ascii="Sakkal Majalla" w:hAnsi="Sakkal Majalla" w:cs="Sakkal Majalla"/>
          <w:sz w:val="28"/>
          <w:szCs w:val="28"/>
          <w:rtl/>
        </w:rPr>
        <w:t xml:space="preserve"> فمثلا</w:t>
      </w:r>
      <w:r w:rsidRPr="00281D95">
        <w:rPr>
          <w:rFonts w:ascii="Sakkal Majalla" w:hAnsi="Sakkal Majalla" w:cs="Sakkal Majalla"/>
          <w:sz w:val="28"/>
          <w:szCs w:val="28"/>
          <w:rtl/>
        </w:rPr>
        <w:t xml:space="preserve"> جودة البيانات تظل واحدة من العقبات الرئيسية التي تواجه تقييم مخاطر الائتمان</w:t>
      </w:r>
      <w:r w:rsidR="00C54E7E"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فالاعتماد على بيانات غير مكتملة أو غير دقيقة قد يؤدي إلى قرارات غير موثوقة</w:t>
      </w:r>
      <w:r w:rsidR="00C54E7E"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 xml:space="preserve"> مما قد يؤثر سلبًا على أداء البنوك</w:t>
      </w:r>
      <w:r w:rsidR="00C54E7E" w:rsidRPr="00281D95">
        <w:rPr>
          <w:rFonts w:ascii="Sakkal Majalla" w:hAnsi="Sakkal Majalla" w:cs="Sakkal Majalla"/>
          <w:sz w:val="28"/>
          <w:szCs w:val="28"/>
          <w:rtl/>
        </w:rPr>
        <w:t xml:space="preserve"> و</w:t>
      </w:r>
      <w:r w:rsidRPr="00281D95">
        <w:rPr>
          <w:rFonts w:ascii="Sakkal Majalla" w:hAnsi="Sakkal Majalla" w:cs="Sakkal Majalla"/>
          <w:sz w:val="28"/>
          <w:szCs w:val="28"/>
          <w:rtl/>
        </w:rPr>
        <w:t xml:space="preserve"> تسعى المؤسسات المالية إلى تحسين جودة البيانات من خلال استخدام مصادر متعددة والتحقق من دقتها باستمرار</w:t>
      </w:r>
      <w:r w:rsidRPr="00281D95">
        <w:rPr>
          <w:rFonts w:ascii="Sakkal Majalla" w:hAnsi="Sakkal Majalla" w:cs="Sakkal Majalla"/>
          <w:sz w:val="28"/>
          <w:szCs w:val="28"/>
        </w:rPr>
        <w:t xml:space="preserve"> (Muhindo et al., 2024).</w:t>
      </w:r>
    </w:p>
    <w:p w14:paraId="14BDD77E" w14:textId="3E338622" w:rsidR="00636F0B" w:rsidRPr="00281D95" w:rsidRDefault="00636F0B"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هناك تحديات تنظيمية تواجه استخدام الذكاء الاصطناعي في تقييم المخاط</w:t>
      </w:r>
      <w:r w:rsidR="0005379C" w:rsidRPr="00281D95">
        <w:rPr>
          <w:rFonts w:ascii="Sakkal Majalla" w:hAnsi="Sakkal Majalla" w:cs="Sakkal Majalla"/>
          <w:sz w:val="28"/>
          <w:szCs w:val="28"/>
          <w:rtl/>
        </w:rPr>
        <w:t>ر</w:t>
      </w:r>
      <w:r w:rsidRPr="00281D95">
        <w:rPr>
          <w:rFonts w:ascii="Sakkal Majalla" w:hAnsi="Sakkal Majalla" w:cs="Sakkal Majalla"/>
          <w:sz w:val="28"/>
          <w:szCs w:val="28"/>
          <w:rtl/>
        </w:rPr>
        <w:t xml:space="preserve"> فالجهات الرقابية تفرض معايير صارمة لضمان عدم تحيز النماذج الائتمانية وحماية حقوق المقترضين</w:t>
      </w:r>
      <w:r w:rsidR="0005379C" w:rsidRPr="00281D95">
        <w:rPr>
          <w:rFonts w:ascii="Sakkal Majalla" w:hAnsi="Sakkal Majalla" w:cs="Sakkal Majalla"/>
          <w:sz w:val="28"/>
          <w:szCs w:val="28"/>
          <w:rtl/>
        </w:rPr>
        <w:t xml:space="preserve"> و</w:t>
      </w:r>
      <w:r w:rsidRPr="00281D95">
        <w:rPr>
          <w:rFonts w:ascii="Sakkal Majalla" w:hAnsi="Sakkal Majalla" w:cs="Sakkal Majalla"/>
          <w:sz w:val="28"/>
          <w:szCs w:val="28"/>
          <w:rtl/>
        </w:rPr>
        <w:t xml:space="preserve"> تشترط هذه المعايير أن تكون نماذج الذكاء الاصطناعي قابلة للتفسير</w:t>
      </w:r>
      <w:r w:rsidR="0005379C"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بحيث يمكن فهم كيفية اتخاذ القرارات الائتمانية وهو أمر ضروري لضمان الشفافية والعدالة في منح القروض</w:t>
      </w:r>
      <w:r w:rsidRPr="00281D95">
        <w:rPr>
          <w:rFonts w:ascii="Sakkal Majalla" w:hAnsi="Sakkal Majalla" w:cs="Sakkal Majalla"/>
          <w:sz w:val="28"/>
          <w:szCs w:val="28"/>
        </w:rPr>
        <w:t xml:space="preserve"> (Arnania-Kepuladze, 2024).</w:t>
      </w:r>
    </w:p>
    <w:p w14:paraId="5200A875" w14:textId="22D355B6" w:rsidR="00636F0B" w:rsidRPr="00281D95" w:rsidRDefault="00636F0B"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تواجه البنوك تحديًا آخر يتمثل في تحقيق التوازن بين استخدام التكنولوجيا الحديثة والحفاظ على ممارسات إدارة المخاطر التقليدية</w:t>
      </w:r>
      <w:r w:rsidR="0005379C" w:rsidRPr="00281D95">
        <w:rPr>
          <w:rFonts w:ascii="Sakkal Majalla" w:hAnsi="Sakkal Majalla" w:cs="Sakkal Majalla"/>
          <w:sz w:val="28"/>
          <w:szCs w:val="28"/>
          <w:rtl/>
        </w:rPr>
        <w:t xml:space="preserve"> و</w:t>
      </w:r>
      <w:r w:rsidRPr="00281D95">
        <w:rPr>
          <w:rFonts w:ascii="Sakkal Majalla" w:hAnsi="Sakkal Majalla" w:cs="Sakkal Majalla"/>
          <w:sz w:val="28"/>
          <w:szCs w:val="28"/>
          <w:rtl/>
        </w:rPr>
        <w:t xml:space="preserve"> رغم أن الذكاء الاصطناعي يقدم حلولًا متطورة</w:t>
      </w:r>
      <w:r w:rsidR="009610B4" w:rsidRPr="00281D95">
        <w:rPr>
          <w:rFonts w:ascii="Sakkal Majalla" w:hAnsi="Sakkal Majalla" w:cs="Sakkal Majalla"/>
          <w:sz w:val="28"/>
          <w:szCs w:val="28"/>
          <w:rtl/>
        </w:rPr>
        <w:t xml:space="preserve"> الا انه </w:t>
      </w:r>
      <w:r w:rsidRPr="00281D95">
        <w:rPr>
          <w:rFonts w:ascii="Sakkal Majalla" w:hAnsi="Sakkal Majalla" w:cs="Sakkal Majalla"/>
          <w:sz w:val="28"/>
          <w:szCs w:val="28"/>
          <w:rtl/>
        </w:rPr>
        <w:t xml:space="preserve"> لا يمكن الاستغناء تمامًا عن العنصر البشري في اتخاذ القرارات الائتمانية</w:t>
      </w:r>
      <w:r w:rsidR="009610B4"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 xml:space="preserve"> فلا تزال هناك عوامل تحتاج إلى تقييم بشري</w:t>
      </w:r>
      <w:r w:rsidR="009610B4"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مثل تحليل الظروف الشخصية للمقترضين وتقدير تأثير العوامل الخارجية على قدرتهم على السداد</w:t>
      </w:r>
      <w:r w:rsidRPr="00281D95">
        <w:rPr>
          <w:rFonts w:ascii="Sakkal Majalla" w:hAnsi="Sakkal Majalla" w:cs="Sakkal Majalla"/>
          <w:sz w:val="28"/>
          <w:szCs w:val="28"/>
        </w:rPr>
        <w:t xml:space="preserve"> (Adesanya, 2024).</w:t>
      </w:r>
    </w:p>
    <w:p w14:paraId="7E4B665E" w14:textId="0FE09335" w:rsidR="00636F0B" w:rsidRPr="00281D95" w:rsidRDefault="009610B4"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يشهد</w:t>
      </w:r>
      <w:r w:rsidR="00636F0B" w:rsidRPr="00281D95">
        <w:rPr>
          <w:rFonts w:ascii="Sakkal Majalla" w:hAnsi="Sakkal Majalla" w:cs="Sakkal Majalla"/>
          <w:sz w:val="28"/>
          <w:szCs w:val="28"/>
          <w:rtl/>
        </w:rPr>
        <w:t xml:space="preserve"> تقييم مخاطر الائتمان تحولًا جذريًا بفضل التطورات التكنولوجية</w:t>
      </w:r>
      <w:r w:rsidRPr="00281D95">
        <w:rPr>
          <w:rFonts w:ascii="Sakkal Majalla" w:hAnsi="Sakkal Majalla" w:cs="Sakkal Majalla"/>
          <w:sz w:val="28"/>
          <w:szCs w:val="28"/>
          <w:rtl/>
        </w:rPr>
        <w:t xml:space="preserve"> </w:t>
      </w:r>
      <w:r w:rsidR="00636F0B" w:rsidRPr="00281D95">
        <w:rPr>
          <w:rFonts w:ascii="Sakkal Majalla" w:hAnsi="Sakkal Majalla" w:cs="Sakkal Majalla"/>
          <w:sz w:val="28"/>
          <w:szCs w:val="28"/>
          <w:rtl/>
        </w:rPr>
        <w:t>حيث أصبح أكثر دقة وكفاءة من أي وقت مضى. ومع ذلك</w:t>
      </w:r>
      <w:r w:rsidR="00007252" w:rsidRPr="00281D95">
        <w:rPr>
          <w:rFonts w:ascii="Sakkal Majalla" w:hAnsi="Sakkal Majalla" w:cs="Sakkal Majalla"/>
          <w:sz w:val="28"/>
          <w:szCs w:val="28"/>
          <w:rtl/>
        </w:rPr>
        <w:t xml:space="preserve"> </w:t>
      </w:r>
      <w:r w:rsidR="00636F0B" w:rsidRPr="00281D95">
        <w:rPr>
          <w:rFonts w:ascii="Sakkal Majalla" w:hAnsi="Sakkal Majalla" w:cs="Sakkal Majalla"/>
          <w:sz w:val="28"/>
          <w:szCs w:val="28"/>
          <w:rtl/>
        </w:rPr>
        <w:t>فإن نجاح هذه التقنيات يعتمد على مدى قدرة المؤسسات المالية على التعامل مع تحديات جودة البيانات والامتثال التنظيمي من خلال تحقيق توازن بين التقنيات الحديثة والخبرة البشرية</w:t>
      </w:r>
      <w:r w:rsidR="00007252" w:rsidRPr="00281D95">
        <w:rPr>
          <w:rFonts w:ascii="Sakkal Majalla" w:hAnsi="Sakkal Majalla" w:cs="Sakkal Majalla"/>
          <w:sz w:val="28"/>
          <w:szCs w:val="28"/>
          <w:rtl/>
        </w:rPr>
        <w:t xml:space="preserve"> و</w:t>
      </w:r>
      <w:r w:rsidR="00636F0B" w:rsidRPr="00281D95">
        <w:rPr>
          <w:rFonts w:ascii="Sakkal Majalla" w:hAnsi="Sakkal Majalla" w:cs="Sakkal Majalla"/>
          <w:sz w:val="28"/>
          <w:szCs w:val="28"/>
          <w:rtl/>
        </w:rPr>
        <w:t xml:space="preserve"> يمكن للبنوك تحسين جودة قرارات الائتمان</w:t>
      </w:r>
      <w:r w:rsidR="00007252" w:rsidRPr="00281D95">
        <w:rPr>
          <w:rFonts w:ascii="Sakkal Majalla" w:hAnsi="Sakkal Majalla" w:cs="Sakkal Majalla"/>
          <w:sz w:val="28"/>
          <w:szCs w:val="28"/>
          <w:rtl/>
        </w:rPr>
        <w:t xml:space="preserve"> </w:t>
      </w:r>
      <w:r w:rsidR="00636F0B" w:rsidRPr="00281D95">
        <w:rPr>
          <w:rFonts w:ascii="Sakkal Majalla" w:hAnsi="Sakkal Majalla" w:cs="Sakkal Majalla"/>
          <w:sz w:val="28"/>
          <w:szCs w:val="28"/>
          <w:rtl/>
        </w:rPr>
        <w:t>مما يعزز استقرارها المالي ويضمن تحقيق نمو مستدام في القطاع المصرفي</w:t>
      </w:r>
      <w:r w:rsidR="00636F0B" w:rsidRPr="00281D95">
        <w:rPr>
          <w:rFonts w:ascii="Sakkal Majalla" w:hAnsi="Sakkal Majalla" w:cs="Sakkal Majalla"/>
          <w:sz w:val="28"/>
          <w:szCs w:val="28"/>
        </w:rPr>
        <w:t>.</w:t>
      </w:r>
    </w:p>
    <w:p w14:paraId="782902A8" w14:textId="3CAFBE5F" w:rsidR="004A035D" w:rsidRPr="00281D95" w:rsidRDefault="00281D95" w:rsidP="00281D95">
      <w:pPr>
        <w:pStyle w:val="a9"/>
        <w:bidi/>
        <w:spacing w:line="360" w:lineRule="auto"/>
        <w:jc w:val="both"/>
        <w:outlineLvl w:val="1"/>
        <w:rPr>
          <w:rFonts w:ascii="Sakkal Majalla" w:hAnsi="Sakkal Majalla" w:cs="Sakkal Majalla"/>
          <w:b/>
          <w:bCs/>
          <w:sz w:val="36"/>
          <w:szCs w:val="36"/>
          <w:rtl/>
        </w:rPr>
      </w:pPr>
      <w:bookmarkStart w:id="3" w:name="_Toc200849140"/>
      <w:r w:rsidRPr="00281D95">
        <w:rPr>
          <w:rFonts w:ascii="Sakkal Majalla" w:hAnsi="Sakkal Majalla" w:cs="Sakkal Majalla" w:hint="cs"/>
          <w:b/>
          <w:bCs/>
          <w:sz w:val="36"/>
          <w:szCs w:val="36"/>
          <w:rtl/>
        </w:rPr>
        <w:t xml:space="preserve">1.1 </w:t>
      </w:r>
      <w:r w:rsidR="00A74F76" w:rsidRPr="00281D95">
        <w:rPr>
          <w:rFonts w:ascii="Sakkal Majalla" w:hAnsi="Sakkal Majalla" w:cs="Sakkal Majalla"/>
          <w:b/>
          <w:bCs/>
          <w:sz w:val="36"/>
          <w:szCs w:val="36"/>
          <w:rtl/>
        </w:rPr>
        <w:t>مشكلة الدراسة</w:t>
      </w:r>
      <w:r w:rsidR="009125CE" w:rsidRPr="00281D95">
        <w:rPr>
          <w:rFonts w:ascii="Sakkal Majalla" w:hAnsi="Sakkal Majalla" w:cs="Sakkal Majalla"/>
          <w:b/>
          <w:bCs/>
          <w:sz w:val="36"/>
          <w:szCs w:val="36"/>
          <w:rtl/>
        </w:rPr>
        <w:t>:</w:t>
      </w:r>
      <w:bookmarkEnd w:id="1"/>
      <w:bookmarkEnd w:id="3"/>
    </w:p>
    <w:p w14:paraId="64320945" w14:textId="77777777" w:rsidR="00F030E8" w:rsidRPr="00281D95" w:rsidRDefault="00F030E8"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تعد المخاطر الائتمانية من القضايا الأساسية التي تؤثر بشكل مباشر على استقرار القطاع المصرفي وجودة القرارات الائتمانية التي تتخذها البنوك حيث تؤثر هذه المخاطر على قدرة المؤسسات المصرفية على تحقيق التوازن بين تقديم التمويل اللازم للعملاء والحد من التعثر المالي والخسائر المحتملة ويمثل تقييم المخاطر الائتمانية أداة حاسمة في اتخاذ القرارات المصرفية حيث يمكن أن يسهم التحليل الدقيق لهذه المخاطر في تحسين جودة القرارات الائتمانية وتقليل نسب القروض غير المنتظمة</w:t>
      </w:r>
    </w:p>
    <w:p w14:paraId="6E9A8B1C" w14:textId="77777777" w:rsidR="00F030E8" w:rsidRPr="00281D95" w:rsidRDefault="00F030E8"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في ظل التغيرات الاقتصادية المتسارعة والتطورات التنظيمية المتزايدة أصبح من الضروري على البنوك تطوير أنظمة تقييم المخاطر الائتمانية بما يواكب التحولات في الأسواق المالية ويتضمن هذا التطوير الأخذ بعين الاعتبار العوامل المختلفة التي تؤثر على قدرة المقترضين على السداد ومدى استقرارهم المالي حيث يرتبط البعد المالي بمدى قدرة العميل على الوفاء بالتزاماته المالية بناءً على تحليل التدفقات النقدية ونسب المديونية بينما يتناول البعد الاقتصادي تأثير العوامل الاقتصادية مثل التضخم وأسعار الفائدة على سلوكيات المقترضين أما البعد القانوني والتنظيمي فيتعلق بالإطار التشريعي والرقابي الذي يحكم قرارات الإقراض ويوفر معايير للحد من المخاطر في حين يركز البعد الاستراتيجي على استخدام سياسات متكاملة في إدارة المخاطر بهدف تحسين أداء المؤسسات المصرفية وضمان استدامة قراراتها الائتمانية</w:t>
      </w:r>
    </w:p>
    <w:p w14:paraId="39D7925B" w14:textId="77777777" w:rsidR="00F030E8" w:rsidRPr="00281D95" w:rsidRDefault="00F030E8"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على الرغم من الاهتمام الكبير الذي أولته الدراسات السابقة لموضوع المخاطر الائتمانية إلا أن معظم هذه الدراسات ركزت على جانب محدد من جوانب المخاطر دون تقديم تحليل متكامل للأبعاد المختلفة لها حيث ركزت بعض الدراسات على البعد المالي ومدى تأثير التحليل المالي للمقترضين في تقليل نسب التعثر بينما ركزت دراسات أخرى على الجوانب الاقتصادية ودورها في تحديد معدلات التخلف عن السداد وتناولت بعض الأبحاث دور الجهات التنظيمية في الحد من المخاطر المصرفية من خلال تطبيق معايير بازل ومتطلبات رأس المال كما سلطت دراسات أخرى الضوء على استراتيجيات البنوك في تنويع المحفظة الائتمانية وتقليل المخاطر المرتبطة بالإقراض غير المدروس ولكن لم يتم الربط بين هذه الأبعاد في إطار تحليلي شامل يوضح كيفية تفاعلها معًا لتحسين جودة القرارات الائتمانية</w:t>
      </w:r>
    </w:p>
    <w:p w14:paraId="1E16772A" w14:textId="473616DE" w:rsidR="00F030E8" w:rsidRPr="00281D95" w:rsidRDefault="00F030E8"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 xml:space="preserve">تنبع مشكلة الدراسة الحالية من الحاجة إلى تقديم نموذج متكامل لتقييم المخاطر الائتمانية يأخذ بعين الاعتبار التفاعل بين الأبعاد المختلفة لهذه المخاطر ومدى تأثيرها على جودة القرارات الائتمانية في </w:t>
      </w:r>
      <w:r w:rsidR="008B0E78" w:rsidRPr="00281D95">
        <w:rPr>
          <w:rFonts w:ascii="Sakkal Majalla" w:hAnsi="Sakkal Majalla" w:cs="Sakkal Majalla"/>
          <w:sz w:val="28"/>
          <w:szCs w:val="28"/>
          <w:rtl/>
        </w:rPr>
        <w:t xml:space="preserve"> البنوك التجارية  </w:t>
      </w:r>
      <w:r w:rsidRPr="00281D95">
        <w:rPr>
          <w:rFonts w:ascii="Sakkal Majalla" w:hAnsi="Sakkal Majalla" w:cs="Sakkal Majalla"/>
          <w:sz w:val="28"/>
          <w:szCs w:val="28"/>
          <w:rtl/>
        </w:rPr>
        <w:t>حيث تهدف الدراسة إلى سد الفجوة البحثية من خلال تحليل متكامل يشمل البعد المالي والبعد الاقتصادي والبعد القانوني والتنظيمي والبعد الاستراتيجي لتقديم رؤية أكثر شمولية حول كيفية تعزيز قدرة البنوك على اتخاذ قرارات ائتمانية قائمة على أسس دقيقة ومستدامة</w:t>
      </w:r>
    </w:p>
    <w:p w14:paraId="5EE65262" w14:textId="77777777" w:rsidR="00F030E8" w:rsidRPr="00281D95" w:rsidRDefault="00F030E8"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يكتسب تحليل هذه المشكلة أهمية خاصة في ظل البيئة المصرفية الحديثة التي تتطلب تطبيق استراتيجيات متطورة في إدارة المخاطر حيث أصبح من الضروري تبني تقنيات تحليل البيانات الضخمة والتعلم الآلي لتعزيز دقة التنبؤات الائتمانية وتقليل حالات التعثر كما أن التشريعات المصرفية المتزايدة تفرض تحديات جديدة على البنوك فيما يتعلق بضرورة تحقيق التوازن بين الامتثال التنظيمي وتحقيق الربحية وهو ما يجعل البحث في أثر تقييم المخاطر الائتمانية بأبعاده المختلفة على جودة القرارات الائتمانية أمرًا ضروريًا لضمان استدامة الأداء المصرفي وتعزيز الاستقرار المالي للمؤسسات المصرفية</w:t>
      </w:r>
    </w:p>
    <w:p w14:paraId="44F3686C" w14:textId="1756FE93" w:rsidR="00F030E8" w:rsidRPr="00281D95" w:rsidRDefault="00F030E8" w:rsidP="00281D95">
      <w:pPr>
        <w:pStyle w:val="a9"/>
        <w:bidi/>
        <w:spacing w:line="360" w:lineRule="auto"/>
        <w:ind w:firstLine="720"/>
        <w:jc w:val="both"/>
        <w:rPr>
          <w:rFonts w:ascii="Sakkal Majalla" w:hAnsi="Sakkal Majalla" w:cs="Sakkal Majalla"/>
          <w:sz w:val="28"/>
          <w:szCs w:val="28"/>
        </w:rPr>
      </w:pPr>
      <w:r w:rsidRPr="00281D95">
        <w:rPr>
          <w:rFonts w:ascii="Sakkal Majalla" w:hAnsi="Sakkal Majalla" w:cs="Sakkal Majalla"/>
          <w:sz w:val="28"/>
          <w:szCs w:val="28"/>
          <w:rtl/>
        </w:rPr>
        <w:t xml:space="preserve">تتمثل إشكالية هذه الدراسة في التساؤل عن مدى تأثير تقييم المخاطر الائتمانية بأبعاده المختلفة على تحسين جودة القرارات الائتمانية في </w:t>
      </w:r>
      <w:r w:rsidR="008B0E78" w:rsidRPr="00281D95">
        <w:rPr>
          <w:rFonts w:ascii="Sakkal Majalla" w:hAnsi="Sakkal Majalla" w:cs="Sakkal Majalla"/>
          <w:sz w:val="28"/>
          <w:szCs w:val="28"/>
          <w:rtl/>
        </w:rPr>
        <w:t xml:space="preserve"> البنوك التجارية </w:t>
      </w:r>
      <w:r w:rsidRPr="00281D95">
        <w:rPr>
          <w:rFonts w:ascii="Sakkal Majalla" w:hAnsi="Sakkal Majalla" w:cs="Sakkal Majalla"/>
          <w:sz w:val="28"/>
          <w:szCs w:val="28"/>
          <w:rtl/>
        </w:rPr>
        <w:t xml:space="preserve"> وكيف يمكن للبنك الاستفادة من تطوير نماذج متكاملة لإدارة المخاطر من أجل تحسين كفاءة عمليات الإقراض وتقليل نسب القروض غير المنتظمة وتحقيق استدامة أكبر في الأداء المصرفي</w:t>
      </w:r>
    </w:p>
    <w:p w14:paraId="231E38BB" w14:textId="150F145C" w:rsidR="009125CE" w:rsidRPr="00281D95" w:rsidRDefault="00281D95" w:rsidP="00281D95">
      <w:pPr>
        <w:pStyle w:val="a9"/>
        <w:bidi/>
        <w:spacing w:line="360" w:lineRule="auto"/>
        <w:jc w:val="both"/>
        <w:outlineLvl w:val="1"/>
        <w:rPr>
          <w:rFonts w:ascii="Sakkal Majalla" w:hAnsi="Sakkal Majalla" w:cs="Sakkal Majalla"/>
          <w:b/>
          <w:bCs/>
          <w:sz w:val="36"/>
          <w:szCs w:val="36"/>
          <w:rtl/>
        </w:rPr>
      </w:pPr>
      <w:bookmarkStart w:id="4" w:name="_Toc169790489"/>
      <w:bookmarkStart w:id="5" w:name="_Toc181896392"/>
      <w:bookmarkStart w:id="6" w:name="_Toc200849141"/>
      <w:r w:rsidRPr="00281D95">
        <w:rPr>
          <w:rFonts w:ascii="Sakkal Majalla" w:hAnsi="Sakkal Majalla" w:cs="Sakkal Majalla" w:hint="cs"/>
          <w:b/>
          <w:bCs/>
          <w:sz w:val="36"/>
          <w:szCs w:val="36"/>
          <w:rtl/>
        </w:rPr>
        <w:t xml:space="preserve">2.1 </w:t>
      </w:r>
      <w:r w:rsidR="00A74F76" w:rsidRPr="00281D95">
        <w:rPr>
          <w:rFonts w:ascii="Sakkal Majalla" w:hAnsi="Sakkal Majalla" w:cs="Sakkal Majalla"/>
          <w:b/>
          <w:bCs/>
          <w:sz w:val="36"/>
          <w:szCs w:val="36"/>
          <w:rtl/>
        </w:rPr>
        <w:t>أهمية الدراسة:</w:t>
      </w:r>
      <w:bookmarkEnd w:id="4"/>
      <w:bookmarkEnd w:id="5"/>
      <w:bookmarkEnd w:id="6"/>
    </w:p>
    <w:p w14:paraId="1F20A98A" w14:textId="7D663FD7" w:rsidR="00CE6D55" w:rsidRPr="00281D95" w:rsidRDefault="00CE6D55" w:rsidP="00C152DB">
      <w:pPr>
        <w:spacing w:before="100" w:beforeAutospacing="1" w:after="100" w:afterAutospacing="1" w:line="360" w:lineRule="auto"/>
        <w:ind w:firstLine="706"/>
        <w:jc w:val="both"/>
        <w:rPr>
          <w:rFonts w:ascii="Sakkal Majalla" w:hAnsi="Sakkal Majalla" w:cs="Sakkal Majalla"/>
          <w:szCs w:val="28"/>
          <w:rtl/>
        </w:rPr>
      </w:pPr>
      <w:bookmarkStart w:id="7" w:name="_Toc169790490"/>
      <w:bookmarkStart w:id="8" w:name="_Toc181896393"/>
      <w:r w:rsidRPr="00281D95">
        <w:rPr>
          <w:rFonts w:ascii="Sakkal Majalla" w:hAnsi="Sakkal Majalla" w:cs="Sakkal Majalla"/>
          <w:szCs w:val="28"/>
          <w:rtl/>
        </w:rPr>
        <w:t xml:space="preserve">تكتسب هذه الدراسة أهمية كبيرة من الناحيتين العلمية والعملية  حيث تسلط الضوء على تأثير تقييم المخاطر الائتمانية بأبعاده المختلفة على جودة القرارات الائتمانية في </w:t>
      </w:r>
      <w:r w:rsidR="008B0E78" w:rsidRPr="00281D95">
        <w:rPr>
          <w:rFonts w:ascii="Sakkal Majalla" w:hAnsi="Sakkal Majalla" w:cs="Sakkal Majalla"/>
          <w:szCs w:val="28"/>
          <w:rtl/>
        </w:rPr>
        <w:t xml:space="preserve"> البنوك التجارية       </w:t>
      </w:r>
      <w:r w:rsidRPr="00281D95">
        <w:rPr>
          <w:rFonts w:ascii="Sakkal Majalla" w:hAnsi="Sakkal Majalla" w:cs="Sakkal Majalla"/>
          <w:szCs w:val="28"/>
          <w:rtl/>
        </w:rPr>
        <w:t xml:space="preserve"> </w:t>
      </w:r>
    </w:p>
    <w:p w14:paraId="219CC810" w14:textId="0F02D4F7" w:rsidR="00C534E6" w:rsidRPr="00281D95" w:rsidRDefault="00281D95" w:rsidP="00281D95">
      <w:pPr>
        <w:spacing w:before="100" w:beforeAutospacing="1" w:after="100" w:afterAutospacing="1" w:line="360" w:lineRule="auto"/>
        <w:jc w:val="both"/>
        <w:outlineLvl w:val="2"/>
        <w:rPr>
          <w:rFonts w:ascii="Sakkal Majalla" w:hAnsi="Sakkal Majalla" w:cs="Sakkal Majalla"/>
          <w:b/>
          <w:bCs/>
          <w:sz w:val="32"/>
          <w:szCs w:val="32"/>
          <w:rtl/>
        </w:rPr>
      </w:pPr>
      <w:bookmarkStart w:id="9" w:name="_Toc200849142"/>
      <w:r w:rsidRPr="00281D95">
        <w:rPr>
          <w:rFonts w:ascii="Sakkal Majalla" w:hAnsi="Sakkal Majalla" w:cs="Sakkal Majalla" w:hint="cs"/>
          <w:b/>
          <w:bCs/>
          <w:sz w:val="32"/>
          <w:szCs w:val="32"/>
          <w:rtl/>
          <w:lang w:bidi="ar-EG"/>
        </w:rPr>
        <w:t xml:space="preserve">1.2.1 </w:t>
      </w:r>
      <w:r w:rsidR="00CE6D55" w:rsidRPr="00281D95">
        <w:rPr>
          <w:rFonts w:ascii="Sakkal Majalla" w:hAnsi="Sakkal Majalla" w:cs="Sakkal Majalla"/>
          <w:b/>
          <w:bCs/>
          <w:sz w:val="32"/>
          <w:szCs w:val="32"/>
          <w:rtl/>
        </w:rPr>
        <w:t>الأهمية العلمية</w:t>
      </w:r>
      <w:bookmarkEnd w:id="9"/>
    </w:p>
    <w:p w14:paraId="25385D92" w14:textId="14C0172C" w:rsidR="00181367" w:rsidRPr="00281D95" w:rsidRDefault="00CE6D55"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 </w:t>
      </w:r>
      <w:r w:rsidR="00181367" w:rsidRPr="00281D95">
        <w:rPr>
          <w:rFonts w:ascii="Sakkal Majalla" w:hAnsi="Sakkal Majalla" w:cs="Sakkal Majalla"/>
          <w:szCs w:val="28"/>
        </w:rPr>
        <w:t xml:space="preserve">  </w:t>
      </w:r>
      <w:r w:rsidR="00181367" w:rsidRPr="00281D95">
        <w:rPr>
          <w:rFonts w:ascii="Sakkal Majalla" w:hAnsi="Sakkal Majalla" w:cs="Sakkal Majalla"/>
          <w:szCs w:val="28"/>
          <w:rtl/>
        </w:rPr>
        <w:t>ساهم الدراسة في إثراء الأدبيات المتعلقة بتقييم المخاطر الائتمانية، من خلال تسليط الضوء على الأبعاد الأربعة (المالي، الاقتصادي، القانوني والتنظيمي، الاستراتيجي)، وعلاقتها بجودة القرارات الائتمانية، وهي زاوية لم تُبحث بعمق كافٍ في الدراسات العربية السابقة</w:t>
      </w:r>
      <w:r w:rsidR="00181367" w:rsidRPr="00281D95">
        <w:rPr>
          <w:rFonts w:ascii="Sakkal Majalla" w:hAnsi="Sakkal Majalla" w:cs="Sakkal Majalla"/>
          <w:szCs w:val="28"/>
        </w:rPr>
        <w:t>.</w:t>
      </w:r>
    </w:p>
    <w:p w14:paraId="7E6A7EC8" w14:textId="0357FC0F" w:rsidR="00181367" w:rsidRPr="00281D95" w:rsidRDefault="00181367"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تقدم الدراسة نموذجًا نظريًا يعزز من الفهم الشامل لكيفية تفاعل تقييم المخاطر متعددة الأبعاد مع كفاءة اتخاذ القرار الائتماني داخل البنوك التجارية، مما يشكل أساسًا لدراسات مستقبلية</w:t>
      </w:r>
      <w:r w:rsidRPr="00281D95">
        <w:rPr>
          <w:rFonts w:ascii="Sakkal Majalla" w:hAnsi="Sakkal Majalla" w:cs="Sakkal Majalla"/>
          <w:szCs w:val="28"/>
        </w:rPr>
        <w:t>.</w:t>
      </w:r>
    </w:p>
    <w:p w14:paraId="39FE151F" w14:textId="12B13403" w:rsidR="00181367" w:rsidRPr="00281D95" w:rsidRDefault="00181367"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Pr>
        <w:t xml:space="preserve"> </w:t>
      </w:r>
      <w:r w:rsidRPr="00281D95">
        <w:rPr>
          <w:rFonts w:ascii="Sakkal Majalla" w:hAnsi="Sakkal Majalla" w:cs="Sakkal Majalla"/>
          <w:szCs w:val="28"/>
          <w:rtl/>
        </w:rPr>
        <w:t>تأتي هذه الدراسة في ظل التوجهات العالمية نحو تشديد إدارة المخاطر المصرفية، مما يجعل نتائجها ذات صلة بالممارسات البحثية والمهنية الحديثة</w:t>
      </w:r>
      <w:r w:rsidRPr="00281D95">
        <w:rPr>
          <w:rFonts w:ascii="Sakkal Majalla" w:hAnsi="Sakkal Majalla" w:cs="Sakkal Majalla"/>
          <w:szCs w:val="28"/>
        </w:rPr>
        <w:t>.</w:t>
      </w:r>
    </w:p>
    <w:p w14:paraId="0E377F7E" w14:textId="3C086ED4" w:rsidR="00515689" w:rsidRPr="00C152DB" w:rsidRDefault="00C152DB" w:rsidP="00C152DB">
      <w:pPr>
        <w:spacing w:before="100" w:beforeAutospacing="1" w:after="100" w:afterAutospacing="1" w:line="360" w:lineRule="auto"/>
        <w:jc w:val="both"/>
        <w:outlineLvl w:val="2"/>
        <w:rPr>
          <w:rFonts w:ascii="Sakkal Majalla" w:hAnsi="Sakkal Majalla" w:cs="Sakkal Majalla"/>
          <w:b/>
          <w:bCs/>
          <w:sz w:val="32"/>
          <w:szCs w:val="32"/>
          <w:rtl/>
        </w:rPr>
      </w:pPr>
      <w:bookmarkStart w:id="10" w:name="_Toc200849143"/>
      <w:r w:rsidRPr="00C152DB">
        <w:rPr>
          <w:rFonts w:ascii="Sakkal Majalla" w:hAnsi="Sakkal Majalla" w:cs="Sakkal Majalla" w:hint="cs"/>
          <w:b/>
          <w:bCs/>
          <w:sz w:val="32"/>
          <w:szCs w:val="32"/>
          <w:rtl/>
        </w:rPr>
        <w:t xml:space="preserve">2.2.1 </w:t>
      </w:r>
      <w:r w:rsidR="0014119E" w:rsidRPr="00C152DB">
        <w:rPr>
          <w:rFonts w:ascii="Sakkal Majalla" w:hAnsi="Sakkal Majalla" w:cs="Sakkal Majalla"/>
          <w:b/>
          <w:bCs/>
          <w:sz w:val="32"/>
          <w:szCs w:val="32"/>
          <w:rtl/>
        </w:rPr>
        <w:t xml:space="preserve">الأهمية </w:t>
      </w:r>
      <w:r w:rsidR="00CE6D55" w:rsidRPr="00C152DB">
        <w:rPr>
          <w:rFonts w:ascii="Sakkal Majalla" w:hAnsi="Sakkal Majalla" w:cs="Sakkal Majalla"/>
          <w:b/>
          <w:bCs/>
          <w:sz w:val="32"/>
          <w:szCs w:val="32"/>
          <w:rtl/>
        </w:rPr>
        <w:t>العملية</w:t>
      </w:r>
      <w:r w:rsidR="0014119E" w:rsidRPr="00C152DB">
        <w:rPr>
          <w:rFonts w:ascii="Sakkal Majalla" w:hAnsi="Sakkal Majalla" w:cs="Sakkal Majalla"/>
          <w:b/>
          <w:bCs/>
          <w:sz w:val="32"/>
          <w:szCs w:val="32"/>
          <w:rtl/>
        </w:rPr>
        <w:t xml:space="preserve"> :</w:t>
      </w:r>
      <w:bookmarkEnd w:id="10"/>
    </w:p>
    <w:p w14:paraId="067EAB95" w14:textId="0FA125CD" w:rsidR="00181367" w:rsidRPr="00281D95" w:rsidRDefault="00181367"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Pr>
        <w:t xml:space="preserve">  </w:t>
      </w:r>
      <w:r w:rsidRPr="00281D95">
        <w:rPr>
          <w:rFonts w:ascii="Sakkal Majalla" w:hAnsi="Sakkal Majalla" w:cs="Sakkal Majalla"/>
          <w:szCs w:val="28"/>
          <w:rtl/>
        </w:rPr>
        <w:t>تُساعد نتائج الدراسة إدارات الائتمان في البنوك على تحسين عمليات منح التمويل وتقليل نسب التعثر، من خلال تعزيز الاعتماد على تقييم المخاطر بشكل شامل</w:t>
      </w:r>
      <w:r w:rsidRPr="00281D95">
        <w:rPr>
          <w:rFonts w:ascii="Sakkal Majalla" w:hAnsi="Sakkal Majalla" w:cs="Sakkal Majalla"/>
          <w:szCs w:val="28"/>
        </w:rPr>
        <w:t>.</w:t>
      </w:r>
    </w:p>
    <w:p w14:paraId="44891871" w14:textId="2DDD042D" w:rsidR="00181367" w:rsidRPr="00281D95" w:rsidRDefault="00181367"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تُمكّن الدراسة البنوك التجارية من مراجعة سياساتها الإقراضية وفقًا لأهمية كل بُعد من أبعاد المخاطر، وخاصة البعد المالي والاستراتيجي، اللذين أثبتا التأثير الأكبر</w:t>
      </w:r>
      <w:r w:rsidRPr="00281D95">
        <w:rPr>
          <w:rFonts w:ascii="Sakkal Majalla" w:hAnsi="Sakkal Majalla" w:cs="Sakkal Majalla"/>
          <w:szCs w:val="28"/>
        </w:rPr>
        <w:t>.</w:t>
      </w:r>
    </w:p>
    <w:p w14:paraId="5A7B926C" w14:textId="5E2ADFEA" w:rsidR="00181367" w:rsidRPr="00281D95" w:rsidRDefault="00181367"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Pr>
        <w:t xml:space="preserve"> </w:t>
      </w:r>
      <w:r w:rsidRPr="00281D95">
        <w:rPr>
          <w:rFonts w:ascii="Sakkal Majalla" w:hAnsi="Sakkal Majalla" w:cs="Sakkal Majalla"/>
          <w:szCs w:val="28"/>
          <w:rtl/>
        </w:rPr>
        <w:t>تبرز نتائج الدراسة الحاجة لتدريب الموظفين على أدوات تحليل المخاطر المتنوعة، مما يعزز كفاءتهم ويزيد من فاعلية الأداء المهني</w:t>
      </w:r>
      <w:r w:rsidRPr="00281D95">
        <w:rPr>
          <w:rFonts w:ascii="Sakkal Majalla" w:hAnsi="Sakkal Majalla" w:cs="Sakkal Majalla"/>
          <w:szCs w:val="28"/>
        </w:rPr>
        <w:t>.</w:t>
      </w:r>
    </w:p>
    <w:p w14:paraId="51AD1E3D" w14:textId="4A243C7D" w:rsidR="00181367" w:rsidRPr="00281D95" w:rsidRDefault="00181367"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تساهم الدراسة في الحد من القروض المتعثرة ودعم الاستقرار المالي للقطاع المصرفي السعودي</w:t>
      </w:r>
      <w:r w:rsidRPr="00281D95">
        <w:rPr>
          <w:rFonts w:ascii="Sakkal Majalla" w:hAnsi="Sakkal Majalla" w:cs="Sakkal Majalla"/>
          <w:szCs w:val="28"/>
        </w:rPr>
        <w:t>.</w:t>
      </w:r>
    </w:p>
    <w:p w14:paraId="796DDE4D" w14:textId="245E20FC" w:rsidR="00181367" w:rsidRPr="00281D95" w:rsidRDefault="00181367"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Pr>
        <w:t xml:space="preserve"> </w:t>
      </w:r>
      <w:r w:rsidRPr="00281D95">
        <w:rPr>
          <w:rFonts w:ascii="Sakkal Majalla" w:hAnsi="Sakkal Majalla" w:cs="Sakkal Majalla"/>
          <w:szCs w:val="28"/>
          <w:rtl/>
        </w:rPr>
        <w:t>تتيح الدراسة للجهات التنظيمية، مثل البنك المركزي السعودي، التعرف على مكامن القوة والضعف في تقييم المخاطر، ما يدعم تصميم تشريعات فعالة في المستقبل</w:t>
      </w:r>
      <w:r w:rsidRPr="00281D95">
        <w:rPr>
          <w:rFonts w:ascii="Sakkal Majalla" w:hAnsi="Sakkal Majalla" w:cs="Sakkal Majalla"/>
          <w:szCs w:val="28"/>
        </w:rPr>
        <w:t>.</w:t>
      </w:r>
    </w:p>
    <w:p w14:paraId="36E7D564" w14:textId="25C99CC6" w:rsidR="00C152DB" w:rsidRPr="00C152DB" w:rsidRDefault="00C152DB" w:rsidP="00C152DB">
      <w:pPr>
        <w:pStyle w:val="a9"/>
        <w:bidi/>
        <w:spacing w:line="360" w:lineRule="auto"/>
        <w:jc w:val="both"/>
        <w:outlineLvl w:val="1"/>
        <w:rPr>
          <w:rFonts w:ascii="Sakkal Majalla" w:hAnsi="Sakkal Majalla" w:cs="Sakkal Majalla"/>
          <w:b/>
          <w:bCs/>
          <w:sz w:val="36"/>
          <w:szCs w:val="36"/>
          <w:rtl/>
        </w:rPr>
      </w:pPr>
      <w:bookmarkStart w:id="11" w:name="_Toc200849144"/>
      <w:bookmarkStart w:id="12" w:name="_Toc169790491"/>
      <w:bookmarkEnd w:id="7"/>
      <w:bookmarkEnd w:id="8"/>
      <w:r w:rsidRPr="00C152DB">
        <w:rPr>
          <w:rFonts w:ascii="Sakkal Majalla" w:hAnsi="Sakkal Majalla" w:cs="Sakkal Majalla"/>
          <w:b/>
          <w:bCs/>
          <w:sz w:val="36"/>
          <w:szCs w:val="36"/>
          <w:rtl/>
        </w:rPr>
        <w:t>3.1 أهداف الدراسة:</w:t>
      </w:r>
      <w:bookmarkEnd w:id="11"/>
    </w:p>
    <w:p w14:paraId="5336BB7B" w14:textId="70747DAE" w:rsidR="00194FBD" w:rsidRPr="00281D95" w:rsidRDefault="00194FBD" w:rsidP="00C152DB">
      <w:pPr>
        <w:pStyle w:val="a9"/>
        <w:bidi/>
        <w:spacing w:line="360" w:lineRule="auto"/>
        <w:ind w:firstLine="706"/>
        <w:jc w:val="both"/>
        <w:rPr>
          <w:rFonts w:ascii="Sakkal Majalla" w:hAnsi="Sakkal Majalla" w:cs="Sakkal Majalla"/>
          <w:sz w:val="28"/>
          <w:szCs w:val="28"/>
        </w:rPr>
      </w:pPr>
      <w:r w:rsidRPr="00281D95">
        <w:rPr>
          <w:rFonts w:ascii="Sakkal Majalla" w:hAnsi="Sakkal Majalla" w:cs="Sakkal Majalla"/>
          <w:sz w:val="28"/>
          <w:szCs w:val="28"/>
          <w:rtl/>
        </w:rPr>
        <w:t xml:space="preserve">تسعى هذه الدراسة إلى تحليل أثر تقييم المخاطر الائتمانية بأبعاده المختلفة، والتي تشمل البعد المالي والبعد الاقتصادي والبعد القانوني والتنظيمي والبعد الاستراتيجي، على تحسين جودة القرارات الائتمانية في </w:t>
      </w:r>
      <w:r w:rsidR="008B0E78" w:rsidRPr="00281D95">
        <w:rPr>
          <w:rFonts w:ascii="Sakkal Majalla" w:hAnsi="Sakkal Majalla" w:cs="Sakkal Majalla"/>
          <w:sz w:val="28"/>
          <w:szCs w:val="28"/>
          <w:rtl/>
        </w:rPr>
        <w:t xml:space="preserve"> البنوك التجارية</w:t>
      </w:r>
      <w:r w:rsidRPr="00281D95">
        <w:rPr>
          <w:rFonts w:ascii="Sakkal Majalla" w:hAnsi="Sakkal Majalla" w:cs="Sakkal Majalla"/>
          <w:sz w:val="28"/>
          <w:szCs w:val="28"/>
          <w:rtl/>
        </w:rPr>
        <w:t xml:space="preserve">  من خلال دراسة العلاقة بين هذه الأبعاد ومدى فاعليتها في تحسين عمليات اتخاذ القرار الائتماني وتقليل المخاطر المصاحبة لها</w:t>
      </w:r>
      <w:r w:rsidR="005675FE" w:rsidRPr="00281D95">
        <w:rPr>
          <w:rFonts w:ascii="Sakkal Majalla" w:hAnsi="Sakkal Majalla" w:cs="Sakkal Majalla"/>
          <w:sz w:val="28"/>
          <w:szCs w:val="28"/>
          <w:rtl/>
        </w:rPr>
        <w:t xml:space="preserve">، </w:t>
      </w:r>
      <w:r w:rsidRPr="00281D95">
        <w:rPr>
          <w:rFonts w:ascii="Sakkal Majalla" w:hAnsi="Sakkal Majalla" w:cs="Sakkal Majalla"/>
          <w:sz w:val="28"/>
          <w:szCs w:val="28"/>
          <w:rtl/>
        </w:rPr>
        <w:t>ويتفرع من الهدف الرئيسى عدة أهداف فرعية</w:t>
      </w:r>
    </w:p>
    <w:p w14:paraId="75C32D68" w14:textId="77777777" w:rsidR="00194FBD" w:rsidRPr="00281D95" w:rsidRDefault="00194FBD" w:rsidP="002E6227">
      <w:pPr>
        <w:pStyle w:val="a9"/>
        <w:numPr>
          <w:ilvl w:val="0"/>
          <w:numId w:val="1"/>
        </w:numPr>
        <w:bidi/>
        <w:spacing w:line="360" w:lineRule="auto"/>
        <w:ind w:left="423"/>
        <w:jc w:val="both"/>
        <w:rPr>
          <w:rFonts w:ascii="Sakkal Majalla" w:hAnsi="Sakkal Majalla" w:cs="Sakkal Majalla"/>
          <w:sz w:val="28"/>
          <w:szCs w:val="28"/>
        </w:rPr>
      </w:pPr>
      <w:r w:rsidRPr="00281D95">
        <w:rPr>
          <w:rFonts w:ascii="Sakkal Majalla" w:hAnsi="Sakkal Majalla" w:cs="Sakkal Majalla"/>
          <w:sz w:val="28"/>
          <w:szCs w:val="28"/>
          <w:rtl/>
        </w:rPr>
        <w:t>تحليل تأثير البعد المالي على جودة القرارات الائتمانية من خلال دراسة الملاءة المالية للمقترضين وقدرتهم على السداد</w:t>
      </w:r>
    </w:p>
    <w:p w14:paraId="5BB1D2CF" w14:textId="77777777" w:rsidR="00194FBD" w:rsidRPr="00281D95" w:rsidRDefault="00194FBD" w:rsidP="002E6227">
      <w:pPr>
        <w:pStyle w:val="a9"/>
        <w:numPr>
          <w:ilvl w:val="0"/>
          <w:numId w:val="1"/>
        </w:numPr>
        <w:bidi/>
        <w:spacing w:line="360" w:lineRule="auto"/>
        <w:ind w:left="423"/>
        <w:jc w:val="both"/>
        <w:rPr>
          <w:rFonts w:ascii="Sakkal Majalla" w:hAnsi="Sakkal Majalla" w:cs="Sakkal Majalla"/>
          <w:sz w:val="28"/>
          <w:szCs w:val="28"/>
        </w:rPr>
      </w:pPr>
      <w:r w:rsidRPr="00281D95">
        <w:rPr>
          <w:rFonts w:ascii="Sakkal Majalla" w:hAnsi="Sakkal Majalla" w:cs="Sakkal Majalla"/>
          <w:sz w:val="28"/>
          <w:szCs w:val="28"/>
          <w:rtl/>
        </w:rPr>
        <w:t>دراسة دور البعد الاقتصادي في تحديد تأثير العوامل الاقتصادية مثل التضخم والاستقرار المالي على القرارات الائتمانية</w:t>
      </w:r>
    </w:p>
    <w:p w14:paraId="4FF13BEB" w14:textId="77777777" w:rsidR="00194FBD" w:rsidRPr="00281D95" w:rsidRDefault="00194FBD" w:rsidP="002E6227">
      <w:pPr>
        <w:pStyle w:val="a9"/>
        <w:numPr>
          <w:ilvl w:val="0"/>
          <w:numId w:val="1"/>
        </w:numPr>
        <w:bidi/>
        <w:spacing w:line="360" w:lineRule="auto"/>
        <w:ind w:left="423"/>
        <w:jc w:val="both"/>
        <w:rPr>
          <w:rFonts w:ascii="Sakkal Majalla" w:hAnsi="Sakkal Majalla" w:cs="Sakkal Majalla"/>
          <w:sz w:val="28"/>
          <w:szCs w:val="28"/>
        </w:rPr>
      </w:pPr>
      <w:r w:rsidRPr="00281D95">
        <w:rPr>
          <w:rFonts w:ascii="Sakkal Majalla" w:hAnsi="Sakkal Majalla" w:cs="Sakkal Majalla"/>
          <w:sz w:val="28"/>
          <w:szCs w:val="28"/>
          <w:rtl/>
        </w:rPr>
        <w:t>تقييم أثر البعد القانوني والتنظيمي في تحسين الشفافية والامتثال للمعايير المصرفية لتعزيز جودة القرارات الائتمانية</w:t>
      </w:r>
    </w:p>
    <w:p w14:paraId="4C839E71" w14:textId="27364E07" w:rsidR="005B3075" w:rsidRPr="00281D95" w:rsidRDefault="00194FBD" w:rsidP="002E6227">
      <w:pPr>
        <w:pStyle w:val="a9"/>
        <w:numPr>
          <w:ilvl w:val="0"/>
          <w:numId w:val="1"/>
        </w:numPr>
        <w:bidi/>
        <w:spacing w:line="360" w:lineRule="auto"/>
        <w:ind w:left="423"/>
        <w:jc w:val="both"/>
        <w:rPr>
          <w:rFonts w:ascii="Sakkal Majalla" w:hAnsi="Sakkal Majalla" w:cs="Sakkal Majalla"/>
          <w:sz w:val="28"/>
          <w:szCs w:val="28"/>
          <w:rtl/>
        </w:rPr>
      </w:pPr>
      <w:r w:rsidRPr="00281D95">
        <w:rPr>
          <w:rFonts w:ascii="Sakkal Majalla" w:hAnsi="Sakkal Majalla" w:cs="Sakkal Majalla"/>
          <w:sz w:val="28"/>
          <w:szCs w:val="28"/>
          <w:rtl/>
        </w:rPr>
        <w:t xml:space="preserve">استكشاف أهمية البعد الاستراتيجي في تحقيق التوازن بين المخاطر والعوائد ودوره في استدامة المحفظة الائتمانية </w:t>
      </w:r>
      <w:r w:rsidR="008B0E78" w:rsidRPr="00281D95">
        <w:rPr>
          <w:rFonts w:ascii="Sakkal Majalla" w:hAnsi="Sakkal Majalla" w:cs="Sakkal Majalla"/>
          <w:sz w:val="28"/>
          <w:szCs w:val="28"/>
          <w:rtl/>
        </w:rPr>
        <w:t xml:space="preserve">للبنوك   </w:t>
      </w:r>
      <w:r w:rsidRPr="00281D95">
        <w:rPr>
          <w:rFonts w:ascii="Sakkal Majalla" w:hAnsi="Sakkal Majalla" w:cs="Sakkal Majalla"/>
          <w:sz w:val="28"/>
          <w:szCs w:val="28"/>
          <w:rtl/>
        </w:rPr>
        <w:t xml:space="preserve"> </w:t>
      </w:r>
    </w:p>
    <w:p w14:paraId="17A98447" w14:textId="77777777" w:rsidR="00C152DB" w:rsidRPr="00C152DB" w:rsidRDefault="00C152DB" w:rsidP="00C152DB">
      <w:pPr>
        <w:pStyle w:val="a9"/>
        <w:bidi/>
        <w:spacing w:line="360" w:lineRule="auto"/>
        <w:jc w:val="both"/>
        <w:outlineLvl w:val="1"/>
        <w:rPr>
          <w:rFonts w:ascii="Sakkal Majalla" w:hAnsi="Sakkal Majalla" w:cs="Sakkal Majalla"/>
          <w:b/>
          <w:bCs/>
          <w:sz w:val="36"/>
          <w:szCs w:val="36"/>
          <w:rtl/>
        </w:rPr>
      </w:pPr>
      <w:bookmarkStart w:id="13" w:name="_Toc200849145"/>
      <w:bookmarkEnd w:id="12"/>
      <w:r w:rsidRPr="00C152DB">
        <w:rPr>
          <w:rFonts w:ascii="Sakkal Majalla" w:hAnsi="Sakkal Majalla" w:cs="Sakkal Majalla"/>
          <w:b/>
          <w:bCs/>
          <w:sz w:val="36"/>
          <w:szCs w:val="36"/>
        </w:rPr>
        <w:t xml:space="preserve">4.1 </w:t>
      </w:r>
      <w:r w:rsidRPr="00C152DB">
        <w:rPr>
          <w:rFonts w:ascii="Sakkal Majalla" w:hAnsi="Sakkal Majalla" w:cs="Sakkal Majalla"/>
          <w:b/>
          <w:bCs/>
          <w:sz w:val="36"/>
          <w:szCs w:val="36"/>
          <w:rtl/>
        </w:rPr>
        <w:t>تساؤلات الدراسة</w:t>
      </w:r>
      <w:bookmarkEnd w:id="13"/>
    </w:p>
    <w:p w14:paraId="5D4459E1" w14:textId="77777777" w:rsidR="00C152DB" w:rsidRPr="00C152DB" w:rsidRDefault="00C152DB" w:rsidP="00C152DB">
      <w:pPr>
        <w:pStyle w:val="a9"/>
        <w:bidi/>
        <w:spacing w:line="360" w:lineRule="auto"/>
        <w:ind w:firstLine="706"/>
        <w:jc w:val="both"/>
        <w:rPr>
          <w:rFonts w:ascii="Sakkal Majalla" w:hAnsi="Sakkal Majalla" w:cs="Sakkal Majalla"/>
          <w:sz w:val="28"/>
          <w:szCs w:val="28"/>
          <w:rtl/>
        </w:rPr>
      </w:pPr>
      <w:r w:rsidRPr="00C152DB">
        <w:rPr>
          <w:rFonts w:ascii="Sakkal Majalla" w:hAnsi="Sakkal Majalla" w:cs="Sakkal Majalla"/>
          <w:sz w:val="28"/>
          <w:szCs w:val="28"/>
          <w:rtl/>
        </w:rPr>
        <w:t>إلى أي مدى يؤثر تقييم المخاطر الائتمانية بأبعاده المختلفة، والتي تشمل البعد المالي والبعد الاقتصادي والبعد القانوني والتنظيمي والبعد الاستراتيجي، على تحسين جودة القرارات الائتمانية في  البنوك التجارية       ؟</w:t>
      </w:r>
    </w:p>
    <w:p w14:paraId="2238EE86" w14:textId="77777777" w:rsidR="00C152DB" w:rsidRPr="00C152DB" w:rsidRDefault="00C152DB" w:rsidP="00C152DB">
      <w:pPr>
        <w:pStyle w:val="a9"/>
        <w:bidi/>
        <w:spacing w:line="360" w:lineRule="auto"/>
        <w:jc w:val="both"/>
        <w:rPr>
          <w:rFonts w:ascii="Sakkal Majalla" w:hAnsi="Sakkal Majalla" w:cs="Sakkal Majalla"/>
          <w:b/>
          <w:bCs/>
          <w:sz w:val="28"/>
          <w:szCs w:val="28"/>
          <w:rtl/>
        </w:rPr>
      </w:pPr>
      <w:r w:rsidRPr="00C152DB">
        <w:rPr>
          <w:rFonts w:ascii="Sakkal Majalla" w:hAnsi="Sakkal Majalla" w:cs="Sakkal Majalla"/>
          <w:b/>
          <w:bCs/>
          <w:sz w:val="28"/>
          <w:szCs w:val="28"/>
          <w:rtl/>
        </w:rPr>
        <w:t>وينبثق من السؤال الرئيسى عدة أسئلة فرعية</w:t>
      </w:r>
    </w:p>
    <w:p w14:paraId="7D233FBA" w14:textId="1BBFB607" w:rsidR="00C152DB" w:rsidRPr="00C152DB" w:rsidRDefault="00C152DB" w:rsidP="002E6227">
      <w:pPr>
        <w:pStyle w:val="a9"/>
        <w:numPr>
          <w:ilvl w:val="0"/>
          <w:numId w:val="15"/>
        </w:numPr>
        <w:bidi/>
        <w:spacing w:line="360" w:lineRule="auto"/>
        <w:ind w:left="423"/>
        <w:jc w:val="both"/>
        <w:rPr>
          <w:rFonts w:ascii="Sakkal Majalla" w:hAnsi="Sakkal Majalla" w:cs="Sakkal Majalla"/>
          <w:sz w:val="28"/>
          <w:szCs w:val="28"/>
          <w:rtl/>
        </w:rPr>
      </w:pPr>
      <w:r w:rsidRPr="00C152DB">
        <w:rPr>
          <w:rFonts w:ascii="Sakkal Majalla" w:hAnsi="Sakkal Majalla" w:cs="Sakkal Majalla"/>
          <w:sz w:val="28"/>
          <w:szCs w:val="28"/>
          <w:rtl/>
        </w:rPr>
        <w:t>ما مدى تأثير البعد المالي على جودة القرارات الائتمانية من خلال تحليل الملاءة المالية للمقترضين؟</w:t>
      </w:r>
    </w:p>
    <w:p w14:paraId="4C50B37D" w14:textId="24B6E7D6" w:rsidR="00C152DB" w:rsidRPr="00C152DB" w:rsidRDefault="00C152DB" w:rsidP="002E6227">
      <w:pPr>
        <w:pStyle w:val="a9"/>
        <w:numPr>
          <w:ilvl w:val="0"/>
          <w:numId w:val="15"/>
        </w:numPr>
        <w:bidi/>
        <w:spacing w:line="360" w:lineRule="auto"/>
        <w:ind w:left="423"/>
        <w:jc w:val="both"/>
        <w:rPr>
          <w:rFonts w:ascii="Sakkal Majalla" w:hAnsi="Sakkal Majalla" w:cs="Sakkal Majalla"/>
          <w:sz w:val="28"/>
          <w:szCs w:val="28"/>
          <w:rtl/>
        </w:rPr>
      </w:pPr>
      <w:r w:rsidRPr="00C152DB">
        <w:rPr>
          <w:rFonts w:ascii="Sakkal Majalla" w:hAnsi="Sakkal Majalla" w:cs="Sakkal Majalla"/>
          <w:sz w:val="28"/>
          <w:szCs w:val="28"/>
          <w:rtl/>
        </w:rPr>
        <w:t>كيف يساهم البعد الاقتصادي في تحديد أثر العوامل الاقتصادية مثل التضخم والاستقرار المالي على القرارات الائتمانية؟</w:t>
      </w:r>
    </w:p>
    <w:p w14:paraId="4F02920F" w14:textId="17E8C68D" w:rsidR="00C152DB" w:rsidRPr="00C152DB" w:rsidRDefault="00C152DB" w:rsidP="002E6227">
      <w:pPr>
        <w:pStyle w:val="a9"/>
        <w:numPr>
          <w:ilvl w:val="0"/>
          <w:numId w:val="15"/>
        </w:numPr>
        <w:bidi/>
        <w:spacing w:line="360" w:lineRule="auto"/>
        <w:ind w:left="423"/>
        <w:jc w:val="both"/>
        <w:rPr>
          <w:rFonts w:ascii="Sakkal Majalla" w:hAnsi="Sakkal Majalla" w:cs="Sakkal Majalla"/>
          <w:sz w:val="28"/>
          <w:szCs w:val="28"/>
          <w:rtl/>
        </w:rPr>
      </w:pPr>
      <w:r w:rsidRPr="00C152DB">
        <w:rPr>
          <w:rFonts w:ascii="Sakkal Majalla" w:hAnsi="Sakkal Majalla" w:cs="Sakkal Majalla"/>
          <w:sz w:val="28"/>
          <w:szCs w:val="28"/>
          <w:rtl/>
        </w:rPr>
        <w:t>ما دور البعد القانوني والتنظيمي في تعزيز الشفافية وضمان الامتثال للمعايير المصرفية في اتخاذ القرارات الائتمانية؟</w:t>
      </w:r>
    </w:p>
    <w:p w14:paraId="0A9439FF" w14:textId="6163FB67" w:rsidR="00C152DB" w:rsidRPr="00C152DB" w:rsidRDefault="00C152DB" w:rsidP="002E6227">
      <w:pPr>
        <w:pStyle w:val="a9"/>
        <w:numPr>
          <w:ilvl w:val="0"/>
          <w:numId w:val="15"/>
        </w:numPr>
        <w:bidi/>
        <w:spacing w:line="360" w:lineRule="auto"/>
        <w:ind w:left="423"/>
        <w:jc w:val="both"/>
        <w:rPr>
          <w:rFonts w:ascii="Sakkal Majalla" w:hAnsi="Sakkal Majalla" w:cs="Sakkal Majalla"/>
          <w:sz w:val="28"/>
          <w:szCs w:val="28"/>
          <w:rtl/>
        </w:rPr>
      </w:pPr>
      <w:r w:rsidRPr="00C152DB">
        <w:rPr>
          <w:rFonts w:ascii="Sakkal Majalla" w:hAnsi="Sakkal Majalla" w:cs="Sakkal Majalla"/>
          <w:sz w:val="28"/>
          <w:szCs w:val="28"/>
          <w:rtl/>
        </w:rPr>
        <w:t>كيف يؤثر البعد الاستراتيجي على تحقيق التوازن بين المخاطر والعوائد لضمان استدامة المحفظة الائتمانية للبنوك   ؟</w:t>
      </w:r>
    </w:p>
    <w:p w14:paraId="0749F35F" w14:textId="7381AD45" w:rsidR="00C152DB" w:rsidRPr="00C152DB" w:rsidRDefault="00C152DB" w:rsidP="00C152DB">
      <w:pPr>
        <w:pStyle w:val="a9"/>
        <w:bidi/>
        <w:spacing w:line="360" w:lineRule="auto"/>
        <w:jc w:val="both"/>
        <w:outlineLvl w:val="1"/>
        <w:rPr>
          <w:rFonts w:ascii="Sakkal Majalla" w:hAnsi="Sakkal Majalla" w:cs="Sakkal Majalla"/>
          <w:b/>
          <w:bCs/>
          <w:sz w:val="36"/>
          <w:szCs w:val="36"/>
          <w:rtl/>
        </w:rPr>
      </w:pPr>
      <w:r w:rsidRPr="00C152DB">
        <w:rPr>
          <w:rFonts w:ascii="Sakkal Majalla" w:hAnsi="Sakkal Majalla" w:cs="Sakkal Majalla"/>
          <w:b/>
          <w:bCs/>
          <w:sz w:val="36"/>
          <w:szCs w:val="36"/>
          <w:rtl/>
        </w:rPr>
        <w:t xml:space="preserve">   </w:t>
      </w:r>
      <w:bookmarkStart w:id="14" w:name="_Toc200849146"/>
      <w:r w:rsidRPr="00C152DB">
        <w:rPr>
          <w:rFonts w:ascii="Sakkal Majalla" w:hAnsi="Sakkal Majalla" w:cs="Sakkal Majalla"/>
          <w:b/>
          <w:bCs/>
          <w:sz w:val="36"/>
          <w:szCs w:val="36"/>
          <w:rtl/>
        </w:rPr>
        <w:t>5.1 فروض الدراسة:</w:t>
      </w:r>
      <w:bookmarkEnd w:id="14"/>
    </w:p>
    <w:p w14:paraId="5D22D594" w14:textId="7B141042" w:rsidR="006565B9" w:rsidRPr="00C152DB" w:rsidRDefault="006565B9" w:rsidP="00C152DB">
      <w:pPr>
        <w:pStyle w:val="a9"/>
        <w:bidi/>
        <w:spacing w:line="360" w:lineRule="auto"/>
        <w:ind w:firstLine="706"/>
        <w:jc w:val="both"/>
        <w:rPr>
          <w:rFonts w:ascii="Sakkal Majalla" w:hAnsi="Sakkal Majalla" w:cs="Sakkal Majalla"/>
          <w:b/>
          <w:bCs/>
          <w:sz w:val="28"/>
          <w:szCs w:val="28"/>
          <w:rtl/>
        </w:rPr>
      </w:pPr>
      <w:r w:rsidRPr="00C152DB">
        <w:rPr>
          <w:rFonts w:ascii="Sakkal Majalla" w:hAnsi="Sakkal Majalla" w:cs="Sakkal Majalla"/>
          <w:b/>
          <w:bCs/>
          <w:sz w:val="28"/>
          <w:szCs w:val="28"/>
          <w:rtl/>
        </w:rPr>
        <w:t>بالاستناد إلى السؤال الرئيسى للدراسة والأسئلة الفرعية يمكن تحديد الفرضيات بالشكل الآتي:</w:t>
      </w:r>
      <w:bookmarkStart w:id="15" w:name="_Toc169790499"/>
    </w:p>
    <w:p w14:paraId="26ED34E7" w14:textId="0BD1BC10" w:rsidR="00D37DFC" w:rsidRPr="00281D95" w:rsidRDefault="005F4F70" w:rsidP="00C152DB">
      <w:pPr>
        <w:pStyle w:val="a9"/>
        <w:bidi/>
        <w:spacing w:line="360" w:lineRule="auto"/>
        <w:ind w:firstLine="706"/>
        <w:jc w:val="both"/>
        <w:rPr>
          <w:rFonts w:ascii="Sakkal Majalla" w:hAnsi="Sakkal Majalla" w:cs="Sakkal Majalla"/>
          <w:sz w:val="28"/>
          <w:szCs w:val="28"/>
        </w:rPr>
      </w:pPr>
      <w:r w:rsidRPr="00281D95">
        <w:rPr>
          <w:rFonts w:ascii="Sakkal Majalla" w:hAnsi="Sakkal Majalla" w:cs="Sakkal Majalla"/>
          <w:sz w:val="28"/>
          <w:szCs w:val="28"/>
          <w:rtl/>
        </w:rPr>
        <w:t>الفرض</w:t>
      </w:r>
      <w:r w:rsidR="00A547CA" w:rsidRPr="00281D95">
        <w:rPr>
          <w:rFonts w:ascii="Sakkal Majalla" w:hAnsi="Sakkal Majalla" w:cs="Sakkal Majalla"/>
          <w:sz w:val="28"/>
          <w:szCs w:val="28"/>
          <w:rtl/>
        </w:rPr>
        <w:t>ية</w:t>
      </w:r>
      <w:r w:rsidRPr="00281D95">
        <w:rPr>
          <w:rFonts w:ascii="Sakkal Majalla" w:hAnsi="Sakkal Majalla" w:cs="Sakkal Majalla"/>
          <w:sz w:val="28"/>
          <w:szCs w:val="28"/>
          <w:rtl/>
        </w:rPr>
        <w:t xml:space="preserve"> الرئيسي</w:t>
      </w:r>
      <w:r w:rsidR="00A547CA" w:rsidRPr="00281D95">
        <w:rPr>
          <w:rFonts w:ascii="Sakkal Majalla" w:hAnsi="Sakkal Majalla" w:cs="Sakkal Majalla"/>
          <w:sz w:val="28"/>
          <w:szCs w:val="28"/>
          <w:rtl/>
        </w:rPr>
        <w:t xml:space="preserve">ة </w:t>
      </w:r>
      <w:r w:rsidR="00D37DFC" w:rsidRPr="00281D95">
        <w:rPr>
          <w:rFonts w:ascii="Sakkal Majalla" w:hAnsi="Sakkal Majalla" w:cs="Sakkal Majalla"/>
          <w:sz w:val="28"/>
          <w:szCs w:val="28"/>
          <w:rtl/>
        </w:rPr>
        <w:t xml:space="preserve"> </w:t>
      </w:r>
      <w:r w:rsidRPr="00281D95">
        <w:rPr>
          <w:rFonts w:ascii="Sakkal Majalla" w:hAnsi="Sakkal Majalla" w:cs="Sakkal Majalla"/>
          <w:sz w:val="28"/>
          <w:szCs w:val="28"/>
        </w:rPr>
        <w:t>:</w:t>
      </w:r>
      <w:r w:rsidR="00D37DFC" w:rsidRPr="00281D95">
        <w:rPr>
          <w:rFonts w:ascii="Sakkal Majalla" w:hAnsi="Sakkal Majalla" w:cs="Sakkal Majalla"/>
          <w:sz w:val="28"/>
          <w:szCs w:val="28"/>
          <w:rtl/>
        </w:rPr>
        <w:t xml:space="preserve"> </w:t>
      </w:r>
      <w:r w:rsidR="00B86419" w:rsidRPr="00281D95">
        <w:rPr>
          <w:rFonts w:ascii="Sakkal Majalla" w:hAnsi="Sakkal Majalla" w:cs="Sakkal Majalla"/>
          <w:sz w:val="28"/>
          <w:szCs w:val="28"/>
          <w:rtl/>
        </w:rPr>
        <w:t>لا يوجد أثر ذو دلالة إحصائية عند مستوى</w:t>
      </w:r>
      <w:r w:rsidR="00B86419" w:rsidRPr="00281D95">
        <w:rPr>
          <w:rFonts w:ascii="Sakkal Majalla" w:hAnsi="Sakkal Majalla" w:cs="Sakkal Majalla"/>
          <w:sz w:val="28"/>
          <w:szCs w:val="28"/>
        </w:rPr>
        <w:t xml:space="preserve"> (</w:t>
      </w:r>
      <w:r w:rsidR="00B86419" w:rsidRPr="00281D95">
        <w:rPr>
          <w:rFonts w:ascii="Cambria" w:hAnsi="Cambria" w:cs="Cambria"/>
          <w:sz w:val="28"/>
          <w:szCs w:val="28"/>
        </w:rPr>
        <w:t>α</w:t>
      </w:r>
      <w:r w:rsidR="00B86419" w:rsidRPr="00281D95">
        <w:rPr>
          <w:rFonts w:ascii="Sakkal Majalla" w:hAnsi="Sakkal Majalla" w:cs="Sakkal Majalla"/>
          <w:sz w:val="28"/>
          <w:szCs w:val="28"/>
        </w:rPr>
        <w:t xml:space="preserve"> ≤ 0.05) </w:t>
      </w:r>
      <w:r w:rsidR="00B86419" w:rsidRPr="00281D95">
        <w:rPr>
          <w:rFonts w:ascii="Sakkal Majalla" w:hAnsi="Sakkal Majalla" w:cs="Sakkal Majalla"/>
          <w:sz w:val="28"/>
          <w:szCs w:val="28"/>
          <w:rtl/>
        </w:rPr>
        <w:t>لتقييم المخاطر الائتمانية بأبعادها المختلفة (المالي، الاقتصادي، القانوني والتنظيمي، الاستراتيجي) على تحسين جودة القرارات الائتمانية في البنوك التجارية</w:t>
      </w:r>
      <w:r w:rsidR="00B86419" w:rsidRPr="00281D95">
        <w:rPr>
          <w:rFonts w:ascii="Sakkal Majalla" w:hAnsi="Sakkal Majalla" w:cs="Sakkal Majalla"/>
          <w:sz w:val="28"/>
          <w:szCs w:val="28"/>
        </w:rPr>
        <w:t>.</w:t>
      </w:r>
      <w:r w:rsidR="00B86419" w:rsidRPr="00281D95">
        <w:rPr>
          <w:rFonts w:ascii="Sakkal Majalla" w:hAnsi="Sakkal Majalla" w:cs="Sakkal Majalla"/>
          <w:sz w:val="28"/>
          <w:szCs w:val="28"/>
          <w:rtl/>
        </w:rPr>
        <w:t xml:space="preserve"> </w:t>
      </w:r>
      <w:r w:rsidR="00D37DFC" w:rsidRPr="00281D95">
        <w:rPr>
          <w:rFonts w:ascii="Sakkal Majalla" w:hAnsi="Sakkal Majalla" w:cs="Sakkal Majalla"/>
          <w:sz w:val="28"/>
          <w:szCs w:val="28"/>
          <w:rtl/>
        </w:rPr>
        <w:t xml:space="preserve">وينبثق من </w:t>
      </w:r>
      <w:r w:rsidR="00E54D8B" w:rsidRPr="00281D95">
        <w:rPr>
          <w:rFonts w:ascii="Sakkal Majalla" w:hAnsi="Sakkal Majalla" w:cs="Sakkal Majalla"/>
          <w:sz w:val="28"/>
          <w:szCs w:val="28"/>
          <w:rtl/>
        </w:rPr>
        <w:t>الفرضية</w:t>
      </w:r>
      <w:r w:rsidR="00D37DFC" w:rsidRPr="00281D95">
        <w:rPr>
          <w:rFonts w:ascii="Sakkal Majalla" w:hAnsi="Sakkal Majalla" w:cs="Sakkal Majalla"/>
          <w:sz w:val="28"/>
          <w:szCs w:val="28"/>
          <w:rtl/>
        </w:rPr>
        <w:t xml:space="preserve"> الرئيسى عدة </w:t>
      </w:r>
      <w:r w:rsidR="00E54D8B" w:rsidRPr="00281D95">
        <w:rPr>
          <w:rFonts w:ascii="Sakkal Majalla" w:hAnsi="Sakkal Majalla" w:cs="Sakkal Majalla"/>
          <w:sz w:val="28"/>
          <w:szCs w:val="28"/>
          <w:rtl/>
        </w:rPr>
        <w:t>فرضيات</w:t>
      </w:r>
      <w:r w:rsidR="00D37DFC" w:rsidRPr="00281D95">
        <w:rPr>
          <w:rFonts w:ascii="Sakkal Majalla" w:hAnsi="Sakkal Majalla" w:cs="Sakkal Majalla"/>
          <w:sz w:val="28"/>
          <w:szCs w:val="28"/>
          <w:rtl/>
        </w:rPr>
        <w:t xml:space="preserve"> فرعية</w:t>
      </w:r>
    </w:p>
    <w:p w14:paraId="16E34878" w14:textId="08FB6E94" w:rsidR="00E54D8B" w:rsidRPr="00C152DB" w:rsidRDefault="00E54D8B" w:rsidP="002E6227">
      <w:pPr>
        <w:pStyle w:val="a6"/>
        <w:numPr>
          <w:ilvl w:val="0"/>
          <w:numId w:val="16"/>
        </w:numPr>
        <w:spacing w:before="100" w:beforeAutospacing="1" w:after="100" w:afterAutospacing="1" w:line="360" w:lineRule="auto"/>
        <w:ind w:left="423"/>
        <w:jc w:val="both"/>
        <w:rPr>
          <w:rFonts w:ascii="Sakkal Majalla" w:eastAsia="Times New Roman" w:hAnsi="Sakkal Majalla" w:cs="Sakkal Majalla"/>
          <w:kern w:val="0"/>
          <w:szCs w:val="28"/>
          <w:rtl/>
          <w14:ligatures w14:val="none"/>
        </w:rPr>
      </w:pPr>
      <w:bookmarkStart w:id="16" w:name="_Toc169790500"/>
      <w:bookmarkEnd w:id="15"/>
      <w:r w:rsidRPr="00C152DB">
        <w:rPr>
          <w:rFonts w:ascii="Sakkal Majalla" w:eastAsia="Times New Roman" w:hAnsi="Sakkal Majalla" w:cs="Sakkal Majalla"/>
          <w:b/>
          <w:bCs/>
          <w:kern w:val="0"/>
          <w:szCs w:val="28"/>
          <w:rtl/>
          <w14:ligatures w14:val="none"/>
        </w:rPr>
        <w:t>الفرضية الفرعية الأولى</w:t>
      </w:r>
      <w:r w:rsidRPr="00C152DB">
        <w:rPr>
          <w:rFonts w:ascii="Sakkal Majalla" w:eastAsia="Times New Roman" w:hAnsi="Sakkal Majalla" w:cs="Sakkal Majalla"/>
          <w:kern w:val="0"/>
          <w:szCs w:val="28"/>
          <w:rtl/>
          <w14:ligatures w14:val="none"/>
        </w:rPr>
        <w:t>:</w:t>
      </w:r>
      <w:r w:rsidR="00C152DB" w:rsidRPr="00C152DB">
        <w:rPr>
          <w:rFonts w:ascii="Sakkal Majalla" w:eastAsia="Times New Roman" w:hAnsi="Sakkal Majalla" w:cs="Sakkal Majalla" w:hint="cs"/>
          <w:kern w:val="0"/>
          <w:szCs w:val="28"/>
          <w:rtl/>
          <w14:ligatures w14:val="none"/>
        </w:rPr>
        <w:t xml:space="preserve"> </w:t>
      </w:r>
      <w:r w:rsidRPr="00C152DB">
        <w:rPr>
          <w:rFonts w:ascii="Sakkal Majalla" w:eastAsia="Times New Roman" w:hAnsi="Sakkal Majalla" w:cs="Sakkal Majalla"/>
          <w:kern w:val="0"/>
          <w:szCs w:val="28"/>
          <w:rtl/>
          <w14:ligatures w14:val="none"/>
        </w:rPr>
        <w:t>لا يوجد أثر ذو دلالة إحصائية عند مستوى (</w:t>
      </w:r>
      <w:r w:rsidRPr="00C152DB">
        <w:rPr>
          <w:rFonts w:ascii="Cambria" w:eastAsia="Times New Roman" w:hAnsi="Cambria" w:cs="Cambria"/>
          <w:kern w:val="0"/>
          <w:szCs w:val="28"/>
          <w14:ligatures w14:val="none"/>
        </w:rPr>
        <w:t>α</w:t>
      </w:r>
      <w:r w:rsidRPr="00C152DB">
        <w:rPr>
          <w:rFonts w:ascii="Sakkal Majalla" w:eastAsia="Times New Roman" w:hAnsi="Sakkal Majalla" w:cs="Sakkal Majalla"/>
          <w:kern w:val="0"/>
          <w:szCs w:val="28"/>
          <w14:ligatures w14:val="none"/>
        </w:rPr>
        <w:t xml:space="preserve"> ≤ 0.05</w:t>
      </w:r>
      <w:r w:rsidRPr="00C152DB">
        <w:rPr>
          <w:rFonts w:ascii="Sakkal Majalla" w:eastAsia="Times New Roman" w:hAnsi="Sakkal Majalla" w:cs="Sakkal Majalla"/>
          <w:kern w:val="0"/>
          <w:szCs w:val="28"/>
          <w:rtl/>
          <w14:ligatures w14:val="none"/>
        </w:rPr>
        <w:t>) للبعد المالي لتقييم مخاطر الائتمان على جودة القرارات الائتمانية في البنوك التجارية.</w:t>
      </w:r>
    </w:p>
    <w:p w14:paraId="4E333AF3" w14:textId="613D946C" w:rsidR="00E54D8B" w:rsidRPr="00C152DB" w:rsidRDefault="00C152DB" w:rsidP="002E6227">
      <w:pPr>
        <w:pStyle w:val="a6"/>
        <w:numPr>
          <w:ilvl w:val="0"/>
          <w:numId w:val="16"/>
        </w:numPr>
        <w:spacing w:before="100" w:beforeAutospacing="1" w:after="100" w:afterAutospacing="1" w:line="360" w:lineRule="auto"/>
        <w:ind w:left="423"/>
        <w:jc w:val="both"/>
        <w:rPr>
          <w:rFonts w:ascii="Sakkal Majalla" w:eastAsia="Times New Roman" w:hAnsi="Sakkal Majalla" w:cs="Sakkal Majalla"/>
          <w:kern w:val="0"/>
          <w:szCs w:val="28"/>
          <w:rtl/>
          <w14:ligatures w14:val="none"/>
        </w:rPr>
      </w:pPr>
      <w:r w:rsidRPr="00C152DB">
        <w:rPr>
          <w:rFonts w:ascii="Sakkal Majalla" w:eastAsia="Times New Roman" w:hAnsi="Sakkal Majalla" w:cs="Sakkal Majalla"/>
          <w:b/>
          <w:bCs/>
          <w:kern w:val="0"/>
          <w:szCs w:val="28"/>
          <w:rtl/>
          <w14:ligatures w14:val="none"/>
        </w:rPr>
        <w:t>الفرضية الفرعية الثانية</w:t>
      </w:r>
      <w:r w:rsidRPr="00C152DB">
        <w:rPr>
          <w:rFonts w:ascii="Sakkal Majalla" w:eastAsia="Times New Roman" w:hAnsi="Sakkal Majalla" w:cs="Sakkal Majalla"/>
          <w:kern w:val="0"/>
          <w:szCs w:val="28"/>
          <w:rtl/>
          <w14:ligatures w14:val="none"/>
        </w:rPr>
        <w:t>:</w:t>
      </w:r>
      <w:r w:rsidRPr="00C152DB">
        <w:rPr>
          <w:rFonts w:ascii="Sakkal Majalla" w:eastAsia="Times New Roman" w:hAnsi="Sakkal Majalla" w:cs="Sakkal Majalla" w:hint="cs"/>
          <w:kern w:val="0"/>
          <w:szCs w:val="28"/>
          <w:rtl/>
          <w14:ligatures w14:val="none"/>
        </w:rPr>
        <w:t xml:space="preserve"> </w:t>
      </w:r>
      <w:r w:rsidR="00E54D8B" w:rsidRPr="00C152DB">
        <w:rPr>
          <w:rFonts w:ascii="Sakkal Majalla" w:eastAsia="Times New Roman" w:hAnsi="Sakkal Majalla" w:cs="Sakkal Majalla"/>
          <w:kern w:val="0"/>
          <w:szCs w:val="28"/>
          <w:rtl/>
          <w14:ligatures w14:val="none"/>
        </w:rPr>
        <w:t>لا يوجد أثر ذو دلالة إحصائية عند مستوى (</w:t>
      </w:r>
      <w:r w:rsidR="00E54D8B" w:rsidRPr="00C152DB">
        <w:rPr>
          <w:rFonts w:ascii="Cambria" w:eastAsia="Times New Roman" w:hAnsi="Cambria" w:cs="Cambria"/>
          <w:kern w:val="0"/>
          <w:szCs w:val="28"/>
          <w14:ligatures w14:val="none"/>
        </w:rPr>
        <w:t>α</w:t>
      </w:r>
      <w:r w:rsidR="00E54D8B" w:rsidRPr="00C152DB">
        <w:rPr>
          <w:rFonts w:ascii="Sakkal Majalla" w:eastAsia="Times New Roman" w:hAnsi="Sakkal Majalla" w:cs="Sakkal Majalla"/>
          <w:kern w:val="0"/>
          <w:szCs w:val="28"/>
          <w14:ligatures w14:val="none"/>
        </w:rPr>
        <w:t xml:space="preserve"> ≤ 0.05</w:t>
      </w:r>
      <w:r w:rsidR="00E54D8B" w:rsidRPr="00C152DB">
        <w:rPr>
          <w:rFonts w:ascii="Sakkal Majalla" w:eastAsia="Times New Roman" w:hAnsi="Sakkal Majalla" w:cs="Sakkal Majalla"/>
          <w:kern w:val="0"/>
          <w:szCs w:val="28"/>
          <w:rtl/>
          <w14:ligatures w14:val="none"/>
        </w:rPr>
        <w:t>) للبعد الاقتصادي لتقييم مخاطر الائتمان على جودة القرارات الائتمانية في البنوك التجارية.</w:t>
      </w:r>
    </w:p>
    <w:p w14:paraId="004BDA4A" w14:textId="011611FD" w:rsidR="00E54D8B" w:rsidRPr="00C152DB" w:rsidRDefault="00C152DB" w:rsidP="002E6227">
      <w:pPr>
        <w:pStyle w:val="a6"/>
        <w:numPr>
          <w:ilvl w:val="0"/>
          <w:numId w:val="16"/>
        </w:numPr>
        <w:spacing w:before="100" w:beforeAutospacing="1" w:after="100" w:afterAutospacing="1" w:line="360" w:lineRule="auto"/>
        <w:ind w:left="423"/>
        <w:jc w:val="both"/>
        <w:rPr>
          <w:rFonts w:ascii="Sakkal Majalla" w:eastAsia="Times New Roman" w:hAnsi="Sakkal Majalla" w:cs="Sakkal Majalla"/>
          <w:kern w:val="0"/>
          <w:szCs w:val="28"/>
          <w:rtl/>
          <w14:ligatures w14:val="none"/>
        </w:rPr>
      </w:pPr>
      <w:r w:rsidRPr="00C152DB">
        <w:rPr>
          <w:rFonts w:ascii="Sakkal Majalla" w:eastAsia="Times New Roman" w:hAnsi="Sakkal Majalla" w:cs="Sakkal Majalla"/>
          <w:b/>
          <w:bCs/>
          <w:kern w:val="0"/>
          <w:szCs w:val="28"/>
          <w:rtl/>
          <w14:ligatures w14:val="none"/>
        </w:rPr>
        <w:t>الفرضية الفرعية الثالثة</w:t>
      </w:r>
      <w:r w:rsidRPr="00C152DB">
        <w:rPr>
          <w:rFonts w:ascii="Sakkal Majalla" w:eastAsia="Times New Roman" w:hAnsi="Sakkal Majalla" w:cs="Sakkal Majalla"/>
          <w:kern w:val="0"/>
          <w:szCs w:val="28"/>
          <w:rtl/>
          <w14:ligatures w14:val="none"/>
        </w:rPr>
        <w:t>:</w:t>
      </w:r>
      <w:r w:rsidRPr="00C152DB">
        <w:rPr>
          <w:rFonts w:ascii="Sakkal Majalla" w:eastAsia="Times New Roman" w:hAnsi="Sakkal Majalla" w:cs="Sakkal Majalla" w:hint="cs"/>
          <w:kern w:val="0"/>
          <w:szCs w:val="28"/>
          <w:rtl/>
          <w14:ligatures w14:val="none"/>
        </w:rPr>
        <w:t xml:space="preserve"> </w:t>
      </w:r>
      <w:r w:rsidR="00E54D8B" w:rsidRPr="00C152DB">
        <w:rPr>
          <w:rFonts w:ascii="Sakkal Majalla" w:eastAsia="Times New Roman" w:hAnsi="Sakkal Majalla" w:cs="Sakkal Majalla"/>
          <w:kern w:val="0"/>
          <w:szCs w:val="28"/>
          <w:rtl/>
          <w14:ligatures w14:val="none"/>
        </w:rPr>
        <w:t>لا يوجد أثر ذو دلالة إحصائية عند مستوى (</w:t>
      </w:r>
      <w:r w:rsidR="00E54D8B" w:rsidRPr="00C152DB">
        <w:rPr>
          <w:rFonts w:ascii="Cambria" w:eastAsia="Times New Roman" w:hAnsi="Cambria" w:cs="Cambria"/>
          <w:kern w:val="0"/>
          <w:szCs w:val="28"/>
          <w14:ligatures w14:val="none"/>
        </w:rPr>
        <w:t>α</w:t>
      </w:r>
      <w:r w:rsidR="00E54D8B" w:rsidRPr="00C152DB">
        <w:rPr>
          <w:rFonts w:ascii="Sakkal Majalla" w:eastAsia="Times New Roman" w:hAnsi="Sakkal Majalla" w:cs="Sakkal Majalla"/>
          <w:kern w:val="0"/>
          <w:szCs w:val="28"/>
          <w14:ligatures w14:val="none"/>
        </w:rPr>
        <w:t xml:space="preserve"> ≤ 0.05</w:t>
      </w:r>
      <w:r w:rsidR="00E54D8B" w:rsidRPr="00C152DB">
        <w:rPr>
          <w:rFonts w:ascii="Sakkal Majalla" w:eastAsia="Times New Roman" w:hAnsi="Sakkal Majalla" w:cs="Sakkal Majalla"/>
          <w:kern w:val="0"/>
          <w:szCs w:val="28"/>
          <w:rtl/>
          <w14:ligatures w14:val="none"/>
        </w:rPr>
        <w:t>) للبعد القانوني والتنظيمي لتقييم مخاطر الائتمان على جودة القرارات الائتمانية في البنوك التجارية.</w:t>
      </w:r>
    </w:p>
    <w:p w14:paraId="354B4A50" w14:textId="09BBDD62" w:rsidR="009D60A7" w:rsidRPr="00C152DB" w:rsidRDefault="00C152DB" w:rsidP="002E6227">
      <w:pPr>
        <w:pStyle w:val="a6"/>
        <w:numPr>
          <w:ilvl w:val="0"/>
          <w:numId w:val="16"/>
        </w:numPr>
        <w:spacing w:before="100" w:beforeAutospacing="1" w:after="100" w:afterAutospacing="1" w:line="360" w:lineRule="auto"/>
        <w:ind w:left="423"/>
        <w:jc w:val="both"/>
        <w:rPr>
          <w:rFonts w:ascii="Sakkal Majalla" w:eastAsia="Times New Roman" w:hAnsi="Sakkal Majalla" w:cs="Sakkal Majalla"/>
          <w:kern w:val="0"/>
          <w:szCs w:val="28"/>
          <w:rtl/>
          <w14:ligatures w14:val="none"/>
        </w:rPr>
      </w:pPr>
      <w:r w:rsidRPr="00C152DB">
        <w:rPr>
          <w:rFonts w:ascii="Sakkal Majalla" w:eastAsia="Times New Roman" w:hAnsi="Sakkal Majalla" w:cs="Sakkal Majalla"/>
          <w:b/>
          <w:bCs/>
          <w:kern w:val="0"/>
          <w:szCs w:val="28"/>
          <w:rtl/>
          <w14:ligatures w14:val="none"/>
        </w:rPr>
        <w:t>الفرضية الفرعية الرابعة</w:t>
      </w:r>
      <w:r w:rsidRPr="00C152DB">
        <w:rPr>
          <w:rFonts w:ascii="Sakkal Majalla" w:eastAsia="Times New Roman" w:hAnsi="Sakkal Majalla" w:cs="Sakkal Majalla"/>
          <w:kern w:val="0"/>
          <w:szCs w:val="28"/>
          <w:rtl/>
          <w14:ligatures w14:val="none"/>
        </w:rPr>
        <w:t>:</w:t>
      </w:r>
      <w:r w:rsidRPr="00C152DB">
        <w:rPr>
          <w:rFonts w:ascii="Sakkal Majalla" w:eastAsia="Times New Roman" w:hAnsi="Sakkal Majalla" w:cs="Sakkal Majalla" w:hint="cs"/>
          <w:kern w:val="0"/>
          <w:szCs w:val="28"/>
          <w:rtl/>
          <w14:ligatures w14:val="none"/>
        </w:rPr>
        <w:t xml:space="preserve"> </w:t>
      </w:r>
      <w:r w:rsidR="00E54D8B" w:rsidRPr="00C152DB">
        <w:rPr>
          <w:rFonts w:ascii="Sakkal Majalla" w:eastAsia="Times New Roman" w:hAnsi="Sakkal Majalla" w:cs="Sakkal Majalla"/>
          <w:kern w:val="0"/>
          <w:szCs w:val="28"/>
          <w:rtl/>
          <w14:ligatures w14:val="none"/>
        </w:rPr>
        <w:t>لا يوجد أثر ذو دلالة إحصائية عند مستوى (</w:t>
      </w:r>
      <w:r w:rsidR="00E54D8B" w:rsidRPr="00C152DB">
        <w:rPr>
          <w:rFonts w:ascii="Cambria" w:eastAsia="Times New Roman" w:hAnsi="Cambria" w:cs="Cambria"/>
          <w:kern w:val="0"/>
          <w:szCs w:val="28"/>
          <w14:ligatures w14:val="none"/>
        </w:rPr>
        <w:t>α</w:t>
      </w:r>
      <w:r w:rsidR="00E54D8B" w:rsidRPr="00C152DB">
        <w:rPr>
          <w:rFonts w:ascii="Sakkal Majalla" w:eastAsia="Times New Roman" w:hAnsi="Sakkal Majalla" w:cs="Sakkal Majalla"/>
          <w:kern w:val="0"/>
          <w:szCs w:val="28"/>
          <w14:ligatures w14:val="none"/>
        </w:rPr>
        <w:t xml:space="preserve"> ≤ 0.05</w:t>
      </w:r>
      <w:r w:rsidR="00E54D8B" w:rsidRPr="00C152DB">
        <w:rPr>
          <w:rFonts w:ascii="Sakkal Majalla" w:eastAsia="Times New Roman" w:hAnsi="Sakkal Majalla" w:cs="Sakkal Majalla"/>
          <w:kern w:val="0"/>
          <w:szCs w:val="28"/>
          <w:rtl/>
          <w14:ligatures w14:val="none"/>
        </w:rPr>
        <w:t>) للبعد الاستراتيجي لتقييم مخاطر الائتمان على جودة القرارات الائتمانية في البنوك التجارية.</w:t>
      </w:r>
      <w:r w:rsidR="009D60A7" w:rsidRPr="00C152DB">
        <w:rPr>
          <w:rFonts w:ascii="Sakkal Majalla" w:eastAsia="Calibri" w:hAnsi="Sakkal Majalla" w:cs="Sakkal Majalla"/>
          <w:kern w:val="0"/>
          <w:szCs w:val="28"/>
          <w:rtl/>
          <w14:ligatures w14:val="none"/>
        </w:rPr>
        <w:t xml:space="preserve">                                                       </w:t>
      </w:r>
    </w:p>
    <w:p w14:paraId="7F5F1357" w14:textId="0CE2A14C" w:rsidR="00C152DB" w:rsidRPr="00C152DB" w:rsidRDefault="00C152DB" w:rsidP="00C152D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7" w:name="_Toc200849147"/>
      <w:bookmarkStart w:id="18" w:name="_Toc181896397"/>
      <w:r w:rsidRPr="00C152DB">
        <w:rPr>
          <w:rFonts w:ascii="Sakkal Majalla" w:hAnsi="Sakkal Majalla" w:cs="Sakkal Majalla"/>
          <w:b/>
          <w:bCs/>
          <w:sz w:val="36"/>
          <w:szCs w:val="36"/>
          <w:rtl/>
          <w:lang w:bidi="ar-EG"/>
        </w:rPr>
        <w:t>6.1 الدراسات السابقة:</w:t>
      </w:r>
      <w:bookmarkEnd w:id="17"/>
      <w:r w:rsidRPr="00C152DB">
        <w:rPr>
          <w:rFonts w:ascii="Sakkal Majalla" w:hAnsi="Sakkal Majalla" w:cs="Sakkal Majalla"/>
          <w:b/>
          <w:bCs/>
          <w:sz w:val="36"/>
          <w:szCs w:val="36"/>
          <w:rtl/>
          <w:lang w:bidi="ar-EG"/>
        </w:rPr>
        <w:t xml:space="preserve">  </w:t>
      </w:r>
    </w:p>
    <w:p w14:paraId="518C69B5" w14:textId="1EC1E05E" w:rsidR="004A66B5" w:rsidRPr="00C152DB" w:rsidRDefault="004A66B5" w:rsidP="002E6227">
      <w:pPr>
        <w:pStyle w:val="a6"/>
        <w:numPr>
          <w:ilvl w:val="0"/>
          <w:numId w:val="17"/>
        </w:numPr>
        <w:spacing w:before="100" w:beforeAutospacing="1" w:after="100" w:afterAutospacing="1" w:line="360" w:lineRule="auto"/>
        <w:ind w:left="423"/>
        <w:jc w:val="both"/>
        <w:rPr>
          <w:rFonts w:ascii="Sakkal Majalla" w:hAnsi="Sakkal Majalla" w:cs="Sakkal Majalla"/>
          <w:b/>
          <w:bCs/>
          <w:szCs w:val="28"/>
        </w:rPr>
      </w:pPr>
      <w:r w:rsidRPr="00C152DB">
        <w:rPr>
          <w:rFonts w:ascii="Sakkal Majalla" w:hAnsi="Sakkal Majalla" w:cs="Sakkal Majalla"/>
          <w:b/>
          <w:bCs/>
          <w:szCs w:val="28"/>
          <w:rtl/>
          <w:lang w:bidi="ar-EG"/>
        </w:rPr>
        <w:t>دراس</w:t>
      </w:r>
      <w:r w:rsidR="00A804B6" w:rsidRPr="00C152DB">
        <w:rPr>
          <w:rFonts w:ascii="Sakkal Majalla" w:hAnsi="Sakkal Majalla" w:cs="Sakkal Majalla"/>
          <w:b/>
          <w:bCs/>
          <w:szCs w:val="28"/>
          <w:rtl/>
          <w:lang w:bidi="ar-EG"/>
        </w:rPr>
        <w:t>ة</w:t>
      </w:r>
      <w:r w:rsidRPr="00C152DB">
        <w:rPr>
          <w:rFonts w:ascii="Sakkal Majalla" w:hAnsi="Sakkal Majalla" w:cs="Sakkal Majalla"/>
          <w:b/>
          <w:bCs/>
          <w:szCs w:val="28"/>
          <w:rtl/>
        </w:rPr>
        <w:t xml:space="preserve"> </w:t>
      </w:r>
      <w:r w:rsidRPr="00C152DB">
        <w:rPr>
          <w:rFonts w:ascii="Sakkal Majalla" w:hAnsi="Sakkal Majalla" w:cs="Sakkal Majalla"/>
          <w:b/>
          <w:bCs/>
          <w:szCs w:val="28"/>
        </w:rPr>
        <w:t>(Arnania-Kepuladze, 2024)</w:t>
      </w:r>
    </w:p>
    <w:p w14:paraId="1791BEF1" w14:textId="77777777" w:rsidR="006A2678" w:rsidRPr="00281D95" w:rsidRDefault="006A2678" w:rsidP="00C152DB">
      <w:pPr>
        <w:pStyle w:val="a9"/>
        <w:bidi/>
        <w:spacing w:line="360" w:lineRule="auto"/>
        <w:ind w:left="-2" w:firstLine="708"/>
        <w:jc w:val="both"/>
        <w:rPr>
          <w:rFonts w:ascii="Sakkal Majalla" w:hAnsi="Sakkal Majalla" w:cs="Sakkal Majalla"/>
          <w:sz w:val="28"/>
          <w:szCs w:val="28"/>
        </w:rPr>
      </w:pPr>
      <w:r w:rsidRPr="00281D95">
        <w:rPr>
          <w:rFonts w:ascii="Sakkal Majalla" w:hAnsi="Sakkal Majalla" w:cs="Sakkal Majalla"/>
          <w:sz w:val="28"/>
          <w:szCs w:val="28"/>
          <w:rtl/>
        </w:rPr>
        <w:t>هدفت الدراسة إلى التعرف على إدارة مخاطر الائتمان في القطاع المصرفي بأبعادها، والتي تشمل تقييم المخاطر، تحسين إجراءات تصنيف المقترضين، واستخدام البيانات الضخمة في التنبؤ بقدرة العملاء على السداد، على تعزيز الاستقرار المالي واستدامة النظام المصرفي بأبعاده، والتي تتضمن تقليل القروض المتعثرة، تحسين جودة الأصول، وتعزيز الامتثال للمعايير التنظيمية. كما سعت الدراسة إلى تحليل العوامل المؤثرة في ارتفاع معدلات القروض المتعثرة، بما في ذلك عدم الاستقرار الاقتصادي، تزايد أعباء الديون، والتغيرات في سلوكيات المقترضين</w:t>
      </w:r>
      <w:r w:rsidRPr="00281D95">
        <w:rPr>
          <w:rFonts w:ascii="Sakkal Majalla" w:hAnsi="Sakkal Majalla" w:cs="Sakkal Majalla"/>
          <w:sz w:val="28"/>
          <w:szCs w:val="28"/>
        </w:rPr>
        <w:t>.</w:t>
      </w:r>
    </w:p>
    <w:p w14:paraId="4D56DBD2" w14:textId="77777777" w:rsidR="006A2678" w:rsidRPr="00281D95" w:rsidRDefault="006A2678" w:rsidP="00C152DB">
      <w:pPr>
        <w:pStyle w:val="a9"/>
        <w:bidi/>
        <w:spacing w:line="360" w:lineRule="auto"/>
        <w:ind w:left="-2" w:firstLine="708"/>
        <w:jc w:val="both"/>
        <w:rPr>
          <w:rFonts w:ascii="Sakkal Majalla" w:hAnsi="Sakkal Majalla" w:cs="Sakkal Majalla"/>
          <w:sz w:val="28"/>
          <w:szCs w:val="28"/>
        </w:rPr>
      </w:pPr>
      <w:r w:rsidRPr="00281D95">
        <w:rPr>
          <w:rFonts w:ascii="Sakkal Majalla" w:hAnsi="Sakkal Majalla" w:cs="Sakkal Majalla"/>
          <w:sz w:val="28"/>
          <w:szCs w:val="28"/>
          <w:rtl/>
        </w:rPr>
        <w:t>اعتمدت الدراسة على المنهج الوصفي التحليلي، حيث تم تحليل الأساليب الحديثة لإدارة مخاطر الائتمان، مثل تطبيق التقنيات الرقمية الحديثة، تطوير نماذج التقييم الائتماني، واستخدام الذكاء الاصطناعي وتقنيات البلوكشين لأتمتة عمليات إدارة المخاطر. كما تناولت الدراسة دور الجهات التنظيمية في تعزيز استقرار النظام المصرفي من خلال تشديد المعايير الاحترازية، مراقبة جودة الأصول، وإجراء اختبارات الضغط لضمان قدرة البنوك على مواجهة الأزمات المالية المحتملة. تم استعراض أهمية تنويع المحفظة الائتمانية كإستراتيجية لتقليل المخاطر، إلى جانب دراسة الأساليب الفعالة لإعادة هيكلة الديون لتقليل حالات التعثر</w:t>
      </w:r>
      <w:r w:rsidRPr="00281D95">
        <w:rPr>
          <w:rFonts w:ascii="Sakkal Majalla" w:hAnsi="Sakkal Majalla" w:cs="Sakkal Majalla"/>
          <w:sz w:val="28"/>
          <w:szCs w:val="28"/>
        </w:rPr>
        <w:t>.</w:t>
      </w:r>
    </w:p>
    <w:p w14:paraId="183BF0F1" w14:textId="77777777" w:rsidR="006A2678" w:rsidRPr="00281D95" w:rsidRDefault="006A2678" w:rsidP="00C152DB">
      <w:pPr>
        <w:pStyle w:val="a9"/>
        <w:bidi/>
        <w:spacing w:line="360" w:lineRule="auto"/>
        <w:ind w:left="-2" w:firstLine="708"/>
        <w:jc w:val="both"/>
        <w:rPr>
          <w:rFonts w:ascii="Sakkal Majalla" w:hAnsi="Sakkal Majalla" w:cs="Sakkal Majalla"/>
          <w:sz w:val="28"/>
          <w:szCs w:val="28"/>
        </w:rPr>
      </w:pPr>
      <w:r w:rsidRPr="00281D95">
        <w:rPr>
          <w:rFonts w:ascii="Sakkal Majalla" w:hAnsi="Sakkal Majalla" w:cs="Sakkal Majalla"/>
          <w:sz w:val="28"/>
          <w:szCs w:val="28"/>
          <w:rtl/>
        </w:rPr>
        <w:t>أظهرت النتائج أن دمج التقنيات المبتكرة في إدارة مخاطر الائتمان يعزز من قدرة البنوك على التنبؤ بالمخاطر وتقليل الخسائر المالية، حيث ساهم استخدام الذكاء الاصطناعي في تحسين دقة التقييمات الائتمانية، بينما ساعدت تقنيات البلوكشين في تعزيز الشفافية والأمان في العمليات المصرفية. كما تبين أن تطبيق استراتيجية شاملة تجمع بين الأدوات التحليلية، التأثير التنظيمي، والتفاعل المستدام مع العملاء يسهم في تقليل المخاطر الائتمانية وتعزيز استدامة النظام المصرفي. أوصت الدراسة بأهمية تبني منهج متكامل لإدارة المخاطر، يتضمن تعزيز استخدام التكنولوجيا المالية، تطوير آليات تنويع المحفظة الائتمانية، وتحديث المعايير الاحترازية لضمان استقرار القطاع المصرفي على المدى الطويل</w:t>
      </w:r>
      <w:r w:rsidRPr="00281D95">
        <w:rPr>
          <w:rFonts w:ascii="Sakkal Majalla" w:hAnsi="Sakkal Majalla" w:cs="Sakkal Majalla"/>
          <w:sz w:val="28"/>
          <w:szCs w:val="28"/>
        </w:rPr>
        <w:t>.</w:t>
      </w:r>
    </w:p>
    <w:p w14:paraId="0780951A" w14:textId="77777777" w:rsidR="006965FC" w:rsidRPr="00C152DB" w:rsidRDefault="006965FC" w:rsidP="002E6227">
      <w:pPr>
        <w:pStyle w:val="a6"/>
        <w:numPr>
          <w:ilvl w:val="0"/>
          <w:numId w:val="17"/>
        </w:numPr>
        <w:spacing w:before="100" w:beforeAutospacing="1" w:after="100" w:afterAutospacing="1" w:line="360" w:lineRule="auto"/>
        <w:ind w:left="423"/>
        <w:jc w:val="both"/>
        <w:rPr>
          <w:rFonts w:ascii="Sakkal Majalla" w:hAnsi="Sakkal Majalla" w:cs="Sakkal Majalla"/>
          <w:b/>
          <w:bCs/>
          <w:szCs w:val="28"/>
          <w:lang w:bidi="ar-EG"/>
        </w:rPr>
      </w:pPr>
      <w:r w:rsidRPr="00C152DB">
        <w:rPr>
          <w:rFonts w:ascii="Sakkal Majalla" w:hAnsi="Sakkal Majalla" w:cs="Sakkal Majalla"/>
          <w:b/>
          <w:bCs/>
          <w:szCs w:val="28"/>
          <w:rtl/>
          <w:lang w:bidi="ar-EG"/>
        </w:rPr>
        <w:t xml:space="preserve">دراسة </w:t>
      </w:r>
      <w:r w:rsidRPr="00C152DB">
        <w:rPr>
          <w:rFonts w:ascii="Sakkal Majalla" w:hAnsi="Sakkal Majalla" w:cs="Sakkal Majalla"/>
          <w:b/>
          <w:bCs/>
          <w:szCs w:val="28"/>
          <w:lang w:bidi="ar-EG"/>
        </w:rPr>
        <w:t>(Adesanya, 2024)</w:t>
      </w:r>
    </w:p>
    <w:p w14:paraId="105B9427" w14:textId="77777777" w:rsidR="004A3A83" w:rsidRPr="00281D95" w:rsidRDefault="004A3A83" w:rsidP="00C152DB">
      <w:pPr>
        <w:pStyle w:val="a9"/>
        <w:bidi/>
        <w:spacing w:line="360" w:lineRule="auto"/>
        <w:ind w:left="-2" w:firstLine="708"/>
        <w:jc w:val="both"/>
        <w:rPr>
          <w:rFonts w:ascii="Sakkal Majalla" w:hAnsi="Sakkal Majalla" w:cs="Sakkal Majalla"/>
          <w:sz w:val="28"/>
          <w:szCs w:val="28"/>
        </w:rPr>
      </w:pPr>
      <w:r w:rsidRPr="00281D95">
        <w:rPr>
          <w:rFonts w:ascii="Sakkal Majalla" w:hAnsi="Sakkal Majalla" w:cs="Sakkal Majalla"/>
          <w:sz w:val="28"/>
          <w:szCs w:val="28"/>
          <w:rtl/>
        </w:rPr>
        <w:t>هدفت الدراسة إلى التعرف على دور تحليل سلوك المقترض في تقييم مخاطر الائتمان بأبعاده، والتي تشمل تاريخ الائتمان، السلوك المالي، والتحليلات التنبؤية، على تحسين كفاءة نماذج تقييم المخاطر الائتمانية بأبعادها، والتي تتضمن تقليل معدلات التعثر، تحسين قرارات الإقراض، وتعزيز استقرار المؤسسات المالية. كما سعت الدراسة إلى استكشاف كيفية توظيف التحليلات المتقدمة، بما في ذلك البيانات البديلة، التعلم الآلي، والذكاء الاصطناعي، في تطوير نماذج أكثر دقة ومرونة للتنبؤ بالمخاطر المالية المحتملة</w:t>
      </w:r>
      <w:r w:rsidRPr="00281D95">
        <w:rPr>
          <w:rFonts w:ascii="Sakkal Majalla" w:hAnsi="Sakkal Majalla" w:cs="Sakkal Majalla"/>
          <w:sz w:val="28"/>
          <w:szCs w:val="28"/>
        </w:rPr>
        <w:t>.</w:t>
      </w:r>
    </w:p>
    <w:p w14:paraId="244F4AC6" w14:textId="77777777" w:rsidR="004A3A83" w:rsidRPr="00281D95" w:rsidRDefault="004A3A83" w:rsidP="00C152DB">
      <w:pPr>
        <w:pStyle w:val="a9"/>
        <w:bidi/>
        <w:spacing w:line="360" w:lineRule="auto"/>
        <w:ind w:left="-2" w:firstLine="708"/>
        <w:jc w:val="both"/>
        <w:rPr>
          <w:rFonts w:ascii="Sakkal Majalla" w:hAnsi="Sakkal Majalla" w:cs="Sakkal Majalla"/>
          <w:sz w:val="28"/>
          <w:szCs w:val="28"/>
        </w:rPr>
      </w:pPr>
      <w:r w:rsidRPr="00281D95">
        <w:rPr>
          <w:rFonts w:ascii="Sakkal Majalla" w:hAnsi="Sakkal Majalla" w:cs="Sakkal Majalla"/>
          <w:sz w:val="28"/>
          <w:szCs w:val="28"/>
          <w:rtl/>
        </w:rPr>
        <w:t>اعتمدت الدراسة على المنهج الوصفي التحليلي، حيث تم تحليل البيانات المالية للمقترضين من خلال دمج مجموعة من العوامل، مثل الملف المالي، تاريخ المعاملات، الاستقرار الوظيفي، والعوامل الاجتماعية والاقتصادية، بهدف بناء نموذج شامل لتقييم المخاطر. تم تطبيق تقنيات التعلم الآلي والذكاء الاصطناعي لتحديد الأنماط والاتجاهات التي قد لا تكشفها الأساليب التقليدية، مما يعزز من دقة التنبؤ بحالات التخلف عن السداد. كما تم التركيز على أهمية المتابعة المستمرة للمقترضين، بحيث يتم تحديث تقييمات المخاطر ديناميكيًا بناءً على البيانات الجديدة، مما يضمن اتباع نهج أكثر تكيفًا واستجابة لإدارة المخاطر</w:t>
      </w:r>
      <w:r w:rsidRPr="00281D95">
        <w:rPr>
          <w:rFonts w:ascii="Sakkal Majalla" w:hAnsi="Sakkal Majalla" w:cs="Sakkal Majalla"/>
          <w:sz w:val="28"/>
          <w:szCs w:val="28"/>
        </w:rPr>
        <w:t>.</w:t>
      </w:r>
    </w:p>
    <w:p w14:paraId="10F46706" w14:textId="77777777" w:rsidR="004A3A83" w:rsidRPr="00281D95" w:rsidRDefault="004A3A83" w:rsidP="00C152DB">
      <w:pPr>
        <w:pStyle w:val="a9"/>
        <w:bidi/>
        <w:spacing w:line="360" w:lineRule="auto"/>
        <w:ind w:left="-2" w:firstLine="708"/>
        <w:jc w:val="both"/>
        <w:rPr>
          <w:rFonts w:ascii="Sakkal Majalla" w:hAnsi="Sakkal Majalla" w:cs="Sakkal Majalla"/>
          <w:sz w:val="28"/>
          <w:szCs w:val="28"/>
          <w:lang w:bidi="ar-EG"/>
        </w:rPr>
      </w:pPr>
      <w:r w:rsidRPr="00281D95">
        <w:rPr>
          <w:rFonts w:ascii="Sakkal Majalla" w:hAnsi="Sakkal Majalla" w:cs="Sakkal Majalla"/>
          <w:sz w:val="28"/>
          <w:szCs w:val="28"/>
          <w:rtl/>
        </w:rPr>
        <w:t>أظهرت النتائج أن تحليل المقترضين باستخدام تقنيات البيانات المتقدمة يعزز قدرة البنوك على التنبؤ بالمخاطر وتقليل احتمالية التخلف عن السداد، مما يؤدي إلى تحسين قرارات الإقراض وزيادة استقرار النظام المالي. كما تبين أن الاعتماد على البيانات البديلة وتحليل الأنماط السلوكية يمكن أن يوفر رؤية أكثر شمولية للمخاطر مقارنة بالنماذج التقليدية</w:t>
      </w:r>
      <w:r w:rsidRPr="00281D95">
        <w:rPr>
          <w:rFonts w:ascii="Sakkal Majalla" w:hAnsi="Sakkal Majalla" w:cs="Sakkal Majalla"/>
          <w:sz w:val="28"/>
          <w:szCs w:val="28"/>
        </w:rPr>
        <w:t>.</w:t>
      </w:r>
      <w:r w:rsidRPr="00281D95">
        <w:rPr>
          <w:rFonts w:ascii="Sakkal Majalla" w:hAnsi="Sakkal Majalla" w:cs="Sakkal Majalla"/>
          <w:sz w:val="28"/>
          <w:szCs w:val="28"/>
          <w:lang w:bidi="ar-EG"/>
        </w:rPr>
        <w:t xml:space="preserve"> </w:t>
      </w:r>
    </w:p>
    <w:p w14:paraId="78A6DC82" w14:textId="32C81516" w:rsidR="00821B89" w:rsidRPr="00C152DB" w:rsidRDefault="00821B89" w:rsidP="002E6227">
      <w:pPr>
        <w:pStyle w:val="a6"/>
        <w:numPr>
          <w:ilvl w:val="0"/>
          <w:numId w:val="17"/>
        </w:numPr>
        <w:spacing w:before="100" w:beforeAutospacing="1" w:after="100" w:afterAutospacing="1" w:line="360" w:lineRule="auto"/>
        <w:ind w:left="423"/>
        <w:jc w:val="both"/>
        <w:rPr>
          <w:rFonts w:ascii="Sakkal Majalla" w:hAnsi="Sakkal Majalla" w:cs="Sakkal Majalla"/>
          <w:b/>
          <w:bCs/>
          <w:szCs w:val="28"/>
          <w:lang w:bidi="ar-EG"/>
        </w:rPr>
      </w:pPr>
      <w:r w:rsidRPr="00C152DB">
        <w:rPr>
          <w:rFonts w:ascii="Sakkal Majalla" w:hAnsi="Sakkal Majalla" w:cs="Sakkal Majalla"/>
          <w:b/>
          <w:bCs/>
          <w:szCs w:val="28"/>
          <w:rtl/>
          <w:lang w:bidi="ar-EG"/>
        </w:rPr>
        <w:t xml:space="preserve">دراسة ( </w:t>
      </w:r>
      <w:r w:rsidRPr="00C152DB">
        <w:rPr>
          <w:rFonts w:ascii="Sakkal Majalla" w:hAnsi="Sakkal Majalla" w:cs="Sakkal Majalla"/>
          <w:b/>
          <w:bCs/>
          <w:szCs w:val="28"/>
          <w:lang w:bidi="ar-EG"/>
        </w:rPr>
        <w:t>(Beeram &amp; Devi, 2024</w:t>
      </w:r>
    </w:p>
    <w:p w14:paraId="7D91E367" w14:textId="77777777" w:rsidR="0073554F" w:rsidRPr="00281D95" w:rsidRDefault="0073554F" w:rsidP="00C152DB">
      <w:pPr>
        <w:pStyle w:val="a9"/>
        <w:bidi/>
        <w:spacing w:line="360" w:lineRule="auto"/>
        <w:ind w:left="-2" w:firstLine="708"/>
        <w:jc w:val="both"/>
        <w:rPr>
          <w:rFonts w:ascii="Sakkal Majalla" w:hAnsi="Sakkal Majalla" w:cs="Sakkal Majalla"/>
          <w:sz w:val="28"/>
          <w:szCs w:val="28"/>
          <w:rtl/>
        </w:rPr>
      </w:pPr>
      <w:r w:rsidRPr="00281D95">
        <w:rPr>
          <w:rFonts w:ascii="Sakkal Majalla" w:hAnsi="Sakkal Majalla" w:cs="Sakkal Majalla"/>
          <w:sz w:val="28"/>
          <w:szCs w:val="28"/>
          <w:rtl/>
        </w:rPr>
        <w:t>هدفت الدراسة إلى التعرف على أثر تحسين خوارزميات الذكاء الاصطناعي في تقييم مخاطر الائتمان بأبعاده، والتي تشمل دقة التقييم، تقليل الوقت المستغرق في تحليل البيانات، وتحسين كفاءة اتخاذ القرار، على كشف الاحتيال في المعاملات المالية بأبعاده، والتي تتضمن التعرف المبكر على الأنشطة المشبوهة، الحد من الخسائر المالية، وتعزيز سلامة العمليات المصرفية. كما سعت الدراسة إلى تحليل دور تقنيات الذكاء الاصطناعي، بما في ذلك التعلم الآلي وتحليل البيانات، في تحسين دقة التنبؤ بالمخاطر والاحتيال، مما يتيح للمؤسسات المالية تحسين عمليات الإقراض وإدارة المخاطر بكفاءة أعلى.</w:t>
      </w:r>
    </w:p>
    <w:p w14:paraId="55ADB82A" w14:textId="77777777" w:rsidR="0073554F" w:rsidRPr="00281D95" w:rsidRDefault="0073554F" w:rsidP="00C152DB">
      <w:pPr>
        <w:pStyle w:val="a9"/>
        <w:bidi/>
        <w:spacing w:line="360" w:lineRule="auto"/>
        <w:ind w:left="-2" w:firstLine="708"/>
        <w:jc w:val="both"/>
        <w:rPr>
          <w:rFonts w:ascii="Sakkal Majalla" w:hAnsi="Sakkal Majalla" w:cs="Sakkal Majalla"/>
          <w:sz w:val="28"/>
          <w:szCs w:val="28"/>
          <w:rtl/>
        </w:rPr>
      </w:pPr>
      <w:r w:rsidRPr="00281D95">
        <w:rPr>
          <w:rFonts w:ascii="Sakkal Majalla" w:hAnsi="Sakkal Majalla" w:cs="Sakkal Majalla"/>
          <w:sz w:val="28"/>
          <w:szCs w:val="28"/>
          <w:rtl/>
        </w:rPr>
        <w:t>اعتمدت الدراسة على المنهج الوصفي التحليلي، حيث تم جمع البيانات من مصادر مالية متنوعة، تضمنت بيانات المعاملات الائتمانية التاريخية والمعلومات اللحظية التي يتم تحليلها بواسطة تقنيات الذكاء الاصطناعي. تم استخدام مجموعة من الخوارزميات، مثل التحسين القائم على التعلم العميق، الشبكات العصبية، والانحدار اللوجستي، بهدف تحسين التنبؤات وتقليل الأخطاء. شملت العينة بيانات مصرفية فعلية من مؤسسات مالية، مع التركيز على تحسين الأداء التدريجي للخوارزميات ومدى تكيفها مع المستجدات السوقية والتغيرات في أنماط الائتمان.</w:t>
      </w:r>
    </w:p>
    <w:p w14:paraId="68FBEBFE" w14:textId="52C63C70" w:rsidR="00821B89" w:rsidRPr="00281D95" w:rsidRDefault="0073554F" w:rsidP="00C152DB">
      <w:pPr>
        <w:pStyle w:val="a9"/>
        <w:bidi/>
        <w:spacing w:line="360" w:lineRule="auto"/>
        <w:ind w:left="-2" w:firstLine="708"/>
        <w:jc w:val="both"/>
        <w:rPr>
          <w:rFonts w:ascii="Sakkal Majalla" w:hAnsi="Sakkal Majalla" w:cs="Sakkal Majalla"/>
          <w:sz w:val="28"/>
          <w:szCs w:val="28"/>
          <w:rtl/>
          <w:lang w:bidi="ar-EG"/>
        </w:rPr>
      </w:pPr>
      <w:r w:rsidRPr="00281D95">
        <w:rPr>
          <w:rFonts w:ascii="Sakkal Majalla" w:hAnsi="Sakkal Majalla" w:cs="Sakkal Majalla"/>
          <w:sz w:val="28"/>
          <w:szCs w:val="28"/>
          <w:rtl/>
        </w:rPr>
        <w:t>أظهرت النتائج أن تحسين خوارزميات الذكاء الاصطناعي في تقييم مخاطر الائتمان يسهم في تقليل الوقت والموارد المطلوبة لاتخاذ قرارات الإقراض، مما يعزز الكفاءة التشغيلية للبنوك. كما بينت الدراسة أن هذه الخوارزميات تساهم في الكشف المبكر عن الاحتيال، مما يساعد المؤسسات المالية على تقليل المخاطر المالية والحفاظ على نزاهة عمليات الإقراض.</w:t>
      </w:r>
      <w:r w:rsidRPr="00281D95">
        <w:rPr>
          <w:rFonts w:ascii="Sakkal Majalla" w:hAnsi="Sakkal Majalla" w:cs="Sakkal Majalla"/>
          <w:sz w:val="28"/>
          <w:szCs w:val="28"/>
          <w:rtl/>
          <w:lang w:bidi="ar-EG"/>
        </w:rPr>
        <w:t xml:space="preserve"> </w:t>
      </w:r>
    </w:p>
    <w:p w14:paraId="0601A39C" w14:textId="7D7E1516" w:rsidR="001843A4" w:rsidRPr="00C152DB" w:rsidRDefault="001843A4" w:rsidP="002E6227">
      <w:pPr>
        <w:pStyle w:val="a6"/>
        <w:numPr>
          <w:ilvl w:val="0"/>
          <w:numId w:val="17"/>
        </w:numPr>
        <w:spacing w:before="100" w:beforeAutospacing="1" w:after="100" w:afterAutospacing="1" w:line="360" w:lineRule="auto"/>
        <w:ind w:left="423"/>
        <w:jc w:val="both"/>
        <w:rPr>
          <w:rFonts w:ascii="Sakkal Majalla" w:hAnsi="Sakkal Majalla" w:cs="Sakkal Majalla"/>
          <w:b/>
          <w:bCs/>
          <w:szCs w:val="28"/>
          <w:lang w:bidi="ar-EG"/>
        </w:rPr>
      </w:pPr>
      <w:r w:rsidRPr="00C152DB">
        <w:rPr>
          <w:rFonts w:ascii="Sakkal Majalla" w:hAnsi="Sakkal Majalla" w:cs="Sakkal Majalla"/>
          <w:b/>
          <w:bCs/>
          <w:szCs w:val="28"/>
          <w:rtl/>
          <w:lang w:bidi="ar-EG"/>
        </w:rPr>
        <w:t xml:space="preserve">دراسة ( </w:t>
      </w:r>
      <w:r w:rsidRPr="00C152DB">
        <w:rPr>
          <w:rFonts w:ascii="Sakkal Majalla" w:hAnsi="Sakkal Majalla" w:cs="Sakkal Majalla"/>
          <w:b/>
          <w:bCs/>
          <w:szCs w:val="28"/>
          <w:lang w:bidi="ar-EG"/>
        </w:rPr>
        <w:t>(Muhindo et al., 2024</w:t>
      </w:r>
    </w:p>
    <w:p w14:paraId="7437F57B" w14:textId="77777777" w:rsidR="0017747E" w:rsidRPr="00281D95" w:rsidRDefault="0017747E" w:rsidP="00C152DB">
      <w:pPr>
        <w:pStyle w:val="a9"/>
        <w:bidi/>
        <w:spacing w:line="360" w:lineRule="auto"/>
        <w:ind w:left="-2" w:firstLine="708"/>
        <w:jc w:val="both"/>
        <w:rPr>
          <w:rFonts w:ascii="Sakkal Majalla" w:hAnsi="Sakkal Majalla" w:cs="Sakkal Majalla"/>
          <w:sz w:val="28"/>
          <w:szCs w:val="28"/>
          <w:rtl/>
        </w:rPr>
      </w:pPr>
      <w:r w:rsidRPr="00281D95">
        <w:rPr>
          <w:rFonts w:ascii="Sakkal Majalla" w:hAnsi="Sakkal Majalla" w:cs="Sakkal Majalla"/>
          <w:sz w:val="28"/>
          <w:szCs w:val="28"/>
          <w:rtl/>
        </w:rPr>
        <w:t>هدفت الدراسة إلى التعرف على أثر تقييم مخاطر الائتمان بأبعاده، والتي تشمل الدقة التنبؤية، تقليل معدلات التخلف عن السداد، وتحسين كفاءة القرارات الائتمانية، على كشف الاحتيال في المعاملات المالية بأبعاده، والتي تتضمن تحديد الأنماط الاحتيالية، الحد من الخسائر المالية، وتعزيز الأمن المالي. كما سعت الدراسة إلى استكشاف دور تقنيات التعلم الآلي في تحسين دقة التنبؤ بالمخاطر وتعزيز قدرات الأنظمة المصرفية في اكتشاف الأنشطة الاحتيالية.</w:t>
      </w:r>
    </w:p>
    <w:p w14:paraId="78656450" w14:textId="77777777" w:rsidR="0017747E" w:rsidRPr="00281D95" w:rsidRDefault="0017747E" w:rsidP="00C152DB">
      <w:pPr>
        <w:pStyle w:val="a9"/>
        <w:bidi/>
        <w:spacing w:line="360" w:lineRule="auto"/>
        <w:ind w:left="-2" w:firstLine="708"/>
        <w:jc w:val="both"/>
        <w:rPr>
          <w:rFonts w:ascii="Sakkal Majalla" w:hAnsi="Sakkal Majalla" w:cs="Sakkal Majalla"/>
          <w:sz w:val="28"/>
          <w:szCs w:val="28"/>
          <w:rtl/>
        </w:rPr>
      </w:pPr>
      <w:r w:rsidRPr="00281D95">
        <w:rPr>
          <w:rFonts w:ascii="Sakkal Majalla" w:hAnsi="Sakkal Majalla" w:cs="Sakkal Majalla"/>
          <w:sz w:val="28"/>
          <w:szCs w:val="28"/>
          <w:rtl/>
        </w:rPr>
        <w:t>اعتمدت الدراسة على المنهج الوصفي التحليلي، حيث تم جمع البيانات من مصادر مالية متنوعة، شملت بيانات المعاملات المالية التاريخية والسجلات الائتمانية. تم استخدام مجموعة من خوارزميات التعلم الآلي، مثل الانحدار اللوجستي، الأشجار القرار، الغابات العشوائية، آلات المتجهات الداعمة، والشبكات العصبية، مع تطبيق تقنيات معالجة البيانات وتحليل الخصائص المالية لاستخراج المؤشرات الدالة على المخاطر والاحتيال. شملت العينة بيانات مالية فعلية من المؤسسات المصرفية، مع التركيز على التحديات المرتبطة بعدم توازن البيانات، تفسير النماذج، والامتثال التنظيمي.</w:t>
      </w:r>
    </w:p>
    <w:p w14:paraId="399286A7" w14:textId="26061C97" w:rsidR="001843A4" w:rsidRPr="00281D95" w:rsidRDefault="0017747E" w:rsidP="00C152DB">
      <w:pPr>
        <w:pStyle w:val="a9"/>
        <w:bidi/>
        <w:spacing w:line="360" w:lineRule="auto"/>
        <w:ind w:left="-2" w:firstLine="708"/>
        <w:jc w:val="both"/>
        <w:rPr>
          <w:rFonts w:ascii="Sakkal Majalla" w:hAnsi="Sakkal Majalla" w:cs="Sakkal Majalla"/>
          <w:sz w:val="28"/>
          <w:szCs w:val="28"/>
          <w:rtl/>
        </w:rPr>
      </w:pPr>
      <w:r w:rsidRPr="00281D95">
        <w:rPr>
          <w:rFonts w:ascii="Sakkal Majalla" w:hAnsi="Sakkal Majalla" w:cs="Sakkal Majalla"/>
          <w:sz w:val="28"/>
          <w:szCs w:val="28"/>
          <w:rtl/>
        </w:rPr>
        <w:t>أظهرت النتائج أن تقنيات التعلم الآلي تساهم بشكل كبير في تحسين دقة تقييم مخاطر الائتمان وكشف الاحتيال، حيث تفوقت النماذج القائمة على الغابات العشوائية والشبكات العصبية في التنبؤ بحالات الاحتيال مقارنة بالأساليب التقليدية. كما بينت الدراسة أن دمج التحليل السلوكي والبيانات الضخمة مع تقنيات التعلم العميق يمكن أن يعزز دقة النماذج ويقلل من معدلات الأخطاء. أوصت الدراسة بضرورة تعزيز استراتيجيات إدارة المخاطر باستخدام التحليلات المتقدمة، تبني أنظمة ذكاء اصطناعي تفاعلية، وتحقيق التوازن بين دقة النماذج وشفافيتها لضمان الامتثال التنظيمي وتحسين موثوقية القرارات المالية.</w:t>
      </w:r>
    </w:p>
    <w:p w14:paraId="4AE9EF9E" w14:textId="77777777" w:rsidR="001F78FE" w:rsidRPr="00C152DB" w:rsidRDefault="001F78FE" w:rsidP="002E6227">
      <w:pPr>
        <w:pStyle w:val="a6"/>
        <w:numPr>
          <w:ilvl w:val="0"/>
          <w:numId w:val="17"/>
        </w:numPr>
        <w:spacing w:before="100" w:beforeAutospacing="1" w:after="100" w:afterAutospacing="1" w:line="360" w:lineRule="auto"/>
        <w:ind w:left="423"/>
        <w:jc w:val="both"/>
        <w:rPr>
          <w:rFonts w:ascii="Sakkal Majalla" w:hAnsi="Sakkal Majalla" w:cs="Sakkal Majalla"/>
          <w:b/>
          <w:bCs/>
          <w:szCs w:val="28"/>
          <w:lang w:bidi="ar-EG"/>
        </w:rPr>
      </w:pPr>
      <w:r w:rsidRPr="00C152DB">
        <w:rPr>
          <w:rFonts w:ascii="Sakkal Majalla" w:hAnsi="Sakkal Majalla" w:cs="Sakkal Majalla"/>
          <w:b/>
          <w:bCs/>
          <w:szCs w:val="28"/>
          <w:rtl/>
          <w:lang w:bidi="ar-EG"/>
        </w:rPr>
        <w:t xml:space="preserve">دراسة </w:t>
      </w:r>
      <w:r w:rsidRPr="00C152DB">
        <w:rPr>
          <w:rFonts w:ascii="Sakkal Majalla" w:hAnsi="Sakkal Majalla" w:cs="Sakkal Majalla"/>
          <w:b/>
          <w:bCs/>
          <w:szCs w:val="28"/>
          <w:lang w:bidi="ar-EG"/>
        </w:rPr>
        <w:t>(Li, 2023)</w:t>
      </w:r>
    </w:p>
    <w:p w14:paraId="0B9A506D" w14:textId="77777777" w:rsidR="001F78FE" w:rsidRPr="00281D95" w:rsidRDefault="001F78FE" w:rsidP="00C152DB">
      <w:pPr>
        <w:pStyle w:val="a9"/>
        <w:bidi/>
        <w:spacing w:line="360" w:lineRule="auto"/>
        <w:ind w:left="-2" w:firstLine="708"/>
        <w:jc w:val="both"/>
        <w:rPr>
          <w:rFonts w:ascii="Sakkal Majalla" w:hAnsi="Sakkal Majalla" w:cs="Sakkal Majalla"/>
          <w:sz w:val="28"/>
          <w:szCs w:val="28"/>
          <w:rtl/>
        </w:rPr>
      </w:pPr>
      <w:r w:rsidRPr="00281D95">
        <w:rPr>
          <w:rFonts w:ascii="Sakkal Majalla" w:hAnsi="Sakkal Majalla" w:cs="Sakkal Majalla"/>
          <w:sz w:val="28"/>
          <w:szCs w:val="28"/>
          <w:rtl/>
        </w:rPr>
        <w:t>هدفت الدراسة إلى التعرف على أثر التنبؤ بمخاطر الائتمان باستخدام الشبكات العصبية العميقة بأبعادها، والتي تشمل تحسين دقة التنبؤ، تعزيز كفاءة الإدارة الائتمانية، وتقليل تكاليف إدارة الائتمان، على أداء المؤسسات المصرفية بأبعاده، والتي تتضمن تحسين عملية اتخاذ القرار، زيادة تنافسية البنوك، وتعزيز استدامة العمليات الائتمانية. كما سعت الدراسة إلى تحليل العلاقة بين المتغيرات المؤثرة في تقييم مخاطر الائتمان، مع تطبيق نموذج متعدد المستويات للشبكات العصبية العميقة لتطوير آلية تنبؤ فعالة ودقيقة.</w:t>
      </w:r>
    </w:p>
    <w:p w14:paraId="7D1F4017" w14:textId="77777777" w:rsidR="001F78FE" w:rsidRPr="00281D95" w:rsidRDefault="001F78FE" w:rsidP="00C152DB">
      <w:pPr>
        <w:pStyle w:val="a9"/>
        <w:bidi/>
        <w:spacing w:line="360" w:lineRule="auto"/>
        <w:ind w:left="-2" w:firstLine="708"/>
        <w:jc w:val="both"/>
        <w:rPr>
          <w:rFonts w:ascii="Sakkal Majalla" w:hAnsi="Sakkal Majalla" w:cs="Sakkal Majalla"/>
          <w:sz w:val="28"/>
          <w:szCs w:val="28"/>
          <w:rtl/>
        </w:rPr>
      </w:pPr>
      <w:r w:rsidRPr="00281D95">
        <w:rPr>
          <w:rFonts w:ascii="Sakkal Majalla" w:hAnsi="Sakkal Majalla" w:cs="Sakkal Majalla"/>
          <w:sz w:val="28"/>
          <w:szCs w:val="28"/>
          <w:rtl/>
        </w:rPr>
        <w:t>اعتمدت الدراسة على المنهج الوصفي التحليلي، حيث تم تطوير نموذج لتوقع مخاطر الائتمان وإدارتها باستخدام الشبكات العصبية العميقة، مع دمج عملية التحليل الهرمي (</w:t>
      </w:r>
      <w:r w:rsidRPr="00281D95">
        <w:rPr>
          <w:rFonts w:ascii="Sakkal Majalla" w:hAnsi="Sakkal Majalla" w:cs="Sakkal Majalla"/>
          <w:sz w:val="28"/>
          <w:szCs w:val="28"/>
        </w:rPr>
        <w:t>AHP</w:t>
      </w:r>
      <w:r w:rsidRPr="00281D95">
        <w:rPr>
          <w:rFonts w:ascii="Sakkal Majalla" w:hAnsi="Sakkal Majalla" w:cs="Sakkal Majalla"/>
          <w:sz w:val="28"/>
          <w:szCs w:val="28"/>
          <w:rtl/>
        </w:rPr>
        <w:t>) لاستخلاص العوامل الأكثر تأثيرًا على نتائج التنبؤ بالمخاطر. تم جمع البيانات من أحد البنوك التجارية، حيث تم إدخال الخصائص المستخرجة إلى الشبكة العصبية العميقة بهدف تحسين دقة التقييم الائتماني. شملت العينة بيانات عملاء البنوك، وتم تحليل العلاقة بين المتغيرات وتأثيرها على درجة المخاطر التي يمنحها النموذج لكل عميل.</w:t>
      </w:r>
    </w:p>
    <w:p w14:paraId="6D78503C" w14:textId="77777777" w:rsidR="001F78FE" w:rsidRPr="00281D95" w:rsidRDefault="001F78FE" w:rsidP="00C152DB">
      <w:pPr>
        <w:pStyle w:val="a9"/>
        <w:bidi/>
        <w:spacing w:line="360" w:lineRule="auto"/>
        <w:ind w:left="-2" w:firstLine="708"/>
        <w:jc w:val="both"/>
        <w:rPr>
          <w:rFonts w:ascii="Sakkal Majalla" w:hAnsi="Sakkal Majalla" w:cs="Sakkal Majalla"/>
          <w:sz w:val="28"/>
          <w:szCs w:val="28"/>
          <w:rtl/>
          <w:lang w:bidi="ar-EG"/>
        </w:rPr>
      </w:pPr>
      <w:r w:rsidRPr="00281D95">
        <w:rPr>
          <w:rFonts w:ascii="Sakkal Majalla" w:hAnsi="Sakkal Majalla" w:cs="Sakkal Majalla"/>
          <w:sz w:val="28"/>
          <w:szCs w:val="28"/>
          <w:rtl/>
        </w:rPr>
        <w:t>أظهرت النتائج أن استخدام نموذج الشبكات العصبية العميقة يسهم بشكل كبير في تحسين دقة التنبؤ بمخاطر الائتمان، مما يتيح للبنوك إدارة المخاطر بكفاءة أكبر وتقليل التكاليف المرتبطة بعمليات التقييم التقليدية. كما بينت الدراسة أن النموذج يساعد في تعزيز القدرة التنافسية للبنوك من خلال تطوير آليات ذكية لاتخاذ القرار. أوصت الدراسة بضرورة تبني تقنيات الذكاء الاصطناعي المتقدمة في تقييم المخاطر الائتمانية، تحسين نماذج التنبؤ الائتماني باستمرار من خلال تحديث قواعد البيانات، وتعزيز التكامل بين التحليل الإحصائي والتعلم العميق لتحقيق أقصى فاعلية ممكنة في إدارة الائتمان المصرفي.</w:t>
      </w:r>
    </w:p>
    <w:p w14:paraId="5839D93D" w14:textId="77777777" w:rsidR="004F4174" w:rsidRPr="00C152DB" w:rsidRDefault="004F4174" w:rsidP="002E6227">
      <w:pPr>
        <w:pStyle w:val="a6"/>
        <w:numPr>
          <w:ilvl w:val="0"/>
          <w:numId w:val="17"/>
        </w:numPr>
        <w:spacing w:before="100" w:beforeAutospacing="1" w:after="100" w:afterAutospacing="1" w:line="360" w:lineRule="auto"/>
        <w:ind w:left="423"/>
        <w:jc w:val="both"/>
        <w:rPr>
          <w:rFonts w:ascii="Sakkal Majalla" w:hAnsi="Sakkal Majalla" w:cs="Sakkal Majalla"/>
          <w:b/>
          <w:bCs/>
          <w:szCs w:val="28"/>
          <w:rtl/>
        </w:rPr>
      </w:pPr>
      <w:r w:rsidRPr="00C152DB">
        <w:rPr>
          <w:rFonts w:ascii="Sakkal Majalla" w:hAnsi="Sakkal Majalla" w:cs="Sakkal Majalla"/>
          <w:b/>
          <w:bCs/>
          <w:szCs w:val="28"/>
          <w:rtl/>
        </w:rPr>
        <w:t xml:space="preserve">دراسة </w:t>
      </w:r>
      <w:r w:rsidRPr="00C152DB">
        <w:rPr>
          <w:rFonts w:ascii="Sakkal Majalla" w:hAnsi="Sakkal Majalla" w:cs="Sakkal Majalla"/>
          <w:b/>
          <w:bCs/>
          <w:szCs w:val="28"/>
        </w:rPr>
        <w:t>Abu Rumman</w:t>
      </w:r>
      <w:r w:rsidRPr="00C152DB">
        <w:rPr>
          <w:rFonts w:ascii="Sakkal Majalla" w:hAnsi="Sakkal Majalla" w:cs="Sakkal Majalla"/>
          <w:b/>
          <w:bCs/>
          <w:szCs w:val="28"/>
          <w:rtl/>
        </w:rPr>
        <w:t xml:space="preserve"> (2020)</w:t>
      </w:r>
    </w:p>
    <w:p w14:paraId="1797F617" w14:textId="77777777" w:rsidR="004F4174" w:rsidRPr="00281D95" w:rsidRDefault="004F4174" w:rsidP="00C152DB">
      <w:pPr>
        <w:spacing w:before="100" w:beforeAutospacing="1" w:after="100" w:afterAutospacing="1" w:line="360" w:lineRule="auto"/>
        <w:ind w:left="-2" w:firstLine="708"/>
        <w:jc w:val="both"/>
        <w:rPr>
          <w:rFonts w:ascii="Sakkal Majalla" w:hAnsi="Sakkal Majalla" w:cs="Sakkal Majalla"/>
          <w:szCs w:val="28"/>
          <w:rtl/>
        </w:rPr>
      </w:pPr>
      <w:r w:rsidRPr="00281D95">
        <w:rPr>
          <w:rFonts w:ascii="Sakkal Majalla" w:hAnsi="Sakkal Majalla" w:cs="Sakkal Majalla"/>
          <w:szCs w:val="28"/>
          <w:rtl/>
        </w:rPr>
        <w:t>ركزت هذه الدراسة على تحليل أثر إدارة المشاريع على البحوث التعاونية، مع استكشاف الفروق بين الأساليب المتبعة في القطاع الصناعي وتلك المستخدمة في المؤسسات الأكاديمية. استخدمت الدراسة منهجية بحثية مختلطة، تضمنت جمع البيانات من خلال المسح والمقابلات التي أجريت مع متخصصين في المجال الصناعي وأكاديميين يشاركون في مشاريع بحثية تعاونية. أظهرت النتائج أن المؤسسات الصناعية تميل إلى إعطاء أولوية لعمليات المراقبة والتحكم أثناء تنفيذ المشاريع، بينما تركز الجامعات بشكل أكبر على مرحلة التخطيط. وأوصت الدراسة بضرورة تعزيز قنوات التواصل بين المؤسسات الأكاديمية والقطاع الصناعي، إضافة إلى اعتماد نهج أكثر مرونة في إدارة المشاريع البحثية لضمان تحقيق أقصى استفادة من التعاون بين الطرفين.</w:t>
      </w:r>
    </w:p>
    <w:p w14:paraId="3BC87DB0" w14:textId="77777777" w:rsidR="004F4174" w:rsidRPr="00C152DB" w:rsidRDefault="004F4174" w:rsidP="002E6227">
      <w:pPr>
        <w:pStyle w:val="a6"/>
        <w:numPr>
          <w:ilvl w:val="0"/>
          <w:numId w:val="17"/>
        </w:numPr>
        <w:spacing w:before="100" w:beforeAutospacing="1" w:after="100" w:afterAutospacing="1" w:line="360" w:lineRule="auto"/>
        <w:ind w:left="423"/>
        <w:jc w:val="both"/>
        <w:rPr>
          <w:rFonts w:ascii="Sakkal Majalla" w:hAnsi="Sakkal Majalla" w:cs="Sakkal Majalla"/>
          <w:b/>
          <w:bCs/>
          <w:szCs w:val="28"/>
          <w:rtl/>
        </w:rPr>
      </w:pPr>
      <w:r w:rsidRPr="00C152DB">
        <w:rPr>
          <w:rFonts w:ascii="Sakkal Majalla" w:hAnsi="Sakkal Majalla" w:cs="Sakkal Majalla"/>
          <w:b/>
          <w:bCs/>
          <w:szCs w:val="28"/>
          <w:rtl/>
        </w:rPr>
        <w:t xml:space="preserve">دراسة </w:t>
      </w:r>
      <w:r w:rsidRPr="00C152DB">
        <w:rPr>
          <w:rFonts w:ascii="Sakkal Majalla" w:hAnsi="Sakkal Majalla" w:cs="Sakkal Majalla"/>
          <w:b/>
          <w:bCs/>
          <w:szCs w:val="28"/>
        </w:rPr>
        <w:t>Abd El Halim</w:t>
      </w:r>
      <w:r w:rsidRPr="00C152DB">
        <w:rPr>
          <w:rFonts w:ascii="Sakkal Majalla" w:hAnsi="Sakkal Majalla" w:cs="Sakkal Majalla"/>
          <w:b/>
          <w:bCs/>
          <w:szCs w:val="28"/>
          <w:rtl/>
        </w:rPr>
        <w:t xml:space="preserve"> (2020)</w:t>
      </w:r>
    </w:p>
    <w:p w14:paraId="01F56515" w14:textId="77777777" w:rsidR="004F4174" w:rsidRPr="00281D95" w:rsidRDefault="004F4174" w:rsidP="00C152DB">
      <w:pPr>
        <w:spacing w:before="100" w:beforeAutospacing="1" w:after="100" w:afterAutospacing="1" w:line="360" w:lineRule="auto"/>
        <w:ind w:left="-2" w:firstLine="708"/>
        <w:jc w:val="both"/>
        <w:rPr>
          <w:rFonts w:ascii="Sakkal Majalla" w:hAnsi="Sakkal Majalla" w:cs="Sakkal Majalla"/>
          <w:szCs w:val="28"/>
          <w:rtl/>
        </w:rPr>
      </w:pPr>
      <w:r w:rsidRPr="00281D95">
        <w:rPr>
          <w:rFonts w:ascii="Sakkal Majalla" w:hAnsi="Sakkal Majalla" w:cs="Sakkal Majalla"/>
          <w:szCs w:val="28"/>
          <w:rtl/>
        </w:rPr>
        <w:t>هدفت هذه الدراسة إلى تقييم مدى استخدام أدوات إدارة المشاريع في كلية الإدارة والتكنولوجيا في مصر، من خلال تحليل مستوى الإلمام بهذه الأدوات ومدى تقبل الأفراد لتعلمها وتطبيقها في بيئة العمل. شملت الدراسة استهداف قادة فرق المشاريع، المشرفين، والمديرين، حيث تم تحليل البيانات باستخدام تقنيات الإحصاء الوصفي، اختبار الارتباط، وتحليل مربع كاي. كشفت النتائج أن تبني أدوات إدارة المشاريع يعتمد بشكل أساسي على العوامل الفردية التي تؤثر على قدرة الأفراد على التعلم والتطبيق، مما يشير إلى أهمية توفير بيئة تعليمية ملائمة لدعم ممارسات إدارة المشاريع في المؤسسات الأكاديمية.</w:t>
      </w:r>
    </w:p>
    <w:p w14:paraId="3E338622" w14:textId="77777777" w:rsidR="004F4174" w:rsidRPr="00C152DB" w:rsidRDefault="004F4174" w:rsidP="002E6227">
      <w:pPr>
        <w:pStyle w:val="a6"/>
        <w:numPr>
          <w:ilvl w:val="0"/>
          <w:numId w:val="17"/>
        </w:numPr>
        <w:spacing w:before="100" w:beforeAutospacing="1" w:after="100" w:afterAutospacing="1" w:line="360" w:lineRule="auto"/>
        <w:ind w:left="423"/>
        <w:jc w:val="both"/>
        <w:rPr>
          <w:rFonts w:ascii="Sakkal Majalla" w:hAnsi="Sakkal Majalla" w:cs="Sakkal Majalla"/>
          <w:b/>
          <w:bCs/>
          <w:szCs w:val="28"/>
          <w:rtl/>
        </w:rPr>
      </w:pPr>
      <w:r w:rsidRPr="00C152DB">
        <w:rPr>
          <w:rFonts w:ascii="Sakkal Majalla" w:hAnsi="Sakkal Majalla" w:cs="Sakkal Majalla"/>
          <w:b/>
          <w:bCs/>
          <w:szCs w:val="28"/>
          <w:rtl/>
        </w:rPr>
        <w:t xml:space="preserve">دراسة </w:t>
      </w:r>
      <w:r w:rsidRPr="00C152DB">
        <w:rPr>
          <w:rFonts w:ascii="Sakkal Majalla" w:hAnsi="Sakkal Majalla" w:cs="Sakkal Majalla"/>
          <w:b/>
          <w:bCs/>
          <w:szCs w:val="28"/>
        </w:rPr>
        <w:t>Al-Raymouni</w:t>
      </w:r>
      <w:r w:rsidRPr="00C152DB">
        <w:rPr>
          <w:rFonts w:ascii="Sakkal Majalla" w:hAnsi="Sakkal Majalla" w:cs="Sakkal Majalla"/>
          <w:b/>
          <w:bCs/>
          <w:szCs w:val="28"/>
          <w:rtl/>
        </w:rPr>
        <w:t xml:space="preserve"> (2020)</w:t>
      </w:r>
    </w:p>
    <w:p w14:paraId="75D315DE" w14:textId="77777777" w:rsidR="004F4174" w:rsidRPr="00281D95" w:rsidRDefault="004F4174" w:rsidP="00C152DB">
      <w:pPr>
        <w:spacing w:before="100" w:beforeAutospacing="1" w:after="100" w:afterAutospacing="1" w:line="360" w:lineRule="auto"/>
        <w:ind w:left="-2" w:firstLine="708"/>
        <w:jc w:val="both"/>
        <w:rPr>
          <w:rFonts w:ascii="Sakkal Majalla" w:hAnsi="Sakkal Majalla" w:cs="Sakkal Majalla"/>
          <w:szCs w:val="28"/>
          <w:rtl/>
        </w:rPr>
      </w:pPr>
      <w:r w:rsidRPr="00281D95">
        <w:rPr>
          <w:rFonts w:ascii="Sakkal Majalla" w:hAnsi="Sakkal Majalla" w:cs="Sakkal Majalla"/>
          <w:szCs w:val="28"/>
          <w:rtl/>
        </w:rPr>
        <w:t>تناولت هذه الدراسة تطبيق الإدارة الرشيقة للمشاريع في قطاع الإنشاءات بالأردن، مع تحليل العوامل التي تساهم في تبني هذه الممارسات أو تعيق تنفيذها. اعتمدت الدراسة على إجراء مسح ميداني ومقابلات مع مديري المشاريع، وخلصت إلى أن الإدارة الرشيقة بمفردها غير كافية لإدارة المشاريع الإنشائية بفعالية، مما يستدعي تبني نموذج إداري هجين يجمع بين الإدارة التقليدية والرشيقة. وأوصت الدراسة بضرورة الانتقال التدريجي نحو الإدارة الهجينة للمشاريع، مع تعزيز مبدأ الثقة والشفافية في عقود المشاريع الإنشائية لضمان نجاح تطبيق هذه الاستراتيجيات.</w:t>
      </w:r>
    </w:p>
    <w:p w14:paraId="3DFAE3AE" w14:textId="77777777" w:rsidR="004F4174" w:rsidRPr="00C152DB" w:rsidRDefault="004F4174" w:rsidP="002E6227">
      <w:pPr>
        <w:pStyle w:val="a6"/>
        <w:numPr>
          <w:ilvl w:val="0"/>
          <w:numId w:val="17"/>
        </w:numPr>
        <w:spacing w:before="100" w:beforeAutospacing="1" w:after="100" w:afterAutospacing="1" w:line="360" w:lineRule="auto"/>
        <w:ind w:left="423"/>
        <w:jc w:val="both"/>
        <w:rPr>
          <w:rFonts w:ascii="Sakkal Majalla" w:hAnsi="Sakkal Majalla" w:cs="Sakkal Majalla"/>
          <w:b/>
          <w:bCs/>
          <w:szCs w:val="28"/>
          <w:rtl/>
        </w:rPr>
      </w:pPr>
      <w:r w:rsidRPr="00C152DB">
        <w:rPr>
          <w:rFonts w:ascii="Sakkal Majalla" w:hAnsi="Sakkal Majalla" w:cs="Sakkal Majalla"/>
          <w:b/>
          <w:bCs/>
          <w:szCs w:val="28"/>
          <w:rtl/>
        </w:rPr>
        <w:t xml:space="preserve">دراسة </w:t>
      </w:r>
      <w:r w:rsidRPr="00C152DB">
        <w:rPr>
          <w:rFonts w:ascii="Sakkal Majalla" w:hAnsi="Sakkal Majalla" w:cs="Sakkal Majalla"/>
          <w:b/>
          <w:bCs/>
          <w:szCs w:val="28"/>
        </w:rPr>
        <w:t>Alshehhi</w:t>
      </w:r>
      <w:r w:rsidRPr="00C152DB">
        <w:rPr>
          <w:rFonts w:ascii="Sakkal Majalla" w:hAnsi="Sakkal Majalla" w:cs="Sakkal Majalla"/>
          <w:b/>
          <w:bCs/>
          <w:szCs w:val="28"/>
          <w:rtl/>
        </w:rPr>
        <w:t xml:space="preserve"> (2024)</w:t>
      </w:r>
    </w:p>
    <w:p w14:paraId="7D36B7F2" w14:textId="77777777" w:rsidR="004F4174" w:rsidRPr="00281D95" w:rsidRDefault="004F4174" w:rsidP="00C152DB">
      <w:pPr>
        <w:spacing w:before="100" w:beforeAutospacing="1" w:after="100" w:afterAutospacing="1" w:line="360" w:lineRule="auto"/>
        <w:ind w:left="-2" w:firstLine="708"/>
        <w:jc w:val="both"/>
        <w:rPr>
          <w:rFonts w:ascii="Sakkal Majalla" w:hAnsi="Sakkal Majalla" w:cs="Sakkal Majalla"/>
          <w:szCs w:val="28"/>
          <w:rtl/>
        </w:rPr>
      </w:pPr>
      <w:r w:rsidRPr="00281D95">
        <w:rPr>
          <w:rFonts w:ascii="Sakkal Majalla" w:hAnsi="Sakkal Majalla" w:cs="Sakkal Majalla"/>
          <w:szCs w:val="28"/>
          <w:rtl/>
        </w:rPr>
        <w:t>هدفت الدراسة إلى استكشاف دور إدارة المخاطر بأبعادها المختلفة في تعزيز كفاءة تنفيذ المشاريع الإنشائية، وذلك من خلال تحديد المخاطر المحتملة وتصنيفها، مع التركيز على الاستراتيجيات الاستباقية في إدارة المخاطر. تضمنت الدراسة تحليل تأثير أبعاد إدارة المخاطر، مثل المخاطر الفنية، اللوجستية، المالية، والبشرية، على أداء المشاريع الإنشائية. كما تم تسليط الضوء على التحديات التي يواجهها قطاع البناء نتيجة ضعف ممارسات إدارة المخاطر. أظهرت النتائج أن التحديد المبكر للمخاطر يرتبط بشكل إيجابي بزيادة كفاءة المشاريع، حيث تحقق المشاريع التي تعتمد على استراتيجيات إدارة مخاطر استباقية معدلات أقل من التعطيل وقدرة أكبر على التكيف مع التحديات غير المتوقعة. اعتمدت الدراسة على المنهج الوصفي التحليلي، باستخدام التحليل المقارن لأساليب إدارة المخاطر المختلفة، وتم جمع البيانات عبر استبيانات ومقابلات مع أصحاب المصلحة في المشاريع الإنشائية، بمن فيهم المهندسون، مدراء المشاريع، والمخططون. كما تم تحليل البيانات باستخدام أدوات إحصائية لقياس تأثير إدارة المخاطر على معدلات التأخير وتجاوز التكاليف في المشاريع الإنشائية.</w:t>
      </w:r>
    </w:p>
    <w:p w14:paraId="373BC6C3" w14:textId="77777777" w:rsidR="004F4174" w:rsidRPr="00C152DB" w:rsidRDefault="004F4174" w:rsidP="002E6227">
      <w:pPr>
        <w:pStyle w:val="a6"/>
        <w:numPr>
          <w:ilvl w:val="0"/>
          <w:numId w:val="17"/>
        </w:numPr>
        <w:spacing w:before="100" w:beforeAutospacing="1" w:after="100" w:afterAutospacing="1" w:line="360" w:lineRule="auto"/>
        <w:ind w:left="423"/>
        <w:jc w:val="both"/>
        <w:rPr>
          <w:rFonts w:ascii="Sakkal Majalla" w:hAnsi="Sakkal Majalla" w:cs="Sakkal Majalla"/>
          <w:b/>
          <w:bCs/>
          <w:szCs w:val="28"/>
          <w:rtl/>
        </w:rPr>
      </w:pPr>
      <w:r w:rsidRPr="00C152DB">
        <w:rPr>
          <w:rFonts w:ascii="Sakkal Majalla" w:hAnsi="Sakkal Majalla" w:cs="Sakkal Majalla"/>
          <w:b/>
          <w:bCs/>
          <w:szCs w:val="28"/>
          <w:rtl/>
        </w:rPr>
        <w:t xml:space="preserve">دراسة </w:t>
      </w:r>
      <w:r w:rsidRPr="00C152DB">
        <w:rPr>
          <w:rFonts w:ascii="Sakkal Majalla" w:hAnsi="Sakkal Majalla" w:cs="Sakkal Majalla"/>
          <w:b/>
          <w:bCs/>
          <w:szCs w:val="28"/>
        </w:rPr>
        <w:t>Alshehhi et al</w:t>
      </w:r>
      <w:r w:rsidRPr="00C152DB">
        <w:rPr>
          <w:rFonts w:ascii="Sakkal Majalla" w:hAnsi="Sakkal Majalla" w:cs="Sakkal Majalla"/>
          <w:b/>
          <w:bCs/>
          <w:szCs w:val="28"/>
          <w:rtl/>
        </w:rPr>
        <w:t>. (2024)</w:t>
      </w:r>
    </w:p>
    <w:p w14:paraId="6D49D225" w14:textId="77777777" w:rsidR="004F4174" w:rsidRPr="00281D95" w:rsidRDefault="004F4174" w:rsidP="00C152DB">
      <w:pPr>
        <w:spacing w:before="100" w:beforeAutospacing="1" w:after="100" w:afterAutospacing="1" w:line="360" w:lineRule="auto"/>
        <w:ind w:left="-2" w:firstLine="708"/>
        <w:jc w:val="both"/>
        <w:rPr>
          <w:rFonts w:ascii="Sakkal Majalla" w:hAnsi="Sakkal Majalla" w:cs="Sakkal Majalla"/>
          <w:szCs w:val="28"/>
          <w:rtl/>
        </w:rPr>
      </w:pPr>
      <w:r w:rsidRPr="00281D95">
        <w:rPr>
          <w:rFonts w:ascii="Sakkal Majalla" w:hAnsi="Sakkal Majalla" w:cs="Sakkal Majalla"/>
          <w:szCs w:val="28"/>
          <w:rtl/>
        </w:rPr>
        <w:t>ناقشت هذه الدراسة دور إدارة المخاطر في تحسين كفاءة تنفيذ المشاريع الإنشائية، مع التركيز على تصنيف المخاطر المحتملة واعتماد استراتيجيات استباقية للتعامل معها. شملت الدراسة تقييم أبعاد المخاطر المختلفة، بما في ذلك المخاطر الفنية، اللوجستية، المالية، والبشرية، وتأثيرها على الأداء العام للمشاريع. أكدت النتائج أن قلة الاهتمام بممارسات إدارة المخاطر تؤثر سلبًا على سير العمل في المشاريع الإنشائية، في حين أن التحديد المبكر للمخاطر يؤدي إلى تقليل التعطيل وتحسين قدرة المشاريع على مواجهة التحديات غير المتوقعة. استخدمت الدراسة المنهج الوصفي التحليلي، مع جمع البيانات من خلال استبيانات ومقابلات أجريت مع مهندسين، مديري مشاريع، ومخططي بناء، بالإضافة إلى تحليل البيانات باستخدام الأساليب الإحصائية المختلفة لقياس تأثير إدارة المخاطر على معدلات التأخير وتجاوز التكاليف.</w:t>
      </w:r>
    </w:p>
    <w:p w14:paraId="0E21C667" w14:textId="77777777" w:rsidR="005675FE" w:rsidRPr="00281D95" w:rsidRDefault="005675FE" w:rsidP="00281D95">
      <w:pPr>
        <w:spacing w:before="100" w:beforeAutospacing="1" w:after="100" w:afterAutospacing="1" w:line="360" w:lineRule="auto"/>
        <w:jc w:val="both"/>
        <w:rPr>
          <w:rFonts w:ascii="Sakkal Majalla" w:hAnsi="Sakkal Majalla" w:cs="Sakkal Majalla"/>
          <w:szCs w:val="28"/>
          <w:rtl/>
        </w:rPr>
      </w:pPr>
    </w:p>
    <w:p w14:paraId="440FC5C2" w14:textId="31E08A2E" w:rsidR="004F4174" w:rsidRPr="00C152DB" w:rsidRDefault="004F4174" w:rsidP="002E6227">
      <w:pPr>
        <w:pStyle w:val="a6"/>
        <w:numPr>
          <w:ilvl w:val="0"/>
          <w:numId w:val="17"/>
        </w:numPr>
        <w:spacing w:before="100" w:beforeAutospacing="1" w:after="100" w:afterAutospacing="1" w:line="360" w:lineRule="auto"/>
        <w:ind w:left="423"/>
        <w:jc w:val="both"/>
        <w:rPr>
          <w:rFonts w:ascii="Sakkal Majalla" w:hAnsi="Sakkal Majalla" w:cs="Sakkal Majalla"/>
          <w:b/>
          <w:bCs/>
          <w:szCs w:val="28"/>
          <w:rtl/>
        </w:rPr>
      </w:pPr>
      <w:r w:rsidRPr="00C152DB">
        <w:rPr>
          <w:rFonts w:ascii="Sakkal Majalla" w:hAnsi="Sakkal Majalla" w:cs="Sakkal Majalla"/>
          <w:b/>
          <w:bCs/>
          <w:szCs w:val="28"/>
          <w:rtl/>
        </w:rPr>
        <w:t xml:space="preserve">دراسة </w:t>
      </w:r>
      <w:r w:rsidRPr="00C152DB">
        <w:rPr>
          <w:rFonts w:ascii="Sakkal Majalla" w:hAnsi="Sakkal Majalla" w:cs="Sakkal Majalla"/>
          <w:b/>
          <w:bCs/>
          <w:szCs w:val="28"/>
        </w:rPr>
        <w:t>Rehman &amp; Ishak</w:t>
      </w:r>
      <w:r w:rsidRPr="00C152DB">
        <w:rPr>
          <w:rFonts w:ascii="Sakkal Majalla" w:hAnsi="Sakkal Majalla" w:cs="Sakkal Majalla"/>
          <w:b/>
          <w:bCs/>
          <w:szCs w:val="28"/>
          <w:rtl/>
        </w:rPr>
        <w:t xml:space="preserve"> (2023)</w:t>
      </w:r>
    </w:p>
    <w:p w14:paraId="43CC4B7A" w14:textId="77777777" w:rsidR="004F4174" w:rsidRPr="00281D95" w:rsidRDefault="004F4174" w:rsidP="00C152DB">
      <w:pPr>
        <w:spacing w:before="100" w:beforeAutospacing="1" w:after="100" w:afterAutospacing="1" w:line="360" w:lineRule="auto"/>
        <w:ind w:left="-2" w:firstLine="708"/>
        <w:jc w:val="both"/>
        <w:rPr>
          <w:rFonts w:ascii="Sakkal Majalla" w:hAnsi="Sakkal Majalla" w:cs="Sakkal Majalla"/>
          <w:szCs w:val="28"/>
          <w:rtl/>
        </w:rPr>
      </w:pPr>
      <w:r w:rsidRPr="00281D95">
        <w:rPr>
          <w:rFonts w:ascii="Sakkal Majalla" w:hAnsi="Sakkal Majalla" w:cs="Sakkal Majalla"/>
          <w:szCs w:val="28"/>
          <w:rtl/>
        </w:rPr>
        <w:t>ركزت هذه الدراسة على تحليل مستوى إدارة المخاطر في قطاع الإنشاءات بالمملكة العربية السعودية، مع تقييم مدى تأثير العوامل المرتبطة بالمخاطر الإنشائية، مثل العمالة، المعدات، المواد، التصميم، والجوانب المالية والإدارية، على أداء المقاولين وانعكاسها على التأخيرات الزمنية وتجاوز التكاليف. كما تناولت الدراسة المخاطر الناتجة عن تغير نطاق المشروع، النزاعات، التخلي عن المشاريع، وضعف جودة التنفيذ، وعدم كفاءة إدارة الموقع ونقص مهارات المقاولين كأبرز التحديات التي تواجه قطاع الإنشاءات في المملكة. اعتمدت الدراسة على المنهج الوصفي التحليلي، حيث تم تحليل بيانات 303 من كبرى شركات المقاولات التي تضم أكثر من 250 موظفًا، باستخدام الإحصاء الوصفي، تحليل التعدد الخطي، وتحليل التباين المشترك (</w:t>
      </w:r>
      <w:r w:rsidRPr="00281D95">
        <w:rPr>
          <w:rFonts w:ascii="Sakkal Majalla" w:hAnsi="Sakkal Majalla" w:cs="Sakkal Majalla"/>
          <w:szCs w:val="28"/>
        </w:rPr>
        <w:t>CMV</w:t>
      </w:r>
      <w:r w:rsidRPr="00281D95">
        <w:rPr>
          <w:rFonts w:ascii="Sakkal Majalla" w:hAnsi="Sakkal Majalla" w:cs="Sakkal Majalla"/>
          <w:szCs w:val="28"/>
          <w:rtl/>
        </w:rPr>
        <w:t>). كما تم تطبيق تقنية مؤشر الأهمية النسبية (</w:t>
      </w:r>
      <w:r w:rsidRPr="00281D95">
        <w:rPr>
          <w:rFonts w:ascii="Sakkal Majalla" w:hAnsi="Sakkal Majalla" w:cs="Sakkal Majalla"/>
          <w:szCs w:val="28"/>
        </w:rPr>
        <w:t>RII</w:t>
      </w:r>
      <w:r w:rsidRPr="00281D95">
        <w:rPr>
          <w:rFonts w:ascii="Sakkal Majalla" w:hAnsi="Sakkal Majalla" w:cs="Sakkal Majalla"/>
          <w:szCs w:val="28"/>
          <w:rtl/>
        </w:rPr>
        <w:t>) لتحديد العوامل الأكثر تأثيرًا في إدارة المخاطر. أظهرت النتائج أن متوسط مستوى إدارة المخاطر في قطاع الإنشاءات في المملكة العربية السعودية بلغ 2.587، وهو ما يشير إلى تصنيف متوسط، مع تحديد أهم العوامل المؤثرة، مثل عمليات التفتيش على السلامة، التعديلات على العقود، نقل المواد، الخسائر المالية، ومراقبة الجودة. وأوصت الدراسة بضرورة تطوير استراتيجيات أكثر فاعلية لإدارة المخاطر في قطاع المقاولات، من خلال وضع معايير مرجعية لتحسين الأداء وتعزيز قدرة المقاولين على التعامل مع المخاطر المحتملة في مشاريع البناء.</w:t>
      </w:r>
    </w:p>
    <w:p w14:paraId="6579D934" w14:textId="3897B274" w:rsidR="00C152DB" w:rsidRPr="00C152DB" w:rsidRDefault="00C152DB" w:rsidP="00C152DB">
      <w:pPr>
        <w:spacing w:before="100" w:beforeAutospacing="1" w:after="100" w:afterAutospacing="1" w:line="360" w:lineRule="auto"/>
        <w:jc w:val="both"/>
        <w:outlineLvl w:val="1"/>
        <w:rPr>
          <w:rFonts w:ascii="Sakkal Majalla" w:hAnsi="Sakkal Majalla" w:cs="Sakkal Majalla"/>
          <w:b/>
          <w:bCs/>
          <w:sz w:val="36"/>
          <w:szCs w:val="36"/>
          <w:rtl/>
        </w:rPr>
      </w:pPr>
      <w:bookmarkStart w:id="19" w:name="_Toc200849148"/>
      <w:bookmarkStart w:id="20" w:name="_Toc169790501"/>
      <w:bookmarkEnd w:id="16"/>
      <w:bookmarkEnd w:id="18"/>
      <w:r w:rsidRPr="00C152DB">
        <w:rPr>
          <w:rFonts w:ascii="Sakkal Majalla" w:hAnsi="Sakkal Majalla" w:cs="Sakkal Majalla"/>
          <w:b/>
          <w:bCs/>
          <w:sz w:val="36"/>
          <w:szCs w:val="36"/>
          <w:rtl/>
        </w:rPr>
        <w:t>7.1 الفجوة البحثية:</w:t>
      </w:r>
      <w:bookmarkEnd w:id="19"/>
    </w:p>
    <w:p w14:paraId="1C526236" w14:textId="3E9D104E" w:rsidR="006237B3" w:rsidRPr="00281D95" w:rsidRDefault="006237B3"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تتشارك الدراسة الحالية مع الدراسات السابقة في هدفها العام المتمثل في تحليل إدارة مخاطر الائتمان، حيث تسعى جميع الأبحاث السابقة إلى دراسة تأثير العوامل المختلفة على قدرة المؤسسات المالية على تقييم المخاطر واتخاذ قرارات ائتمانية أكثر دقة واستدامة. كما تتفق هذه الدراسات في اعتمادها على المنهج الوصفي التحليلي، الذي يعتمد على دراسة البيانات المالية والائتمانية وتحليل الأنماط المختلفة المرتبطة بالمخاطر المالية</w:t>
      </w:r>
      <w:r w:rsidR="00E57A9E" w:rsidRPr="00281D95">
        <w:rPr>
          <w:rFonts w:ascii="Sakkal Majalla" w:hAnsi="Sakkal Majalla" w:cs="Sakkal Majalla"/>
          <w:szCs w:val="28"/>
          <w:rtl/>
        </w:rPr>
        <w:t xml:space="preserve"> و</w:t>
      </w:r>
      <w:r w:rsidRPr="00281D95">
        <w:rPr>
          <w:rFonts w:ascii="Sakkal Majalla" w:hAnsi="Sakkal Majalla" w:cs="Sakkal Majalla"/>
          <w:szCs w:val="28"/>
          <w:rtl/>
        </w:rPr>
        <w:t xml:space="preserve"> تشترك الدراسة الحالية مع الأبحاث السابقة في بيئة التطبيق</w:t>
      </w:r>
      <w:r w:rsidR="00E57A9E" w:rsidRPr="00281D95">
        <w:rPr>
          <w:rFonts w:ascii="Sakkal Majalla" w:hAnsi="Sakkal Majalla" w:cs="Sakkal Majalla"/>
          <w:szCs w:val="28"/>
          <w:rtl/>
        </w:rPr>
        <w:t xml:space="preserve"> </w:t>
      </w:r>
      <w:r w:rsidRPr="00281D95">
        <w:rPr>
          <w:rFonts w:ascii="Sakkal Majalla" w:hAnsi="Sakkal Majalla" w:cs="Sakkal Majalla"/>
          <w:szCs w:val="28"/>
          <w:rtl/>
        </w:rPr>
        <w:t xml:space="preserve"> حيث تركز معظم الدراسات على القطاع المصرفي، باعتباره البيئة الأكثر تأثرًا بتقلبات المخاطر الائتمانية، مما يجعل تقييم هذه المخاطر أمرًا ضروريًا للحفاظ على الاستقرار المالي وتقليل حالات التعثر في السداد. كذلك، تتقاطع الأبعاد التي تناولتها الأبحاث السابقة مع الدراسة الحالية، حيث يتم التركيز على الجوانب المالية والاقتصادية والتنظيمية، مع الاهتمام بتأثيرها على جودة القرارات الائتمانية وتعزيز قدرة المؤسسات المالية على مواجهة التحديات المرتبطة بالمخاطر الائتمانية</w:t>
      </w:r>
      <w:r w:rsidRPr="00281D95">
        <w:rPr>
          <w:rFonts w:ascii="Sakkal Majalla" w:hAnsi="Sakkal Majalla" w:cs="Sakkal Majalla"/>
          <w:szCs w:val="28"/>
        </w:rPr>
        <w:t>.</w:t>
      </w:r>
    </w:p>
    <w:p w14:paraId="1F8E5FC6" w14:textId="5E247DB4" w:rsidR="006237B3" w:rsidRPr="00281D95" w:rsidRDefault="006237B3"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تختلف </w:t>
      </w:r>
      <w:r w:rsidR="00E57A9E" w:rsidRPr="00281D95">
        <w:rPr>
          <w:rFonts w:ascii="Sakkal Majalla" w:hAnsi="Sakkal Majalla" w:cs="Sakkal Majalla"/>
          <w:szCs w:val="28"/>
          <w:rtl/>
        </w:rPr>
        <w:t xml:space="preserve">الدراسة الحالية </w:t>
      </w:r>
      <w:r w:rsidRPr="00281D95">
        <w:rPr>
          <w:rFonts w:ascii="Sakkal Majalla" w:hAnsi="Sakkal Majalla" w:cs="Sakkal Majalla"/>
          <w:szCs w:val="28"/>
          <w:rtl/>
        </w:rPr>
        <w:t xml:space="preserve">عن الدراسات السابقة من حيث نطاق التحليل والتركيز على التكامل بين الأبعاد المختلفة لمخاطر الائتمان وتأثيرها على جودة القرارات الائتمانية. بينما ركزت معظم الأبحاث السابقة على أحد الأبعاد بشكل مستقل، مثل تأثير العوامل المالية أو التنظيمية على المخاطر الائتمانية، تسعى الدراسة الحالية إلى تقديم تحليل شامل يدمج بين البعد المالي، والبعد الاقتصادي، والبعد القانوني والتنظيمي، والبعد الاستراتيجي، في إطار موحد يوضح كيفية تفاعل هذه العوامل مجتمعة في تحسين جودة القرارات الائتمانية في </w:t>
      </w:r>
      <w:r w:rsidR="008B0E78" w:rsidRPr="00281D95">
        <w:rPr>
          <w:rFonts w:ascii="Sakkal Majalla" w:hAnsi="Sakkal Majalla" w:cs="Sakkal Majalla"/>
          <w:szCs w:val="28"/>
          <w:rtl/>
        </w:rPr>
        <w:t xml:space="preserve"> البنوك التجارية       </w:t>
      </w:r>
      <w:r w:rsidRPr="00281D95">
        <w:rPr>
          <w:rFonts w:ascii="Sakkal Majalla" w:hAnsi="Sakkal Majalla" w:cs="Sakkal Majalla"/>
          <w:szCs w:val="28"/>
          <w:rtl/>
        </w:rPr>
        <w:t>. يساهم هذا النهج في تقديم رؤية أكثر شمولية حول كيفية تأثير هذه الأبعاد على قدرة المؤسسات المصرفية على اتخاذ قرارات أكثر دقة واستدامة</w:t>
      </w:r>
      <w:r w:rsidRPr="00281D95">
        <w:rPr>
          <w:rFonts w:ascii="Sakkal Majalla" w:hAnsi="Sakkal Majalla" w:cs="Sakkal Majalla"/>
          <w:szCs w:val="28"/>
        </w:rPr>
        <w:t>.</w:t>
      </w:r>
    </w:p>
    <w:p w14:paraId="33FD0493" w14:textId="0AE1C610" w:rsidR="006237B3" w:rsidRPr="00281D95" w:rsidRDefault="006237B3"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كما أن معظم الدراسات السابقة اعتمدت على استخدام النماذج التقليدية في تقييم مخاطر الائتمان</w:t>
      </w:r>
      <w:r w:rsidR="001846F5" w:rsidRPr="00281D95">
        <w:rPr>
          <w:rFonts w:ascii="Sakkal Majalla" w:hAnsi="Sakkal Majalla" w:cs="Sakkal Majalla"/>
          <w:szCs w:val="28"/>
          <w:rtl/>
        </w:rPr>
        <w:t xml:space="preserve"> </w:t>
      </w:r>
      <w:r w:rsidRPr="00281D95">
        <w:rPr>
          <w:rFonts w:ascii="Sakkal Majalla" w:hAnsi="Sakkal Majalla" w:cs="Sakkal Majalla"/>
          <w:szCs w:val="28"/>
          <w:rtl/>
        </w:rPr>
        <w:t xml:space="preserve"> مثل التحليل المالي الإحصائي والقياسات النسبية، دون أن تأخذ بعين الاعتبار التطورات الحديثة في أنظمة إدارة المخاطر، مثل التقنيات المتقدمة في تحليل البيانات الضخمة والذكاء الاصطناعي. في المقابل، تسعى الدراسة الحالية إلى إدخال هذه التطورات كجزء من إطار التحليل، مما يمكن من تحقيق دقة أكبر في التقييمات الائتمانية وتحليل تأثير العوامل المتداخلة التي لم يتم دراستها بشكل موسع في الأبحاث السابقة</w:t>
      </w:r>
      <w:r w:rsidRPr="00281D95">
        <w:rPr>
          <w:rFonts w:ascii="Sakkal Majalla" w:hAnsi="Sakkal Majalla" w:cs="Sakkal Majalla"/>
          <w:szCs w:val="28"/>
        </w:rPr>
        <w:t>.</w:t>
      </w:r>
    </w:p>
    <w:p w14:paraId="0CA5467C" w14:textId="12D7A071" w:rsidR="006237B3" w:rsidRPr="00281D95" w:rsidRDefault="001846F5"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 </w:t>
      </w:r>
      <w:r w:rsidR="006237B3" w:rsidRPr="00281D95">
        <w:rPr>
          <w:rFonts w:ascii="Sakkal Majalla" w:hAnsi="Sakkal Majalla" w:cs="Sakkal Majalla"/>
          <w:szCs w:val="28"/>
          <w:rtl/>
        </w:rPr>
        <w:t xml:space="preserve"> تهتم الدراسة الحالية بتقديم نموذج عملي لتقييم مخاطر الائتمان في </w:t>
      </w:r>
      <w:r w:rsidR="008B0E78" w:rsidRPr="00281D95">
        <w:rPr>
          <w:rFonts w:ascii="Sakkal Majalla" w:hAnsi="Sakkal Majalla" w:cs="Sakkal Majalla"/>
          <w:szCs w:val="28"/>
          <w:rtl/>
        </w:rPr>
        <w:t xml:space="preserve"> البنوك التجارية       </w:t>
      </w:r>
      <w:r w:rsidRPr="00281D95">
        <w:rPr>
          <w:rFonts w:ascii="Sakkal Majalla" w:hAnsi="Sakkal Majalla" w:cs="Sakkal Majalla"/>
          <w:szCs w:val="28"/>
          <w:rtl/>
        </w:rPr>
        <w:t xml:space="preserve"> </w:t>
      </w:r>
      <w:r w:rsidR="006237B3" w:rsidRPr="00281D95">
        <w:rPr>
          <w:rFonts w:ascii="Sakkal Majalla" w:hAnsi="Sakkal Majalla" w:cs="Sakkal Majalla"/>
          <w:szCs w:val="28"/>
          <w:rtl/>
        </w:rPr>
        <w:t xml:space="preserve">وهو ما يميزها عن الدراسات التي اعتمدت على مناهج نظرية أو حالات دراسية عامة لمجموعة من البنوك دون التركيز على مؤسسة مصرفية بعينها. من خلال تحليل تأثير الأبعاد المختلفة على القرارات الائتمانية في </w:t>
      </w:r>
      <w:r w:rsidR="008B0E78" w:rsidRPr="00281D95">
        <w:rPr>
          <w:rFonts w:ascii="Sakkal Majalla" w:hAnsi="Sakkal Majalla" w:cs="Sakkal Majalla"/>
          <w:szCs w:val="28"/>
          <w:rtl/>
        </w:rPr>
        <w:t xml:space="preserve"> البنوك التجارية       </w:t>
      </w:r>
      <w:r w:rsidR="006237B3" w:rsidRPr="00281D95">
        <w:rPr>
          <w:rFonts w:ascii="Sakkal Majalla" w:hAnsi="Sakkal Majalla" w:cs="Sakkal Majalla"/>
          <w:szCs w:val="28"/>
          <w:rtl/>
        </w:rPr>
        <w:t>، تقدم الدراسة نموذجًا تطبيقيًا يمكن أن يساهم في تطوير سياسات الائتمان داخل البنك، ويقدم توصيات مباشرة تستند إلى بيانات واقعية يمكن تطبيقها عمليًا لتحسين كفاءة اتخاذ القرار وتقليل احتمالات التعثر</w:t>
      </w:r>
      <w:r w:rsidR="006237B3" w:rsidRPr="00281D95">
        <w:rPr>
          <w:rFonts w:ascii="Sakkal Majalla" w:hAnsi="Sakkal Majalla" w:cs="Sakkal Majalla"/>
          <w:szCs w:val="28"/>
        </w:rPr>
        <w:t>.</w:t>
      </w:r>
    </w:p>
    <w:p w14:paraId="3B8DB6AC" w14:textId="3A93A1BA" w:rsidR="006237B3" w:rsidRPr="00281D95" w:rsidRDefault="006237B3"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ومن الفجوات البحثية التي تسدها هذه الدراسة أن معظم الدراسات السابقة تناولت المخاطر الائتمانية من منظور يركز على الحد من الخسائر وتحقيق الامتثال التنظيمي، دون التركيز على كيفية استخدام إدارة المخاطر كأداة استراتيجية لتحسين الأداء الائتماني وتعزيز القدرة التنافسية للمؤسسات المصرفية. بينما تهدف الدراسة الحالية إلى تجاوز هذه المحدودية من خلال إبراز كيف يمكن ل</w:t>
      </w:r>
      <w:r w:rsidR="008B0E78" w:rsidRPr="00281D95">
        <w:rPr>
          <w:rFonts w:ascii="Sakkal Majalla" w:hAnsi="Sakkal Majalla" w:cs="Sakkal Majalla"/>
          <w:szCs w:val="28"/>
          <w:rtl/>
        </w:rPr>
        <w:t xml:space="preserve"> البنوك التجارية       </w:t>
      </w:r>
      <w:r w:rsidRPr="00281D95">
        <w:rPr>
          <w:rFonts w:ascii="Sakkal Majalla" w:hAnsi="Sakkal Majalla" w:cs="Sakkal Majalla"/>
          <w:szCs w:val="28"/>
          <w:rtl/>
        </w:rPr>
        <w:t xml:space="preserve"> استخدام إدارة مخاطر الائتمان كأداة لتحسين جودة القرارات الائتمانية، ليس فقط من خلال تجنب المخاطر، ولكن أيضًا من خلال استغلال التحليل المتقدم للمخاطر في تحسين استراتيجيات الإقراض وزيادة الربحية على المدى الطويل</w:t>
      </w:r>
      <w:r w:rsidRPr="00281D95">
        <w:rPr>
          <w:rFonts w:ascii="Sakkal Majalla" w:hAnsi="Sakkal Majalla" w:cs="Sakkal Majalla"/>
          <w:szCs w:val="28"/>
        </w:rPr>
        <w:t>.</w:t>
      </w:r>
    </w:p>
    <w:p w14:paraId="46A5C418" w14:textId="20AB1A3B" w:rsidR="006237B3" w:rsidRPr="00281D95" w:rsidRDefault="006237B3"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في ضوء ما سبق</w:t>
      </w:r>
      <w:r w:rsidR="001846F5" w:rsidRPr="00281D95">
        <w:rPr>
          <w:rFonts w:ascii="Sakkal Majalla" w:hAnsi="Sakkal Majalla" w:cs="Sakkal Majalla"/>
          <w:szCs w:val="28"/>
          <w:rtl/>
        </w:rPr>
        <w:t xml:space="preserve"> </w:t>
      </w:r>
      <w:r w:rsidRPr="00281D95">
        <w:rPr>
          <w:rFonts w:ascii="Sakkal Majalla" w:hAnsi="Sakkal Majalla" w:cs="Sakkal Majalla"/>
          <w:szCs w:val="28"/>
          <w:rtl/>
        </w:rPr>
        <w:t xml:space="preserve"> فإن الدراسة الحالية تقدم إسهامًا جديدًا في مجال تقييم مخاطر الائتمان</w:t>
      </w:r>
      <w:r w:rsidR="001846F5" w:rsidRPr="00281D95">
        <w:rPr>
          <w:rFonts w:ascii="Sakkal Majalla" w:hAnsi="Sakkal Majalla" w:cs="Sakkal Majalla"/>
          <w:szCs w:val="28"/>
          <w:rtl/>
        </w:rPr>
        <w:t xml:space="preserve"> </w:t>
      </w:r>
      <w:r w:rsidRPr="00281D95">
        <w:rPr>
          <w:rFonts w:ascii="Sakkal Majalla" w:hAnsi="Sakkal Majalla" w:cs="Sakkal Majalla"/>
          <w:szCs w:val="28"/>
          <w:rtl/>
        </w:rPr>
        <w:t xml:space="preserve"> من خلال تقديم نموذج أكثر تكاملًا يأخذ بعين الاعتبار التفاعل بين الأبعاد المختلفة للمخاطر وتأثيرها على جودة القرارات الائتمانية، مع التركيز على التحليل التطبيقي داخل </w:t>
      </w:r>
      <w:r w:rsidR="008B0E78" w:rsidRPr="00281D95">
        <w:rPr>
          <w:rFonts w:ascii="Sakkal Majalla" w:hAnsi="Sakkal Majalla" w:cs="Sakkal Majalla"/>
          <w:szCs w:val="28"/>
          <w:rtl/>
        </w:rPr>
        <w:t xml:space="preserve"> البنوك التجارية       </w:t>
      </w:r>
      <w:r w:rsidRPr="00281D95">
        <w:rPr>
          <w:rFonts w:ascii="Sakkal Majalla" w:hAnsi="Sakkal Majalla" w:cs="Sakkal Majalla"/>
          <w:szCs w:val="28"/>
          <w:rtl/>
        </w:rPr>
        <w:t>. كما تسعى الدراسة إلى إدخال التقنيات الحديثة في تقييم المخاطر، مما يوفر أداة تحليلية أكثر تطورًا يمكن أن تساهم في تحسين دقة التنبؤات وتقليل تأثير التقلبات الاقتصادية على جودة القرارات الائتمانية</w:t>
      </w:r>
      <w:r w:rsidRPr="00281D95">
        <w:rPr>
          <w:rFonts w:ascii="Sakkal Majalla" w:hAnsi="Sakkal Majalla" w:cs="Sakkal Majalla"/>
          <w:szCs w:val="28"/>
        </w:rPr>
        <w:t>.</w:t>
      </w:r>
    </w:p>
    <w:p w14:paraId="5CEC72E1" w14:textId="5DD863BF" w:rsidR="00C152DB" w:rsidRPr="00C152DB" w:rsidRDefault="00C152DB" w:rsidP="00C152DB">
      <w:pPr>
        <w:spacing w:before="100" w:beforeAutospacing="1" w:after="100" w:afterAutospacing="1" w:line="360" w:lineRule="auto"/>
        <w:jc w:val="both"/>
        <w:outlineLvl w:val="1"/>
        <w:rPr>
          <w:rFonts w:ascii="Sakkal Majalla" w:hAnsi="Sakkal Majalla" w:cs="Sakkal Majalla"/>
          <w:b/>
          <w:bCs/>
          <w:sz w:val="36"/>
          <w:szCs w:val="36"/>
          <w:rtl/>
        </w:rPr>
      </w:pPr>
      <w:bookmarkStart w:id="21" w:name="_Toc200849149"/>
      <w:bookmarkEnd w:id="20"/>
      <w:r w:rsidRPr="00C152DB">
        <w:rPr>
          <w:rFonts w:ascii="Sakkal Majalla" w:hAnsi="Sakkal Majalla" w:cs="Sakkal Majalla"/>
          <w:b/>
          <w:bCs/>
          <w:sz w:val="36"/>
          <w:szCs w:val="36"/>
          <w:rtl/>
        </w:rPr>
        <w:t>8.1 المنطلقات النظرية للدراسة:</w:t>
      </w:r>
      <w:bookmarkEnd w:id="21"/>
    </w:p>
    <w:p w14:paraId="1676B690" w14:textId="77777777" w:rsidR="005F31CF" w:rsidRPr="00281D95" w:rsidRDefault="005F31CF" w:rsidP="00C152DB">
      <w:pPr>
        <w:spacing w:before="100" w:beforeAutospacing="1" w:after="100" w:afterAutospacing="1" w:line="360" w:lineRule="auto"/>
        <w:ind w:firstLine="706"/>
        <w:jc w:val="both"/>
        <w:rPr>
          <w:rFonts w:ascii="Sakkal Majalla" w:hAnsi="Sakkal Majalla" w:cs="Sakkal Majalla"/>
          <w:szCs w:val="28"/>
          <w:rtl/>
        </w:rPr>
      </w:pPr>
      <w:r w:rsidRPr="00281D95">
        <w:rPr>
          <w:rFonts w:ascii="Sakkal Majalla" w:hAnsi="Sakkal Majalla" w:cs="Sakkal Majalla"/>
          <w:szCs w:val="28"/>
          <w:rtl/>
        </w:rPr>
        <w:t>تستند هذه الدراسة إلى مجموعة من المنطلقات النظرية التي تهدف إلى توضيح الأبعاد المختلفة لمخاطر الائتمان وتأثيرها على جودة القرارات الائتمانية، وذلك من خلال تحديد المفاهيم الأساسية لهذه الأبعاد كما وردت في الأدبيات السابقة.</w:t>
      </w:r>
    </w:p>
    <w:p w14:paraId="63467945" w14:textId="77777777" w:rsidR="005F31CF" w:rsidRPr="00C152DB" w:rsidRDefault="005F31CF" w:rsidP="002E6227">
      <w:pPr>
        <w:pStyle w:val="a6"/>
        <w:numPr>
          <w:ilvl w:val="0"/>
          <w:numId w:val="18"/>
        </w:numPr>
        <w:tabs>
          <w:tab w:val="left" w:pos="423"/>
        </w:tabs>
        <w:spacing w:before="100" w:beforeAutospacing="1" w:after="100" w:afterAutospacing="1" w:line="360" w:lineRule="auto"/>
        <w:ind w:left="423"/>
        <w:jc w:val="both"/>
        <w:rPr>
          <w:rFonts w:ascii="Sakkal Majalla" w:hAnsi="Sakkal Majalla" w:cs="Sakkal Majalla"/>
          <w:b/>
          <w:bCs/>
          <w:sz w:val="32"/>
          <w:szCs w:val="32"/>
          <w:rtl/>
        </w:rPr>
      </w:pPr>
      <w:r w:rsidRPr="00C152DB">
        <w:rPr>
          <w:rFonts w:ascii="Sakkal Majalla" w:hAnsi="Sakkal Majalla" w:cs="Sakkal Majalla"/>
          <w:b/>
          <w:bCs/>
          <w:sz w:val="32"/>
          <w:szCs w:val="32"/>
          <w:rtl/>
        </w:rPr>
        <w:t>البعد المالي</w:t>
      </w:r>
    </w:p>
    <w:p w14:paraId="247A260D" w14:textId="77777777" w:rsidR="005F31CF" w:rsidRPr="00281D95" w:rsidRDefault="005F31CF" w:rsidP="00C152DB">
      <w:pPr>
        <w:spacing w:before="100" w:beforeAutospacing="1" w:after="100" w:afterAutospacing="1" w:line="360" w:lineRule="auto"/>
        <w:ind w:firstLine="706"/>
        <w:jc w:val="both"/>
        <w:rPr>
          <w:rFonts w:ascii="Sakkal Majalla" w:hAnsi="Sakkal Majalla" w:cs="Sakkal Majalla"/>
          <w:szCs w:val="28"/>
          <w:rtl/>
        </w:rPr>
      </w:pPr>
      <w:r w:rsidRPr="00281D95">
        <w:rPr>
          <w:rFonts w:ascii="Sakkal Majalla" w:hAnsi="Sakkal Majalla" w:cs="Sakkal Majalla"/>
          <w:szCs w:val="28"/>
          <w:rtl/>
        </w:rPr>
        <w:t xml:space="preserve">يشير البعد المالي إلى قدرة المؤسسات المصرفية على تقييم الجدارة الائتمانية للعملاء من خلال تحليل المؤشرات المالية المختلفة، مثل نسبة الديون إلى الدخل، التدفقات النقدية، مستوى السيولة، والتاريخ الائتماني للمقترض. تعتمد البنوك على هذا البعد لتحديد مدى قدرة المقترض على الوفاء بالتزاماته المالية في الوقت المحدد. وفقًا لدراسة </w:t>
      </w:r>
      <w:r w:rsidRPr="00281D95">
        <w:rPr>
          <w:rFonts w:ascii="Sakkal Majalla" w:hAnsi="Sakkal Majalla" w:cs="Sakkal Majalla"/>
          <w:szCs w:val="28"/>
        </w:rPr>
        <w:t>Nasser &amp; Al-Tamimi</w:t>
      </w:r>
      <w:r w:rsidRPr="00281D95">
        <w:rPr>
          <w:rFonts w:ascii="Sakkal Majalla" w:hAnsi="Sakkal Majalla" w:cs="Sakkal Majalla"/>
          <w:szCs w:val="28"/>
          <w:rtl/>
        </w:rPr>
        <w:t xml:space="preserve"> (2021)، فإن التحليل المالي للمقترض يمثل حجر الأساس في قرارات الإقراض، حيث يمكن من خلاله تقليل مخاطر التخلف عن السداد وتحسين كفاءة منح الائتمان. كما أكدت دراسة </w:t>
      </w:r>
      <w:r w:rsidRPr="00281D95">
        <w:rPr>
          <w:rFonts w:ascii="Sakkal Majalla" w:hAnsi="Sakkal Majalla" w:cs="Sakkal Majalla"/>
          <w:szCs w:val="28"/>
        </w:rPr>
        <w:t>Bikker &amp; Vervliet</w:t>
      </w:r>
      <w:r w:rsidRPr="00281D95">
        <w:rPr>
          <w:rFonts w:ascii="Sakkal Majalla" w:hAnsi="Sakkal Majalla" w:cs="Sakkal Majalla"/>
          <w:szCs w:val="28"/>
          <w:rtl/>
        </w:rPr>
        <w:t xml:space="preserve"> (2018) على أن التقييم المالي المتكامل يساعد البنوك في تحسين جودة المحفظة الائتمانية، وتقليل الخسائر الناجمة عن التعثر المالي.</w:t>
      </w:r>
    </w:p>
    <w:p w14:paraId="7D127D43" w14:textId="77777777" w:rsidR="005F31CF" w:rsidRPr="00C152DB" w:rsidRDefault="005F31CF" w:rsidP="002E6227">
      <w:pPr>
        <w:pStyle w:val="a6"/>
        <w:numPr>
          <w:ilvl w:val="0"/>
          <w:numId w:val="18"/>
        </w:numPr>
        <w:spacing w:before="100" w:beforeAutospacing="1" w:after="100" w:afterAutospacing="1" w:line="360" w:lineRule="auto"/>
        <w:ind w:left="423"/>
        <w:jc w:val="both"/>
        <w:rPr>
          <w:rFonts w:ascii="Sakkal Majalla" w:hAnsi="Sakkal Majalla" w:cs="Sakkal Majalla"/>
          <w:b/>
          <w:bCs/>
          <w:sz w:val="32"/>
          <w:szCs w:val="32"/>
          <w:rtl/>
        </w:rPr>
      </w:pPr>
      <w:r w:rsidRPr="00C152DB">
        <w:rPr>
          <w:rFonts w:ascii="Sakkal Majalla" w:hAnsi="Sakkal Majalla" w:cs="Sakkal Majalla"/>
          <w:b/>
          <w:bCs/>
          <w:sz w:val="32"/>
          <w:szCs w:val="32"/>
          <w:rtl/>
        </w:rPr>
        <w:t>البعد الاقتصادي</w:t>
      </w:r>
    </w:p>
    <w:p w14:paraId="79707CC2" w14:textId="77777777" w:rsidR="005F31CF" w:rsidRPr="00281D95" w:rsidRDefault="005F31CF" w:rsidP="00C152DB">
      <w:pPr>
        <w:spacing w:before="100" w:beforeAutospacing="1" w:after="100" w:afterAutospacing="1" w:line="360" w:lineRule="auto"/>
        <w:ind w:firstLine="706"/>
        <w:jc w:val="both"/>
        <w:rPr>
          <w:rFonts w:ascii="Sakkal Majalla" w:hAnsi="Sakkal Majalla" w:cs="Sakkal Majalla"/>
          <w:szCs w:val="28"/>
          <w:rtl/>
        </w:rPr>
      </w:pPr>
      <w:r w:rsidRPr="00281D95">
        <w:rPr>
          <w:rFonts w:ascii="Sakkal Majalla" w:hAnsi="Sakkal Majalla" w:cs="Sakkal Majalla"/>
          <w:szCs w:val="28"/>
          <w:rtl/>
        </w:rPr>
        <w:t xml:space="preserve">يتمثل البعد الاقتصادي في تأثير العوامل الاقتصادية الكلية على القرارات الائتمانية، مثل معدلات التضخم، أسعار الفائدة، النمو الاقتصادي، والاستقرار المالي العام. تؤثر هذه العوامل على قدرة المقترضين على السداد، حيث يمكن أن تؤدي التقلبات الاقتصادية إلى زيادة معدلات التخلف عن السداد. أظهرت دراسة </w:t>
      </w:r>
      <w:r w:rsidRPr="00281D95">
        <w:rPr>
          <w:rFonts w:ascii="Sakkal Majalla" w:hAnsi="Sakkal Majalla" w:cs="Sakkal Majalla"/>
          <w:szCs w:val="28"/>
        </w:rPr>
        <w:t>Jiménez et al</w:t>
      </w:r>
      <w:r w:rsidRPr="00281D95">
        <w:rPr>
          <w:rFonts w:ascii="Sakkal Majalla" w:hAnsi="Sakkal Majalla" w:cs="Sakkal Majalla"/>
          <w:szCs w:val="28"/>
          <w:rtl/>
        </w:rPr>
        <w:t xml:space="preserve">. (2019) أن المؤسسات المصرفية التي تدمج التحليل الاقتصادي في استراتيجيات تقييم المخاطر تتمتع بقدرة أعلى على التنبؤ بتغيرات السوق وتقليل المخاطر المحتملة. كما أكدت دراسة </w:t>
      </w:r>
      <w:r w:rsidRPr="00281D95">
        <w:rPr>
          <w:rFonts w:ascii="Sakkal Majalla" w:hAnsi="Sakkal Majalla" w:cs="Sakkal Majalla"/>
          <w:szCs w:val="28"/>
        </w:rPr>
        <w:t>Beck et al</w:t>
      </w:r>
      <w:r w:rsidRPr="00281D95">
        <w:rPr>
          <w:rFonts w:ascii="Sakkal Majalla" w:hAnsi="Sakkal Majalla" w:cs="Sakkal Majalla"/>
          <w:szCs w:val="28"/>
          <w:rtl/>
        </w:rPr>
        <w:t>. (2020) أن البنوك التي تأخذ العوامل الاقتصادية بعين الاعتبار عند تقييم مخاطر الائتمان تكون أكثر قدرة على ضبط سياساتها الائتمانية، مما يحسن جودة القرارات الائتمانية.</w:t>
      </w:r>
    </w:p>
    <w:p w14:paraId="6B6F2100" w14:textId="77777777" w:rsidR="005F31CF" w:rsidRPr="00C152DB" w:rsidRDefault="005F31CF" w:rsidP="002E6227">
      <w:pPr>
        <w:pStyle w:val="a6"/>
        <w:numPr>
          <w:ilvl w:val="0"/>
          <w:numId w:val="18"/>
        </w:numPr>
        <w:spacing w:before="100" w:beforeAutospacing="1" w:after="100" w:afterAutospacing="1" w:line="360" w:lineRule="auto"/>
        <w:ind w:left="423"/>
        <w:jc w:val="both"/>
        <w:rPr>
          <w:rFonts w:ascii="Sakkal Majalla" w:hAnsi="Sakkal Majalla" w:cs="Sakkal Majalla"/>
          <w:b/>
          <w:bCs/>
          <w:sz w:val="32"/>
          <w:szCs w:val="32"/>
          <w:rtl/>
        </w:rPr>
      </w:pPr>
      <w:r w:rsidRPr="00C152DB">
        <w:rPr>
          <w:rFonts w:ascii="Sakkal Majalla" w:hAnsi="Sakkal Majalla" w:cs="Sakkal Majalla"/>
          <w:b/>
          <w:bCs/>
          <w:sz w:val="32"/>
          <w:szCs w:val="32"/>
          <w:rtl/>
        </w:rPr>
        <w:t>البعد القانوني والتنظيمي</w:t>
      </w:r>
    </w:p>
    <w:p w14:paraId="5E18ABEB" w14:textId="77777777" w:rsidR="005F31CF" w:rsidRPr="00281D95" w:rsidRDefault="005F31CF" w:rsidP="00C152DB">
      <w:pPr>
        <w:spacing w:before="100" w:beforeAutospacing="1" w:after="100" w:afterAutospacing="1" w:line="360" w:lineRule="auto"/>
        <w:ind w:firstLine="706"/>
        <w:jc w:val="both"/>
        <w:rPr>
          <w:rFonts w:ascii="Sakkal Majalla" w:hAnsi="Sakkal Majalla" w:cs="Sakkal Majalla"/>
          <w:szCs w:val="28"/>
          <w:rtl/>
        </w:rPr>
      </w:pPr>
      <w:r w:rsidRPr="00281D95">
        <w:rPr>
          <w:rFonts w:ascii="Sakkal Majalla" w:hAnsi="Sakkal Majalla" w:cs="Sakkal Majalla"/>
          <w:szCs w:val="28"/>
          <w:rtl/>
        </w:rPr>
        <w:t xml:space="preserve">يشير البعد القانوني والتنظيمي إلى الأطر القانونية والمعايير التنظيمية التي تفرضها الجهات الرقابية على المؤسسات المصرفية لضمان الامتثال للقوانين المصرفية وحماية الاستقرار المالي. يشمل ذلك تطبيق معايير بازل </w:t>
      </w:r>
      <w:r w:rsidRPr="00281D95">
        <w:rPr>
          <w:rFonts w:ascii="Sakkal Majalla" w:hAnsi="Sakkal Majalla" w:cs="Sakkal Majalla"/>
          <w:szCs w:val="28"/>
        </w:rPr>
        <w:t>III</w:t>
      </w:r>
      <w:r w:rsidRPr="00281D95">
        <w:rPr>
          <w:rFonts w:ascii="Sakkal Majalla" w:hAnsi="Sakkal Majalla" w:cs="Sakkal Majalla"/>
          <w:szCs w:val="28"/>
          <w:rtl/>
        </w:rPr>
        <w:t xml:space="preserve">، اللوائح المتعلقة بالامتثال المصرفي، وأنظمة مكافحة غسل الأموال. وفقًا لدراسة </w:t>
      </w:r>
      <w:r w:rsidRPr="00281D95">
        <w:rPr>
          <w:rFonts w:ascii="Sakkal Majalla" w:hAnsi="Sakkal Majalla" w:cs="Sakkal Majalla"/>
          <w:szCs w:val="28"/>
        </w:rPr>
        <w:t>Arnania-Kepuladze</w:t>
      </w:r>
      <w:r w:rsidRPr="00281D95">
        <w:rPr>
          <w:rFonts w:ascii="Sakkal Majalla" w:hAnsi="Sakkal Majalla" w:cs="Sakkal Majalla"/>
          <w:szCs w:val="28"/>
          <w:rtl/>
        </w:rPr>
        <w:t xml:space="preserve"> (2022)، فإن الامتثال للمعايير التنظيمية يسهم في تقليل المخاطر القانونية المرتبطة بالعمليات الائتمانية، مما يعزز من جودة القرارات المصرفية. كما أظهرت دراسة </w:t>
      </w:r>
      <w:r w:rsidRPr="00281D95">
        <w:rPr>
          <w:rFonts w:ascii="Sakkal Majalla" w:hAnsi="Sakkal Majalla" w:cs="Sakkal Majalla"/>
          <w:szCs w:val="28"/>
        </w:rPr>
        <w:t>Laeven &amp; Valencia</w:t>
      </w:r>
      <w:r w:rsidRPr="00281D95">
        <w:rPr>
          <w:rFonts w:ascii="Sakkal Majalla" w:hAnsi="Sakkal Majalla" w:cs="Sakkal Majalla"/>
          <w:szCs w:val="28"/>
          <w:rtl/>
        </w:rPr>
        <w:t xml:space="preserve"> (2021) أن التشديد الرقابي على البنوك، خاصة في ما يتعلق بمخاطر الائتمان، يقلل من احتمالية الأزمات المالية ويحسن من كفاءة النظام المصرفي.</w:t>
      </w:r>
    </w:p>
    <w:p w14:paraId="73882EEF" w14:textId="77777777" w:rsidR="005F31CF" w:rsidRPr="00C152DB" w:rsidRDefault="005F31CF" w:rsidP="002E6227">
      <w:pPr>
        <w:pStyle w:val="a6"/>
        <w:numPr>
          <w:ilvl w:val="0"/>
          <w:numId w:val="18"/>
        </w:numPr>
        <w:spacing w:before="100" w:beforeAutospacing="1" w:after="100" w:afterAutospacing="1" w:line="360" w:lineRule="auto"/>
        <w:ind w:left="423"/>
        <w:jc w:val="both"/>
        <w:rPr>
          <w:rFonts w:ascii="Sakkal Majalla" w:hAnsi="Sakkal Majalla" w:cs="Sakkal Majalla"/>
          <w:b/>
          <w:bCs/>
          <w:sz w:val="32"/>
          <w:szCs w:val="32"/>
          <w:rtl/>
        </w:rPr>
      </w:pPr>
      <w:r w:rsidRPr="00C152DB">
        <w:rPr>
          <w:rFonts w:ascii="Sakkal Majalla" w:hAnsi="Sakkal Majalla" w:cs="Sakkal Majalla"/>
          <w:b/>
          <w:bCs/>
          <w:sz w:val="32"/>
          <w:szCs w:val="32"/>
          <w:rtl/>
        </w:rPr>
        <w:t>البعد الاستراتيجي</w:t>
      </w:r>
    </w:p>
    <w:p w14:paraId="15BA4BF1" w14:textId="4AF73D35" w:rsidR="005F31CF" w:rsidRPr="00281D95" w:rsidRDefault="005F31CF" w:rsidP="00C152DB">
      <w:pPr>
        <w:spacing w:before="100" w:beforeAutospacing="1" w:after="100" w:afterAutospacing="1" w:line="360" w:lineRule="auto"/>
        <w:ind w:firstLine="706"/>
        <w:jc w:val="both"/>
        <w:rPr>
          <w:rFonts w:ascii="Sakkal Majalla" w:hAnsi="Sakkal Majalla" w:cs="Sakkal Majalla"/>
          <w:szCs w:val="28"/>
          <w:rtl/>
        </w:rPr>
      </w:pPr>
      <w:r w:rsidRPr="00281D95">
        <w:rPr>
          <w:rFonts w:ascii="Sakkal Majalla" w:hAnsi="Sakkal Majalla" w:cs="Sakkal Majalla"/>
          <w:szCs w:val="28"/>
          <w:rtl/>
        </w:rPr>
        <w:t xml:space="preserve">يتمثل البعد الاستراتيجي في قدرة المؤسسات المصرفية على استخدام إدارة مخاطر الائتمان كأداة لتعزيز قدرتها التنافسية وتحقيق الاستدامة المالية. يتضمن هذا البعد تنويع المحفظة الائتمانية، تبني استراتيجيات متقدمة في تقييم المخاطر، واستخدام التحليلات التنبؤية لتحديد فرص الإقراض المربحة. وفقًا لدراسة </w:t>
      </w:r>
      <w:r w:rsidRPr="00281D95">
        <w:rPr>
          <w:rFonts w:ascii="Sakkal Majalla" w:hAnsi="Sakkal Majalla" w:cs="Sakkal Majalla"/>
          <w:szCs w:val="28"/>
        </w:rPr>
        <w:t>Altman et al</w:t>
      </w:r>
      <w:r w:rsidRPr="00281D95">
        <w:rPr>
          <w:rFonts w:ascii="Sakkal Majalla" w:hAnsi="Sakkal Majalla" w:cs="Sakkal Majalla"/>
          <w:szCs w:val="28"/>
          <w:rtl/>
        </w:rPr>
        <w:t xml:space="preserve">. (2020)، فإن البنوك التي تتبنى نهجًا استراتيجيًا في إدارة مخاطر الائتمان تحقق مستويات أعلى من الأداء المالي مقارنة بالبنوك التي تركز فقط على الامتثال للمتطلبات التنظيمية. كما أكدت دراسة </w:t>
      </w:r>
      <w:r w:rsidRPr="00281D95">
        <w:rPr>
          <w:rFonts w:ascii="Sakkal Majalla" w:hAnsi="Sakkal Majalla" w:cs="Sakkal Majalla"/>
          <w:szCs w:val="28"/>
        </w:rPr>
        <w:t>Ghosh</w:t>
      </w:r>
      <w:r w:rsidRPr="00281D95">
        <w:rPr>
          <w:rFonts w:ascii="Sakkal Majalla" w:hAnsi="Sakkal Majalla" w:cs="Sakkal Majalla"/>
          <w:szCs w:val="28"/>
          <w:rtl/>
        </w:rPr>
        <w:t xml:space="preserve"> (2019) أن دمج الذكاء الاصطناعي والبيانات الضخمة في استراتيجيات تقييم المخاطر يساعد المؤسسات المالية على تحسين جودة القرارات الائتمانية وزيادة عائداتها المالية.</w:t>
      </w:r>
    </w:p>
    <w:p w14:paraId="46AB512A" w14:textId="77777777" w:rsidR="00C152DB" w:rsidRPr="00C152DB" w:rsidRDefault="00C152DB" w:rsidP="00C152DB">
      <w:pPr>
        <w:spacing w:before="100" w:beforeAutospacing="1" w:after="100" w:afterAutospacing="1" w:line="360" w:lineRule="auto"/>
        <w:outlineLvl w:val="1"/>
        <w:rPr>
          <w:rFonts w:ascii="Sakkal Majalla" w:hAnsi="Sakkal Majalla" w:cs="Sakkal Majalla"/>
          <w:b/>
          <w:bCs/>
          <w:sz w:val="36"/>
          <w:szCs w:val="36"/>
          <w:rtl/>
        </w:rPr>
      </w:pPr>
      <w:bookmarkStart w:id="22" w:name="_Toc200849150"/>
      <w:bookmarkStart w:id="23" w:name="_Toc181896402"/>
      <w:bookmarkStart w:id="24" w:name="_Toc169790505"/>
      <w:r w:rsidRPr="00C152DB">
        <w:rPr>
          <w:rFonts w:ascii="Sakkal Majalla" w:hAnsi="Sakkal Majalla" w:cs="Sakkal Majalla"/>
          <w:b/>
          <w:bCs/>
          <w:sz w:val="36"/>
          <w:szCs w:val="36"/>
          <w:rtl/>
        </w:rPr>
        <w:t>9.1 المنهجية وطرق البحث:</w:t>
      </w:r>
      <w:bookmarkEnd w:id="22"/>
    </w:p>
    <w:p w14:paraId="55785C8C" w14:textId="355586D9" w:rsidR="00C152DB" w:rsidRPr="007210C5" w:rsidRDefault="00C152DB" w:rsidP="002E6227">
      <w:pPr>
        <w:pStyle w:val="a6"/>
        <w:numPr>
          <w:ilvl w:val="0"/>
          <w:numId w:val="19"/>
        </w:numPr>
        <w:spacing w:before="100" w:beforeAutospacing="1" w:after="100" w:afterAutospacing="1" w:line="360" w:lineRule="auto"/>
        <w:ind w:left="423" w:hanging="357"/>
        <w:jc w:val="both"/>
        <w:rPr>
          <w:rFonts w:ascii="Sakkal Majalla" w:hAnsi="Sakkal Majalla" w:cs="Sakkal Majalla"/>
          <w:b/>
          <w:bCs/>
          <w:sz w:val="32"/>
          <w:szCs w:val="32"/>
          <w:rtl/>
        </w:rPr>
      </w:pPr>
      <w:r w:rsidRPr="007210C5">
        <w:rPr>
          <w:rFonts w:ascii="Sakkal Majalla" w:hAnsi="Sakkal Majalla" w:cs="Sakkal Majalla"/>
          <w:b/>
          <w:bCs/>
          <w:sz w:val="32"/>
          <w:szCs w:val="32"/>
          <w:rtl/>
        </w:rPr>
        <w:t>منهج البحث</w:t>
      </w:r>
    </w:p>
    <w:p w14:paraId="6009E434" w14:textId="12F608F8" w:rsidR="00C90305" w:rsidRPr="00281D95" w:rsidRDefault="00C90305" w:rsidP="00C152DB">
      <w:pPr>
        <w:spacing w:before="100" w:beforeAutospacing="1" w:after="100" w:afterAutospacing="1" w:line="360" w:lineRule="auto"/>
        <w:ind w:firstLine="706"/>
        <w:jc w:val="both"/>
        <w:rPr>
          <w:rFonts w:ascii="Sakkal Majalla" w:hAnsi="Sakkal Majalla" w:cs="Sakkal Majalla"/>
          <w:b/>
          <w:bCs/>
          <w:szCs w:val="28"/>
          <w:rtl/>
        </w:rPr>
      </w:pPr>
      <w:r w:rsidRPr="00281D95">
        <w:rPr>
          <w:rFonts w:ascii="Sakkal Majalla" w:hAnsi="Sakkal Majalla" w:cs="Sakkal Majalla"/>
          <w:szCs w:val="28"/>
          <w:rtl/>
        </w:rPr>
        <w:t xml:space="preserve">تعتمد هذه الدراسة على المنهج الوصفي التحليلي بهدف دراسة أثر تقييم المخاطر الائتمانية بأبعاده المختلفة على تحسين جودة القرارات الائتمانية في </w:t>
      </w:r>
      <w:r w:rsidR="008B0E78" w:rsidRPr="00281D95">
        <w:rPr>
          <w:rFonts w:ascii="Sakkal Majalla" w:hAnsi="Sakkal Majalla" w:cs="Sakkal Majalla"/>
          <w:szCs w:val="28"/>
          <w:rtl/>
        </w:rPr>
        <w:t xml:space="preserve"> البنوك التجارية  </w:t>
      </w:r>
      <w:r w:rsidRPr="00281D95">
        <w:rPr>
          <w:rFonts w:ascii="Sakkal Majalla" w:hAnsi="Sakkal Majalla" w:cs="Sakkal Majalla"/>
          <w:szCs w:val="28"/>
          <w:rtl/>
        </w:rPr>
        <w:t>حيث يتيح هذا المنهج تحليل البيانات المالية والائتمانية ودراسة العوامل المؤثرة في اتخاذ القرار الائتماني</w:t>
      </w:r>
    </w:p>
    <w:p w14:paraId="329BB68F" w14:textId="256CF543" w:rsidR="00C13435" w:rsidRPr="007210C5" w:rsidRDefault="00C13435" w:rsidP="007210C5">
      <w:pPr>
        <w:pStyle w:val="1"/>
      </w:pPr>
      <w:bookmarkStart w:id="25" w:name="_Toc200849151"/>
      <w:r w:rsidRPr="007210C5">
        <w:rPr>
          <w:rtl/>
        </w:rPr>
        <w:t>أدوات جمع البيانات</w:t>
      </w:r>
      <w:bookmarkEnd w:id="23"/>
      <w:bookmarkEnd w:id="25"/>
    </w:p>
    <w:p w14:paraId="1AB748CB" w14:textId="77777777" w:rsidR="00C13435" w:rsidRPr="00C152DB" w:rsidRDefault="00C13435" w:rsidP="00C152DB">
      <w:pPr>
        <w:spacing w:before="100" w:beforeAutospacing="1" w:after="100" w:afterAutospacing="1" w:line="360" w:lineRule="auto"/>
        <w:ind w:firstLine="706"/>
        <w:jc w:val="both"/>
        <w:rPr>
          <w:rFonts w:ascii="Sakkal Majalla" w:hAnsi="Sakkal Majalla" w:cs="Sakkal Majalla"/>
          <w:b/>
          <w:bCs/>
          <w:szCs w:val="28"/>
        </w:rPr>
      </w:pPr>
      <w:r w:rsidRPr="00C152DB">
        <w:rPr>
          <w:rFonts w:ascii="Sakkal Majalla" w:hAnsi="Sakkal Majalla" w:cs="Sakkal Majalla"/>
          <w:b/>
          <w:bCs/>
          <w:szCs w:val="28"/>
          <w:rtl/>
        </w:rPr>
        <w:t>لتحقيق أهداف الدراسة والحصول على بيانات دقيقة، تم استخدام الأدوات التالية</w:t>
      </w:r>
      <w:r w:rsidRPr="00C152DB">
        <w:rPr>
          <w:rFonts w:ascii="Sakkal Majalla" w:hAnsi="Sakkal Majalla" w:cs="Sakkal Majalla"/>
          <w:b/>
          <w:bCs/>
          <w:szCs w:val="28"/>
        </w:rPr>
        <w:t>:</w:t>
      </w:r>
    </w:p>
    <w:p w14:paraId="04705A1C" w14:textId="03C2C4AD" w:rsidR="00C13435" w:rsidRPr="00281D95" w:rsidRDefault="00C13435"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الاستبيان</w:t>
      </w:r>
      <w:r w:rsidRPr="00281D95">
        <w:rPr>
          <w:rFonts w:ascii="Sakkal Majalla" w:hAnsi="Sakkal Majalla" w:cs="Sakkal Majalla"/>
          <w:szCs w:val="28"/>
        </w:rPr>
        <w:t xml:space="preserve">: </w:t>
      </w:r>
      <w:r w:rsidRPr="00281D95">
        <w:rPr>
          <w:rFonts w:ascii="Sakkal Majalla" w:hAnsi="Sakkal Majalla" w:cs="Sakkal Majalla"/>
          <w:szCs w:val="28"/>
          <w:rtl/>
        </w:rPr>
        <w:t xml:space="preserve">يعتبر الاستبيان الأداة الرئيسية لجمع البيانات في هذه الدراسة، حيث تم تصميم استبيان مخصص ليتضمن أسئلة متنوعة تغطي </w:t>
      </w:r>
      <w:r w:rsidR="00A51A7A" w:rsidRPr="00281D95">
        <w:rPr>
          <w:rFonts w:ascii="Sakkal Majalla" w:hAnsi="Sakkal Majalla" w:cs="Sakkal Majalla"/>
          <w:szCs w:val="28"/>
          <w:rtl/>
        </w:rPr>
        <w:t>تقييم المخاطر الائتمانية بابعادها  (البعد المالي - البعد الاقتصادي - البعد القانوني والتنظيمي - البعد الاستراتيجي ) على تحسين جودة القرارات الائتمانية</w:t>
      </w:r>
      <w:r w:rsidRPr="00281D95">
        <w:rPr>
          <w:rFonts w:ascii="Sakkal Majalla" w:hAnsi="Sakkal Majalla" w:cs="Sakkal Majalla"/>
          <w:szCs w:val="28"/>
          <w:rtl/>
        </w:rPr>
        <w:t xml:space="preserve">. يتكون الاستبيان من أسئلة مغلقة وأخرى مفتوحة، حيث تسمح الأسئلة المغلقة بتوفير إجابات محددة يمكن قياسها وتحليلها، بينما تساعد الأسئلة المفتوحة في الحصول على آراء وتفسيرات أعمق من المشاركين. يتم توزيع الاستبيان على عينة من الموظفين والمديرين في </w:t>
      </w:r>
      <w:r w:rsidR="008B0E78" w:rsidRPr="00281D95">
        <w:rPr>
          <w:rFonts w:ascii="Sakkal Majalla" w:hAnsi="Sakkal Majalla" w:cs="Sakkal Majalla"/>
          <w:szCs w:val="28"/>
          <w:rtl/>
        </w:rPr>
        <w:t xml:space="preserve"> البنوك التجارية  </w:t>
      </w:r>
      <w:r w:rsidR="00A30416" w:rsidRPr="00281D95">
        <w:rPr>
          <w:rFonts w:ascii="Sakkal Majalla" w:hAnsi="Sakkal Majalla" w:cs="Sakkal Majalla"/>
          <w:szCs w:val="28"/>
          <w:rtl/>
        </w:rPr>
        <w:t xml:space="preserve"> </w:t>
      </w:r>
      <w:r w:rsidRPr="00281D95">
        <w:rPr>
          <w:rFonts w:ascii="Sakkal Majalla" w:hAnsi="Sakkal Majalla" w:cs="Sakkal Majalla"/>
          <w:szCs w:val="28"/>
          <w:rtl/>
        </w:rPr>
        <w:t>، بهدف جمع بيانات تمثل وجهات نظر متعددة حول الموضوع</w:t>
      </w:r>
      <w:r w:rsidRPr="00281D95">
        <w:rPr>
          <w:rFonts w:ascii="Sakkal Majalla" w:hAnsi="Sakkal Majalla" w:cs="Sakkal Majalla"/>
          <w:szCs w:val="28"/>
        </w:rPr>
        <w:t>.</w:t>
      </w:r>
    </w:p>
    <w:p w14:paraId="7A63CCD6" w14:textId="49C9AC24" w:rsidR="00C152DB" w:rsidRPr="00C152DB" w:rsidRDefault="00C152DB" w:rsidP="00C152DB">
      <w:pPr>
        <w:spacing w:before="100" w:beforeAutospacing="1" w:after="100" w:afterAutospacing="1" w:line="360" w:lineRule="auto"/>
        <w:jc w:val="both"/>
        <w:outlineLvl w:val="1"/>
        <w:rPr>
          <w:rFonts w:ascii="Sakkal Majalla" w:hAnsi="Sakkal Majalla" w:cs="Sakkal Majalla"/>
          <w:b/>
          <w:bCs/>
          <w:sz w:val="36"/>
          <w:szCs w:val="36"/>
          <w:rtl/>
        </w:rPr>
      </w:pPr>
      <w:bookmarkStart w:id="26" w:name="_Toc200849152"/>
      <w:r w:rsidRPr="00C152DB">
        <w:rPr>
          <w:rFonts w:ascii="Sakkal Majalla" w:hAnsi="Sakkal Majalla" w:cs="Sakkal Majalla"/>
          <w:b/>
          <w:bCs/>
          <w:sz w:val="36"/>
          <w:szCs w:val="36"/>
          <w:rtl/>
        </w:rPr>
        <w:t>10.1 طرق جمع البيانات</w:t>
      </w:r>
      <w:bookmarkEnd w:id="26"/>
    </w:p>
    <w:p w14:paraId="431D1AD0" w14:textId="61FFC543" w:rsidR="00C13435" w:rsidRPr="00281D95" w:rsidRDefault="00C13435" w:rsidP="00C152DB">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توزيع الاستبيانات إلكترونيًا</w:t>
      </w:r>
      <w:r w:rsidRPr="00281D95">
        <w:rPr>
          <w:rFonts w:ascii="Sakkal Majalla" w:hAnsi="Sakkal Majalla" w:cs="Sakkal Majalla"/>
          <w:szCs w:val="28"/>
        </w:rPr>
        <w:t xml:space="preserve">: </w:t>
      </w:r>
      <w:r w:rsidRPr="00281D95">
        <w:rPr>
          <w:rFonts w:ascii="Sakkal Majalla" w:hAnsi="Sakkal Majalla" w:cs="Sakkal Majalla"/>
          <w:szCs w:val="28"/>
          <w:rtl/>
        </w:rPr>
        <w:t xml:space="preserve">تم إرسال الاستبيانات عبر البريد الإلكتروني أو من خلال منصات إلكترونية آمنة لمجموعة من الموظفين والمديرين في </w:t>
      </w:r>
      <w:r w:rsidR="008B0E78" w:rsidRPr="00281D95">
        <w:rPr>
          <w:rFonts w:ascii="Sakkal Majalla" w:hAnsi="Sakkal Majalla" w:cs="Sakkal Majalla"/>
          <w:szCs w:val="28"/>
          <w:rtl/>
        </w:rPr>
        <w:t xml:space="preserve"> البنوك التجارية</w:t>
      </w:r>
      <w:r w:rsidRPr="00281D95">
        <w:rPr>
          <w:rFonts w:ascii="Sakkal Majalla" w:hAnsi="Sakkal Majalla" w:cs="Sakkal Majalla"/>
          <w:szCs w:val="28"/>
          <w:rtl/>
        </w:rPr>
        <w:t>، مما يسهل الوصول إلى عينة أكبر والحصول على ردود سريعة. تم تصميم الاستبيان ليكون سهل الوصول والاستخدام، لضمان مشاركة أكبر قدر ممكن من المستجيبين</w:t>
      </w:r>
      <w:r w:rsidRPr="00281D95">
        <w:rPr>
          <w:rFonts w:ascii="Sakkal Majalla" w:hAnsi="Sakkal Majalla" w:cs="Sakkal Majalla"/>
          <w:szCs w:val="28"/>
        </w:rPr>
        <w:t>.</w:t>
      </w:r>
    </w:p>
    <w:p w14:paraId="3B3CA9CE" w14:textId="24172E67" w:rsidR="00C152DB" w:rsidRPr="00C152DB" w:rsidRDefault="00C152DB" w:rsidP="00C152DB">
      <w:pPr>
        <w:spacing w:before="100" w:beforeAutospacing="1" w:after="100" w:afterAutospacing="1" w:line="360" w:lineRule="auto"/>
        <w:jc w:val="both"/>
        <w:outlineLvl w:val="1"/>
        <w:rPr>
          <w:rFonts w:ascii="Sakkal Majalla" w:hAnsi="Sakkal Majalla" w:cs="Sakkal Majalla"/>
          <w:b/>
          <w:bCs/>
          <w:sz w:val="36"/>
          <w:szCs w:val="36"/>
        </w:rPr>
      </w:pPr>
      <w:bookmarkStart w:id="27" w:name="_Toc200849153"/>
      <w:bookmarkStart w:id="28" w:name="_Toc169790506"/>
      <w:bookmarkEnd w:id="24"/>
      <w:r w:rsidRPr="00C152DB">
        <w:rPr>
          <w:rFonts w:ascii="Sakkal Majalla" w:hAnsi="Sakkal Majalla" w:cs="Sakkal Majalla"/>
          <w:b/>
          <w:bCs/>
          <w:sz w:val="36"/>
          <w:szCs w:val="36"/>
          <w:rtl/>
        </w:rPr>
        <w:t>11.1 حدود الدراسة:</w:t>
      </w:r>
      <w:bookmarkEnd w:id="27"/>
    </w:p>
    <w:p w14:paraId="44B7E84C" w14:textId="2C3F7FD2" w:rsidR="009A00DA" w:rsidRPr="00281D95" w:rsidRDefault="00A24C30" w:rsidP="002E6227">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81D95">
        <w:rPr>
          <w:rFonts w:ascii="Sakkal Majalla" w:hAnsi="Sakkal Majalla" w:cs="Sakkal Majalla"/>
          <w:szCs w:val="28"/>
          <w:rtl/>
        </w:rPr>
        <w:t xml:space="preserve">حدود موضوعية: </w:t>
      </w:r>
      <w:r w:rsidR="009A00DA" w:rsidRPr="00281D95">
        <w:rPr>
          <w:rFonts w:ascii="Sakkal Majalla" w:hAnsi="Sakkal Majalla" w:cs="Sakkal Majalla"/>
          <w:szCs w:val="28"/>
          <w:rtl/>
        </w:rPr>
        <w:t xml:space="preserve">تركز هذه الدراسة على تحليل أثر تقييم المخاطر الائتمانية بأبعاده المختلفة على تحسين جودة القرارات الائتمانية في </w:t>
      </w:r>
      <w:r w:rsidR="008B0E78" w:rsidRPr="00281D95">
        <w:rPr>
          <w:rFonts w:ascii="Sakkal Majalla" w:hAnsi="Sakkal Majalla" w:cs="Sakkal Majalla"/>
          <w:szCs w:val="28"/>
          <w:rtl/>
        </w:rPr>
        <w:t xml:space="preserve"> البنوك التجارية   </w:t>
      </w:r>
      <w:r w:rsidR="009A00DA" w:rsidRPr="00281D95">
        <w:rPr>
          <w:rFonts w:ascii="Sakkal Majalla" w:hAnsi="Sakkal Majalla" w:cs="Sakkal Majalla"/>
          <w:szCs w:val="28"/>
          <w:rtl/>
        </w:rPr>
        <w:t xml:space="preserve">حيث تشمل أبعاد تقييم المخاطر الائتمانية البعد المالي الذي يتناول التحليل المالي للمقترضين من حيث التدفقات النقدية ونسب السيولة والملاءة المالية والبعد الاقتصادي الذي يركز على العوامل الاقتصادية الكلية مثل التضخم وأسعار الفائدة والنمو الاقتصادي ومدى تأثيرها على قرارات الإقراض كما تتناول الدراسة البعد القانوني والتنظيمي الذي يشمل الامتثال للمعايير المصرفية والتشريعات الرقابية وأثرها على إدارة المخاطر الائتمانية إضافة إلى البعد الاستراتيجي الذي يعكس استخدام استراتيجيات إدارة المخاطر لتعزيز القدرة التنافسية للبنك وتحقيق الاستدامة المالية </w:t>
      </w:r>
    </w:p>
    <w:p w14:paraId="51F51A09" w14:textId="3B656FFE" w:rsidR="00A24C30" w:rsidRPr="00281D95" w:rsidRDefault="001E7705" w:rsidP="002E6227">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281D95">
        <w:rPr>
          <w:rFonts w:ascii="Sakkal Majalla" w:hAnsi="Sakkal Majalla" w:cs="Sakkal Majalla"/>
          <w:szCs w:val="28"/>
          <w:rtl/>
        </w:rPr>
        <w:t>حدود زمنية</w:t>
      </w:r>
      <w:r w:rsidR="004579DB" w:rsidRPr="00281D95">
        <w:rPr>
          <w:rFonts w:ascii="Sakkal Majalla" w:hAnsi="Sakkal Majalla" w:cs="Sakkal Majalla"/>
          <w:szCs w:val="28"/>
          <w:rtl/>
        </w:rPr>
        <w:t xml:space="preserve"> </w:t>
      </w:r>
      <w:r w:rsidRPr="00281D95">
        <w:rPr>
          <w:rFonts w:ascii="Sakkal Majalla" w:hAnsi="Sakkal Majalla" w:cs="Sakkal Majalla"/>
          <w:szCs w:val="28"/>
        </w:rPr>
        <w:t>:</w:t>
      </w:r>
      <w:r w:rsidR="004579DB" w:rsidRPr="00281D95">
        <w:rPr>
          <w:rFonts w:ascii="Sakkal Majalla" w:hAnsi="Sakkal Majalla" w:cs="Sakkal Majalla"/>
          <w:szCs w:val="28"/>
          <w:rtl/>
        </w:rPr>
        <w:t>س</w:t>
      </w:r>
      <w:r w:rsidRPr="00281D95">
        <w:rPr>
          <w:rFonts w:ascii="Sakkal Majalla" w:hAnsi="Sakkal Majalla" w:cs="Sakkal Majalla"/>
          <w:szCs w:val="28"/>
          <w:rtl/>
        </w:rPr>
        <w:t>يتم إجراء ا</w:t>
      </w:r>
      <w:r w:rsidR="005D7D08" w:rsidRPr="00281D95">
        <w:rPr>
          <w:rFonts w:ascii="Sakkal Majalla" w:hAnsi="Sakkal Majalla" w:cs="Sakkal Majalla"/>
          <w:szCs w:val="28"/>
          <w:rtl/>
        </w:rPr>
        <w:t xml:space="preserve">لدراسة </w:t>
      </w:r>
      <w:r w:rsidRPr="00281D95">
        <w:rPr>
          <w:rFonts w:ascii="Sakkal Majalla" w:hAnsi="Sakkal Majalla" w:cs="Sakkal Majalla"/>
          <w:szCs w:val="28"/>
          <w:rtl/>
        </w:rPr>
        <w:t xml:space="preserve"> خلال </w:t>
      </w:r>
      <w:r w:rsidR="005D7D08" w:rsidRPr="00281D95">
        <w:rPr>
          <w:rFonts w:ascii="Sakkal Majalla" w:hAnsi="Sakkal Majalla" w:cs="Sakkal Majalla"/>
          <w:szCs w:val="28"/>
          <w:rtl/>
        </w:rPr>
        <w:t xml:space="preserve"> </w:t>
      </w:r>
      <w:r w:rsidRPr="00281D95">
        <w:rPr>
          <w:rFonts w:ascii="Sakkal Majalla" w:hAnsi="Sakkal Majalla" w:cs="Sakkal Majalla"/>
          <w:szCs w:val="28"/>
          <w:rtl/>
        </w:rPr>
        <w:t>عام 202</w:t>
      </w:r>
      <w:r w:rsidR="000F4C4A" w:rsidRPr="00281D95">
        <w:rPr>
          <w:rFonts w:ascii="Sakkal Majalla" w:hAnsi="Sakkal Majalla" w:cs="Sakkal Majalla"/>
          <w:szCs w:val="28"/>
          <w:rtl/>
          <w:lang w:bidi="ar-EG"/>
        </w:rPr>
        <w:t>5</w:t>
      </w:r>
      <w:r w:rsidRPr="00281D95">
        <w:rPr>
          <w:rFonts w:ascii="Sakkal Majalla" w:hAnsi="Sakkal Majalla" w:cs="Sakkal Majalla"/>
          <w:szCs w:val="28"/>
          <w:rtl/>
        </w:rPr>
        <w:t>م .</w:t>
      </w:r>
    </w:p>
    <w:p w14:paraId="3E23278D" w14:textId="549A9E5B" w:rsidR="005D7D08" w:rsidRPr="00281D95" w:rsidRDefault="001E7705" w:rsidP="002E6227">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281D95">
        <w:rPr>
          <w:rFonts w:ascii="Sakkal Majalla" w:hAnsi="Sakkal Majalla" w:cs="Sakkal Majalla"/>
          <w:szCs w:val="28"/>
          <w:rtl/>
        </w:rPr>
        <w:t>حدود مكانية</w:t>
      </w:r>
      <w:r w:rsidRPr="00281D95">
        <w:rPr>
          <w:rFonts w:ascii="Sakkal Majalla" w:hAnsi="Sakkal Majalla" w:cs="Sakkal Majalla"/>
          <w:szCs w:val="28"/>
        </w:rPr>
        <w:t xml:space="preserve">: </w:t>
      </w:r>
      <w:r w:rsidRPr="00281D95">
        <w:rPr>
          <w:rFonts w:ascii="Sakkal Majalla" w:hAnsi="Sakkal Majalla" w:cs="Sakkal Majalla"/>
          <w:szCs w:val="28"/>
          <w:rtl/>
        </w:rPr>
        <w:t xml:space="preserve"> </w:t>
      </w:r>
      <w:r w:rsidR="009122D0" w:rsidRPr="00281D95">
        <w:rPr>
          <w:rFonts w:ascii="Sakkal Majalla" w:hAnsi="Sakkal Majalla" w:cs="Sakkal Majalla"/>
          <w:szCs w:val="28"/>
          <w:rtl/>
        </w:rPr>
        <w:t>تقتصر الدراسة على</w:t>
      </w:r>
      <w:r w:rsidR="00D9747B" w:rsidRPr="00281D95">
        <w:rPr>
          <w:rFonts w:ascii="Sakkal Majalla" w:hAnsi="Sakkal Majalla" w:cs="Sakkal Majalla"/>
          <w:szCs w:val="28"/>
          <w:rtl/>
        </w:rPr>
        <w:t xml:space="preserve"> </w:t>
      </w:r>
      <w:r w:rsidR="008B0E78" w:rsidRPr="00281D95">
        <w:rPr>
          <w:rFonts w:ascii="Sakkal Majalla" w:hAnsi="Sakkal Majalla" w:cs="Sakkal Majalla"/>
          <w:szCs w:val="28"/>
          <w:rtl/>
        </w:rPr>
        <w:t xml:space="preserve"> البنوك التجارية       </w:t>
      </w:r>
      <w:r w:rsidR="000F4C4A" w:rsidRPr="00281D95">
        <w:rPr>
          <w:rFonts w:ascii="Sakkal Majalla" w:hAnsi="Sakkal Majalla" w:cs="Sakkal Majalla"/>
          <w:szCs w:val="28"/>
          <w:rtl/>
        </w:rPr>
        <w:t xml:space="preserve"> </w:t>
      </w:r>
      <w:r w:rsidR="005D7D08" w:rsidRPr="00281D95">
        <w:rPr>
          <w:rFonts w:ascii="Sakkal Majalla" w:hAnsi="Sakkal Majalla" w:cs="Sakkal Majalla"/>
          <w:szCs w:val="28"/>
          <w:rtl/>
        </w:rPr>
        <w:t>.</w:t>
      </w:r>
    </w:p>
    <w:p w14:paraId="35D06D4C" w14:textId="37A4FFCB" w:rsidR="00C152DB" w:rsidRPr="00C152DB" w:rsidRDefault="00C152DB" w:rsidP="00C152DB">
      <w:pPr>
        <w:spacing w:before="100" w:beforeAutospacing="1" w:after="100" w:afterAutospacing="1" w:line="360" w:lineRule="auto"/>
        <w:jc w:val="center"/>
        <w:outlineLvl w:val="0"/>
        <w:rPr>
          <w:rFonts w:ascii="Sakkal Majalla" w:hAnsi="Sakkal Majalla" w:cs="Sakkal Majalla"/>
          <w:b/>
          <w:bCs/>
          <w:sz w:val="48"/>
          <w:szCs w:val="40"/>
          <w:rtl/>
        </w:rPr>
      </w:pPr>
      <w:bookmarkStart w:id="29" w:name="_Toc200849154"/>
      <w:bookmarkStart w:id="30" w:name="_Toc181896406"/>
      <w:r w:rsidRPr="00C152DB">
        <w:rPr>
          <w:rFonts w:ascii="Sakkal Majalla" w:hAnsi="Sakkal Majalla" w:cs="Sakkal Majalla"/>
          <w:b/>
          <w:bCs/>
          <w:sz w:val="48"/>
          <w:szCs w:val="40"/>
          <w:rtl/>
        </w:rPr>
        <w:t>الفصل الثاني: الإطار النظري</w:t>
      </w:r>
      <w:bookmarkEnd w:id="29"/>
    </w:p>
    <w:p w14:paraId="5EA6895B" w14:textId="58F73E62" w:rsidR="00FE7043" w:rsidRPr="00C152DB" w:rsidRDefault="00FE7043" w:rsidP="00C152DB">
      <w:pPr>
        <w:pStyle w:val="2"/>
        <w:spacing w:before="100" w:beforeAutospacing="1" w:after="100" w:afterAutospacing="1" w:line="360" w:lineRule="auto"/>
        <w:jc w:val="center"/>
        <w:rPr>
          <w:rFonts w:ascii="Sakkal Majalla" w:eastAsia="Times New Roman" w:hAnsi="Sakkal Majalla" w:cs="Sakkal Majalla"/>
          <w:b/>
          <w:bCs/>
          <w:color w:val="auto"/>
          <w:kern w:val="0"/>
          <w:sz w:val="36"/>
          <w:szCs w:val="36"/>
          <w14:ligatures w14:val="none"/>
        </w:rPr>
      </w:pPr>
      <w:bookmarkStart w:id="31" w:name="_Toc200849155"/>
      <w:r w:rsidRPr="00C152DB">
        <w:rPr>
          <w:rFonts w:ascii="Sakkal Majalla" w:eastAsia="Times New Roman" w:hAnsi="Sakkal Majalla" w:cs="Sakkal Majalla"/>
          <w:b/>
          <w:bCs/>
          <w:color w:val="auto"/>
          <w:kern w:val="0"/>
          <w:sz w:val="36"/>
          <w:szCs w:val="36"/>
          <w:rtl/>
          <w14:ligatures w14:val="none"/>
        </w:rPr>
        <w:t>المبحث الأول: تقييم المخاطر الائتمانية (المتغير المستقل)</w:t>
      </w:r>
      <w:bookmarkEnd w:id="31"/>
    </w:p>
    <w:p w14:paraId="35F04C8A" w14:textId="3119077C" w:rsidR="00FE7043" w:rsidRPr="00C152DB" w:rsidRDefault="00FE7043" w:rsidP="00C152DB">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2" w:name="_Toc200849156"/>
      <w:r w:rsidRPr="00C152DB">
        <w:rPr>
          <w:rFonts w:ascii="Sakkal Majalla" w:eastAsia="Times New Roman" w:hAnsi="Sakkal Majalla" w:cs="Sakkal Majalla"/>
          <w:b/>
          <w:bCs/>
          <w:kern w:val="0"/>
          <w:sz w:val="32"/>
          <w:szCs w:val="32"/>
          <w:rtl/>
          <w14:ligatures w14:val="none"/>
        </w:rPr>
        <w:t>مقدمة</w:t>
      </w:r>
      <w:bookmarkEnd w:id="32"/>
    </w:p>
    <w:p w14:paraId="7AD37A5B" w14:textId="77777777" w:rsidR="00FE7043" w:rsidRPr="00281D95" w:rsidRDefault="00FE7043" w:rsidP="00C152DB">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81D95">
        <w:rPr>
          <w:rFonts w:ascii="Sakkal Majalla" w:eastAsia="Times New Roman" w:hAnsi="Sakkal Majalla" w:cs="Sakkal Majalla"/>
          <w:kern w:val="0"/>
          <w:szCs w:val="28"/>
          <w:rtl/>
          <w14:ligatures w14:val="none"/>
        </w:rPr>
        <w:t xml:space="preserve">يُعد تقييم المخاطر الائتمانية أحد الركائز الأساسية لإدارة الائتمان في المؤسسات المصرفية، إذ يرتبط مباشرةً بجودة قرارات الإقراض وفعالية الأنشطة التمويلية. فكل قرار ائتماني يتضمن عنصرًا من المخاطرة، خصوصًا مع اتساع نطاق الخدمات المالية وتنوع شرائح المقترضين، الأمر الذي يفرض على البنوك اعتماد أنظمة دقيقة وموضوعية لتقييم المخاطر المرتبطة بمنح الائتمان (مهجر، 2023). </w:t>
      </w:r>
    </w:p>
    <w:p w14:paraId="7A085CB5" w14:textId="77777777" w:rsidR="00FE7043" w:rsidRPr="00281D95" w:rsidRDefault="00FE7043" w:rsidP="00C152DB">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81D95">
        <w:rPr>
          <w:rFonts w:ascii="Sakkal Majalla" w:eastAsia="Times New Roman" w:hAnsi="Sakkal Majalla" w:cs="Sakkal Majalla"/>
          <w:kern w:val="0"/>
          <w:szCs w:val="28"/>
          <w:rtl/>
          <w14:ligatures w14:val="none"/>
        </w:rPr>
        <w:t>وتزداد أهمية هذا التقييم في البيئات الاقتصادية المتقلبة، حيث تُمثل القروض غير المنتظمة تحديًا حقيقيًا لاستقرار النظام المصرفي، مما يجعل من تقييم المخاطر وسيلة وقائية جوهرية لتقليل احتمالات التعثر وتوجيه الموارد نحو القطاعات الأكثر أمانًا وربحية</w:t>
      </w:r>
    </w:p>
    <w:p w14:paraId="3F314E7E" w14:textId="596060C1" w:rsidR="00FE7043" w:rsidRPr="00C152DB" w:rsidRDefault="00C152DB" w:rsidP="00C152DB">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3" w:name="_Toc200849157"/>
      <w:r w:rsidRPr="00C152DB">
        <w:rPr>
          <w:rFonts w:ascii="Sakkal Majalla" w:eastAsia="Times New Roman" w:hAnsi="Sakkal Majalla" w:cs="Sakkal Majalla" w:hint="cs"/>
          <w:b/>
          <w:bCs/>
          <w:kern w:val="0"/>
          <w:sz w:val="32"/>
          <w:szCs w:val="32"/>
          <w:rtl/>
          <w14:ligatures w14:val="none"/>
        </w:rPr>
        <w:t xml:space="preserve">1.1.2 </w:t>
      </w:r>
      <w:r w:rsidR="00FE7043" w:rsidRPr="00C152DB">
        <w:rPr>
          <w:rFonts w:ascii="Sakkal Majalla" w:eastAsia="Times New Roman" w:hAnsi="Sakkal Majalla" w:cs="Sakkal Majalla"/>
          <w:b/>
          <w:bCs/>
          <w:kern w:val="0"/>
          <w:sz w:val="32"/>
          <w:szCs w:val="32"/>
          <w:rtl/>
          <w14:ligatures w14:val="none"/>
        </w:rPr>
        <w:t>مفهوم المخاطر الائتمانية</w:t>
      </w:r>
      <w:bookmarkEnd w:id="33"/>
    </w:p>
    <w:p w14:paraId="619D0061" w14:textId="5834F24A" w:rsidR="00FE7043" w:rsidRPr="00281D95" w:rsidRDefault="00FE7043"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تُعد المخاطر الائتمانية من أبرز وأقدم التحديات التي تواجه المؤسسات المصرفية، وهي تعكس درجة التعرض لاحتمال إخفاق العملاء في سداد التزاماتهم المالية تجاه البنك سواء كان ذلك جزئيًا أو كليًا. ويُعتبر هذا المفهوم حجر الزاوية في إدارة المخاطر المصرفية، حيث يرتبط مباشرة بجودة المحفظة الائتمانية، واستقرار الأداء المالي، وقدرة البنك على تحقيق الاستدامة في أنشطته التمويلية</w:t>
      </w:r>
      <w:r w:rsidR="00181367" w:rsidRPr="00281D95">
        <w:rPr>
          <w:rFonts w:ascii="Sakkal Majalla" w:eastAsia="Times New Roman" w:hAnsi="Sakkal Majalla" w:cs="Sakkal Majalla"/>
          <w:kern w:val="0"/>
          <w:szCs w:val="28"/>
          <w:rtl/>
          <w14:ligatures w14:val="none"/>
        </w:rPr>
        <w:t xml:space="preserve">، </w:t>
      </w:r>
      <w:r w:rsidRPr="00281D95">
        <w:rPr>
          <w:rFonts w:ascii="Sakkal Majalla" w:eastAsia="Times New Roman" w:hAnsi="Sakkal Majalla" w:cs="Sakkal Majalla"/>
          <w:kern w:val="0"/>
          <w:szCs w:val="28"/>
          <w:rtl/>
          <w14:ligatures w14:val="none"/>
        </w:rPr>
        <w:t>وقد زادت أهمية إدارة وتقييم المخاطر الائتمانية في ظل توسع البنوك في تقديم التسهيلات الائتمانية، وتنامي المنافسة، وتعقيد الظروف الاقتصادية الإقليمية والدولية</w:t>
      </w:r>
      <w:r w:rsidRPr="00281D95">
        <w:rPr>
          <w:rFonts w:ascii="Sakkal Majalla" w:eastAsia="Times New Roman" w:hAnsi="Sakkal Majalla" w:cs="Sakkal Majalla"/>
          <w:kern w:val="0"/>
          <w:szCs w:val="28"/>
          <w14:ligatures w14:val="none"/>
        </w:rPr>
        <w:t>.</w:t>
      </w:r>
    </w:p>
    <w:p w14:paraId="5F246373" w14:textId="38304375" w:rsidR="00FE7043" w:rsidRPr="00281D95" w:rsidRDefault="00FE7043"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وقد أشار بضياف</w:t>
      </w:r>
      <w:r w:rsidRPr="00281D95">
        <w:rPr>
          <w:rFonts w:ascii="Sakkal Majalla" w:eastAsia="Times New Roman" w:hAnsi="Sakkal Majalla" w:cs="Sakkal Majalla"/>
          <w:kern w:val="0"/>
          <w:szCs w:val="28"/>
          <w14:ligatures w14:val="none"/>
        </w:rPr>
        <w:t xml:space="preserve"> (2023) </w:t>
      </w:r>
      <w:r w:rsidRPr="00281D95">
        <w:rPr>
          <w:rFonts w:ascii="Sakkal Majalla" w:eastAsia="Times New Roman" w:hAnsi="Sakkal Majalla" w:cs="Sakkal Majalla"/>
          <w:kern w:val="0"/>
          <w:szCs w:val="28"/>
          <w:rtl/>
          <w14:ligatures w14:val="none"/>
        </w:rPr>
        <w:t>إلى أن المخاطر الائتمانية تمثل التهديد المباشر الذي يواجه البنوك في حالة تعثر العميل عن السداد، ما يؤدي إلى خسائر مالية محتملة تتطلب تغطية رأسمالية كافية</w:t>
      </w:r>
      <w:r w:rsidR="00181367" w:rsidRPr="00281D95">
        <w:rPr>
          <w:rFonts w:ascii="Sakkal Majalla" w:eastAsia="Times New Roman" w:hAnsi="Sakkal Majalla" w:cs="Sakkal Majalla"/>
          <w:kern w:val="0"/>
          <w:szCs w:val="28"/>
          <w:rtl/>
          <w14:ligatures w14:val="none"/>
        </w:rPr>
        <w:t xml:space="preserve"> </w:t>
      </w:r>
      <w:r w:rsidRPr="00281D95">
        <w:rPr>
          <w:rFonts w:ascii="Sakkal Majalla" w:eastAsia="Times New Roman" w:hAnsi="Sakkal Majalla" w:cs="Sakkal Majalla"/>
          <w:kern w:val="0"/>
          <w:szCs w:val="28"/>
          <w:rtl/>
          <w14:ligatures w14:val="none"/>
        </w:rPr>
        <w:t xml:space="preserve">، </w:t>
      </w:r>
      <w:r w:rsidR="00181367" w:rsidRPr="00281D95">
        <w:rPr>
          <w:rFonts w:ascii="Sakkal Majalla" w:eastAsia="Times New Roman" w:hAnsi="Sakkal Majalla" w:cs="Sakkal Majalla"/>
          <w:kern w:val="0"/>
          <w:szCs w:val="28"/>
          <w:rtl/>
          <w14:ligatures w14:val="none"/>
        </w:rPr>
        <w:t>و</w:t>
      </w:r>
      <w:r w:rsidRPr="00281D95">
        <w:rPr>
          <w:rFonts w:ascii="Sakkal Majalla" w:eastAsia="Times New Roman" w:hAnsi="Sakkal Majalla" w:cs="Sakkal Majalla"/>
          <w:kern w:val="0"/>
          <w:szCs w:val="28"/>
          <w:rtl/>
          <w14:ligatures w14:val="none"/>
        </w:rPr>
        <w:t xml:space="preserve">أكدت دراسة </w:t>
      </w:r>
      <w:r w:rsidRPr="00281D95">
        <w:rPr>
          <w:rFonts w:ascii="Sakkal Majalla" w:eastAsia="Times New Roman" w:hAnsi="Sakkal Majalla" w:cs="Sakkal Majalla"/>
          <w:kern w:val="0"/>
          <w:szCs w:val="28"/>
          <w14:ligatures w14:val="none"/>
        </w:rPr>
        <w:t xml:space="preserve">Adesanya (2024) </w:t>
      </w:r>
      <w:r w:rsidRPr="00281D95">
        <w:rPr>
          <w:rFonts w:ascii="Sakkal Majalla" w:eastAsia="Times New Roman" w:hAnsi="Sakkal Majalla" w:cs="Sakkal Majalla"/>
          <w:kern w:val="0"/>
          <w:szCs w:val="28"/>
          <w:rtl/>
          <w14:ligatures w14:val="none"/>
        </w:rPr>
        <w:t>أن إدارة المخاطر الائتمانية لم تعد عملية تقليدية تعتمد على الخبرة وحدس موظفي الائتمان، بل أصبحت تستند إلى نماذج كمية متقدمة، ونظم تصنيف ائتماني قائمة على التحليل المالي والسلوكي</w:t>
      </w:r>
      <w:r w:rsidRPr="00281D95">
        <w:rPr>
          <w:rFonts w:ascii="Sakkal Majalla" w:eastAsia="Times New Roman" w:hAnsi="Sakkal Majalla" w:cs="Sakkal Majalla"/>
          <w:kern w:val="0"/>
          <w:szCs w:val="28"/>
          <w14:ligatures w14:val="none"/>
        </w:rPr>
        <w:t>.</w:t>
      </w:r>
    </w:p>
    <w:p w14:paraId="5DD82D07" w14:textId="300BE4AF" w:rsidR="00FE7043" w:rsidRPr="00281D95" w:rsidRDefault="00FE7043"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ويُعرف </w:t>
      </w:r>
      <w:r w:rsidRPr="00281D95">
        <w:rPr>
          <w:rFonts w:ascii="Sakkal Majalla" w:eastAsia="Times New Roman" w:hAnsi="Sakkal Majalla" w:cs="Sakkal Majalla"/>
          <w:kern w:val="0"/>
          <w:szCs w:val="28"/>
          <w14:ligatures w14:val="none"/>
        </w:rPr>
        <w:t xml:space="preserve">Arnania-Kepuladze (2024) </w:t>
      </w:r>
      <w:r w:rsidRPr="00281D95">
        <w:rPr>
          <w:rFonts w:ascii="Sakkal Majalla" w:eastAsia="Times New Roman" w:hAnsi="Sakkal Majalla" w:cs="Sakkal Majalla"/>
          <w:kern w:val="0"/>
          <w:szCs w:val="28"/>
          <w:rtl/>
          <w14:ligatures w14:val="none"/>
        </w:rPr>
        <w:t>المخاطر الائتمانية بأنها</w:t>
      </w:r>
      <w:r w:rsidRPr="00281D95">
        <w:rPr>
          <w:rFonts w:ascii="Sakkal Majalla" w:eastAsia="Times New Roman" w:hAnsi="Sakkal Majalla" w:cs="Sakkal Majalla"/>
          <w:kern w:val="0"/>
          <w:szCs w:val="28"/>
          <w14:ligatures w14:val="none"/>
        </w:rPr>
        <w:t>:</w:t>
      </w:r>
      <w:r w:rsidR="00181367" w:rsidRPr="00281D95">
        <w:rPr>
          <w:rFonts w:ascii="Sakkal Majalla" w:eastAsia="Times New Roman" w:hAnsi="Sakkal Majalla" w:cs="Sakkal Majalla"/>
          <w:kern w:val="0"/>
          <w:szCs w:val="28"/>
          <w:rtl/>
          <w14:ligatures w14:val="none"/>
        </w:rPr>
        <w:t xml:space="preserve"> </w:t>
      </w:r>
      <w:r w:rsidRPr="00281D95">
        <w:rPr>
          <w:rFonts w:ascii="Sakkal Majalla" w:eastAsia="Times New Roman" w:hAnsi="Sakkal Majalla" w:cs="Sakkal Majalla"/>
          <w:kern w:val="0"/>
          <w:szCs w:val="28"/>
          <w14:ligatures w14:val="none"/>
        </w:rPr>
        <w:t>"</w:t>
      </w:r>
      <w:r w:rsidRPr="00281D95">
        <w:rPr>
          <w:rFonts w:ascii="Sakkal Majalla" w:eastAsia="Times New Roman" w:hAnsi="Sakkal Majalla" w:cs="Sakkal Majalla"/>
          <w:kern w:val="0"/>
          <w:szCs w:val="28"/>
          <w:rtl/>
          <w14:ligatures w14:val="none"/>
        </w:rPr>
        <w:t>إمكانية أن يتخلف الطرف المقترض عن الوفاء بالتزاماته المالية في الوقت المحدد، نتيجة لعوامل مالية داخلية أو لتغيرات في البيئة الاقتصادية المحيطة، مما يؤدي إلى تعرض المؤسسة المقرضة لخسائر مباشرة أو غير مباشرة</w:t>
      </w:r>
      <w:r w:rsidRPr="00281D95">
        <w:rPr>
          <w:rFonts w:ascii="Sakkal Majalla" w:eastAsia="Times New Roman" w:hAnsi="Sakkal Majalla" w:cs="Sakkal Majalla"/>
          <w:kern w:val="0"/>
          <w:szCs w:val="28"/>
          <w14:ligatures w14:val="none"/>
        </w:rPr>
        <w:t>."</w:t>
      </w:r>
    </w:p>
    <w:p w14:paraId="49445C01" w14:textId="77777777" w:rsidR="00FE7043" w:rsidRPr="00281D95" w:rsidRDefault="00FE7043"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كما اعتبرت دراسة الصائغ</w:t>
      </w:r>
      <w:r w:rsidRPr="00281D95">
        <w:rPr>
          <w:rFonts w:ascii="Sakkal Majalla" w:eastAsia="Times New Roman" w:hAnsi="Sakkal Majalla" w:cs="Sakkal Majalla"/>
          <w:kern w:val="0"/>
          <w:szCs w:val="28"/>
          <w14:ligatures w14:val="none"/>
        </w:rPr>
        <w:t xml:space="preserve"> (2023) </w:t>
      </w:r>
      <w:r w:rsidRPr="00281D95">
        <w:rPr>
          <w:rFonts w:ascii="Sakkal Majalla" w:eastAsia="Times New Roman" w:hAnsi="Sakkal Majalla" w:cs="Sakkal Majalla"/>
          <w:kern w:val="0"/>
          <w:szCs w:val="28"/>
          <w:rtl/>
          <w14:ligatures w14:val="none"/>
        </w:rPr>
        <w:t>أن النماذج الحديثة مثل</w:t>
      </w:r>
      <w:r w:rsidRPr="00281D95">
        <w:rPr>
          <w:rFonts w:ascii="Sakkal Majalla" w:eastAsia="Times New Roman" w:hAnsi="Sakkal Majalla" w:cs="Sakkal Majalla"/>
          <w:kern w:val="0"/>
          <w:szCs w:val="28"/>
          <w14:ligatures w14:val="none"/>
        </w:rPr>
        <w:t xml:space="preserve"> KMV </w:t>
      </w:r>
      <w:r w:rsidRPr="00281D95">
        <w:rPr>
          <w:rFonts w:ascii="Sakkal Majalla" w:eastAsia="Times New Roman" w:hAnsi="Sakkal Majalla" w:cs="Sakkal Majalla"/>
          <w:kern w:val="0"/>
          <w:szCs w:val="28"/>
          <w:rtl/>
          <w14:ligatures w14:val="none"/>
        </w:rPr>
        <w:t>ونظم تصنيف الجدوى الائتمانية قد ساعدت على تحسين التنبؤ بالتعثر وتقليل الاعتماد على الأساليب الذاتية في التقييم</w:t>
      </w:r>
      <w:r w:rsidRPr="00281D95">
        <w:rPr>
          <w:rFonts w:ascii="Sakkal Majalla" w:eastAsia="Times New Roman" w:hAnsi="Sakkal Majalla" w:cs="Sakkal Majalla"/>
          <w:kern w:val="0"/>
          <w:szCs w:val="28"/>
          <w14:ligatures w14:val="none"/>
        </w:rPr>
        <w:t>.</w:t>
      </w:r>
    </w:p>
    <w:p w14:paraId="5E8A72DF" w14:textId="77777777" w:rsidR="00FE7043" w:rsidRPr="00281D95" w:rsidRDefault="00FE7043"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وتشير دراسة </w:t>
      </w:r>
      <w:r w:rsidRPr="00281D95">
        <w:rPr>
          <w:rFonts w:ascii="Sakkal Majalla" w:eastAsia="Times New Roman" w:hAnsi="Sakkal Majalla" w:cs="Sakkal Majalla"/>
          <w:kern w:val="0"/>
          <w:szCs w:val="28"/>
          <w14:ligatures w14:val="none"/>
        </w:rPr>
        <w:t xml:space="preserve">Elumilade et al. (2023) </w:t>
      </w:r>
      <w:r w:rsidRPr="00281D95">
        <w:rPr>
          <w:rFonts w:ascii="Sakkal Majalla" w:eastAsia="Times New Roman" w:hAnsi="Sakkal Majalla" w:cs="Sakkal Majalla"/>
          <w:kern w:val="0"/>
          <w:szCs w:val="28"/>
          <w:rtl/>
          <w14:ligatures w14:val="none"/>
        </w:rPr>
        <w:t>إلى أن استخدام تحليلات البيانات الضخمة وتقنيات الذكاء الاصطناعي يعزز من قدرة البنوك على التنبؤ بالتخلف عن السداد قبل وقوعه، مما يرفع من جودة القرارات الائتمانية ويقلل من معدلات القروض المتعثرة</w:t>
      </w:r>
      <w:r w:rsidRPr="00281D95">
        <w:rPr>
          <w:rFonts w:ascii="Sakkal Majalla" w:eastAsia="Times New Roman" w:hAnsi="Sakkal Majalla" w:cs="Sakkal Majalla"/>
          <w:kern w:val="0"/>
          <w:szCs w:val="28"/>
          <w14:ligatures w14:val="none"/>
        </w:rPr>
        <w:t>.</w:t>
      </w:r>
    </w:p>
    <w:p w14:paraId="0065AD0F" w14:textId="77777777" w:rsidR="00FE7043" w:rsidRPr="00281D95" w:rsidRDefault="00FE7043"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وقد أكدت دراسة العمري وكلبونة</w:t>
      </w:r>
      <w:r w:rsidRPr="00281D95">
        <w:rPr>
          <w:rFonts w:ascii="Sakkal Majalla" w:eastAsia="Times New Roman" w:hAnsi="Sakkal Majalla" w:cs="Sakkal Majalla"/>
          <w:kern w:val="0"/>
          <w:szCs w:val="28"/>
          <w14:ligatures w14:val="none"/>
        </w:rPr>
        <w:t xml:space="preserve"> (2022) </w:t>
      </w:r>
      <w:r w:rsidRPr="00281D95">
        <w:rPr>
          <w:rFonts w:ascii="Sakkal Majalla" w:eastAsia="Times New Roman" w:hAnsi="Sakkal Majalla" w:cs="Sakkal Majalla"/>
          <w:kern w:val="0"/>
          <w:szCs w:val="28"/>
          <w:rtl/>
          <w14:ligatures w14:val="none"/>
        </w:rPr>
        <w:t>أن المخاطر الائتمانية في البنوك التجارية ترتبط ارتباطًا وثيقًا بجودة عمليات التقييم السابقة لمنح التسهيلات، وأن إهمال عوامل مثل التدفقات النقدية المتوقعة، والسجل الائتماني، والتغيرات الاقتصادية، يسهم في تضخم مستوى المخاطرة بشكل كبير</w:t>
      </w:r>
      <w:r w:rsidRPr="00281D95">
        <w:rPr>
          <w:rFonts w:ascii="Sakkal Majalla" w:eastAsia="Times New Roman" w:hAnsi="Sakkal Majalla" w:cs="Sakkal Majalla"/>
          <w:kern w:val="0"/>
          <w:szCs w:val="28"/>
          <w14:ligatures w14:val="none"/>
        </w:rPr>
        <w:t>.</w:t>
      </w:r>
    </w:p>
    <w:p w14:paraId="57ACB5F8" w14:textId="5D5E1222" w:rsidR="00FE7043" w:rsidRPr="00281D95" w:rsidRDefault="00181367"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و</w:t>
      </w:r>
      <w:r w:rsidR="00FE7043" w:rsidRPr="00281D95">
        <w:rPr>
          <w:rFonts w:ascii="Sakkal Majalla" w:eastAsia="Times New Roman" w:hAnsi="Sakkal Majalla" w:cs="Sakkal Majalla"/>
          <w:kern w:val="0"/>
          <w:szCs w:val="28"/>
          <w:rtl/>
          <w14:ligatures w14:val="none"/>
        </w:rPr>
        <w:t xml:space="preserve"> بيّنت دراسة </w:t>
      </w:r>
      <w:r w:rsidR="00FE7043" w:rsidRPr="00281D95">
        <w:rPr>
          <w:rFonts w:ascii="Sakkal Majalla" w:eastAsia="Times New Roman" w:hAnsi="Sakkal Majalla" w:cs="Sakkal Majalla"/>
          <w:kern w:val="0"/>
          <w:szCs w:val="28"/>
          <w14:ligatures w14:val="none"/>
        </w:rPr>
        <w:t xml:space="preserve">Gupta et al. (2024) </w:t>
      </w:r>
      <w:r w:rsidR="00FE7043" w:rsidRPr="00281D95">
        <w:rPr>
          <w:rFonts w:ascii="Sakkal Majalla" w:eastAsia="Times New Roman" w:hAnsi="Sakkal Majalla" w:cs="Sakkal Majalla"/>
          <w:kern w:val="0"/>
          <w:szCs w:val="28"/>
          <w:rtl/>
          <w14:ligatures w14:val="none"/>
        </w:rPr>
        <w:t>أن إدماج تقنيات الذكاء الاصطناعي في تقييم الجدارة الائتمانية أتاح للبنوك بناء نماذج تصنيف أكثر مرونة ودقة، ما عزز من كفاءة عمليات الإقراض ورفع من مستوى الأمان المالي</w:t>
      </w:r>
      <w:r w:rsidR="00FE7043" w:rsidRPr="00281D95">
        <w:rPr>
          <w:rFonts w:ascii="Sakkal Majalla" w:eastAsia="Times New Roman" w:hAnsi="Sakkal Majalla" w:cs="Sakkal Majalla"/>
          <w:kern w:val="0"/>
          <w:szCs w:val="28"/>
          <w14:ligatures w14:val="none"/>
        </w:rPr>
        <w:t>.</w:t>
      </w:r>
    </w:p>
    <w:p w14:paraId="78057AFC" w14:textId="2B6ED886" w:rsidR="00FE7043"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و</w:t>
      </w:r>
      <w:r w:rsidR="00FE7043" w:rsidRPr="00281D95">
        <w:rPr>
          <w:rFonts w:ascii="Sakkal Majalla" w:eastAsia="Times New Roman" w:hAnsi="Sakkal Majalla" w:cs="Sakkal Majalla"/>
          <w:kern w:val="0"/>
          <w:szCs w:val="28"/>
          <w:rtl/>
          <w14:ligatures w14:val="none"/>
        </w:rPr>
        <w:t>يرى الباحث أن مفهوم المخاطر الائتمانية لا يُعد فقط إطارًا تقنيًا لتقييم مدى التزام العميل بالسداد، بل هو مؤشر شامل لكفاءة النظام المصرفي وقدرته على إدارة الموارد المالية بشكل مسؤول واستباقي</w:t>
      </w:r>
      <w:r w:rsidR="00FE7043" w:rsidRPr="00281D95">
        <w:rPr>
          <w:rFonts w:ascii="Sakkal Majalla" w:eastAsia="Times New Roman" w:hAnsi="Sakkal Majalla" w:cs="Sakkal Majalla"/>
          <w:kern w:val="0"/>
          <w:szCs w:val="28"/>
          <w14:ligatures w14:val="none"/>
        </w:rPr>
        <w:t xml:space="preserve">. </w:t>
      </w:r>
      <w:r w:rsidR="00FE7043" w:rsidRPr="00281D95">
        <w:rPr>
          <w:rFonts w:ascii="Sakkal Majalla" w:eastAsia="Times New Roman" w:hAnsi="Sakkal Majalla" w:cs="Sakkal Majalla"/>
          <w:kern w:val="0"/>
          <w:szCs w:val="28"/>
          <w:rtl/>
          <w14:ligatures w14:val="none"/>
        </w:rPr>
        <w:t>كما أن إدارة هذه المخاطر ترتبط ارتباطًا عضويًا بجودة القرار الائتماني نفسه، حيث إن أي ضعف في التقييم سينعكس مباشرة على أداء المحفظة وعلى مستويات السيولة والربحية</w:t>
      </w:r>
      <w:r w:rsidR="00181367" w:rsidRPr="00281D95">
        <w:rPr>
          <w:rFonts w:ascii="Sakkal Majalla" w:eastAsia="Times New Roman" w:hAnsi="Sakkal Majalla" w:cs="Sakkal Majalla"/>
          <w:kern w:val="0"/>
          <w:szCs w:val="28"/>
          <w:rtl/>
          <w14:ligatures w14:val="none"/>
        </w:rPr>
        <w:t>، و</w:t>
      </w:r>
      <w:r w:rsidR="00FE7043" w:rsidRPr="00281D95">
        <w:rPr>
          <w:rFonts w:ascii="Sakkal Majalla" w:eastAsia="Times New Roman" w:hAnsi="Sakkal Majalla" w:cs="Sakkal Majalla"/>
          <w:kern w:val="0"/>
          <w:szCs w:val="28"/>
          <w:rtl/>
          <w14:ligatures w14:val="none"/>
        </w:rPr>
        <w:t xml:space="preserve">أن البنوك التجارية السعودية قد قطعت شوطًا كبيرًا في بناء أنظمة لتقييم ومراقبة المخاطر الائتمانية، خاصةً بعد الأزمات العالمية وتطبيق معايير </w:t>
      </w:r>
      <w:r w:rsidR="00FE7043" w:rsidRPr="00281D95">
        <w:rPr>
          <w:rFonts w:ascii="Sakkal Majalla" w:eastAsia="Times New Roman" w:hAnsi="Sakkal Majalla" w:cs="Sakkal Majalla"/>
          <w:b/>
          <w:bCs/>
          <w:kern w:val="0"/>
          <w:szCs w:val="28"/>
          <w:rtl/>
          <w14:ligatures w14:val="none"/>
        </w:rPr>
        <w:t>بازل</w:t>
      </w:r>
      <w:r w:rsidR="00FE7043" w:rsidRPr="00281D95">
        <w:rPr>
          <w:rFonts w:ascii="Sakkal Majalla" w:eastAsia="Times New Roman" w:hAnsi="Sakkal Majalla" w:cs="Sakkal Majalla"/>
          <w:b/>
          <w:bCs/>
          <w:kern w:val="0"/>
          <w:szCs w:val="28"/>
          <w14:ligatures w14:val="none"/>
        </w:rPr>
        <w:t xml:space="preserve"> III</w:t>
      </w:r>
      <w:r w:rsidR="00FE7043" w:rsidRPr="00281D95">
        <w:rPr>
          <w:rFonts w:ascii="Sakkal Majalla" w:eastAsia="Times New Roman" w:hAnsi="Sakkal Majalla" w:cs="Sakkal Majalla"/>
          <w:kern w:val="0"/>
          <w:szCs w:val="28"/>
          <w14:ligatures w14:val="none"/>
        </w:rPr>
        <w:t xml:space="preserve">. </w:t>
      </w:r>
      <w:r w:rsidR="00FE7043" w:rsidRPr="00281D95">
        <w:rPr>
          <w:rFonts w:ascii="Sakkal Majalla" w:eastAsia="Times New Roman" w:hAnsi="Sakkal Majalla" w:cs="Sakkal Majalla"/>
          <w:kern w:val="0"/>
          <w:szCs w:val="28"/>
          <w:rtl/>
          <w14:ligatures w14:val="none"/>
        </w:rPr>
        <w:t xml:space="preserve">غير أن التوسع في الإقراض لقطاعات جديدة مثل </w:t>
      </w:r>
      <w:r w:rsidR="00FE7043" w:rsidRPr="00281D95">
        <w:rPr>
          <w:rFonts w:ascii="Sakkal Majalla" w:eastAsia="Times New Roman" w:hAnsi="Sakkal Majalla" w:cs="Sakkal Majalla"/>
          <w:b/>
          <w:bCs/>
          <w:kern w:val="0"/>
          <w:szCs w:val="28"/>
          <w:rtl/>
          <w14:ligatures w14:val="none"/>
        </w:rPr>
        <w:t>المشروعات الصغيرة والمتوسطة</w:t>
      </w:r>
      <w:r w:rsidR="00FE7043" w:rsidRPr="00281D95">
        <w:rPr>
          <w:rFonts w:ascii="Sakkal Majalla" w:eastAsia="Times New Roman" w:hAnsi="Sakkal Majalla" w:cs="Sakkal Majalla"/>
          <w:kern w:val="0"/>
          <w:szCs w:val="28"/>
          <w:rtl/>
          <w14:ligatures w14:val="none"/>
        </w:rPr>
        <w:t xml:space="preserve">، وتزايد الاعتماد على </w:t>
      </w:r>
      <w:r w:rsidR="00FE7043" w:rsidRPr="00281D95">
        <w:rPr>
          <w:rFonts w:ascii="Sakkal Majalla" w:eastAsia="Times New Roman" w:hAnsi="Sakkal Majalla" w:cs="Sakkal Majalla"/>
          <w:b/>
          <w:bCs/>
          <w:kern w:val="0"/>
          <w:szCs w:val="28"/>
          <w:rtl/>
          <w14:ligatures w14:val="none"/>
        </w:rPr>
        <w:t>الخدمات المصرفية الرقمية</w:t>
      </w:r>
      <w:r w:rsidR="00FE7043" w:rsidRPr="00281D95">
        <w:rPr>
          <w:rFonts w:ascii="Sakkal Majalla" w:eastAsia="Times New Roman" w:hAnsi="Sakkal Majalla" w:cs="Sakkal Majalla"/>
          <w:kern w:val="0"/>
          <w:szCs w:val="28"/>
          <w:rtl/>
          <w14:ligatures w14:val="none"/>
        </w:rPr>
        <w:t>، قد ولّد تحديات نوعية تتطلب مراجعة دائمة للنماذج المستخدمة في التقييم وتوسيع نطاق البيانات المستند إليها</w:t>
      </w:r>
      <w:r w:rsidR="00FE7043" w:rsidRPr="00281D95">
        <w:rPr>
          <w:rFonts w:ascii="Sakkal Majalla" w:eastAsia="Times New Roman" w:hAnsi="Sakkal Majalla" w:cs="Sakkal Majalla"/>
          <w:kern w:val="0"/>
          <w:szCs w:val="28"/>
          <w14:ligatures w14:val="none"/>
        </w:rPr>
        <w:t>.</w:t>
      </w:r>
    </w:p>
    <w:p w14:paraId="067734F2" w14:textId="566D3A6F" w:rsidR="00921C89" w:rsidRPr="00C152DB" w:rsidRDefault="00C152DB" w:rsidP="00C152DB">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4" w:name="_Toc200849158"/>
      <w:r w:rsidRPr="00C152DB">
        <w:rPr>
          <w:rFonts w:ascii="Sakkal Majalla" w:eastAsia="Times New Roman" w:hAnsi="Sakkal Majalla" w:cs="Sakkal Majalla" w:hint="cs"/>
          <w:b/>
          <w:bCs/>
          <w:kern w:val="0"/>
          <w:sz w:val="32"/>
          <w:szCs w:val="32"/>
          <w:rtl/>
          <w14:ligatures w14:val="none"/>
        </w:rPr>
        <w:t>2.1.2</w:t>
      </w:r>
      <w:r w:rsidR="00921C89" w:rsidRPr="00C152DB">
        <w:rPr>
          <w:rFonts w:ascii="Sakkal Majalla" w:eastAsia="Times New Roman" w:hAnsi="Sakkal Majalla" w:cs="Sakkal Majalla"/>
          <w:b/>
          <w:bCs/>
          <w:kern w:val="0"/>
          <w:sz w:val="32"/>
          <w:szCs w:val="32"/>
          <w:rtl/>
          <w14:ligatures w14:val="none"/>
        </w:rPr>
        <w:t xml:space="preserve"> أنواع المخاطر الائتمانية</w:t>
      </w:r>
      <w:bookmarkEnd w:id="34"/>
    </w:p>
    <w:p w14:paraId="228E575B" w14:textId="77777777" w:rsidR="00181367"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81D95">
        <w:rPr>
          <w:rFonts w:ascii="Sakkal Majalla" w:eastAsia="Times New Roman" w:hAnsi="Sakkal Majalla" w:cs="Sakkal Majalla"/>
          <w:kern w:val="0"/>
          <w:szCs w:val="28"/>
          <w:rtl/>
          <w14:ligatures w14:val="none"/>
        </w:rPr>
        <w:t>تتنوع المخاطر الائتمانية التي تواجه البنوك التجارية من حيث مصدرها، ونطاق تأثيرها، وطبيعة العلاقة التعاقدية التي تنشأ من خلالها</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ويمثل التصنيف الدقيق لأنواع المخاطر الائتمانية خطوة أساسية في تصميم أنظمة فعالة للتقييم والتحليل، حيث يساعد على تبني استراتيجيات إدارة ملائمة لكل نوع من هذه المخاطر، وبالتالي التخفيف من آثارها السلبية على الاستقرار المالي للمؤسسات المصرفية. </w:t>
      </w:r>
    </w:p>
    <w:p w14:paraId="2636E189" w14:textId="619815EF"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وقد أشارت دراسة </w:t>
      </w:r>
      <w:r w:rsidRPr="00281D95">
        <w:rPr>
          <w:rFonts w:ascii="Sakkal Majalla" w:eastAsia="Times New Roman" w:hAnsi="Sakkal Majalla" w:cs="Sakkal Majalla"/>
          <w:b/>
          <w:bCs/>
          <w:kern w:val="0"/>
          <w:szCs w:val="28"/>
          <w:rtl/>
          <w14:ligatures w14:val="none"/>
        </w:rPr>
        <w:t>مهجر</w:t>
      </w:r>
      <w:r w:rsidRPr="00281D95">
        <w:rPr>
          <w:rFonts w:ascii="Sakkal Majalla" w:eastAsia="Times New Roman" w:hAnsi="Sakkal Majalla" w:cs="Sakkal Majalla"/>
          <w:b/>
          <w:bCs/>
          <w:kern w:val="0"/>
          <w:szCs w:val="28"/>
          <w14:ligatures w14:val="none"/>
        </w:rPr>
        <w:t xml:space="preserve"> (2023)</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إلى أن تجاهل التباينات بين أنواع المخاطر قد يؤدي إلى فشل البنوك في تقدير حجم انكشافها الحقيقي، مما يُضعف من جودة القرارات التمويلية</w:t>
      </w:r>
      <w:r w:rsidRPr="00281D95">
        <w:rPr>
          <w:rFonts w:ascii="Sakkal Majalla" w:eastAsia="Times New Roman" w:hAnsi="Sakkal Majalla" w:cs="Sakkal Majalla"/>
          <w:kern w:val="0"/>
          <w:szCs w:val="28"/>
          <w14:ligatures w14:val="none"/>
        </w:rPr>
        <w:t>.</w:t>
      </w:r>
    </w:p>
    <w:p w14:paraId="22771266" w14:textId="67EB769B" w:rsidR="00921C89"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1. </w:t>
      </w:r>
      <w:r w:rsidR="00921C89" w:rsidRPr="00281D95">
        <w:rPr>
          <w:rFonts w:ascii="Sakkal Majalla" w:eastAsia="Times New Roman" w:hAnsi="Sakkal Majalla" w:cs="Sakkal Majalla"/>
          <w:b/>
          <w:bCs/>
          <w:kern w:val="0"/>
          <w:szCs w:val="28"/>
          <w:rtl/>
          <w14:ligatures w14:val="none"/>
        </w:rPr>
        <w:t>المخاطر الائتمانية الفردية</w:t>
      </w:r>
      <w:r w:rsidR="00921C89" w:rsidRPr="00281D95">
        <w:rPr>
          <w:rFonts w:ascii="Sakkal Majalla" w:eastAsia="Times New Roman" w:hAnsi="Sakkal Majalla" w:cs="Sakkal Majalla"/>
          <w:b/>
          <w:bCs/>
          <w:kern w:val="0"/>
          <w:szCs w:val="28"/>
          <w14:ligatures w14:val="none"/>
        </w:rPr>
        <w:t xml:space="preserve"> (Individual Credit Risk)</w:t>
      </w:r>
    </w:p>
    <w:p w14:paraId="4D098D6C" w14:textId="7E28FE4A"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تُشير إلى احتمال تعثر عميل محدد في سداد التزاماته المالية تجاه البنك، سواء كان فردًا أو مؤسسة. ويُعد هذا النوع من المخاطر هو الأكثر مباشرة وتأثيرًا، حيث تتكبد البنوك خسائر فورية أو مستقبلية عند تعثر العملاء عن السداد. وتزداد خطورة هذا النوع في حال غياب تحليل دقيق للجدارة الائتمانية أو الاعتماد على معلومات غير مكتملة عند اتخاذ القرار الائتماني</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وقد أكدت دراسة جعفر وبدروني</w:t>
      </w:r>
      <w:r w:rsidRPr="00281D95">
        <w:rPr>
          <w:rFonts w:ascii="Sakkal Majalla" w:eastAsia="Times New Roman" w:hAnsi="Sakkal Majalla" w:cs="Sakkal Majalla"/>
          <w:kern w:val="0"/>
          <w:szCs w:val="28"/>
          <w14:ligatures w14:val="none"/>
        </w:rPr>
        <w:t xml:space="preserve"> (2022) </w:t>
      </w:r>
      <w:r w:rsidRPr="00281D95">
        <w:rPr>
          <w:rFonts w:ascii="Sakkal Majalla" w:eastAsia="Times New Roman" w:hAnsi="Sakkal Majalla" w:cs="Sakkal Majalla"/>
          <w:kern w:val="0"/>
          <w:szCs w:val="28"/>
          <w:rtl/>
          <w14:ligatures w14:val="none"/>
        </w:rPr>
        <w:t>أن ما يقارب 60% من القروض المتعثرة في البنوك الجزائرية كانت نتيجة لمنح ائتمان لعملاء دون تحليل مالي معمق أو تقييم فعلي للسلوك الائتماني السابق</w:t>
      </w:r>
      <w:r w:rsidRPr="00281D95">
        <w:rPr>
          <w:rFonts w:ascii="Sakkal Majalla" w:eastAsia="Times New Roman" w:hAnsi="Sakkal Majalla" w:cs="Sakkal Majalla"/>
          <w:kern w:val="0"/>
          <w:szCs w:val="28"/>
          <w14:ligatures w14:val="none"/>
        </w:rPr>
        <w:t>.</w:t>
      </w:r>
    </w:p>
    <w:p w14:paraId="0283552F" w14:textId="1ADBCADD" w:rsidR="00921C89"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2. </w:t>
      </w:r>
      <w:r w:rsidR="00921C89" w:rsidRPr="00281D95">
        <w:rPr>
          <w:rFonts w:ascii="Sakkal Majalla" w:eastAsia="Times New Roman" w:hAnsi="Sakkal Majalla" w:cs="Sakkal Majalla"/>
          <w:b/>
          <w:bCs/>
          <w:kern w:val="0"/>
          <w:szCs w:val="28"/>
          <w:rtl/>
          <w14:ligatures w14:val="none"/>
        </w:rPr>
        <w:t>مخاطر المحفظة الائتمانية</w:t>
      </w:r>
      <w:r w:rsidR="00921C89" w:rsidRPr="00281D95">
        <w:rPr>
          <w:rFonts w:ascii="Sakkal Majalla" w:eastAsia="Times New Roman" w:hAnsi="Sakkal Majalla" w:cs="Sakkal Majalla"/>
          <w:b/>
          <w:bCs/>
          <w:kern w:val="0"/>
          <w:szCs w:val="28"/>
          <w14:ligatures w14:val="none"/>
        </w:rPr>
        <w:t xml:space="preserve"> (Portfolio Credit Risk)</w:t>
      </w:r>
    </w:p>
    <w:p w14:paraId="0367A39A" w14:textId="10859ECC"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تتعلق هذه المخاطر بالتركيبة العامة لمحفظة القروض لدى البنك، حيث قد يؤدي التركز الائتماني في قطاع اقتصادي واحد أو منطقة جغرافية محددة إلى رفع درجة التعرض للمخاطر عند حدوث أزمة تؤثر على هذا القطاع أو المنطقة. فمثلًا، إذا كانت نسبة كبيرة من المحفظة مركزة في قطاع العقارات، فإن أي انخفاض في أسعار السوق قد يؤدي إلى تعثر عدد كبير من العملاء في وقت واحد</w:t>
      </w:r>
      <w:r w:rsidR="00181367" w:rsidRPr="00281D95">
        <w:rPr>
          <w:rFonts w:ascii="Sakkal Majalla" w:eastAsia="Times New Roman" w:hAnsi="Sakkal Majalla" w:cs="Sakkal Majalla"/>
          <w:kern w:val="0"/>
          <w:szCs w:val="28"/>
          <w:rtl/>
          <w14:ligatures w14:val="none"/>
        </w:rPr>
        <w:t xml:space="preserve">، </w:t>
      </w:r>
      <w:r w:rsidRPr="00281D95">
        <w:rPr>
          <w:rFonts w:ascii="Sakkal Majalla" w:eastAsia="Times New Roman" w:hAnsi="Sakkal Majalla" w:cs="Sakkal Majalla"/>
          <w:kern w:val="0"/>
          <w:szCs w:val="28"/>
          <w:rtl/>
          <w14:ligatures w14:val="none"/>
        </w:rPr>
        <w:t xml:space="preserve">وقد أشارت </w:t>
      </w:r>
      <w:r w:rsidRPr="00281D95">
        <w:rPr>
          <w:rFonts w:ascii="Sakkal Majalla" w:eastAsia="Times New Roman" w:hAnsi="Sakkal Majalla" w:cs="Sakkal Majalla"/>
          <w:b/>
          <w:bCs/>
          <w:kern w:val="0"/>
          <w:szCs w:val="28"/>
          <w:rtl/>
          <w14:ligatures w14:val="none"/>
        </w:rPr>
        <w:t>دراسة بن زكة وبوشرمة</w:t>
      </w:r>
      <w:r w:rsidRPr="00281D95">
        <w:rPr>
          <w:rFonts w:ascii="Sakkal Majalla" w:eastAsia="Times New Roman" w:hAnsi="Sakkal Majalla" w:cs="Sakkal Majalla"/>
          <w:b/>
          <w:bCs/>
          <w:kern w:val="0"/>
          <w:szCs w:val="28"/>
          <w14:ligatures w14:val="none"/>
        </w:rPr>
        <w:t xml:space="preserve"> (2023)</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إلى أن البنوك التي تُطبق سياسات تنويع ائتماني ذكية تمكنت من تخفيض نسبة القروض المتعثرة بنسبة تتجاوز 25% خلال خمس سنوات</w:t>
      </w:r>
      <w:r w:rsidRPr="00281D95">
        <w:rPr>
          <w:rFonts w:ascii="Sakkal Majalla" w:eastAsia="Times New Roman" w:hAnsi="Sakkal Majalla" w:cs="Sakkal Majalla"/>
          <w:kern w:val="0"/>
          <w:szCs w:val="28"/>
          <w14:ligatures w14:val="none"/>
        </w:rPr>
        <w:t>.</w:t>
      </w:r>
    </w:p>
    <w:p w14:paraId="39FBEEEA" w14:textId="67FE9259" w:rsidR="00921C89"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3. </w:t>
      </w:r>
      <w:r w:rsidR="00921C89" w:rsidRPr="00281D95">
        <w:rPr>
          <w:rFonts w:ascii="Sakkal Majalla" w:eastAsia="Times New Roman" w:hAnsi="Sakkal Majalla" w:cs="Sakkal Majalla"/>
          <w:b/>
          <w:bCs/>
          <w:kern w:val="0"/>
          <w:szCs w:val="28"/>
          <w:rtl/>
          <w14:ligatures w14:val="none"/>
        </w:rPr>
        <w:t>مخاطر الائتمان السيادي</w:t>
      </w:r>
      <w:r w:rsidR="00921C89" w:rsidRPr="00281D95">
        <w:rPr>
          <w:rFonts w:ascii="Sakkal Majalla" w:eastAsia="Times New Roman" w:hAnsi="Sakkal Majalla" w:cs="Sakkal Majalla"/>
          <w:b/>
          <w:bCs/>
          <w:kern w:val="0"/>
          <w:szCs w:val="28"/>
          <w14:ligatures w14:val="none"/>
        </w:rPr>
        <w:t xml:space="preserve"> (Sovereign Credit Risk)</w:t>
      </w:r>
    </w:p>
    <w:p w14:paraId="110958AC" w14:textId="3E44D0D9"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تنشأ عند تقديم قروض أو تسهيلات مالية لحكومات أو مؤسسات عامة في دول قد تعاني من تقلبات سياسية أو اقتصادية، مما يهدد قدرة تلك الجهات على الوفاء بالتزاماتها المالية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وتُعد هذه المخاطر أكثر تعقيدًا نظرًا لارتباطها بعوامل لا يمكن السيطرة عليها بسهولة، مثل التغيرات في السياسات الاقتصادية أو العقوبات الدولية أو تقلبات أسعار السلع العالمية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وقد تناولت </w:t>
      </w:r>
      <w:r w:rsidRPr="00281D95">
        <w:rPr>
          <w:rFonts w:ascii="Sakkal Majalla" w:eastAsia="Times New Roman" w:hAnsi="Sakkal Majalla" w:cs="Sakkal Majalla"/>
          <w:b/>
          <w:bCs/>
          <w:kern w:val="0"/>
          <w:szCs w:val="28"/>
          <w:rtl/>
          <w14:ligatures w14:val="none"/>
        </w:rPr>
        <w:t>دراسة</w:t>
      </w:r>
      <w:r w:rsidRPr="00281D95">
        <w:rPr>
          <w:rFonts w:ascii="Sakkal Majalla" w:eastAsia="Times New Roman" w:hAnsi="Sakkal Majalla" w:cs="Sakkal Majalla"/>
          <w:b/>
          <w:bCs/>
          <w:kern w:val="0"/>
          <w:szCs w:val="28"/>
          <w14:ligatures w14:val="none"/>
        </w:rPr>
        <w:t xml:space="preserve"> Abdelaziz, Rim &amp; Helmi (2022)</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هذه المسألة في سياق البنوك العاملة في منطقة الشرق الأوسط وشمال إفريقيا، مؤكدة أن الانكشاف على الديون السيادية في دول غير مستقرة يؤدي إلى ضعف الأداء المالي الكلي للبنك وارتفاع مخصصات الخسائر</w:t>
      </w:r>
      <w:r w:rsidRPr="00281D95">
        <w:rPr>
          <w:rFonts w:ascii="Sakkal Majalla" w:eastAsia="Times New Roman" w:hAnsi="Sakkal Majalla" w:cs="Sakkal Majalla"/>
          <w:kern w:val="0"/>
          <w:szCs w:val="28"/>
          <w14:ligatures w14:val="none"/>
        </w:rPr>
        <w:t>.</w:t>
      </w:r>
    </w:p>
    <w:p w14:paraId="2E9B8897" w14:textId="2E1F9D56" w:rsidR="00921C89"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4. </w:t>
      </w:r>
      <w:r w:rsidR="00921C89" w:rsidRPr="00281D95">
        <w:rPr>
          <w:rFonts w:ascii="Sakkal Majalla" w:eastAsia="Times New Roman" w:hAnsi="Sakkal Majalla" w:cs="Sakkal Majalla"/>
          <w:b/>
          <w:bCs/>
          <w:kern w:val="0"/>
          <w:szCs w:val="28"/>
          <w:rtl/>
          <w14:ligatures w14:val="none"/>
        </w:rPr>
        <w:t>مخاطر الائتمان غير المباشر</w:t>
      </w:r>
      <w:r w:rsidR="00921C89" w:rsidRPr="00281D95">
        <w:rPr>
          <w:rFonts w:ascii="Sakkal Majalla" w:eastAsia="Times New Roman" w:hAnsi="Sakkal Majalla" w:cs="Sakkal Majalla"/>
          <w:b/>
          <w:bCs/>
          <w:kern w:val="0"/>
          <w:szCs w:val="28"/>
          <w14:ligatures w14:val="none"/>
        </w:rPr>
        <w:t xml:space="preserve"> (Contingent Credit Risk)</w:t>
      </w:r>
    </w:p>
    <w:p w14:paraId="1FD3D4FC" w14:textId="6DAE04B3"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تنتج هذه المخاطر من التزامات غير مباشرة لا تظهر كقروض مباشرة في الميزانية العمومية للبنك، مثل الكفالات المصرفية وخطابات الاعتماد وخطابات الضمان</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وعلى الرغم من أن هذه التسهيلات لا تتطلب سدادًا فوريًا، إلا أن البنك قد يُجبر على تغطيتها حال إخفاق الطرف المدعوم في الوفاء بالتزاماته، مما يزيد من عبء التمويل والمخاطرة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وقد أظهرت </w:t>
      </w:r>
      <w:r w:rsidRPr="00281D95">
        <w:rPr>
          <w:rFonts w:ascii="Sakkal Majalla" w:eastAsia="Times New Roman" w:hAnsi="Sakkal Majalla" w:cs="Sakkal Majalla"/>
          <w:b/>
          <w:bCs/>
          <w:kern w:val="0"/>
          <w:szCs w:val="28"/>
          <w:rtl/>
          <w14:ligatures w14:val="none"/>
        </w:rPr>
        <w:t>دراسة</w:t>
      </w:r>
      <w:r w:rsidRPr="00281D95">
        <w:rPr>
          <w:rFonts w:ascii="Sakkal Majalla" w:eastAsia="Times New Roman" w:hAnsi="Sakkal Majalla" w:cs="Sakkal Majalla"/>
          <w:b/>
          <w:bCs/>
          <w:kern w:val="0"/>
          <w:szCs w:val="28"/>
          <w14:ligatures w14:val="none"/>
        </w:rPr>
        <w:t xml:space="preserve"> Budianto (2023)</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أن البنوك التي تتوسع في منح التسهيلات غير المباشرة دون تقييم دقيق لقدرة العميل المدعوم، تواجه معدلات خسارة مرتفعة عند تحوّل الالتزامات إلى التزامات فعلية</w:t>
      </w:r>
      <w:r w:rsidRPr="00281D95">
        <w:rPr>
          <w:rFonts w:ascii="Sakkal Majalla" w:eastAsia="Times New Roman" w:hAnsi="Sakkal Majalla" w:cs="Sakkal Majalla"/>
          <w:kern w:val="0"/>
          <w:szCs w:val="28"/>
          <w14:ligatures w14:val="none"/>
        </w:rPr>
        <w:t>.</w:t>
      </w:r>
    </w:p>
    <w:p w14:paraId="1C9E9001" w14:textId="36319486" w:rsidR="00921C89"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5. </w:t>
      </w:r>
      <w:r w:rsidR="00921C89" w:rsidRPr="00281D95">
        <w:rPr>
          <w:rFonts w:ascii="Sakkal Majalla" w:eastAsia="Times New Roman" w:hAnsi="Sakkal Majalla" w:cs="Sakkal Majalla"/>
          <w:b/>
          <w:bCs/>
          <w:kern w:val="0"/>
          <w:szCs w:val="28"/>
          <w:rtl/>
          <w14:ligatures w14:val="none"/>
        </w:rPr>
        <w:t>مخاطر التركز الائتماني</w:t>
      </w:r>
      <w:r w:rsidR="00921C89" w:rsidRPr="00281D95">
        <w:rPr>
          <w:rFonts w:ascii="Sakkal Majalla" w:eastAsia="Times New Roman" w:hAnsi="Sakkal Majalla" w:cs="Sakkal Majalla"/>
          <w:b/>
          <w:bCs/>
          <w:kern w:val="0"/>
          <w:szCs w:val="28"/>
          <w14:ligatures w14:val="none"/>
        </w:rPr>
        <w:t xml:space="preserve"> (Credit Concentration Risk)</w:t>
      </w:r>
    </w:p>
    <w:p w14:paraId="0A0742A5" w14:textId="7EB9C537"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تنشأ هذه المخاطر عند تراكم التسهيلات الائتمانية في شريحة محددة من العملاء أو في قطاع معين أو منطقة جغرافية، مما يزيد من حساسية البنك لأي تغيرات تؤثر على هذه الفئة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ويُعتبر التركز الائتماني تحديًا استراتيجيًا لأنه يُضعف من مرونة البنك ويزيد من احتمالية الانكشاف الشامل في حال حدوث صدمة اقتصادية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ووفقًا لدراسة </w:t>
      </w:r>
      <w:r w:rsidRPr="00281D95">
        <w:rPr>
          <w:rFonts w:ascii="Sakkal Majalla" w:eastAsia="Times New Roman" w:hAnsi="Sakkal Majalla" w:cs="Sakkal Majalla"/>
          <w:b/>
          <w:bCs/>
          <w:kern w:val="0"/>
          <w:szCs w:val="28"/>
          <w:rtl/>
          <w14:ligatures w14:val="none"/>
        </w:rPr>
        <w:t>الطائي</w:t>
      </w:r>
      <w:r w:rsidRPr="00281D95">
        <w:rPr>
          <w:rFonts w:ascii="Sakkal Majalla" w:eastAsia="Times New Roman" w:hAnsi="Sakkal Majalla" w:cs="Sakkal Majalla"/>
          <w:b/>
          <w:bCs/>
          <w:kern w:val="0"/>
          <w:szCs w:val="28"/>
          <w14:ligatures w14:val="none"/>
        </w:rPr>
        <w:t xml:space="preserve"> (2024)</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فإن التركز الائتماني كان من أبرز العوامل التي أسهمت في ضعف أداء البنوك العراقية خلال العقد الماضي، حيث أدى إلى ارتفاع نسبة التعثر وتراجع معدلات العائد على الأصول</w:t>
      </w:r>
      <w:r w:rsidRPr="00281D95">
        <w:rPr>
          <w:rFonts w:ascii="Sakkal Majalla" w:eastAsia="Times New Roman" w:hAnsi="Sakkal Majalla" w:cs="Sakkal Majalla"/>
          <w:kern w:val="0"/>
          <w:szCs w:val="28"/>
          <w14:ligatures w14:val="none"/>
        </w:rPr>
        <w:t>.</w:t>
      </w:r>
    </w:p>
    <w:p w14:paraId="587F11C4" w14:textId="60126A7A" w:rsidR="00921C89" w:rsidRPr="00C152DB" w:rsidRDefault="00C152DB" w:rsidP="00C152DB">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5" w:name="_Toc200849159"/>
      <w:r w:rsidRPr="00C152DB">
        <w:rPr>
          <w:rFonts w:ascii="Sakkal Majalla" w:eastAsia="Times New Roman" w:hAnsi="Sakkal Majalla" w:cs="Sakkal Majalla" w:hint="cs"/>
          <w:b/>
          <w:bCs/>
          <w:kern w:val="0"/>
          <w:sz w:val="32"/>
          <w:szCs w:val="32"/>
          <w:rtl/>
          <w14:ligatures w14:val="none"/>
        </w:rPr>
        <w:t>3.1.2</w:t>
      </w:r>
      <w:r w:rsidR="00921C89" w:rsidRPr="00C152DB">
        <w:rPr>
          <w:rFonts w:ascii="Sakkal Majalla" w:eastAsia="Times New Roman" w:hAnsi="Sakkal Majalla" w:cs="Sakkal Majalla"/>
          <w:b/>
          <w:bCs/>
          <w:kern w:val="0"/>
          <w:sz w:val="32"/>
          <w:szCs w:val="32"/>
          <w:rtl/>
          <w14:ligatures w14:val="none"/>
        </w:rPr>
        <w:t xml:space="preserve"> أدوات وأساليب تقييم المخاطر الائتمانية</w:t>
      </w:r>
      <w:bookmarkEnd w:id="35"/>
    </w:p>
    <w:p w14:paraId="5B2ED190" w14:textId="18168319"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تُعد أدوات وأساليب تقييم المخاطر الائتمانية العمود الفقري لعملية اتخاذ القرار الائتماني الرشيد في المؤسسات المصرفية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ومع تزايد تعقيد البيئات المالية، وتنوع شرائح العملاء، وتطور آليات التمويل، أصبح من الضروري أن تعتمد البنوك على أنظمة تقييم شاملة تتكامل فيها الأبعاد الكمية والنوعية، وتستند إلى بيانات موثوقة ونماذج تحليلية مرنة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وقد أكدت دراسة </w:t>
      </w:r>
      <w:r w:rsidRPr="00281D95">
        <w:rPr>
          <w:rFonts w:ascii="Sakkal Majalla" w:eastAsia="Times New Roman" w:hAnsi="Sakkal Majalla" w:cs="Sakkal Majalla"/>
          <w:b/>
          <w:bCs/>
          <w:kern w:val="0"/>
          <w:szCs w:val="28"/>
          <w14:ligatures w14:val="none"/>
        </w:rPr>
        <w:t>Beeram &amp; Devi (2024)</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أن استخدام أساليب تقييم متقدمة يسهم في تقليص معدل القروض المتعثرة بنسبة تصل إلى 30% مقارنة بالأساليب التقليدية</w:t>
      </w:r>
      <w:r w:rsidRPr="00281D95">
        <w:rPr>
          <w:rFonts w:ascii="Sakkal Majalla" w:eastAsia="Times New Roman" w:hAnsi="Sakkal Majalla" w:cs="Sakkal Majalla"/>
          <w:kern w:val="0"/>
          <w:szCs w:val="28"/>
          <w14:ligatures w14:val="none"/>
        </w:rPr>
        <w:t>.</w:t>
      </w:r>
    </w:p>
    <w:p w14:paraId="2E2A5589" w14:textId="7F5CE879" w:rsidR="00921C89"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1. </w:t>
      </w:r>
      <w:r w:rsidR="00921C89" w:rsidRPr="00281D95">
        <w:rPr>
          <w:rFonts w:ascii="Sakkal Majalla" w:eastAsia="Times New Roman" w:hAnsi="Sakkal Majalla" w:cs="Sakkal Majalla"/>
          <w:b/>
          <w:bCs/>
          <w:kern w:val="0"/>
          <w:szCs w:val="28"/>
          <w:rtl/>
          <w14:ligatures w14:val="none"/>
        </w:rPr>
        <w:t>التحليل المالي الكمي</w:t>
      </w:r>
    </w:p>
    <w:p w14:paraId="2920228A" w14:textId="2AB2B359"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يُعد التحليل المالي أولى خطوات التقييم، حيث يعتمد على فحص القوائم المالية للمقترض لاستخلاص مؤشرات الأداء الأساسية مثل السيولة، المديونية، الربحية، والعائد على الاستثمار</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وتكمن أهمية هذه المؤشرات في قدرتها على كشف نقاط القوة والضعف في المركز المالي للمقترض، مما يُمكّن البنك من تقدير قدرة العميل على الوفاء بالتزاماته المستقبلية</w:t>
      </w:r>
      <w:r w:rsidRPr="00281D95">
        <w:rPr>
          <w:rFonts w:ascii="Sakkal Majalla" w:eastAsia="Times New Roman" w:hAnsi="Sakkal Majalla" w:cs="Sakkal Majalla"/>
          <w:kern w:val="0"/>
          <w:szCs w:val="28"/>
          <w14:ligatures w14:val="none"/>
        </w:rPr>
        <w:t>.</w:t>
      </w:r>
    </w:p>
    <w:p w14:paraId="50D9E3B2" w14:textId="77777777"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وقد أشار </w:t>
      </w:r>
      <w:r w:rsidRPr="00281D95">
        <w:rPr>
          <w:rFonts w:ascii="Sakkal Majalla" w:eastAsia="Times New Roman" w:hAnsi="Sakkal Majalla" w:cs="Sakkal Majalla"/>
          <w:b/>
          <w:bCs/>
          <w:kern w:val="0"/>
          <w:szCs w:val="28"/>
          <w:rtl/>
          <w14:ligatures w14:val="none"/>
        </w:rPr>
        <w:t>سعيد وآخرون</w:t>
      </w:r>
      <w:r w:rsidRPr="00281D95">
        <w:rPr>
          <w:rFonts w:ascii="Sakkal Majalla" w:eastAsia="Times New Roman" w:hAnsi="Sakkal Majalla" w:cs="Sakkal Majalla"/>
          <w:b/>
          <w:bCs/>
          <w:kern w:val="0"/>
          <w:szCs w:val="28"/>
          <w14:ligatures w14:val="none"/>
        </w:rPr>
        <w:t xml:space="preserve"> (2024)</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إلى أن الاعتماد على التحليل المالي وحده قد لا يكون كافيًا، خصوصًا إذا كانت البيانات المالية خاضعة للتلاعب أو تعاني من ضعف الإفصاح، وهو ما يستلزم استكمال التقييم بأدوات نوعية وسلوكية</w:t>
      </w:r>
      <w:r w:rsidRPr="00281D95">
        <w:rPr>
          <w:rFonts w:ascii="Sakkal Majalla" w:eastAsia="Times New Roman" w:hAnsi="Sakkal Majalla" w:cs="Sakkal Majalla"/>
          <w:kern w:val="0"/>
          <w:szCs w:val="28"/>
          <w14:ligatures w14:val="none"/>
        </w:rPr>
        <w:t>.</w:t>
      </w:r>
    </w:p>
    <w:p w14:paraId="5200FC27" w14:textId="6694F9E9" w:rsidR="00921C89"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2. </w:t>
      </w:r>
      <w:r w:rsidR="00921C89" w:rsidRPr="00281D95">
        <w:rPr>
          <w:rFonts w:ascii="Sakkal Majalla" w:eastAsia="Times New Roman" w:hAnsi="Sakkal Majalla" w:cs="Sakkal Majalla"/>
          <w:b/>
          <w:bCs/>
          <w:kern w:val="0"/>
          <w:szCs w:val="28"/>
          <w:rtl/>
          <w14:ligatures w14:val="none"/>
        </w:rPr>
        <w:t>التحليل النوعي والسلوكي</w:t>
      </w:r>
    </w:p>
    <w:p w14:paraId="0AD651DE" w14:textId="1FBD65BF"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يركز هذا النوع من التحليل على الجوانب غير الكمية، مثل سمعة العميل في السوق، سجلّه الائتماني السابق، طبيعة نشاطه التجاري، خبرات الإدارة، واستقرار العلاقة مع البنك</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ويعتبر هذا التحليل ضروريًا في الحالات التي لا تتوفر فيها بيانات مالية مفصلة، مثل الشركات الصغيرة والمتوسطة أو الأفراد</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وأكدت دراسة </w:t>
      </w:r>
      <w:r w:rsidRPr="00281D95">
        <w:rPr>
          <w:rFonts w:ascii="Sakkal Majalla" w:eastAsia="Times New Roman" w:hAnsi="Sakkal Majalla" w:cs="Sakkal Majalla"/>
          <w:b/>
          <w:bCs/>
          <w:kern w:val="0"/>
          <w:szCs w:val="28"/>
          <w:rtl/>
          <w14:ligatures w14:val="none"/>
        </w:rPr>
        <w:t>جعفر وبدروني</w:t>
      </w:r>
      <w:r w:rsidRPr="00281D95">
        <w:rPr>
          <w:rFonts w:ascii="Sakkal Majalla" w:eastAsia="Times New Roman" w:hAnsi="Sakkal Majalla" w:cs="Sakkal Majalla"/>
          <w:b/>
          <w:bCs/>
          <w:kern w:val="0"/>
          <w:szCs w:val="28"/>
          <w14:ligatures w14:val="none"/>
        </w:rPr>
        <w:t xml:space="preserve"> (2022)</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أن البنوك التي تعزز التحليل النوعي إلى جانب المؤشرات المالية تتمتع بقدرة أعلى على التنبؤ بالتعثر، خاصة في الأسواق ذات الشفافية المحدودة</w:t>
      </w:r>
      <w:r w:rsidRPr="00281D95">
        <w:rPr>
          <w:rFonts w:ascii="Sakkal Majalla" w:eastAsia="Times New Roman" w:hAnsi="Sakkal Majalla" w:cs="Sakkal Majalla"/>
          <w:kern w:val="0"/>
          <w:szCs w:val="28"/>
          <w14:ligatures w14:val="none"/>
        </w:rPr>
        <w:t>.</w:t>
      </w:r>
    </w:p>
    <w:p w14:paraId="5B0F6220" w14:textId="27895FDB" w:rsidR="00921C89"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4. </w:t>
      </w:r>
      <w:r w:rsidR="00921C89" w:rsidRPr="00281D95">
        <w:rPr>
          <w:rFonts w:ascii="Sakkal Majalla" w:eastAsia="Times New Roman" w:hAnsi="Sakkal Majalla" w:cs="Sakkal Majalla"/>
          <w:b/>
          <w:bCs/>
          <w:kern w:val="0"/>
          <w:szCs w:val="28"/>
          <w:rtl/>
          <w14:ligatures w14:val="none"/>
        </w:rPr>
        <w:t>نظم التصنيف الائتماني</w:t>
      </w:r>
      <w:r w:rsidR="00921C89" w:rsidRPr="00281D95">
        <w:rPr>
          <w:rFonts w:ascii="Sakkal Majalla" w:eastAsia="Times New Roman" w:hAnsi="Sakkal Majalla" w:cs="Sakkal Majalla"/>
          <w:b/>
          <w:bCs/>
          <w:kern w:val="0"/>
          <w:szCs w:val="28"/>
          <w14:ligatures w14:val="none"/>
        </w:rPr>
        <w:t xml:space="preserve"> (Credit Rating Systems)</w:t>
      </w:r>
    </w:p>
    <w:p w14:paraId="78345377" w14:textId="3D4438A2"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تستخدم معظم البنوك التجارية نظمًا داخلية أو خارجية لتصنيف العملاء الائتمانيين وفقًا لدرجة المخاطرة التي يمثلونها</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وتُستخدم رموز معيارية مثل</w:t>
      </w:r>
      <w:r w:rsidRPr="00281D95">
        <w:rPr>
          <w:rFonts w:ascii="Sakkal Majalla" w:eastAsia="Times New Roman" w:hAnsi="Sakkal Majalla" w:cs="Sakkal Majalla"/>
          <w:kern w:val="0"/>
          <w:szCs w:val="28"/>
          <w14:ligatures w14:val="none"/>
        </w:rPr>
        <w:t xml:space="preserve"> AAA </w:t>
      </w:r>
      <w:r w:rsidRPr="00281D95">
        <w:rPr>
          <w:rFonts w:ascii="Sakkal Majalla" w:eastAsia="Times New Roman" w:hAnsi="Sakkal Majalla" w:cs="Sakkal Majalla"/>
          <w:kern w:val="0"/>
          <w:szCs w:val="28"/>
          <w:rtl/>
          <w14:ligatures w14:val="none"/>
        </w:rPr>
        <w:t>و</w:t>
      </w:r>
      <w:r w:rsidRPr="00281D95">
        <w:rPr>
          <w:rFonts w:ascii="Sakkal Majalla" w:eastAsia="Times New Roman" w:hAnsi="Sakkal Majalla" w:cs="Sakkal Majalla"/>
          <w:kern w:val="0"/>
          <w:szCs w:val="28"/>
          <w14:ligatures w14:val="none"/>
        </w:rPr>
        <w:t xml:space="preserve">BBB </w:t>
      </w:r>
      <w:r w:rsidRPr="00281D95">
        <w:rPr>
          <w:rFonts w:ascii="Sakkal Majalla" w:eastAsia="Times New Roman" w:hAnsi="Sakkal Majalla" w:cs="Sakkal Majalla"/>
          <w:kern w:val="0"/>
          <w:szCs w:val="28"/>
          <w:rtl/>
          <w14:ligatures w14:val="none"/>
        </w:rPr>
        <w:t>و</w:t>
      </w:r>
      <w:r w:rsidRPr="00281D95">
        <w:rPr>
          <w:rFonts w:ascii="Sakkal Majalla" w:eastAsia="Times New Roman" w:hAnsi="Sakkal Majalla" w:cs="Sakkal Majalla"/>
          <w:kern w:val="0"/>
          <w:szCs w:val="28"/>
          <w14:ligatures w14:val="none"/>
        </w:rPr>
        <w:t xml:space="preserve">CCC </w:t>
      </w:r>
      <w:r w:rsidRPr="00281D95">
        <w:rPr>
          <w:rFonts w:ascii="Sakkal Majalla" w:eastAsia="Times New Roman" w:hAnsi="Sakkal Majalla" w:cs="Sakkal Majalla"/>
          <w:kern w:val="0"/>
          <w:szCs w:val="28"/>
          <w:rtl/>
          <w14:ligatures w14:val="none"/>
        </w:rPr>
        <w:t>لتحديد درجة الثقة في المقترض، بناءً على بيانات مالية وتاريخية وسوقية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وتشير دراسة </w:t>
      </w:r>
      <w:r w:rsidRPr="00281D95">
        <w:rPr>
          <w:rFonts w:ascii="Sakkal Majalla" w:eastAsia="Times New Roman" w:hAnsi="Sakkal Majalla" w:cs="Sakkal Majalla"/>
          <w:b/>
          <w:bCs/>
          <w:kern w:val="0"/>
          <w:szCs w:val="28"/>
          <w14:ligatures w14:val="none"/>
        </w:rPr>
        <w:t>Ben Zakka &amp; Boucharma (2023)</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إلى أن نظم التصنيف الائتماني لا تُعد فقط أداة للتقييم، بل تمثل آلية تسعير للمخاطر، حيث تُستخدم لتحديد شروط الإقراض ونسبة الفائدة، بل وحتى حجم التمويل الممنوح</w:t>
      </w:r>
      <w:r w:rsidRPr="00281D95">
        <w:rPr>
          <w:rFonts w:ascii="Sakkal Majalla" w:eastAsia="Times New Roman" w:hAnsi="Sakkal Majalla" w:cs="Sakkal Majalla"/>
          <w:kern w:val="0"/>
          <w:szCs w:val="28"/>
          <w14:ligatures w14:val="none"/>
        </w:rPr>
        <w:t>.</w:t>
      </w:r>
    </w:p>
    <w:p w14:paraId="0A730760" w14:textId="79230356" w:rsidR="00921C89"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5. </w:t>
      </w:r>
      <w:r w:rsidR="00921C89" w:rsidRPr="00281D95">
        <w:rPr>
          <w:rFonts w:ascii="Sakkal Majalla" w:eastAsia="Times New Roman" w:hAnsi="Sakkal Majalla" w:cs="Sakkal Majalla"/>
          <w:b/>
          <w:bCs/>
          <w:kern w:val="0"/>
          <w:szCs w:val="28"/>
          <w:rtl/>
          <w14:ligatures w14:val="none"/>
        </w:rPr>
        <w:t>نماذج التنبؤ بالتعثر</w:t>
      </w:r>
    </w:p>
    <w:p w14:paraId="79EEAD30" w14:textId="77777777"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تُعد نماذج التنبؤ بالتعثر من أكثر الأدوات دقة وفعالية في قياس احتمالية عدم السداد، ومن أبرزها</w:t>
      </w:r>
      <w:r w:rsidRPr="00281D95">
        <w:rPr>
          <w:rFonts w:ascii="Sakkal Majalla" w:eastAsia="Times New Roman" w:hAnsi="Sakkal Majalla" w:cs="Sakkal Majalla"/>
          <w:kern w:val="0"/>
          <w:szCs w:val="28"/>
          <w14:ligatures w14:val="none"/>
        </w:rPr>
        <w:t>:</w:t>
      </w:r>
    </w:p>
    <w:p w14:paraId="5476F6EF" w14:textId="77777777" w:rsidR="00921C89" w:rsidRPr="00281D95" w:rsidRDefault="00921C89" w:rsidP="002E6227">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b/>
          <w:bCs/>
          <w:kern w:val="0"/>
          <w:szCs w:val="28"/>
          <w:rtl/>
          <w14:ligatures w14:val="none"/>
        </w:rPr>
        <w:t>نموذج</w:t>
      </w:r>
      <w:r w:rsidRPr="00281D95">
        <w:rPr>
          <w:rFonts w:ascii="Sakkal Majalla" w:eastAsia="Times New Roman" w:hAnsi="Sakkal Majalla" w:cs="Sakkal Majalla"/>
          <w:b/>
          <w:bCs/>
          <w:kern w:val="0"/>
          <w:szCs w:val="28"/>
          <w14:ligatures w14:val="none"/>
        </w:rPr>
        <w:t xml:space="preserve"> Z-Score</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الذي طوّره</w:t>
      </w:r>
      <w:r w:rsidRPr="00281D95">
        <w:rPr>
          <w:rFonts w:ascii="Sakkal Majalla" w:eastAsia="Times New Roman" w:hAnsi="Sakkal Majalla" w:cs="Sakkal Majalla"/>
          <w:kern w:val="0"/>
          <w:szCs w:val="28"/>
          <w14:ligatures w14:val="none"/>
        </w:rPr>
        <w:t xml:space="preserve"> Altman (1968)</w:t>
      </w:r>
      <w:r w:rsidRPr="00281D95">
        <w:rPr>
          <w:rFonts w:ascii="Sakkal Majalla" w:eastAsia="Times New Roman" w:hAnsi="Sakkal Majalla" w:cs="Sakkal Majalla"/>
          <w:kern w:val="0"/>
          <w:szCs w:val="28"/>
          <w:rtl/>
          <w14:ligatures w14:val="none"/>
        </w:rPr>
        <w:t>، ويعتمد على مزيج من المؤشرات المالية لتقدير احتمالية الإفلاس</w:t>
      </w:r>
      <w:r w:rsidRPr="00281D95">
        <w:rPr>
          <w:rFonts w:ascii="Sakkal Majalla" w:eastAsia="Times New Roman" w:hAnsi="Sakkal Majalla" w:cs="Sakkal Majalla"/>
          <w:kern w:val="0"/>
          <w:szCs w:val="28"/>
          <w14:ligatures w14:val="none"/>
        </w:rPr>
        <w:t>.</w:t>
      </w:r>
    </w:p>
    <w:p w14:paraId="72EC0943" w14:textId="77777777" w:rsidR="00921C89" w:rsidRPr="00281D95" w:rsidRDefault="00921C89" w:rsidP="002E6227">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b/>
          <w:bCs/>
          <w:kern w:val="0"/>
          <w:szCs w:val="28"/>
          <w:rtl/>
          <w14:ligatures w14:val="none"/>
        </w:rPr>
        <w:t>نموذج</w:t>
      </w:r>
      <w:r w:rsidRPr="00281D95">
        <w:rPr>
          <w:rFonts w:ascii="Sakkal Majalla" w:eastAsia="Times New Roman" w:hAnsi="Sakkal Majalla" w:cs="Sakkal Majalla"/>
          <w:b/>
          <w:bCs/>
          <w:kern w:val="0"/>
          <w:szCs w:val="28"/>
          <w14:ligatures w14:val="none"/>
        </w:rPr>
        <w:t xml:space="preserve"> KMV</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الذي يستند إلى نظرية الخيارات لتحديد احتمالية تعثر الشركة بناءً على قيمة أصولها السوقية وتقلبها (الصائغ، 2023)</w:t>
      </w:r>
      <w:r w:rsidRPr="00281D95">
        <w:rPr>
          <w:rFonts w:ascii="Sakkal Majalla" w:eastAsia="Times New Roman" w:hAnsi="Sakkal Majalla" w:cs="Sakkal Majalla"/>
          <w:kern w:val="0"/>
          <w:szCs w:val="28"/>
          <w14:ligatures w14:val="none"/>
        </w:rPr>
        <w:t>.</w:t>
      </w:r>
    </w:p>
    <w:p w14:paraId="642C3265" w14:textId="77777777" w:rsidR="00921C89" w:rsidRPr="00281D95" w:rsidRDefault="00921C89" w:rsidP="002E6227">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b/>
          <w:bCs/>
          <w:kern w:val="0"/>
          <w:szCs w:val="28"/>
          <w:rtl/>
          <w14:ligatures w14:val="none"/>
        </w:rPr>
        <w:t>النماذج المعتمدة على الانحدار اللوجستي</w:t>
      </w:r>
      <w:r w:rsidRPr="00281D95">
        <w:rPr>
          <w:rFonts w:ascii="Sakkal Majalla" w:eastAsia="Times New Roman" w:hAnsi="Sakkal Majalla" w:cs="Sakkal Majalla"/>
          <w:kern w:val="0"/>
          <w:szCs w:val="28"/>
          <w:rtl/>
          <w14:ligatures w14:val="none"/>
        </w:rPr>
        <w:t xml:space="preserve"> التي تربط بين خصائص العميل واحتمالية التعثر</w:t>
      </w:r>
      <w:r w:rsidRPr="00281D95">
        <w:rPr>
          <w:rFonts w:ascii="Sakkal Majalla" w:eastAsia="Times New Roman" w:hAnsi="Sakkal Majalla" w:cs="Sakkal Majalla"/>
          <w:kern w:val="0"/>
          <w:szCs w:val="28"/>
          <w14:ligatures w14:val="none"/>
        </w:rPr>
        <w:t>.</w:t>
      </w:r>
    </w:p>
    <w:p w14:paraId="0E962BA1" w14:textId="77777777"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lang w:bidi="ar-EG"/>
          <w14:ligatures w14:val="none"/>
        </w:rPr>
      </w:pPr>
      <w:r w:rsidRPr="00281D95">
        <w:rPr>
          <w:rFonts w:ascii="Sakkal Majalla" w:eastAsia="Times New Roman" w:hAnsi="Sakkal Majalla" w:cs="Sakkal Majalla" w:hint="cs"/>
          <w:kern w:val="0"/>
          <w:szCs w:val="28"/>
          <w:rtl/>
          <w:lang w:bidi="ar-EG"/>
          <w14:ligatures w14:val="none"/>
        </w:rPr>
        <w:t xml:space="preserve">وقد أثبتت دراسة </w:t>
      </w:r>
      <w:r w:rsidRPr="00281D95">
        <w:rPr>
          <w:rFonts w:ascii="Sakkal Majalla" w:eastAsia="Times New Roman" w:hAnsi="Sakkal Majalla" w:cs="Sakkal Majalla" w:hint="cs"/>
          <w:b/>
          <w:bCs/>
          <w:kern w:val="0"/>
          <w:szCs w:val="28"/>
          <w:lang w:bidi="ar-EG"/>
          <w14:ligatures w14:val="none"/>
        </w:rPr>
        <w:t>Li (2023)</w:t>
      </w:r>
      <w:r w:rsidRPr="00281D95">
        <w:rPr>
          <w:rFonts w:ascii="Sakkal Majalla" w:eastAsia="Times New Roman" w:hAnsi="Sakkal Majalla" w:cs="Sakkal Majalla" w:hint="cs"/>
          <w:kern w:val="0"/>
          <w:szCs w:val="28"/>
          <w:lang w:bidi="ar-EG"/>
          <w14:ligatures w14:val="none"/>
        </w:rPr>
        <w:t xml:space="preserve"> </w:t>
      </w:r>
      <w:r w:rsidRPr="00281D95">
        <w:rPr>
          <w:rFonts w:ascii="Sakkal Majalla" w:eastAsia="Times New Roman" w:hAnsi="Sakkal Majalla" w:cs="Sakkal Majalla" w:hint="cs"/>
          <w:kern w:val="0"/>
          <w:szCs w:val="28"/>
          <w:rtl/>
          <w:lang w:bidi="ar-EG"/>
          <w14:ligatures w14:val="none"/>
        </w:rPr>
        <w:t>أن هذه النماذج، عند استخدامها ضمن بيئة رقمية متكاملة، يمكنها التنبؤ بالتعثر بدقة تصل إلى 85% في المتوسط</w:t>
      </w:r>
      <w:r w:rsidRPr="00281D95">
        <w:rPr>
          <w:rFonts w:ascii="Sakkal Majalla" w:eastAsia="Times New Roman" w:hAnsi="Sakkal Majalla" w:cs="Sakkal Majalla" w:hint="cs"/>
          <w:kern w:val="0"/>
          <w:szCs w:val="28"/>
          <w:lang w:bidi="ar-EG"/>
          <w14:ligatures w14:val="none"/>
        </w:rPr>
        <w:t>.</w:t>
      </w:r>
    </w:p>
    <w:p w14:paraId="32147849" w14:textId="1D927EC2" w:rsidR="00921C89" w:rsidRPr="00C152DB" w:rsidRDefault="00C152DB" w:rsidP="00C152DB">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6" w:name="_Toc200849160"/>
      <w:r w:rsidRPr="00C152DB">
        <w:rPr>
          <w:rFonts w:ascii="Sakkal Majalla" w:eastAsia="Times New Roman" w:hAnsi="Sakkal Majalla" w:cs="Sakkal Majalla"/>
          <w:b/>
          <w:bCs/>
          <w:kern w:val="0"/>
          <w:sz w:val="32"/>
          <w:szCs w:val="32"/>
          <w14:ligatures w14:val="none"/>
        </w:rPr>
        <w:t>4.1.2</w:t>
      </w:r>
      <w:r w:rsidRPr="00C152DB">
        <w:rPr>
          <w:rFonts w:ascii="Sakkal Majalla" w:eastAsia="Times New Roman" w:hAnsi="Sakkal Majalla" w:cs="Sakkal Majalla" w:hint="cs"/>
          <w:b/>
          <w:bCs/>
          <w:kern w:val="0"/>
          <w:sz w:val="32"/>
          <w:szCs w:val="32"/>
          <w:rtl/>
          <w:lang w:bidi="ar-EG"/>
          <w14:ligatures w14:val="none"/>
        </w:rPr>
        <w:t xml:space="preserve"> </w:t>
      </w:r>
      <w:r w:rsidR="00921C89" w:rsidRPr="00C152DB">
        <w:rPr>
          <w:rFonts w:ascii="Sakkal Majalla" w:eastAsia="Times New Roman" w:hAnsi="Sakkal Majalla" w:cs="Sakkal Majalla"/>
          <w:b/>
          <w:bCs/>
          <w:kern w:val="0"/>
          <w:sz w:val="32"/>
          <w:szCs w:val="32"/>
          <w:rtl/>
          <w14:ligatures w14:val="none"/>
        </w:rPr>
        <w:t>أدوات الذكاء الاصطناعي والتحليلات التنبؤية</w:t>
      </w:r>
      <w:bookmarkEnd w:id="36"/>
    </w:p>
    <w:p w14:paraId="56575638" w14:textId="383827E6"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lang w:bidi="ar-EG"/>
          <w14:ligatures w14:val="none"/>
        </w:rPr>
      </w:pPr>
      <w:r w:rsidRPr="00281D95">
        <w:rPr>
          <w:rFonts w:ascii="Sakkal Majalla" w:eastAsia="Times New Roman" w:hAnsi="Sakkal Majalla" w:cs="Sakkal Majalla" w:hint="cs"/>
          <w:kern w:val="0"/>
          <w:szCs w:val="28"/>
          <w:rtl/>
          <w:lang w:bidi="ar-EG"/>
          <w14:ligatures w14:val="none"/>
        </w:rPr>
        <w:t>مع تطور تقنيات الحوسبة، باتت البنوك تلجأ إلى أدوات الذكاء الاصطناعي</w:t>
      </w:r>
      <w:r w:rsidRPr="00281D95">
        <w:rPr>
          <w:rFonts w:ascii="Sakkal Majalla" w:eastAsia="Times New Roman" w:hAnsi="Sakkal Majalla" w:cs="Sakkal Majalla" w:hint="cs"/>
          <w:kern w:val="0"/>
          <w:szCs w:val="28"/>
          <w:lang w:bidi="ar-EG"/>
          <w14:ligatures w14:val="none"/>
        </w:rPr>
        <w:t xml:space="preserve"> (AI) </w:t>
      </w:r>
      <w:r w:rsidRPr="00281D95">
        <w:rPr>
          <w:rFonts w:ascii="Sakkal Majalla" w:eastAsia="Times New Roman" w:hAnsi="Sakkal Majalla" w:cs="Sakkal Majalla" w:hint="cs"/>
          <w:kern w:val="0"/>
          <w:szCs w:val="28"/>
          <w:rtl/>
          <w:lang w:bidi="ar-EG"/>
          <w14:ligatures w14:val="none"/>
        </w:rPr>
        <w:t>في تحليل الجدارة الائتمانية، من خلال استكشاف الأنماط السلوكية، واستخدام خوارزميات التعلم الآلي</w:t>
      </w:r>
      <w:r w:rsidRPr="00281D95">
        <w:rPr>
          <w:rFonts w:ascii="Sakkal Majalla" w:eastAsia="Times New Roman" w:hAnsi="Sakkal Majalla" w:cs="Sakkal Majalla" w:hint="cs"/>
          <w:kern w:val="0"/>
          <w:szCs w:val="28"/>
          <w:lang w:bidi="ar-EG"/>
          <w14:ligatures w14:val="none"/>
        </w:rPr>
        <w:t xml:space="preserve"> (Machine Learning) </w:t>
      </w:r>
      <w:r w:rsidRPr="00281D95">
        <w:rPr>
          <w:rFonts w:ascii="Sakkal Majalla" w:eastAsia="Times New Roman" w:hAnsi="Sakkal Majalla" w:cs="Sakkal Majalla" w:hint="cs"/>
          <w:kern w:val="0"/>
          <w:szCs w:val="28"/>
          <w:rtl/>
          <w:lang w:bidi="ar-EG"/>
          <w14:ligatures w14:val="none"/>
        </w:rPr>
        <w:t>في التنبؤ باحتمالات التعثر</w:t>
      </w:r>
      <w:r w:rsidR="00181367" w:rsidRPr="00281D95">
        <w:rPr>
          <w:rFonts w:ascii="Sakkal Majalla" w:eastAsia="Times New Roman" w:hAnsi="Sakkal Majalla" w:cs="Sakkal Majalla" w:hint="cs"/>
          <w:kern w:val="0"/>
          <w:szCs w:val="28"/>
          <w:rtl/>
          <w:lang w:bidi="ar-EG"/>
          <w14:ligatures w14:val="none"/>
        </w:rPr>
        <w:t>،</w:t>
      </w:r>
      <w:r w:rsidRPr="00281D95">
        <w:rPr>
          <w:rFonts w:ascii="Sakkal Majalla" w:eastAsia="Times New Roman" w:hAnsi="Sakkal Majalla" w:cs="Sakkal Majalla" w:hint="cs"/>
          <w:kern w:val="0"/>
          <w:szCs w:val="28"/>
          <w:rtl/>
          <w:lang w:bidi="ar-EG"/>
          <w14:ligatures w14:val="none"/>
        </w:rPr>
        <w:t xml:space="preserve"> وقد بينت دراسة </w:t>
      </w:r>
      <w:r w:rsidRPr="00281D95">
        <w:rPr>
          <w:rFonts w:ascii="Sakkal Majalla" w:eastAsia="Times New Roman" w:hAnsi="Sakkal Majalla" w:cs="Sakkal Majalla" w:hint="cs"/>
          <w:b/>
          <w:bCs/>
          <w:kern w:val="0"/>
          <w:szCs w:val="28"/>
          <w:lang w:bidi="ar-EG"/>
          <w14:ligatures w14:val="none"/>
        </w:rPr>
        <w:t>Muhindo et al. (2024)</w:t>
      </w:r>
      <w:r w:rsidRPr="00281D95">
        <w:rPr>
          <w:rFonts w:ascii="Sakkal Majalla" w:eastAsia="Times New Roman" w:hAnsi="Sakkal Majalla" w:cs="Sakkal Majalla" w:hint="cs"/>
          <w:kern w:val="0"/>
          <w:szCs w:val="28"/>
          <w:lang w:bidi="ar-EG"/>
          <w14:ligatures w14:val="none"/>
        </w:rPr>
        <w:t xml:space="preserve"> </w:t>
      </w:r>
      <w:r w:rsidRPr="00281D95">
        <w:rPr>
          <w:rFonts w:ascii="Sakkal Majalla" w:eastAsia="Times New Roman" w:hAnsi="Sakkal Majalla" w:cs="Sakkal Majalla" w:hint="cs"/>
          <w:kern w:val="0"/>
          <w:szCs w:val="28"/>
          <w:rtl/>
          <w:lang w:bidi="ar-EG"/>
          <w14:ligatures w14:val="none"/>
        </w:rPr>
        <w:t>أن دمج الذكاء الاصطناعي في عملية التقييم الائتماني مكّن البنوك من تقليل حالات التعثر المفاجئ بنسبة 40%، خصوصًا في القروض الاستهلاكية قصيرة الأجل</w:t>
      </w:r>
      <w:r w:rsidRPr="00281D95">
        <w:rPr>
          <w:rFonts w:ascii="Sakkal Majalla" w:eastAsia="Times New Roman" w:hAnsi="Sakkal Majalla" w:cs="Sakkal Majalla" w:hint="cs"/>
          <w:kern w:val="0"/>
          <w:szCs w:val="28"/>
          <w:lang w:bidi="ar-EG"/>
          <w14:ligatures w14:val="none"/>
        </w:rPr>
        <w:t>.</w:t>
      </w:r>
    </w:p>
    <w:p w14:paraId="6F938A0B" w14:textId="77777777" w:rsidR="00921C89" w:rsidRPr="00281D95" w:rsidRDefault="00921C89"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كما أكدت دراسة </w:t>
      </w:r>
      <w:r w:rsidRPr="00281D95">
        <w:rPr>
          <w:rFonts w:ascii="Sakkal Majalla" w:eastAsia="Times New Roman" w:hAnsi="Sakkal Majalla" w:cs="Sakkal Majalla"/>
          <w:b/>
          <w:bCs/>
          <w:kern w:val="0"/>
          <w:szCs w:val="28"/>
          <w14:ligatures w14:val="none"/>
        </w:rPr>
        <w:t>Amarnadh &amp; Moparthi (2023)</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أن استخدام الشبكات العصبية الاصطناعية في تقييم المخاطر الائتمانية يعزز من دقة النتائج مقارنة بالنماذج التقليدية، لأنه يسمح بتحليل كميات ضخمة من البيانات في وقت قصير، ويرصد المتغيرات المخفية التي لا تظهر في التحليلات المالية المباشرة</w:t>
      </w:r>
      <w:r w:rsidRPr="00281D95">
        <w:rPr>
          <w:rFonts w:ascii="Sakkal Majalla" w:eastAsia="Times New Roman" w:hAnsi="Sakkal Majalla" w:cs="Sakkal Majalla"/>
          <w:kern w:val="0"/>
          <w:szCs w:val="28"/>
          <w14:ligatures w14:val="none"/>
        </w:rPr>
        <w:t>.</w:t>
      </w:r>
    </w:p>
    <w:p w14:paraId="5EB05F06" w14:textId="1D663393" w:rsidR="003E6B67" w:rsidRPr="00C152DB" w:rsidRDefault="00C152DB" w:rsidP="00C152DB">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37" w:name="_Toc200849161"/>
      <w:r w:rsidRPr="00C152DB">
        <w:rPr>
          <w:rFonts w:ascii="Sakkal Majalla" w:eastAsia="Times New Roman" w:hAnsi="Sakkal Majalla" w:cs="Sakkal Majalla"/>
          <w:b/>
          <w:bCs/>
          <w:kern w:val="0"/>
          <w:sz w:val="32"/>
          <w:szCs w:val="32"/>
          <w14:ligatures w14:val="none"/>
        </w:rPr>
        <w:t>5.1.2</w:t>
      </w:r>
      <w:r w:rsidR="003E6B67" w:rsidRPr="00C152DB">
        <w:rPr>
          <w:rFonts w:ascii="Sakkal Majalla" w:hAnsi="Sakkal Majalla" w:cs="Sakkal Majalla"/>
          <w:b/>
          <w:bCs/>
          <w:sz w:val="32"/>
          <w:szCs w:val="32"/>
          <w:rtl/>
        </w:rPr>
        <w:t xml:space="preserve"> </w:t>
      </w:r>
      <w:r w:rsidR="003E6B67" w:rsidRPr="00C152DB">
        <w:rPr>
          <w:rFonts w:ascii="Sakkal Majalla" w:eastAsia="Times New Roman" w:hAnsi="Sakkal Majalla" w:cs="Sakkal Majalla"/>
          <w:b/>
          <w:bCs/>
          <w:kern w:val="0"/>
          <w:sz w:val="32"/>
          <w:szCs w:val="32"/>
          <w:rtl/>
          <w14:ligatures w14:val="none"/>
        </w:rPr>
        <w:t>أبعاد تقييم المخاطر الائتمانية</w:t>
      </w:r>
      <w:bookmarkEnd w:id="37"/>
    </w:p>
    <w:p w14:paraId="2F3A54B4" w14:textId="1E9AA362" w:rsidR="003E6B67" w:rsidRPr="00281D95" w:rsidRDefault="003E6B67" w:rsidP="00C152DB">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81D95">
        <w:rPr>
          <w:rFonts w:ascii="Sakkal Majalla" w:eastAsia="Times New Roman" w:hAnsi="Sakkal Majalla" w:cs="Sakkal Majalla"/>
          <w:kern w:val="0"/>
          <w:szCs w:val="28"/>
          <w:rtl/>
          <w14:ligatures w14:val="none"/>
        </w:rPr>
        <w:t>تتطلب عملية تقييم المخاطر الائتمانية في البنوك التجارية منظورًا شاملًا يتجاوز المؤشرات المالية الظاهرة إلى دراسة بيئة العميل الداخلية والخارجية بشكل تكاملي</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وقد أشار العديد من الباحثين إلى أن المخاطر الائتمانية لا يمكن قياسها بدقة دون النظر إلى أبعاد متعددة تشمل البُعد المالي، والاقتصادي، والقانوني والتنظيمي، والاستراتيجي</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ومن أبرز هذه الدراسات ما قدمه </w:t>
      </w:r>
      <w:r w:rsidRPr="00281D95">
        <w:rPr>
          <w:rFonts w:ascii="Sakkal Majalla" w:eastAsia="Times New Roman" w:hAnsi="Sakkal Majalla" w:cs="Sakkal Majalla"/>
          <w:kern w:val="0"/>
          <w:szCs w:val="28"/>
          <w14:ligatures w14:val="none"/>
        </w:rPr>
        <w:t>Nassereddine &amp; Habar</w:t>
      </w:r>
      <w:r w:rsidRPr="00281D95">
        <w:rPr>
          <w:rFonts w:ascii="Sakkal Majalla" w:eastAsia="Times New Roman" w:hAnsi="Sakkal Majalla" w:cs="Sakkal Majalla"/>
          <w:kern w:val="0"/>
          <w:szCs w:val="28"/>
          <w:rtl/>
          <w14:ligatures w14:val="none"/>
        </w:rPr>
        <w:t xml:space="preserve"> (2020)، و</w:t>
      </w:r>
      <w:r w:rsidRPr="00281D95">
        <w:rPr>
          <w:rFonts w:ascii="Sakkal Majalla" w:eastAsia="Times New Roman" w:hAnsi="Sakkal Majalla" w:cs="Sakkal Majalla"/>
          <w:kern w:val="0"/>
          <w:szCs w:val="28"/>
          <w14:ligatures w14:val="none"/>
        </w:rPr>
        <w:t>Abdelaziz et al</w:t>
      </w:r>
      <w:r w:rsidRPr="00281D95">
        <w:rPr>
          <w:rFonts w:ascii="Sakkal Majalla" w:eastAsia="Times New Roman" w:hAnsi="Sakkal Majalla" w:cs="Sakkal Majalla"/>
          <w:kern w:val="0"/>
          <w:szCs w:val="28"/>
          <w:rtl/>
          <w14:ligatures w14:val="none"/>
        </w:rPr>
        <w:t>. (2022)، و</w:t>
      </w:r>
      <w:r w:rsidRPr="00281D95">
        <w:rPr>
          <w:rFonts w:ascii="Sakkal Majalla" w:eastAsia="Times New Roman" w:hAnsi="Sakkal Majalla" w:cs="Sakkal Majalla"/>
          <w:kern w:val="0"/>
          <w:szCs w:val="28"/>
          <w14:ligatures w14:val="none"/>
        </w:rPr>
        <w:t>Gupta et al</w:t>
      </w:r>
      <w:r w:rsidRPr="00281D95">
        <w:rPr>
          <w:rFonts w:ascii="Sakkal Majalla" w:eastAsia="Times New Roman" w:hAnsi="Sakkal Majalla" w:cs="Sakkal Majalla"/>
          <w:kern w:val="0"/>
          <w:szCs w:val="28"/>
          <w:rtl/>
          <w14:ligatures w14:val="none"/>
        </w:rPr>
        <w:t>. (2024)، حيث أكدوا على أن تحليل المخاطر الائتمانية يجب أن يكون متعدد الأبعاد لتفادي إصدار قرارات تمويلية قائمة على رؤى جزئية، مما يعزز من جودة القرار الائتماني واستدامته.</w:t>
      </w:r>
    </w:p>
    <w:p w14:paraId="0F1CF945" w14:textId="30B27AFF" w:rsidR="00FE7043" w:rsidRPr="00281D95" w:rsidRDefault="003E6B67" w:rsidP="00C152DB">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81D95">
        <w:rPr>
          <w:rFonts w:ascii="Sakkal Majalla" w:eastAsia="Times New Roman" w:hAnsi="Sakkal Majalla" w:cs="Sakkal Majalla"/>
          <w:kern w:val="0"/>
          <w:szCs w:val="28"/>
          <w:rtl/>
          <w14:ligatures w14:val="none"/>
        </w:rPr>
        <w:t>وفيما يلي استعراض تفصيلي لأبرز أبعاد تقييم المخاطر الائتمانية:</w:t>
      </w:r>
    </w:p>
    <w:p w14:paraId="08D98E51" w14:textId="0903D913" w:rsidR="003E6B67"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lang w:bidi="ar-EG"/>
          <w14:ligatures w14:val="none"/>
        </w:rPr>
        <w:t xml:space="preserve">1. </w:t>
      </w:r>
      <w:r w:rsidR="003E6B67" w:rsidRPr="00281D95">
        <w:rPr>
          <w:rFonts w:ascii="Sakkal Majalla" w:eastAsia="Times New Roman" w:hAnsi="Sakkal Majalla" w:cs="Sakkal Majalla"/>
          <w:b/>
          <w:bCs/>
          <w:kern w:val="0"/>
          <w:szCs w:val="28"/>
          <w:rtl/>
          <w14:ligatures w14:val="none"/>
        </w:rPr>
        <w:t>البُعد المالي</w:t>
      </w:r>
    </w:p>
    <w:p w14:paraId="5CB4BECD" w14:textId="77777777" w:rsidR="007210C5" w:rsidRDefault="003E6B67" w:rsidP="00C152DB">
      <w:pPr>
        <w:spacing w:before="100" w:beforeAutospacing="1" w:after="100" w:afterAutospacing="1" w:line="360" w:lineRule="auto"/>
        <w:ind w:firstLine="706"/>
        <w:jc w:val="both"/>
        <w:rPr>
          <w:rFonts w:ascii="Sakkal Majalla" w:eastAsia="Times New Roman" w:hAnsi="Sakkal Majalla" w:cs="Sakkal Majalla"/>
          <w:kern w:val="0"/>
          <w:szCs w:val="28"/>
          <w:lang w:bidi="ar-EG"/>
          <w14:ligatures w14:val="none"/>
        </w:rPr>
      </w:pPr>
      <w:r w:rsidRPr="00281D95">
        <w:rPr>
          <w:rFonts w:ascii="Sakkal Majalla" w:eastAsia="Times New Roman" w:hAnsi="Sakkal Majalla" w:cs="Sakkal Majalla" w:hint="cs"/>
          <w:kern w:val="0"/>
          <w:szCs w:val="28"/>
          <w:rtl/>
          <w:lang w:bidi="ar-EG"/>
          <w14:ligatures w14:val="none"/>
        </w:rPr>
        <w:t>يُعد البُعد المالي النواة الأساسية في عملية تقييم المخاطر الائتمانية، نظرًا لأنه يُعبر عن قدرة العميل الفعلية على السداد</w:t>
      </w:r>
      <w:r w:rsidR="00181367" w:rsidRPr="00281D95">
        <w:rPr>
          <w:rFonts w:ascii="Sakkal Majalla" w:eastAsia="Times New Roman" w:hAnsi="Sakkal Majalla" w:cs="Sakkal Majalla" w:hint="cs"/>
          <w:kern w:val="0"/>
          <w:szCs w:val="28"/>
          <w:rtl/>
          <w:lang w:bidi="ar-EG"/>
          <w14:ligatures w14:val="none"/>
        </w:rPr>
        <w:t>،</w:t>
      </w:r>
      <w:r w:rsidRPr="00281D95">
        <w:rPr>
          <w:rFonts w:ascii="Sakkal Majalla" w:eastAsia="Times New Roman" w:hAnsi="Sakkal Majalla" w:cs="Sakkal Majalla" w:hint="cs"/>
          <w:kern w:val="0"/>
          <w:szCs w:val="28"/>
          <w:rtl/>
          <w:lang w:bidi="ar-EG"/>
          <w14:ligatures w14:val="none"/>
        </w:rPr>
        <w:t xml:space="preserve"> ويعتمد هذا البُعد على تحليل معمّق للقوائم المالية والتدفقات النقدية، مع التركيز على النسب المالية مثل: نسبة السيولة، معدل العائد على الاستثمار، نسبة المديونية، وكفاءة استخدام الأصول</w:t>
      </w:r>
      <w:r w:rsidR="007210C5">
        <w:rPr>
          <w:rFonts w:ascii="Sakkal Majalla" w:eastAsia="Times New Roman" w:hAnsi="Sakkal Majalla" w:cs="Sakkal Majalla" w:hint="cs"/>
          <w:kern w:val="0"/>
          <w:szCs w:val="28"/>
          <w:lang w:bidi="ar-EG"/>
          <w14:ligatures w14:val="none"/>
        </w:rPr>
        <w:t>.</w:t>
      </w:r>
    </w:p>
    <w:p w14:paraId="1202A98F" w14:textId="1D089624" w:rsidR="00C152DB" w:rsidRDefault="003E6B67" w:rsidP="00C152DB">
      <w:pPr>
        <w:spacing w:before="100" w:beforeAutospacing="1" w:after="100" w:afterAutospacing="1" w:line="360" w:lineRule="auto"/>
        <w:ind w:firstLine="706"/>
        <w:jc w:val="both"/>
        <w:rPr>
          <w:rFonts w:ascii="Sakkal Majalla" w:eastAsia="Times New Roman" w:hAnsi="Sakkal Majalla" w:cs="Sakkal Majalla"/>
          <w:kern w:val="0"/>
          <w:szCs w:val="28"/>
          <w:lang w:bidi="ar-EG"/>
          <w14:ligatures w14:val="none"/>
        </w:rPr>
      </w:pPr>
      <w:r w:rsidRPr="00281D95">
        <w:rPr>
          <w:rFonts w:ascii="Sakkal Majalla" w:eastAsia="Times New Roman" w:hAnsi="Sakkal Majalla" w:cs="Sakkal Majalla" w:hint="cs"/>
          <w:kern w:val="0"/>
          <w:szCs w:val="28"/>
          <w:rtl/>
          <w:lang w:bidi="ar-EG"/>
          <w14:ligatures w14:val="none"/>
        </w:rPr>
        <w:t xml:space="preserve">ويؤكد </w:t>
      </w:r>
      <w:r w:rsidRPr="00281D95">
        <w:rPr>
          <w:rFonts w:ascii="Sakkal Majalla" w:eastAsia="Times New Roman" w:hAnsi="Sakkal Majalla" w:cs="Sakkal Majalla" w:hint="cs"/>
          <w:b/>
          <w:bCs/>
          <w:kern w:val="0"/>
          <w:szCs w:val="28"/>
          <w:lang w:bidi="ar-EG"/>
          <w14:ligatures w14:val="none"/>
        </w:rPr>
        <w:t>Li (2023)</w:t>
      </w:r>
      <w:r w:rsidRPr="00281D95">
        <w:rPr>
          <w:rFonts w:ascii="Sakkal Majalla" w:eastAsia="Times New Roman" w:hAnsi="Sakkal Majalla" w:cs="Sakkal Majalla" w:hint="cs"/>
          <w:kern w:val="0"/>
          <w:szCs w:val="28"/>
          <w:lang w:bidi="ar-EG"/>
          <w14:ligatures w14:val="none"/>
        </w:rPr>
        <w:t xml:space="preserve"> </w:t>
      </w:r>
      <w:r w:rsidRPr="00281D95">
        <w:rPr>
          <w:rFonts w:ascii="Sakkal Majalla" w:eastAsia="Times New Roman" w:hAnsi="Sakkal Majalla" w:cs="Sakkal Majalla" w:hint="cs"/>
          <w:kern w:val="0"/>
          <w:szCs w:val="28"/>
          <w:rtl/>
          <w:lang w:bidi="ar-EG"/>
          <w14:ligatures w14:val="none"/>
        </w:rPr>
        <w:t xml:space="preserve">أن </w:t>
      </w:r>
      <w:r w:rsidRPr="00281D95">
        <w:rPr>
          <w:rFonts w:ascii="Sakkal Majalla" w:eastAsia="Times New Roman" w:hAnsi="Sakkal Majalla" w:cs="Sakkal Majalla" w:hint="cs"/>
          <w:b/>
          <w:bCs/>
          <w:kern w:val="0"/>
          <w:szCs w:val="28"/>
          <w:rtl/>
          <w:lang w:bidi="ar-EG"/>
          <w14:ligatures w14:val="none"/>
        </w:rPr>
        <w:t>التحليل المالي المتعمق يساعد في الكشف المبكر عن مؤشرات التعثر</w:t>
      </w:r>
      <w:r w:rsidRPr="00281D95">
        <w:rPr>
          <w:rFonts w:ascii="Sakkal Majalla" w:eastAsia="Times New Roman" w:hAnsi="Sakkal Majalla" w:cs="Sakkal Majalla" w:hint="cs"/>
          <w:kern w:val="0"/>
          <w:szCs w:val="28"/>
          <w:rtl/>
          <w:lang w:bidi="ar-EG"/>
          <w14:ligatures w14:val="none"/>
        </w:rPr>
        <w:t>، مثل تراجع الربحية أو ارتفاع الالتزامات قصيرة الأجل مقارنة بالأصول المتداولة، مما يمنح البنوك فرصة لإعادة النظر في منح الائتمان أو تعديل شروطه</w:t>
      </w:r>
      <w:r w:rsidR="00181367" w:rsidRPr="00281D95">
        <w:rPr>
          <w:rFonts w:ascii="Sakkal Majalla" w:eastAsia="Times New Roman" w:hAnsi="Sakkal Majalla" w:cs="Sakkal Majalla" w:hint="cs"/>
          <w:kern w:val="0"/>
          <w:szCs w:val="28"/>
          <w:rtl/>
          <w:lang w:bidi="ar-EG"/>
          <w14:ligatures w14:val="none"/>
        </w:rPr>
        <w:t>،</w:t>
      </w:r>
    </w:p>
    <w:p w14:paraId="1D356E8D" w14:textId="0B2F88FA" w:rsidR="003E6B67" w:rsidRPr="00281D95" w:rsidRDefault="003E6B67"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ومع ذلك، فإن الاقتصار على المؤشرات المالية قد يُعطي تصورًا مضللًا في بعض الأحيان، خصوصًا عندما تكون البيانات مضللة أو خاضعة للمعالجة المحاسبية، لذا من الضروري التحقق من موثوقية البيانات ودقتها، وربطها بأبعاد أخرى ذات طبيعة غير مالية</w:t>
      </w:r>
      <w:r w:rsidRPr="00281D95">
        <w:rPr>
          <w:rFonts w:ascii="Sakkal Majalla" w:eastAsia="Times New Roman" w:hAnsi="Sakkal Majalla" w:cs="Sakkal Majalla"/>
          <w:kern w:val="0"/>
          <w:szCs w:val="28"/>
          <w14:ligatures w14:val="none"/>
        </w:rPr>
        <w:t>.</w:t>
      </w:r>
    </w:p>
    <w:p w14:paraId="7393B2D6" w14:textId="36758672" w:rsidR="003E6B67"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2. </w:t>
      </w:r>
      <w:r w:rsidR="003E6B67" w:rsidRPr="00281D95">
        <w:rPr>
          <w:rFonts w:ascii="Sakkal Majalla" w:eastAsia="Times New Roman" w:hAnsi="Sakkal Majalla" w:cs="Sakkal Majalla"/>
          <w:b/>
          <w:bCs/>
          <w:kern w:val="0"/>
          <w:szCs w:val="28"/>
          <w:rtl/>
          <w14:ligatures w14:val="none"/>
        </w:rPr>
        <w:t>البُعد الاقتصادي</w:t>
      </w:r>
    </w:p>
    <w:p w14:paraId="0440B894" w14:textId="54DA18F2" w:rsidR="003E6B67" w:rsidRPr="00281D95" w:rsidRDefault="003E6B67"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يركّز البُعد الاقتصادي على السياق العام الذي يعمل فيه العميل، ويأخذ بعين الاعتبار الظروف الاقتصادية المحلية والعالمية التي قد تؤثر على أدائه</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وتشمل هذه الظروف معدلات التضخم، أسعار الفائدة، النمو الاقتصادي، سعر الصرف، والسياسات الحكومية تجاه القطاع المعني</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14:ligatures w14:val="none"/>
        </w:rPr>
        <w:br/>
      </w:r>
      <w:r w:rsidRPr="00281D95">
        <w:rPr>
          <w:rFonts w:ascii="Sakkal Majalla" w:eastAsia="Times New Roman" w:hAnsi="Sakkal Majalla" w:cs="Sakkal Majalla"/>
          <w:kern w:val="0"/>
          <w:szCs w:val="28"/>
          <w:rtl/>
          <w14:ligatures w14:val="none"/>
        </w:rPr>
        <w:t xml:space="preserve">وقد أشار </w:t>
      </w:r>
      <w:r w:rsidRPr="00281D95">
        <w:rPr>
          <w:rFonts w:ascii="Sakkal Majalla" w:eastAsia="Times New Roman" w:hAnsi="Sakkal Majalla" w:cs="Sakkal Majalla"/>
          <w:b/>
          <w:bCs/>
          <w:kern w:val="0"/>
          <w:szCs w:val="28"/>
          <w14:ligatures w14:val="none"/>
        </w:rPr>
        <w:t>Abdelaziz et al. (2022)</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 xml:space="preserve">إلى أن </w:t>
      </w:r>
      <w:r w:rsidRPr="00281D95">
        <w:rPr>
          <w:rFonts w:ascii="Sakkal Majalla" w:eastAsia="Times New Roman" w:hAnsi="Sakkal Majalla" w:cs="Sakkal Majalla"/>
          <w:b/>
          <w:bCs/>
          <w:kern w:val="0"/>
          <w:szCs w:val="28"/>
          <w:rtl/>
          <w14:ligatures w14:val="none"/>
        </w:rPr>
        <w:t>التقلبات الاقتصادية تُعد من أخطر العوامل المؤثرة على المخاطر الائتمانية، حتى في حال كانت المؤشرات المالية للعميل قوية ظاهريًا</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على سبيل المثال، فإن شركة تعتمد على الاستيراد قد تتأثر بشكل مباشر بتقلبات سعر الصرف، أو تغيّرات في السياسات الجمركية، مما يهدد قدرتها على الاستمرار في السداد</w:t>
      </w:r>
      <w:r w:rsidR="00181367" w:rsidRPr="00281D95">
        <w:rPr>
          <w:rFonts w:ascii="Sakkal Majalla" w:eastAsia="Times New Roman" w:hAnsi="Sakkal Majalla" w:cs="Sakkal Majalla"/>
          <w:kern w:val="0"/>
          <w:szCs w:val="28"/>
          <w:rtl/>
          <w14:ligatures w14:val="none"/>
        </w:rPr>
        <w:t>،</w:t>
      </w:r>
      <w:r w:rsidR="00C152DB">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ومن هنا، يصبح دمج التحليل الاقتصادي ضمن عملية التقييم ضرورة، لا خيارًا، حيث يساعد على استشراف المخاطر المستقبلية بناءً على التوجهات الاقتصادية وليس فقط الأرقام الحالية</w:t>
      </w:r>
      <w:r w:rsidRPr="00281D95">
        <w:rPr>
          <w:rFonts w:ascii="Sakkal Majalla" w:eastAsia="Times New Roman" w:hAnsi="Sakkal Majalla" w:cs="Sakkal Majalla"/>
          <w:kern w:val="0"/>
          <w:szCs w:val="28"/>
          <w14:ligatures w14:val="none"/>
        </w:rPr>
        <w:t>.</w:t>
      </w:r>
    </w:p>
    <w:p w14:paraId="089CEA8C" w14:textId="42DD2DC5" w:rsidR="003E6B67"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lang w:bidi="ar-EG"/>
          <w14:ligatures w14:val="none"/>
        </w:rPr>
        <w:t xml:space="preserve">3. </w:t>
      </w:r>
      <w:r w:rsidR="003E6B67" w:rsidRPr="00281D95">
        <w:rPr>
          <w:rFonts w:ascii="Sakkal Majalla" w:eastAsia="Times New Roman" w:hAnsi="Sakkal Majalla" w:cs="Sakkal Majalla"/>
          <w:b/>
          <w:bCs/>
          <w:kern w:val="0"/>
          <w:szCs w:val="28"/>
          <w:rtl/>
          <w14:ligatures w14:val="none"/>
        </w:rPr>
        <w:t>البُعد القانوني والتنظيمي</w:t>
      </w:r>
    </w:p>
    <w:p w14:paraId="16445402" w14:textId="77777777" w:rsidR="00C152DB" w:rsidRDefault="003E6B67"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يُعبّر هذا البُعد عن الإطار القانوني والتنظيمي الذي ينشط ضمنه العميل، ويشمل مدى التزامه بالقوانين والتشريعات، سلامة الوثائق، شرعية العمليات، وغياب النزاعات القانونية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كما يتضمن مدى التزام البنك نفسه بلوائح المنظّمين، مثل متطلبات كفاية رأس المال وتعليمات منح التسهيلات</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14:ligatures w14:val="none"/>
        </w:rPr>
        <w:br/>
      </w:r>
      <w:r w:rsidRPr="00281D95">
        <w:rPr>
          <w:rFonts w:ascii="Sakkal Majalla" w:eastAsia="Times New Roman" w:hAnsi="Sakkal Majalla" w:cs="Sakkal Majalla"/>
          <w:kern w:val="0"/>
          <w:szCs w:val="28"/>
          <w:rtl/>
          <w14:ligatures w14:val="none"/>
        </w:rPr>
        <w:t xml:space="preserve">وقد بيّنت دراسة </w:t>
      </w:r>
      <w:r w:rsidRPr="00281D95">
        <w:rPr>
          <w:rFonts w:ascii="Sakkal Majalla" w:eastAsia="Times New Roman" w:hAnsi="Sakkal Majalla" w:cs="Sakkal Majalla"/>
          <w:b/>
          <w:bCs/>
          <w:kern w:val="0"/>
          <w:szCs w:val="28"/>
          <w:rtl/>
          <w14:ligatures w14:val="none"/>
        </w:rPr>
        <w:t>جعفر وبدروني</w:t>
      </w:r>
      <w:r w:rsidRPr="00281D95">
        <w:rPr>
          <w:rFonts w:ascii="Sakkal Majalla" w:eastAsia="Times New Roman" w:hAnsi="Sakkal Majalla" w:cs="Sakkal Majalla"/>
          <w:b/>
          <w:bCs/>
          <w:kern w:val="0"/>
          <w:szCs w:val="28"/>
          <w14:ligatures w14:val="none"/>
        </w:rPr>
        <w:t xml:space="preserve"> (2022)</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 xml:space="preserve">أن </w:t>
      </w:r>
      <w:r w:rsidRPr="00281D95">
        <w:rPr>
          <w:rFonts w:ascii="Sakkal Majalla" w:eastAsia="Times New Roman" w:hAnsi="Sakkal Majalla" w:cs="Sakkal Majalla"/>
          <w:b/>
          <w:bCs/>
          <w:kern w:val="0"/>
          <w:szCs w:val="28"/>
          <w:rtl/>
          <w14:ligatures w14:val="none"/>
        </w:rPr>
        <w:t>البنوك التي تهمل تقييم الوضع القانوني والتنظيمي للعملاء تتعرض غالبًا لمخاطر عالية، لا سيّما في حال وجود دعاوى أو قضايا غير منظورة قد تؤثر على الجدارة الائتمانية مستقبلاً</w:t>
      </w:r>
      <w:r w:rsidR="00C152DB">
        <w:rPr>
          <w:rFonts w:ascii="Sakkal Majalla" w:eastAsia="Times New Roman" w:hAnsi="Sakkal Majalla" w:cs="Sakkal Majalla"/>
          <w:kern w:val="0"/>
          <w:szCs w:val="28"/>
          <w14:ligatures w14:val="none"/>
        </w:rPr>
        <w:t>.</w:t>
      </w:r>
    </w:p>
    <w:p w14:paraId="06DEB1FD" w14:textId="56579F66" w:rsidR="003E6B67" w:rsidRPr="00281D95" w:rsidRDefault="003E6B67"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وعلى سبيل المثال، فإن تقديم تسهيلات لشركة ذات مخالفات ضريبية أو إدارية جسيمة قد يُعرّض البنك لخسائر مباشرة، أو حتى مساءلة قانونية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ومن هنا، فإن التحليل القانوني هو حجر الزاوية في تكوين ملف ائتماني سليم</w:t>
      </w:r>
      <w:r w:rsidRPr="00281D95">
        <w:rPr>
          <w:rFonts w:ascii="Sakkal Majalla" w:eastAsia="Times New Roman" w:hAnsi="Sakkal Majalla" w:cs="Sakkal Majalla"/>
          <w:kern w:val="0"/>
          <w:szCs w:val="28"/>
          <w14:ligatures w14:val="none"/>
        </w:rPr>
        <w:t>.</w:t>
      </w:r>
    </w:p>
    <w:p w14:paraId="5B1397FE" w14:textId="4954BDAE" w:rsidR="003E6B67" w:rsidRPr="00281D95" w:rsidRDefault="00C152DB"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lang w:bidi="ar-EG"/>
          <w14:ligatures w14:val="none"/>
        </w:rPr>
        <w:t xml:space="preserve">4. </w:t>
      </w:r>
      <w:r w:rsidR="003E6B67" w:rsidRPr="00281D95">
        <w:rPr>
          <w:rFonts w:ascii="Sakkal Majalla" w:eastAsia="Times New Roman" w:hAnsi="Sakkal Majalla" w:cs="Sakkal Majalla"/>
          <w:b/>
          <w:bCs/>
          <w:kern w:val="0"/>
          <w:szCs w:val="28"/>
          <w:rtl/>
          <w14:ligatures w14:val="none"/>
        </w:rPr>
        <w:t>البُعد الاستراتيجي</w:t>
      </w:r>
    </w:p>
    <w:p w14:paraId="19BAC1BE" w14:textId="55FBE937" w:rsidR="003E6B67" w:rsidRPr="00281D95" w:rsidRDefault="003E6B67" w:rsidP="00C152DB">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يتجاوز هذا البُعد ما هو رقمي أو قانوني، ليغوص في جوهر المؤسسة المقترِضة: رؤيتها، استراتيجيتها، وخططها المستقبلية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ويشمل تقييم جودة الإدارة العليا، استقرار الهيكل التنظيمي، القدرة على التوسع أو التكيف مع التغيرات، وجود خطة استجابة للأزمات، ومدى تنوع مصادر الدخل</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14:ligatures w14:val="none"/>
        </w:rPr>
        <w:br/>
      </w:r>
      <w:r w:rsidRPr="00281D95">
        <w:rPr>
          <w:rFonts w:ascii="Sakkal Majalla" w:eastAsia="Times New Roman" w:hAnsi="Sakkal Majalla" w:cs="Sakkal Majalla"/>
          <w:kern w:val="0"/>
          <w:szCs w:val="28"/>
          <w:rtl/>
          <w14:ligatures w14:val="none"/>
        </w:rPr>
        <w:t xml:space="preserve">وفقًا لـ </w:t>
      </w:r>
      <w:r w:rsidRPr="00281D95">
        <w:rPr>
          <w:rFonts w:ascii="Sakkal Majalla" w:eastAsia="Times New Roman" w:hAnsi="Sakkal Majalla" w:cs="Sakkal Majalla"/>
          <w:b/>
          <w:bCs/>
          <w:kern w:val="0"/>
          <w:szCs w:val="28"/>
          <w14:ligatures w14:val="none"/>
        </w:rPr>
        <w:t>Gupta et al. (2024)</w:t>
      </w:r>
      <w:r w:rsidRPr="00281D95">
        <w:rPr>
          <w:rFonts w:ascii="Sakkal Majalla" w:eastAsia="Times New Roman" w:hAnsi="Sakkal Majalla" w:cs="Sakkal Majalla"/>
          <w:kern w:val="0"/>
          <w:szCs w:val="28"/>
          <w:rtl/>
          <w14:ligatures w14:val="none"/>
        </w:rPr>
        <w:t xml:space="preserve">، فإن </w:t>
      </w:r>
      <w:r w:rsidRPr="00281D95">
        <w:rPr>
          <w:rFonts w:ascii="Sakkal Majalla" w:eastAsia="Times New Roman" w:hAnsi="Sakkal Majalla" w:cs="Sakkal Majalla"/>
          <w:b/>
          <w:bCs/>
          <w:kern w:val="0"/>
          <w:szCs w:val="28"/>
          <w:rtl/>
          <w14:ligatures w14:val="none"/>
        </w:rPr>
        <w:t>القرار الائتماني عالي الجودة يعتمد بشكل كبير على فهم الرؤية الاستراتيجية للعميل، وقدرته على الاستدامة لا مجرد الوفاء الفوري بالتزامات مالية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14:ligatures w14:val="none"/>
        </w:rPr>
        <w:br/>
      </w:r>
      <w:r w:rsidRPr="00281D95">
        <w:rPr>
          <w:rFonts w:ascii="Sakkal Majalla" w:eastAsia="Times New Roman" w:hAnsi="Sakkal Majalla" w:cs="Sakkal Majalla"/>
          <w:kern w:val="0"/>
          <w:szCs w:val="28"/>
          <w:rtl/>
          <w14:ligatures w14:val="none"/>
        </w:rPr>
        <w:t>فمثلًا، شركة صغيرة ذات استراتيجية نمو واضحة ومدعومة بخطة استثمارية محكمة، قد تكون أقل خطورة من شركة كبيرة تعتمد على منتج واحد معرض لمخاطر السوق</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وبالتالي، فإن البعد الاستراتيجي يُسهم في تحويل التقييم الائتماني من عملية وصفية إلى رؤية تحليلية مستقبلية</w:t>
      </w:r>
      <w:r w:rsidRPr="00281D95">
        <w:rPr>
          <w:rFonts w:ascii="Sakkal Majalla" w:eastAsia="Times New Roman" w:hAnsi="Sakkal Majalla" w:cs="Sakkal Majalla"/>
          <w:kern w:val="0"/>
          <w:szCs w:val="28"/>
          <w14:ligatures w14:val="none"/>
        </w:rPr>
        <w:t>.</w:t>
      </w:r>
    </w:p>
    <w:p w14:paraId="2C421C91" w14:textId="77777777" w:rsidR="003E6B67" w:rsidRPr="00281D95" w:rsidRDefault="003E6B67"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sidRPr="00281D95">
        <w:rPr>
          <w:rFonts w:ascii="Sakkal Majalla" w:eastAsia="Times New Roman" w:hAnsi="Sakkal Majalla" w:cs="Sakkal Majalla"/>
          <w:b/>
          <w:bCs/>
          <w:kern w:val="0"/>
          <w:szCs w:val="28"/>
          <w:rtl/>
          <w14:ligatures w14:val="none"/>
        </w:rPr>
        <w:t>رأي الباحث</w:t>
      </w:r>
      <w:r w:rsidRPr="00281D95">
        <w:rPr>
          <w:rFonts w:ascii="Sakkal Majalla" w:eastAsia="Times New Roman" w:hAnsi="Sakkal Majalla" w:cs="Sakkal Majalla"/>
          <w:b/>
          <w:bCs/>
          <w:kern w:val="0"/>
          <w:szCs w:val="28"/>
          <w14:ligatures w14:val="none"/>
        </w:rPr>
        <w:t>:</w:t>
      </w:r>
    </w:p>
    <w:p w14:paraId="7F4EA40A" w14:textId="6B1C72C8" w:rsidR="003E6B67" w:rsidRPr="00281D95" w:rsidRDefault="003E6B67"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يرى الباحث أن </w:t>
      </w:r>
      <w:r w:rsidRPr="00281D95">
        <w:rPr>
          <w:rFonts w:ascii="Sakkal Majalla" w:eastAsia="Times New Roman" w:hAnsi="Sakkal Majalla" w:cs="Sakkal Majalla"/>
          <w:b/>
          <w:bCs/>
          <w:kern w:val="0"/>
          <w:szCs w:val="28"/>
          <w:rtl/>
          <w14:ligatures w14:val="none"/>
        </w:rPr>
        <w:t>هذه الأبعاد الأربعة تمثل منظومة متكاملة يجب أن تُوظف مجتمعة عند تقييم أي طلب ائتماني في البنوك التجارية السعودية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فإغفال أحد الأبعاد، كالتقييم القانوني أو الاستراتيجي، قد يُؤدي إلى قرارات تمويلية محفوفة بالمخاطر، حتى وإن كانت المؤشرات المالية جيدة، كما أن البيئة المصرفية في المملكة العربية السعودية، مع ما تشهده من تطور رقابي ورقمنة مالية، أصبحت تتطلب نماذج تقييم أكثر شمولًا وذكاءً، تعكس الواقع المتغير للعملاء والأسواق</w:t>
      </w:r>
      <w:r w:rsidRPr="00281D95">
        <w:rPr>
          <w:rFonts w:ascii="Sakkal Majalla" w:eastAsia="Times New Roman" w:hAnsi="Sakkal Majalla" w:cs="Sakkal Majalla"/>
          <w:kern w:val="0"/>
          <w:szCs w:val="28"/>
          <w14:ligatures w14:val="none"/>
        </w:rPr>
        <w:t>.</w:t>
      </w:r>
    </w:p>
    <w:p w14:paraId="5BB9A9B8" w14:textId="4793715A" w:rsidR="00921C89" w:rsidRPr="00F07643" w:rsidRDefault="00F07643" w:rsidP="00F07643">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8" w:name="_Toc200849162"/>
      <w:r w:rsidRPr="00F07643">
        <w:rPr>
          <w:rFonts w:ascii="Sakkal Majalla" w:eastAsia="Times New Roman" w:hAnsi="Sakkal Majalla" w:cs="Sakkal Majalla" w:hint="cs"/>
          <w:b/>
          <w:bCs/>
          <w:kern w:val="0"/>
          <w:sz w:val="32"/>
          <w:szCs w:val="32"/>
          <w:rtl/>
          <w14:ligatures w14:val="none"/>
        </w:rPr>
        <w:t xml:space="preserve">6.1.2 </w:t>
      </w:r>
      <w:r w:rsidR="00921C89" w:rsidRPr="00F07643">
        <w:rPr>
          <w:rFonts w:ascii="Sakkal Majalla" w:eastAsia="Times New Roman" w:hAnsi="Sakkal Majalla" w:cs="Sakkal Majalla"/>
          <w:b/>
          <w:bCs/>
          <w:kern w:val="0"/>
          <w:sz w:val="32"/>
          <w:szCs w:val="32"/>
          <w:rtl/>
          <w14:ligatures w14:val="none"/>
        </w:rPr>
        <w:t xml:space="preserve"> العوامل المؤثرة في تقييم المخاطر الائتمانية</w:t>
      </w:r>
      <w:bookmarkEnd w:id="38"/>
    </w:p>
    <w:p w14:paraId="7CB0CDEF" w14:textId="00C632EF"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تتأثر عملية تقييم المخاطر الائتمانية بجملة من العوامل المتداخلة التي تتوزع بين عناصر داخلية ترتبط بالمقترض ذاته، وأخرى تنظيمية داخل البنك، وثالثة تتعلق بالبيئة الاقتصادية والمالية العامة</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وتكمن أهمية فهم هذه العوامل في أنها تُساعد على تعزيز دقة التقييم، وضبط مستويات الانكشاف الائتماني، وضمان توجيه التمويل نحو العملاء الذين يملكون القدرة الحقيقية على السداد</w:t>
      </w:r>
      <w:r w:rsidRPr="00281D95">
        <w:rPr>
          <w:rFonts w:ascii="Sakkal Majalla" w:eastAsia="Times New Roman" w:hAnsi="Sakkal Majalla" w:cs="Sakkal Majalla"/>
          <w:kern w:val="0"/>
          <w:szCs w:val="28"/>
          <w14:ligatures w14:val="none"/>
        </w:rPr>
        <w:t xml:space="preserve">. </w:t>
      </w:r>
    </w:p>
    <w:p w14:paraId="7235E134" w14:textId="77777777"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يشير </w:t>
      </w:r>
      <w:r w:rsidRPr="00281D95">
        <w:rPr>
          <w:rFonts w:ascii="Sakkal Majalla" w:eastAsia="Times New Roman" w:hAnsi="Sakkal Majalla" w:cs="Sakkal Majalla"/>
          <w:b/>
          <w:bCs/>
          <w:kern w:val="0"/>
          <w:szCs w:val="28"/>
          <w:rtl/>
          <w14:ligatures w14:val="none"/>
        </w:rPr>
        <w:t>نصر الدين وحبار</w:t>
      </w:r>
      <w:r w:rsidRPr="00281D95">
        <w:rPr>
          <w:rFonts w:ascii="Sakkal Majalla" w:eastAsia="Times New Roman" w:hAnsi="Sakkal Majalla" w:cs="Sakkal Majalla"/>
          <w:b/>
          <w:bCs/>
          <w:kern w:val="0"/>
          <w:szCs w:val="28"/>
          <w14:ligatures w14:val="none"/>
        </w:rPr>
        <w:t xml:space="preserve"> (2020)</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إلى أن تقييم المخاطر الائتمانية يتأثر بثلاثية مترابطة تشمل</w:t>
      </w:r>
      <w:r w:rsidRPr="00281D95">
        <w:rPr>
          <w:rFonts w:ascii="Sakkal Majalla" w:eastAsia="Times New Roman" w:hAnsi="Sakkal Majalla" w:cs="Sakkal Majalla"/>
          <w:kern w:val="0"/>
          <w:szCs w:val="28"/>
          <w14:ligatures w14:val="none"/>
        </w:rPr>
        <w:t>:</w:t>
      </w:r>
    </w:p>
    <w:p w14:paraId="180D8240" w14:textId="77777777" w:rsidR="00921C89" w:rsidRPr="00281D95" w:rsidRDefault="00921C89" w:rsidP="002E6227">
      <w:pPr>
        <w:numPr>
          <w:ilvl w:val="0"/>
          <w:numId w:val="4"/>
        </w:numPr>
        <w:tabs>
          <w:tab w:val="clear" w:pos="720"/>
          <w:tab w:val="num" w:pos="281"/>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b/>
          <w:bCs/>
          <w:kern w:val="0"/>
          <w:szCs w:val="28"/>
          <w:rtl/>
          <w14:ligatures w14:val="none"/>
        </w:rPr>
        <w:t>المعطيات المالية للعميل</w:t>
      </w:r>
      <w:r w:rsidRPr="00281D95">
        <w:rPr>
          <w:rFonts w:ascii="Sakkal Majalla" w:eastAsia="Times New Roman" w:hAnsi="Sakkal Majalla" w:cs="Sakkal Majalla"/>
          <w:kern w:val="0"/>
          <w:szCs w:val="28"/>
          <w:rtl/>
          <w14:ligatures w14:val="none"/>
        </w:rPr>
        <w:t xml:space="preserve"> مثل معدل السيولة، ومعدل المديونية، والتدفقات النقدية الحرة؛</w:t>
      </w:r>
    </w:p>
    <w:p w14:paraId="594A9C8D" w14:textId="77777777" w:rsidR="00921C89" w:rsidRPr="00281D95" w:rsidRDefault="00921C89" w:rsidP="002E6227">
      <w:pPr>
        <w:numPr>
          <w:ilvl w:val="0"/>
          <w:numId w:val="4"/>
        </w:numPr>
        <w:tabs>
          <w:tab w:val="clear" w:pos="720"/>
          <w:tab w:val="num" w:pos="281"/>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b/>
          <w:bCs/>
          <w:kern w:val="0"/>
          <w:szCs w:val="28"/>
          <w:rtl/>
          <w14:ligatures w14:val="none"/>
        </w:rPr>
        <w:t>السمات السلوكية والتاريخ الائتماني</w:t>
      </w:r>
      <w:r w:rsidRPr="00281D95">
        <w:rPr>
          <w:rFonts w:ascii="Sakkal Majalla" w:eastAsia="Times New Roman" w:hAnsi="Sakkal Majalla" w:cs="Sakkal Majalla"/>
          <w:kern w:val="0"/>
          <w:szCs w:val="28"/>
          <w:rtl/>
          <w14:ligatures w14:val="none"/>
        </w:rPr>
        <w:t xml:space="preserve"> للعميل، والتي تُمثل مؤشرات غير كمية تُستخدم لتقدير التزامه المستقبلي؛</w:t>
      </w:r>
    </w:p>
    <w:p w14:paraId="1E64BC1E" w14:textId="77777777" w:rsidR="00921C89" w:rsidRPr="00281D95" w:rsidRDefault="00921C89" w:rsidP="002E6227">
      <w:pPr>
        <w:numPr>
          <w:ilvl w:val="0"/>
          <w:numId w:val="4"/>
        </w:numPr>
        <w:tabs>
          <w:tab w:val="clear" w:pos="720"/>
          <w:tab w:val="num" w:pos="281"/>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b/>
          <w:bCs/>
          <w:kern w:val="0"/>
          <w:szCs w:val="28"/>
          <w:rtl/>
          <w14:ligatures w14:val="none"/>
        </w:rPr>
        <w:t>العوامل البيئية والقطاعية</w:t>
      </w:r>
      <w:r w:rsidRPr="00281D95">
        <w:rPr>
          <w:rFonts w:ascii="Sakkal Majalla" w:eastAsia="Times New Roman" w:hAnsi="Sakkal Majalla" w:cs="Sakkal Majalla"/>
          <w:kern w:val="0"/>
          <w:szCs w:val="28"/>
          <w:rtl/>
          <w14:ligatures w14:val="none"/>
        </w:rPr>
        <w:t xml:space="preserve"> التي تنتمي إليها المؤسسة المقترضة، بما في ذلك مدى استقرار السوق، ودورة حياة القطاع</w:t>
      </w:r>
      <w:r w:rsidRPr="00281D95">
        <w:rPr>
          <w:rFonts w:ascii="Sakkal Majalla" w:eastAsia="Times New Roman" w:hAnsi="Sakkal Majalla" w:cs="Sakkal Majalla"/>
          <w:kern w:val="0"/>
          <w:szCs w:val="28"/>
          <w14:ligatures w14:val="none"/>
        </w:rPr>
        <w:t>.</w:t>
      </w:r>
    </w:p>
    <w:p w14:paraId="19919E25" w14:textId="6AF47BDC"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كما يرى </w:t>
      </w:r>
      <w:r w:rsidRPr="00281D95">
        <w:rPr>
          <w:rFonts w:ascii="Sakkal Majalla" w:eastAsia="Times New Roman" w:hAnsi="Sakkal Majalla" w:cs="Sakkal Majalla"/>
          <w:b/>
          <w:bCs/>
          <w:kern w:val="0"/>
          <w:szCs w:val="28"/>
          <w:rtl/>
          <w14:ligatures w14:val="none"/>
        </w:rPr>
        <w:t>مهجر</w:t>
      </w:r>
      <w:r w:rsidRPr="00281D95">
        <w:rPr>
          <w:rFonts w:ascii="Sakkal Majalla" w:eastAsia="Times New Roman" w:hAnsi="Sakkal Majalla" w:cs="Sakkal Majalla"/>
          <w:b/>
          <w:bCs/>
          <w:kern w:val="0"/>
          <w:szCs w:val="28"/>
          <w14:ligatures w14:val="none"/>
        </w:rPr>
        <w:t xml:space="preserve"> (2023)</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أن دقة التقييم الائتماني تتأثر بمدى موثوقية وشفافية البيانات التي يعتمد عليها محللو الائتمان، إلى جانب طبيعة الأدوات الفنية المستخدمة في التقييم</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ويؤكد أن العديد من حالات التعثر الائتماني في البنوك التجارية التقليدية تنجم عن الاعتماد على بيانات مالية غير محدثة أو غير مدققة، مشيرًا إلى أن غياب التحليل النوعي يُفقد التقييم بُعده التنبؤي</w:t>
      </w:r>
      <w:r w:rsidRPr="00281D95">
        <w:rPr>
          <w:rFonts w:ascii="Sakkal Majalla" w:eastAsia="Times New Roman" w:hAnsi="Sakkal Majalla" w:cs="Sakkal Majalla"/>
          <w:kern w:val="0"/>
          <w:szCs w:val="28"/>
          <w14:ligatures w14:val="none"/>
        </w:rPr>
        <w:t>.</w:t>
      </w:r>
    </w:p>
    <w:p w14:paraId="026CC3B7" w14:textId="0A0AD761"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ويؤكد </w:t>
      </w:r>
      <w:r w:rsidRPr="00281D95">
        <w:rPr>
          <w:rFonts w:ascii="Sakkal Majalla" w:eastAsia="Times New Roman" w:hAnsi="Sakkal Majalla" w:cs="Sakkal Majalla"/>
          <w:b/>
          <w:bCs/>
          <w:kern w:val="0"/>
          <w:szCs w:val="28"/>
          <w:rtl/>
          <w14:ligatures w14:val="none"/>
        </w:rPr>
        <w:t>جعفر وبدروني</w:t>
      </w:r>
      <w:r w:rsidRPr="00281D95">
        <w:rPr>
          <w:rFonts w:ascii="Sakkal Majalla" w:eastAsia="Times New Roman" w:hAnsi="Sakkal Majalla" w:cs="Sakkal Majalla"/>
          <w:b/>
          <w:bCs/>
          <w:kern w:val="0"/>
          <w:szCs w:val="28"/>
          <w14:ligatures w14:val="none"/>
        </w:rPr>
        <w:t xml:space="preserve"> (2022)</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 xml:space="preserve">أن فعالية التقييم تعتمد على </w:t>
      </w:r>
      <w:r w:rsidRPr="00281D95">
        <w:rPr>
          <w:rFonts w:ascii="Sakkal Majalla" w:eastAsia="Times New Roman" w:hAnsi="Sakkal Majalla" w:cs="Sakkal Majalla"/>
          <w:b/>
          <w:bCs/>
          <w:kern w:val="0"/>
          <w:szCs w:val="28"/>
          <w:rtl/>
          <w14:ligatures w14:val="none"/>
        </w:rPr>
        <w:t>مدى تكامل التحليل المالي مع التقدير السلوكي والمخاطر القطاعية</w:t>
      </w:r>
      <w:r w:rsidRPr="00281D95">
        <w:rPr>
          <w:rFonts w:ascii="Sakkal Majalla" w:eastAsia="Times New Roman" w:hAnsi="Sakkal Majalla" w:cs="Sakkal Majalla"/>
          <w:kern w:val="0"/>
          <w:szCs w:val="28"/>
          <w:rtl/>
          <w14:ligatures w14:val="none"/>
        </w:rPr>
        <w:t>، حيث إن التركيز على النسب المالية فقط قد يؤدي إلى تجاهل مؤشرات الإنذار المبكر</w:t>
      </w:r>
      <w:r w:rsidR="00181367"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وقد اقترحا نموذجًا تقييميًا متكاملًا يجمع بين تحليل البيانات التاريخية للعميل، ودراسة ظروف السوق، وتحليل السيناريوهات المستقبلية</w:t>
      </w:r>
      <w:r w:rsidRPr="00281D95">
        <w:rPr>
          <w:rFonts w:ascii="Sakkal Majalla" w:eastAsia="Times New Roman" w:hAnsi="Sakkal Majalla" w:cs="Sakkal Majalla"/>
          <w:kern w:val="0"/>
          <w:szCs w:val="28"/>
          <w14:ligatures w14:val="none"/>
        </w:rPr>
        <w:t>.</w:t>
      </w:r>
    </w:p>
    <w:p w14:paraId="219D07E4" w14:textId="77777777"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كما أشار </w:t>
      </w:r>
      <w:r w:rsidRPr="00281D95">
        <w:rPr>
          <w:rFonts w:ascii="Sakkal Majalla" w:eastAsia="Times New Roman" w:hAnsi="Sakkal Majalla" w:cs="Sakkal Majalla"/>
          <w:b/>
          <w:bCs/>
          <w:kern w:val="0"/>
          <w:szCs w:val="28"/>
          <w14:ligatures w14:val="none"/>
        </w:rPr>
        <w:t xml:space="preserve">Beeram </w:t>
      </w:r>
      <w:r w:rsidRPr="00281D95">
        <w:rPr>
          <w:rFonts w:ascii="Sakkal Majalla" w:eastAsia="Times New Roman" w:hAnsi="Sakkal Majalla" w:cs="Sakkal Majalla"/>
          <w:b/>
          <w:bCs/>
          <w:kern w:val="0"/>
          <w:szCs w:val="28"/>
          <w:rtl/>
          <w14:ligatures w14:val="none"/>
        </w:rPr>
        <w:t>و</w:t>
      </w:r>
      <w:r w:rsidRPr="00281D95">
        <w:rPr>
          <w:rFonts w:ascii="Sakkal Majalla" w:eastAsia="Times New Roman" w:hAnsi="Sakkal Majalla" w:cs="Sakkal Majalla"/>
          <w:b/>
          <w:bCs/>
          <w:kern w:val="0"/>
          <w:szCs w:val="28"/>
          <w14:ligatures w14:val="none"/>
        </w:rPr>
        <w:t>Devi (2024)</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إلى أن هناك ثلاثة عوامل مركزية تُحدد دقة التقييم الائتماني في العصر الرقمي</w:t>
      </w:r>
      <w:r w:rsidRPr="00281D95">
        <w:rPr>
          <w:rFonts w:ascii="Sakkal Majalla" w:eastAsia="Times New Roman" w:hAnsi="Sakkal Majalla" w:cs="Sakkal Majalla"/>
          <w:kern w:val="0"/>
          <w:szCs w:val="28"/>
          <w14:ligatures w14:val="none"/>
        </w:rPr>
        <w:t>:</w:t>
      </w:r>
    </w:p>
    <w:p w14:paraId="20448974" w14:textId="77777777" w:rsidR="00921C89" w:rsidRPr="00281D95" w:rsidRDefault="00921C89" w:rsidP="002E6227">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b/>
          <w:bCs/>
          <w:kern w:val="0"/>
          <w:szCs w:val="28"/>
          <w:rtl/>
          <w14:ligatures w14:val="none"/>
        </w:rPr>
        <w:t>توافر قاعدة بيانات مركزية وقابلة للتحديث في الوقت الحقيقي</w:t>
      </w:r>
      <w:r w:rsidRPr="00281D95">
        <w:rPr>
          <w:rFonts w:ascii="Sakkal Majalla" w:eastAsia="Times New Roman" w:hAnsi="Sakkal Majalla" w:cs="Sakkal Majalla"/>
          <w:kern w:val="0"/>
          <w:szCs w:val="28"/>
          <w:rtl/>
          <w14:ligatures w14:val="none"/>
        </w:rPr>
        <w:t>؛</w:t>
      </w:r>
    </w:p>
    <w:p w14:paraId="0059E689" w14:textId="77777777" w:rsidR="00921C89" w:rsidRPr="00281D95" w:rsidRDefault="00921C89" w:rsidP="002E6227">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b/>
          <w:bCs/>
          <w:kern w:val="0"/>
          <w:szCs w:val="28"/>
          <w:rtl/>
          <w14:ligatures w14:val="none"/>
        </w:rPr>
        <w:t>تبني نماذج تنبؤية قائمة على الذكاء الاصطناعي والتعلم الآلي</w:t>
      </w:r>
      <w:r w:rsidRPr="00281D95">
        <w:rPr>
          <w:rFonts w:ascii="Sakkal Majalla" w:eastAsia="Times New Roman" w:hAnsi="Sakkal Majalla" w:cs="Sakkal Majalla"/>
          <w:kern w:val="0"/>
          <w:szCs w:val="28"/>
          <w:rtl/>
          <w14:ligatures w14:val="none"/>
        </w:rPr>
        <w:t>؛</w:t>
      </w:r>
    </w:p>
    <w:p w14:paraId="13EDBC83" w14:textId="138BC14B" w:rsidR="00921C89" w:rsidRPr="00281D95" w:rsidRDefault="00921C89" w:rsidP="002E6227">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b/>
          <w:bCs/>
          <w:kern w:val="0"/>
          <w:szCs w:val="28"/>
          <w:rtl/>
          <w14:ligatures w14:val="none"/>
        </w:rPr>
        <w:t>وجود بنية تحتية تكنولوجية تربط بين وحدات المخاطر والتمويل والتسويق داخل البنك</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14:ligatures w14:val="none"/>
        </w:rPr>
        <w:br/>
      </w:r>
      <w:r w:rsidRPr="00281D95">
        <w:rPr>
          <w:rFonts w:ascii="Sakkal Majalla" w:eastAsia="Times New Roman" w:hAnsi="Sakkal Majalla" w:cs="Sakkal Majalla"/>
          <w:kern w:val="0"/>
          <w:szCs w:val="28"/>
          <w:rtl/>
          <w14:ligatures w14:val="none"/>
        </w:rPr>
        <w:t>وقد أظهرت دراستهما أن البنوك التي اعتمدت على نظم تقييم ذكية سجّلت انخفاضًا ملموسًا في معدلات القروض المتعثرة</w:t>
      </w:r>
      <w:r w:rsidRPr="00281D95">
        <w:rPr>
          <w:rFonts w:ascii="Sakkal Majalla" w:eastAsia="Times New Roman" w:hAnsi="Sakkal Majalla" w:cs="Sakkal Majalla"/>
          <w:kern w:val="0"/>
          <w:szCs w:val="28"/>
          <w14:ligatures w14:val="none"/>
        </w:rPr>
        <w:t>.</w:t>
      </w:r>
    </w:p>
    <w:p w14:paraId="22659D8C" w14:textId="04E62D11"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وفي دراسة مقارنة أجراها </w:t>
      </w:r>
      <w:r w:rsidRPr="00281D95">
        <w:rPr>
          <w:rFonts w:ascii="Sakkal Majalla" w:eastAsia="Times New Roman" w:hAnsi="Sakkal Majalla" w:cs="Sakkal Majalla"/>
          <w:b/>
          <w:bCs/>
          <w:kern w:val="0"/>
          <w:szCs w:val="28"/>
          <w14:ligatures w14:val="none"/>
        </w:rPr>
        <w:t xml:space="preserve">Abdelaziz </w:t>
      </w:r>
      <w:r w:rsidRPr="00281D95">
        <w:rPr>
          <w:rFonts w:ascii="Sakkal Majalla" w:eastAsia="Times New Roman" w:hAnsi="Sakkal Majalla" w:cs="Sakkal Majalla"/>
          <w:b/>
          <w:bCs/>
          <w:kern w:val="0"/>
          <w:szCs w:val="28"/>
          <w:rtl/>
          <w14:ligatures w14:val="none"/>
        </w:rPr>
        <w:t>و</w:t>
      </w:r>
      <w:r w:rsidRPr="00281D95">
        <w:rPr>
          <w:rFonts w:ascii="Sakkal Majalla" w:eastAsia="Times New Roman" w:hAnsi="Sakkal Majalla" w:cs="Sakkal Majalla"/>
          <w:b/>
          <w:bCs/>
          <w:kern w:val="0"/>
          <w:szCs w:val="28"/>
          <w14:ligatures w14:val="none"/>
        </w:rPr>
        <w:t xml:space="preserve">Rim </w:t>
      </w:r>
      <w:r w:rsidRPr="00281D95">
        <w:rPr>
          <w:rFonts w:ascii="Sakkal Majalla" w:eastAsia="Times New Roman" w:hAnsi="Sakkal Majalla" w:cs="Sakkal Majalla"/>
          <w:b/>
          <w:bCs/>
          <w:kern w:val="0"/>
          <w:szCs w:val="28"/>
          <w:rtl/>
          <w14:ligatures w14:val="none"/>
        </w:rPr>
        <w:t>و</w:t>
      </w:r>
      <w:r w:rsidRPr="00281D95">
        <w:rPr>
          <w:rFonts w:ascii="Sakkal Majalla" w:eastAsia="Times New Roman" w:hAnsi="Sakkal Majalla" w:cs="Sakkal Majalla"/>
          <w:b/>
          <w:bCs/>
          <w:kern w:val="0"/>
          <w:szCs w:val="28"/>
          <w14:ligatures w14:val="none"/>
        </w:rPr>
        <w:t>Helmi (2022)</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حول العلاقة بين المخاطر الائتمانية والسيولة والربحية في بنوك منطقة الشرق الأوسط، توصل الباحثون إلى أن تجاهل الجوانب السلوكية والقطاعية للعميل يُعد من أبرز أسباب التضخم في حجم المخصصات المالية</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وقد أوصوا بضرورة توسيع نطاق النماذج التقليدية لتشمل تحليلات سلوكية متقدمة</w:t>
      </w:r>
      <w:r w:rsidRPr="00281D95">
        <w:rPr>
          <w:rFonts w:ascii="Sakkal Majalla" w:eastAsia="Times New Roman" w:hAnsi="Sakkal Majalla" w:cs="Sakkal Majalla"/>
          <w:kern w:val="0"/>
          <w:szCs w:val="28"/>
          <w14:ligatures w14:val="none"/>
        </w:rPr>
        <w:t>.</w:t>
      </w:r>
    </w:p>
    <w:p w14:paraId="2F59CF4B" w14:textId="0BC8A9B1"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أما </w:t>
      </w:r>
      <w:r w:rsidRPr="00281D95">
        <w:rPr>
          <w:rFonts w:ascii="Sakkal Majalla" w:eastAsia="Times New Roman" w:hAnsi="Sakkal Majalla" w:cs="Sakkal Majalla"/>
          <w:b/>
          <w:bCs/>
          <w:kern w:val="0"/>
          <w:szCs w:val="28"/>
          <w:rtl/>
          <w14:ligatures w14:val="none"/>
        </w:rPr>
        <w:t>الطائي</w:t>
      </w:r>
      <w:r w:rsidRPr="00281D95">
        <w:rPr>
          <w:rFonts w:ascii="Sakkal Majalla" w:eastAsia="Times New Roman" w:hAnsi="Sakkal Majalla" w:cs="Sakkal Majalla"/>
          <w:b/>
          <w:bCs/>
          <w:kern w:val="0"/>
          <w:szCs w:val="28"/>
          <w14:ligatures w14:val="none"/>
        </w:rPr>
        <w:t xml:space="preserve"> (2024)</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 xml:space="preserve">فقد ركّز في دراسته على تأثير نوع النشاط الاقتصادي على درجة المخاطرة، مشيرًا إلى أن </w:t>
      </w:r>
      <w:r w:rsidRPr="00281D95">
        <w:rPr>
          <w:rFonts w:ascii="Sakkal Majalla" w:eastAsia="Times New Roman" w:hAnsi="Sakkal Majalla" w:cs="Sakkal Majalla"/>
          <w:b/>
          <w:bCs/>
          <w:kern w:val="0"/>
          <w:szCs w:val="28"/>
          <w:rtl/>
          <w14:ligatures w14:val="none"/>
        </w:rPr>
        <w:t>القطاعات الرأسمالية ذات الدورة التمويلية الطويلة (مثل الصناعة الثقيلة والإنشاءات)</w:t>
      </w:r>
      <w:r w:rsidRPr="00281D95">
        <w:rPr>
          <w:rFonts w:ascii="Sakkal Majalla" w:eastAsia="Times New Roman" w:hAnsi="Sakkal Majalla" w:cs="Sakkal Majalla"/>
          <w:kern w:val="0"/>
          <w:szCs w:val="28"/>
          <w:rtl/>
          <w14:ligatures w14:val="none"/>
        </w:rPr>
        <w:t xml:space="preserve"> غالبًا ما تحمل مستويات مخاطرة أعلى مقارنة بالقطاعات الخدمية أو التكنولوجية</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وبيّن أن تجاهل طبيعة القطاع الاقتصادي في تقييم المخاطر يؤدي إلى نتائج مضللة، حتى وإن بدت المؤشرات المالية الأولية إيجابية</w:t>
      </w:r>
      <w:r w:rsidRPr="00281D95">
        <w:rPr>
          <w:rFonts w:ascii="Sakkal Majalla" w:eastAsia="Times New Roman" w:hAnsi="Sakkal Majalla" w:cs="Sakkal Majalla"/>
          <w:kern w:val="0"/>
          <w:szCs w:val="28"/>
          <w14:ligatures w14:val="none"/>
        </w:rPr>
        <w:t>.</w:t>
      </w:r>
    </w:p>
    <w:p w14:paraId="23724E95" w14:textId="4771471F"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 xml:space="preserve">وفي السياق نفسه، أوضح </w:t>
      </w:r>
      <w:r w:rsidRPr="00281D95">
        <w:rPr>
          <w:rFonts w:ascii="Sakkal Majalla" w:eastAsia="Times New Roman" w:hAnsi="Sakkal Majalla" w:cs="Sakkal Majalla"/>
          <w:b/>
          <w:bCs/>
          <w:kern w:val="0"/>
          <w:szCs w:val="28"/>
          <w14:ligatures w14:val="none"/>
        </w:rPr>
        <w:t>Li (2023)</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أن النماذج المعتمدة على التحليل الكمي وحده لم تعد كافية، خاصة في ظل تطور سلوك العملاء وظهور أنماط جديدة من المخاطر المرتبطة بالاستهلاك الرقمي والتجارة الإلكترونية</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وخلص إلى أن دمج البيانات السلوكية المستخرجة من أنظمة المدفوعات وتاريخ الشراء الإلكتروني يُمكن أن يعزز دقة التقييم بنسبة تتجاوز 20% في بعض الحالات</w:t>
      </w:r>
      <w:r w:rsidRPr="00281D95">
        <w:rPr>
          <w:rFonts w:ascii="Sakkal Majalla" w:eastAsia="Times New Roman" w:hAnsi="Sakkal Majalla" w:cs="Sakkal Majalla"/>
          <w:kern w:val="0"/>
          <w:szCs w:val="28"/>
          <w14:ligatures w14:val="none"/>
        </w:rPr>
        <w:t>.</w:t>
      </w:r>
    </w:p>
    <w:p w14:paraId="4AD13A06" w14:textId="71930E0B" w:rsidR="00921C89" w:rsidRPr="00F07643" w:rsidRDefault="00F07643" w:rsidP="00F07643">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9" w:name="_Toc200849163"/>
      <w:r w:rsidRPr="00F07643">
        <w:rPr>
          <w:rFonts w:ascii="Sakkal Majalla" w:eastAsia="Times New Roman" w:hAnsi="Sakkal Majalla" w:cs="Sakkal Majalla" w:hint="cs"/>
          <w:b/>
          <w:bCs/>
          <w:kern w:val="0"/>
          <w:sz w:val="32"/>
          <w:szCs w:val="32"/>
          <w:rtl/>
          <w14:ligatures w14:val="none"/>
        </w:rPr>
        <w:t xml:space="preserve">7.1.2 </w:t>
      </w:r>
      <w:r w:rsidR="00921C89" w:rsidRPr="00F07643">
        <w:rPr>
          <w:rFonts w:ascii="Sakkal Majalla" w:eastAsia="Times New Roman" w:hAnsi="Sakkal Majalla" w:cs="Sakkal Majalla"/>
          <w:b/>
          <w:bCs/>
          <w:kern w:val="0"/>
          <w:sz w:val="32"/>
          <w:szCs w:val="32"/>
          <w:rtl/>
          <w14:ligatures w14:val="none"/>
        </w:rPr>
        <w:t xml:space="preserve"> التحديات التي تواجه البنوك التجارية في تقييم المخاطر الائتمانية</w:t>
      </w:r>
      <w:bookmarkEnd w:id="39"/>
    </w:p>
    <w:p w14:paraId="57ABC594" w14:textId="3979B1F3"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على الرغم من التقدم الكبير الذي أحرزته البنوك التجارية في تطوير أنظمة التقييم الائتماني، إلا أن هناك العديد من التحديات البنيوية والتقنية والسلوكية التي لا تزال تُعيق الوصول إلى تقييم دقيق وشامل للمخاطر</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وتكمن خطورة هذه التحديات في أنها لا تؤثر فقط على القرار الائتماني لحظة اتخاذه، بل تمتد آثارها لتشمل الأداء المالي العام للبنك، واستقراره التنظيمي، وقدرته على الاستجابة للمخاطر المستقبلية. وقد تناولت العديد من الدراسات هذه التحديات من زوايا مختلفة، مؤكدة على أنها تمثل أحد أبرز معوقات تحسين جودة القرارات الائتمانية في البنوك العربية والعالمية على حد سواء</w:t>
      </w:r>
      <w:r w:rsidRPr="00281D95">
        <w:rPr>
          <w:rFonts w:ascii="Sakkal Majalla" w:eastAsia="Times New Roman" w:hAnsi="Sakkal Majalla" w:cs="Sakkal Majalla"/>
          <w:kern w:val="0"/>
          <w:szCs w:val="28"/>
          <w14:ligatures w14:val="none"/>
        </w:rPr>
        <w:t xml:space="preserve"> (Abdelaziz et al., 2022; </w:t>
      </w:r>
      <w:r w:rsidRPr="00281D95">
        <w:rPr>
          <w:rFonts w:ascii="Sakkal Majalla" w:eastAsia="Times New Roman" w:hAnsi="Sakkal Majalla" w:cs="Sakkal Majalla"/>
          <w:kern w:val="0"/>
          <w:szCs w:val="28"/>
          <w:rtl/>
          <w14:ligatures w14:val="none"/>
        </w:rPr>
        <w:t>جعفر وبدروني، 2022</w:t>
      </w:r>
      <w:r w:rsidRPr="00281D95">
        <w:rPr>
          <w:rFonts w:ascii="Sakkal Majalla" w:eastAsia="Times New Roman" w:hAnsi="Sakkal Majalla" w:cs="Sakkal Majalla"/>
          <w:kern w:val="0"/>
          <w:szCs w:val="28"/>
          <w14:ligatures w14:val="none"/>
        </w:rPr>
        <w:t>).</w:t>
      </w:r>
    </w:p>
    <w:p w14:paraId="73C7B0F4" w14:textId="78F13872" w:rsidR="00921C89" w:rsidRPr="00281D95" w:rsidRDefault="00F07643"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1. </w:t>
      </w:r>
      <w:r w:rsidR="00921C89" w:rsidRPr="00281D95">
        <w:rPr>
          <w:rFonts w:ascii="Sakkal Majalla" w:eastAsia="Times New Roman" w:hAnsi="Sakkal Majalla" w:cs="Sakkal Majalla"/>
          <w:b/>
          <w:bCs/>
          <w:kern w:val="0"/>
          <w:szCs w:val="28"/>
          <w:rtl/>
          <w14:ligatures w14:val="none"/>
        </w:rPr>
        <w:t>ضعف جودة البيانات وتكامل مصادرها</w:t>
      </w:r>
    </w:p>
    <w:p w14:paraId="4EDC79F3" w14:textId="510ED72D"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تُعد البيانات الدقيقة والمتكاملة أساسًا لكل عملية تقييم سليمة، غير أن البنوك – خصوصًا في الدول النامية – تعاني في كثير من الأحيان من ضعف في جودة البيانات المقدمة من العملاء، أو غياب الربط بين قواعد البيانات الداخلية والخارجية</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وقد أشارت </w:t>
      </w:r>
      <w:r w:rsidRPr="00281D95">
        <w:rPr>
          <w:rFonts w:ascii="Sakkal Majalla" w:eastAsia="Times New Roman" w:hAnsi="Sakkal Majalla" w:cs="Sakkal Majalla"/>
          <w:b/>
          <w:bCs/>
          <w:kern w:val="0"/>
          <w:szCs w:val="28"/>
          <w:rtl/>
          <w14:ligatures w14:val="none"/>
        </w:rPr>
        <w:t>دراسة</w:t>
      </w:r>
      <w:r w:rsidRPr="00281D95">
        <w:rPr>
          <w:rFonts w:ascii="Sakkal Majalla" w:eastAsia="Times New Roman" w:hAnsi="Sakkal Majalla" w:cs="Sakkal Majalla"/>
          <w:b/>
          <w:bCs/>
          <w:kern w:val="0"/>
          <w:szCs w:val="28"/>
          <w14:ligatures w14:val="none"/>
        </w:rPr>
        <w:t xml:space="preserve"> Elumilade et al. (2023)</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إلى أن أحد أبرز التحديات التي تُواجه التقييم الائتماني هو الاعتماد على بيانات تاريخية غير محدثة، أو غير موثقة، ما يؤدي إلى بناء قرارات تمويلية على افتراضات غير واقعية</w:t>
      </w:r>
      <w:r w:rsidRPr="00281D95">
        <w:rPr>
          <w:rFonts w:ascii="Sakkal Majalla" w:eastAsia="Times New Roman" w:hAnsi="Sakkal Majalla" w:cs="Sakkal Majalla"/>
          <w:kern w:val="0"/>
          <w:szCs w:val="28"/>
          <w14:ligatures w14:val="none"/>
        </w:rPr>
        <w:t>.</w:t>
      </w:r>
    </w:p>
    <w:p w14:paraId="7B3F3C1C" w14:textId="3E1932E6" w:rsidR="00921C89" w:rsidRPr="00281D95" w:rsidRDefault="00F07643"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2. </w:t>
      </w:r>
      <w:r w:rsidR="00921C89" w:rsidRPr="00281D95">
        <w:rPr>
          <w:rFonts w:ascii="Sakkal Majalla" w:eastAsia="Times New Roman" w:hAnsi="Sakkal Majalla" w:cs="Sakkal Majalla"/>
          <w:b/>
          <w:bCs/>
          <w:kern w:val="0"/>
          <w:szCs w:val="28"/>
          <w:rtl/>
          <w14:ligatures w14:val="none"/>
        </w:rPr>
        <w:t>الاعتماد الزائد على النماذج التقليدية</w:t>
      </w:r>
    </w:p>
    <w:p w14:paraId="43F20066" w14:textId="14FC964E"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lang w:bidi="ar-EG"/>
          <w14:ligatures w14:val="none"/>
        </w:rPr>
      </w:pPr>
      <w:r w:rsidRPr="00281D95">
        <w:rPr>
          <w:rFonts w:ascii="Sakkal Majalla" w:eastAsia="Times New Roman" w:hAnsi="Sakkal Majalla" w:cs="Sakkal Majalla" w:hint="cs"/>
          <w:kern w:val="0"/>
          <w:szCs w:val="28"/>
          <w:rtl/>
          <w:lang w:bidi="ar-EG"/>
          <w14:ligatures w14:val="none"/>
        </w:rPr>
        <w:t>لا تزال العديد من البنوك تعتمد على نماذج تقييم تقليدية تعتمد على النسب المالية فقط، مثل السيولة والربحية ونسبة الدين، دون أن تُدمج مع أدوات تحليل سلوكي أو نماذج تنبؤية</w:t>
      </w:r>
      <w:r w:rsidR="002E1E0B" w:rsidRPr="00281D95">
        <w:rPr>
          <w:rFonts w:ascii="Sakkal Majalla" w:eastAsia="Times New Roman" w:hAnsi="Sakkal Majalla" w:cs="Sakkal Majalla" w:hint="cs"/>
          <w:kern w:val="0"/>
          <w:szCs w:val="28"/>
          <w:rtl/>
          <w:lang w:bidi="ar-EG"/>
          <w14:ligatures w14:val="none"/>
        </w:rPr>
        <w:t>،</w:t>
      </w:r>
      <w:r w:rsidRPr="00281D95">
        <w:rPr>
          <w:rFonts w:ascii="Sakkal Majalla" w:eastAsia="Times New Roman" w:hAnsi="Sakkal Majalla" w:cs="Sakkal Majalla" w:hint="cs"/>
          <w:kern w:val="0"/>
          <w:szCs w:val="28"/>
          <w:rtl/>
          <w:lang w:bidi="ar-EG"/>
          <w14:ligatures w14:val="none"/>
        </w:rPr>
        <w:t xml:space="preserve"> ويؤكد </w:t>
      </w:r>
      <w:r w:rsidRPr="00281D95">
        <w:rPr>
          <w:rFonts w:ascii="Sakkal Majalla" w:eastAsia="Times New Roman" w:hAnsi="Sakkal Majalla" w:cs="Sakkal Majalla" w:hint="cs"/>
          <w:b/>
          <w:bCs/>
          <w:kern w:val="0"/>
          <w:szCs w:val="28"/>
          <w:lang w:bidi="ar-EG"/>
          <w14:ligatures w14:val="none"/>
        </w:rPr>
        <w:t>Beeram &amp; Devi (2024)</w:t>
      </w:r>
      <w:r w:rsidRPr="00281D95">
        <w:rPr>
          <w:rFonts w:ascii="Sakkal Majalla" w:eastAsia="Times New Roman" w:hAnsi="Sakkal Majalla" w:cs="Sakkal Majalla" w:hint="cs"/>
          <w:kern w:val="0"/>
          <w:szCs w:val="28"/>
          <w:lang w:bidi="ar-EG"/>
          <w14:ligatures w14:val="none"/>
        </w:rPr>
        <w:t xml:space="preserve"> </w:t>
      </w:r>
      <w:r w:rsidRPr="00281D95">
        <w:rPr>
          <w:rFonts w:ascii="Sakkal Majalla" w:eastAsia="Times New Roman" w:hAnsi="Sakkal Majalla" w:cs="Sakkal Majalla" w:hint="cs"/>
          <w:kern w:val="0"/>
          <w:szCs w:val="28"/>
          <w:rtl/>
          <w:lang w:bidi="ar-EG"/>
          <w14:ligatures w14:val="none"/>
        </w:rPr>
        <w:t>أن هذا التوجه أدى إلى عجز واضح في التنبؤ بمخاطر بعض الفئات، خصوصًا تلك المرتبطة بالأنشطة الجديدة أو الاقتصاد الرقمي</w:t>
      </w:r>
      <w:r w:rsidR="002E1E0B" w:rsidRPr="00281D95">
        <w:rPr>
          <w:rFonts w:ascii="Sakkal Majalla" w:eastAsia="Times New Roman" w:hAnsi="Sakkal Majalla" w:cs="Sakkal Majalla" w:hint="cs"/>
          <w:kern w:val="0"/>
          <w:szCs w:val="28"/>
          <w:rtl/>
          <w:lang w:bidi="ar-EG"/>
          <w14:ligatures w14:val="none"/>
        </w:rPr>
        <w:t>،</w:t>
      </w:r>
      <w:r w:rsidRPr="00281D95">
        <w:rPr>
          <w:rFonts w:ascii="Sakkal Majalla" w:eastAsia="Times New Roman" w:hAnsi="Sakkal Majalla" w:cs="Sakkal Majalla" w:hint="cs"/>
          <w:kern w:val="0"/>
          <w:szCs w:val="28"/>
          <w:rtl/>
          <w:lang w:bidi="ar-EG"/>
          <w14:ligatures w14:val="none"/>
        </w:rPr>
        <w:t xml:space="preserve"> ويُعد هذا التحدي جوهريًا، خاصة في ظل البيئة المتقلبة التي تتطلب مرونة نماذجية وقدرة تنبؤية عالية</w:t>
      </w:r>
      <w:r w:rsidRPr="00281D95">
        <w:rPr>
          <w:rFonts w:ascii="Sakkal Majalla" w:eastAsia="Times New Roman" w:hAnsi="Sakkal Majalla" w:cs="Sakkal Majalla" w:hint="cs"/>
          <w:kern w:val="0"/>
          <w:szCs w:val="28"/>
          <w:lang w:bidi="ar-EG"/>
          <w14:ligatures w14:val="none"/>
        </w:rPr>
        <w:t>.</w:t>
      </w:r>
    </w:p>
    <w:p w14:paraId="36061735" w14:textId="70AF20C1" w:rsidR="00921C89" w:rsidRPr="00281D95" w:rsidRDefault="00F07643"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3. </w:t>
      </w:r>
      <w:r w:rsidR="00921C89" w:rsidRPr="00281D95">
        <w:rPr>
          <w:rFonts w:ascii="Sakkal Majalla" w:eastAsia="Times New Roman" w:hAnsi="Sakkal Majalla" w:cs="Sakkal Majalla"/>
          <w:b/>
          <w:bCs/>
          <w:kern w:val="0"/>
          <w:szCs w:val="28"/>
          <w:rtl/>
          <w14:ligatures w14:val="none"/>
        </w:rPr>
        <w:t>ضعف الكوادر البشرية المتخصصة</w:t>
      </w:r>
    </w:p>
    <w:p w14:paraId="22B5110A" w14:textId="5954DA44"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يُعتبر غياب الكفاءات التحليلية المتقدمة من أبرز التحديات التي تُواجه إدارات الائتمان والمخاطر في البنوك</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حيث يعتمد نجاح عملية التقييم على قدرة المحللين على تفسير المؤشرات المالية، وقراءة التوجهات القطاعية، وربطها بالسلوك الائتماني للعميل</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وقد أوضحت </w:t>
      </w:r>
      <w:r w:rsidRPr="00281D95">
        <w:rPr>
          <w:rFonts w:ascii="Sakkal Majalla" w:eastAsia="Times New Roman" w:hAnsi="Sakkal Majalla" w:cs="Sakkal Majalla"/>
          <w:b/>
          <w:bCs/>
          <w:kern w:val="0"/>
          <w:szCs w:val="28"/>
          <w:rtl/>
          <w14:ligatures w14:val="none"/>
        </w:rPr>
        <w:t>دراسة</w:t>
      </w:r>
      <w:r w:rsidRPr="00281D95">
        <w:rPr>
          <w:rFonts w:ascii="Sakkal Majalla" w:eastAsia="Times New Roman" w:hAnsi="Sakkal Majalla" w:cs="Sakkal Majalla"/>
          <w:b/>
          <w:bCs/>
          <w:kern w:val="0"/>
          <w:szCs w:val="28"/>
          <w14:ligatures w14:val="none"/>
        </w:rPr>
        <w:t xml:space="preserve"> Abu Rumman (2020)</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أن معظم البنوك التي سجلت مستويات مرتفعة من التعثر كانت تفتقر إلى محللين مدرّبين على استخدام أدوات التحليل المتقدم، وهو ما يُضعف من فعالية التقييم ويزيد من التحيزات في اتخاذ القرار</w:t>
      </w:r>
      <w:r w:rsidRPr="00281D95">
        <w:rPr>
          <w:rFonts w:ascii="Sakkal Majalla" w:eastAsia="Times New Roman" w:hAnsi="Sakkal Majalla" w:cs="Sakkal Majalla"/>
          <w:kern w:val="0"/>
          <w:szCs w:val="28"/>
          <w14:ligatures w14:val="none"/>
        </w:rPr>
        <w:t>.</w:t>
      </w:r>
    </w:p>
    <w:p w14:paraId="175B7CBC" w14:textId="4BA23303" w:rsidR="00921C89" w:rsidRPr="00281D95" w:rsidRDefault="00F07643"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4. </w:t>
      </w:r>
      <w:r w:rsidR="00921C89" w:rsidRPr="00281D95">
        <w:rPr>
          <w:rFonts w:ascii="Sakkal Majalla" w:eastAsia="Times New Roman" w:hAnsi="Sakkal Majalla" w:cs="Sakkal Majalla"/>
          <w:b/>
          <w:bCs/>
          <w:kern w:val="0"/>
          <w:szCs w:val="28"/>
          <w:rtl/>
          <w14:ligatures w14:val="none"/>
        </w:rPr>
        <w:t>ضغوط الإدارات التسويقية على قرارات التقييم</w:t>
      </w:r>
    </w:p>
    <w:p w14:paraId="2BCCF271" w14:textId="37F30E8A"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تُعاني بعض البنوك من تضارب في الأدوار بين الإدارات التسويقية التي تسعى لتحقيق أهداف النمو والربحية، وإدارات التقييم والمخاطر التي تعمل على تقليص درجة التعرض للخطر</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وقد أشار </w:t>
      </w:r>
      <w:r w:rsidRPr="00281D95">
        <w:rPr>
          <w:rFonts w:ascii="Sakkal Majalla" w:eastAsia="Times New Roman" w:hAnsi="Sakkal Majalla" w:cs="Sakkal Majalla"/>
          <w:b/>
          <w:bCs/>
          <w:kern w:val="0"/>
          <w:szCs w:val="28"/>
          <w:rtl/>
          <w14:ligatures w14:val="none"/>
        </w:rPr>
        <w:t>العمري وكلبونة</w:t>
      </w:r>
      <w:r w:rsidRPr="00281D95">
        <w:rPr>
          <w:rFonts w:ascii="Sakkal Majalla" w:eastAsia="Times New Roman" w:hAnsi="Sakkal Majalla" w:cs="Sakkal Majalla"/>
          <w:b/>
          <w:bCs/>
          <w:kern w:val="0"/>
          <w:szCs w:val="28"/>
          <w14:ligatures w14:val="none"/>
        </w:rPr>
        <w:t xml:space="preserve"> (2022)</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إلى أن البنوك التي لا تفصل بوضوح بين مهام منح التسهيلات وتحليل المخاطر تواجه نسبًا أعلى من القروض غير المنتظمة</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وتزداد هذه الضغوط في فترات الركود، حيث تميل الإدارة إلى التوسع في الإقراض كوسيلة لتنشيط النشاط المالي، على حساب جودة المحفظة</w:t>
      </w:r>
      <w:r w:rsidRPr="00281D95">
        <w:rPr>
          <w:rFonts w:ascii="Sakkal Majalla" w:eastAsia="Times New Roman" w:hAnsi="Sakkal Majalla" w:cs="Sakkal Majalla"/>
          <w:kern w:val="0"/>
          <w:szCs w:val="28"/>
          <w14:ligatures w14:val="none"/>
        </w:rPr>
        <w:t>.</w:t>
      </w:r>
    </w:p>
    <w:p w14:paraId="707DB117" w14:textId="3057FF0C" w:rsidR="00921C89" w:rsidRPr="00281D95" w:rsidRDefault="00F07643"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5. </w:t>
      </w:r>
      <w:r w:rsidR="00921C89" w:rsidRPr="00281D95">
        <w:rPr>
          <w:rFonts w:ascii="Sakkal Majalla" w:eastAsia="Times New Roman" w:hAnsi="Sakkal Majalla" w:cs="Sakkal Majalla"/>
          <w:b/>
          <w:bCs/>
          <w:kern w:val="0"/>
          <w:szCs w:val="28"/>
          <w:rtl/>
          <w14:ligatures w14:val="none"/>
        </w:rPr>
        <w:t>محدودية استخدام الأدوات الذكية والتحليلات التنبؤية</w:t>
      </w:r>
    </w:p>
    <w:p w14:paraId="20FFA99B" w14:textId="3DF5B4E7"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رغم التقدم العالمي في تطبيق الذكاء الاصطناعي والتعلم الآلي في عمليات التقييم الائتماني، إلا أن عددًا من البنوك – خاصة في الدول العربية – لم تُدمج بعد هذه التقنيات في نظمها التحليلية، لأسباب تتعلق بتكلفة التطوير، أو ضعف البنية التحتية التكنولوجية</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وبيّنت </w:t>
      </w:r>
      <w:r w:rsidRPr="00281D95">
        <w:rPr>
          <w:rFonts w:ascii="Sakkal Majalla" w:eastAsia="Times New Roman" w:hAnsi="Sakkal Majalla" w:cs="Sakkal Majalla"/>
          <w:b/>
          <w:bCs/>
          <w:kern w:val="0"/>
          <w:szCs w:val="28"/>
          <w:rtl/>
          <w14:ligatures w14:val="none"/>
        </w:rPr>
        <w:t>دراسة</w:t>
      </w:r>
      <w:r w:rsidRPr="00281D95">
        <w:rPr>
          <w:rFonts w:ascii="Sakkal Majalla" w:eastAsia="Times New Roman" w:hAnsi="Sakkal Majalla" w:cs="Sakkal Majalla"/>
          <w:b/>
          <w:bCs/>
          <w:kern w:val="0"/>
          <w:szCs w:val="28"/>
          <w14:ligatures w14:val="none"/>
        </w:rPr>
        <w:t xml:space="preserve"> Amarnadh &amp; Moparthi (2023)</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أن البنوك التي تعتمد على تحليلات البيانات الذكية تمتلك قدرة أكبر على رصد أنماط التعثر المبكر، وتُحقق نسب دقة في التصنيف تفوق 90</w:t>
      </w:r>
      <w:r w:rsidRPr="00281D95">
        <w:rPr>
          <w:rFonts w:ascii="Sakkal Majalla" w:eastAsia="Times New Roman" w:hAnsi="Sakkal Majalla" w:cs="Sakkal Majalla"/>
          <w:kern w:val="0"/>
          <w:szCs w:val="28"/>
          <w14:ligatures w14:val="none"/>
        </w:rPr>
        <w:t>%.</w:t>
      </w:r>
    </w:p>
    <w:p w14:paraId="0B1A68AB" w14:textId="2C89FB68" w:rsidR="00921C89" w:rsidRPr="00281D95" w:rsidRDefault="00F07643" w:rsidP="00281D95">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Pr>
          <w:rFonts w:ascii="Sakkal Majalla" w:eastAsia="Times New Roman" w:hAnsi="Sakkal Majalla" w:cs="Sakkal Majalla" w:hint="cs"/>
          <w:b/>
          <w:bCs/>
          <w:kern w:val="0"/>
          <w:szCs w:val="28"/>
          <w:rtl/>
          <w14:ligatures w14:val="none"/>
        </w:rPr>
        <w:t xml:space="preserve">6. </w:t>
      </w:r>
      <w:r w:rsidR="00921C89" w:rsidRPr="00281D95">
        <w:rPr>
          <w:rFonts w:ascii="Sakkal Majalla" w:eastAsia="Times New Roman" w:hAnsi="Sakkal Majalla" w:cs="Sakkal Majalla"/>
          <w:b/>
          <w:bCs/>
          <w:kern w:val="0"/>
          <w:szCs w:val="28"/>
          <w:rtl/>
          <w14:ligatures w14:val="none"/>
        </w:rPr>
        <w:t>البيئة التشريعية والتنظيمية المحدودة</w:t>
      </w:r>
    </w:p>
    <w:p w14:paraId="0F2E14EE" w14:textId="5D11BEF9" w:rsidR="00921C89" w:rsidRPr="00281D95" w:rsidRDefault="00921C89" w:rsidP="00F07643">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81D95">
        <w:rPr>
          <w:rFonts w:ascii="Sakkal Majalla" w:eastAsia="Times New Roman" w:hAnsi="Sakkal Majalla" w:cs="Sakkal Majalla"/>
          <w:kern w:val="0"/>
          <w:szCs w:val="28"/>
          <w:rtl/>
          <w14:ligatures w14:val="none"/>
        </w:rPr>
        <w:t>تواجه بعض البنوك تحديات في تقييم المخاطر بسبب غياب قواعد تنظيمية واضحة تتعلق بالإفصاح المالي، أو ضعف آليات تنفيذ العقود، أو بطء إجراءات التقاضي والتحصيل، وهو ما يجعل تقييم الجدارة الائتمانية أكثر صعوبة</w:t>
      </w:r>
      <w:r w:rsidR="002E1E0B" w:rsidRPr="00281D95">
        <w:rPr>
          <w:rFonts w:ascii="Sakkal Majalla" w:eastAsia="Times New Roman" w:hAnsi="Sakkal Majalla" w:cs="Sakkal Majalla"/>
          <w:kern w:val="0"/>
          <w:szCs w:val="28"/>
          <w:rtl/>
          <w14:ligatures w14:val="none"/>
        </w:rPr>
        <w:t>،</w:t>
      </w:r>
      <w:r w:rsidRPr="00281D95">
        <w:rPr>
          <w:rFonts w:ascii="Sakkal Majalla" w:eastAsia="Times New Roman" w:hAnsi="Sakkal Majalla" w:cs="Sakkal Majalla"/>
          <w:kern w:val="0"/>
          <w:szCs w:val="28"/>
          <w:rtl/>
          <w14:ligatures w14:val="none"/>
        </w:rPr>
        <w:t xml:space="preserve"> وقد أشار </w:t>
      </w:r>
      <w:r w:rsidRPr="00281D95">
        <w:rPr>
          <w:rFonts w:ascii="Sakkal Majalla" w:eastAsia="Times New Roman" w:hAnsi="Sakkal Majalla" w:cs="Sakkal Majalla"/>
          <w:b/>
          <w:bCs/>
          <w:kern w:val="0"/>
          <w:szCs w:val="28"/>
          <w14:ligatures w14:val="none"/>
        </w:rPr>
        <w:t>Rehman &amp; Ishak (2023)</w:t>
      </w:r>
      <w:r w:rsidRPr="00281D95">
        <w:rPr>
          <w:rFonts w:ascii="Sakkal Majalla" w:eastAsia="Times New Roman" w:hAnsi="Sakkal Majalla" w:cs="Sakkal Majalla"/>
          <w:kern w:val="0"/>
          <w:szCs w:val="28"/>
          <w14:ligatures w14:val="none"/>
        </w:rPr>
        <w:t xml:space="preserve"> </w:t>
      </w:r>
      <w:r w:rsidRPr="00281D95">
        <w:rPr>
          <w:rFonts w:ascii="Sakkal Majalla" w:eastAsia="Times New Roman" w:hAnsi="Sakkal Majalla" w:cs="Sakkal Majalla"/>
          <w:kern w:val="0"/>
          <w:szCs w:val="28"/>
          <w:rtl/>
          <w14:ligatures w14:val="none"/>
        </w:rPr>
        <w:t>إلى أن البيئة التنظيمية المرنة والواضحة تُساعد البنوك على بناء تقييمات موضوعية، بينما تُجبرها البيئات الغامضة على تبنّي سياسة تحفظية قد تُقلص من فرص النمو</w:t>
      </w:r>
    </w:p>
    <w:p w14:paraId="675CDFFC" w14:textId="77777777" w:rsidR="00FE7043" w:rsidRPr="00281D95" w:rsidRDefault="00FE7043" w:rsidP="00281D95">
      <w:pPr>
        <w:spacing w:before="100" w:beforeAutospacing="1" w:after="100" w:afterAutospacing="1" w:line="360" w:lineRule="auto"/>
        <w:jc w:val="both"/>
        <w:rPr>
          <w:rFonts w:ascii="Sakkal Majalla" w:eastAsia="Times New Roman" w:hAnsi="Sakkal Majalla" w:cs="Sakkal Majalla"/>
          <w:kern w:val="0"/>
          <w:szCs w:val="28"/>
          <w:rtl/>
          <w14:ligatures w14:val="none"/>
        </w:rPr>
      </w:pPr>
    </w:p>
    <w:p w14:paraId="43BB636F" w14:textId="77777777" w:rsidR="00F07643" w:rsidRDefault="00F07643">
      <w:pPr>
        <w:bidi w:val="0"/>
        <w:rPr>
          <w:rFonts w:ascii="Sakkal Majalla" w:hAnsi="Sakkal Majalla" w:cs="Sakkal Majalla"/>
          <w:szCs w:val="28"/>
          <w:rtl/>
        </w:rPr>
      </w:pPr>
      <w:r>
        <w:rPr>
          <w:rtl/>
        </w:rPr>
        <w:br w:type="page"/>
      </w:r>
    </w:p>
    <w:p w14:paraId="30040124" w14:textId="15528D4B" w:rsidR="00EC075C" w:rsidRPr="00EC075C" w:rsidRDefault="00EC075C" w:rsidP="00EC075C">
      <w:pPr>
        <w:spacing w:before="100" w:beforeAutospacing="1" w:after="100" w:afterAutospacing="1" w:line="360" w:lineRule="auto"/>
        <w:jc w:val="center"/>
        <w:outlineLvl w:val="1"/>
        <w:rPr>
          <w:rFonts w:ascii="Sakkal Majalla" w:hAnsi="Sakkal Majalla" w:cs="Sakkal Majalla"/>
          <w:b/>
          <w:bCs/>
          <w:sz w:val="36"/>
          <w:szCs w:val="36"/>
          <w:rtl/>
        </w:rPr>
      </w:pPr>
      <w:bookmarkStart w:id="40" w:name="_Toc200849164"/>
      <w:r w:rsidRPr="00EC075C">
        <w:rPr>
          <w:rFonts w:ascii="Sakkal Majalla" w:hAnsi="Sakkal Majalla" w:cs="Sakkal Majalla"/>
          <w:b/>
          <w:bCs/>
          <w:sz w:val="36"/>
          <w:szCs w:val="36"/>
          <w:rtl/>
        </w:rPr>
        <w:t>المبحث الثاني: جودة القرارات الائتمانية</w:t>
      </w:r>
      <w:bookmarkEnd w:id="40"/>
    </w:p>
    <w:p w14:paraId="06BDD688" w14:textId="6CD6B577" w:rsidR="00921C89" w:rsidRPr="00EC075C" w:rsidRDefault="00EC075C" w:rsidP="00EC075C">
      <w:pPr>
        <w:spacing w:before="100" w:beforeAutospacing="1" w:after="100" w:afterAutospacing="1" w:line="360" w:lineRule="auto"/>
        <w:jc w:val="both"/>
        <w:outlineLvl w:val="2"/>
        <w:rPr>
          <w:rFonts w:ascii="Sakkal Majalla" w:hAnsi="Sakkal Majalla" w:cs="Sakkal Majalla"/>
          <w:b/>
          <w:bCs/>
          <w:sz w:val="32"/>
          <w:szCs w:val="32"/>
          <w:rtl/>
        </w:rPr>
      </w:pPr>
      <w:bookmarkStart w:id="41" w:name="_Toc200849165"/>
      <w:r w:rsidRPr="00EC075C">
        <w:rPr>
          <w:rFonts w:ascii="Sakkal Majalla" w:hAnsi="Sakkal Majalla" w:cs="Sakkal Majalla" w:hint="cs"/>
          <w:b/>
          <w:bCs/>
          <w:sz w:val="32"/>
          <w:szCs w:val="32"/>
          <w:rtl/>
        </w:rPr>
        <w:t>1.2.2</w:t>
      </w:r>
      <w:r w:rsidR="00921C89" w:rsidRPr="00EC075C">
        <w:rPr>
          <w:rFonts w:ascii="Sakkal Majalla" w:hAnsi="Sakkal Majalla" w:cs="Sakkal Majalla"/>
          <w:b/>
          <w:bCs/>
          <w:sz w:val="32"/>
          <w:szCs w:val="32"/>
          <w:rtl/>
        </w:rPr>
        <w:t xml:space="preserve"> مفهوم جودة القرارات الائتمانية</w:t>
      </w:r>
      <w:bookmarkEnd w:id="41"/>
    </w:p>
    <w:p w14:paraId="3BDBD68E" w14:textId="29ED11F4" w:rsidR="00921C89" w:rsidRPr="00281D95" w:rsidRDefault="00921C89" w:rsidP="00EC075C">
      <w:pPr>
        <w:spacing w:before="100" w:beforeAutospacing="1" w:after="100" w:afterAutospacing="1" w:line="360" w:lineRule="auto"/>
        <w:ind w:firstLine="706"/>
        <w:jc w:val="both"/>
        <w:rPr>
          <w:rFonts w:ascii="Sakkal Majalla" w:hAnsi="Sakkal Majalla" w:cs="Sakkal Majalla"/>
          <w:szCs w:val="28"/>
          <w:lang w:bidi="ar-EG"/>
        </w:rPr>
      </w:pPr>
      <w:r w:rsidRPr="00281D95">
        <w:rPr>
          <w:rFonts w:ascii="Sakkal Majalla" w:hAnsi="Sakkal Majalla" w:cs="Sakkal Majalla" w:hint="cs"/>
          <w:szCs w:val="28"/>
          <w:rtl/>
          <w:lang w:bidi="ar-EG"/>
        </w:rPr>
        <w:t>تُعد جودة القرار الائتماني من المفاهيم المحورية في الإدارة المصرفية المعاصرة، نظرًا لما يُمثّله هذا القرار من نقطة توازن بين السعي لتحقيق النمو والربحية، وبين الحاجة إلى السيطرة على مستويات المخاطرة</w:t>
      </w:r>
      <w:r w:rsidR="002E1E0B" w:rsidRPr="00281D95">
        <w:rPr>
          <w:rFonts w:ascii="Sakkal Majalla" w:hAnsi="Sakkal Majalla" w:cs="Sakkal Majalla" w:hint="cs"/>
          <w:szCs w:val="28"/>
          <w:rtl/>
          <w:lang w:bidi="ar-EG"/>
        </w:rPr>
        <w:t>،</w:t>
      </w:r>
      <w:r w:rsidRPr="00281D95">
        <w:rPr>
          <w:rFonts w:ascii="Sakkal Majalla" w:hAnsi="Sakkal Majalla" w:cs="Sakkal Majalla" w:hint="cs"/>
          <w:szCs w:val="28"/>
          <w:rtl/>
          <w:lang w:bidi="ar-EG"/>
        </w:rPr>
        <w:t xml:space="preserve"> فالقرار الائتماني ليس مجرد إجراء داخلي لمنح التمويل، بل هو نتاج لعملية تحليل متكاملة، تبدأ بجمع المعلومات، وتمر بتقدير الجدارة الائتمانية، وتنتهي باعتماد قرار التمويل وفق ضوابط واضحة وموضوعية</w:t>
      </w:r>
      <w:r w:rsidR="002E1E0B" w:rsidRPr="00281D95">
        <w:rPr>
          <w:rFonts w:ascii="Sakkal Majalla" w:hAnsi="Sakkal Majalla" w:cs="Sakkal Majalla" w:hint="cs"/>
          <w:szCs w:val="28"/>
          <w:rtl/>
          <w:lang w:bidi="ar-EG"/>
        </w:rPr>
        <w:t>،</w:t>
      </w:r>
      <w:r w:rsidRPr="00281D95">
        <w:rPr>
          <w:rFonts w:ascii="Sakkal Majalla" w:hAnsi="Sakkal Majalla" w:cs="Sakkal Majalla" w:hint="cs"/>
          <w:szCs w:val="28"/>
          <w:rtl/>
          <w:lang w:bidi="ar-EG"/>
        </w:rPr>
        <w:t xml:space="preserve"> وكلما زادت دقة هذه العملية وتكامل عناصرها، ارتفعت معها درجة جودة القرار وقلّت معه احتمالات التعثر، وتعزز الأداء المالي العام للمؤسسة</w:t>
      </w:r>
      <w:r w:rsidRPr="00281D95">
        <w:rPr>
          <w:rFonts w:ascii="Sakkal Majalla" w:hAnsi="Sakkal Majalla" w:cs="Sakkal Majalla" w:hint="cs"/>
          <w:szCs w:val="28"/>
          <w:lang w:bidi="ar-EG"/>
        </w:rPr>
        <w:t>.</w:t>
      </w:r>
    </w:p>
    <w:p w14:paraId="7C363EF5" w14:textId="395642C8" w:rsidR="00921C89" w:rsidRPr="00281D95" w:rsidRDefault="00921C89" w:rsidP="00EC075C">
      <w:pPr>
        <w:spacing w:before="100" w:beforeAutospacing="1" w:after="100" w:afterAutospacing="1" w:line="360" w:lineRule="auto"/>
        <w:ind w:firstLine="706"/>
        <w:jc w:val="both"/>
        <w:rPr>
          <w:rFonts w:ascii="Sakkal Majalla" w:hAnsi="Sakkal Majalla" w:cs="Sakkal Majalla"/>
          <w:szCs w:val="28"/>
          <w:lang w:bidi="ar-EG"/>
        </w:rPr>
      </w:pPr>
      <w:r w:rsidRPr="00281D95">
        <w:rPr>
          <w:rFonts w:ascii="Sakkal Majalla" w:hAnsi="Sakkal Majalla" w:cs="Sakkal Majalla" w:hint="cs"/>
          <w:szCs w:val="28"/>
          <w:rtl/>
          <w:lang w:bidi="ar-EG"/>
        </w:rPr>
        <w:t xml:space="preserve">ويُشير </w:t>
      </w:r>
      <w:r w:rsidRPr="00281D95">
        <w:rPr>
          <w:rFonts w:ascii="Sakkal Majalla" w:hAnsi="Sakkal Majalla" w:cs="Sakkal Majalla" w:hint="cs"/>
          <w:szCs w:val="28"/>
          <w:lang w:bidi="ar-EG"/>
        </w:rPr>
        <w:t xml:space="preserve">Rodrigues et al. (2023) </w:t>
      </w:r>
      <w:r w:rsidRPr="00281D95">
        <w:rPr>
          <w:rFonts w:ascii="Sakkal Majalla" w:hAnsi="Sakkal Majalla" w:cs="Sakkal Majalla" w:hint="cs"/>
          <w:szCs w:val="28"/>
          <w:rtl/>
          <w:lang w:bidi="ar-EG"/>
        </w:rPr>
        <w:t>إلى أن جودة القرار الائتماني تعني</w:t>
      </w:r>
      <w:r w:rsidRPr="00281D95">
        <w:rPr>
          <w:rFonts w:ascii="Sakkal Majalla" w:hAnsi="Sakkal Majalla" w:cs="Sakkal Majalla" w:hint="cs"/>
          <w:szCs w:val="28"/>
          <w:lang w:bidi="ar-EG"/>
        </w:rPr>
        <w:t>:</w:t>
      </w:r>
      <w:r w:rsidRPr="00281D95">
        <w:rPr>
          <w:rFonts w:ascii="Sakkal Majalla" w:hAnsi="Sakkal Majalla" w:cs="Sakkal Majalla" w:hint="cs"/>
          <w:szCs w:val="28"/>
          <w:rtl/>
          <w:lang w:bidi="ar-EG"/>
        </w:rPr>
        <w:t xml:space="preserve"> </w:t>
      </w:r>
      <w:r w:rsidRPr="00281D95">
        <w:rPr>
          <w:rFonts w:ascii="Sakkal Majalla" w:hAnsi="Sakkal Majalla" w:cs="Sakkal Majalla" w:hint="cs"/>
          <w:szCs w:val="28"/>
          <w:lang w:bidi="ar-EG"/>
        </w:rPr>
        <w:t>"</w:t>
      </w:r>
      <w:r w:rsidRPr="00281D95">
        <w:rPr>
          <w:rFonts w:ascii="Sakkal Majalla" w:hAnsi="Sakkal Majalla" w:cs="Sakkal Majalla" w:hint="cs"/>
          <w:szCs w:val="28"/>
          <w:rtl/>
          <w:lang w:bidi="ar-EG"/>
        </w:rPr>
        <w:t>مدى قدرة القرار المتخذ على الجمع بين الدقة التحليلية والملاءمة الاستراتيجية، باستخدام بيانات موثوقة ونماذج متقدمة، بما يؤدي إلى تقليل عدم اليقين وتحقيق الاستدامة المالية</w:t>
      </w:r>
      <w:r w:rsidRPr="00281D95">
        <w:rPr>
          <w:rFonts w:ascii="Sakkal Majalla" w:hAnsi="Sakkal Majalla" w:cs="Sakkal Majalla" w:hint="cs"/>
          <w:szCs w:val="28"/>
          <w:lang w:bidi="ar-EG"/>
        </w:rPr>
        <w:t>."</w:t>
      </w:r>
    </w:p>
    <w:p w14:paraId="481A4419" w14:textId="77777777" w:rsidR="00921C89" w:rsidRPr="00281D95" w:rsidRDefault="00921C89"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من جانبه، يرى </w:t>
      </w:r>
      <w:r w:rsidRPr="00281D95">
        <w:rPr>
          <w:rFonts w:ascii="Sakkal Majalla" w:hAnsi="Sakkal Majalla" w:cs="Sakkal Majalla"/>
          <w:szCs w:val="28"/>
        </w:rPr>
        <w:t xml:space="preserve">Abdelaziz et al. (2022) </w:t>
      </w:r>
      <w:r w:rsidRPr="00281D95">
        <w:rPr>
          <w:rFonts w:ascii="Sakkal Majalla" w:hAnsi="Sakkal Majalla" w:cs="Sakkal Majalla"/>
          <w:szCs w:val="28"/>
          <w:rtl/>
        </w:rPr>
        <w:t>أن جودة القرار تقاس من خلال نتائجه الممتدة لا لحظته الزمنية فقط، إذ إن القرار الجيد هو الذي يُسهم في تقليل القروض المتعثرة، ويُعزز من نسبة العائد على المحفظة الائتمانية، ويُبقي معدل المخاطر ضمن الحدود المقبولة</w:t>
      </w:r>
      <w:r w:rsidRPr="00281D95">
        <w:rPr>
          <w:rFonts w:ascii="Sakkal Majalla" w:hAnsi="Sakkal Majalla" w:cs="Sakkal Majalla"/>
          <w:szCs w:val="28"/>
        </w:rPr>
        <w:t>.</w:t>
      </w:r>
    </w:p>
    <w:p w14:paraId="32B3601B" w14:textId="77777777" w:rsidR="00921C89" w:rsidRPr="00281D95" w:rsidRDefault="00921C89"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أما في السياق العربي، فقد قدّمت دراسة العمري وكلبونة</w:t>
      </w:r>
      <w:r w:rsidRPr="00281D95">
        <w:rPr>
          <w:rFonts w:ascii="Sakkal Majalla" w:hAnsi="Sakkal Majalla" w:cs="Sakkal Majalla"/>
          <w:szCs w:val="28"/>
        </w:rPr>
        <w:t xml:space="preserve"> (2022) </w:t>
      </w:r>
      <w:r w:rsidRPr="00281D95">
        <w:rPr>
          <w:rFonts w:ascii="Sakkal Majalla" w:hAnsi="Sakkal Majalla" w:cs="Sakkal Majalla"/>
          <w:szCs w:val="28"/>
          <w:rtl/>
        </w:rPr>
        <w:t>تأطيرًا متقدمًا لهذا المفهوم، وأشارت إلى أن جودة القرار في البنوك التجارية ترتبط بثلاثية متداخلة تشمل</w:t>
      </w:r>
      <w:r w:rsidRPr="00281D95">
        <w:rPr>
          <w:rFonts w:ascii="Sakkal Majalla" w:hAnsi="Sakkal Majalla" w:cs="Sakkal Majalla"/>
          <w:szCs w:val="28"/>
        </w:rPr>
        <w:t>:</w:t>
      </w:r>
    </w:p>
    <w:p w14:paraId="267AAA4D" w14:textId="77777777" w:rsidR="00921C89" w:rsidRPr="00281D95" w:rsidRDefault="00921C89" w:rsidP="002E6227">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81D95">
        <w:rPr>
          <w:rFonts w:ascii="Sakkal Majalla" w:hAnsi="Sakkal Majalla" w:cs="Sakkal Majalla"/>
          <w:szCs w:val="28"/>
          <w:rtl/>
        </w:rPr>
        <w:t>كفاءة التقييم الفني للمخاطر</w:t>
      </w:r>
    </w:p>
    <w:p w14:paraId="4AE4122E" w14:textId="77777777" w:rsidR="00921C89" w:rsidRPr="00281D95" w:rsidRDefault="00921C89" w:rsidP="002E6227">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81D95">
        <w:rPr>
          <w:rFonts w:ascii="Sakkal Majalla" w:hAnsi="Sakkal Majalla" w:cs="Sakkal Majalla"/>
          <w:szCs w:val="28"/>
          <w:rtl/>
        </w:rPr>
        <w:t>نزاهة الإجراء الداخلي وخلوّه من الضغوط أو المجاملات</w:t>
      </w:r>
    </w:p>
    <w:p w14:paraId="2A9A501F" w14:textId="77777777" w:rsidR="00921C89" w:rsidRPr="00281D95" w:rsidRDefault="00921C89" w:rsidP="002E6227">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81D95">
        <w:rPr>
          <w:rFonts w:ascii="Sakkal Majalla" w:hAnsi="Sakkal Majalla" w:cs="Sakkal Majalla"/>
          <w:szCs w:val="28"/>
          <w:rtl/>
        </w:rPr>
        <w:t>القدرة المؤسسية على المتابعة والتنفيذ</w:t>
      </w:r>
    </w:p>
    <w:p w14:paraId="7D006DD4" w14:textId="77777777" w:rsidR="00921C89" w:rsidRPr="00281D95" w:rsidRDefault="00921C89"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وقد دعم هذا الطرح جعفر وبدروني</w:t>
      </w:r>
      <w:r w:rsidRPr="00281D95">
        <w:rPr>
          <w:rFonts w:ascii="Sakkal Majalla" w:hAnsi="Sakkal Majalla" w:cs="Sakkal Majalla"/>
          <w:szCs w:val="28"/>
        </w:rPr>
        <w:t xml:space="preserve"> (2022) </w:t>
      </w:r>
      <w:r w:rsidRPr="00281D95">
        <w:rPr>
          <w:rFonts w:ascii="Sakkal Majalla" w:hAnsi="Sakkal Majalla" w:cs="Sakkal Majalla"/>
          <w:szCs w:val="28"/>
          <w:rtl/>
        </w:rPr>
        <w:t>بإشارة واضحة إلى أن كثيرًا من القرارات الائتمانية المتعثرة في البنوك الجزائرية كانت نتيجة لضعف المعلومات أو التقييم المتحيز أو عدم الالتزام بضوابط المؤسسة، مما أدى إلى ارتفاع معدلات القروض الرديئة</w:t>
      </w:r>
      <w:r w:rsidRPr="00281D95">
        <w:rPr>
          <w:rFonts w:ascii="Sakkal Majalla" w:hAnsi="Sakkal Majalla" w:cs="Sakkal Majalla"/>
          <w:szCs w:val="28"/>
        </w:rPr>
        <w:t>.</w:t>
      </w:r>
    </w:p>
    <w:p w14:paraId="5B82FDAB" w14:textId="6E36C11E" w:rsidR="00921C89" w:rsidRPr="00281D95" w:rsidRDefault="00921C89" w:rsidP="00EC075C">
      <w:pPr>
        <w:spacing w:before="100" w:beforeAutospacing="1" w:after="100" w:afterAutospacing="1" w:line="360" w:lineRule="auto"/>
        <w:ind w:firstLine="706"/>
        <w:jc w:val="both"/>
        <w:rPr>
          <w:rFonts w:ascii="Sakkal Majalla" w:hAnsi="Sakkal Majalla" w:cs="Sakkal Majalla"/>
          <w:szCs w:val="28"/>
          <w:rtl/>
        </w:rPr>
      </w:pPr>
      <w:r w:rsidRPr="00281D95">
        <w:rPr>
          <w:rFonts w:ascii="Sakkal Majalla" w:hAnsi="Sakkal Majalla" w:cs="Sakkal Majalla"/>
          <w:szCs w:val="28"/>
          <w:rtl/>
        </w:rPr>
        <w:t>انطلاقًا من هذه الرؤى، يمكن القول إن جودة القرار الائتماني لا تُقاس فقط بنتائج التمويل الآني، بل بمخرجاته التراكمية ومدى اتساقه مع أهداف البنك في الاستدامة وتقليل المخاطر وتعظيم الربحية</w:t>
      </w:r>
      <w:r w:rsidR="002E1E0B" w:rsidRPr="00281D95">
        <w:rPr>
          <w:rFonts w:ascii="Sakkal Majalla" w:hAnsi="Sakkal Majalla" w:cs="Sakkal Majalla"/>
          <w:szCs w:val="28"/>
          <w:rtl/>
        </w:rPr>
        <w:t>،</w:t>
      </w:r>
      <w:r w:rsidRPr="00281D95">
        <w:rPr>
          <w:rFonts w:ascii="Sakkal Majalla" w:hAnsi="Sakkal Majalla" w:cs="Sakkal Majalla"/>
          <w:szCs w:val="28"/>
        </w:rPr>
        <w:t xml:space="preserve"> </w:t>
      </w:r>
      <w:r w:rsidRPr="00281D95">
        <w:rPr>
          <w:rFonts w:ascii="Sakkal Majalla" w:hAnsi="Sakkal Majalla" w:cs="Sakkal Majalla"/>
          <w:szCs w:val="28"/>
          <w:rtl/>
        </w:rPr>
        <w:t>كما أن الجودة ترتبط بدرجة تفاعل البنك مع التطورات التكنولوجية والتحليلية، إذ أن القرار المبني على أسس تقليدية لم يعد كافيًا في بيئة ديناميكية تتطلب استجابة سريعة ودقيقة للمتغيرات</w:t>
      </w:r>
      <w:r w:rsidRPr="00281D95">
        <w:rPr>
          <w:rFonts w:ascii="Sakkal Majalla" w:hAnsi="Sakkal Majalla" w:cs="Sakkal Majalla"/>
          <w:szCs w:val="28"/>
        </w:rPr>
        <w:t>.</w:t>
      </w:r>
    </w:p>
    <w:p w14:paraId="7E0CAD77" w14:textId="0C412776" w:rsidR="00C84638" w:rsidRPr="00EC075C" w:rsidRDefault="00EC075C" w:rsidP="00EC075C">
      <w:pPr>
        <w:spacing w:before="100" w:beforeAutospacing="1" w:after="100" w:afterAutospacing="1" w:line="360" w:lineRule="auto"/>
        <w:jc w:val="both"/>
        <w:outlineLvl w:val="2"/>
        <w:rPr>
          <w:rFonts w:ascii="Sakkal Majalla" w:hAnsi="Sakkal Majalla" w:cs="Sakkal Majalla"/>
          <w:b/>
          <w:bCs/>
          <w:sz w:val="32"/>
          <w:szCs w:val="32"/>
        </w:rPr>
      </w:pPr>
      <w:bookmarkStart w:id="42" w:name="_Toc200849166"/>
      <w:r w:rsidRPr="00EC075C">
        <w:rPr>
          <w:rFonts w:ascii="Sakkal Majalla" w:hAnsi="Sakkal Majalla" w:cs="Sakkal Majalla" w:hint="cs"/>
          <w:b/>
          <w:bCs/>
          <w:sz w:val="32"/>
          <w:szCs w:val="32"/>
          <w:rtl/>
        </w:rPr>
        <w:t xml:space="preserve">2.2.2 </w:t>
      </w:r>
      <w:r w:rsidR="00C84638" w:rsidRPr="00EC075C">
        <w:rPr>
          <w:rFonts w:ascii="Sakkal Majalla" w:hAnsi="Sakkal Majalla" w:cs="Sakkal Majalla"/>
          <w:b/>
          <w:bCs/>
          <w:sz w:val="32"/>
          <w:szCs w:val="32"/>
          <w:rtl/>
        </w:rPr>
        <w:t>أهداف جودة القرارات الائتمانية</w:t>
      </w:r>
      <w:bookmarkEnd w:id="42"/>
    </w:p>
    <w:p w14:paraId="4DFC5BEC" w14:textId="77777777" w:rsidR="00C84638" w:rsidRPr="00281D95" w:rsidRDefault="00C84638"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تُعد </w:t>
      </w:r>
      <w:r w:rsidRPr="00281D95">
        <w:rPr>
          <w:rFonts w:ascii="Sakkal Majalla" w:hAnsi="Sakkal Majalla" w:cs="Sakkal Majalla"/>
          <w:b/>
          <w:bCs/>
          <w:szCs w:val="28"/>
          <w:rtl/>
        </w:rPr>
        <w:t>أهداف جودة القرارات الائتمانية</w:t>
      </w:r>
      <w:r w:rsidRPr="00281D95">
        <w:rPr>
          <w:rFonts w:ascii="Sakkal Majalla" w:hAnsi="Sakkal Majalla" w:cs="Sakkal Majalla"/>
          <w:szCs w:val="28"/>
          <w:rtl/>
        </w:rPr>
        <w:t xml:space="preserve"> انعكاسًا مباشرًا لاستراتيجية المصارف في تحقيق التوازن بين النمو الربحي والتحكم في المخاطر، حيث لا يقتصر الهدف على منح التسهيل الائتماني في حد ذاته، بل يتجاوز ذلك ليشمل ضمان استدامة العلاقة التمويلية، وتقليل معدلات التعثر، وتعزيز الملاءة المالية للمؤسسة المصرفية</w:t>
      </w:r>
      <w:r w:rsidRPr="00281D95">
        <w:rPr>
          <w:rFonts w:ascii="Sakkal Majalla" w:hAnsi="Sakkal Majalla" w:cs="Sakkal Majalla"/>
          <w:szCs w:val="28"/>
        </w:rPr>
        <w:t>.</w:t>
      </w:r>
    </w:p>
    <w:p w14:paraId="076B860B" w14:textId="77777777" w:rsidR="00C84638" w:rsidRPr="00281D95" w:rsidRDefault="00C84638"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يشير </w:t>
      </w:r>
      <w:r w:rsidRPr="00281D95">
        <w:rPr>
          <w:rFonts w:ascii="Sakkal Majalla" w:hAnsi="Sakkal Majalla" w:cs="Sakkal Majalla"/>
          <w:b/>
          <w:bCs/>
          <w:szCs w:val="28"/>
        </w:rPr>
        <w:t>Abdelaziz et al. (2022)</w:t>
      </w:r>
      <w:r w:rsidRPr="00281D95">
        <w:rPr>
          <w:rFonts w:ascii="Sakkal Majalla" w:hAnsi="Sakkal Majalla" w:cs="Sakkal Majalla"/>
          <w:szCs w:val="28"/>
        </w:rPr>
        <w:t xml:space="preserve"> </w:t>
      </w:r>
      <w:r w:rsidRPr="00281D95">
        <w:rPr>
          <w:rFonts w:ascii="Sakkal Majalla" w:hAnsi="Sakkal Majalla" w:cs="Sakkal Majalla"/>
          <w:szCs w:val="28"/>
          <w:rtl/>
        </w:rPr>
        <w:t xml:space="preserve">إلى أن </w:t>
      </w:r>
      <w:r w:rsidRPr="00281D95">
        <w:rPr>
          <w:rFonts w:ascii="Sakkal Majalla" w:hAnsi="Sakkal Majalla" w:cs="Sakkal Majalla"/>
          <w:b/>
          <w:bCs/>
          <w:szCs w:val="28"/>
          <w:rtl/>
        </w:rPr>
        <w:t>الهدف الأساسي من تعزيز جودة القرار الائتماني يتمثل في خفض معدلات القروض المتعثرة</w:t>
      </w:r>
      <w:r w:rsidRPr="00281D95">
        <w:rPr>
          <w:rFonts w:ascii="Sakkal Majalla" w:hAnsi="Sakkal Majalla" w:cs="Sakkal Majalla"/>
          <w:szCs w:val="28"/>
          <w:rtl/>
        </w:rPr>
        <w:t>، حيث أكدوا أن البنوك التي تمتلك آليات تقييم دقيقة وتتخذ قرارات ائتمانية مبنية على بيانات تحليلية وموضوعية، تكون أكثر قدرة على تجنّب التمويل الخاطئ، ومن ثم الحد من المخاطر التشغيلية والائتمانية على حد سواء</w:t>
      </w:r>
      <w:r w:rsidRPr="00281D95">
        <w:rPr>
          <w:rFonts w:ascii="Sakkal Majalla" w:hAnsi="Sakkal Majalla" w:cs="Sakkal Majalla"/>
          <w:szCs w:val="28"/>
        </w:rPr>
        <w:t>.</w:t>
      </w:r>
    </w:p>
    <w:p w14:paraId="4301F8B6" w14:textId="77777777" w:rsidR="00C84638" w:rsidRPr="00281D95" w:rsidRDefault="00C84638"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كما يرى </w:t>
      </w:r>
      <w:r w:rsidRPr="00281D95">
        <w:rPr>
          <w:rFonts w:ascii="Sakkal Majalla" w:hAnsi="Sakkal Majalla" w:cs="Sakkal Majalla"/>
          <w:b/>
          <w:bCs/>
          <w:szCs w:val="28"/>
        </w:rPr>
        <w:t>Rodrigues et al. (2023)</w:t>
      </w:r>
      <w:r w:rsidRPr="00281D95">
        <w:rPr>
          <w:rFonts w:ascii="Sakkal Majalla" w:hAnsi="Sakkal Majalla" w:cs="Sakkal Majalla"/>
          <w:szCs w:val="28"/>
        </w:rPr>
        <w:t xml:space="preserve"> </w:t>
      </w:r>
      <w:r w:rsidRPr="00281D95">
        <w:rPr>
          <w:rFonts w:ascii="Sakkal Majalla" w:hAnsi="Sakkal Majalla" w:cs="Sakkal Majalla"/>
          <w:szCs w:val="28"/>
          <w:rtl/>
        </w:rPr>
        <w:t xml:space="preserve">أن </w:t>
      </w:r>
      <w:r w:rsidRPr="00281D95">
        <w:rPr>
          <w:rFonts w:ascii="Sakkal Majalla" w:hAnsi="Sakkal Majalla" w:cs="Sakkal Majalla"/>
          <w:b/>
          <w:bCs/>
          <w:szCs w:val="28"/>
          <w:rtl/>
        </w:rPr>
        <w:t>جودة القرار الائتماني تُسهم في تعظيم العائد على المحفظة الائتمانية</w:t>
      </w:r>
      <w:r w:rsidRPr="00281D95">
        <w:rPr>
          <w:rFonts w:ascii="Sakkal Majalla" w:hAnsi="Sakkal Majalla" w:cs="Sakkal Majalla"/>
          <w:szCs w:val="28"/>
          <w:rtl/>
        </w:rPr>
        <w:t xml:space="preserve"> من خلال توجيه التسهيلات للعملاء ذوي القدرة المالية المرتفعة، والكفاءة التشغيلية الجيدة، والمشاريع ذات الجدارة الاقتصادية العالية. وقد صنّف الباحثون أهداف القرار الجيد إلى ثلاثة أبعاد رئيسية</w:t>
      </w:r>
      <w:r w:rsidRPr="00281D95">
        <w:rPr>
          <w:rFonts w:ascii="Sakkal Majalla" w:hAnsi="Sakkal Majalla" w:cs="Sakkal Majalla"/>
          <w:szCs w:val="28"/>
        </w:rPr>
        <w:t>:</w:t>
      </w:r>
    </w:p>
    <w:p w14:paraId="3DAF381B" w14:textId="77777777" w:rsidR="00C84638" w:rsidRPr="00281D95" w:rsidRDefault="00C84638" w:rsidP="002E6227">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81D95">
        <w:rPr>
          <w:rFonts w:ascii="Sakkal Majalla" w:hAnsi="Sakkal Majalla" w:cs="Sakkal Majalla"/>
          <w:szCs w:val="28"/>
          <w:rtl/>
        </w:rPr>
        <w:t>تعزيز العوائد؛</w:t>
      </w:r>
    </w:p>
    <w:p w14:paraId="0608436C" w14:textId="77777777" w:rsidR="00C84638" w:rsidRPr="00281D95" w:rsidRDefault="00C84638" w:rsidP="002E6227">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81D95">
        <w:rPr>
          <w:rFonts w:ascii="Sakkal Majalla" w:hAnsi="Sakkal Majalla" w:cs="Sakkal Majalla"/>
          <w:szCs w:val="28"/>
          <w:rtl/>
        </w:rPr>
        <w:t>تقليل التكاليف الناتجة عن التعثر؛</w:t>
      </w:r>
    </w:p>
    <w:p w14:paraId="060F3106" w14:textId="77777777" w:rsidR="00C84638" w:rsidRPr="00281D95" w:rsidRDefault="00C84638" w:rsidP="002E6227">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81D95">
        <w:rPr>
          <w:rFonts w:ascii="Sakkal Majalla" w:hAnsi="Sakkal Majalla" w:cs="Sakkal Majalla"/>
          <w:szCs w:val="28"/>
          <w:rtl/>
        </w:rPr>
        <w:t>واستثمار الموارد المالية بكفاءة أكبر</w:t>
      </w:r>
      <w:r w:rsidRPr="00281D95">
        <w:rPr>
          <w:rFonts w:ascii="Sakkal Majalla" w:hAnsi="Sakkal Majalla" w:cs="Sakkal Majalla"/>
          <w:szCs w:val="28"/>
        </w:rPr>
        <w:t>.</w:t>
      </w:r>
    </w:p>
    <w:p w14:paraId="0FD85BCB" w14:textId="7A0BCDDE" w:rsidR="00C84638" w:rsidRPr="00EC075C" w:rsidRDefault="00C84638" w:rsidP="00EC075C">
      <w:pPr>
        <w:spacing w:before="100" w:beforeAutospacing="1" w:after="100" w:afterAutospacing="1" w:line="360" w:lineRule="auto"/>
        <w:ind w:firstLine="706"/>
        <w:jc w:val="both"/>
        <w:rPr>
          <w:rFonts w:ascii="Sakkal Majalla" w:hAnsi="Sakkal Majalla" w:cs="Sakkal Majalla"/>
          <w:szCs w:val="28"/>
        </w:rPr>
      </w:pPr>
      <w:r w:rsidRPr="00EC075C">
        <w:rPr>
          <w:rFonts w:ascii="Sakkal Majalla" w:hAnsi="Sakkal Majalla" w:cs="Sakkal Majalla"/>
          <w:szCs w:val="28"/>
          <w:rtl/>
        </w:rPr>
        <w:t>في السياق العربي، يشير العمري وكلبونة</w:t>
      </w:r>
      <w:r w:rsidRPr="00EC075C">
        <w:rPr>
          <w:rFonts w:ascii="Sakkal Majalla" w:hAnsi="Sakkal Majalla" w:cs="Sakkal Majalla"/>
          <w:szCs w:val="28"/>
        </w:rPr>
        <w:t xml:space="preserve"> (2022) </w:t>
      </w:r>
      <w:r w:rsidRPr="00EC075C">
        <w:rPr>
          <w:rFonts w:ascii="Sakkal Majalla" w:hAnsi="Sakkal Majalla" w:cs="Sakkal Majalla"/>
          <w:szCs w:val="28"/>
          <w:rtl/>
        </w:rPr>
        <w:t>إلى أن أهداف جودة القرارات الائتمانية في البنوك التجارية الأردنية لا تقتصر على الجوانب المالية فحسب، بل تشمل أيضًا أهدافًا استراتيجية مثل تعزيز ثقة العملاء، وتحقيق التنافسية في السوق، ورفع مستوى الامتثال الرقابي</w:t>
      </w:r>
      <w:r w:rsidR="002E1E0B" w:rsidRPr="00EC075C">
        <w:rPr>
          <w:rFonts w:ascii="Sakkal Majalla" w:hAnsi="Sakkal Majalla" w:cs="Sakkal Majalla"/>
          <w:szCs w:val="28"/>
          <w:rtl/>
        </w:rPr>
        <w:t>،</w:t>
      </w:r>
      <w:r w:rsidRPr="00EC075C">
        <w:rPr>
          <w:rFonts w:ascii="Sakkal Majalla" w:hAnsi="Sakkal Majalla" w:cs="Sakkal Majalla"/>
          <w:szCs w:val="28"/>
        </w:rPr>
        <w:t xml:space="preserve"> </w:t>
      </w:r>
      <w:r w:rsidRPr="00EC075C">
        <w:rPr>
          <w:rFonts w:ascii="Sakkal Majalla" w:hAnsi="Sakkal Majalla" w:cs="Sakkal Majalla"/>
          <w:szCs w:val="28"/>
          <w:rtl/>
        </w:rPr>
        <w:t>ويؤكدان على أن القرار الجيد يُعد انعكاسًا مباشرًا لنضج البنية المؤسسية للبنك</w:t>
      </w:r>
      <w:r w:rsidRPr="00EC075C">
        <w:rPr>
          <w:rFonts w:ascii="Sakkal Majalla" w:hAnsi="Sakkal Majalla" w:cs="Sakkal Majalla"/>
          <w:szCs w:val="28"/>
        </w:rPr>
        <w:t>.</w:t>
      </w:r>
    </w:p>
    <w:p w14:paraId="7A463F74" w14:textId="77777777" w:rsidR="00C84638" w:rsidRPr="00EC075C" w:rsidRDefault="00C84638" w:rsidP="00EC075C">
      <w:pPr>
        <w:spacing w:before="100" w:beforeAutospacing="1" w:after="100" w:afterAutospacing="1" w:line="360" w:lineRule="auto"/>
        <w:ind w:firstLine="706"/>
        <w:jc w:val="both"/>
        <w:rPr>
          <w:rFonts w:ascii="Sakkal Majalla" w:hAnsi="Sakkal Majalla" w:cs="Sakkal Majalla"/>
          <w:szCs w:val="28"/>
        </w:rPr>
      </w:pPr>
      <w:r w:rsidRPr="00EC075C">
        <w:rPr>
          <w:rFonts w:ascii="Sakkal Majalla" w:hAnsi="Sakkal Majalla" w:cs="Sakkal Majalla"/>
          <w:szCs w:val="28"/>
          <w:rtl/>
        </w:rPr>
        <w:t>أما جعفر وبدروني</w:t>
      </w:r>
      <w:r w:rsidRPr="00EC075C">
        <w:rPr>
          <w:rFonts w:ascii="Sakkal Majalla" w:hAnsi="Sakkal Majalla" w:cs="Sakkal Majalla"/>
          <w:szCs w:val="28"/>
        </w:rPr>
        <w:t xml:space="preserve"> (2022) </w:t>
      </w:r>
      <w:r w:rsidRPr="00EC075C">
        <w:rPr>
          <w:rFonts w:ascii="Sakkal Majalla" w:hAnsi="Sakkal Majalla" w:cs="Sakkal Majalla"/>
          <w:szCs w:val="28"/>
          <w:rtl/>
        </w:rPr>
        <w:t>فقد أشارا في دراستهما حول البنوك الجزائرية إلى أن تحقيق جودة القرار يهدف أيضًا إلى دعم قدرة البنك على التوسع الانتقائي في الإقراض، دون المساس بسلامة المحفظة، مما يُحقق توازنًا دقيقًا بين النمو والانضباط الائتماني، كما أكدا أن القرار الجيد يُقلل الحاجة إلى تخصيص احتياطيات كبيرة لتغطية خسائر القروض، مما يُعزز الربحية الإجمالية</w:t>
      </w:r>
      <w:r w:rsidRPr="00EC075C">
        <w:rPr>
          <w:rFonts w:ascii="Sakkal Majalla" w:hAnsi="Sakkal Majalla" w:cs="Sakkal Majalla"/>
          <w:szCs w:val="28"/>
        </w:rPr>
        <w:t>.</w:t>
      </w:r>
    </w:p>
    <w:p w14:paraId="73FD34A2" w14:textId="781CF598" w:rsidR="00C84638" w:rsidRPr="00EC075C" w:rsidRDefault="00C84638" w:rsidP="00EC075C">
      <w:pPr>
        <w:spacing w:before="100" w:beforeAutospacing="1" w:after="100" w:afterAutospacing="1" w:line="360" w:lineRule="auto"/>
        <w:ind w:firstLine="706"/>
        <w:jc w:val="both"/>
        <w:rPr>
          <w:rFonts w:ascii="Sakkal Majalla" w:hAnsi="Sakkal Majalla" w:cs="Sakkal Majalla"/>
          <w:szCs w:val="28"/>
        </w:rPr>
      </w:pPr>
      <w:r w:rsidRPr="00EC075C">
        <w:rPr>
          <w:rFonts w:ascii="Sakkal Majalla" w:hAnsi="Sakkal Majalla" w:cs="Sakkal Majalla"/>
          <w:szCs w:val="28"/>
          <w:rtl/>
        </w:rPr>
        <w:t xml:space="preserve">وفي دراسة حديثة، يرى </w:t>
      </w:r>
      <w:r w:rsidRPr="00EC075C">
        <w:rPr>
          <w:rFonts w:ascii="Sakkal Majalla" w:hAnsi="Sakkal Majalla" w:cs="Sakkal Majalla"/>
          <w:szCs w:val="28"/>
        </w:rPr>
        <w:t xml:space="preserve">Gupta et al. (2024) </w:t>
      </w:r>
      <w:r w:rsidRPr="00EC075C">
        <w:rPr>
          <w:rFonts w:ascii="Sakkal Majalla" w:hAnsi="Sakkal Majalla" w:cs="Sakkal Majalla"/>
          <w:szCs w:val="28"/>
          <w:rtl/>
        </w:rPr>
        <w:t>أن القرارات عالية الجودة تُساعد في تفعيل أدوات الحوكمة وتحقيق الامتثال المؤسسي من خلال توثيق كل خطوة من خطوات منح الائتمان، وربطها بنماذج تحليلية قائمة على الذكاء الاصطناعي</w:t>
      </w:r>
      <w:r w:rsidR="002E1E0B" w:rsidRPr="00EC075C">
        <w:rPr>
          <w:rFonts w:ascii="Sakkal Majalla" w:hAnsi="Sakkal Majalla" w:cs="Sakkal Majalla"/>
          <w:szCs w:val="28"/>
          <w:rtl/>
        </w:rPr>
        <w:t>،</w:t>
      </w:r>
      <w:r w:rsidRPr="00EC075C">
        <w:rPr>
          <w:rFonts w:ascii="Sakkal Majalla" w:hAnsi="Sakkal Majalla" w:cs="Sakkal Majalla"/>
          <w:szCs w:val="28"/>
        </w:rPr>
        <w:t xml:space="preserve"> </w:t>
      </w:r>
      <w:r w:rsidRPr="00EC075C">
        <w:rPr>
          <w:rFonts w:ascii="Sakkal Majalla" w:hAnsi="Sakkal Majalla" w:cs="Sakkal Majalla"/>
          <w:szCs w:val="28"/>
          <w:rtl/>
        </w:rPr>
        <w:t>وقد أشاروا إلى ثلاثة أهداف مباشرة لهذه الجودة</w:t>
      </w:r>
      <w:r w:rsidRPr="00EC075C">
        <w:rPr>
          <w:rFonts w:ascii="Sakkal Majalla" w:hAnsi="Sakkal Majalla" w:cs="Sakkal Majalla"/>
          <w:szCs w:val="28"/>
        </w:rPr>
        <w:t>:</w:t>
      </w:r>
    </w:p>
    <w:p w14:paraId="53D90F7B" w14:textId="77777777" w:rsidR="00C84638" w:rsidRPr="00281D95" w:rsidRDefault="00C84638" w:rsidP="002E6227">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81D95">
        <w:rPr>
          <w:rFonts w:ascii="Sakkal Majalla" w:hAnsi="Sakkal Majalla" w:cs="Sakkal Majalla"/>
          <w:szCs w:val="28"/>
          <w:rtl/>
        </w:rPr>
        <w:t>تقليل التحيّز البشري في القرار؛</w:t>
      </w:r>
    </w:p>
    <w:p w14:paraId="4933B96D" w14:textId="77777777" w:rsidR="00C84638" w:rsidRPr="00281D95" w:rsidRDefault="00C84638" w:rsidP="002E6227">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81D95">
        <w:rPr>
          <w:rFonts w:ascii="Sakkal Majalla" w:hAnsi="Sakkal Majalla" w:cs="Sakkal Majalla"/>
          <w:szCs w:val="28"/>
          <w:rtl/>
        </w:rPr>
        <w:t>توسيع قاعدة التحليل لتشمل متغيرات غير تقليدية؛</w:t>
      </w:r>
    </w:p>
    <w:p w14:paraId="605D58F9" w14:textId="77777777" w:rsidR="00C84638" w:rsidRPr="00281D95" w:rsidRDefault="00C84638" w:rsidP="002E6227">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81D95">
        <w:rPr>
          <w:rFonts w:ascii="Sakkal Majalla" w:hAnsi="Sakkal Majalla" w:cs="Sakkal Majalla"/>
          <w:szCs w:val="28"/>
          <w:rtl/>
        </w:rPr>
        <w:t>تعزيز القدرة على اتخاذ قرارات استباقية في بيئات معقدة</w:t>
      </w:r>
      <w:r w:rsidRPr="00281D95">
        <w:rPr>
          <w:rFonts w:ascii="Sakkal Majalla" w:hAnsi="Sakkal Majalla" w:cs="Sakkal Majalla"/>
          <w:szCs w:val="28"/>
        </w:rPr>
        <w:t>.</w:t>
      </w:r>
    </w:p>
    <w:p w14:paraId="782B2225" w14:textId="41FE8080" w:rsidR="00C84638" w:rsidRPr="00EC075C" w:rsidRDefault="00C84638" w:rsidP="00EC075C">
      <w:pPr>
        <w:spacing w:before="100" w:beforeAutospacing="1" w:after="100" w:afterAutospacing="1" w:line="360" w:lineRule="auto"/>
        <w:ind w:firstLine="706"/>
        <w:jc w:val="both"/>
        <w:rPr>
          <w:rFonts w:ascii="Sakkal Majalla" w:hAnsi="Sakkal Majalla" w:cs="Sakkal Majalla"/>
          <w:szCs w:val="28"/>
        </w:rPr>
      </w:pPr>
      <w:r w:rsidRPr="00EC075C">
        <w:rPr>
          <w:rFonts w:ascii="Sakkal Majalla" w:hAnsi="Sakkal Majalla" w:cs="Sakkal Majalla"/>
          <w:szCs w:val="28"/>
          <w:rtl/>
        </w:rPr>
        <w:t>وكما يرى الباحث الحالي، فإن أهداف جودة القرارات الائتمانية لا يمكن حصرها في بعد واحد، بل تمثل إطارًا استراتيجيًا متكاملًا يدعم الأداء المؤسسي، ويُحقق مبدأ "التمويل المسؤول" الذي لا يقوم فقط على الربحية، بل على تحليل الأخطار والتأكد من استدامة العلاقة التمويلية</w:t>
      </w:r>
      <w:r w:rsidR="002E1E0B" w:rsidRPr="00EC075C">
        <w:rPr>
          <w:rFonts w:ascii="Sakkal Majalla" w:hAnsi="Sakkal Majalla" w:cs="Sakkal Majalla"/>
          <w:szCs w:val="28"/>
          <w:rtl/>
        </w:rPr>
        <w:t>،</w:t>
      </w:r>
      <w:r w:rsidRPr="00EC075C">
        <w:rPr>
          <w:rFonts w:ascii="Sakkal Majalla" w:hAnsi="Sakkal Majalla" w:cs="Sakkal Majalla"/>
          <w:szCs w:val="28"/>
        </w:rPr>
        <w:t xml:space="preserve"> </w:t>
      </w:r>
      <w:r w:rsidRPr="00EC075C">
        <w:rPr>
          <w:rFonts w:ascii="Sakkal Majalla" w:hAnsi="Sakkal Majalla" w:cs="Sakkal Majalla"/>
          <w:szCs w:val="28"/>
          <w:rtl/>
        </w:rPr>
        <w:t>فكل قرار تمويلي عالي الجودة هو استثمار طويل الأمد، يعكس وعي البنك بالمخاطر، وقدرته على تخصيص الموارد بطريقة رشيدة</w:t>
      </w:r>
      <w:r w:rsidRPr="00EC075C">
        <w:rPr>
          <w:rFonts w:ascii="Sakkal Majalla" w:hAnsi="Sakkal Majalla" w:cs="Sakkal Majalla"/>
          <w:szCs w:val="28"/>
        </w:rPr>
        <w:t>.</w:t>
      </w:r>
    </w:p>
    <w:p w14:paraId="6C8AD591" w14:textId="3981B61B" w:rsidR="00C84638" w:rsidRPr="00EC075C" w:rsidRDefault="00EC075C" w:rsidP="00EC075C">
      <w:pPr>
        <w:spacing w:before="100" w:beforeAutospacing="1" w:after="100" w:afterAutospacing="1" w:line="360" w:lineRule="auto"/>
        <w:jc w:val="both"/>
        <w:outlineLvl w:val="2"/>
        <w:rPr>
          <w:rFonts w:ascii="Sakkal Majalla" w:hAnsi="Sakkal Majalla" w:cs="Sakkal Majalla"/>
          <w:b/>
          <w:bCs/>
          <w:sz w:val="32"/>
          <w:szCs w:val="32"/>
        </w:rPr>
      </w:pPr>
      <w:bookmarkStart w:id="43" w:name="_Toc200849167"/>
      <w:r w:rsidRPr="00EC075C">
        <w:rPr>
          <w:rFonts w:ascii="Sakkal Majalla" w:hAnsi="Sakkal Majalla" w:cs="Sakkal Majalla" w:hint="cs"/>
          <w:b/>
          <w:bCs/>
          <w:sz w:val="32"/>
          <w:szCs w:val="32"/>
          <w:rtl/>
        </w:rPr>
        <w:t xml:space="preserve">3.2.2 </w:t>
      </w:r>
      <w:r w:rsidR="00C84638" w:rsidRPr="00EC075C">
        <w:rPr>
          <w:rFonts w:ascii="Sakkal Majalla" w:hAnsi="Sakkal Majalla" w:cs="Sakkal Majalla"/>
          <w:b/>
          <w:bCs/>
          <w:sz w:val="32"/>
          <w:szCs w:val="32"/>
          <w:rtl/>
        </w:rPr>
        <w:t>محددات جودة القرارات الائتمانية في البنوك التجارية</w:t>
      </w:r>
      <w:bookmarkEnd w:id="43"/>
    </w:p>
    <w:p w14:paraId="253005DA" w14:textId="6C47E2E3" w:rsidR="00C84638" w:rsidRPr="00281D95" w:rsidRDefault="00C84638"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تمثّل </w:t>
      </w:r>
      <w:r w:rsidRPr="00281D95">
        <w:rPr>
          <w:rFonts w:ascii="Sakkal Majalla" w:hAnsi="Sakkal Majalla" w:cs="Sakkal Majalla"/>
          <w:b/>
          <w:bCs/>
          <w:szCs w:val="28"/>
          <w:rtl/>
        </w:rPr>
        <w:t>محددات جودة القرارات الائتمانية</w:t>
      </w:r>
      <w:r w:rsidRPr="00281D95">
        <w:rPr>
          <w:rFonts w:ascii="Sakkal Majalla" w:hAnsi="Sakkal Majalla" w:cs="Sakkal Majalla"/>
          <w:szCs w:val="28"/>
          <w:rtl/>
        </w:rPr>
        <w:t xml:space="preserve"> مجموعة من العوامل المؤسسية والفنية والتنظيمية التي تتفاعل لتؤثر بشكل مباشر على مستوى نضج القرار المصرفي وكفاءته في مواجهة المخاطر</w:t>
      </w:r>
      <w:r w:rsidR="002E1E0B" w:rsidRPr="00281D95">
        <w:rPr>
          <w:rFonts w:ascii="Sakkal Majalla" w:hAnsi="Sakkal Majalla" w:cs="Sakkal Majalla"/>
          <w:szCs w:val="28"/>
          <w:rtl/>
        </w:rPr>
        <w:t>،</w:t>
      </w:r>
      <w:r w:rsidRPr="00281D95">
        <w:rPr>
          <w:rFonts w:ascii="Sakkal Majalla" w:hAnsi="Sakkal Majalla" w:cs="Sakkal Majalla"/>
          <w:szCs w:val="28"/>
          <w:rtl/>
        </w:rPr>
        <w:t xml:space="preserve"> وتزداد أهمية هذه المحددات في ظل بيئة عمل مصرفية تتسم بالتعقيد والتغير السريع، حيث تُصبح جودة القرار الائتماني نتاجًا طبيعيًا لمدى نضج البنية المؤسسية وقدرة البنك على استثمار المعلومات والتقنيات والموارد البشرية بفعالية</w:t>
      </w:r>
      <w:r w:rsidRPr="00281D95">
        <w:rPr>
          <w:rFonts w:ascii="Sakkal Majalla" w:hAnsi="Sakkal Majalla" w:cs="Sakkal Majalla"/>
          <w:szCs w:val="28"/>
        </w:rPr>
        <w:t>.</w:t>
      </w:r>
    </w:p>
    <w:p w14:paraId="3E5D3E82" w14:textId="40B4E76F" w:rsidR="00C84638" w:rsidRPr="00281D95" w:rsidRDefault="00EC075C" w:rsidP="00281D95">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1. </w:t>
      </w:r>
      <w:r w:rsidR="00C84638" w:rsidRPr="00281D95">
        <w:rPr>
          <w:rFonts w:ascii="Sakkal Majalla" w:hAnsi="Sakkal Majalla" w:cs="Sakkal Majalla"/>
          <w:b/>
          <w:bCs/>
          <w:szCs w:val="28"/>
          <w:rtl/>
        </w:rPr>
        <w:t>جودة المعلومات الائتمانية</w:t>
      </w:r>
    </w:p>
    <w:p w14:paraId="1A33D18D" w14:textId="5552DA44" w:rsidR="00C84638" w:rsidRPr="00281D95" w:rsidRDefault="00C84638"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يشير </w:t>
      </w:r>
      <w:r w:rsidRPr="00281D95">
        <w:rPr>
          <w:rFonts w:ascii="Sakkal Majalla" w:hAnsi="Sakkal Majalla" w:cs="Sakkal Majalla"/>
          <w:b/>
          <w:bCs/>
          <w:szCs w:val="28"/>
        </w:rPr>
        <w:t>Isenberg et al. (2022)</w:t>
      </w:r>
      <w:r w:rsidRPr="00281D95">
        <w:rPr>
          <w:rFonts w:ascii="Sakkal Majalla" w:hAnsi="Sakkal Majalla" w:cs="Sakkal Majalla"/>
          <w:szCs w:val="28"/>
        </w:rPr>
        <w:t xml:space="preserve"> </w:t>
      </w:r>
      <w:r w:rsidRPr="00281D95">
        <w:rPr>
          <w:rFonts w:ascii="Sakkal Majalla" w:hAnsi="Sakkal Majalla" w:cs="Sakkal Majalla"/>
          <w:szCs w:val="28"/>
          <w:rtl/>
        </w:rPr>
        <w:t xml:space="preserve">إلى أن </w:t>
      </w:r>
      <w:r w:rsidRPr="00281D95">
        <w:rPr>
          <w:rFonts w:ascii="Sakkal Majalla" w:hAnsi="Sakkal Majalla" w:cs="Sakkal Majalla"/>
          <w:b/>
          <w:bCs/>
          <w:szCs w:val="28"/>
          <w:rtl/>
        </w:rPr>
        <w:t>أحد أهم المحددات المؤثرة على القرار الائتماني هو جودة ودقة وتكامل المعلومات المتاحة عن العميل</w:t>
      </w:r>
      <w:r w:rsidR="002E1E0B" w:rsidRPr="00281D95">
        <w:rPr>
          <w:rFonts w:ascii="Sakkal Majalla" w:hAnsi="Sakkal Majalla" w:cs="Sakkal Majalla"/>
          <w:szCs w:val="28"/>
          <w:rtl/>
        </w:rPr>
        <w:t>،</w:t>
      </w:r>
      <w:r w:rsidRPr="00281D95">
        <w:rPr>
          <w:rFonts w:ascii="Sakkal Majalla" w:hAnsi="Sakkal Majalla" w:cs="Sakkal Majalla"/>
          <w:szCs w:val="28"/>
        </w:rPr>
        <w:t xml:space="preserve"> </w:t>
      </w:r>
      <w:r w:rsidRPr="00281D95">
        <w:rPr>
          <w:rFonts w:ascii="Sakkal Majalla" w:hAnsi="Sakkal Majalla" w:cs="Sakkal Majalla"/>
          <w:szCs w:val="28"/>
          <w:rtl/>
        </w:rPr>
        <w:t>فالقرار الذي يُبنى على بيانات غير دقيقة أو ناقصة غالبًا ما يكون معرضًا للخطأ، بصرف النظر عن كفاءة النظام المستخدم</w:t>
      </w:r>
      <w:r w:rsidR="002E1E0B" w:rsidRPr="00281D95">
        <w:rPr>
          <w:rFonts w:ascii="Sakkal Majalla" w:hAnsi="Sakkal Majalla" w:cs="Sakkal Majalla"/>
          <w:szCs w:val="28"/>
          <w:rtl/>
        </w:rPr>
        <w:t>،</w:t>
      </w:r>
      <w:r w:rsidRPr="00281D95">
        <w:rPr>
          <w:rFonts w:ascii="Sakkal Majalla" w:hAnsi="Sakkal Majalla" w:cs="Sakkal Majalla"/>
          <w:szCs w:val="28"/>
          <w:rtl/>
        </w:rPr>
        <w:t xml:space="preserve"> وتتضمن هذه المعلومات: البيانات المالية التاريخية، الالتزامات الائتمانية السابقة، تصنيف السداد، السمعة التجارية، وتفاصيل الضمانات</w:t>
      </w:r>
      <w:r w:rsidRPr="00281D95">
        <w:rPr>
          <w:rFonts w:ascii="Sakkal Majalla" w:hAnsi="Sakkal Majalla" w:cs="Sakkal Majalla"/>
          <w:szCs w:val="28"/>
        </w:rPr>
        <w:t>.</w:t>
      </w:r>
    </w:p>
    <w:p w14:paraId="50FADD45" w14:textId="357B7828" w:rsidR="00C84638" w:rsidRPr="00281D95" w:rsidRDefault="00EC075C" w:rsidP="00281D95">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2. </w:t>
      </w:r>
      <w:r w:rsidR="00C84638" w:rsidRPr="00281D95">
        <w:rPr>
          <w:rFonts w:ascii="Sakkal Majalla" w:hAnsi="Sakkal Majalla" w:cs="Sakkal Majalla"/>
          <w:b/>
          <w:bCs/>
          <w:szCs w:val="28"/>
          <w:rtl/>
        </w:rPr>
        <w:t>كفاءة نظام تقييم المخاطر</w:t>
      </w:r>
    </w:p>
    <w:p w14:paraId="4307921B" w14:textId="2EE13C50" w:rsidR="00C84638" w:rsidRPr="00281D95" w:rsidRDefault="00C84638"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ترى </w:t>
      </w:r>
      <w:r w:rsidRPr="00281D95">
        <w:rPr>
          <w:rFonts w:ascii="Sakkal Majalla" w:hAnsi="Sakkal Majalla" w:cs="Sakkal Majalla"/>
          <w:b/>
          <w:bCs/>
          <w:szCs w:val="28"/>
          <w:rtl/>
        </w:rPr>
        <w:t>جعفر وبدروني</w:t>
      </w:r>
      <w:r w:rsidRPr="00281D95">
        <w:rPr>
          <w:rFonts w:ascii="Sakkal Majalla" w:hAnsi="Sakkal Majalla" w:cs="Sakkal Majalla"/>
          <w:b/>
          <w:bCs/>
          <w:szCs w:val="28"/>
        </w:rPr>
        <w:t xml:space="preserve"> (2022)</w:t>
      </w:r>
      <w:r w:rsidRPr="00281D95">
        <w:rPr>
          <w:rFonts w:ascii="Sakkal Majalla" w:hAnsi="Sakkal Majalla" w:cs="Sakkal Majalla"/>
          <w:szCs w:val="28"/>
        </w:rPr>
        <w:t xml:space="preserve"> </w:t>
      </w:r>
      <w:r w:rsidRPr="00281D95">
        <w:rPr>
          <w:rFonts w:ascii="Sakkal Majalla" w:hAnsi="Sakkal Majalla" w:cs="Sakkal Majalla"/>
          <w:szCs w:val="28"/>
          <w:rtl/>
        </w:rPr>
        <w:t xml:space="preserve">أن </w:t>
      </w:r>
      <w:r w:rsidRPr="00281D95">
        <w:rPr>
          <w:rFonts w:ascii="Sakkal Majalla" w:hAnsi="Sakkal Majalla" w:cs="Sakkal Majalla"/>
          <w:b/>
          <w:bCs/>
          <w:szCs w:val="28"/>
          <w:rtl/>
        </w:rPr>
        <w:t>فعالية نموذج التقييم المستخدم داخل البنك تُعدّ من المحددات الجوهرية لجودة القرار</w:t>
      </w:r>
      <w:r w:rsidRPr="00281D95">
        <w:rPr>
          <w:rFonts w:ascii="Sakkal Majalla" w:hAnsi="Sakkal Majalla" w:cs="Sakkal Majalla"/>
          <w:szCs w:val="28"/>
        </w:rPr>
        <w:t xml:space="preserve">. </w:t>
      </w:r>
      <w:r w:rsidRPr="00281D95">
        <w:rPr>
          <w:rFonts w:ascii="Sakkal Majalla" w:hAnsi="Sakkal Majalla" w:cs="Sakkal Majalla"/>
          <w:szCs w:val="28"/>
          <w:rtl/>
        </w:rPr>
        <w:t>إذ أن النماذج التقليدية التي تعتمد على مؤشرات مالية فقط لم تعد كافية، خاصة في ظل وجود عوامل نوعية (مثل المخاطر السوقية أو السلوكية) تؤثر في جدارة العميل</w:t>
      </w:r>
      <w:r w:rsidR="002E1E0B" w:rsidRPr="00281D95">
        <w:rPr>
          <w:rFonts w:ascii="Sakkal Majalla" w:hAnsi="Sakkal Majalla" w:cs="Sakkal Majalla"/>
          <w:szCs w:val="28"/>
          <w:rtl/>
        </w:rPr>
        <w:t>،</w:t>
      </w:r>
      <w:r w:rsidRPr="00281D95">
        <w:rPr>
          <w:rFonts w:ascii="Sakkal Majalla" w:hAnsi="Sakkal Majalla" w:cs="Sakkal Majalla"/>
          <w:szCs w:val="28"/>
          <w:rtl/>
        </w:rPr>
        <w:t xml:space="preserve"> ومن هنا، فإن كفاءة النظام ترتبط بتنوع أدوات التحليل، وقدرته على التنبؤ، والتحديث المستمر لمؤشرات المخاطر</w:t>
      </w:r>
      <w:r w:rsidRPr="00281D95">
        <w:rPr>
          <w:rFonts w:ascii="Sakkal Majalla" w:hAnsi="Sakkal Majalla" w:cs="Sakkal Majalla"/>
          <w:szCs w:val="28"/>
        </w:rPr>
        <w:t>.</w:t>
      </w:r>
    </w:p>
    <w:p w14:paraId="147D012F" w14:textId="74C2F7ED" w:rsidR="00C84638" w:rsidRPr="00281D95" w:rsidRDefault="00EC075C" w:rsidP="00281D95">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3. </w:t>
      </w:r>
      <w:r w:rsidR="00C84638" w:rsidRPr="00281D95">
        <w:rPr>
          <w:rFonts w:ascii="Sakkal Majalla" w:hAnsi="Sakkal Majalla" w:cs="Sakkal Majalla"/>
          <w:b/>
          <w:bCs/>
          <w:szCs w:val="28"/>
          <w:rtl/>
        </w:rPr>
        <w:t>مؤهلات متخذي القرار وخبرتهم العملية</w:t>
      </w:r>
    </w:p>
    <w:p w14:paraId="1AA326B8" w14:textId="06A240E1" w:rsidR="00C84638" w:rsidRPr="00281D95" w:rsidRDefault="00C84638"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تشير </w:t>
      </w:r>
      <w:r w:rsidRPr="00281D95">
        <w:rPr>
          <w:rFonts w:ascii="Sakkal Majalla" w:hAnsi="Sakkal Majalla" w:cs="Sakkal Majalla"/>
          <w:b/>
          <w:bCs/>
          <w:szCs w:val="28"/>
          <w:rtl/>
        </w:rPr>
        <w:t>دراسة الطائي</w:t>
      </w:r>
      <w:r w:rsidRPr="00281D95">
        <w:rPr>
          <w:rFonts w:ascii="Sakkal Majalla" w:hAnsi="Sakkal Majalla" w:cs="Sakkal Majalla"/>
          <w:b/>
          <w:bCs/>
          <w:szCs w:val="28"/>
        </w:rPr>
        <w:t xml:space="preserve"> (2024)</w:t>
      </w:r>
      <w:r w:rsidRPr="00281D95">
        <w:rPr>
          <w:rFonts w:ascii="Sakkal Majalla" w:hAnsi="Sakkal Majalla" w:cs="Sakkal Majalla"/>
          <w:szCs w:val="28"/>
        </w:rPr>
        <w:t xml:space="preserve"> </w:t>
      </w:r>
      <w:r w:rsidRPr="00281D95">
        <w:rPr>
          <w:rFonts w:ascii="Sakkal Majalla" w:hAnsi="Sakkal Majalla" w:cs="Sakkal Majalla"/>
          <w:szCs w:val="28"/>
          <w:rtl/>
        </w:rPr>
        <w:t xml:space="preserve">إلى أن </w:t>
      </w:r>
      <w:r w:rsidRPr="00281D95">
        <w:rPr>
          <w:rFonts w:ascii="Sakkal Majalla" w:hAnsi="Sakkal Majalla" w:cs="Sakkal Majalla"/>
          <w:b/>
          <w:bCs/>
          <w:szCs w:val="28"/>
          <w:rtl/>
        </w:rPr>
        <w:t>الخبرة المهنية والكفاءة التحليلية لمتخذي القرار تُعد من أبرز المحددات البشرية التي تؤثر على جودة القرار</w:t>
      </w:r>
      <w:r w:rsidR="002E1E0B" w:rsidRPr="00281D95">
        <w:rPr>
          <w:rFonts w:ascii="Sakkal Majalla" w:hAnsi="Sakkal Majalla" w:cs="Sakkal Majalla"/>
          <w:szCs w:val="28"/>
          <w:rtl/>
        </w:rPr>
        <w:t>،</w:t>
      </w:r>
      <w:r w:rsidRPr="00281D95">
        <w:rPr>
          <w:rFonts w:ascii="Sakkal Majalla" w:hAnsi="Sakkal Majalla" w:cs="Sakkal Majalla"/>
          <w:szCs w:val="28"/>
        </w:rPr>
        <w:t xml:space="preserve"> </w:t>
      </w:r>
      <w:r w:rsidRPr="00281D95">
        <w:rPr>
          <w:rFonts w:ascii="Sakkal Majalla" w:hAnsi="Sakkal Majalla" w:cs="Sakkal Majalla"/>
          <w:szCs w:val="28"/>
          <w:rtl/>
        </w:rPr>
        <w:t>إذ إن الحكم الشخصي غير المدعوم بتحليل موضوعي أو الانسياق وراء ضغوط داخلية أو خارجية، يمكن أن يؤدي إلى قرارات تمويلية ذات جودة منخفضة</w:t>
      </w:r>
      <w:r w:rsidR="002E1E0B" w:rsidRPr="00281D95">
        <w:rPr>
          <w:rFonts w:ascii="Sakkal Majalla" w:hAnsi="Sakkal Majalla" w:cs="Sakkal Majalla"/>
          <w:szCs w:val="28"/>
          <w:rtl/>
        </w:rPr>
        <w:t>،</w:t>
      </w:r>
      <w:r w:rsidRPr="00281D95">
        <w:rPr>
          <w:rFonts w:ascii="Sakkal Majalla" w:hAnsi="Sakkal Majalla" w:cs="Sakkal Majalla"/>
          <w:szCs w:val="28"/>
          <w:rtl/>
        </w:rPr>
        <w:t xml:space="preserve"> وتُبرز الدراسة أهمية التدريب المستمر ورفع الوعي الائتماني</w:t>
      </w:r>
      <w:r w:rsidRPr="00281D95">
        <w:rPr>
          <w:rFonts w:ascii="Sakkal Majalla" w:hAnsi="Sakkal Majalla" w:cs="Sakkal Majalla"/>
          <w:szCs w:val="28"/>
        </w:rPr>
        <w:t>.</w:t>
      </w:r>
    </w:p>
    <w:p w14:paraId="00110EA1" w14:textId="225AED0A" w:rsidR="00C84638" w:rsidRPr="00281D95" w:rsidRDefault="00EC075C" w:rsidP="00281D95">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4. </w:t>
      </w:r>
      <w:r w:rsidR="00C84638" w:rsidRPr="00281D95">
        <w:rPr>
          <w:rFonts w:ascii="Sakkal Majalla" w:hAnsi="Sakkal Majalla" w:cs="Sakkal Majalla"/>
          <w:b/>
          <w:bCs/>
          <w:szCs w:val="28"/>
          <w:rtl/>
        </w:rPr>
        <w:t>فاعلية أنظمة الحوكمة والامتثال التنظيمي</w:t>
      </w:r>
    </w:p>
    <w:p w14:paraId="296AE94B" w14:textId="1FF931D1" w:rsidR="00C84638" w:rsidRPr="00281D95" w:rsidRDefault="00C84638"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أكد </w:t>
      </w:r>
      <w:r w:rsidRPr="00281D95">
        <w:rPr>
          <w:rFonts w:ascii="Sakkal Majalla" w:hAnsi="Sakkal Majalla" w:cs="Sakkal Majalla"/>
          <w:b/>
          <w:bCs/>
          <w:szCs w:val="28"/>
        </w:rPr>
        <w:t>Abdelaziz et al. (2022)</w:t>
      </w:r>
      <w:r w:rsidRPr="00281D95">
        <w:rPr>
          <w:rFonts w:ascii="Sakkal Majalla" w:hAnsi="Sakkal Majalla" w:cs="Sakkal Majalla"/>
          <w:szCs w:val="28"/>
        </w:rPr>
        <w:t xml:space="preserve"> </w:t>
      </w:r>
      <w:r w:rsidRPr="00281D95">
        <w:rPr>
          <w:rFonts w:ascii="Sakkal Majalla" w:hAnsi="Sakkal Majalla" w:cs="Sakkal Majalla"/>
          <w:szCs w:val="28"/>
          <w:rtl/>
        </w:rPr>
        <w:t xml:space="preserve">أن </w:t>
      </w:r>
      <w:r w:rsidRPr="00281D95">
        <w:rPr>
          <w:rFonts w:ascii="Sakkal Majalla" w:hAnsi="Sakkal Majalla" w:cs="Sakkal Majalla"/>
          <w:b/>
          <w:bCs/>
          <w:szCs w:val="28"/>
          <w:rtl/>
        </w:rPr>
        <w:t>القرارات الائتمانية تخضع لإطار من الضوابط الداخلية والخارجية، مثل سياسات الحوكمة، واللوائح التنظيمية، وتعليمات البنك المركزي</w:t>
      </w:r>
      <w:r w:rsidR="002E1E0B" w:rsidRPr="00281D95">
        <w:rPr>
          <w:rFonts w:ascii="Sakkal Majalla" w:hAnsi="Sakkal Majalla" w:cs="Sakkal Majalla"/>
          <w:szCs w:val="28"/>
          <w:rtl/>
        </w:rPr>
        <w:t>،</w:t>
      </w:r>
      <w:r w:rsidRPr="00281D95">
        <w:rPr>
          <w:rFonts w:ascii="Sakkal Majalla" w:hAnsi="Sakkal Majalla" w:cs="Sakkal Majalla"/>
          <w:szCs w:val="28"/>
        </w:rPr>
        <w:t xml:space="preserve"> </w:t>
      </w:r>
      <w:r w:rsidRPr="00281D95">
        <w:rPr>
          <w:rFonts w:ascii="Sakkal Majalla" w:hAnsi="Sakkal Majalla" w:cs="Sakkal Majalla"/>
          <w:szCs w:val="28"/>
          <w:rtl/>
        </w:rPr>
        <w:t>وبالتالي، فإن مدى التزام البنك بهذه الأطر يسهم بشكل مباشر في تعزيز جودة القرار وتقليل الانحرافات الإجرائية</w:t>
      </w:r>
      <w:r w:rsidRPr="00281D95">
        <w:rPr>
          <w:rFonts w:ascii="Sakkal Majalla" w:hAnsi="Sakkal Majalla" w:cs="Sakkal Majalla"/>
          <w:szCs w:val="28"/>
        </w:rPr>
        <w:t>.</w:t>
      </w:r>
    </w:p>
    <w:p w14:paraId="05849B92" w14:textId="12548226" w:rsidR="00C84638" w:rsidRPr="00281D95" w:rsidRDefault="00EC075C" w:rsidP="00281D95">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5. </w:t>
      </w:r>
      <w:r w:rsidR="00C84638" w:rsidRPr="00281D95">
        <w:rPr>
          <w:rFonts w:ascii="Sakkal Majalla" w:hAnsi="Sakkal Majalla" w:cs="Sakkal Majalla"/>
          <w:b/>
          <w:bCs/>
          <w:szCs w:val="28"/>
          <w:rtl/>
        </w:rPr>
        <w:t>نضج البنية التكنولوجية والتحول الرقمي</w:t>
      </w:r>
    </w:p>
    <w:p w14:paraId="4B50EF6E" w14:textId="25DD68E5" w:rsidR="00C84638" w:rsidRPr="00281D95" w:rsidRDefault="00C84638"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يرى </w:t>
      </w:r>
      <w:r w:rsidRPr="00281D95">
        <w:rPr>
          <w:rFonts w:ascii="Sakkal Majalla" w:hAnsi="Sakkal Majalla" w:cs="Sakkal Majalla"/>
          <w:b/>
          <w:bCs/>
          <w:szCs w:val="28"/>
        </w:rPr>
        <w:t>Beeram &amp; Devi (2024)</w:t>
      </w:r>
      <w:r w:rsidRPr="00281D95">
        <w:rPr>
          <w:rFonts w:ascii="Sakkal Majalla" w:hAnsi="Sakkal Majalla" w:cs="Sakkal Majalla"/>
          <w:szCs w:val="28"/>
        </w:rPr>
        <w:t xml:space="preserve"> </w:t>
      </w:r>
      <w:r w:rsidRPr="00281D95">
        <w:rPr>
          <w:rFonts w:ascii="Sakkal Majalla" w:hAnsi="Sakkal Majalla" w:cs="Sakkal Majalla"/>
          <w:szCs w:val="28"/>
          <w:rtl/>
        </w:rPr>
        <w:t xml:space="preserve">أن </w:t>
      </w:r>
      <w:r w:rsidRPr="00281D95">
        <w:rPr>
          <w:rFonts w:ascii="Sakkal Majalla" w:hAnsi="Sakkal Majalla" w:cs="Sakkal Majalla"/>
          <w:b/>
          <w:bCs/>
          <w:szCs w:val="28"/>
          <w:rtl/>
        </w:rPr>
        <w:t>البنوك التي تستثمر في تقنيات الذكاء الاصطناعي وأنظمة المعلومات التحليلية تكون أكثر قدرة على إصدار قرارات ائتمانية دقيقة وسريعة</w:t>
      </w:r>
      <w:r w:rsidR="002E1E0B" w:rsidRPr="00281D95">
        <w:rPr>
          <w:rFonts w:ascii="Sakkal Majalla" w:hAnsi="Sakkal Majalla" w:cs="Sakkal Majalla"/>
          <w:szCs w:val="28"/>
          <w:rtl/>
        </w:rPr>
        <w:t>،</w:t>
      </w:r>
      <w:r w:rsidRPr="00281D95">
        <w:rPr>
          <w:rFonts w:ascii="Sakkal Majalla" w:hAnsi="Sakkal Majalla" w:cs="Sakkal Majalla"/>
          <w:szCs w:val="28"/>
        </w:rPr>
        <w:t xml:space="preserve"> </w:t>
      </w:r>
      <w:r w:rsidRPr="00281D95">
        <w:rPr>
          <w:rFonts w:ascii="Sakkal Majalla" w:hAnsi="Sakkal Majalla" w:cs="Sakkal Majalla"/>
          <w:szCs w:val="28"/>
          <w:rtl/>
        </w:rPr>
        <w:t>فالبنية الرقمية المتطورة تتيح الوصول إلى معلومات لحظية، وربط مؤشرات الأداء، وتوليد تنبؤات دقيقة تعزز من كفاءة القرار وتقلل من المخاطر التشغيلية</w:t>
      </w:r>
      <w:r w:rsidRPr="00281D95">
        <w:rPr>
          <w:rFonts w:ascii="Sakkal Majalla" w:hAnsi="Sakkal Majalla" w:cs="Sakkal Majalla"/>
          <w:szCs w:val="28"/>
        </w:rPr>
        <w:t>.</w:t>
      </w:r>
    </w:p>
    <w:p w14:paraId="01876822" w14:textId="3F60230F" w:rsidR="00C84638" w:rsidRPr="00281D95" w:rsidRDefault="00C84638" w:rsidP="00EC075C">
      <w:pPr>
        <w:spacing w:before="100" w:beforeAutospacing="1" w:after="100" w:afterAutospacing="1" w:line="360" w:lineRule="auto"/>
        <w:ind w:firstLine="706"/>
        <w:jc w:val="both"/>
        <w:rPr>
          <w:rFonts w:ascii="Sakkal Majalla" w:hAnsi="Sakkal Majalla" w:cs="Sakkal Majalla"/>
          <w:szCs w:val="28"/>
        </w:rPr>
      </w:pPr>
      <w:r w:rsidRPr="00281D95">
        <w:rPr>
          <w:rFonts w:ascii="Sakkal Majalla" w:hAnsi="Sakkal Majalla" w:cs="Sakkal Majalla"/>
          <w:szCs w:val="28"/>
          <w:rtl/>
        </w:rPr>
        <w:t xml:space="preserve">من خلال تحليل هذه المحددات، يرى الباحث أن </w:t>
      </w:r>
      <w:r w:rsidRPr="00281D95">
        <w:rPr>
          <w:rFonts w:ascii="Sakkal Majalla" w:hAnsi="Sakkal Majalla" w:cs="Sakkal Majalla"/>
          <w:b/>
          <w:bCs/>
          <w:szCs w:val="28"/>
          <w:rtl/>
        </w:rPr>
        <w:t>واقع البنوك التجارية السعودية يُظهر تقدمًا ملحوظًا في البنية الرقمية والتحول إلى التحليل الذكي للبيانات، إلا أن جودة القرارات الائتمانية لا تزال بحاجة إلى مزيد من التكامل بين التحليل التقني والخبرة البشرية، وتفعيل أدوات الحوكمة الداخلية، وربط نظم القرار بمعايير واضحة للجدارة والمخاطرة</w:t>
      </w:r>
      <w:r w:rsidR="002E1E0B" w:rsidRPr="00281D95">
        <w:rPr>
          <w:rFonts w:ascii="Sakkal Majalla" w:hAnsi="Sakkal Majalla" w:cs="Sakkal Majalla"/>
          <w:szCs w:val="28"/>
          <w:rtl/>
        </w:rPr>
        <w:t>،</w:t>
      </w:r>
      <w:r w:rsidRPr="00281D95">
        <w:rPr>
          <w:rFonts w:ascii="Sakkal Majalla" w:hAnsi="Sakkal Majalla" w:cs="Sakkal Majalla"/>
          <w:szCs w:val="28"/>
        </w:rPr>
        <w:t xml:space="preserve"> </w:t>
      </w:r>
      <w:r w:rsidRPr="00281D95">
        <w:rPr>
          <w:rFonts w:ascii="Sakkal Majalla" w:hAnsi="Sakkal Majalla" w:cs="Sakkal Majalla"/>
          <w:szCs w:val="28"/>
          <w:rtl/>
        </w:rPr>
        <w:t>كما أن التوسع في أدوات التصنيف الاستباقي والتحليل السلوكي يمكن أن يُحدث نقلة نوعية في تحسين جودة القرار على المدى الطويل</w:t>
      </w:r>
      <w:r w:rsidRPr="00281D95">
        <w:rPr>
          <w:rFonts w:ascii="Sakkal Majalla" w:hAnsi="Sakkal Majalla" w:cs="Sakkal Majalla"/>
          <w:szCs w:val="28"/>
        </w:rPr>
        <w:t>.</w:t>
      </w:r>
    </w:p>
    <w:p w14:paraId="16858F39" w14:textId="77777777" w:rsidR="00C84638" w:rsidRPr="00281D95" w:rsidRDefault="00C84638" w:rsidP="00281D95">
      <w:pPr>
        <w:spacing w:before="100" w:beforeAutospacing="1" w:after="100" w:afterAutospacing="1" w:line="360" w:lineRule="auto"/>
        <w:jc w:val="both"/>
        <w:rPr>
          <w:rFonts w:ascii="Sakkal Majalla" w:hAnsi="Sakkal Majalla" w:cs="Sakkal Majalla"/>
          <w:szCs w:val="28"/>
          <w:rtl/>
        </w:rPr>
      </w:pPr>
    </w:p>
    <w:p w14:paraId="4F11B529" w14:textId="77777777" w:rsidR="00EC075C" w:rsidRDefault="00EC075C" w:rsidP="00281D95">
      <w:pPr>
        <w:spacing w:before="100" w:beforeAutospacing="1" w:after="100" w:afterAutospacing="1" w:line="360" w:lineRule="auto"/>
        <w:jc w:val="both"/>
        <w:rPr>
          <w:rFonts w:ascii="Sakkal Majalla" w:eastAsia="Calibri" w:hAnsi="Sakkal Majalla" w:cs="Sakkal Majalla"/>
          <w:b/>
          <w:bCs/>
          <w:szCs w:val="28"/>
          <w:rtl/>
        </w:rPr>
      </w:pPr>
    </w:p>
    <w:p w14:paraId="755FB910" w14:textId="77777777" w:rsidR="00EC075C" w:rsidRDefault="00EC075C" w:rsidP="00281D95">
      <w:pPr>
        <w:spacing w:before="100" w:beforeAutospacing="1" w:after="100" w:afterAutospacing="1" w:line="360" w:lineRule="auto"/>
        <w:jc w:val="both"/>
        <w:rPr>
          <w:rFonts w:ascii="Sakkal Majalla" w:eastAsia="Calibri" w:hAnsi="Sakkal Majalla" w:cs="Sakkal Majalla"/>
          <w:b/>
          <w:bCs/>
          <w:szCs w:val="28"/>
          <w:rtl/>
        </w:rPr>
      </w:pPr>
    </w:p>
    <w:bookmarkEnd w:id="28"/>
    <w:bookmarkEnd w:id="30"/>
    <w:p w14:paraId="0BE39AFF" w14:textId="6253075C" w:rsidR="00C1215B" w:rsidRDefault="00C1215B" w:rsidP="008149CC">
      <w:pPr>
        <w:spacing w:before="100" w:beforeAutospacing="1" w:after="100" w:afterAutospacing="1"/>
        <w:ind w:left="720"/>
        <w:jc w:val="center"/>
        <w:rPr>
          <w:rFonts w:cs="Sakkal Majalla"/>
          <w:b/>
          <w:bCs/>
          <w:sz w:val="32"/>
          <w:szCs w:val="32"/>
          <w:rtl/>
          <w:lang w:bidi="ar-EG"/>
        </w:rPr>
        <w:sectPr w:rsidR="00C1215B" w:rsidSect="00281D95">
          <w:footerReference w:type="default" r:id="rId10"/>
          <w:pgSz w:w="11906" w:h="16838" w:code="9"/>
          <w:pgMar w:top="1440" w:right="1985" w:bottom="1440" w:left="1418" w:header="720" w:footer="720" w:gutter="567"/>
          <w:pgNumType w:start="1"/>
          <w:cols w:space="708"/>
          <w:bidi/>
          <w:rtlGutter/>
          <w:docGrid w:linePitch="360"/>
        </w:sectPr>
      </w:pPr>
    </w:p>
    <w:p w14:paraId="29D4231B" w14:textId="7931C4F7" w:rsidR="0081623B" w:rsidRPr="00C1215B" w:rsidRDefault="0081623B" w:rsidP="00281D95">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44" w:name="_Hlk171906167"/>
      <w:r w:rsidRPr="00C1215B">
        <w:rPr>
          <w:rFonts w:ascii="Sakkal Majalla" w:hAnsi="Sakkal Majalla" w:cs="Sakkal Majalla"/>
          <w:noProof/>
          <w:sz w:val="32"/>
          <w:szCs w:val="32"/>
        </w:rPr>
        <w:drawing>
          <wp:anchor distT="0" distB="0" distL="114300" distR="114300" simplePos="0" relativeHeight="251685888" behindDoc="1" locked="0" layoutInCell="1" allowOverlap="1" wp14:anchorId="10B9448C" wp14:editId="66A119B6">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1215B">
        <w:rPr>
          <w:rFonts w:ascii="Sakkal Majalla" w:eastAsia="Calibri" w:hAnsi="Sakkal Majalla" w:cs="Sakkal Majalla"/>
          <w:b/>
          <w:bCs/>
          <w:kern w:val="0"/>
          <w:sz w:val="32"/>
          <w:szCs w:val="32"/>
          <w:lang w:bidi="ar-EG"/>
          <w14:ligatures w14:val="none"/>
        </w:rPr>
        <w:t>Mid-Ocean University</w:t>
      </w:r>
    </w:p>
    <w:p w14:paraId="4A539B4C" w14:textId="235118D1" w:rsidR="0081623B" w:rsidRPr="00C1215B" w:rsidRDefault="0081623B" w:rsidP="00281D95">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1215B">
        <w:rPr>
          <w:rFonts w:ascii="Sakkal Majalla" w:eastAsia="Calibri" w:hAnsi="Sakkal Majalla" w:cs="Sakkal Majalla"/>
          <w:b/>
          <w:bCs/>
          <w:kern w:val="0"/>
          <w:sz w:val="32"/>
          <w:szCs w:val="32"/>
          <w:lang w:bidi="ar-EG"/>
          <w14:ligatures w14:val="none"/>
        </w:rPr>
        <w:t>College of Management</w:t>
      </w:r>
    </w:p>
    <w:p w14:paraId="0479A04F" w14:textId="30EBEBE7" w:rsidR="0081623B" w:rsidRPr="00C1215B" w:rsidRDefault="00857739" w:rsidP="00281D95">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1215B">
        <w:rPr>
          <w:rFonts w:ascii="Sakkal Majalla" w:eastAsia="Calibri" w:hAnsi="Sakkal Majalla" w:cs="Sakkal Majalla"/>
          <w:b/>
          <w:bCs/>
          <w:kern w:val="0"/>
          <w:sz w:val="32"/>
          <w:szCs w:val="32"/>
          <w:lang w:bidi="ar-EG"/>
          <w14:ligatures w14:val="none"/>
        </w:rPr>
        <w:t xml:space="preserve">Department of </w:t>
      </w:r>
      <w:r w:rsidR="005675FE" w:rsidRPr="00C1215B">
        <w:rPr>
          <w:rFonts w:ascii="Sakkal Majalla" w:eastAsia="Calibri" w:hAnsi="Sakkal Majalla" w:cs="Sakkal Majalla"/>
          <w:b/>
          <w:bCs/>
          <w:kern w:val="0"/>
          <w:sz w:val="32"/>
          <w:szCs w:val="32"/>
          <w:lang w:bidi="ar-EG"/>
          <w14:ligatures w14:val="none"/>
        </w:rPr>
        <w:t>Business Administration</w:t>
      </w:r>
    </w:p>
    <w:p w14:paraId="051F004A" w14:textId="77777777" w:rsidR="00D32470" w:rsidRPr="00281D95" w:rsidRDefault="00D32470" w:rsidP="00281D95">
      <w:pPr>
        <w:bidi w:val="0"/>
        <w:spacing w:before="100" w:beforeAutospacing="1" w:after="100" w:afterAutospacing="1" w:line="360" w:lineRule="auto"/>
        <w:ind w:firstLine="720"/>
        <w:jc w:val="both"/>
        <w:rPr>
          <w:rFonts w:ascii="Sakkal Majalla" w:eastAsia="Calibri" w:hAnsi="Sakkal Majalla" w:cs="Sakkal Majalla"/>
          <w:b/>
          <w:bCs/>
          <w:kern w:val="0"/>
          <w:szCs w:val="28"/>
          <w:lang w:bidi="ar-EG"/>
          <w14:ligatures w14:val="none"/>
        </w:rPr>
      </w:pPr>
    </w:p>
    <w:p w14:paraId="26498660" w14:textId="586BAFDA" w:rsidR="008B0E78" w:rsidRPr="00C1215B" w:rsidRDefault="000B4E70" w:rsidP="00C1215B">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C1215B">
        <w:rPr>
          <w:rFonts w:ascii="Sakkal Majalla" w:eastAsia="Calibri" w:hAnsi="Sakkal Majalla" w:cs="Sakkal Majalla"/>
          <w:b/>
          <w:bCs/>
          <w:kern w:val="0"/>
          <w:sz w:val="40"/>
          <w:szCs w:val="40"/>
          <w:lang w:bidi="ar-EG"/>
          <w14:ligatures w14:val="none"/>
        </w:rPr>
        <w:t>The Impact of Credit Risk Assessment on Enhancing the Quality of Credit Decisions: A Field Study on Commercial Banks"</w:t>
      </w:r>
    </w:p>
    <w:p w14:paraId="4DB7A185" w14:textId="77777777" w:rsidR="008B0E78" w:rsidRPr="00281D95" w:rsidRDefault="008B0E78" w:rsidP="00281D95">
      <w:pPr>
        <w:bidi w:val="0"/>
        <w:spacing w:before="100" w:beforeAutospacing="1" w:after="100" w:afterAutospacing="1" w:line="360" w:lineRule="auto"/>
        <w:jc w:val="both"/>
        <w:rPr>
          <w:rFonts w:ascii="Sakkal Majalla" w:eastAsia="Calibri" w:hAnsi="Sakkal Majalla" w:cs="Sakkal Majalla"/>
          <w:b/>
          <w:bCs/>
          <w:kern w:val="0"/>
          <w:szCs w:val="28"/>
          <w:lang w:bidi="ar-EG"/>
          <w14:ligatures w14:val="none"/>
        </w:rPr>
      </w:pPr>
    </w:p>
    <w:p w14:paraId="730ED794" w14:textId="44F55679" w:rsidR="0081623B" w:rsidRPr="00C1215B" w:rsidRDefault="0081623B" w:rsidP="00C1215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1215B">
        <w:rPr>
          <w:rFonts w:ascii="Sakkal Majalla" w:eastAsia="Calibri" w:hAnsi="Sakkal Majalla" w:cs="Sakkal Majalla"/>
          <w:b/>
          <w:bCs/>
          <w:kern w:val="0"/>
          <w:sz w:val="36"/>
          <w:szCs w:val="36"/>
          <w:lang w:bidi="ar-EG"/>
          <w14:ligatures w14:val="none"/>
        </w:rPr>
        <w:t>Preparation</w:t>
      </w:r>
      <w:r w:rsidRPr="00C1215B">
        <w:rPr>
          <w:rFonts w:ascii="Sakkal Majalla" w:eastAsia="Calibri" w:hAnsi="Sakkal Majalla" w:cs="Sakkal Majalla"/>
          <w:b/>
          <w:bCs/>
          <w:kern w:val="0"/>
          <w:sz w:val="36"/>
          <w:szCs w:val="36"/>
          <w:rtl/>
          <w:lang w:bidi="ar-EG"/>
          <w14:ligatures w14:val="none"/>
        </w:rPr>
        <w:t>:</w:t>
      </w:r>
    </w:p>
    <w:p w14:paraId="710C642A" w14:textId="2202CFB2" w:rsidR="00CB4238" w:rsidRDefault="0084003C" w:rsidP="00C1215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lang w:bidi="ar-YE"/>
          <w14:ligatures w14:val="none"/>
        </w:rPr>
        <w:t>Mohammed Saeed Basonbul</w:t>
      </w:r>
    </w:p>
    <w:p w14:paraId="0AB89458" w14:textId="4D9AC2E9" w:rsidR="0084003C" w:rsidRPr="00C1215B" w:rsidRDefault="00F72AB3" w:rsidP="0084003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243000934</w:t>
      </w:r>
    </w:p>
    <w:bookmarkEnd w:id="44"/>
    <w:p w14:paraId="1B2A68A2" w14:textId="77777777" w:rsidR="005675FE" w:rsidRPr="00C1215B" w:rsidRDefault="005675FE" w:rsidP="00C1215B">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C1215B">
        <w:rPr>
          <w:rFonts w:ascii="Sakkal Majalla" w:eastAsia="Calibri" w:hAnsi="Sakkal Majalla" w:cs="Sakkal Majalla"/>
          <w:b/>
          <w:bCs/>
          <w:sz w:val="36"/>
          <w:szCs w:val="36"/>
          <w:lang w:bidi="ar-EG"/>
        </w:rPr>
        <w:t>Supervision:</w:t>
      </w:r>
    </w:p>
    <w:p w14:paraId="44FCD728" w14:textId="77777777" w:rsidR="005675FE" w:rsidRPr="00C1215B" w:rsidRDefault="005675FE" w:rsidP="00C1215B">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C1215B">
        <w:rPr>
          <w:rFonts w:ascii="Sakkal Majalla" w:eastAsia="Calibri" w:hAnsi="Sakkal Majalla" w:cs="Sakkal Majalla"/>
          <w:b/>
          <w:bCs/>
          <w:sz w:val="36"/>
          <w:szCs w:val="36"/>
          <w:lang w:bidi="ar-EG"/>
        </w:rPr>
        <w:t>Dr. Al faisal Abdelhameed Mohamed</w:t>
      </w:r>
    </w:p>
    <w:p w14:paraId="7CE4226E" w14:textId="77777777" w:rsidR="005675FE" w:rsidRPr="00C1215B" w:rsidRDefault="005675FE" w:rsidP="00C1215B">
      <w:pPr>
        <w:bidi w:val="0"/>
        <w:spacing w:before="100" w:beforeAutospacing="1" w:after="100" w:afterAutospacing="1" w:line="360" w:lineRule="auto"/>
        <w:jc w:val="center"/>
        <w:rPr>
          <w:rFonts w:ascii="Sakkal Majalla" w:hAnsi="Sakkal Majalla" w:cs="Sakkal Majalla"/>
          <w:b/>
          <w:bCs/>
          <w:sz w:val="36"/>
          <w:szCs w:val="36"/>
          <w:u w:val="single"/>
        </w:rPr>
      </w:pPr>
      <w:r w:rsidRPr="00C1215B">
        <w:rPr>
          <w:rFonts w:ascii="Sakkal Majalla" w:eastAsia="Calibri" w:hAnsi="Sakkal Majalla" w:cs="Sakkal Majalla"/>
          <w:b/>
          <w:bCs/>
          <w:sz w:val="36"/>
          <w:szCs w:val="36"/>
          <w:lang w:bidi="ar-EG"/>
        </w:rPr>
        <w:t>1446 – 2025</w:t>
      </w:r>
    </w:p>
    <w:p w14:paraId="6E52896B" w14:textId="4DA9134A" w:rsidR="009125CE" w:rsidRPr="00281D95" w:rsidRDefault="009125CE" w:rsidP="00281D95">
      <w:pPr>
        <w:bidi w:val="0"/>
        <w:spacing w:before="100" w:beforeAutospacing="1" w:after="100" w:afterAutospacing="1" w:line="360" w:lineRule="auto"/>
        <w:jc w:val="both"/>
        <w:rPr>
          <w:rFonts w:ascii="Sakkal Majalla" w:hAnsi="Sakkal Majalla" w:cs="Sakkal Majalla"/>
          <w:szCs w:val="28"/>
          <w:u w:val="single"/>
        </w:rPr>
      </w:pPr>
    </w:p>
    <w:sectPr w:rsidR="009125CE" w:rsidRPr="00281D95" w:rsidSect="00281D95">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2CAE6" w14:textId="77777777" w:rsidR="00940490" w:rsidRDefault="00940490" w:rsidP="009125CE">
      <w:pPr>
        <w:spacing w:after="0" w:line="240" w:lineRule="auto"/>
      </w:pPr>
      <w:r>
        <w:separator/>
      </w:r>
    </w:p>
  </w:endnote>
  <w:endnote w:type="continuationSeparator" w:id="0">
    <w:p w14:paraId="43A941B7" w14:textId="77777777" w:rsidR="00940490" w:rsidRDefault="0094049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MS Mincho">
    <w:altName w:val="ＭＳ 明朝"/>
    <w:panose1 w:val="02020609040205080304"/>
    <w:charset w:val="80"/>
    <w:family w:val="modern"/>
    <w:notTrueType/>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61911992"/>
      <w:docPartObj>
        <w:docPartGallery w:val="Page Numbers (Bottom of Page)"/>
        <w:docPartUnique/>
      </w:docPartObj>
    </w:sdtPr>
    <w:sdtEndPr/>
    <w:sdtContent>
      <w:p w14:paraId="68BE3D76" w14:textId="6EFDACAC" w:rsidR="00281D95" w:rsidRDefault="00281D95">
        <w:pPr>
          <w:pStyle w:val="a4"/>
          <w:jc w:val="center"/>
        </w:pPr>
      </w:p>
      <w:p w14:paraId="13047AE1" w14:textId="719EA266" w:rsidR="00281D95" w:rsidRDefault="00281D95" w:rsidP="00281D95">
        <w:pPr>
          <w:pStyle w:val="a4"/>
          <w:tabs>
            <w:tab w:val="left" w:pos="3880"/>
            <w:tab w:val="center" w:pos="3968"/>
          </w:tabs>
          <w:rPr>
            <w:rtl/>
            <w:lang w:bidi="ar-EG"/>
          </w:rPr>
        </w:pPr>
        <w: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0612298"/>
      <w:docPartObj>
        <w:docPartGallery w:val="Page Numbers (Bottom of Page)"/>
        <w:docPartUnique/>
      </w:docPartObj>
    </w:sdtPr>
    <w:sdtEndPr/>
    <w:sdtContent>
      <w:p w14:paraId="5493BE0A" w14:textId="77777777" w:rsidR="00281D95" w:rsidRDefault="00281D95">
        <w:pPr>
          <w:pStyle w:val="a4"/>
          <w:jc w:val="center"/>
        </w:pPr>
        <w:r>
          <w:rPr>
            <w:noProof/>
          </w:rPr>
          <mc:AlternateContent>
            <mc:Choice Requires="wps">
              <w:drawing>
                <wp:inline distT="0" distB="0" distL="0" distR="0" wp14:anchorId="4D58BC0F" wp14:editId="60337878">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F2FF9FC"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42EE5C53" w14:textId="77777777" w:rsidR="00281D95" w:rsidRDefault="00281D95" w:rsidP="00281D95">
        <w:pPr>
          <w:pStyle w:val="a4"/>
          <w:jc w:val="center"/>
        </w:pPr>
        <w:r>
          <w:fldChar w:fldCharType="begin"/>
        </w:r>
        <w:r>
          <w:instrText xml:space="preserve"> PAGE    \* MERGEFORMAT </w:instrText>
        </w:r>
        <w:r>
          <w:fldChar w:fldCharType="separate"/>
        </w:r>
        <w:r w:rsidR="009A456F">
          <w:rPr>
            <w:noProof/>
            <w:rtl/>
          </w:rPr>
          <w:t>19</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26240005"/>
      <w:docPartObj>
        <w:docPartGallery w:val="Page Numbers (Bottom of Page)"/>
        <w:docPartUnique/>
      </w:docPartObj>
    </w:sdtPr>
    <w:sdtEndPr/>
    <w:sdtContent>
      <w:p w14:paraId="1DBF89EB" w14:textId="640947F6" w:rsidR="00C1215B" w:rsidRDefault="00C1215B">
        <w:pPr>
          <w:pStyle w:val="a4"/>
          <w:jc w:val="center"/>
        </w:pPr>
      </w:p>
      <w:p w14:paraId="581AC37A" w14:textId="4D87B9BA" w:rsidR="00C1215B" w:rsidRDefault="00F72AB3" w:rsidP="00281D95">
        <w:pPr>
          <w:pStyle w:val="a4"/>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51555" w14:textId="77777777" w:rsidR="00940490" w:rsidRDefault="00940490" w:rsidP="009125CE">
      <w:pPr>
        <w:spacing w:after="0" w:line="240" w:lineRule="auto"/>
      </w:pPr>
      <w:r>
        <w:separator/>
      </w:r>
    </w:p>
  </w:footnote>
  <w:footnote w:type="continuationSeparator" w:id="0">
    <w:p w14:paraId="4F7EE42C" w14:textId="77777777" w:rsidR="00940490" w:rsidRDefault="0094049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46A2C"/>
    <w:multiLevelType w:val="multilevel"/>
    <w:tmpl w:val="AD227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55CDA"/>
    <w:multiLevelType w:val="multilevel"/>
    <w:tmpl w:val="A1CC9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D178B5"/>
    <w:multiLevelType w:val="hybridMultilevel"/>
    <w:tmpl w:val="64185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83DFC"/>
    <w:multiLevelType w:val="hybridMultilevel"/>
    <w:tmpl w:val="3AC029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C05F05"/>
    <w:multiLevelType w:val="hybridMultilevel"/>
    <w:tmpl w:val="08829CD8"/>
    <w:lvl w:ilvl="0" w:tplc="70A26CEA">
      <w:start w:val="1"/>
      <w:numFmt w:val="bullet"/>
      <w:pStyle w:val="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26570E"/>
    <w:multiLevelType w:val="hybridMultilevel"/>
    <w:tmpl w:val="14D20CA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6" w15:restartNumberingAfterBreak="0">
    <w:nsid w:val="1485709A"/>
    <w:multiLevelType w:val="hybridMultilevel"/>
    <w:tmpl w:val="2BA258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2E07F5"/>
    <w:multiLevelType w:val="hybridMultilevel"/>
    <w:tmpl w:val="DB4ED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F35F52"/>
    <w:multiLevelType w:val="multilevel"/>
    <w:tmpl w:val="4094BD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071529"/>
    <w:multiLevelType w:val="hybridMultilevel"/>
    <w:tmpl w:val="EA7AD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1E0205"/>
    <w:multiLevelType w:val="multilevel"/>
    <w:tmpl w:val="5B58B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567C13"/>
    <w:multiLevelType w:val="hybridMultilevel"/>
    <w:tmpl w:val="8440FC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604C06"/>
    <w:multiLevelType w:val="hybridMultilevel"/>
    <w:tmpl w:val="15EA29A6"/>
    <w:lvl w:ilvl="0" w:tplc="3C82D8E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DB1760"/>
    <w:multiLevelType w:val="multilevel"/>
    <w:tmpl w:val="FF702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3C50B8"/>
    <w:multiLevelType w:val="hybridMultilevel"/>
    <w:tmpl w:val="8076C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7F0FA3"/>
    <w:multiLevelType w:val="multilevel"/>
    <w:tmpl w:val="3D9CD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8359B4"/>
    <w:multiLevelType w:val="multilevel"/>
    <w:tmpl w:val="1854D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8871C4"/>
    <w:multiLevelType w:val="multilevel"/>
    <w:tmpl w:val="7F80E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450FBA"/>
    <w:multiLevelType w:val="multilevel"/>
    <w:tmpl w:val="EB60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EE526D"/>
    <w:multiLevelType w:val="multilevel"/>
    <w:tmpl w:val="B9707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D55478"/>
    <w:multiLevelType w:val="hybridMultilevel"/>
    <w:tmpl w:val="9746BCB2"/>
    <w:lvl w:ilvl="0" w:tplc="9CDE5C40">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75051652"/>
    <w:multiLevelType w:val="hybridMultilevel"/>
    <w:tmpl w:val="C6B4998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7C7097"/>
    <w:multiLevelType w:val="hybridMultilevel"/>
    <w:tmpl w:val="482C39D2"/>
    <w:lvl w:ilvl="0" w:tplc="9CDE5C40">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15:restartNumberingAfterBreak="0">
    <w:nsid w:val="7AD50EC3"/>
    <w:multiLevelType w:val="multilevel"/>
    <w:tmpl w:val="EF44B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139252">
    <w:abstractNumId w:val="5"/>
  </w:num>
  <w:num w:numId="2" w16cid:durableId="9381805">
    <w:abstractNumId w:val="7"/>
  </w:num>
  <w:num w:numId="3" w16cid:durableId="383675198">
    <w:abstractNumId w:val="0"/>
  </w:num>
  <w:num w:numId="4" w16cid:durableId="409619402">
    <w:abstractNumId w:val="14"/>
  </w:num>
  <w:num w:numId="5" w16cid:durableId="1072237882">
    <w:abstractNumId w:val="17"/>
  </w:num>
  <w:num w:numId="6" w16cid:durableId="192422772">
    <w:abstractNumId w:val="1"/>
  </w:num>
  <w:num w:numId="7" w16cid:durableId="1436095278">
    <w:abstractNumId w:val="24"/>
  </w:num>
  <w:num w:numId="8" w16cid:durableId="191849187">
    <w:abstractNumId w:val="16"/>
  </w:num>
  <w:num w:numId="9" w16cid:durableId="569849592">
    <w:abstractNumId w:val="12"/>
  </w:num>
  <w:num w:numId="10" w16cid:durableId="1507204396">
    <w:abstractNumId w:val="18"/>
  </w:num>
  <w:num w:numId="11" w16cid:durableId="479885909">
    <w:abstractNumId w:val="19"/>
  </w:num>
  <w:num w:numId="12" w16cid:durableId="1115372371">
    <w:abstractNumId w:val="20"/>
  </w:num>
  <w:num w:numId="13" w16cid:durableId="371082397">
    <w:abstractNumId w:val="10"/>
  </w:num>
  <w:num w:numId="14" w16cid:durableId="1692761535">
    <w:abstractNumId w:val="15"/>
  </w:num>
  <w:num w:numId="15" w16cid:durableId="1212108331">
    <w:abstractNumId w:val="9"/>
  </w:num>
  <w:num w:numId="16" w16cid:durableId="1069575322">
    <w:abstractNumId w:val="3"/>
  </w:num>
  <w:num w:numId="17" w16cid:durableId="2038654538">
    <w:abstractNumId w:val="22"/>
  </w:num>
  <w:num w:numId="18" w16cid:durableId="24404321">
    <w:abstractNumId w:val="2"/>
  </w:num>
  <w:num w:numId="19" w16cid:durableId="648634489">
    <w:abstractNumId w:val="13"/>
  </w:num>
  <w:num w:numId="20" w16cid:durableId="1057700488">
    <w:abstractNumId w:val="11"/>
  </w:num>
  <w:num w:numId="21" w16cid:durableId="1120878009">
    <w:abstractNumId w:val="8"/>
  </w:num>
  <w:num w:numId="22" w16cid:durableId="1973751507">
    <w:abstractNumId w:val="6"/>
  </w:num>
  <w:num w:numId="23" w16cid:durableId="446772832">
    <w:abstractNumId w:val="23"/>
  </w:num>
  <w:num w:numId="24" w16cid:durableId="1512531155">
    <w:abstractNumId w:val="21"/>
  </w:num>
  <w:num w:numId="25" w16cid:durableId="2046757976">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07252"/>
    <w:rsid w:val="00011F23"/>
    <w:rsid w:val="000146E6"/>
    <w:rsid w:val="000204A8"/>
    <w:rsid w:val="0002296A"/>
    <w:rsid w:val="0003386D"/>
    <w:rsid w:val="00033A45"/>
    <w:rsid w:val="00034B86"/>
    <w:rsid w:val="00053122"/>
    <w:rsid w:val="0005379C"/>
    <w:rsid w:val="00057471"/>
    <w:rsid w:val="000613A3"/>
    <w:rsid w:val="00064FF1"/>
    <w:rsid w:val="00067938"/>
    <w:rsid w:val="00072645"/>
    <w:rsid w:val="0007370A"/>
    <w:rsid w:val="000760C4"/>
    <w:rsid w:val="000769E1"/>
    <w:rsid w:val="000842EB"/>
    <w:rsid w:val="00087C5F"/>
    <w:rsid w:val="000A122D"/>
    <w:rsid w:val="000A6930"/>
    <w:rsid w:val="000A77C3"/>
    <w:rsid w:val="000B1C73"/>
    <w:rsid w:val="000B2F57"/>
    <w:rsid w:val="000B3E4E"/>
    <w:rsid w:val="000B4BD8"/>
    <w:rsid w:val="000B4E70"/>
    <w:rsid w:val="000B5567"/>
    <w:rsid w:val="000B758C"/>
    <w:rsid w:val="000C4130"/>
    <w:rsid w:val="000D225B"/>
    <w:rsid w:val="000D2E22"/>
    <w:rsid w:val="000D3DF3"/>
    <w:rsid w:val="000E0212"/>
    <w:rsid w:val="000E0486"/>
    <w:rsid w:val="000E2A00"/>
    <w:rsid w:val="000E4EB9"/>
    <w:rsid w:val="000E597F"/>
    <w:rsid w:val="000F2EEF"/>
    <w:rsid w:val="000F44B4"/>
    <w:rsid w:val="000F4C4A"/>
    <w:rsid w:val="001046FA"/>
    <w:rsid w:val="00104DBF"/>
    <w:rsid w:val="001059D1"/>
    <w:rsid w:val="001103CE"/>
    <w:rsid w:val="00110487"/>
    <w:rsid w:val="00110523"/>
    <w:rsid w:val="00110618"/>
    <w:rsid w:val="00120721"/>
    <w:rsid w:val="00121191"/>
    <w:rsid w:val="0012342D"/>
    <w:rsid w:val="0012658B"/>
    <w:rsid w:val="00131E44"/>
    <w:rsid w:val="0014119E"/>
    <w:rsid w:val="00143989"/>
    <w:rsid w:val="00150A1E"/>
    <w:rsid w:val="001510C1"/>
    <w:rsid w:val="00153B41"/>
    <w:rsid w:val="0017585A"/>
    <w:rsid w:val="0017747E"/>
    <w:rsid w:val="00180436"/>
    <w:rsid w:val="00181367"/>
    <w:rsid w:val="001843A4"/>
    <w:rsid w:val="001846F5"/>
    <w:rsid w:val="001902DB"/>
    <w:rsid w:val="0019163E"/>
    <w:rsid w:val="00194FBD"/>
    <w:rsid w:val="001A1915"/>
    <w:rsid w:val="001A2A03"/>
    <w:rsid w:val="001C2162"/>
    <w:rsid w:val="001C6729"/>
    <w:rsid w:val="001E4B13"/>
    <w:rsid w:val="001E6465"/>
    <w:rsid w:val="001E66C1"/>
    <w:rsid w:val="001E7705"/>
    <w:rsid w:val="001F0034"/>
    <w:rsid w:val="001F159D"/>
    <w:rsid w:val="001F2250"/>
    <w:rsid w:val="001F297C"/>
    <w:rsid w:val="001F46A5"/>
    <w:rsid w:val="001F6911"/>
    <w:rsid w:val="001F78FE"/>
    <w:rsid w:val="002011EA"/>
    <w:rsid w:val="00201345"/>
    <w:rsid w:val="0021718D"/>
    <w:rsid w:val="00223AE0"/>
    <w:rsid w:val="00234450"/>
    <w:rsid w:val="00234535"/>
    <w:rsid w:val="00251A72"/>
    <w:rsid w:val="00260558"/>
    <w:rsid w:val="0026794C"/>
    <w:rsid w:val="002766BC"/>
    <w:rsid w:val="00276C8A"/>
    <w:rsid w:val="00281D95"/>
    <w:rsid w:val="002828EF"/>
    <w:rsid w:val="00284D14"/>
    <w:rsid w:val="00284E98"/>
    <w:rsid w:val="00287171"/>
    <w:rsid w:val="00287744"/>
    <w:rsid w:val="0029680E"/>
    <w:rsid w:val="00296B7E"/>
    <w:rsid w:val="002A2268"/>
    <w:rsid w:val="002A32D6"/>
    <w:rsid w:val="002A365A"/>
    <w:rsid w:val="002A76B5"/>
    <w:rsid w:val="002B1DE0"/>
    <w:rsid w:val="002B5C39"/>
    <w:rsid w:val="002C3861"/>
    <w:rsid w:val="002C5EE0"/>
    <w:rsid w:val="002D0190"/>
    <w:rsid w:val="002D29A9"/>
    <w:rsid w:val="002D3120"/>
    <w:rsid w:val="002E1E0B"/>
    <w:rsid w:val="002E36BC"/>
    <w:rsid w:val="002E6227"/>
    <w:rsid w:val="002F1414"/>
    <w:rsid w:val="002F3C46"/>
    <w:rsid w:val="002F5FA3"/>
    <w:rsid w:val="002F79F9"/>
    <w:rsid w:val="00303040"/>
    <w:rsid w:val="00303B9F"/>
    <w:rsid w:val="00303BF8"/>
    <w:rsid w:val="00304E08"/>
    <w:rsid w:val="003054CB"/>
    <w:rsid w:val="00315ED0"/>
    <w:rsid w:val="003162A4"/>
    <w:rsid w:val="00320716"/>
    <w:rsid w:val="00331B0E"/>
    <w:rsid w:val="0033775D"/>
    <w:rsid w:val="00343EE8"/>
    <w:rsid w:val="00344396"/>
    <w:rsid w:val="00345CDF"/>
    <w:rsid w:val="003542FC"/>
    <w:rsid w:val="00356DAD"/>
    <w:rsid w:val="003620C0"/>
    <w:rsid w:val="0036476A"/>
    <w:rsid w:val="00367244"/>
    <w:rsid w:val="0037141D"/>
    <w:rsid w:val="00375565"/>
    <w:rsid w:val="00377D51"/>
    <w:rsid w:val="00377DD2"/>
    <w:rsid w:val="00382DD9"/>
    <w:rsid w:val="0038357B"/>
    <w:rsid w:val="00396510"/>
    <w:rsid w:val="003A44F1"/>
    <w:rsid w:val="003B05AD"/>
    <w:rsid w:val="003B30A9"/>
    <w:rsid w:val="003B3924"/>
    <w:rsid w:val="003B4E94"/>
    <w:rsid w:val="003C70BE"/>
    <w:rsid w:val="003D5D45"/>
    <w:rsid w:val="003E3EBB"/>
    <w:rsid w:val="003E6B67"/>
    <w:rsid w:val="003E7CB6"/>
    <w:rsid w:val="00401034"/>
    <w:rsid w:val="0040671F"/>
    <w:rsid w:val="00410D33"/>
    <w:rsid w:val="00413DF8"/>
    <w:rsid w:val="00413F36"/>
    <w:rsid w:val="0041716B"/>
    <w:rsid w:val="004215C5"/>
    <w:rsid w:val="00424ED8"/>
    <w:rsid w:val="004260FE"/>
    <w:rsid w:val="00433FD4"/>
    <w:rsid w:val="0043649D"/>
    <w:rsid w:val="004370A8"/>
    <w:rsid w:val="00445639"/>
    <w:rsid w:val="00456F86"/>
    <w:rsid w:val="004579DB"/>
    <w:rsid w:val="004613E8"/>
    <w:rsid w:val="00461DB2"/>
    <w:rsid w:val="00464637"/>
    <w:rsid w:val="004646B0"/>
    <w:rsid w:val="00466AEC"/>
    <w:rsid w:val="00473631"/>
    <w:rsid w:val="00475C10"/>
    <w:rsid w:val="0047707D"/>
    <w:rsid w:val="00482056"/>
    <w:rsid w:val="0049414D"/>
    <w:rsid w:val="004A035D"/>
    <w:rsid w:val="004A10D8"/>
    <w:rsid w:val="004A125D"/>
    <w:rsid w:val="004A3A83"/>
    <w:rsid w:val="004A66B5"/>
    <w:rsid w:val="004B2B4A"/>
    <w:rsid w:val="004B5D95"/>
    <w:rsid w:val="004C107E"/>
    <w:rsid w:val="004C148B"/>
    <w:rsid w:val="004C3BAD"/>
    <w:rsid w:val="004C4331"/>
    <w:rsid w:val="004D23E7"/>
    <w:rsid w:val="004D4573"/>
    <w:rsid w:val="004D6B08"/>
    <w:rsid w:val="004E0127"/>
    <w:rsid w:val="004E439C"/>
    <w:rsid w:val="004F2475"/>
    <w:rsid w:val="004F4174"/>
    <w:rsid w:val="004F52FD"/>
    <w:rsid w:val="004F579C"/>
    <w:rsid w:val="00500FDB"/>
    <w:rsid w:val="00515689"/>
    <w:rsid w:val="0051585E"/>
    <w:rsid w:val="0051686F"/>
    <w:rsid w:val="005177E9"/>
    <w:rsid w:val="0052452E"/>
    <w:rsid w:val="00526ACC"/>
    <w:rsid w:val="005273F3"/>
    <w:rsid w:val="00544E3F"/>
    <w:rsid w:val="005459E0"/>
    <w:rsid w:val="00545E45"/>
    <w:rsid w:val="0055343E"/>
    <w:rsid w:val="00554AAC"/>
    <w:rsid w:val="00555823"/>
    <w:rsid w:val="00557A05"/>
    <w:rsid w:val="0056207D"/>
    <w:rsid w:val="005675FE"/>
    <w:rsid w:val="00574B3D"/>
    <w:rsid w:val="00577423"/>
    <w:rsid w:val="00586B8F"/>
    <w:rsid w:val="00590B27"/>
    <w:rsid w:val="00590C16"/>
    <w:rsid w:val="00597B1D"/>
    <w:rsid w:val="00597F74"/>
    <w:rsid w:val="005A755A"/>
    <w:rsid w:val="005B112C"/>
    <w:rsid w:val="005B3075"/>
    <w:rsid w:val="005B5824"/>
    <w:rsid w:val="005B7D85"/>
    <w:rsid w:val="005C44F6"/>
    <w:rsid w:val="005D0E3A"/>
    <w:rsid w:val="005D3B36"/>
    <w:rsid w:val="005D5DB7"/>
    <w:rsid w:val="005D7031"/>
    <w:rsid w:val="005D7D08"/>
    <w:rsid w:val="005E2357"/>
    <w:rsid w:val="005E4AF3"/>
    <w:rsid w:val="005F1F7D"/>
    <w:rsid w:val="005F31CF"/>
    <w:rsid w:val="005F4AB9"/>
    <w:rsid w:val="005F4F70"/>
    <w:rsid w:val="006020A6"/>
    <w:rsid w:val="006112DD"/>
    <w:rsid w:val="0061146E"/>
    <w:rsid w:val="00611583"/>
    <w:rsid w:val="006237B3"/>
    <w:rsid w:val="00625CAD"/>
    <w:rsid w:val="0062761F"/>
    <w:rsid w:val="00634243"/>
    <w:rsid w:val="00636F0B"/>
    <w:rsid w:val="00642229"/>
    <w:rsid w:val="006450DB"/>
    <w:rsid w:val="006451CC"/>
    <w:rsid w:val="00647482"/>
    <w:rsid w:val="00655138"/>
    <w:rsid w:val="00656069"/>
    <w:rsid w:val="006565B9"/>
    <w:rsid w:val="00660507"/>
    <w:rsid w:val="0066191A"/>
    <w:rsid w:val="00662833"/>
    <w:rsid w:val="006639CA"/>
    <w:rsid w:val="00667140"/>
    <w:rsid w:val="006716C2"/>
    <w:rsid w:val="00672470"/>
    <w:rsid w:val="00673ED8"/>
    <w:rsid w:val="00682149"/>
    <w:rsid w:val="006849F3"/>
    <w:rsid w:val="00685100"/>
    <w:rsid w:val="006855AD"/>
    <w:rsid w:val="00686D49"/>
    <w:rsid w:val="006872A6"/>
    <w:rsid w:val="00687CF6"/>
    <w:rsid w:val="006948DE"/>
    <w:rsid w:val="006965FC"/>
    <w:rsid w:val="006A0FCA"/>
    <w:rsid w:val="006A2678"/>
    <w:rsid w:val="006A5244"/>
    <w:rsid w:val="006A6C3D"/>
    <w:rsid w:val="006B300E"/>
    <w:rsid w:val="006B3A4B"/>
    <w:rsid w:val="006B43DF"/>
    <w:rsid w:val="006B4F02"/>
    <w:rsid w:val="006C4FDA"/>
    <w:rsid w:val="006D0A16"/>
    <w:rsid w:val="006D40A6"/>
    <w:rsid w:val="006F14C7"/>
    <w:rsid w:val="006F162C"/>
    <w:rsid w:val="006F2A44"/>
    <w:rsid w:val="0070333D"/>
    <w:rsid w:val="00704E89"/>
    <w:rsid w:val="00705AF7"/>
    <w:rsid w:val="00706E7F"/>
    <w:rsid w:val="00713BC4"/>
    <w:rsid w:val="0071504C"/>
    <w:rsid w:val="007210C5"/>
    <w:rsid w:val="007301E5"/>
    <w:rsid w:val="00731DC0"/>
    <w:rsid w:val="00733E3A"/>
    <w:rsid w:val="0073554F"/>
    <w:rsid w:val="00741B9A"/>
    <w:rsid w:val="00743798"/>
    <w:rsid w:val="00745220"/>
    <w:rsid w:val="0074563B"/>
    <w:rsid w:val="007459C9"/>
    <w:rsid w:val="00747746"/>
    <w:rsid w:val="0075485F"/>
    <w:rsid w:val="00754DB9"/>
    <w:rsid w:val="00757802"/>
    <w:rsid w:val="00760A35"/>
    <w:rsid w:val="00766D40"/>
    <w:rsid w:val="00775634"/>
    <w:rsid w:val="00777BE6"/>
    <w:rsid w:val="007874FA"/>
    <w:rsid w:val="00790F8F"/>
    <w:rsid w:val="00791769"/>
    <w:rsid w:val="00792A28"/>
    <w:rsid w:val="00795835"/>
    <w:rsid w:val="007A7A94"/>
    <w:rsid w:val="007B0443"/>
    <w:rsid w:val="007B0E54"/>
    <w:rsid w:val="007B1F21"/>
    <w:rsid w:val="007B2139"/>
    <w:rsid w:val="007B4517"/>
    <w:rsid w:val="007C06CD"/>
    <w:rsid w:val="007C170D"/>
    <w:rsid w:val="007C6908"/>
    <w:rsid w:val="007C7F15"/>
    <w:rsid w:val="007D2C05"/>
    <w:rsid w:val="007D443E"/>
    <w:rsid w:val="007D45E4"/>
    <w:rsid w:val="007E1EBB"/>
    <w:rsid w:val="007E3A20"/>
    <w:rsid w:val="007E3B5E"/>
    <w:rsid w:val="007F1674"/>
    <w:rsid w:val="007F6F3A"/>
    <w:rsid w:val="008022C0"/>
    <w:rsid w:val="00803679"/>
    <w:rsid w:val="00807477"/>
    <w:rsid w:val="008149CC"/>
    <w:rsid w:val="008156EA"/>
    <w:rsid w:val="0081623B"/>
    <w:rsid w:val="00821B89"/>
    <w:rsid w:val="00831F14"/>
    <w:rsid w:val="008332E4"/>
    <w:rsid w:val="0084003C"/>
    <w:rsid w:val="00840092"/>
    <w:rsid w:val="0085226F"/>
    <w:rsid w:val="00857739"/>
    <w:rsid w:val="00874D2F"/>
    <w:rsid w:val="008756CE"/>
    <w:rsid w:val="00877AAC"/>
    <w:rsid w:val="008822E2"/>
    <w:rsid w:val="00882D37"/>
    <w:rsid w:val="00887133"/>
    <w:rsid w:val="0089704E"/>
    <w:rsid w:val="008A0177"/>
    <w:rsid w:val="008A0A06"/>
    <w:rsid w:val="008A248D"/>
    <w:rsid w:val="008A2A2F"/>
    <w:rsid w:val="008A59BF"/>
    <w:rsid w:val="008B03A1"/>
    <w:rsid w:val="008B0E78"/>
    <w:rsid w:val="008B2333"/>
    <w:rsid w:val="008B41AE"/>
    <w:rsid w:val="008C411B"/>
    <w:rsid w:val="008C4A35"/>
    <w:rsid w:val="008D3AF4"/>
    <w:rsid w:val="008E0D38"/>
    <w:rsid w:val="008E7314"/>
    <w:rsid w:val="008F1EAE"/>
    <w:rsid w:val="008F66D5"/>
    <w:rsid w:val="008F6829"/>
    <w:rsid w:val="008F6B36"/>
    <w:rsid w:val="009035C3"/>
    <w:rsid w:val="00905FD8"/>
    <w:rsid w:val="00907D6E"/>
    <w:rsid w:val="0091034E"/>
    <w:rsid w:val="009122D0"/>
    <w:rsid w:val="009125CE"/>
    <w:rsid w:val="009125F2"/>
    <w:rsid w:val="00920F45"/>
    <w:rsid w:val="00921C89"/>
    <w:rsid w:val="00925BD0"/>
    <w:rsid w:val="00927901"/>
    <w:rsid w:val="0093044A"/>
    <w:rsid w:val="009307B0"/>
    <w:rsid w:val="00930A79"/>
    <w:rsid w:val="00931FC9"/>
    <w:rsid w:val="00937CA3"/>
    <w:rsid w:val="00940490"/>
    <w:rsid w:val="00942258"/>
    <w:rsid w:val="0094782B"/>
    <w:rsid w:val="00951F48"/>
    <w:rsid w:val="0095355D"/>
    <w:rsid w:val="009555FD"/>
    <w:rsid w:val="0096099D"/>
    <w:rsid w:val="009610B4"/>
    <w:rsid w:val="00963C6C"/>
    <w:rsid w:val="00964E82"/>
    <w:rsid w:val="00970F41"/>
    <w:rsid w:val="0097383F"/>
    <w:rsid w:val="009852ED"/>
    <w:rsid w:val="00985B71"/>
    <w:rsid w:val="00990287"/>
    <w:rsid w:val="00992DB4"/>
    <w:rsid w:val="00994120"/>
    <w:rsid w:val="009A00DA"/>
    <w:rsid w:val="009A1D23"/>
    <w:rsid w:val="009A3C1F"/>
    <w:rsid w:val="009A3F32"/>
    <w:rsid w:val="009A456F"/>
    <w:rsid w:val="009A62C5"/>
    <w:rsid w:val="009B37BE"/>
    <w:rsid w:val="009B37F5"/>
    <w:rsid w:val="009B4FA4"/>
    <w:rsid w:val="009B5162"/>
    <w:rsid w:val="009B6888"/>
    <w:rsid w:val="009B7EAF"/>
    <w:rsid w:val="009C0161"/>
    <w:rsid w:val="009C11F3"/>
    <w:rsid w:val="009C6715"/>
    <w:rsid w:val="009D108D"/>
    <w:rsid w:val="009D2E90"/>
    <w:rsid w:val="009D55D1"/>
    <w:rsid w:val="009D59AE"/>
    <w:rsid w:val="009D60A7"/>
    <w:rsid w:val="009E1436"/>
    <w:rsid w:val="009E5668"/>
    <w:rsid w:val="009F1317"/>
    <w:rsid w:val="009F7996"/>
    <w:rsid w:val="00A02DBC"/>
    <w:rsid w:val="00A0702F"/>
    <w:rsid w:val="00A10072"/>
    <w:rsid w:val="00A100AE"/>
    <w:rsid w:val="00A10B45"/>
    <w:rsid w:val="00A1279C"/>
    <w:rsid w:val="00A130CC"/>
    <w:rsid w:val="00A15584"/>
    <w:rsid w:val="00A1762C"/>
    <w:rsid w:val="00A24C30"/>
    <w:rsid w:val="00A24FCC"/>
    <w:rsid w:val="00A26D56"/>
    <w:rsid w:val="00A30416"/>
    <w:rsid w:val="00A334CF"/>
    <w:rsid w:val="00A3547E"/>
    <w:rsid w:val="00A40ADE"/>
    <w:rsid w:val="00A44EBE"/>
    <w:rsid w:val="00A4659A"/>
    <w:rsid w:val="00A50745"/>
    <w:rsid w:val="00A516CE"/>
    <w:rsid w:val="00A51A7A"/>
    <w:rsid w:val="00A525D8"/>
    <w:rsid w:val="00A547CA"/>
    <w:rsid w:val="00A66A2E"/>
    <w:rsid w:val="00A66E25"/>
    <w:rsid w:val="00A74A83"/>
    <w:rsid w:val="00A74F76"/>
    <w:rsid w:val="00A804B6"/>
    <w:rsid w:val="00A87FED"/>
    <w:rsid w:val="00A93E97"/>
    <w:rsid w:val="00AA13C7"/>
    <w:rsid w:val="00AA79E9"/>
    <w:rsid w:val="00AB0A70"/>
    <w:rsid w:val="00AB41F1"/>
    <w:rsid w:val="00AB5A3B"/>
    <w:rsid w:val="00AB663F"/>
    <w:rsid w:val="00AC44D9"/>
    <w:rsid w:val="00AC7945"/>
    <w:rsid w:val="00AD70EC"/>
    <w:rsid w:val="00AE3C7A"/>
    <w:rsid w:val="00AF31BE"/>
    <w:rsid w:val="00AF38E6"/>
    <w:rsid w:val="00B15A9E"/>
    <w:rsid w:val="00B218A6"/>
    <w:rsid w:val="00B21AAE"/>
    <w:rsid w:val="00B250E6"/>
    <w:rsid w:val="00B326B3"/>
    <w:rsid w:val="00B346DF"/>
    <w:rsid w:val="00B43522"/>
    <w:rsid w:val="00B467CC"/>
    <w:rsid w:val="00B47F6C"/>
    <w:rsid w:val="00B52A73"/>
    <w:rsid w:val="00B5668B"/>
    <w:rsid w:val="00B570EB"/>
    <w:rsid w:val="00B57A47"/>
    <w:rsid w:val="00B6235B"/>
    <w:rsid w:val="00B63B0F"/>
    <w:rsid w:val="00B72005"/>
    <w:rsid w:val="00B7678A"/>
    <w:rsid w:val="00B801FA"/>
    <w:rsid w:val="00B81A09"/>
    <w:rsid w:val="00B81BE3"/>
    <w:rsid w:val="00B86419"/>
    <w:rsid w:val="00B86B72"/>
    <w:rsid w:val="00B93033"/>
    <w:rsid w:val="00BA11DA"/>
    <w:rsid w:val="00BA3D6A"/>
    <w:rsid w:val="00BB1144"/>
    <w:rsid w:val="00BB3739"/>
    <w:rsid w:val="00BC1B77"/>
    <w:rsid w:val="00BC67ED"/>
    <w:rsid w:val="00BC6E16"/>
    <w:rsid w:val="00BD03D1"/>
    <w:rsid w:val="00BE2024"/>
    <w:rsid w:val="00BF35D5"/>
    <w:rsid w:val="00BF3B93"/>
    <w:rsid w:val="00BF4255"/>
    <w:rsid w:val="00C01C2B"/>
    <w:rsid w:val="00C1215B"/>
    <w:rsid w:val="00C13435"/>
    <w:rsid w:val="00C152DB"/>
    <w:rsid w:val="00C16D65"/>
    <w:rsid w:val="00C20A1C"/>
    <w:rsid w:val="00C23616"/>
    <w:rsid w:val="00C24CA5"/>
    <w:rsid w:val="00C32E10"/>
    <w:rsid w:val="00C32E49"/>
    <w:rsid w:val="00C35B07"/>
    <w:rsid w:val="00C43D61"/>
    <w:rsid w:val="00C45767"/>
    <w:rsid w:val="00C46354"/>
    <w:rsid w:val="00C46725"/>
    <w:rsid w:val="00C534E6"/>
    <w:rsid w:val="00C54E7E"/>
    <w:rsid w:val="00C5762E"/>
    <w:rsid w:val="00C653CD"/>
    <w:rsid w:val="00C65BC9"/>
    <w:rsid w:val="00C67472"/>
    <w:rsid w:val="00C70C38"/>
    <w:rsid w:val="00C71E18"/>
    <w:rsid w:val="00C71E58"/>
    <w:rsid w:val="00C725E9"/>
    <w:rsid w:val="00C74890"/>
    <w:rsid w:val="00C75BC1"/>
    <w:rsid w:val="00C83C91"/>
    <w:rsid w:val="00C84638"/>
    <w:rsid w:val="00C90305"/>
    <w:rsid w:val="00C96BB5"/>
    <w:rsid w:val="00CA0736"/>
    <w:rsid w:val="00CA7481"/>
    <w:rsid w:val="00CB2A94"/>
    <w:rsid w:val="00CB4238"/>
    <w:rsid w:val="00CC1F8D"/>
    <w:rsid w:val="00CC4484"/>
    <w:rsid w:val="00CC6705"/>
    <w:rsid w:val="00CC7877"/>
    <w:rsid w:val="00CD105C"/>
    <w:rsid w:val="00CD434C"/>
    <w:rsid w:val="00CD591D"/>
    <w:rsid w:val="00CE6D55"/>
    <w:rsid w:val="00CE7399"/>
    <w:rsid w:val="00CF173E"/>
    <w:rsid w:val="00CF2344"/>
    <w:rsid w:val="00CF4901"/>
    <w:rsid w:val="00CF552E"/>
    <w:rsid w:val="00CF6CEC"/>
    <w:rsid w:val="00D1053F"/>
    <w:rsid w:val="00D216C5"/>
    <w:rsid w:val="00D22171"/>
    <w:rsid w:val="00D235E3"/>
    <w:rsid w:val="00D2635F"/>
    <w:rsid w:val="00D30845"/>
    <w:rsid w:val="00D32470"/>
    <w:rsid w:val="00D37DFC"/>
    <w:rsid w:val="00D42329"/>
    <w:rsid w:val="00D60743"/>
    <w:rsid w:val="00D736A8"/>
    <w:rsid w:val="00D77856"/>
    <w:rsid w:val="00D8562B"/>
    <w:rsid w:val="00D92BC0"/>
    <w:rsid w:val="00D92F77"/>
    <w:rsid w:val="00D9747B"/>
    <w:rsid w:val="00DA0EBA"/>
    <w:rsid w:val="00DA1C1B"/>
    <w:rsid w:val="00DA1D8C"/>
    <w:rsid w:val="00DA4EAA"/>
    <w:rsid w:val="00DA662F"/>
    <w:rsid w:val="00DA7AAA"/>
    <w:rsid w:val="00DB10E0"/>
    <w:rsid w:val="00DB34DB"/>
    <w:rsid w:val="00DB739C"/>
    <w:rsid w:val="00DB7908"/>
    <w:rsid w:val="00DC10F4"/>
    <w:rsid w:val="00DC40DA"/>
    <w:rsid w:val="00DC6851"/>
    <w:rsid w:val="00DC7227"/>
    <w:rsid w:val="00DD0BA0"/>
    <w:rsid w:val="00DD0F8E"/>
    <w:rsid w:val="00DD2725"/>
    <w:rsid w:val="00DD2F23"/>
    <w:rsid w:val="00DE5F4F"/>
    <w:rsid w:val="00DF1F91"/>
    <w:rsid w:val="00DF25AF"/>
    <w:rsid w:val="00DF2E4E"/>
    <w:rsid w:val="00DF2F0F"/>
    <w:rsid w:val="00DF6D7E"/>
    <w:rsid w:val="00E0124F"/>
    <w:rsid w:val="00E01CE8"/>
    <w:rsid w:val="00E04D94"/>
    <w:rsid w:val="00E11BFD"/>
    <w:rsid w:val="00E17556"/>
    <w:rsid w:val="00E2784D"/>
    <w:rsid w:val="00E373EB"/>
    <w:rsid w:val="00E37FA7"/>
    <w:rsid w:val="00E452A2"/>
    <w:rsid w:val="00E501A3"/>
    <w:rsid w:val="00E5308B"/>
    <w:rsid w:val="00E53564"/>
    <w:rsid w:val="00E54D8B"/>
    <w:rsid w:val="00E57A9E"/>
    <w:rsid w:val="00E6322D"/>
    <w:rsid w:val="00E640C5"/>
    <w:rsid w:val="00E64188"/>
    <w:rsid w:val="00E6570B"/>
    <w:rsid w:val="00E66C75"/>
    <w:rsid w:val="00E71C79"/>
    <w:rsid w:val="00E76742"/>
    <w:rsid w:val="00E76A3D"/>
    <w:rsid w:val="00E802F2"/>
    <w:rsid w:val="00E82DAD"/>
    <w:rsid w:val="00E86613"/>
    <w:rsid w:val="00E970D7"/>
    <w:rsid w:val="00E97126"/>
    <w:rsid w:val="00E97FB7"/>
    <w:rsid w:val="00EA4FD7"/>
    <w:rsid w:val="00EA6B5D"/>
    <w:rsid w:val="00EB093C"/>
    <w:rsid w:val="00EB25EF"/>
    <w:rsid w:val="00EB4088"/>
    <w:rsid w:val="00EB60A5"/>
    <w:rsid w:val="00EC075C"/>
    <w:rsid w:val="00EC10F6"/>
    <w:rsid w:val="00EC1711"/>
    <w:rsid w:val="00EC2CFA"/>
    <w:rsid w:val="00EC5DCF"/>
    <w:rsid w:val="00EC73BB"/>
    <w:rsid w:val="00EC7489"/>
    <w:rsid w:val="00ED24E8"/>
    <w:rsid w:val="00ED5DB0"/>
    <w:rsid w:val="00EE2F6A"/>
    <w:rsid w:val="00EE3640"/>
    <w:rsid w:val="00EF118F"/>
    <w:rsid w:val="00F0020C"/>
    <w:rsid w:val="00F00FB8"/>
    <w:rsid w:val="00F02F29"/>
    <w:rsid w:val="00F030E8"/>
    <w:rsid w:val="00F03F4C"/>
    <w:rsid w:val="00F04F74"/>
    <w:rsid w:val="00F07643"/>
    <w:rsid w:val="00F10C89"/>
    <w:rsid w:val="00F12EEC"/>
    <w:rsid w:val="00F1646F"/>
    <w:rsid w:val="00F26DE3"/>
    <w:rsid w:val="00F3010F"/>
    <w:rsid w:val="00F30BD7"/>
    <w:rsid w:val="00F310F2"/>
    <w:rsid w:val="00F33937"/>
    <w:rsid w:val="00F353E2"/>
    <w:rsid w:val="00F40582"/>
    <w:rsid w:val="00F41B7D"/>
    <w:rsid w:val="00F450D5"/>
    <w:rsid w:val="00F546CE"/>
    <w:rsid w:val="00F563E2"/>
    <w:rsid w:val="00F6452F"/>
    <w:rsid w:val="00F71005"/>
    <w:rsid w:val="00F72AB3"/>
    <w:rsid w:val="00F733B2"/>
    <w:rsid w:val="00FA0A03"/>
    <w:rsid w:val="00FA4282"/>
    <w:rsid w:val="00FA44AF"/>
    <w:rsid w:val="00FA6F00"/>
    <w:rsid w:val="00FB1267"/>
    <w:rsid w:val="00FB32DE"/>
    <w:rsid w:val="00FB760C"/>
    <w:rsid w:val="00FB7A83"/>
    <w:rsid w:val="00FC20BB"/>
    <w:rsid w:val="00FC31E7"/>
    <w:rsid w:val="00FD1591"/>
    <w:rsid w:val="00FD38D1"/>
    <w:rsid w:val="00FD4AA8"/>
    <w:rsid w:val="00FD7B84"/>
    <w:rsid w:val="00FE0248"/>
    <w:rsid w:val="00FE0443"/>
    <w:rsid w:val="00FE4278"/>
    <w:rsid w:val="00FE70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82B"/>
    <w:pPr>
      <w:bidi/>
    </w:pPr>
    <w:rPr>
      <w:rFonts w:ascii="Simplified Arabic" w:hAnsi="Simplified Arabic"/>
      <w:sz w:val="28"/>
    </w:rPr>
  </w:style>
  <w:style w:type="paragraph" w:styleId="1">
    <w:name w:val="heading 1"/>
    <w:basedOn w:val="a"/>
    <w:next w:val="a"/>
    <w:link w:val="1Char"/>
    <w:autoRedefine/>
    <w:uiPriority w:val="9"/>
    <w:qFormat/>
    <w:rsid w:val="007210C5"/>
    <w:pPr>
      <w:keepNext/>
      <w:keepLines/>
      <w:numPr>
        <w:numId w:val="25"/>
      </w:numPr>
      <w:spacing w:before="100" w:beforeAutospacing="1" w:after="100" w:afterAutospacing="1" w:line="360" w:lineRule="auto"/>
      <w:ind w:left="423"/>
      <w:outlineLvl w:val="0"/>
    </w:pPr>
    <w:rPr>
      <w:rFonts w:ascii="Sakkal Majalla" w:hAnsi="Sakkal Majalla" w:cs="Sakkal Majalla"/>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181367"/>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6">
    <w:name w:val="heading 6"/>
    <w:basedOn w:val="a"/>
    <w:next w:val="a"/>
    <w:link w:val="6Char"/>
    <w:uiPriority w:val="9"/>
    <w:semiHidden/>
    <w:unhideWhenUsed/>
    <w:qFormat/>
    <w:rsid w:val="00181367"/>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7">
    <w:name w:val="heading 7"/>
    <w:basedOn w:val="a"/>
    <w:next w:val="a"/>
    <w:link w:val="7Char"/>
    <w:uiPriority w:val="9"/>
    <w:semiHidden/>
    <w:unhideWhenUsed/>
    <w:qFormat/>
    <w:rsid w:val="00181367"/>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8">
    <w:name w:val="heading 8"/>
    <w:basedOn w:val="a"/>
    <w:next w:val="a"/>
    <w:link w:val="8Char"/>
    <w:uiPriority w:val="9"/>
    <w:semiHidden/>
    <w:unhideWhenUsed/>
    <w:qFormat/>
    <w:rsid w:val="00181367"/>
    <w:pPr>
      <w:keepNext/>
      <w:keepLines/>
      <w:spacing w:after="0"/>
      <w:outlineLvl w:val="7"/>
    </w:pPr>
    <w:rPr>
      <w:rFonts w:asciiTheme="minorHAnsi" w:eastAsiaTheme="majorEastAsia" w:hAnsiTheme="minorHAnsi" w:cstheme="majorBidi"/>
      <w:i/>
      <w:iCs/>
      <w:color w:val="272727" w:themeColor="text1" w:themeTint="D8"/>
      <w:sz w:val="22"/>
    </w:rPr>
  </w:style>
  <w:style w:type="paragraph" w:styleId="9">
    <w:name w:val="heading 9"/>
    <w:basedOn w:val="a"/>
    <w:next w:val="a"/>
    <w:link w:val="9Char"/>
    <w:uiPriority w:val="9"/>
    <w:semiHidden/>
    <w:unhideWhenUsed/>
    <w:qFormat/>
    <w:rsid w:val="00181367"/>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210C5"/>
    <w:rPr>
      <w:rFonts w:ascii="Sakkal Majalla" w:hAnsi="Sakkal Majalla" w:cs="Sakkal Majalla"/>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5675FE"/>
    <w:pPr>
      <w:tabs>
        <w:tab w:val="right" w:leader="dot" w:pos="8822"/>
      </w:tabs>
      <w:spacing w:after="100" w:line="360" w:lineRule="auto"/>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4782B"/>
    <w:rPr>
      <w:b/>
      <w:bCs/>
    </w:rPr>
  </w:style>
  <w:style w:type="paragraph" w:styleId="30">
    <w:name w:val="toc 3"/>
    <w:basedOn w:val="a"/>
    <w:next w:val="a"/>
    <w:autoRedefine/>
    <w:uiPriority w:val="39"/>
    <w:unhideWhenUsed/>
    <w:rsid w:val="00466AEC"/>
    <w:pPr>
      <w:spacing w:after="100"/>
      <w:ind w:left="560"/>
    </w:pPr>
  </w:style>
  <w:style w:type="character" w:customStyle="1" w:styleId="5Char">
    <w:name w:val="عنوان 5 Char"/>
    <w:basedOn w:val="a0"/>
    <w:link w:val="5"/>
    <w:uiPriority w:val="9"/>
    <w:semiHidden/>
    <w:rsid w:val="00181367"/>
    <w:rPr>
      <w:rFonts w:eastAsiaTheme="majorEastAsia" w:cstheme="majorBidi"/>
      <w:color w:val="2F5496" w:themeColor="accent1" w:themeShade="BF"/>
    </w:rPr>
  </w:style>
  <w:style w:type="character" w:customStyle="1" w:styleId="6Char">
    <w:name w:val="عنوان 6 Char"/>
    <w:basedOn w:val="a0"/>
    <w:link w:val="6"/>
    <w:uiPriority w:val="9"/>
    <w:semiHidden/>
    <w:rsid w:val="00181367"/>
    <w:rPr>
      <w:rFonts w:eastAsiaTheme="majorEastAsia" w:cstheme="majorBidi"/>
      <w:i/>
      <w:iCs/>
      <w:color w:val="595959" w:themeColor="text1" w:themeTint="A6"/>
    </w:rPr>
  </w:style>
  <w:style w:type="character" w:customStyle="1" w:styleId="7Char">
    <w:name w:val="عنوان 7 Char"/>
    <w:basedOn w:val="a0"/>
    <w:link w:val="7"/>
    <w:uiPriority w:val="9"/>
    <w:semiHidden/>
    <w:rsid w:val="00181367"/>
    <w:rPr>
      <w:rFonts w:eastAsiaTheme="majorEastAsia" w:cstheme="majorBidi"/>
      <w:color w:val="595959" w:themeColor="text1" w:themeTint="A6"/>
    </w:rPr>
  </w:style>
  <w:style w:type="character" w:customStyle="1" w:styleId="8Char">
    <w:name w:val="عنوان 8 Char"/>
    <w:basedOn w:val="a0"/>
    <w:link w:val="8"/>
    <w:uiPriority w:val="9"/>
    <w:semiHidden/>
    <w:rsid w:val="00181367"/>
    <w:rPr>
      <w:rFonts w:eastAsiaTheme="majorEastAsia" w:cstheme="majorBidi"/>
      <w:i/>
      <w:iCs/>
      <w:color w:val="272727" w:themeColor="text1" w:themeTint="D8"/>
    </w:rPr>
  </w:style>
  <w:style w:type="character" w:customStyle="1" w:styleId="9Char">
    <w:name w:val="عنوان 9 Char"/>
    <w:basedOn w:val="a0"/>
    <w:link w:val="9"/>
    <w:uiPriority w:val="9"/>
    <w:semiHidden/>
    <w:rsid w:val="00181367"/>
    <w:rPr>
      <w:rFonts w:eastAsiaTheme="majorEastAsia" w:cstheme="majorBidi"/>
      <w:color w:val="272727" w:themeColor="text1" w:themeTint="D8"/>
    </w:rPr>
  </w:style>
  <w:style w:type="numbering" w:customStyle="1" w:styleId="12">
    <w:name w:val="بلا قائمة1"/>
    <w:next w:val="a2"/>
    <w:uiPriority w:val="99"/>
    <w:semiHidden/>
    <w:unhideWhenUsed/>
    <w:rsid w:val="00181367"/>
  </w:style>
  <w:style w:type="paragraph" w:styleId="ab">
    <w:name w:val="Title"/>
    <w:basedOn w:val="a"/>
    <w:next w:val="a"/>
    <w:link w:val="Char2"/>
    <w:uiPriority w:val="10"/>
    <w:qFormat/>
    <w:rsid w:val="001813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b"/>
    <w:uiPriority w:val="10"/>
    <w:rsid w:val="00181367"/>
    <w:rPr>
      <w:rFonts w:asciiTheme="majorHAnsi" w:eastAsiaTheme="majorEastAsia" w:hAnsiTheme="majorHAnsi" w:cstheme="majorBidi"/>
      <w:spacing w:val="-10"/>
      <w:kern w:val="28"/>
      <w:sz w:val="56"/>
      <w:szCs w:val="56"/>
    </w:rPr>
  </w:style>
  <w:style w:type="paragraph" w:styleId="ac">
    <w:name w:val="Subtitle"/>
    <w:basedOn w:val="a"/>
    <w:next w:val="a"/>
    <w:link w:val="Char3"/>
    <w:uiPriority w:val="11"/>
    <w:qFormat/>
    <w:rsid w:val="00181367"/>
    <w:pPr>
      <w:numPr>
        <w:ilvl w:val="1"/>
      </w:numPr>
    </w:pPr>
    <w:rPr>
      <w:rFonts w:asciiTheme="minorHAnsi" w:eastAsiaTheme="majorEastAsia" w:hAnsiTheme="minorHAnsi" w:cstheme="majorBidi"/>
      <w:color w:val="595959" w:themeColor="text1" w:themeTint="A6"/>
      <w:spacing w:val="15"/>
      <w:szCs w:val="28"/>
    </w:rPr>
  </w:style>
  <w:style w:type="character" w:customStyle="1" w:styleId="Char3">
    <w:name w:val="عنوان فرعي Char"/>
    <w:basedOn w:val="a0"/>
    <w:link w:val="ac"/>
    <w:uiPriority w:val="11"/>
    <w:rsid w:val="00181367"/>
    <w:rPr>
      <w:rFonts w:eastAsiaTheme="majorEastAsia" w:cstheme="majorBidi"/>
      <w:color w:val="595959" w:themeColor="text1" w:themeTint="A6"/>
      <w:spacing w:val="15"/>
      <w:sz w:val="28"/>
      <w:szCs w:val="28"/>
    </w:rPr>
  </w:style>
  <w:style w:type="paragraph" w:styleId="ad">
    <w:name w:val="Quote"/>
    <w:basedOn w:val="a"/>
    <w:next w:val="a"/>
    <w:link w:val="Char4"/>
    <w:uiPriority w:val="29"/>
    <w:qFormat/>
    <w:rsid w:val="00181367"/>
    <w:pPr>
      <w:spacing w:before="160"/>
      <w:jc w:val="center"/>
    </w:pPr>
    <w:rPr>
      <w:rFonts w:asciiTheme="minorHAnsi" w:hAnsiTheme="minorHAnsi"/>
      <w:i/>
      <w:iCs/>
      <w:color w:val="404040" w:themeColor="text1" w:themeTint="BF"/>
      <w:sz w:val="22"/>
    </w:rPr>
  </w:style>
  <w:style w:type="character" w:customStyle="1" w:styleId="Char4">
    <w:name w:val="اقتباس Char"/>
    <w:basedOn w:val="a0"/>
    <w:link w:val="ad"/>
    <w:uiPriority w:val="29"/>
    <w:rsid w:val="00181367"/>
    <w:rPr>
      <w:i/>
      <w:iCs/>
      <w:color w:val="404040" w:themeColor="text1" w:themeTint="BF"/>
    </w:rPr>
  </w:style>
  <w:style w:type="character" w:styleId="ae">
    <w:name w:val="Intense Emphasis"/>
    <w:basedOn w:val="a0"/>
    <w:uiPriority w:val="21"/>
    <w:qFormat/>
    <w:rsid w:val="00181367"/>
    <w:rPr>
      <w:i/>
      <w:iCs/>
      <w:color w:val="2F5496" w:themeColor="accent1" w:themeShade="BF"/>
    </w:rPr>
  </w:style>
  <w:style w:type="paragraph" w:styleId="af">
    <w:name w:val="Intense Quote"/>
    <w:basedOn w:val="a"/>
    <w:next w:val="a"/>
    <w:link w:val="Char5"/>
    <w:uiPriority w:val="30"/>
    <w:qFormat/>
    <w:rsid w:val="00181367"/>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Char5">
    <w:name w:val="اقتباس مكثف Char"/>
    <w:basedOn w:val="a0"/>
    <w:link w:val="af"/>
    <w:uiPriority w:val="30"/>
    <w:rsid w:val="00181367"/>
    <w:rPr>
      <w:i/>
      <w:iCs/>
      <w:color w:val="2F5496" w:themeColor="accent1" w:themeShade="BF"/>
    </w:rPr>
  </w:style>
  <w:style w:type="character" w:styleId="af0">
    <w:name w:val="Intense Reference"/>
    <w:basedOn w:val="a0"/>
    <w:uiPriority w:val="32"/>
    <w:qFormat/>
    <w:rsid w:val="00181367"/>
    <w:rPr>
      <w:b/>
      <w:bCs/>
      <w:smallCaps/>
      <w:color w:val="2F5496" w:themeColor="accent1" w:themeShade="BF"/>
      <w:spacing w:val="5"/>
    </w:rPr>
  </w:style>
  <w:style w:type="numbering" w:customStyle="1" w:styleId="110">
    <w:name w:val="بلا قائمة11"/>
    <w:next w:val="a2"/>
    <w:uiPriority w:val="99"/>
    <w:semiHidden/>
    <w:unhideWhenUsed/>
    <w:rsid w:val="00181367"/>
  </w:style>
  <w:style w:type="character" w:styleId="af1">
    <w:name w:val="footnote reference"/>
    <w:semiHidden/>
    <w:rsid w:val="00181367"/>
    <w:rPr>
      <w:vertAlign w:val="superscript"/>
    </w:rPr>
  </w:style>
  <w:style w:type="paragraph" w:styleId="af2">
    <w:name w:val="Balloon Text"/>
    <w:basedOn w:val="a"/>
    <w:link w:val="Char6"/>
    <w:uiPriority w:val="99"/>
    <w:semiHidden/>
    <w:unhideWhenUsed/>
    <w:rsid w:val="00181367"/>
    <w:pPr>
      <w:spacing w:after="0" w:line="240" w:lineRule="auto"/>
    </w:pPr>
    <w:rPr>
      <w:rFonts w:ascii="Tahoma" w:hAnsi="Tahoma" w:cs="Tahoma"/>
      <w:kern w:val="0"/>
      <w:sz w:val="16"/>
      <w:szCs w:val="16"/>
    </w:rPr>
  </w:style>
  <w:style w:type="character" w:customStyle="1" w:styleId="Char6">
    <w:name w:val="نص في بالون Char"/>
    <w:basedOn w:val="a0"/>
    <w:link w:val="af2"/>
    <w:uiPriority w:val="99"/>
    <w:semiHidden/>
    <w:rsid w:val="00181367"/>
    <w:rPr>
      <w:rFonts w:ascii="Tahoma" w:hAnsi="Tahoma" w:cs="Tahoma"/>
      <w:kern w:val="0"/>
      <w:sz w:val="16"/>
      <w:szCs w:val="16"/>
    </w:rPr>
  </w:style>
  <w:style w:type="character" w:customStyle="1" w:styleId="Hyperlink1">
    <w:name w:val="Hyperlink1"/>
    <w:basedOn w:val="a0"/>
    <w:uiPriority w:val="99"/>
    <w:unhideWhenUsed/>
    <w:rsid w:val="00181367"/>
    <w:rPr>
      <w:color w:val="0000FF"/>
      <w:u w:val="single"/>
    </w:rPr>
  </w:style>
  <w:style w:type="table" w:customStyle="1" w:styleId="4-51">
    <w:name w:val="جدول شبكة 4 - تمييز 51"/>
    <w:basedOn w:val="a1"/>
    <w:next w:val="4-5"/>
    <w:uiPriority w:val="49"/>
    <w:rsid w:val="00181367"/>
    <w:pPr>
      <w:bidi/>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52">
    <w:name w:val="جدول شبكة 4 - تمييز 52"/>
    <w:basedOn w:val="a1"/>
    <w:next w:val="4-5"/>
    <w:uiPriority w:val="49"/>
    <w:rsid w:val="00181367"/>
    <w:pPr>
      <w:spacing w:after="0" w:line="240" w:lineRule="auto"/>
    </w:pPr>
    <w:rPr>
      <w:kern w:val="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s2">
    <w:name w:val="s2"/>
    <w:basedOn w:val="a0"/>
    <w:rsid w:val="00181367"/>
    <w:rPr>
      <w:rFonts w:ascii=".SFUI-Regular" w:hAnsi=".SFUI-Regular" w:hint="default"/>
      <w:b w:val="0"/>
      <w:bCs w:val="0"/>
      <w:i w:val="0"/>
      <w:iCs w:val="0"/>
      <w:sz w:val="26"/>
      <w:szCs w:val="26"/>
    </w:rPr>
  </w:style>
  <w:style w:type="table" w:customStyle="1" w:styleId="4-21">
    <w:name w:val="جدول شبكة 4 - تمييز 21"/>
    <w:basedOn w:val="a1"/>
    <w:next w:val="4-2"/>
    <w:uiPriority w:val="49"/>
    <w:rsid w:val="00181367"/>
    <w:pPr>
      <w:spacing w:after="0" w:line="240" w:lineRule="auto"/>
    </w:pPr>
    <w:rPr>
      <w:kern w:val="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
    <w:name w:val="جدول شبكة 6 ملون - تمييز 21"/>
    <w:basedOn w:val="a1"/>
    <w:next w:val="6-2"/>
    <w:uiPriority w:val="51"/>
    <w:rsid w:val="00181367"/>
    <w:pPr>
      <w:spacing w:after="0" w:line="240" w:lineRule="auto"/>
    </w:pPr>
    <w:rPr>
      <w:color w:val="943634"/>
      <w:kern w:val="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4-31">
    <w:name w:val="جدول شبكة 4 - تمييز 31"/>
    <w:basedOn w:val="a1"/>
    <w:next w:val="4-3"/>
    <w:uiPriority w:val="49"/>
    <w:rsid w:val="00181367"/>
    <w:pPr>
      <w:spacing w:after="0" w:line="240" w:lineRule="auto"/>
    </w:pPr>
    <w:rPr>
      <w:kern w:val="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41">
    <w:name w:val="جدول محتويات 41"/>
    <w:basedOn w:val="a"/>
    <w:next w:val="a"/>
    <w:autoRedefine/>
    <w:uiPriority w:val="39"/>
    <w:unhideWhenUsed/>
    <w:rsid w:val="00181367"/>
    <w:pPr>
      <w:bidi w:val="0"/>
      <w:spacing w:after="100"/>
      <w:ind w:left="660"/>
    </w:pPr>
    <w:rPr>
      <w:rFonts w:asciiTheme="minorHAnsi" w:eastAsia="Times New Roman" w:hAnsiTheme="minorHAnsi"/>
      <w:sz w:val="22"/>
    </w:rPr>
  </w:style>
  <w:style w:type="paragraph" w:customStyle="1" w:styleId="51">
    <w:name w:val="جدول محتويات 51"/>
    <w:basedOn w:val="a"/>
    <w:next w:val="a"/>
    <w:autoRedefine/>
    <w:uiPriority w:val="39"/>
    <w:unhideWhenUsed/>
    <w:rsid w:val="00181367"/>
    <w:pPr>
      <w:bidi w:val="0"/>
      <w:spacing w:after="100"/>
      <w:ind w:left="880"/>
    </w:pPr>
    <w:rPr>
      <w:rFonts w:asciiTheme="minorHAnsi" w:eastAsia="Times New Roman" w:hAnsiTheme="minorHAnsi"/>
      <w:sz w:val="22"/>
    </w:rPr>
  </w:style>
  <w:style w:type="paragraph" w:customStyle="1" w:styleId="61">
    <w:name w:val="جدول محتويات 61"/>
    <w:basedOn w:val="a"/>
    <w:next w:val="a"/>
    <w:autoRedefine/>
    <w:uiPriority w:val="39"/>
    <w:unhideWhenUsed/>
    <w:rsid w:val="00181367"/>
    <w:pPr>
      <w:bidi w:val="0"/>
      <w:spacing w:after="100"/>
      <w:ind w:left="1100"/>
    </w:pPr>
    <w:rPr>
      <w:rFonts w:asciiTheme="minorHAnsi" w:eastAsia="Times New Roman" w:hAnsiTheme="minorHAnsi"/>
      <w:sz w:val="22"/>
    </w:rPr>
  </w:style>
  <w:style w:type="paragraph" w:customStyle="1" w:styleId="71">
    <w:name w:val="جدول محتويات 71"/>
    <w:basedOn w:val="a"/>
    <w:next w:val="a"/>
    <w:autoRedefine/>
    <w:uiPriority w:val="39"/>
    <w:unhideWhenUsed/>
    <w:rsid w:val="00181367"/>
    <w:pPr>
      <w:bidi w:val="0"/>
      <w:spacing w:after="100"/>
      <w:ind w:left="1320"/>
    </w:pPr>
    <w:rPr>
      <w:rFonts w:asciiTheme="minorHAnsi" w:eastAsia="Times New Roman" w:hAnsiTheme="minorHAnsi"/>
      <w:sz w:val="22"/>
    </w:rPr>
  </w:style>
  <w:style w:type="paragraph" w:customStyle="1" w:styleId="81">
    <w:name w:val="جدول محتويات 81"/>
    <w:basedOn w:val="a"/>
    <w:next w:val="a"/>
    <w:autoRedefine/>
    <w:uiPriority w:val="39"/>
    <w:unhideWhenUsed/>
    <w:rsid w:val="00181367"/>
    <w:pPr>
      <w:bidi w:val="0"/>
      <w:spacing w:after="100"/>
      <w:ind w:left="1540"/>
    </w:pPr>
    <w:rPr>
      <w:rFonts w:asciiTheme="minorHAnsi" w:eastAsia="Times New Roman" w:hAnsiTheme="minorHAnsi"/>
      <w:sz w:val="22"/>
    </w:rPr>
  </w:style>
  <w:style w:type="paragraph" w:customStyle="1" w:styleId="91">
    <w:name w:val="جدول محتويات 91"/>
    <w:basedOn w:val="a"/>
    <w:next w:val="a"/>
    <w:autoRedefine/>
    <w:uiPriority w:val="39"/>
    <w:unhideWhenUsed/>
    <w:rsid w:val="00181367"/>
    <w:pPr>
      <w:bidi w:val="0"/>
      <w:spacing w:after="100"/>
      <w:ind w:left="1760"/>
    </w:pPr>
    <w:rPr>
      <w:rFonts w:asciiTheme="minorHAnsi" w:eastAsia="Times New Roman" w:hAnsiTheme="minorHAnsi"/>
      <w:sz w:val="22"/>
    </w:rPr>
  </w:style>
  <w:style w:type="table" w:customStyle="1" w:styleId="6-51">
    <w:name w:val="جدول شبكة 6 ملون - تمييز 51"/>
    <w:basedOn w:val="a1"/>
    <w:next w:val="6-5"/>
    <w:uiPriority w:val="51"/>
    <w:rsid w:val="00181367"/>
    <w:pPr>
      <w:spacing w:after="0" w:line="240" w:lineRule="auto"/>
    </w:pPr>
    <w:rPr>
      <w:color w:val="31849B"/>
      <w:kern w:val="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410">
    <w:name w:val="جدول عادي 41"/>
    <w:basedOn w:val="a1"/>
    <w:next w:val="40"/>
    <w:uiPriority w:val="44"/>
    <w:rsid w:val="00181367"/>
    <w:pPr>
      <w:spacing w:after="0" w:line="240" w:lineRule="auto"/>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4-41">
    <w:name w:val="جدول شبكة 4 - تمييز 41"/>
    <w:basedOn w:val="a1"/>
    <w:next w:val="4-4"/>
    <w:uiPriority w:val="49"/>
    <w:rsid w:val="00181367"/>
    <w:pPr>
      <w:spacing w:after="0" w:line="240" w:lineRule="auto"/>
    </w:pPr>
    <w:rPr>
      <w:kern w:val="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styleId="af3">
    <w:name w:val="Placeholder Text"/>
    <w:basedOn w:val="a0"/>
    <w:uiPriority w:val="99"/>
    <w:semiHidden/>
    <w:rsid w:val="00181367"/>
    <w:rPr>
      <w:color w:val="666666"/>
    </w:rPr>
  </w:style>
  <w:style w:type="table" w:customStyle="1" w:styleId="5-51">
    <w:name w:val="جدول شبكة 5 داكن - تمييز 51"/>
    <w:basedOn w:val="a1"/>
    <w:next w:val="5-5"/>
    <w:uiPriority w:val="50"/>
    <w:rsid w:val="00181367"/>
    <w:pPr>
      <w:spacing w:after="0" w:line="240" w:lineRule="auto"/>
    </w:pPr>
    <w:rPr>
      <w:rFonts w:cs="Simplified Arabic"/>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411">
    <w:name w:val="جدول شبكة 41"/>
    <w:basedOn w:val="a1"/>
    <w:next w:val="42"/>
    <w:uiPriority w:val="49"/>
    <w:rsid w:val="00181367"/>
    <w:pPr>
      <w:spacing w:after="0" w:line="240" w:lineRule="auto"/>
    </w:pPr>
    <w:rPr>
      <w:kern w:val="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510">
    <w:name w:val="جدول شبكة 5 داكن1"/>
    <w:basedOn w:val="a1"/>
    <w:next w:val="50"/>
    <w:uiPriority w:val="50"/>
    <w:rsid w:val="00181367"/>
    <w:pPr>
      <w:spacing w:after="0" w:line="240" w:lineRule="auto"/>
    </w:pPr>
    <w:rPr>
      <w:kern w:val="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customStyle="1" w:styleId="msolistparagraph0">
    <w:name w:val="msolistparagraph"/>
    <w:basedOn w:val="a"/>
    <w:rsid w:val="00181367"/>
    <w:pPr>
      <w:spacing w:after="200" w:line="276" w:lineRule="auto"/>
      <w:ind w:left="720"/>
    </w:pPr>
    <w:rPr>
      <w:rFonts w:ascii="Calibri" w:eastAsia="Times New Roman" w:hAnsi="Calibri" w:cs="Arial"/>
      <w:kern w:val="0"/>
      <w:sz w:val="22"/>
      <w:lang w:eastAsia="ko-KR"/>
    </w:rPr>
  </w:style>
  <w:style w:type="paragraph" w:customStyle="1" w:styleId="21">
    <w:name w:val="عنوان 21"/>
    <w:basedOn w:val="a"/>
    <w:next w:val="a"/>
    <w:uiPriority w:val="9"/>
    <w:unhideWhenUsed/>
    <w:qFormat/>
    <w:rsid w:val="00181367"/>
    <w:pPr>
      <w:keepNext/>
      <w:keepLines/>
      <w:spacing w:before="160" w:after="80"/>
      <w:outlineLvl w:val="1"/>
    </w:pPr>
    <w:rPr>
      <w:rFonts w:ascii="Calibri Light" w:eastAsia="Times New Roman" w:hAnsi="Calibri Light" w:cs="Times New Roman"/>
      <w:color w:val="2F5496"/>
      <w:sz w:val="32"/>
      <w:szCs w:val="32"/>
    </w:rPr>
  </w:style>
  <w:style w:type="paragraph" w:customStyle="1" w:styleId="511">
    <w:name w:val="عنوان 51"/>
    <w:basedOn w:val="a"/>
    <w:next w:val="a"/>
    <w:uiPriority w:val="9"/>
    <w:semiHidden/>
    <w:unhideWhenUsed/>
    <w:qFormat/>
    <w:rsid w:val="00181367"/>
    <w:pPr>
      <w:keepNext/>
      <w:keepLines/>
      <w:spacing w:before="80" w:after="40"/>
      <w:outlineLvl w:val="4"/>
    </w:pPr>
    <w:rPr>
      <w:rFonts w:asciiTheme="minorHAnsi" w:eastAsia="Times New Roman" w:hAnsiTheme="minorHAnsi" w:cs="Times New Roman"/>
      <w:color w:val="2F5496"/>
      <w:sz w:val="22"/>
    </w:rPr>
  </w:style>
  <w:style w:type="paragraph" w:customStyle="1" w:styleId="610">
    <w:name w:val="عنوان 61"/>
    <w:basedOn w:val="a"/>
    <w:next w:val="a"/>
    <w:uiPriority w:val="9"/>
    <w:semiHidden/>
    <w:unhideWhenUsed/>
    <w:qFormat/>
    <w:rsid w:val="00181367"/>
    <w:pPr>
      <w:keepNext/>
      <w:keepLines/>
      <w:spacing w:before="40" w:after="0"/>
      <w:outlineLvl w:val="5"/>
    </w:pPr>
    <w:rPr>
      <w:rFonts w:asciiTheme="minorHAnsi" w:eastAsia="Times New Roman" w:hAnsiTheme="minorHAnsi" w:cs="Times New Roman"/>
      <w:i/>
      <w:iCs/>
      <w:color w:val="595959"/>
      <w:sz w:val="22"/>
    </w:rPr>
  </w:style>
  <w:style w:type="paragraph" w:customStyle="1" w:styleId="710">
    <w:name w:val="عنوان 71"/>
    <w:basedOn w:val="a"/>
    <w:next w:val="a"/>
    <w:uiPriority w:val="9"/>
    <w:semiHidden/>
    <w:unhideWhenUsed/>
    <w:qFormat/>
    <w:rsid w:val="00181367"/>
    <w:pPr>
      <w:keepNext/>
      <w:keepLines/>
      <w:spacing w:before="40" w:after="0"/>
      <w:outlineLvl w:val="6"/>
    </w:pPr>
    <w:rPr>
      <w:rFonts w:asciiTheme="minorHAnsi" w:eastAsia="Times New Roman" w:hAnsiTheme="minorHAnsi" w:cs="Times New Roman"/>
      <w:color w:val="595959"/>
      <w:sz w:val="22"/>
    </w:rPr>
  </w:style>
  <w:style w:type="paragraph" w:customStyle="1" w:styleId="810">
    <w:name w:val="عنوان 81"/>
    <w:basedOn w:val="a"/>
    <w:next w:val="a"/>
    <w:uiPriority w:val="9"/>
    <w:semiHidden/>
    <w:unhideWhenUsed/>
    <w:qFormat/>
    <w:rsid w:val="00181367"/>
    <w:pPr>
      <w:keepNext/>
      <w:keepLines/>
      <w:spacing w:after="0"/>
      <w:outlineLvl w:val="7"/>
    </w:pPr>
    <w:rPr>
      <w:rFonts w:asciiTheme="minorHAnsi" w:eastAsia="Times New Roman" w:hAnsiTheme="minorHAnsi" w:cs="Times New Roman"/>
      <w:i/>
      <w:iCs/>
      <w:color w:val="272727"/>
      <w:sz w:val="22"/>
    </w:rPr>
  </w:style>
  <w:style w:type="paragraph" w:customStyle="1" w:styleId="910">
    <w:name w:val="عنوان 91"/>
    <w:basedOn w:val="a"/>
    <w:next w:val="a"/>
    <w:uiPriority w:val="9"/>
    <w:semiHidden/>
    <w:unhideWhenUsed/>
    <w:qFormat/>
    <w:rsid w:val="00181367"/>
    <w:pPr>
      <w:keepNext/>
      <w:keepLines/>
      <w:spacing w:after="0"/>
      <w:outlineLvl w:val="8"/>
    </w:pPr>
    <w:rPr>
      <w:rFonts w:asciiTheme="minorHAnsi" w:eastAsia="Times New Roman" w:hAnsiTheme="minorHAnsi" w:cs="Times New Roman"/>
      <w:color w:val="272727"/>
      <w:sz w:val="22"/>
    </w:rPr>
  </w:style>
  <w:style w:type="numbering" w:customStyle="1" w:styleId="111">
    <w:name w:val="بلا قائمة111"/>
    <w:next w:val="a2"/>
    <w:uiPriority w:val="99"/>
    <w:semiHidden/>
    <w:unhideWhenUsed/>
    <w:rsid w:val="00181367"/>
  </w:style>
  <w:style w:type="paragraph" w:customStyle="1" w:styleId="13">
    <w:name w:val="العنوان1"/>
    <w:basedOn w:val="a"/>
    <w:next w:val="a"/>
    <w:uiPriority w:val="10"/>
    <w:qFormat/>
    <w:rsid w:val="00181367"/>
    <w:pPr>
      <w:spacing w:after="80" w:line="240" w:lineRule="auto"/>
      <w:contextualSpacing/>
    </w:pPr>
    <w:rPr>
      <w:rFonts w:ascii="Calibri Light" w:eastAsia="Times New Roman" w:hAnsi="Calibri Light" w:cs="Times New Roman"/>
      <w:spacing w:val="-10"/>
      <w:kern w:val="28"/>
      <w:sz w:val="56"/>
      <w:szCs w:val="56"/>
    </w:rPr>
  </w:style>
  <w:style w:type="paragraph" w:customStyle="1" w:styleId="14">
    <w:name w:val="عنوان فرعي1"/>
    <w:basedOn w:val="a"/>
    <w:next w:val="a"/>
    <w:uiPriority w:val="11"/>
    <w:qFormat/>
    <w:rsid w:val="00181367"/>
    <w:pPr>
      <w:numPr>
        <w:ilvl w:val="1"/>
      </w:numPr>
    </w:pPr>
    <w:rPr>
      <w:rFonts w:asciiTheme="minorHAnsi" w:eastAsia="Times New Roman" w:hAnsiTheme="minorHAnsi" w:cs="Times New Roman"/>
      <w:color w:val="595959"/>
      <w:spacing w:val="15"/>
      <w:szCs w:val="28"/>
    </w:rPr>
  </w:style>
  <w:style w:type="paragraph" w:customStyle="1" w:styleId="15">
    <w:name w:val="اقتباس1"/>
    <w:basedOn w:val="a"/>
    <w:next w:val="a"/>
    <w:uiPriority w:val="29"/>
    <w:qFormat/>
    <w:rsid w:val="00181367"/>
    <w:pPr>
      <w:spacing w:before="160"/>
      <w:jc w:val="center"/>
    </w:pPr>
    <w:rPr>
      <w:rFonts w:asciiTheme="minorHAnsi" w:hAnsiTheme="minorHAnsi"/>
      <w:i/>
      <w:iCs/>
      <w:color w:val="404040"/>
      <w:sz w:val="22"/>
    </w:rPr>
  </w:style>
  <w:style w:type="character" w:customStyle="1" w:styleId="16">
    <w:name w:val="تأكيد مكثف1"/>
    <w:basedOn w:val="a0"/>
    <w:uiPriority w:val="21"/>
    <w:qFormat/>
    <w:rsid w:val="00181367"/>
    <w:rPr>
      <w:i/>
      <w:iCs/>
      <w:color w:val="2F5496"/>
    </w:rPr>
  </w:style>
  <w:style w:type="paragraph" w:customStyle="1" w:styleId="17">
    <w:name w:val="اقتباس مكثف1"/>
    <w:basedOn w:val="a"/>
    <w:next w:val="a"/>
    <w:uiPriority w:val="30"/>
    <w:qFormat/>
    <w:rsid w:val="00181367"/>
    <w:pPr>
      <w:pBdr>
        <w:top w:val="single" w:sz="4" w:space="10" w:color="2F5496"/>
        <w:bottom w:val="single" w:sz="4" w:space="10" w:color="2F5496"/>
      </w:pBdr>
      <w:spacing w:before="360" w:after="360"/>
      <w:ind w:left="864" w:right="864"/>
      <w:jc w:val="center"/>
    </w:pPr>
    <w:rPr>
      <w:rFonts w:asciiTheme="minorHAnsi" w:hAnsiTheme="minorHAnsi"/>
      <w:i/>
      <w:iCs/>
      <w:color w:val="2F5496"/>
      <w:sz w:val="22"/>
    </w:rPr>
  </w:style>
  <w:style w:type="character" w:customStyle="1" w:styleId="18">
    <w:name w:val="مرجع مكثف1"/>
    <w:basedOn w:val="a0"/>
    <w:uiPriority w:val="32"/>
    <w:qFormat/>
    <w:rsid w:val="00181367"/>
    <w:rPr>
      <w:b/>
      <w:bCs/>
      <w:smallCaps/>
      <w:color w:val="2F5496"/>
      <w:spacing w:val="5"/>
    </w:rPr>
  </w:style>
  <w:style w:type="paragraph" w:styleId="af4">
    <w:name w:val="Revision"/>
    <w:hidden/>
    <w:uiPriority w:val="99"/>
    <w:semiHidden/>
    <w:rsid w:val="00181367"/>
    <w:pPr>
      <w:spacing w:after="0" w:line="240" w:lineRule="auto"/>
    </w:pPr>
  </w:style>
  <w:style w:type="numbering" w:customStyle="1" w:styleId="1111">
    <w:name w:val="بلا قائمة1111"/>
    <w:next w:val="a2"/>
    <w:uiPriority w:val="99"/>
    <w:semiHidden/>
    <w:unhideWhenUsed/>
    <w:rsid w:val="00181367"/>
  </w:style>
  <w:style w:type="table" w:customStyle="1" w:styleId="19">
    <w:name w:val="شبكة جدول1"/>
    <w:basedOn w:val="a1"/>
    <w:next w:val="a5"/>
    <w:uiPriority w:val="59"/>
    <w:rsid w:val="00181367"/>
    <w:pPr>
      <w:spacing w:after="0" w:line="240" w:lineRule="auto"/>
    </w:pPr>
    <w:rPr>
      <w:rFonts w:eastAsia="MS Mincho"/>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
    <w:basedOn w:val="a1"/>
    <w:next w:val="a5"/>
    <w:uiPriority w:val="39"/>
    <w:rsid w:val="00181367"/>
    <w:pPr>
      <w:spacing w:after="0" w:line="240" w:lineRule="auto"/>
    </w:pPr>
    <w:rPr>
      <w:rFonts w:ascii="Aptos" w:eastAsia="Times New Roman" w:hAnsi="Aptos"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جدول عادي 411"/>
    <w:basedOn w:val="a1"/>
    <w:next w:val="40"/>
    <w:uiPriority w:val="44"/>
    <w:rsid w:val="00181367"/>
    <w:pPr>
      <w:spacing w:after="0" w:line="240" w:lineRule="auto"/>
    </w:pPr>
    <w:rPr>
      <w:rFonts w:ascii="Calibri" w:eastAsia="Calibri" w:hAnsi="Calibri" w:cs="Arial"/>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b/>
        <w:bCs/>
      </w:rPr>
    </w:tblStylePr>
    <w:tblStylePr w:type="lastRow">
      <w:rPr>
        <w:b/>
        <w:bCs/>
      </w:rPr>
    </w:tblStylePr>
    <w:tblStylePr w:type="firstCol">
      <w:rPr>
        <w:b/>
        <w:bCs/>
      </w:rPr>
    </w:tblStylePr>
    <w:tblStylePr w:type="lastCol">
      <w:rPr>
        <w:b/>
        <w:bCs/>
      </w:rPr>
    </w:tblStylePr>
  </w:style>
  <w:style w:type="table" w:customStyle="1" w:styleId="112">
    <w:name w:val="جدول عادي 11"/>
    <w:basedOn w:val="a1"/>
    <w:next w:val="1a"/>
    <w:uiPriority w:val="41"/>
    <w:rsid w:val="00181367"/>
    <w:pPr>
      <w:spacing w:after="0" w:line="240" w:lineRule="auto"/>
    </w:pPr>
    <w:rPr>
      <w:rFonts w:ascii="Calibri" w:eastAsia="Calibri" w:hAnsi="Calibri" w:cs="Arial"/>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جدول عادي 12"/>
    <w:basedOn w:val="a1"/>
    <w:next w:val="1a"/>
    <w:uiPriority w:val="41"/>
    <w:rsid w:val="00181367"/>
    <w:pPr>
      <w:bidi/>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6-11">
    <w:name w:val="جدول شبكة 6 ملون - تمييز 11"/>
    <w:basedOn w:val="a1"/>
    <w:next w:val="6-1"/>
    <w:uiPriority w:val="51"/>
    <w:rsid w:val="00181367"/>
    <w:pPr>
      <w:bidi/>
      <w:spacing w:after="0" w:line="240" w:lineRule="auto"/>
    </w:pPr>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2Char1">
    <w:name w:val="عنوان 2 Char1"/>
    <w:basedOn w:val="a0"/>
    <w:uiPriority w:val="9"/>
    <w:semiHidden/>
    <w:rsid w:val="00181367"/>
    <w:rPr>
      <w:rFonts w:ascii="Cambria" w:eastAsia="Times New Roman" w:hAnsi="Cambria" w:cs="Times New Roman"/>
      <w:color w:val="365F91"/>
      <w:sz w:val="26"/>
      <w:szCs w:val="26"/>
    </w:rPr>
  </w:style>
  <w:style w:type="character" w:customStyle="1" w:styleId="5Char1">
    <w:name w:val="عنوان 5 Char1"/>
    <w:basedOn w:val="a0"/>
    <w:uiPriority w:val="9"/>
    <w:semiHidden/>
    <w:rsid w:val="00181367"/>
    <w:rPr>
      <w:rFonts w:ascii="Cambria" w:eastAsia="Times New Roman" w:hAnsi="Cambria" w:cs="Times New Roman"/>
      <w:color w:val="365F91"/>
    </w:rPr>
  </w:style>
  <w:style w:type="character" w:customStyle="1" w:styleId="6Char1">
    <w:name w:val="عنوان 6 Char1"/>
    <w:basedOn w:val="a0"/>
    <w:uiPriority w:val="9"/>
    <w:semiHidden/>
    <w:rsid w:val="00181367"/>
    <w:rPr>
      <w:rFonts w:ascii="Cambria" w:eastAsia="Times New Roman" w:hAnsi="Cambria" w:cs="Times New Roman"/>
      <w:color w:val="243F60"/>
    </w:rPr>
  </w:style>
  <w:style w:type="character" w:customStyle="1" w:styleId="7Char1">
    <w:name w:val="عنوان 7 Char1"/>
    <w:basedOn w:val="a0"/>
    <w:uiPriority w:val="9"/>
    <w:semiHidden/>
    <w:rsid w:val="00181367"/>
    <w:rPr>
      <w:rFonts w:ascii="Cambria" w:eastAsia="Times New Roman" w:hAnsi="Cambria" w:cs="Times New Roman"/>
      <w:i/>
      <w:iCs/>
      <w:color w:val="243F60"/>
    </w:rPr>
  </w:style>
  <w:style w:type="character" w:customStyle="1" w:styleId="8Char1">
    <w:name w:val="عنوان 8 Char1"/>
    <w:basedOn w:val="a0"/>
    <w:uiPriority w:val="9"/>
    <w:semiHidden/>
    <w:rsid w:val="00181367"/>
    <w:rPr>
      <w:rFonts w:ascii="Cambria" w:eastAsia="Times New Roman" w:hAnsi="Cambria" w:cs="Times New Roman"/>
      <w:color w:val="272727"/>
      <w:sz w:val="21"/>
      <w:szCs w:val="21"/>
    </w:rPr>
  </w:style>
  <w:style w:type="character" w:customStyle="1" w:styleId="9Char1">
    <w:name w:val="عنوان 9 Char1"/>
    <w:basedOn w:val="a0"/>
    <w:uiPriority w:val="9"/>
    <w:semiHidden/>
    <w:rsid w:val="00181367"/>
    <w:rPr>
      <w:rFonts w:ascii="Cambria" w:eastAsia="Times New Roman" w:hAnsi="Cambria" w:cs="Times New Roman"/>
      <w:i/>
      <w:iCs/>
      <w:color w:val="272727"/>
      <w:sz w:val="21"/>
      <w:szCs w:val="21"/>
    </w:rPr>
  </w:style>
  <w:style w:type="character" w:customStyle="1" w:styleId="Char10">
    <w:name w:val="العنوان Char1"/>
    <w:basedOn w:val="a0"/>
    <w:uiPriority w:val="10"/>
    <w:rsid w:val="00181367"/>
    <w:rPr>
      <w:rFonts w:ascii="Cambria" w:eastAsia="Times New Roman" w:hAnsi="Cambria" w:cs="Times New Roman"/>
      <w:spacing w:val="-10"/>
      <w:kern w:val="28"/>
      <w:sz w:val="56"/>
      <w:szCs w:val="56"/>
    </w:rPr>
  </w:style>
  <w:style w:type="character" w:customStyle="1" w:styleId="Char11">
    <w:name w:val="عنوان فرعي Char1"/>
    <w:basedOn w:val="a0"/>
    <w:uiPriority w:val="11"/>
    <w:rsid w:val="00181367"/>
    <w:rPr>
      <w:rFonts w:eastAsia="Times New Roman"/>
      <w:color w:val="5A5A5A"/>
      <w:spacing w:val="15"/>
    </w:rPr>
  </w:style>
  <w:style w:type="character" w:customStyle="1" w:styleId="Char12">
    <w:name w:val="اقتباس Char1"/>
    <w:basedOn w:val="a0"/>
    <w:uiPriority w:val="29"/>
    <w:rsid w:val="00181367"/>
    <w:rPr>
      <w:i/>
      <w:iCs/>
      <w:color w:val="404040"/>
    </w:rPr>
  </w:style>
  <w:style w:type="character" w:customStyle="1" w:styleId="Char13">
    <w:name w:val="اقتباس مكثف Char1"/>
    <w:basedOn w:val="a0"/>
    <w:uiPriority w:val="30"/>
    <w:rsid w:val="00181367"/>
    <w:rPr>
      <w:i/>
      <w:iCs/>
      <w:color w:val="4F81BD"/>
    </w:rPr>
  </w:style>
  <w:style w:type="table" w:customStyle="1" w:styleId="130">
    <w:name w:val="جدول عادي 13"/>
    <w:basedOn w:val="a1"/>
    <w:next w:val="1a"/>
    <w:uiPriority w:val="41"/>
    <w:rsid w:val="00181367"/>
    <w:pPr>
      <w:spacing w:after="0" w:line="240" w:lineRule="auto"/>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6-12">
    <w:name w:val="جدول شبكة 6 ملون - تمييز 12"/>
    <w:basedOn w:val="a1"/>
    <w:next w:val="6-1"/>
    <w:uiPriority w:val="51"/>
    <w:rsid w:val="00181367"/>
    <w:pPr>
      <w:spacing w:after="0" w:line="240" w:lineRule="auto"/>
    </w:pPr>
    <w:rPr>
      <w:color w:val="365F91"/>
      <w:kern w:val="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4-5">
    <w:name w:val="Grid Table 4 Accent 5"/>
    <w:basedOn w:val="a1"/>
    <w:uiPriority w:val="49"/>
    <w:rsid w:val="00181367"/>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2">
    <w:name w:val="Grid Table 4 Accent 2"/>
    <w:basedOn w:val="a1"/>
    <w:uiPriority w:val="49"/>
    <w:rsid w:val="00181367"/>
    <w:pPr>
      <w:bidi/>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2">
    <w:name w:val="Grid Table 6 Colorful Accent 2"/>
    <w:basedOn w:val="a1"/>
    <w:uiPriority w:val="51"/>
    <w:rsid w:val="00181367"/>
    <w:pPr>
      <w:bidi/>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
    <w:name w:val="Grid Table 4 Accent 3"/>
    <w:basedOn w:val="a1"/>
    <w:uiPriority w:val="49"/>
    <w:rsid w:val="00181367"/>
    <w:pPr>
      <w:bidi/>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5">
    <w:name w:val="Grid Table 6 Colorful Accent 5"/>
    <w:basedOn w:val="a1"/>
    <w:uiPriority w:val="51"/>
    <w:rsid w:val="00181367"/>
    <w:pPr>
      <w:bidi/>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Plain Table 4"/>
    <w:basedOn w:val="a1"/>
    <w:uiPriority w:val="44"/>
    <w:rsid w:val="00181367"/>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4">
    <w:name w:val="Grid Table 4 Accent 4"/>
    <w:basedOn w:val="a1"/>
    <w:uiPriority w:val="49"/>
    <w:rsid w:val="00181367"/>
    <w:pPr>
      <w:bidi/>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5-5">
    <w:name w:val="Grid Table 5 Dark Accent 5"/>
    <w:basedOn w:val="a1"/>
    <w:uiPriority w:val="50"/>
    <w:rsid w:val="00181367"/>
    <w:pPr>
      <w:bidi/>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2">
    <w:name w:val="Grid Table 4"/>
    <w:basedOn w:val="a1"/>
    <w:uiPriority w:val="49"/>
    <w:rsid w:val="00181367"/>
    <w:pPr>
      <w:bidi/>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Grid Table 5 Dark"/>
    <w:basedOn w:val="a1"/>
    <w:uiPriority w:val="50"/>
    <w:rsid w:val="00181367"/>
    <w:pPr>
      <w:bidi/>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1a">
    <w:name w:val="Plain Table 1"/>
    <w:basedOn w:val="a1"/>
    <w:uiPriority w:val="41"/>
    <w:rsid w:val="00181367"/>
    <w:pPr>
      <w:bidi/>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1">
    <w:name w:val="Grid Table 6 Colorful Accent 1"/>
    <w:basedOn w:val="a1"/>
    <w:uiPriority w:val="51"/>
    <w:rsid w:val="00181367"/>
    <w:pPr>
      <w:bidi/>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13">
    <w:name w:val="جدول شبكة 1 فاتح1"/>
    <w:basedOn w:val="a1"/>
    <w:next w:val="1b"/>
    <w:uiPriority w:val="46"/>
    <w:rsid w:val="0018136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1b">
    <w:name w:val="Grid Table 1 Light"/>
    <w:basedOn w:val="a1"/>
    <w:uiPriority w:val="46"/>
    <w:rsid w:val="00181367"/>
    <w:pPr>
      <w:bidi/>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0">
    <w:name w:val="جدول شبكة 1 فاتح11"/>
    <w:basedOn w:val="a1"/>
    <w:next w:val="1b"/>
    <w:uiPriority w:val="46"/>
    <w:rsid w:val="0018136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20">
    <w:name w:val="جدول شبكة 1 فاتح12"/>
    <w:basedOn w:val="a1"/>
    <w:next w:val="1b"/>
    <w:uiPriority w:val="46"/>
    <w:rsid w:val="0018136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30">
    <w:name w:val="جدول شبكة 1 فاتح13"/>
    <w:basedOn w:val="a1"/>
    <w:next w:val="1b"/>
    <w:uiPriority w:val="46"/>
    <w:rsid w:val="0018136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4">
    <w:name w:val="جدول شبكة 1 فاتح14"/>
    <w:basedOn w:val="a1"/>
    <w:next w:val="1b"/>
    <w:uiPriority w:val="46"/>
    <w:rsid w:val="0018136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5">
    <w:name w:val="جدول شبكة 1 فاتح15"/>
    <w:basedOn w:val="a1"/>
    <w:next w:val="1b"/>
    <w:uiPriority w:val="46"/>
    <w:rsid w:val="0018136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6">
    <w:name w:val="جدول شبكة 1 فاتح16"/>
    <w:basedOn w:val="a1"/>
    <w:next w:val="1b"/>
    <w:uiPriority w:val="46"/>
    <w:rsid w:val="0018136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7">
    <w:name w:val="جدول شبكة 1 فاتح17"/>
    <w:basedOn w:val="a1"/>
    <w:next w:val="1b"/>
    <w:uiPriority w:val="46"/>
    <w:rsid w:val="0018136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1-4">
    <w:name w:val="Grid Table 1 Light Accent 4"/>
    <w:basedOn w:val="a1"/>
    <w:uiPriority w:val="46"/>
    <w:rsid w:val="00281D9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6-3">
    <w:name w:val="Grid Table 6 Colorful Accent 3"/>
    <w:basedOn w:val="a1"/>
    <w:uiPriority w:val="51"/>
    <w:rsid w:val="00CC1F8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49311441">
      <w:bodyDiv w:val="1"/>
      <w:marLeft w:val="0"/>
      <w:marRight w:val="0"/>
      <w:marTop w:val="0"/>
      <w:marBottom w:val="0"/>
      <w:divBdr>
        <w:top w:val="none" w:sz="0" w:space="0" w:color="auto"/>
        <w:left w:val="none" w:sz="0" w:space="0" w:color="auto"/>
        <w:bottom w:val="none" w:sz="0" w:space="0" w:color="auto"/>
        <w:right w:val="none" w:sz="0" w:space="0" w:color="auto"/>
      </w:divBdr>
      <w:divsChild>
        <w:div w:id="1874725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148689">
      <w:bodyDiv w:val="1"/>
      <w:marLeft w:val="0"/>
      <w:marRight w:val="0"/>
      <w:marTop w:val="0"/>
      <w:marBottom w:val="0"/>
      <w:divBdr>
        <w:top w:val="none" w:sz="0" w:space="0" w:color="auto"/>
        <w:left w:val="none" w:sz="0" w:space="0" w:color="auto"/>
        <w:bottom w:val="none" w:sz="0" w:space="0" w:color="auto"/>
        <w:right w:val="none" w:sz="0" w:space="0" w:color="auto"/>
      </w:divBdr>
      <w:divsChild>
        <w:div w:id="2072725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194200213">
      <w:bodyDiv w:val="1"/>
      <w:marLeft w:val="0"/>
      <w:marRight w:val="0"/>
      <w:marTop w:val="0"/>
      <w:marBottom w:val="0"/>
      <w:divBdr>
        <w:top w:val="none" w:sz="0" w:space="0" w:color="auto"/>
        <w:left w:val="none" w:sz="0" w:space="0" w:color="auto"/>
        <w:bottom w:val="none" w:sz="0" w:space="0" w:color="auto"/>
        <w:right w:val="none" w:sz="0" w:space="0" w:color="auto"/>
      </w:divBdr>
    </w:div>
    <w:div w:id="195507556">
      <w:bodyDiv w:val="1"/>
      <w:marLeft w:val="0"/>
      <w:marRight w:val="0"/>
      <w:marTop w:val="0"/>
      <w:marBottom w:val="0"/>
      <w:divBdr>
        <w:top w:val="none" w:sz="0" w:space="0" w:color="auto"/>
        <w:left w:val="none" w:sz="0" w:space="0" w:color="auto"/>
        <w:bottom w:val="none" w:sz="0" w:space="0" w:color="auto"/>
        <w:right w:val="none" w:sz="0" w:space="0" w:color="auto"/>
      </w:divBdr>
    </w:div>
    <w:div w:id="203324047">
      <w:bodyDiv w:val="1"/>
      <w:marLeft w:val="0"/>
      <w:marRight w:val="0"/>
      <w:marTop w:val="0"/>
      <w:marBottom w:val="0"/>
      <w:divBdr>
        <w:top w:val="none" w:sz="0" w:space="0" w:color="auto"/>
        <w:left w:val="none" w:sz="0" w:space="0" w:color="auto"/>
        <w:bottom w:val="none" w:sz="0" w:space="0" w:color="auto"/>
        <w:right w:val="none" w:sz="0" w:space="0" w:color="auto"/>
      </w:divBdr>
    </w:div>
    <w:div w:id="212160419">
      <w:bodyDiv w:val="1"/>
      <w:marLeft w:val="0"/>
      <w:marRight w:val="0"/>
      <w:marTop w:val="0"/>
      <w:marBottom w:val="0"/>
      <w:divBdr>
        <w:top w:val="none" w:sz="0" w:space="0" w:color="auto"/>
        <w:left w:val="none" w:sz="0" w:space="0" w:color="auto"/>
        <w:bottom w:val="none" w:sz="0" w:space="0" w:color="auto"/>
        <w:right w:val="none" w:sz="0" w:space="0" w:color="auto"/>
      </w:divBdr>
    </w:div>
    <w:div w:id="214633190">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619311">
      <w:bodyDiv w:val="1"/>
      <w:marLeft w:val="0"/>
      <w:marRight w:val="0"/>
      <w:marTop w:val="0"/>
      <w:marBottom w:val="0"/>
      <w:divBdr>
        <w:top w:val="none" w:sz="0" w:space="0" w:color="auto"/>
        <w:left w:val="none" w:sz="0" w:space="0" w:color="auto"/>
        <w:bottom w:val="none" w:sz="0" w:space="0" w:color="auto"/>
        <w:right w:val="none" w:sz="0" w:space="0" w:color="auto"/>
      </w:divBdr>
    </w:div>
    <w:div w:id="253708464">
      <w:bodyDiv w:val="1"/>
      <w:marLeft w:val="0"/>
      <w:marRight w:val="0"/>
      <w:marTop w:val="0"/>
      <w:marBottom w:val="0"/>
      <w:divBdr>
        <w:top w:val="none" w:sz="0" w:space="0" w:color="auto"/>
        <w:left w:val="none" w:sz="0" w:space="0" w:color="auto"/>
        <w:bottom w:val="none" w:sz="0" w:space="0" w:color="auto"/>
        <w:right w:val="none" w:sz="0" w:space="0" w:color="auto"/>
      </w:divBdr>
    </w:div>
    <w:div w:id="261108741">
      <w:bodyDiv w:val="1"/>
      <w:marLeft w:val="0"/>
      <w:marRight w:val="0"/>
      <w:marTop w:val="0"/>
      <w:marBottom w:val="0"/>
      <w:divBdr>
        <w:top w:val="none" w:sz="0" w:space="0" w:color="auto"/>
        <w:left w:val="none" w:sz="0" w:space="0" w:color="auto"/>
        <w:bottom w:val="none" w:sz="0" w:space="0" w:color="auto"/>
        <w:right w:val="none" w:sz="0" w:space="0" w:color="auto"/>
      </w:divBdr>
      <w:divsChild>
        <w:div w:id="1255014861">
          <w:marLeft w:val="0"/>
          <w:marRight w:val="0"/>
          <w:marTop w:val="0"/>
          <w:marBottom w:val="0"/>
          <w:divBdr>
            <w:top w:val="none" w:sz="0" w:space="0" w:color="auto"/>
            <w:left w:val="none" w:sz="0" w:space="0" w:color="auto"/>
            <w:bottom w:val="none" w:sz="0" w:space="0" w:color="auto"/>
            <w:right w:val="none" w:sz="0" w:space="0" w:color="auto"/>
          </w:divBdr>
          <w:divsChild>
            <w:div w:id="1362782177">
              <w:marLeft w:val="0"/>
              <w:marRight w:val="0"/>
              <w:marTop w:val="0"/>
              <w:marBottom w:val="0"/>
              <w:divBdr>
                <w:top w:val="none" w:sz="0" w:space="0" w:color="auto"/>
                <w:left w:val="none" w:sz="0" w:space="0" w:color="auto"/>
                <w:bottom w:val="none" w:sz="0" w:space="0" w:color="auto"/>
                <w:right w:val="none" w:sz="0" w:space="0" w:color="auto"/>
              </w:divBdr>
              <w:divsChild>
                <w:div w:id="1955208526">
                  <w:marLeft w:val="0"/>
                  <w:marRight w:val="0"/>
                  <w:marTop w:val="0"/>
                  <w:marBottom w:val="0"/>
                  <w:divBdr>
                    <w:top w:val="none" w:sz="0" w:space="0" w:color="auto"/>
                    <w:left w:val="none" w:sz="0" w:space="0" w:color="auto"/>
                    <w:bottom w:val="none" w:sz="0" w:space="0" w:color="auto"/>
                    <w:right w:val="none" w:sz="0" w:space="0" w:color="auto"/>
                  </w:divBdr>
                  <w:divsChild>
                    <w:div w:id="131383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271047">
      <w:bodyDiv w:val="1"/>
      <w:marLeft w:val="0"/>
      <w:marRight w:val="0"/>
      <w:marTop w:val="0"/>
      <w:marBottom w:val="0"/>
      <w:divBdr>
        <w:top w:val="none" w:sz="0" w:space="0" w:color="auto"/>
        <w:left w:val="none" w:sz="0" w:space="0" w:color="auto"/>
        <w:bottom w:val="none" w:sz="0" w:space="0" w:color="auto"/>
        <w:right w:val="none" w:sz="0" w:space="0" w:color="auto"/>
      </w:divBdr>
    </w:div>
    <w:div w:id="270667276">
      <w:bodyDiv w:val="1"/>
      <w:marLeft w:val="0"/>
      <w:marRight w:val="0"/>
      <w:marTop w:val="0"/>
      <w:marBottom w:val="0"/>
      <w:divBdr>
        <w:top w:val="none" w:sz="0" w:space="0" w:color="auto"/>
        <w:left w:val="none" w:sz="0" w:space="0" w:color="auto"/>
        <w:bottom w:val="none" w:sz="0" w:space="0" w:color="auto"/>
        <w:right w:val="none" w:sz="0" w:space="0" w:color="auto"/>
      </w:divBdr>
    </w:div>
    <w:div w:id="271204140">
      <w:bodyDiv w:val="1"/>
      <w:marLeft w:val="0"/>
      <w:marRight w:val="0"/>
      <w:marTop w:val="0"/>
      <w:marBottom w:val="0"/>
      <w:divBdr>
        <w:top w:val="none" w:sz="0" w:space="0" w:color="auto"/>
        <w:left w:val="none" w:sz="0" w:space="0" w:color="auto"/>
        <w:bottom w:val="none" w:sz="0" w:space="0" w:color="auto"/>
        <w:right w:val="none" w:sz="0" w:space="0" w:color="auto"/>
      </w:divBdr>
      <w:divsChild>
        <w:div w:id="1327321097">
          <w:marLeft w:val="0"/>
          <w:marRight w:val="0"/>
          <w:marTop w:val="0"/>
          <w:marBottom w:val="0"/>
          <w:divBdr>
            <w:top w:val="none" w:sz="0" w:space="0" w:color="auto"/>
            <w:left w:val="none" w:sz="0" w:space="0" w:color="auto"/>
            <w:bottom w:val="none" w:sz="0" w:space="0" w:color="auto"/>
            <w:right w:val="none" w:sz="0" w:space="0" w:color="auto"/>
          </w:divBdr>
          <w:divsChild>
            <w:div w:id="870723312">
              <w:marLeft w:val="0"/>
              <w:marRight w:val="0"/>
              <w:marTop w:val="0"/>
              <w:marBottom w:val="0"/>
              <w:divBdr>
                <w:top w:val="none" w:sz="0" w:space="0" w:color="auto"/>
                <w:left w:val="none" w:sz="0" w:space="0" w:color="auto"/>
                <w:bottom w:val="none" w:sz="0" w:space="0" w:color="auto"/>
                <w:right w:val="none" w:sz="0" w:space="0" w:color="auto"/>
              </w:divBdr>
              <w:divsChild>
                <w:div w:id="439298719">
                  <w:marLeft w:val="0"/>
                  <w:marRight w:val="0"/>
                  <w:marTop w:val="0"/>
                  <w:marBottom w:val="0"/>
                  <w:divBdr>
                    <w:top w:val="none" w:sz="0" w:space="0" w:color="auto"/>
                    <w:left w:val="none" w:sz="0" w:space="0" w:color="auto"/>
                    <w:bottom w:val="none" w:sz="0" w:space="0" w:color="auto"/>
                    <w:right w:val="none" w:sz="0" w:space="0" w:color="auto"/>
                  </w:divBdr>
                  <w:divsChild>
                    <w:div w:id="205488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4340087">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08755893">
      <w:bodyDiv w:val="1"/>
      <w:marLeft w:val="0"/>
      <w:marRight w:val="0"/>
      <w:marTop w:val="0"/>
      <w:marBottom w:val="0"/>
      <w:divBdr>
        <w:top w:val="none" w:sz="0" w:space="0" w:color="auto"/>
        <w:left w:val="none" w:sz="0" w:space="0" w:color="auto"/>
        <w:bottom w:val="none" w:sz="0" w:space="0" w:color="auto"/>
        <w:right w:val="none" w:sz="0" w:space="0" w:color="auto"/>
      </w:divBdr>
    </w:div>
    <w:div w:id="375088645">
      <w:bodyDiv w:val="1"/>
      <w:marLeft w:val="0"/>
      <w:marRight w:val="0"/>
      <w:marTop w:val="0"/>
      <w:marBottom w:val="0"/>
      <w:divBdr>
        <w:top w:val="none" w:sz="0" w:space="0" w:color="auto"/>
        <w:left w:val="none" w:sz="0" w:space="0" w:color="auto"/>
        <w:bottom w:val="none" w:sz="0" w:space="0" w:color="auto"/>
        <w:right w:val="none" w:sz="0" w:space="0" w:color="auto"/>
      </w:divBdr>
    </w:div>
    <w:div w:id="386342518">
      <w:bodyDiv w:val="1"/>
      <w:marLeft w:val="0"/>
      <w:marRight w:val="0"/>
      <w:marTop w:val="0"/>
      <w:marBottom w:val="0"/>
      <w:divBdr>
        <w:top w:val="none" w:sz="0" w:space="0" w:color="auto"/>
        <w:left w:val="none" w:sz="0" w:space="0" w:color="auto"/>
        <w:bottom w:val="none" w:sz="0" w:space="0" w:color="auto"/>
        <w:right w:val="none" w:sz="0" w:space="0" w:color="auto"/>
      </w:divBdr>
    </w:div>
    <w:div w:id="389350429">
      <w:bodyDiv w:val="1"/>
      <w:marLeft w:val="0"/>
      <w:marRight w:val="0"/>
      <w:marTop w:val="0"/>
      <w:marBottom w:val="0"/>
      <w:divBdr>
        <w:top w:val="none" w:sz="0" w:space="0" w:color="auto"/>
        <w:left w:val="none" w:sz="0" w:space="0" w:color="auto"/>
        <w:bottom w:val="none" w:sz="0" w:space="0" w:color="auto"/>
        <w:right w:val="none" w:sz="0" w:space="0" w:color="auto"/>
      </w:divBdr>
    </w:div>
    <w:div w:id="393547454">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70171139">
      <w:bodyDiv w:val="1"/>
      <w:marLeft w:val="0"/>
      <w:marRight w:val="0"/>
      <w:marTop w:val="0"/>
      <w:marBottom w:val="0"/>
      <w:divBdr>
        <w:top w:val="none" w:sz="0" w:space="0" w:color="auto"/>
        <w:left w:val="none" w:sz="0" w:space="0" w:color="auto"/>
        <w:bottom w:val="none" w:sz="0" w:space="0" w:color="auto"/>
        <w:right w:val="none" w:sz="0" w:space="0" w:color="auto"/>
      </w:divBdr>
    </w:div>
    <w:div w:id="471948787">
      <w:bodyDiv w:val="1"/>
      <w:marLeft w:val="0"/>
      <w:marRight w:val="0"/>
      <w:marTop w:val="0"/>
      <w:marBottom w:val="0"/>
      <w:divBdr>
        <w:top w:val="none" w:sz="0" w:space="0" w:color="auto"/>
        <w:left w:val="none" w:sz="0" w:space="0" w:color="auto"/>
        <w:bottom w:val="none" w:sz="0" w:space="0" w:color="auto"/>
        <w:right w:val="none" w:sz="0" w:space="0" w:color="auto"/>
      </w:divBdr>
    </w:div>
    <w:div w:id="492913951">
      <w:bodyDiv w:val="1"/>
      <w:marLeft w:val="0"/>
      <w:marRight w:val="0"/>
      <w:marTop w:val="0"/>
      <w:marBottom w:val="0"/>
      <w:divBdr>
        <w:top w:val="none" w:sz="0" w:space="0" w:color="auto"/>
        <w:left w:val="none" w:sz="0" w:space="0" w:color="auto"/>
        <w:bottom w:val="none" w:sz="0" w:space="0" w:color="auto"/>
        <w:right w:val="none" w:sz="0" w:space="0" w:color="auto"/>
      </w:divBdr>
      <w:divsChild>
        <w:div w:id="2100981094">
          <w:marLeft w:val="0"/>
          <w:marRight w:val="0"/>
          <w:marTop w:val="0"/>
          <w:marBottom w:val="0"/>
          <w:divBdr>
            <w:top w:val="none" w:sz="0" w:space="0" w:color="auto"/>
            <w:left w:val="none" w:sz="0" w:space="0" w:color="auto"/>
            <w:bottom w:val="none" w:sz="0" w:space="0" w:color="auto"/>
            <w:right w:val="none" w:sz="0" w:space="0" w:color="auto"/>
          </w:divBdr>
        </w:div>
      </w:divsChild>
    </w:div>
    <w:div w:id="511337316">
      <w:bodyDiv w:val="1"/>
      <w:marLeft w:val="0"/>
      <w:marRight w:val="0"/>
      <w:marTop w:val="0"/>
      <w:marBottom w:val="0"/>
      <w:divBdr>
        <w:top w:val="none" w:sz="0" w:space="0" w:color="auto"/>
        <w:left w:val="none" w:sz="0" w:space="0" w:color="auto"/>
        <w:bottom w:val="none" w:sz="0" w:space="0" w:color="auto"/>
        <w:right w:val="none" w:sz="0" w:space="0" w:color="auto"/>
      </w:divBdr>
      <w:divsChild>
        <w:div w:id="1770277704">
          <w:marLeft w:val="0"/>
          <w:marRight w:val="0"/>
          <w:marTop w:val="0"/>
          <w:marBottom w:val="0"/>
          <w:divBdr>
            <w:top w:val="none" w:sz="0" w:space="0" w:color="auto"/>
            <w:left w:val="none" w:sz="0" w:space="0" w:color="auto"/>
            <w:bottom w:val="none" w:sz="0" w:space="0" w:color="auto"/>
            <w:right w:val="none" w:sz="0" w:space="0" w:color="auto"/>
          </w:divBdr>
        </w:div>
      </w:divsChild>
    </w:div>
    <w:div w:id="518815382">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26406593">
      <w:bodyDiv w:val="1"/>
      <w:marLeft w:val="0"/>
      <w:marRight w:val="0"/>
      <w:marTop w:val="0"/>
      <w:marBottom w:val="0"/>
      <w:divBdr>
        <w:top w:val="none" w:sz="0" w:space="0" w:color="auto"/>
        <w:left w:val="none" w:sz="0" w:space="0" w:color="auto"/>
        <w:bottom w:val="none" w:sz="0" w:space="0" w:color="auto"/>
        <w:right w:val="none" w:sz="0" w:space="0" w:color="auto"/>
      </w:divBdr>
      <w:divsChild>
        <w:div w:id="899442729">
          <w:marLeft w:val="0"/>
          <w:marRight w:val="0"/>
          <w:marTop w:val="0"/>
          <w:marBottom w:val="0"/>
          <w:divBdr>
            <w:top w:val="none" w:sz="0" w:space="0" w:color="auto"/>
            <w:left w:val="none" w:sz="0" w:space="0" w:color="auto"/>
            <w:bottom w:val="none" w:sz="0" w:space="0" w:color="auto"/>
            <w:right w:val="none" w:sz="0" w:space="0" w:color="auto"/>
          </w:divBdr>
          <w:divsChild>
            <w:div w:id="1679312912">
              <w:marLeft w:val="0"/>
              <w:marRight w:val="0"/>
              <w:marTop w:val="0"/>
              <w:marBottom w:val="0"/>
              <w:divBdr>
                <w:top w:val="none" w:sz="0" w:space="0" w:color="auto"/>
                <w:left w:val="none" w:sz="0" w:space="0" w:color="auto"/>
                <w:bottom w:val="none" w:sz="0" w:space="0" w:color="auto"/>
                <w:right w:val="none" w:sz="0" w:space="0" w:color="auto"/>
              </w:divBdr>
              <w:divsChild>
                <w:div w:id="713429753">
                  <w:marLeft w:val="0"/>
                  <w:marRight w:val="0"/>
                  <w:marTop w:val="0"/>
                  <w:marBottom w:val="0"/>
                  <w:divBdr>
                    <w:top w:val="none" w:sz="0" w:space="0" w:color="auto"/>
                    <w:left w:val="none" w:sz="0" w:space="0" w:color="auto"/>
                    <w:bottom w:val="none" w:sz="0" w:space="0" w:color="auto"/>
                    <w:right w:val="none" w:sz="0" w:space="0" w:color="auto"/>
                  </w:divBdr>
                  <w:divsChild>
                    <w:div w:id="37627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96447297">
      <w:bodyDiv w:val="1"/>
      <w:marLeft w:val="0"/>
      <w:marRight w:val="0"/>
      <w:marTop w:val="0"/>
      <w:marBottom w:val="0"/>
      <w:divBdr>
        <w:top w:val="none" w:sz="0" w:space="0" w:color="auto"/>
        <w:left w:val="none" w:sz="0" w:space="0" w:color="auto"/>
        <w:bottom w:val="none" w:sz="0" w:space="0" w:color="auto"/>
        <w:right w:val="none" w:sz="0" w:space="0" w:color="auto"/>
      </w:divBdr>
      <w:divsChild>
        <w:div w:id="1490058003">
          <w:marLeft w:val="0"/>
          <w:marRight w:val="0"/>
          <w:marTop w:val="0"/>
          <w:marBottom w:val="0"/>
          <w:divBdr>
            <w:top w:val="none" w:sz="0" w:space="0" w:color="auto"/>
            <w:left w:val="none" w:sz="0" w:space="0" w:color="auto"/>
            <w:bottom w:val="none" w:sz="0" w:space="0" w:color="auto"/>
            <w:right w:val="none" w:sz="0" w:space="0" w:color="auto"/>
          </w:divBdr>
          <w:divsChild>
            <w:div w:id="110056836">
              <w:marLeft w:val="0"/>
              <w:marRight w:val="0"/>
              <w:marTop w:val="0"/>
              <w:marBottom w:val="0"/>
              <w:divBdr>
                <w:top w:val="none" w:sz="0" w:space="0" w:color="auto"/>
                <w:left w:val="none" w:sz="0" w:space="0" w:color="auto"/>
                <w:bottom w:val="none" w:sz="0" w:space="0" w:color="auto"/>
                <w:right w:val="none" w:sz="0" w:space="0" w:color="auto"/>
              </w:divBdr>
              <w:divsChild>
                <w:div w:id="1223367088">
                  <w:marLeft w:val="0"/>
                  <w:marRight w:val="0"/>
                  <w:marTop w:val="0"/>
                  <w:marBottom w:val="0"/>
                  <w:divBdr>
                    <w:top w:val="none" w:sz="0" w:space="0" w:color="auto"/>
                    <w:left w:val="none" w:sz="0" w:space="0" w:color="auto"/>
                    <w:bottom w:val="none" w:sz="0" w:space="0" w:color="auto"/>
                    <w:right w:val="none" w:sz="0" w:space="0" w:color="auto"/>
                  </w:divBdr>
                  <w:divsChild>
                    <w:div w:id="69796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603838">
      <w:bodyDiv w:val="1"/>
      <w:marLeft w:val="0"/>
      <w:marRight w:val="0"/>
      <w:marTop w:val="0"/>
      <w:marBottom w:val="0"/>
      <w:divBdr>
        <w:top w:val="none" w:sz="0" w:space="0" w:color="auto"/>
        <w:left w:val="none" w:sz="0" w:space="0" w:color="auto"/>
        <w:bottom w:val="none" w:sz="0" w:space="0" w:color="auto"/>
        <w:right w:val="none" w:sz="0" w:space="0" w:color="auto"/>
      </w:divBdr>
      <w:divsChild>
        <w:div w:id="421101041">
          <w:marLeft w:val="0"/>
          <w:marRight w:val="0"/>
          <w:marTop w:val="0"/>
          <w:marBottom w:val="0"/>
          <w:divBdr>
            <w:top w:val="none" w:sz="0" w:space="0" w:color="auto"/>
            <w:left w:val="none" w:sz="0" w:space="0" w:color="auto"/>
            <w:bottom w:val="none" w:sz="0" w:space="0" w:color="auto"/>
            <w:right w:val="none" w:sz="0" w:space="0" w:color="auto"/>
          </w:divBdr>
          <w:divsChild>
            <w:div w:id="1222903102">
              <w:marLeft w:val="0"/>
              <w:marRight w:val="0"/>
              <w:marTop w:val="0"/>
              <w:marBottom w:val="0"/>
              <w:divBdr>
                <w:top w:val="none" w:sz="0" w:space="0" w:color="auto"/>
                <w:left w:val="none" w:sz="0" w:space="0" w:color="auto"/>
                <w:bottom w:val="none" w:sz="0" w:space="0" w:color="auto"/>
                <w:right w:val="none" w:sz="0" w:space="0" w:color="auto"/>
              </w:divBdr>
              <w:divsChild>
                <w:div w:id="549075724">
                  <w:marLeft w:val="0"/>
                  <w:marRight w:val="0"/>
                  <w:marTop w:val="0"/>
                  <w:marBottom w:val="0"/>
                  <w:divBdr>
                    <w:top w:val="none" w:sz="0" w:space="0" w:color="auto"/>
                    <w:left w:val="none" w:sz="0" w:space="0" w:color="auto"/>
                    <w:bottom w:val="none" w:sz="0" w:space="0" w:color="auto"/>
                    <w:right w:val="none" w:sz="0" w:space="0" w:color="auto"/>
                  </w:divBdr>
                  <w:divsChild>
                    <w:div w:id="77748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587554">
      <w:bodyDiv w:val="1"/>
      <w:marLeft w:val="0"/>
      <w:marRight w:val="0"/>
      <w:marTop w:val="0"/>
      <w:marBottom w:val="0"/>
      <w:divBdr>
        <w:top w:val="none" w:sz="0" w:space="0" w:color="auto"/>
        <w:left w:val="none" w:sz="0" w:space="0" w:color="auto"/>
        <w:bottom w:val="none" w:sz="0" w:space="0" w:color="auto"/>
        <w:right w:val="none" w:sz="0" w:space="0" w:color="auto"/>
      </w:divBdr>
    </w:div>
    <w:div w:id="697781713">
      <w:bodyDiv w:val="1"/>
      <w:marLeft w:val="0"/>
      <w:marRight w:val="0"/>
      <w:marTop w:val="0"/>
      <w:marBottom w:val="0"/>
      <w:divBdr>
        <w:top w:val="none" w:sz="0" w:space="0" w:color="auto"/>
        <w:left w:val="none" w:sz="0" w:space="0" w:color="auto"/>
        <w:bottom w:val="none" w:sz="0" w:space="0" w:color="auto"/>
        <w:right w:val="none" w:sz="0" w:space="0" w:color="auto"/>
      </w:divBdr>
    </w:div>
    <w:div w:id="735511748">
      <w:bodyDiv w:val="1"/>
      <w:marLeft w:val="0"/>
      <w:marRight w:val="0"/>
      <w:marTop w:val="0"/>
      <w:marBottom w:val="0"/>
      <w:divBdr>
        <w:top w:val="none" w:sz="0" w:space="0" w:color="auto"/>
        <w:left w:val="none" w:sz="0" w:space="0" w:color="auto"/>
        <w:bottom w:val="none" w:sz="0" w:space="0" w:color="auto"/>
        <w:right w:val="none" w:sz="0" w:space="0" w:color="auto"/>
      </w:divBdr>
      <w:divsChild>
        <w:div w:id="77294050">
          <w:marLeft w:val="0"/>
          <w:marRight w:val="0"/>
          <w:marTop w:val="0"/>
          <w:marBottom w:val="0"/>
          <w:divBdr>
            <w:top w:val="none" w:sz="0" w:space="0" w:color="auto"/>
            <w:left w:val="none" w:sz="0" w:space="0" w:color="auto"/>
            <w:bottom w:val="none" w:sz="0" w:space="0" w:color="auto"/>
            <w:right w:val="none" w:sz="0" w:space="0" w:color="auto"/>
          </w:divBdr>
        </w:div>
      </w:divsChild>
    </w:div>
    <w:div w:id="769862301">
      <w:bodyDiv w:val="1"/>
      <w:marLeft w:val="0"/>
      <w:marRight w:val="0"/>
      <w:marTop w:val="0"/>
      <w:marBottom w:val="0"/>
      <w:divBdr>
        <w:top w:val="none" w:sz="0" w:space="0" w:color="auto"/>
        <w:left w:val="none" w:sz="0" w:space="0" w:color="auto"/>
        <w:bottom w:val="none" w:sz="0" w:space="0" w:color="auto"/>
        <w:right w:val="none" w:sz="0" w:space="0" w:color="auto"/>
      </w:divBdr>
      <w:divsChild>
        <w:div w:id="1383292635">
          <w:marLeft w:val="0"/>
          <w:marRight w:val="0"/>
          <w:marTop w:val="0"/>
          <w:marBottom w:val="0"/>
          <w:divBdr>
            <w:top w:val="none" w:sz="0" w:space="0" w:color="auto"/>
            <w:left w:val="none" w:sz="0" w:space="0" w:color="auto"/>
            <w:bottom w:val="none" w:sz="0" w:space="0" w:color="auto"/>
            <w:right w:val="none" w:sz="0" w:space="0" w:color="auto"/>
          </w:divBdr>
        </w:div>
      </w:divsChild>
    </w:div>
    <w:div w:id="785346303">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12337353">
      <w:bodyDiv w:val="1"/>
      <w:marLeft w:val="0"/>
      <w:marRight w:val="0"/>
      <w:marTop w:val="0"/>
      <w:marBottom w:val="0"/>
      <w:divBdr>
        <w:top w:val="none" w:sz="0" w:space="0" w:color="auto"/>
        <w:left w:val="none" w:sz="0" w:space="0" w:color="auto"/>
        <w:bottom w:val="none" w:sz="0" w:space="0" w:color="auto"/>
        <w:right w:val="none" w:sz="0" w:space="0" w:color="auto"/>
      </w:divBdr>
    </w:div>
    <w:div w:id="814835640">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45173761">
      <w:bodyDiv w:val="1"/>
      <w:marLeft w:val="0"/>
      <w:marRight w:val="0"/>
      <w:marTop w:val="0"/>
      <w:marBottom w:val="0"/>
      <w:divBdr>
        <w:top w:val="none" w:sz="0" w:space="0" w:color="auto"/>
        <w:left w:val="none" w:sz="0" w:space="0" w:color="auto"/>
        <w:bottom w:val="none" w:sz="0" w:space="0" w:color="auto"/>
        <w:right w:val="none" w:sz="0" w:space="0" w:color="auto"/>
      </w:divBdr>
    </w:div>
    <w:div w:id="850755286">
      <w:bodyDiv w:val="1"/>
      <w:marLeft w:val="0"/>
      <w:marRight w:val="0"/>
      <w:marTop w:val="0"/>
      <w:marBottom w:val="0"/>
      <w:divBdr>
        <w:top w:val="none" w:sz="0" w:space="0" w:color="auto"/>
        <w:left w:val="none" w:sz="0" w:space="0" w:color="auto"/>
        <w:bottom w:val="none" w:sz="0" w:space="0" w:color="auto"/>
        <w:right w:val="none" w:sz="0" w:space="0" w:color="auto"/>
      </w:divBdr>
    </w:div>
    <w:div w:id="854807313">
      <w:bodyDiv w:val="1"/>
      <w:marLeft w:val="0"/>
      <w:marRight w:val="0"/>
      <w:marTop w:val="0"/>
      <w:marBottom w:val="0"/>
      <w:divBdr>
        <w:top w:val="none" w:sz="0" w:space="0" w:color="auto"/>
        <w:left w:val="none" w:sz="0" w:space="0" w:color="auto"/>
        <w:bottom w:val="none" w:sz="0" w:space="0" w:color="auto"/>
        <w:right w:val="none" w:sz="0" w:space="0" w:color="auto"/>
      </w:divBdr>
    </w:div>
    <w:div w:id="856189575">
      <w:bodyDiv w:val="1"/>
      <w:marLeft w:val="0"/>
      <w:marRight w:val="0"/>
      <w:marTop w:val="0"/>
      <w:marBottom w:val="0"/>
      <w:divBdr>
        <w:top w:val="none" w:sz="0" w:space="0" w:color="auto"/>
        <w:left w:val="none" w:sz="0" w:space="0" w:color="auto"/>
        <w:bottom w:val="none" w:sz="0" w:space="0" w:color="auto"/>
        <w:right w:val="none" w:sz="0" w:space="0" w:color="auto"/>
      </w:divBdr>
    </w:div>
    <w:div w:id="885600186">
      <w:bodyDiv w:val="1"/>
      <w:marLeft w:val="0"/>
      <w:marRight w:val="0"/>
      <w:marTop w:val="0"/>
      <w:marBottom w:val="0"/>
      <w:divBdr>
        <w:top w:val="none" w:sz="0" w:space="0" w:color="auto"/>
        <w:left w:val="none" w:sz="0" w:space="0" w:color="auto"/>
        <w:bottom w:val="none" w:sz="0" w:space="0" w:color="auto"/>
        <w:right w:val="none" w:sz="0" w:space="0" w:color="auto"/>
      </w:divBdr>
    </w:div>
    <w:div w:id="91863487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01079776">
      <w:bodyDiv w:val="1"/>
      <w:marLeft w:val="0"/>
      <w:marRight w:val="0"/>
      <w:marTop w:val="0"/>
      <w:marBottom w:val="0"/>
      <w:divBdr>
        <w:top w:val="none" w:sz="0" w:space="0" w:color="auto"/>
        <w:left w:val="none" w:sz="0" w:space="0" w:color="auto"/>
        <w:bottom w:val="none" w:sz="0" w:space="0" w:color="auto"/>
        <w:right w:val="none" w:sz="0" w:space="0" w:color="auto"/>
      </w:divBdr>
    </w:div>
    <w:div w:id="1035039084">
      <w:bodyDiv w:val="1"/>
      <w:marLeft w:val="0"/>
      <w:marRight w:val="0"/>
      <w:marTop w:val="0"/>
      <w:marBottom w:val="0"/>
      <w:divBdr>
        <w:top w:val="none" w:sz="0" w:space="0" w:color="auto"/>
        <w:left w:val="none" w:sz="0" w:space="0" w:color="auto"/>
        <w:bottom w:val="none" w:sz="0" w:space="0" w:color="auto"/>
        <w:right w:val="none" w:sz="0" w:space="0" w:color="auto"/>
      </w:divBdr>
    </w:div>
    <w:div w:id="1040520639">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7034519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11125576">
      <w:bodyDiv w:val="1"/>
      <w:marLeft w:val="0"/>
      <w:marRight w:val="0"/>
      <w:marTop w:val="0"/>
      <w:marBottom w:val="0"/>
      <w:divBdr>
        <w:top w:val="none" w:sz="0" w:space="0" w:color="auto"/>
        <w:left w:val="none" w:sz="0" w:space="0" w:color="auto"/>
        <w:bottom w:val="none" w:sz="0" w:space="0" w:color="auto"/>
        <w:right w:val="none" w:sz="0" w:space="0" w:color="auto"/>
      </w:divBdr>
    </w:div>
    <w:div w:id="1120681180">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22774083">
      <w:bodyDiv w:val="1"/>
      <w:marLeft w:val="0"/>
      <w:marRight w:val="0"/>
      <w:marTop w:val="0"/>
      <w:marBottom w:val="0"/>
      <w:divBdr>
        <w:top w:val="none" w:sz="0" w:space="0" w:color="auto"/>
        <w:left w:val="none" w:sz="0" w:space="0" w:color="auto"/>
        <w:bottom w:val="none" w:sz="0" w:space="0" w:color="auto"/>
        <w:right w:val="none" w:sz="0" w:space="0" w:color="auto"/>
      </w:divBdr>
    </w:div>
    <w:div w:id="1122961646">
      <w:bodyDiv w:val="1"/>
      <w:marLeft w:val="0"/>
      <w:marRight w:val="0"/>
      <w:marTop w:val="0"/>
      <w:marBottom w:val="0"/>
      <w:divBdr>
        <w:top w:val="none" w:sz="0" w:space="0" w:color="auto"/>
        <w:left w:val="none" w:sz="0" w:space="0" w:color="auto"/>
        <w:bottom w:val="none" w:sz="0" w:space="0" w:color="auto"/>
        <w:right w:val="none" w:sz="0" w:space="0" w:color="auto"/>
      </w:divBdr>
    </w:div>
    <w:div w:id="118189630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53856790">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31523243">
      <w:bodyDiv w:val="1"/>
      <w:marLeft w:val="0"/>
      <w:marRight w:val="0"/>
      <w:marTop w:val="0"/>
      <w:marBottom w:val="0"/>
      <w:divBdr>
        <w:top w:val="none" w:sz="0" w:space="0" w:color="auto"/>
        <w:left w:val="none" w:sz="0" w:space="0" w:color="auto"/>
        <w:bottom w:val="none" w:sz="0" w:space="0" w:color="auto"/>
        <w:right w:val="none" w:sz="0" w:space="0" w:color="auto"/>
      </w:divBdr>
    </w:div>
    <w:div w:id="1359890812">
      <w:bodyDiv w:val="1"/>
      <w:marLeft w:val="0"/>
      <w:marRight w:val="0"/>
      <w:marTop w:val="0"/>
      <w:marBottom w:val="0"/>
      <w:divBdr>
        <w:top w:val="none" w:sz="0" w:space="0" w:color="auto"/>
        <w:left w:val="none" w:sz="0" w:space="0" w:color="auto"/>
        <w:bottom w:val="none" w:sz="0" w:space="0" w:color="auto"/>
        <w:right w:val="none" w:sz="0" w:space="0" w:color="auto"/>
      </w:divBdr>
    </w:div>
    <w:div w:id="1404790515">
      <w:bodyDiv w:val="1"/>
      <w:marLeft w:val="0"/>
      <w:marRight w:val="0"/>
      <w:marTop w:val="0"/>
      <w:marBottom w:val="0"/>
      <w:divBdr>
        <w:top w:val="none" w:sz="0" w:space="0" w:color="auto"/>
        <w:left w:val="none" w:sz="0" w:space="0" w:color="auto"/>
        <w:bottom w:val="none" w:sz="0" w:space="0" w:color="auto"/>
        <w:right w:val="none" w:sz="0" w:space="0" w:color="auto"/>
      </w:divBdr>
    </w:div>
    <w:div w:id="1408648972">
      <w:bodyDiv w:val="1"/>
      <w:marLeft w:val="0"/>
      <w:marRight w:val="0"/>
      <w:marTop w:val="0"/>
      <w:marBottom w:val="0"/>
      <w:divBdr>
        <w:top w:val="none" w:sz="0" w:space="0" w:color="auto"/>
        <w:left w:val="none" w:sz="0" w:space="0" w:color="auto"/>
        <w:bottom w:val="none" w:sz="0" w:space="0" w:color="auto"/>
        <w:right w:val="none" w:sz="0" w:space="0" w:color="auto"/>
      </w:divBdr>
      <w:divsChild>
        <w:div w:id="1594514601">
          <w:marLeft w:val="0"/>
          <w:marRight w:val="0"/>
          <w:marTop w:val="0"/>
          <w:marBottom w:val="0"/>
          <w:divBdr>
            <w:top w:val="none" w:sz="0" w:space="0" w:color="auto"/>
            <w:left w:val="none" w:sz="0" w:space="0" w:color="auto"/>
            <w:bottom w:val="none" w:sz="0" w:space="0" w:color="auto"/>
            <w:right w:val="none" w:sz="0" w:space="0" w:color="auto"/>
          </w:divBdr>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59302011">
      <w:bodyDiv w:val="1"/>
      <w:marLeft w:val="0"/>
      <w:marRight w:val="0"/>
      <w:marTop w:val="0"/>
      <w:marBottom w:val="0"/>
      <w:divBdr>
        <w:top w:val="none" w:sz="0" w:space="0" w:color="auto"/>
        <w:left w:val="none" w:sz="0" w:space="0" w:color="auto"/>
        <w:bottom w:val="none" w:sz="0" w:space="0" w:color="auto"/>
        <w:right w:val="none" w:sz="0" w:space="0" w:color="auto"/>
      </w:divBdr>
    </w:div>
    <w:div w:id="1462579434">
      <w:bodyDiv w:val="1"/>
      <w:marLeft w:val="0"/>
      <w:marRight w:val="0"/>
      <w:marTop w:val="0"/>
      <w:marBottom w:val="0"/>
      <w:divBdr>
        <w:top w:val="none" w:sz="0" w:space="0" w:color="auto"/>
        <w:left w:val="none" w:sz="0" w:space="0" w:color="auto"/>
        <w:bottom w:val="none" w:sz="0" w:space="0" w:color="auto"/>
        <w:right w:val="none" w:sz="0" w:space="0" w:color="auto"/>
      </w:divBdr>
      <w:divsChild>
        <w:div w:id="1851334163">
          <w:marLeft w:val="0"/>
          <w:marRight w:val="0"/>
          <w:marTop w:val="0"/>
          <w:marBottom w:val="0"/>
          <w:divBdr>
            <w:top w:val="none" w:sz="0" w:space="0" w:color="auto"/>
            <w:left w:val="none" w:sz="0" w:space="0" w:color="auto"/>
            <w:bottom w:val="none" w:sz="0" w:space="0" w:color="auto"/>
            <w:right w:val="none" w:sz="0" w:space="0" w:color="auto"/>
          </w:divBdr>
        </w:div>
      </w:divsChild>
    </w:div>
    <w:div w:id="1474252916">
      <w:bodyDiv w:val="1"/>
      <w:marLeft w:val="0"/>
      <w:marRight w:val="0"/>
      <w:marTop w:val="0"/>
      <w:marBottom w:val="0"/>
      <w:divBdr>
        <w:top w:val="none" w:sz="0" w:space="0" w:color="auto"/>
        <w:left w:val="none" w:sz="0" w:space="0" w:color="auto"/>
        <w:bottom w:val="none" w:sz="0" w:space="0" w:color="auto"/>
        <w:right w:val="none" w:sz="0" w:space="0" w:color="auto"/>
      </w:divBdr>
    </w:div>
    <w:div w:id="1512185291">
      <w:bodyDiv w:val="1"/>
      <w:marLeft w:val="0"/>
      <w:marRight w:val="0"/>
      <w:marTop w:val="0"/>
      <w:marBottom w:val="0"/>
      <w:divBdr>
        <w:top w:val="none" w:sz="0" w:space="0" w:color="auto"/>
        <w:left w:val="none" w:sz="0" w:space="0" w:color="auto"/>
        <w:bottom w:val="none" w:sz="0" w:space="0" w:color="auto"/>
        <w:right w:val="none" w:sz="0" w:space="0" w:color="auto"/>
      </w:divBdr>
    </w:div>
    <w:div w:id="1518884199">
      <w:bodyDiv w:val="1"/>
      <w:marLeft w:val="0"/>
      <w:marRight w:val="0"/>
      <w:marTop w:val="0"/>
      <w:marBottom w:val="0"/>
      <w:divBdr>
        <w:top w:val="none" w:sz="0" w:space="0" w:color="auto"/>
        <w:left w:val="none" w:sz="0" w:space="0" w:color="auto"/>
        <w:bottom w:val="none" w:sz="0" w:space="0" w:color="auto"/>
        <w:right w:val="none" w:sz="0" w:space="0" w:color="auto"/>
      </w:divBdr>
    </w:div>
    <w:div w:id="1519003446">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47837375">
      <w:bodyDiv w:val="1"/>
      <w:marLeft w:val="0"/>
      <w:marRight w:val="0"/>
      <w:marTop w:val="0"/>
      <w:marBottom w:val="0"/>
      <w:divBdr>
        <w:top w:val="none" w:sz="0" w:space="0" w:color="auto"/>
        <w:left w:val="none" w:sz="0" w:space="0" w:color="auto"/>
        <w:bottom w:val="none" w:sz="0" w:space="0" w:color="auto"/>
        <w:right w:val="none" w:sz="0" w:space="0" w:color="auto"/>
      </w:divBdr>
      <w:divsChild>
        <w:div w:id="1411123096">
          <w:marLeft w:val="0"/>
          <w:marRight w:val="0"/>
          <w:marTop w:val="0"/>
          <w:marBottom w:val="0"/>
          <w:divBdr>
            <w:top w:val="none" w:sz="0" w:space="0" w:color="auto"/>
            <w:left w:val="none" w:sz="0" w:space="0" w:color="auto"/>
            <w:bottom w:val="none" w:sz="0" w:space="0" w:color="auto"/>
            <w:right w:val="none" w:sz="0" w:space="0" w:color="auto"/>
          </w:divBdr>
          <w:divsChild>
            <w:div w:id="1218516295">
              <w:marLeft w:val="0"/>
              <w:marRight w:val="0"/>
              <w:marTop w:val="0"/>
              <w:marBottom w:val="0"/>
              <w:divBdr>
                <w:top w:val="none" w:sz="0" w:space="0" w:color="auto"/>
                <w:left w:val="none" w:sz="0" w:space="0" w:color="auto"/>
                <w:bottom w:val="none" w:sz="0" w:space="0" w:color="auto"/>
                <w:right w:val="none" w:sz="0" w:space="0" w:color="auto"/>
              </w:divBdr>
              <w:divsChild>
                <w:div w:id="692607087">
                  <w:marLeft w:val="0"/>
                  <w:marRight w:val="0"/>
                  <w:marTop w:val="0"/>
                  <w:marBottom w:val="0"/>
                  <w:divBdr>
                    <w:top w:val="none" w:sz="0" w:space="0" w:color="auto"/>
                    <w:left w:val="none" w:sz="0" w:space="0" w:color="auto"/>
                    <w:bottom w:val="none" w:sz="0" w:space="0" w:color="auto"/>
                    <w:right w:val="none" w:sz="0" w:space="0" w:color="auto"/>
                  </w:divBdr>
                  <w:divsChild>
                    <w:div w:id="187427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030553">
      <w:bodyDiv w:val="1"/>
      <w:marLeft w:val="0"/>
      <w:marRight w:val="0"/>
      <w:marTop w:val="0"/>
      <w:marBottom w:val="0"/>
      <w:divBdr>
        <w:top w:val="none" w:sz="0" w:space="0" w:color="auto"/>
        <w:left w:val="none" w:sz="0" w:space="0" w:color="auto"/>
        <w:bottom w:val="none" w:sz="0" w:space="0" w:color="auto"/>
        <w:right w:val="none" w:sz="0" w:space="0" w:color="auto"/>
      </w:divBdr>
    </w:div>
    <w:div w:id="1586186793">
      <w:bodyDiv w:val="1"/>
      <w:marLeft w:val="0"/>
      <w:marRight w:val="0"/>
      <w:marTop w:val="0"/>
      <w:marBottom w:val="0"/>
      <w:divBdr>
        <w:top w:val="none" w:sz="0" w:space="0" w:color="auto"/>
        <w:left w:val="none" w:sz="0" w:space="0" w:color="auto"/>
        <w:bottom w:val="none" w:sz="0" w:space="0" w:color="auto"/>
        <w:right w:val="none" w:sz="0" w:space="0" w:color="auto"/>
      </w:divBdr>
    </w:div>
    <w:div w:id="1596743588">
      <w:bodyDiv w:val="1"/>
      <w:marLeft w:val="0"/>
      <w:marRight w:val="0"/>
      <w:marTop w:val="0"/>
      <w:marBottom w:val="0"/>
      <w:divBdr>
        <w:top w:val="none" w:sz="0" w:space="0" w:color="auto"/>
        <w:left w:val="none" w:sz="0" w:space="0" w:color="auto"/>
        <w:bottom w:val="none" w:sz="0" w:space="0" w:color="auto"/>
        <w:right w:val="none" w:sz="0" w:space="0" w:color="auto"/>
      </w:divBdr>
    </w:div>
    <w:div w:id="1618677324">
      <w:bodyDiv w:val="1"/>
      <w:marLeft w:val="0"/>
      <w:marRight w:val="0"/>
      <w:marTop w:val="0"/>
      <w:marBottom w:val="0"/>
      <w:divBdr>
        <w:top w:val="none" w:sz="0" w:space="0" w:color="auto"/>
        <w:left w:val="none" w:sz="0" w:space="0" w:color="auto"/>
        <w:bottom w:val="none" w:sz="0" w:space="0" w:color="auto"/>
        <w:right w:val="none" w:sz="0" w:space="0" w:color="auto"/>
      </w:divBdr>
    </w:div>
    <w:div w:id="1632055009">
      <w:bodyDiv w:val="1"/>
      <w:marLeft w:val="0"/>
      <w:marRight w:val="0"/>
      <w:marTop w:val="0"/>
      <w:marBottom w:val="0"/>
      <w:divBdr>
        <w:top w:val="none" w:sz="0" w:space="0" w:color="auto"/>
        <w:left w:val="none" w:sz="0" w:space="0" w:color="auto"/>
        <w:bottom w:val="none" w:sz="0" w:space="0" w:color="auto"/>
        <w:right w:val="none" w:sz="0" w:space="0" w:color="auto"/>
      </w:divBdr>
      <w:divsChild>
        <w:div w:id="10342328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4362252">
      <w:bodyDiv w:val="1"/>
      <w:marLeft w:val="0"/>
      <w:marRight w:val="0"/>
      <w:marTop w:val="0"/>
      <w:marBottom w:val="0"/>
      <w:divBdr>
        <w:top w:val="none" w:sz="0" w:space="0" w:color="auto"/>
        <w:left w:val="none" w:sz="0" w:space="0" w:color="auto"/>
        <w:bottom w:val="none" w:sz="0" w:space="0" w:color="auto"/>
        <w:right w:val="none" w:sz="0" w:space="0" w:color="auto"/>
      </w:divBdr>
      <w:divsChild>
        <w:div w:id="1990748707">
          <w:marLeft w:val="0"/>
          <w:marRight w:val="0"/>
          <w:marTop w:val="0"/>
          <w:marBottom w:val="0"/>
          <w:divBdr>
            <w:top w:val="none" w:sz="0" w:space="0" w:color="auto"/>
            <w:left w:val="none" w:sz="0" w:space="0" w:color="auto"/>
            <w:bottom w:val="none" w:sz="0" w:space="0" w:color="auto"/>
            <w:right w:val="none" w:sz="0" w:space="0" w:color="auto"/>
          </w:divBdr>
        </w:div>
      </w:divsChild>
    </w:div>
    <w:div w:id="1652097267">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55123949">
      <w:bodyDiv w:val="1"/>
      <w:marLeft w:val="0"/>
      <w:marRight w:val="0"/>
      <w:marTop w:val="0"/>
      <w:marBottom w:val="0"/>
      <w:divBdr>
        <w:top w:val="none" w:sz="0" w:space="0" w:color="auto"/>
        <w:left w:val="none" w:sz="0" w:space="0" w:color="auto"/>
        <w:bottom w:val="none" w:sz="0" w:space="0" w:color="auto"/>
        <w:right w:val="none" w:sz="0" w:space="0" w:color="auto"/>
      </w:divBdr>
    </w:div>
    <w:div w:id="1757287661">
      <w:bodyDiv w:val="1"/>
      <w:marLeft w:val="0"/>
      <w:marRight w:val="0"/>
      <w:marTop w:val="0"/>
      <w:marBottom w:val="0"/>
      <w:divBdr>
        <w:top w:val="none" w:sz="0" w:space="0" w:color="auto"/>
        <w:left w:val="none" w:sz="0" w:space="0" w:color="auto"/>
        <w:bottom w:val="none" w:sz="0" w:space="0" w:color="auto"/>
        <w:right w:val="none" w:sz="0" w:space="0" w:color="auto"/>
      </w:divBdr>
    </w:div>
    <w:div w:id="1782995451">
      <w:bodyDiv w:val="1"/>
      <w:marLeft w:val="0"/>
      <w:marRight w:val="0"/>
      <w:marTop w:val="0"/>
      <w:marBottom w:val="0"/>
      <w:divBdr>
        <w:top w:val="none" w:sz="0" w:space="0" w:color="auto"/>
        <w:left w:val="none" w:sz="0" w:space="0" w:color="auto"/>
        <w:bottom w:val="none" w:sz="0" w:space="0" w:color="auto"/>
        <w:right w:val="none" w:sz="0" w:space="0" w:color="auto"/>
      </w:divBdr>
      <w:divsChild>
        <w:div w:id="308481791">
          <w:marLeft w:val="0"/>
          <w:marRight w:val="0"/>
          <w:marTop w:val="0"/>
          <w:marBottom w:val="0"/>
          <w:divBdr>
            <w:top w:val="none" w:sz="0" w:space="0" w:color="auto"/>
            <w:left w:val="none" w:sz="0" w:space="0" w:color="auto"/>
            <w:bottom w:val="none" w:sz="0" w:space="0" w:color="auto"/>
            <w:right w:val="none" w:sz="0" w:space="0" w:color="auto"/>
          </w:divBdr>
          <w:divsChild>
            <w:div w:id="1067143301">
              <w:marLeft w:val="0"/>
              <w:marRight w:val="0"/>
              <w:marTop w:val="0"/>
              <w:marBottom w:val="0"/>
              <w:divBdr>
                <w:top w:val="none" w:sz="0" w:space="0" w:color="auto"/>
                <w:left w:val="none" w:sz="0" w:space="0" w:color="auto"/>
                <w:bottom w:val="none" w:sz="0" w:space="0" w:color="auto"/>
                <w:right w:val="none" w:sz="0" w:space="0" w:color="auto"/>
              </w:divBdr>
              <w:divsChild>
                <w:div w:id="1801728649">
                  <w:marLeft w:val="0"/>
                  <w:marRight w:val="0"/>
                  <w:marTop w:val="0"/>
                  <w:marBottom w:val="0"/>
                  <w:divBdr>
                    <w:top w:val="none" w:sz="0" w:space="0" w:color="auto"/>
                    <w:left w:val="none" w:sz="0" w:space="0" w:color="auto"/>
                    <w:bottom w:val="none" w:sz="0" w:space="0" w:color="auto"/>
                    <w:right w:val="none" w:sz="0" w:space="0" w:color="auto"/>
                  </w:divBdr>
                  <w:divsChild>
                    <w:div w:id="144854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641927">
      <w:bodyDiv w:val="1"/>
      <w:marLeft w:val="0"/>
      <w:marRight w:val="0"/>
      <w:marTop w:val="0"/>
      <w:marBottom w:val="0"/>
      <w:divBdr>
        <w:top w:val="none" w:sz="0" w:space="0" w:color="auto"/>
        <w:left w:val="none" w:sz="0" w:space="0" w:color="auto"/>
        <w:bottom w:val="none" w:sz="0" w:space="0" w:color="auto"/>
        <w:right w:val="none" w:sz="0" w:space="0" w:color="auto"/>
      </w:divBdr>
    </w:div>
    <w:div w:id="1864853706">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614154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795791">
      <w:bodyDiv w:val="1"/>
      <w:marLeft w:val="0"/>
      <w:marRight w:val="0"/>
      <w:marTop w:val="0"/>
      <w:marBottom w:val="0"/>
      <w:divBdr>
        <w:top w:val="none" w:sz="0" w:space="0" w:color="auto"/>
        <w:left w:val="none" w:sz="0" w:space="0" w:color="auto"/>
        <w:bottom w:val="none" w:sz="0" w:space="0" w:color="auto"/>
        <w:right w:val="none" w:sz="0" w:space="0" w:color="auto"/>
      </w:divBdr>
    </w:div>
    <w:div w:id="1939368959">
      <w:bodyDiv w:val="1"/>
      <w:marLeft w:val="0"/>
      <w:marRight w:val="0"/>
      <w:marTop w:val="0"/>
      <w:marBottom w:val="0"/>
      <w:divBdr>
        <w:top w:val="none" w:sz="0" w:space="0" w:color="auto"/>
        <w:left w:val="none" w:sz="0" w:space="0" w:color="auto"/>
        <w:bottom w:val="none" w:sz="0" w:space="0" w:color="auto"/>
        <w:right w:val="none" w:sz="0" w:space="0" w:color="auto"/>
      </w:divBdr>
    </w:div>
    <w:div w:id="1965960102">
      <w:bodyDiv w:val="1"/>
      <w:marLeft w:val="0"/>
      <w:marRight w:val="0"/>
      <w:marTop w:val="0"/>
      <w:marBottom w:val="0"/>
      <w:divBdr>
        <w:top w:val="none" w:sz="0" w:space="0" w:color="auto"/>
        <w:left w:val="none" w:sz="0" w:space="0" w:color="auto"/>
        <w:bottom w:val="none" w:sz="0" w:space="0" w:color="auto"/>
        <w:right w:val="none" w:sz="0" w:space="0" w:color="auto"/>
      </w:divBdr>
    </w:div>
    <w:div w:id="1978338939">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18656503">
      <w:bodyDiv w:val="1"/>
      <w:marLeft w:val="0"/>
      <w:marRight w:val="0"/>
      <w:marTop w:val="0"/>
      <w:marBottom w:val="0"/>
      <w:divBdr>
        <w:top w:val="none" w:sz="0" w:space="0" w:color="auto"/>
        <w:left w:val="none" w:sz="0" w:space="0" w:color="auto"/>
        <w:bottom w:val="none" w:sz="0" w:space="0" w:color="auto"/>
        <w:right w:val="none" w:sz="0" w:space="0" w:color="auto"/>
      </w:divBdr>
    </w:div>
    <w:div w:id="2051415422">
      <w:bodyDiv w:val="1"/>
      <w:marLeft w:val="0"/>
      <w:marRight w:val="0"/>
      <w:marTop w:val="0"/>
      <w:marBottom w:val="0"/>
      <w:divBdr>
        <w:top w:val="none" w:sz="0" w:space="0" w:color="auto"/>
        <w:left w:val="none" w:sz="0" w:space="0" w:color="auto"/>
        <w:bottom w:val="none" w:sz="0" w:space="0" w:color="auto"/>
        <w:right w:val="none" w:sz="0" w:space="0" w:color="auto"/>
      </w:divBdr>
    </w:div>
    <w:div w:id="2064450450">
      <w:bodyDiv w:val="1"/>
      <w:marLeft w:val="0"/>
      <w:marRight w:val="0"/>
      <w:marTop w:val="0"/>
      <w:marBottom w:val="0"/>
      <w:divBdr>
        <w:top w:val="none" w:sz="0" w:space="0" w:color="auto"/>
        <w:left w:val="none" w:sz="0" w:space="0" w:color="auto"/>
        <w:bottom w:val="none" w:sz="0" w:space="0" w:color="auto"/>
        <w:right w:val="none" w:sz="0" w:space="0" w:color="auto"/>
      </w:divBdr>
    </w:div>
    <w:div w:id="2076780647">
      <w:bodyDiv w:val="1"/>
      <w:marLeft w:val="0"/>
      <w:marRight w:val="0"/>
      <w:marTop w:val="0"/>
      <w:marBottom w:val="0"/>
      <w:divBdr>
        <w:top w:val="none" w:sz="0" w:space="0" w:color="auto"/>
        <w:left w:val="none" w:sz="0" w:space="0" w:color="auto"/>
        <w:bottom w:val="none" w:sz="0" w:space="0" w:color="auto"/>
        <w:right w:val="none" w:sz="0" w:space="0" w:color="auto"/>
      </w:divBdr>
      <w:divsChild>
        <w:div w:id="1315259583">
          <w:marLeft w:val="0"/>
          <w:marRight w:val="0"/>
          <w:marTop w:val="0"/>
          <w:marBottom w:val="0"/>
          <w:divBdr>
            <w:top w:val="none" w:sz="0" w:space="0" w:color="auto"/>
            <w:left w:val="none" w:sz="0" w:space="0" w:color="auto"/>
            <w:bottom w:val="none" w:sz="0" w:space="0" w:color="auto"/>
            <w:right w:val="none" w:sz="0" w:space="0" w:color="auto"/>
          </w:divBdr>
        </w:div>
      </w:divsChild>
    </w:div>
    <w:div w:id="2093548109">
      <w:bodyDiv w:val="1"/>
      <w:marLeft w:val="0"/>
      <w:marRight w:val="0"/>
      <w:marTop w:val="0"/>
      <w:marBottom w:val="0"/>
      <w:divBdr>
        <w:top w:val="none" w:sz="0" w:space="0" w:color="auto"/>
        <w:left w:val="none" w:sz="0" w:space="0" w:color="auto"/>
        <w:bottom w:val="none" w:sz="0" w:space="0" w:color="auto"/>
        <w:right w:val="none" w:sz="0" w:space="0" w:color="auto"/>
      </w:divBdr>
    </w:div>
    <w:div w:id="2116947347">
      <w:bodyDiv w:val="1"/>
      <w:marLeft w:val="0"/>
      <w:marRight w:val="0"/>
      <w:marTop w:val="0"/>
      <w:marBottom w:val="0"/>
      <w:divBdr>
        <w:top w:val="none" w:sz="0" w:space="0" w:color="auto"/>
        <w:left w:val="none" w:sz="0" w:space="0" w:color="auto"/>
        <w:bottom w:val="none" w:sz="0" w:space="0" w:color="auto"/>
        <w:right w:val="none" w:sz="0" w:space="0" w:color="auto"/>
      </w:divBdr>
    </w:div>
    <w:div w:id="2139369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58B0DE-0A61-4972-9386-DC1B80B330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9420</Words>
  <Characters>51644</Characters>
  <Application>Microsoft Office Word</Application>
  <DocSecurity>0</DocSecurity>
  <Lines>430</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منال منال</cp:lastModifiedBy>
  <cp:revision>2</cp:revision>
  <cp:lastPrinted>2025-06-24T14:13:00Z</cp:lastPrinted>
  <dcterms:created xsi:type="dcterms:W3CDTF">2025-07-11T22:38:00Z</dcterms:created>
  <dcterms:modified xsi:type="dcterms:W3CDTF">2025-07-11T22:38:00Z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