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84EB1" w:rsidRDefault="00000000">
      <w:pPr>
        <w:rPr>
          <w:rFonts w:ascii="Sakkal Majalla" w:hAnsi="Sakkal Majalla" w:cs="Sakkal Majalla"/>
          <w:b/>
          <w:bCs/>
          <w:sz w:val="28"/>
          <w:szCs w:val="28"/>
          <w:rtl/>
          <w:lang w:bidi="ar-EG"/>
        </w:rPr>
      </w:pPr>
      <w:r>
        <w:rPr>
          <w:rFonts w:ascii="Sakkal Majalla" w:hAnsi="Sakkal Majalla" w:cs="Sakkal Majalla"/>
          <w:noProof/>
          <w:sz w:val="28"/>
          <w:szCs w:val="28"/>
        </w:rPr>
        <w:drawing>
          <wp:anchor distT="0" distB="0" distL="114300" distR="114300" simplePos="0" relativeHeight="2" behindDoc="0" locked="0" layoutInCell="1" allowOverlap="1">
            <wp:simplePos x="0" y="0"/>
            <wp:positionH relativeFrom="margin">
              <wp:posOffset>-190358</wp:posOffset>
            </wp:positionH>
            <wp:positionV relativeFrom="margin">
              <wp:posOffset>-317168</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جامعة ميدأوشن </w:t>
      </w:r>
    </w:p>
    <w:p w:rsidR="00F84EB1"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كلية الإدارة </w:t>
      </w:r>
    </w:p>
    <w:p w:rsidR="00F84EB1" w:rsidRDefault="00000000">
      <w:pPr>
        <w:spacing w:before="24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تخصص</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ماجستير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مشاريع</w:t>
      </w:r>
    </w:p>
    <w:p w:rsidR="00F84EB1" w:rsidRDefault="00F84EB1">
      <w:pPr>
        <w:rPr>
          <w:rFonts w:ascii="Sakkal Majalla" w:hAnsi="Sakkal Majalla" w:cs="Sakkal Majalla"/>
          <w:b/>
          <w:bCs/>
          <w:sz w:val="28"/>
          <w:szCs w:val="28"/>
          <w:rtl/>
          <w:lang w:bidi="ar-EG"/>
        </w:rPr>
      </w:pPr>
    </w:p>
    <w:p w:rsidR="00F84EB1" w:rsidRDefault="00F84EB1">
      <w:pPr>
        <w:rPr>
          <w:rFonts w:ascii="Sakkal Majalla" w:hAnsi="Sakkal Majalla" w:cs="Sakkal Majalla"/>
          <w:b/>
          <w:bCs/>
          <w:sz w:val="28"/>
          <w:szCs w:val="28"/>
          <w:rtl/>
          <w:lang w:bidi="ar-EG"/>
        </w:rPr>
      </w:pPr>
    </w:p>
    <w:p w:rsidR="00F84EB1" w:rsidRDefault="00F84EB1">
      <w:pPr>
        <w:rPr>
          <w:rFonts w:ascii="Sakkal Majalla" w:hAnsi="Sakkal Majalla" w:cs="Sakkal Majalla"/>
          <w:sz w:val="28"/>
          <w:szCs w:val="28"/>
          <w:rtl/>
          <w:lang w:bidi="ar-EG"/>
        </w:rPr>
      </w:pPr>
    </w:p>
    <w:p w:rsidR="00F84EB1" w:rsidRDefault="00F84EB1">
      <w:pPr>
        <w:rPr>
          <w:rFonts w:ascii="Sakkal Majalla" w:hAnsi="Sakkal Majalla" w:cs="Sakkal Majalla"/>
          <w:b/>
          <w:bCs/>
          <w:sz w:val="28"/>
          <w:szCs w:val="28"/>
          <w:rtl/>
          <w:lang w:bidi="ar-EG"/>
        </w:rPr>
      </w:pPr>
    </w:p>
    <w:p w:rsidR="00F84EB1" w:rsidRDefault="00F84EB1">
      <w:pPr>
        <w:pStyle w:val="a0"/>
        <w:jc w:val="left"/>
        <w:rPr>
          <w:b/>
          <w:bCs/>
          <w:rtl/>
        </w:rPr>
      </w:pPr>
    </w:p>
    <w:p w:rsidR="00F84EB1" w:rsidRDefault="00000000">
      <w:pPr>
        <w:spacing w:before="240" w:line="360" w:lineRule="auto"/>
        <w:jc w:val="center"/>
        <w:rPr>
          <w:rFonts w:ascii="Sakkal Majalla" w:hAnsi="Sakkal Majalla" w:cs="Sakkal Majalla"/>
          <w:b/>
          <w:bCs/>
          <w:i/>
          <w:iCs/>
          <w:sz w:val="28"/>
          <w:szCs w:val="28"/>
          <w:rtl/>
          <w:lang w:bidi="ar-EG"/>
        </w:rPr>
      </w:pPr>
      <w:r>
        <w:rPr>
          <w:rFonts w:ascii="Sakkal Majalla" w:hAnsi="Sakkal Majalla" w:cs="Sakkal Majalla" w:hint="cs"/>
          <w:b/>
          <w:bCs/>
          <w:i/>
          <w:iCs/>
          <w:sz w:val="28"/>
          <w:szCs w:val="28"/>
          <w:rtl/>
          <w:lang w:bidi="ar-EG"/>
        </w:rPr>
        <w:t>تأثير</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الأنظمة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الذكية على</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تحسين</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دقة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التوقعات</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الزمنية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والحد</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من</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التأخيرات</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في</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مشاريع</w:t>
      </w:r>
      <w:r>
        <w:rPr>
          <w:rFonts w:ascii="Sakkal Majalla" w:hAnsi="Sakkal Majalla" w:cs="Sakkal Majalla"/>
          <w:b/>
          <w:bCs/>
          <w:i/>
          <w:iCs/>
          <w:sz w:val="28"/>
          <w:szCs w:val="28"/>
          <w:rtl/>
          <w:lang w:bidi="ar-EG"/>
        </w:rPr>
        <w:t xml:space="preserve"> </w:t>
      </w:r>
    </w:p>
    <w:p w:rsidR="00F84EB1" w:rsidRDefault="00000000">
      <w:pPr>
        <w:spacing w:before="240" w:line="360" w:lineRule="auto"/>
        <w:jc w:val="center"/>
        <w:rPr>
          <w:rFonts w:ascii="Sakkal Majalla" w:hAnsi="Sakkal Majalla" w:cs="Sakkal Majalla"/>
          <w:b/>
          <w:bCs/>
          <w:i/>
          <w:iCs/>
          <w:sz w:val="28"/>
          <w:szCs w:val="28"/>
          <w:rtl/>
          <w:lang w:bidi="ar-EG"/>
        </w:rPr>
      </w:pPr>
      <w:r>
        <w:rPr>
          <w:rFonts w:ascii="Sakkal Majalla" w:hAnsi="Sakkal Majalla" w:cs="Sakkal Majalla" w:hint="cs"/>
          <w:b/>
          <w:bCs/>
          <w:i/>
          <w:iCs/>
          <w:sz w:val="28"/>
          <w:szCs w:val="28"/>
          <w:rtl/>
          <w:lang w:bidi="ar-EG"/>
        </w:rPr>
        <w:t>الإنشاء</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والبنية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التحتية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في</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المملكة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العربية</w:t>
      </w:r>
      <w:r>
        <w:rPr>
          <w:rFonts w:ascii="Sakkal Majalla" w:hAnsi="Sakkal Majalla" w:cs="Sakkal Majalla"/>
          <w:b/>
          <w:bCs/>
          <w:i/>
          <w:iCs/>
          <w:sz w:val="28"/>
          <w:szCs w:val="28"/>
          <w:rtl/>
          <w:lang w:bidi="ar-EG"/>
        </w:rPr>
        <w:t xml:space="preserve"> </w:t>
      </w:r>
      <w:r>
        <w:rPr>
          <w:rFonts w:ascii="Sakkal Majalla" w:hAnsi="Sakkal Majalla" w:cs="Sakkal Majalla" w:hint="cs"/>
          <w:b/>
          <w:bCs/>
          <w:i/>
          <w:iCs/>
          <w:sz w:val="28"/>
          <w:szCs w:val="28"/>
          <w:rtl/>
          <w:lang w:bidi="ar-EG"/>
        </w:rPr>
        <w:t>السعودية</w:t>
      </w:r>
    </w:p>
    <w:p w:rsidR="00F84EB1" w:rsidRDefault="00F84EB1">
      <w:pPr>
        <w:jc w:val="center"/>
        <w:rPr>
          <w:rFonts w:ascii="Sakkal Majalla" w:hAnsi="Sakkal Majalla" w:cs="Sakkal Majalla"/>
          <w:b/>
          <w:bCs/>
          <w:i/>
          <w:iCs/>
          <w:sz w:val="28"/>
          <w:szCs w:val="28"/>
          <w:rtl/>
          <w:lang w:bidi="ar-EG"/>
        </w:rPr>
      </w:pPr>
    </w:p>
    <w:p w:rsidR="00F84EB1" w:rsidRDefault="00000000">
      <w:pPr>
        <w:jc w:val="center"/>
        <w:rPr>
          <w:rFonts w:ascii="Sakkal Majalla" w:hAnsi="Sakkal Majalla" w:cs="Sakkal Majalla"/>
          <w:b/>
          <w:bCs/>
          <w:i/>
          <w:iCs/>
          <w:sz w:val="28"/>
          <w:szCs w:val="28"/>
          <w:rtl/>
          <w:lang w:bidi="ar-EG"/>
        </w:rPr>
      </w:pPr>
      <w:r>
        <w:rPr>
          <w:rFonts w:ascii="Sakkal Majalla" w:hAnsi="Sakkal Majalla" w:cs="Sakkal Majalla"/>
          <w:b/>
          <w:bCs/>
          <w:i/>
          <w:iCs/>
          <w:sz w:val="28"/>
          <w:szCs w:val="28"/>
          <w:rtl/>
          <w:lang w:bidi="ar-EG"/>
        </w:rPr>
        <w:t>إعداد الطالب/</w:t>
      </w:r>
    </w:p>
    <w:p w:rsidR="00F84EB1" w:rsidRDefault="00101FAF">
      <w:pPr>
        <w:jc w:val="center"/>
        <w:rPr>
          <w:rFonts w:ascii="Sakkal Majalla" w:hAnsi="Sakkal Majalla" w:cs="Sakkal Majalla" w:hint="cs"/>
          <w:b/>
          <w:bCs/>
          <w:i/>
          <w:iCs/>
          <w:sz w:val="28"/>
          <w:szCs w:val="28"/>
          <w:rtl/>
        </w:rPr>
      </w:pPr>
      <w:r>
        <w:rPr>
          <w:rFonts w:ascii="Sakkal Majalla" w:hAnsi="Sakkal Majalla" w:cs="Sakkal Majalla" w:hint="cs"/>
          <w:b/>
          <w:bCs/>
          <w:i/>
          <w:iCs/>
          <w:sz w:val="28"/>
          <w:szCs w:val="28"/>
          <w:rtl/>
        </w:rPr>
        <w:t xml:space="preserve">محمود طالب الإصيبعي </w:t>
      </w:r>
    </w:p>
    <w:p w:rsidR="00F84EB1" w:rsidRDefault="00F84EB1">
      <w:pPr>
        <w:jc w:val="center"/>
        <w:rPr>
          <w:rFonts w:ascii="Sakkal Majalla" w:hAnsi="Sakkal Majalla" w:cs="Sakkal Majalla"/>
          <w:b/>
          <w:bCs/>
          <w:i/>
          <w:iCs/>
          <w:sz w:val="28"/>
          <w:szCs w:val="28"/>
          <w:rtl/>
          <w:lang w:bidi="ar-EG"/>
        </w:rPr>
      </w:pPr>
    </w:p>
    <w:p w:rsidR="00F84EB1" w:rsidRDefault="00000000">
      <w:pPr>
        <w:jc w:val="center"/>
        <w:rPr>
          <w:rFonts w:ascii="Sakkal Majalla" w:hAnsi="Sakkal Majalla" w:cs="Sakkal Majalla"/>
          <w:b/>
          <w:bCs/>
          <w:i/>
          <w:iCs/>
          <w:sz w:val="28"/>
          <w:szCs w:val="28"/>
          <w:rtl/>
          <w:lang w:bidi="ar-EG"/>
        </w:rPr>
      </w:pPr>
      <w:r>
        <w:rPr>
          <w:rFonts w:ascii="Sakkal Majalla" w:hAnsi="Sakkal Majalla" w:cs="Sakkal Majalla"/>
          <w:b/>
          <w:bCs/>
          <w:i/>
          <w:iCs/>
          <w:sz w:val="28"/>
          <w:szCs w:val="28"/>
          <w:rtl/>
          <w:lang w:bidi="ar-EG"/>
        </w:rPr>
        <w:t>إشراف/</w:t>
      </w:r>
    </w:p>
    <w:p w:rsidR="00F84EB1" w:rsidRDefault="00000000">
      <w:pPr>
        <w:jc w:val="center"/>
        <w:rPr>
          <w:rFonts w:ascii="Sakkal Majalla" w:hAnsi="Sakkal Majalla" w:cs="Sakkal Majalla"/>
          <w:b/>
          <w:bCs/>
          <w:i/>
          <w:iCs/>
          <w:sz w:val="28"/>
          <w:szCs w:val="28"/>
          <w:rtl/>
          <w:lang w:bidi="ar-EG"/>
        </w:rPr>
      </w:pPr>
      <w:r>
        <w:rPr>
          <w:rFonts w:ascii="Sakkal Majalla" w:hAnsi="Sakkal Majalla" w:hint="cs"/>
          <w:b/>
          <w:bCs/>
          <w:i/>
          <w:iCs/>
          <w:sz w:val="28"/>
          <w:szCs w:val="28"/>
          <w:rtl/>
          <w:lang w:bidi="ar-DZ"/>
        </w:rPr>
        <w:t xml:space="preserve">د. أسماء أبو عنزة </w:t>
      </w:r>
    </w:p>
    <w:p w:rsidR="00F84EB1" w:rsidRDefault="00F84EB1">
      <w:pPr>
        <w:jc w:val="center"/>
        <w:rPr>
          <w:rFonts w:ascii="Sakkal Majalla" w:hAnsi="Sakkal Majalla" w:cs="Sakkal Majalla"/>
          <w:b/>
          <w:bCs/>
          <w:i/>
          <w:iCs/>
          <w:sz w:val="28"/>
          <w:szCs w:val="28"/>
          <w:rtl/>
          <w:lang w:bidi="ar-EG"/>
        </w:rPr>
      </w:pPr>
    </w:p>
    <w:p w:rsidR="00F84EB1" w:rsidRDefault="00000000">
      <w:pPr>
        <w:jc w:val="center"/>
        <w:rPr>
          <w:rFonts w:ascii="Sakkal Majalla" w:hAnsi="Sakkal Majalla" w:cs="Sakkal Majalla"/>
          <w:b/>
          <w:bCs/>
          <w:i/>
          <w:iCs/>
          <w:sz w:val="28"/>
          <w:szCs w:val="28"/>
          <w:rtl/>
          <w:lang w:bidi="ar-EG"/>
        </w:rPr>
      </w:pPr>
      <w:r>
        <w:rPr>
          <w:rFonts w:ascii="Sakkal Majalla" w:hAnsi="Sakkal Majalla" w:cs="Sakkal Majalla"/>
          <w:b/>
          <w:bCs/>
          <w:i/>
          <w:iCs/>
          <w:sz w:val="28"/>
          <w:szCs w:val="28"/>
          <w:rtl/>
          <w:lang w:bidi="ar-EG"/>
        </w:rPr>
        <w:t>العام الدراسي:</w:t>
      </w:r>
    </w:p>
    <w:p w:rsidR="00F84EB1" w:rsidRDefault="00000000">
      <w:pPr>
        <w:jc w:val="center"/>
        <w:rPr>
          <w:rFonts w:ascii="Sakkal Majalla" w:hAnsi="Sakkal Majalla" w:cs="Sakkal Majalla"/>
          <w:b/>
          <w:bCs/>
          <w:i/>
          <w:iCs/>
          <w:sz w:val="28"/>
          <w:szCs w:val="28"/>
          <w:rtl/>
          <w:lang w:bidi="ar-EG"/>
        </w:rPr>
      </w:pPr>
      <w:r>
        <w:rPr>
          <w:rFonts w:ascii="Sakkal Majalla" w:hAnsi="Sakkal Majalla" w:cs="Sakkal Majalla"/>
          <w:b/>
          <w:bCs/>
          <w:i/>
          <w:iCs/>
          <w:sz w:val="28"/>
          <w:szCs w:val="28"/>
          <w:rtl/>
          <w:lang w:bidi="ar-EG"/>
        </w:rPr>
        <w:t>202</w:t>
      </w:r>
      <w:r>
        <w:rPr>
          <w:rFonts w:ascii="Sakkal Majalla" w:hAnsi="Sakkal Majalla" w:cs="Sakkal Majalla" w:hint="cs"/>
          <w:b/>
          <w:bCs/>
          <w:i/>
          <w:iCs/>
          <w:sz w:val="28"/>
          <w:szCs w:val="28"/>
          <w:rtl/>
          <w:lang w:bidi="ar-EG"/>
        </w:rPr>
        <w:t>4</w:t>
      </w:r>
    </w:p>
    <w:p w:rsidR="00F84EB1" w:rsidRDefault="00F84EB1">
      <w:pPr>
        <w:rPr>
          <w:rFonts w:ascii="Sakkal Majalla" w:hAnsi="Sakkal Majalla" w:cs="Sakkal Majalla"/>
          <w:b/>
          <w:bCs/>
          <w:i/>
          <w:iCs/>
          <w:sz w:val="28"/>
          <w:szCs w:val="28"/>
          <w:rtl/>
          <w:lang w:bidi="ar-EG"/>
        </w:rPr>
      </w:pPr>
    </w:p>
    <w:p w:rsidR="00F84EB1" w:rsidRDefault="00F84EB1">
      <w:pPr>
        <w:rPr>
          <w:b/>
          <w:bCs/>
          <w:i/>
          <w:iCs/>
          <w:rtl/>
        </w:rPr>
      </w:pPr>
    </w:p>
    <w:p w:rsidR="00F84EB1" w:rsidRDefault="00F84EB1">
      <w:pPr>
        <w:rPr>
          <w:b/>
          <w:bCs/>
          <w:i/>
          <w:iCs/>
          <w:rtl/>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F84EB1">
      <w:pPr>
        <w:spacing w:line="278" w:lineRule="auto"/>
        <w:rPr>
          <w:rFonts w:ascii="Sakkal Majalla" w:hAnsi="Sakkal Majalla" w:cs="Sakkal Majalla"/>
          <w:b/>
          <w:bCs/>
          <w:sz w:val="28"/>
          <w:szCs w:val="28"/>
          <w:rtl/>
          <w:lang w:bidi="ar-EG"/>
        </w:rPr>
      </w:pPr>
    </w:p>
    <w:p w:rsidR="00F84EB1" w:rsidRDefault="00000000">
      <w:pPr>
        <w:pStyle w:val="Heading1"/>
        <w:rPr>
          <w:rtl/>
        </w:rPr>
      </w:pPr>
      <w:bookmarkStart w:id="0" w:name="_Toc181295198"/>
      <w:r>
        <w:rPr>
          <w:rFonts w:hint="cs"/>
          <w:rtl/>
          <w:lang w:bidi="ar-DZ"/>
        </w:rPr>
        <w:t xml:space="preserve">                           </w:t>
      </w:r>
      <w:r>
        <w:rPr>
          <w:rtl/>
        </w:rPr>
        <w:t>الفصل الأول</w:t>
      </w:r>
      <w:bookmarkEnd w:id="0"/>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F84EB1">
      <w:pPr>
        <w:rPr>
          <w:rtl/>
          <w:lang w:bidi="ar-EG"/>
        </w:rPr>
      </w:pPr>
    </w:p>
    <w:p w:rsidR="00F84EB1" w:rsidRDefault="00000000">
      <w:pPr>
        <w:pStyle w:val="Heading2"/>
        <w:rPr>
          <w:rtl/>
        </w:rPr>
      </w:pPr>
      <w:bookmarkStart w:id="1" w:name="_Toc181295199"/>
      <w:r>
        <w:rPr>
          <w:rFonts w:hint="cs"/>
          <w:rtl/>
        </w:rPr>
        <w:lastRenderedPageBreak/>
        <w:t>المقدمة:</w:t>
      </w:r>
      <w:bookmarkEnd w:id="1"/>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تتمتع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بخطة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الطموحة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اعتماده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عائدات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وتحفيز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والموانئ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تعقيد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اللوجستية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وشراء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معروفة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وتجاوز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دوليًا،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Albashrawi</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تقليديًا،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اعتمدت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اليدوية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بالمواعيد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تفتقر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المنهجيات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عمومًا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وتفشل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مراعاة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تحركها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ونمذجة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ثورة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وبالتالي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تعظيم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متفوقة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Gurgun</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والخوارزميات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شهد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هائلة،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هائلة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لاكتشاف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وإجراء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ملاحظات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الاستباقية،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شديدة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Baduge</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الفوائد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وجديرة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بالثقة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قائم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متكرر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للتحيزات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الأخطاء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النقيض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خوارزميات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أنماط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الإحصائيات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المزروعة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والآلات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المزيج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التاريخية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للغاية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Benti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ومعدلات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حساب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الإنجاز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باستمرار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محدثة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للغاية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الأسهل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والقضاء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الاختناقات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Nabeel</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متابعة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الاستشعار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المثبتة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التآكل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الأعطال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مسبقًا،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يتخذ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الإصلاحات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الاستعداد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احتياطية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التوقف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Soori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الأطراف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لإكمال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شارك،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المقاولين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اطلاع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دائم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تبادل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منصات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السحابة،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تحديثات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الانفتاح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التفسير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ظهور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مواقف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متوقعة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Minois</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BIM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للبناء</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BIM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تمثيل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والوظيفية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مبنى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محاكاة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والاستعداد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للخيارات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البديلة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BIM</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اكتشاف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الصراعات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استمرار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الصحيح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Wang</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BIM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المقترنة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المشتريات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الأسباب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شيوعًا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الإمدادات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الحيوية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بموعد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حدوث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والتوصية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بإمكانيات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مصادر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الاستباقية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إمكانية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الإمدادات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حدوث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ناجمة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Alsehaimi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يكتسب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سرعة،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تطلعات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النبيلة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للبلاد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تستثمر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الانتهاء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الميزانية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المعتادة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المواتية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Far19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(Farag,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الصحراوية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الحرارة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المفرطة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والعواصف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استشعار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وخوارزميات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المرجح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الطقس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التوقف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المكلف</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CITATION Man23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(Mani,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البلاد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يتماشى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الجهود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خضرة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Alotaibi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الختام،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ونمذجة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وغيرها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استباقية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w:t>
      </w:r>
    </w:p>
    <w:p w:rsidR="00F84EB1" w:rsidRDefault="00F84EB1">
      <w:pPr>
        <w:spacing w:before="240" w:line="360" w:lineRule="auto"/>
        <w:jc w:val="both"/>
        <w:rPr>
          <w:rFonts w:ascii="Sakkal Majalla" w:hAnsi="Sakkal Majalla" w:cs="Sakkal Majalla"/>
          <w:sz w:val="28"/>
          <w:szCs w:val="28"/>
          <w:rtl/>
          <w:lang w:bidi="ar-EG"/>
        </w:rPr>
      </w:pPr>
    </w:p>
    <w:p w:rsidR="00F84EB1" w:rsidRDefault="00000000">
      <w:pPr>
        <w:pStyle w:val="Heading2"/>
        <w:rPr>
          <w:rtl/>
        </w:rPr>
      </w:pPr>
      <w:bookmarkStart w:id="2" w:name="_Toc171379042"/>
      <w:bookmarkStart w:id="3" w:name="_Toc174371283"/>
      <w:bookmarkStart w:id="4" w:name="_Toc179282771"/>
      <w:bookmarkStart w:id="5" w:name="_Toc181295200"/>
      <w:r>
        <w:rPr>
          <w:rtl/>
        </w:rPr>
        <w:t>مشكلة الدراسة:</w:t>
      </w:r>
      <w:bookmarkEnd w:id="2"/>
      <w:bookmarkEnd w:id="3"/>
      <w:bookmarkEnd w:id="4"/>
      <w:bookmarkEnd w:id="5"/>
    </w:p>
    <w:p w:rsidR="00F84EB1" w:rsidRDefault="00F84EB1">
      <w:pPr>
        <w:rPr>
          <w:rtl/>
          <w:lang w:bidi="ar-EG"/>
        </w:rPr>
      </w:pP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الطموحة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حاسمة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لجهود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خسائر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المتزايد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عدم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التكامل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الكامل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المشاريع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الواضحة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فجوة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إمكاناتها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ونمذجة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غالبًا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بمعزل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كجزء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الافتقار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الاتصال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فقدان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إمكانيات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مزامنة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الضروري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الأسباب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البطيء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Alajmi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مقاومة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التغيير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التكنولوجي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وحواجز</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التبني</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معارضة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كثيف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المتخصصين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اليدوية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ويكافحون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ثقافة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المحافظة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يولد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مقاومة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Yap22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Yap</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الخبرة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الفنية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المحدودة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ومهارات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القوى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العاملة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متعلمين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ومجهزين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وصيانة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أحيانًا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فجوة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يفتقر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والمشرفون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أخطاء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إدخال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المحدود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للأفراد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خاطئة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Babashahi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الأولية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المرتفعة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والقيود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الميزانية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مكلفًا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للغاية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بالنسبة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البرمجيات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وأنظمة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BIM</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الصيانة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أحيانًا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صغيرة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متوسطة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حتى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واضحة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سيحتاج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الميزانية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Nilimaa</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البيانات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ومخاوف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الأمن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السيبراني</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ومعالجة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هائلة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مصادر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متعددة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بخصوصية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السيبراني،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الحساسة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الخروقات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السيبراني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السيبراني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بأكملها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Ahmad</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2"/>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المتغيرات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البيئية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والمحددة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للمشروع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الصحراوية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والمحددة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صحيح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تأثيرها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Schuldt</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F84EB1">
      <w:pPr>
        <w:rPr>
          <w:rtl/>
          <w:lang w:bidi="ar-EG"/>
        </w:rPr>
      </w:pPr>
    </w:p>
    <w:p w:rsidR="00F84EB1" w:rsidRDefault="00F84EB1">
      <w:pPr>
        <w:rPr>
          <w:rtl/>
          <w:lang w:bidi="ar-EG"/>
        </w:rPr>
      </w:pPr>
    </w:p>
    <w:p w:rsidR="00F84EB1" w:rsidRDefault="00000000">
      <w:pPr>
        <w:pStyle w:val="Heading2"/>
        <w:rPr>
          <w:rtl/>
        </w:rPr>
      </w:pPr>
      <w:bookmarkStart w:id="6" w:name="_Toc171379044"/>
      <w:bookmarkStart w:id="7" w:name="_Toc174371285"/>
      <w:bookmarkStart w:id="8" w:name="_Toc179282773"/>
      <w:bookmarkStart w:id="9" w:name="_Toc181295201"/>
      <w:r>
        <w:rPr>
          <w:rtl/>
        </w:rPr>
        <w:t>أهداف الدراسة:</w:t>
      </w:r>
      <w:bookmarkStart w:id="10" w:name="_Toc171379043"/>
      <w:bookmarkStart w:id="11" w:name="_Toc174371284"/>
      <w:bookmarkStart w:id="12" w:name="_Toc179282772"/>
      <w:bookmarkEnd w:id="6"/>
      <w:bookmarkEnd w:id="7"/>
      <w:bookmarkEnd w:id="8"/>
      <w:bookmarkEnd w:id="9"/>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الهدف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الأهداف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p>
    <w:p w:rsidR="00F84EB1" w:rsidRDefault="00000000">
      <w:pPr>
        <w:pStyle w:val="ListParagraph"/>
        <w:numPr>
          <w:ilvl w:val="0"/>
          <w:numId w:val="7"/>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تقييم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فعالية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التنبؤ</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بالوقت</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يمثل هذا 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وغيرها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الخوارزميات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يستلزم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مقارنة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بإجراء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وبالتالي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وتنفيذه</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Long</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7"/>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تحديد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العوامل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تساهم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تأخير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المشروع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الأسباب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اللوجستية،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بأسباب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لتكرار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وشدة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Latif</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7"/>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فحص</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دور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كفاءة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المشروع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الإجمالية،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يتجاوز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ويحاول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إدخال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تبسيط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النفايات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تترجم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وإكمال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أسرع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بالنفع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وطموحات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Mer24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Mercedes-Heredia</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7"/>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تحليل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تحديات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تبني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وتكامل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خاليًا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العوائق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المرتفعة،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السيبراني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خصوصية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أسرع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كامل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Farhadi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7"/>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تقديم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توصيات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استخدام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والاستنتاجات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نصائح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وصناع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تعظيم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وستركز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المقترحات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التكتيكات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اللازمة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الناجح،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والتكنولوجية،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قابلة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أنحاء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w:t>
      </w:r>
    </w:p>
    <w:p w:rsidR="00F84EB1" w:rsidRDefault="00F84EB1">
      <w:pPr>
        <w:pStyle w:val="a0"/>
        <w:rPr>
          <w:rtl/>
          <w:lang w:bidi="ar-SA"/>
        </w:rPr>
      </w:pPr>
    </w:p>
    <w:p w:rsidR="00F84EB1" w:rsidRDefault="00000000">
      <w:pPr>
        <w:pStyle w:val="Heading2"/>
      </w:pPr>
      <w:bookmarkStart w:id="13" w:name="_Toc181295202"/>
      <w:r>
        <w:rPr>
          <w:rtl/>
        </w:rPr>
        <w:t>أهمية الدراسة:</w:t>
      </w:r>
      <w:bookmarkEnd w:id="10"/>
      <w:bookmarkEnd w:id="11"/>
      <w:bookmarkEnd w:id="12"/>
      <w:bookmarkEnd w:id="13"/>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الجسم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الأكاديمي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والتطبيقات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كجزء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إدراك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الأهمية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العلمية</w:t>
      </w:r>
    </w:p>
    <w:p w:rsidR="00F84EB1" w:rsidRDefault="00000000">
      <w:pPr>
        <w:pStyle w:val="ListParagraph"/>
        <w:numPr>
          <w:ilvl w:val="0"/>
          <w:numId w:val="5"/>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المساهمة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المعرفة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حول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التقنيات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البناء</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متزايدة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الأبحاث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ركزت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نوعها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الفجوة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وأهميتها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Eji23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Ejidike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5"/>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تعزيز</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الأطر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المشاريع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لوظيفتها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ونمذجة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أخرى</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Watt</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5"/>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تطوير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نماذج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التحليلات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التنبؤية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احتياجات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مماثلة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النمذجة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وكشف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لإجراء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للوقت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Aljohani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5"/>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المساهمة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ممارسات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البناء</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المستدام</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غالبًا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بمفاهيم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النفايات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التوفيق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Bassey</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5"/>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بيانات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تجريبية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لمزيد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البحث</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واقعية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للباحثين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الآخرين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الموضوعات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الآثار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الأكاديمي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الصناعات</w:t>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الأهمية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العملية</w:t>
      </w:r>
    </w:p>
    <w:p w:rsidR="00F84EB1" w:rsidRDefault="00000000">
      <w:pPr>
        <w:pStyle w:val="ListParagraph"/>
        <w:numPr>
          <w:ilvl w:val="0"/>
          <w:numId w:val="6"/>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كفاءة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المشروع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وخفض</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التكاليف</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بالنسبة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للممارسين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وتعظيم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تداعيات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واضحة،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بالنسبة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2030</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Senjak</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6"/>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دعم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تحقيق</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أهداف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رؤية</w:t>
      </w:r>
      <w:r>
        <w:rPr>
          <w:rFonts w:ascii="Sakkal Majalla" w:hAnsi="Sakkal Majalla" w:cs="Sakkal Majalla"/>
          <w:b/>
          <w:bCs/>
          <w:sz w:val="28"/>
          <w:szCs w:val="28"/>
          <w:rtl/>
          <w:lang w:bidi="ar-EG"/>
        </w:rPr>
        <w:t xml:space="preserve"> 2030</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استنتاجات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2030</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كركيزة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التقرير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أفكارًا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وبالتالي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Brahimi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6"/>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المخاطر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مشاريع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البناء</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أعطال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الإمدادات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اتباع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اقتراحات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وحلها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أسهل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Alshehhi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6"/>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إنتاجية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القوى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العاملة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والتدريب</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تثقيف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يرشد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موظفيها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نفس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نصائح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تجهيز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6"/>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تخصيص</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الموارد</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النصائح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مواردها،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المعقدة</w:t>
      </w:r>
      <w:r>
        <w:rPr>
          <w:rFonts w:ascii="Sakkal Majalla" w:hAnsi="Sakkal Majalla" w:cs="Sakkal Majalla"/>
          <w:sz w:val="28"/>
          <w:szCs w:val="28"/>
          <w:rtl/>
          <w:lang w:bidi="ar-EG"/>
        </w:rPr>
        <w:t>.</w:t>
      </w:r>
    </w:p>
    <w:p w:rsidR="00F84EB1" w:rsidRDefault="00F84EB1">
      <w:pPr>
        <w:pStyle w:val="a0"/>
      </w:pPr>
    </w:p>
    <w:p w:rsidR="00F84EB1" w:rsidRDefault="00000000">
      <w:pPr>
        <w:pStyle w:val="Heading2"/>
        <w:rPr>
          <w:rtl/>
        </w:rPr>
      </w:pPr>
      <w:bookmarkStart w:id="14" w:name="_Toc171379045"/>
      <w:bookmarkStart w:id="15" w:name="_Toc174371286"/>
      <w:bookmarkStart w:id="16" w:name="_Toc179282774"/>
      <w:bookmarkStart w:id="17" w:name="_Toc181295203"/>
      <w:r>
        <w:rPr>
          <w:rtl/>
        </w:rPr>
        <w:t>تساؤلات الدراسة</w:t>
      </w:r>
      <w:r>
        <w:rPr>
          <w:rFonts w:hint="cs"/>
          <w:rtl/>
        </w:rPr>
        <w:t>:</w:t>
      </w:r>
      <w:bookmarkEnd w:id="14"/>
      <w:bookmarkEnd w:id="15"/>
      <w:bookmarkEnd w:id="16"/>
      <w:bookmarkEnd w:id="17"/>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السؤال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p>
    <w:p w:rsidR="00F84EB1" w:rsidRDefault="00F84EB1">
      <w:pPr>
        <w:spacing w:before="240" w:line="360" w:lineRule="auto"/>
        <w:jc w:val="both"/>
        <w:rPr>
          <w:rFonts w:ascii="Sakkal Majalla" w:hAnsi="Sakkal Majalla" w:cs="Sakkal Majalla"/>
          <w:sz w:val="28"/>
          <w:szCs w:val="28"/>
          <w:rtl/>
          <w:lang w:bidi="ar-EG"/>
        </w:rPr>
      </w:pP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الأسئلة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p>
    <w:p w:rsidR="00F84EB1" w:rsidRDefault="00000000">
      <w:pPr>
        <w:pStyle w:val="ListParagraph"/>
        <w:numPr>
          <w:ilvl w:val="0"/>
          <w:numId w:val="8"/>
        </w:num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p>
    <w:p w:rsidR="00F84EB1" w:rsidRDefault="00000000">
      <w:pPr>
        <w:pStyle w:val="ListParagraph"/>
        <w:numPr>
          <w:ilvl w:val="0"/>
          <w:numId w:val="8"/>
        </w:num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المساعدة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الأسباب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p>
    <w:p w:rsidR="00F84EB1" w:rsidRDefault="00000000">
      <w:pPr>
        <w:pStyle w:val="ListParagraph"/>
        <w:numPr>
          <w:ilvl w:val="0"/>
          <w:numId w:val="8"/>
        </w:num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والجدولة؟</w:t>
      </w:r>
    </w:p>
    <w:p w:rsidR="00F84EB1" w:rsidRDefault="00000000">
      <w:pPr>
        <w:pStyle w:val="ListParagraph"/>
        <w:numPr>
          <w:ilvl w:val="0"/>
          <w:numId w:val="8"/>
        </w:num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p>
    <w:p w:rsidR="00F84EB1" w:rsidRDefault="00000000">
      <w:pPr>
        <w:pStyle w:val="ListParagraph"/>
        <w:numPr>
          <w:ilvl w:val="0"/>
          <w:numId w:val="8"/>
        </w:numPr>
        <w:spacing w:before="24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تعظيم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لإنجاز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w:t>
      </w:r>
    </w:p>
    <w:p w:rsidR="00F84EB1" w:rsidRDefault="00F84EB1">
      <w:pPr>
        <w:rPr>
          <w:rtl/>
          <w:lang w:bidi="ar-EG"/>
        </w:rPr>
      </w:pPr>
    </w:p>
    <w:p w:rsidR="00F84EB1" w:rsidRDefault="00000000">
      <w:pPr>
        <w:pStyle w:val="Heading2"/>
      </w:pPr>
      <w:bookmarkStart w:id="18" w:name="_Toc171379046"/>
      <w:bookmarkStart w:id="19" w:name="_Toc174371287"/>
      <w:bookmarkStart w:id="20" w:name="_Toc179282775"/>
      <w:bookmarkStart w:id="21" w:name="_Toc181295204"/>
      <w:r>
        <w:rPr>
          <w:rtl/>
        </w:rPr>
        <w:t>فر</w:t>
      </w:r>
      <w:r>
        <w:rPr>
          <w:rFonts w:hint="cs"/>
          <w:rtl/>
        </w:rPr>
        <w:t>ضيات</w:t>
      </w:r>
      <w:r>
        <w:rPr>
          <w:rtl/>
        </w:rPr>
        <w:t xml:space="preserve"> الدراسة:</w:t>
      </w:r>
      <w:bookmarkEnd w:id="18"/>
      <w:bookmarkEnd w:id="19"/>
      <w:bookmarkEnd w:id="20"/>
      <w:bookmarkEnd w:id="21"/>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الفرضية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الفرضيات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p>
    <w:p w:rsidR="00F84EB1" w:rsidRDefault="00000000">
      <w:pPr>
        <w:pStyle w:val="ListParagraph"/>
        <w:numPr>
          <w:ilvl w:val="0"/>
          <w:numId w:val="9"/>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استخدام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التكنولوجيا</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يعزز</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دقة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التنبؤات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الزمنية</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تقترح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تنبؤات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عمومًا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التاريخية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الثابتة،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المقابل،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الآلي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المفهوم،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إظهار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w:t>
      </w:r>
    </w:p>
    <w:p w:rsidR="00F84EB1" w:rsidRDefault="00F84EB1">
      <w:pPr>
        <w:spacing w:before="240" w:line="360" w:lineRule="auto"/>
        <w:jc w:val="both"/>
        <w:rPr>
          <w:rFonts w:ascii="Sakkal Majalla" w:hAnsi="Sakkal Majalla" w:cs="Sakkal Majalla"/>
          <w:sz w:val="28"/>
          <w:szCs w:val="28"/>
          <w:lang w:bidi="ar-EG"/>
        </w:rPr>
      </w:pPr>
    </w:p>
    <w:p w:rsidR="00F84EB1" w:rsidRDefault="00000000">
      <w:pPr>
        <w:pStyle w:val="ListParagraph"/>
        <w:numPr>
          <w:ilvl w:val="0"/>
          <w:numId w:val="9"/>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تؤدي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الحلول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انخفاض</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كبير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وتيرة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وطول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التأخيرات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مشاريع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البناء</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والبنية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التحتية</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تزعم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استباقي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أجهزة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إثبات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التوقف</w:t>
      </w:r>
      <w:r>
        <w:rPr>
          <w:rFonts w:ascii="Sakkal Majalla" w:hAnsi="Sakkal Majalla" w:cs="Sakkal Majalla"/>
          <w:sz w:val="28"/>
          <w:szCs w:val="28"/>
          <w:rtl/>
          <w:lang w:bidi="ar-EG"/>
        </w:rPr>
        <w:t>.</w:t>
      </w:r>
    </w:p>
    <w:p w:rsidR="00F84EB1" w:rsidRDefault="00000000">
      <w:pPr>
        <w:pStyle w:val="ListParagraph"/>
        <w:numPr>
          <w:ilvl w:val="0"/>
          <w:numId w:val="9"/>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تعزيز دمج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كفاءة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المشروع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الإجمالية</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الآلية،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تعظيم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والمعدات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المديرين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اعتمادًا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الإجمالية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اختبار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إثبات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ارتباط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w:t>
      </w:r>
    </w:p>
    <w:p w:rsidR="00F84EB1" w:rsidRDefault="00000000">
      <w:pPr>
        <w:pStyle w:val="ListParagraph"/>
        <w:numPr>
          <w:ilvl w:val="0"/>
          <w:numId w:val="9"/>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الحواجز</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دون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نشر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التقنيات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الذكية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تؤثر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سلبًا</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فعاليتها</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القضاء</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تأخير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المشاريع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صناعة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البناء</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الحواجز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المرتفعة،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والافتقار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ومعارضة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واجهت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عوائق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w:t>
      </w:r>
    </w:p>
    <w:p w:rsidR="00F84EB1" w:rsidRDefault="00000000">
      <w:pPr>
        <w:pStyle w:val="ListParagraph"/>
        <w:numPr>
          <w:ilvl w:val="0"/>
          <w:numId w:val="9"/>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تعزيز التدريب</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والدعم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الفعال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لأعضاء</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القوى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العاملة</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واستغلالها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والمساعدة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واستغلال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إمكانياتها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اختبار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للوصول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الإمكانات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w:t>
      </w:r>
    </w:p>
    <w:p w:rsidR="00F84EB1" w:rsidRDefault="00F84EB1">
      <w:pPr>
        <w:pStyle w:val="a0"/>
        <w:rPr>
          <w:rtl/>
        </w:rPr>
      </w:pPr>
    </w:p>
    <w:p w:rsidR="00F84EB1" w:rsidRDefault="00000000">
      <w:pPr>
        <w:pStyle w:val="Heading2"/>
        <w:rPr>
          <w:rtl/>
        </w:rPr>
      </w:pPr>
      <w:bookmarkStart w:id="22" w:name="_Toc180418603"/>
      <w:bookmarkStart w:id="23" w:name="_Toc181295205"/>
      <w:r>
        <w:rPr>
          <w:rtl/>
        </w:rPr>
        <w:t>النظرية العلمية المتبعة لإعداد البحث</w:t>
      </w:r>
      <w:bookmarkEnd w:id="22"/>
      <w:bookmarkEnd w:id="23"/>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المشاريع</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لتصميم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والإشراف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لإنجاز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إبداعية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Tea24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(Team Asana,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نموذج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قبول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التكنولوجيا</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TAM</w:t>
      </w:r>
      <w:r>
        <w:rPr>
          <w:rFonts w:ascii="Sakkal Majalla" w:hAnsi="Sakkal Majalla" w:cs="Sakkal Majalla"/>
          <w:b/>
          <w:bCs/>
          <w:sz w:val="28"/>
          <w:szCs w:val="28"/>
          <w:rtl/>
          <w:lang w:bidi="ar-EG"/>
        </w:rPr>
        <w:t>)</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TAM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مفهوم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شائع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يصف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يتعلم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يقترح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سهولة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المتصورة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والفائدة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المتصورة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اختيارات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لاحتضان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إدراك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وقابلية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تصمم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وتشجيع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والإمكانيات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Mar23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(Marikyan,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التفاعلات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المعقدة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المتنوعة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لخلق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لديناميكيات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Mün22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(Münch,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القرار</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الغموض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اجتياز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هائلة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قراراتهم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RFr13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(R., 2013)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المخاطر</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تنطوي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غالبًا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نتيجة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تجاوز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الميزانية،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تنبؤية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ظهورها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تكتيكات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استباقية،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w:t>
      </w:r>
    </w:p>
    <w:p w:rsidR="00F84EB1" w:rsidRDefault="00000000">
      <w:pPr>
        <w:pStyle w:val="ListParagraph"/>
        <w:numPr>
          <w:ilvl w:val="0"/>
          <w:numId w:val="4"/>
        </w:numPr>
        <w:spacing w:before="24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أنظمة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المعلومات</w:t>
      </w:r>
    </w:p>
    <w:p w:rsidR="00F84EB1"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والاتصال،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متزايدة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وتصورها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w:t>
      </w:r>
    </w:p>
    <w:p w:rsidR="00F84EB1" w:rsidRDefault="00F84EB1">
      <w:pPr>
        <w:pStyle w:val="a0"/>
        <w:rPr>
          <w:rtl/>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lang w:bidi="ar-SA"/>
        </w:rPr>
      </w:pPr>
    </w:p>
    <w:p w:rsidR="00F84EB1" w:rsidRDefault="00F84EB1">
      <w:pPr>
        <w:pStyle w:val="a0"/>
        <w:rPr>
          <w:rtl/>
        </w:rPr>
      </w:pPr>
    </w:p>
    <w:p w:rsidR="00F84EB1" w:rsidRDefault="00F84EB1">
      <w:pPr>
        <w:pStyle w:val="a0"/>
        <w:rPr>
          <w:rtl/>
        </w:rPr>
      </w:pPr>
    </w:p>
    <w:p w:rsidR="00F84EB1" w:rsidRDefault="00F84EB1">
      <w:pPr>
        <w:rPr>
          <w:rtl/>
          <w:lang w:bidi="ar-EG"/>
        </w:rPr>
      </w:pPr>
    </w:p>
    <w:p w:rsidR="00F84EB1" w:rsidRDefault="00000000">
      <w:pPr>
        <w:pStyle w:val="Heading1"/>
        <w:jc w:val="center"/>
        <w:rPr>
          <w:rtl/>
        </w:rPr>
      </w:pPr>
      <w:bookmarkStart w:id="24" w:name="_Toc181295206"/>
      <w:r>
        <w:rPr>
          <w:rFonts w:hint="cs"/>
          <w:rtl/>
        </w:rPr>
        <w:t>الفصل الثاني: دراسات السابقة</w:t>
      </w:r>
      <w:bookmarkEnd w:id="24"/>
      <w:r>
        <w:rPr>
          <w:sz w:val="28"/>
          <w:rtl/>
        </w:rPr>
        <w:br w:type="page"/>
      </w:r>
    </w:p>
    <w:p w:rsidR="00F84EB1" w:rsidRDefault="00000000">
      <w:pPr>
        <w:pStyle w:val="Heading2"/>
        <w:rPr>
          <w:rtl/>
        </w:rPr>
      </w:pPr>
      <w:bookmarkStart w:id="25" w:name="_Toc181295207"/>
      <w:r>
        <w:rPr>
          <w:rFonts w:hint="cs"/>
          <w:rtl/>
        </w:rPr>
        <w:lastRenderedPageBreak/>
        <w:t>المقدمة</w:t>
      </w:r>
      <w:bookmarkEnd w:id="25"/>
    </w:p>
    <w:p w:rsidR="00F84EB1" w:rsidRDefault="00000000">
      <w:pPr>
        <w:pStyle w:val="a0"/>
        <w:rPr>
          <w:rtl/>
        </w:rPr>
      </w:pPr>
      <w:r>
        <w:rPr>
          <w:rtl/>
        </w:rPr>
        <w:t>تعتبر مشاريع البناء والبنية التحتية من العناصر الحيوية التي تؤثر على التنمية الاقتصادية والاجتماعية لأي دولة، وخاصة في المملكة العربية السعودية، حيث تشهد البلاد نموًا غير عادي في هذا القطاع بسبب الطلب المتزايد على مشاريع البناء. ومع ذلك، تواجه هذه المشاريع عقبات كبيرة في شكل زيادة النفقات، وتأخير الوقت، وضعف جودة التنفيذ، مما يؤثر بشدة على الجدول الزمني المتوقع والميزانية المخصصة. لذلك، تطورت ضرورة استخدام الأنظمة الذكية كأداة لزيادة دقة توقعات الوقت والقضاء على هذه التأخيرات.</w:t>
      </w:r>
    </w:p>
    <w:p w:rsidR="00F84EB1" w:rsidRDefault="00000000">
      <w:pPr>
        <w:pStyle w:val="a0"/>
        <w:rPr>
          <w:rtl/>
        </w:rPr>
      </w:pPr>
      <w:r>
        <w:rPr>
          <w:rtl/>
        </w:rPr>
        <w:t>تظهر الدراسات السابقة أن نشر الأنظمة الذكية، بما في ذلك الذكاء الاصطناعي وتقنيات تحليل البيانات الضخمة، قد يلعب دورًا حاسمًا في تعزيز عملية التخطيط والتنفيذ لمشاريع البناء. وقد أثبتت الأبحاث أن استخدام هذه الأنظمة يساهم في تعزيز دقة توقعات الوقت من خلال فحص البيانات السابقة والتنبؤ بالاتجاهات المستقبلية. على سبيل المثال، تتبنى العديد من المنظمات بالفعل أدوات تحليل البيانات للكشف عن العوامل التي تؤثر على تطوير المشروع، مما يساعدها على اتخاذ قرارات أفضل تعليماً.</w:t>
      </w:r>
    </w:p>
    <w:p w:rsidR="00F84EB1" w:rsidRDefault="00000000">
      <w:pPr>
        <w:pStyle w:val="a0"/>
        <w:rPr>
          <w:rtl/>
        </w:rPr>
      </w:pPr>
      <w:r>
        <w:rPr>
          <w:rtl/>
        </w:rPr>
        <w:t>كما يقترح البحث أن التقنيات الذكية تساعد على تحسين كفاءة العمليات من خلال أتمتة العمليات المنتظمة وتقليل الأخطاء البشرية مما يقلل من احتمالية التأخير. وفي دراسة حديثة ثبت أن استخدام التقنيات الذكية في إدارة المشاريع أدى إلى انخفاض كبير في التأخير مما يساهم في تسريع معدلات الإنجاز وتعزيز جودة المخرجات النهائية.</w:t>
      </w:r>
    </w:p>
    <w:p w:rsidR="00F84EB1" w:rsidRDefault="00000000">
      <w:pPr>
        <w:pStyle w:val="a0"/>
        <w:rPr>
          <w:rtl/>
        </w:rPr>
      </w:pPr>
      <w:r>
        <w:rPr>
          <w:rtl/>
        </w:rPr>
        <w:t>في الإطار النظري لهذه الدراسة سنعتمد على نظرية إدارة المشاريع المعاصرة التي تؤكد على ضرورة دمج التكنولوجيا في جميع مراحل المشروع من التخطيط إلى التنفيذ والمراقبة. كما سنعتمد على نماذج شائعة مثل نموذج بطاقة الأداء المتوازن الذي يوفر تقييمًا شاملاً للأداء يشمل جوانب الوقت والتكلفة والجودة. ويشمل ذلك أيضًا تحليل العديد من المتغيرات مثل تأثير الأنظمة الذكية على دقة التوقعات وتكاليف المشروع ومدة التنفيذ.</w:t>
      </w:r>
    </w:p>
    <w:p w:rsidR="00F84EB1" w:rsidRDefault="00000000">
      <w:pPr>
        <w:pStyle w:val="a0"/>
        <w:rPr>
          <w:rtl/>
        </w:rPr>
      </w:pPr>
      <w:r>
        <w:rPr>
          <w:rtl/>
        </w:rPr>
        <w:t>الهدف الرئيسي من هذه الدراسة هو تسليط الضوء على كيفية مساهمة الأنظمة الذكية في تحقيق تحسينات كبيرة في مشاريع البناء والبنية التحتية في المملكة العربية السعودية مما يعزز قدرة البلاد على تحقيق التنمية المستدامة ويعكس الاتجاهات الحديثة في استخدام التكنولوجيا في القطاعات الحيوية</w:t>
      </w:r>
    </w:p>
    <w:p w:rsidR="00F84EB1" w:rsidRDefault="00000000">
      <w:pPr>
        <w:pStyle w:val="Heading2"/>
        <w:rPr>
          <w:rtl/>
        </w:rPr>
      </w:pPr>
      <w:bookmarkStart w:id="26" w:name="_Toc181295208"/>
      <w:r>
        <w:rPr>
          <w:rFonts w:hint="cs"/>
          <w:rtl/>
        </w:rPr>
        <w:lastRenderedPageBreak/>
        <w:t>متغيرات الدراسة</w:t>
      </w:r>
      <w:bookmarkEnd w:id="26"/>
    </w:p>
    <w:p w:rsidR="00F84EB1" w:rsidRDefault="00000000">
      <w:pPr>
        <w:pStyle w:val="a0"/>
        <w:numPr>
          <w:ilvl w:val="0"/>
          <w:numId w:val="4"/>
        </w:numPr>
        <w:rPr>
          <w:b/>
          <w:bCs/>
          <w:rtl/>
        </w:rPr>
      </w:pPr>
      <w:r>
        <w:rPr>
          <w:b/>
          <w:bCs/>
          <w:rtl/>
        </w:rPr>
        <w:t xml:space="preserve">المتغير التابع: </w:t>
      </w:r>
    </w:p>
    <w:p w:rsidR="00F84EB1" w:rsidRDefault="00000000">
      <w:pPr>
        <w:pStyle w:val="a0"/>
        <w:numPr>
          <w:ilvl w:val="0"/>
          <w:numId w:val="10"/>
        </w:numPr>
        <w:rPr>
          <w:b/>
          <w:bCs/>
          <w:rtl/>
        </w:rPr>
      </w:pPr>
      <w:r>
        <w:rPr>
          <w:b/>
          <w:bCs/>
          <w:rtl/>
        </w:rPr>
        <w:t>تأثير الأنظمة الذكية على تحسين دقة التنبؤات الزمنية</w:t>
      </w:r>
    </w:p>
    <w:p w:rsidR="00F84EB1" w:rsidRDefault="00000000">
      <w:pPr>
        <w:pStyle w:val="a0"/>
        <w:rPr>
          <w:rtl/>
        </w:rPr>
      </w:pPr>
      <w:r>
        <w:rPr>
          <w:rtl/>
        </w:rPr>
        <w:t>هذا المتغير هو النتيجة أو التأثير الناتج عن تطبيق التكنولوجيا الذكية في إدارة مشاريع البناء والبنية التحتية. يتم قياس هذا التأثير من خلال تقييم دقة توقعات الوقت التي تم الحصول عليها بواسطة الأنظمة الذكية مقارنة بالطرق التقليدية. بعبارة أخرى، كيف يمكن لتقنيات الذكاء الاصطناعي وأدوات تحليل البيانات أن تساعد في تقليل الفجوة بين التنبؤات الزمنية والواقع الفعلي. إن تحسين دقة تقديرات الوقت يعزز القدرة على إدارة المشاريع بكفاءة أكبر، مما يضيف إلى خفض التكاليف والوقت الضائع.</w:t>
      </w:r>
    </w:p>
    <w:p w:rsidR="00F84EB1" w:rsidRDefault="00000000">
      <w:pPr>
        <w:pStyle w:val="a0"/>
        <w:numPr>
          <w:ilvl w:val="1"/>
          <w:numId w:val="13"/>
        </w:numPr>
        <w:rPr>
          <w:b/>
          <w:bCs/>
          <w:rtl/>
        </w:rPr>
      </w:pPr>
      <w:r>
        <w:rPr>
          <w:b/>
          <w:bCs/>
          <w:rtl/>
        </w:rPr>
        <w:t>المتغيرات المستقلة:</w:t>
      </w:r>
    </w:p>
    <w:p w:rsidR="00F84EB1" w:rsidRDefault="00000000">
      <w:pPr>
        <w:pStyle w:val="a0"/>
        <w:numPr>
          <w:ilvl w:val="0"/>
          <w:numId w:val="12"/>
        </w:numPr>
        <w:rPr>
          <w:rtl/>
        </w:rPr>
      </w:pPr>
      <w:r>
        <w:rPr>
          <w:b/>
          <w:bCs/>
          <w:rtl/>
        </w:rPr>
        <w:t>تحسين دقة التوقعات:</w:t>
      </w:r>
      <w:r>
        <w:rPr>
          <w:rtl/>
        </w:rPr>
        <w:t xml:space="preserve"> يتعلق هذا المتغير بقدرة الأنظمة الذكية على تقديم تنبؤات زمنية أكثر دقة للمراحل المختلفة للمشروع. يتضمن هذا استخدام خوارزميات التعلم الآلي ونماذج التنبؤ التي تعتمد على البيانات السابقة والحالية، مما يساعد في تحديد المواعيد النهائية بدقة أكبر. إن تحسين دقة التوقعات يعني أن أصحاب المشاريع والمستثمرين قد يتخذون أحكامًا أفضل ويرتبون الموارد بشكل أكثر فعالية.</w:t>
      </w:r>
    </w:p>
    <w:p w:rsidR="00F84EB1" w:rsidRDefault="00000000">
      <w:pPr>
        <w:pStyle w:val="a0"/>
        <w:numPr>
          <w:ilvl w:val="0"/>
          <w:numId w:val="11"/>
        </w:numPr>
        <w:rPr>
          <w:rtl/>
        </w:rPr>
      </w:pPr>
      <w:r>
        <w:rPr>
          <w:b/>
          <w:bCs/>
          <w:rtl/>
        </w:rPr>
        <w:t>تقليل الخطأ البشري:</w:t>
      </w:r>
      <w:r>
        <w:rPr>
          <w:rtl/>
        </w:rPr>
        <w:t xml:space="preserve"> يوضح هذا المتغير القدرة على تقليل الأخطاء الناتجة عن التفاعل البشري في إدارة المشاريع. قد تتسبب الأخطاء البشرية في تأخيرات شديدة في المشاريع، مثل سوء تقدير الوقت اللازم لأداء المهام أو ضعف التعاون بين الفرق المختلفة. باستخدام التقنيات الذكية، يمكن أتمتة العديد من الإجراءات، مما يقلل من احتمالات الخطأ البشري ويعزز كفاءة تنفيذ المشروع. وهذا بدوره يؤدي إلى تحسين الدقة في تقديرات الوقت.</w:t>
      </w:r>
    </w:p>
    <w:p w:rsidR="00F84EB1" w:rsidRDefault="00000000">
      <w:pPr>
        <w:pStyle w:val="a0"/>
        <w:numPr>
          <w:ilvl w:val="0"/>
          <w:numId w:val="11"/>
        </w:numPr>
      </w:pPr>
      <w:r>
        <w:rPr>
          <w:b/>
          <w:bCs/>
          <w:rtl/>
        </w:rPr>
        <w:t>تحليل البيانات:</w:t>
      </w:r>
      <w:r>
        <w:rPr>
          <w:rtl/>
        </w:rPr>
        <w:t xml:space="preserve"> يتعلق هذا المتغير بكيفية استخدام البيانات المتاحة، سواء كانت تاريخية أو حديثة، لاتخاذ خيارات متعلقة بالمشروع. يمكن أن يستلزم تحليل البيانات استخدام أدوات مثل تحليل البيانات الضخمة والذكاء الاصطناعي لاستخلاص رؤى ذات مغزى من البيانات المتاحة. من خلال تقييم البيانات بنجاح، قد يجد مديرو </w:t>
      </w:r>
      <w:r>
        <w:rPr>
          <w:rtl/>
        </w:rPr>
        <w:lastRenderedPageBreak/>
        <w:t>المشاريع أنماطًا واتجاهات تؤثر على تطوير المشروع، مما يساعد في تحسين توقعات الوقت وتقليل الأخطاء المحتملة.</w:t>
      </w:r>
    </w:p>
    <w:p w:rsidR="00F84EB1" w:rsidRDefault="00000000">
      <w:pPr>
        <w:pStyle w:val="a0"/>
        <w:numPr>
          <w:ilvl w:val="0"/>
          <w:numId w:val="14"/>
        </w:numPr>
        <w:rPr>
          <w:b/>
          <w:bCs/>
          <w:rtl/>
        </w:rPr>
      </w:pPr>
      <w:r>
        <w:rPr>
          <w:b/>
          <w:bCs/>
          <w:rtl/>
        </w:rPr>
        <w:t>العلاقة بين المتغيرات:</w:t>
      </w:r>
    </w:p>
    <w:p w:rsidR="00F84EB1" w:rsidRDefault="00000000">
      <w:pPr>
        <w:pStyle w:val="a0"/>
      </w:pPr>
      <w:r>
        <w:rPr>
          <w:rtl/>
        </w:rPr>
        <w:t>يمكن وصف العلاقة بين المتغيرات على النحو التالي: تعمل الأنظمة الذكية على زيادة دقة التنبؤات الزمنية من خلال تعزيز دقة التنبؤات، والقضاء على الأخطاء البشرية، وتقييم البيانات. تعمل هذه العوامل المختلفة بطريقة متكاملة لتعزيز قدرة الأنظمة الذكية على إنتاج تقديرات زمنية أكثر دقة وجدارة بالثقة، مما يساهم في تقليل التأخير وتعزيز فعالية مشاريع البناء والبنية التحتية.</w:t>
      </w:r>
    </w:p>
    <w:p w:rsidR="00F84EB1" w:rsidRDefault="00F84EB1">
      <w:pPr>
        <w:pStyle w:val="a0"/>
      </w:pPr>
    </w:p>
    <w:p w:rsidR="00F84EB1" w:rsidRDefault="00000000">
      <w:pPr>
        <w:pStyle w:val="Heading2"/>
        <w:rPr>
          <w:rtl/>
        </w:rPr>
      </w:pPr>
      <w:bookmarkStart w:id="27" w:name="_Toc181295209"/>
      <w:r>
        <w:rPr>
          <w:rFonts w:hint="cs"/>
          <w:rtl/>
        </w:rPr>
        <w:t>الدراسات السابقة</w:t>
      </w:r>
      <w:bookmarkEnd w:id="27"/>
    </w:p>
    <w:p w:rsidR="00F84EB1" w:rsidRDefault="00000000">
      <w:pPr>
        <w:pStyle w:val="a0"/>
        <w:rPr>
          <w:rtl/>
        </w:rPr>
      </w:pPr>
      <w:r>
        <w:rPr>
          <w:rtl/>
        </w:rPr>
        <w:t xml:space="preserve">في البلدان سريعة النمو مثل المملكة العربية السعودية، حيث يعد تشييد المباني والبنية الأساسية الداعمة أمرًا بالغ الأهمية لتحقيق المعالم التنموية الاستراتيجية، فإن التأخير في المشاريع الرأسمالية يمكن أن يعرقل قطاعات أخرى من الاقتصاد وقد يعرقل </w:t>
      </w:r>
      <w:r>
        <w:rPr>
          <w:rFonts w:hint="cs"/>
          <w:rtl/>
        </w:rPr>
        <w:t xml:space="preserve">جدول </w:t>
      </w:r>
      <w:r>
        <w:rPr>
          <w:rFonts w:hint="eastAsia"/>
          <w:rtl/>
        </w:rPr>
        <w:t>أعمال</w:t>
      </w:r>
      <w:r>
        <w:rPr>
          <w:rtl/>
        </w:rPr>
        <w:t xml:space="preserve"> رؤية 2030. وقد بُذِلت محاولات على مر السنين لدراسة أسباب تأخير مشاريع البناء، بما في ذلك تلك الموجودة في المملكة العربية السعودية. العديد من هذه الدراسات إما </w:t>
      </w:r>
      <w:r>
        <w:rPr>
          <w:rFonts w:hint="cs"/>
          <w:rtl/>
        </w:rPr>
        <w:t>قديمة</w:t>
      </w:r>
      <w:r>
        <w:rPr>
          <w:rFonts w:hint="eastAsia"/>
          <w:rtl/>
        </w:rPr>
        <w:t>،</w:t>
      </w:r>
      <w:r>
        <w:rPr>
          <w:rtl/>
        </w:rPr>
        <w:t xml:space="preserve"> أو </w:t>
      </w:r>
      <w:r>
        <w:rPr>
          <w:rFonts w:hint="cs"/>
          <w:rtl/>
        </w:rPr>
        <w:t>صغيرة النطاق، أو</w:t>
      </w:r>
      <w:r>
        <w:rPr>
          <w:rtl/>
        </w:rPr>
        <w:t xml:space="preserve"> تميل إلى استخدام البيانات النوعية في المقام الأول، ولم يركز الكثير منها على أسباب التأخير المتعلقة بالعملاء والتي تؤثر على المشاريع الحاسمة لرؤية 2030. تستكشف هذه الدراسة عوامل التأخير المتعلقة بالعملاء من حيث ارتباطها بجوانب مهمة من مشاريع البناء المكتملة مؤخرًا في المملكة العربية السعودية. تطلب هذا الغرض الاستفادة من البيانات التاريخية؛ وبالتالي، تم إجراء دراسة أرشيفية لـ 37 مشروعًا عبر ثلاث وزارات منفصلة في القطاع العام. خضعت البيانات للاستخراج اليدوي والتحليل الإحصائي الوصفي واستخدام النماذج المعمول بها مثل مؤشر أداء الجدول الزمني (</w:t>
      </w:r>
      <w:r>
        <w:t>SPI</w:t>
      </w:r>
      <w:r>
        <w:rPr>
          <w:rtl/>
        </w:rPr>
        <w:t>) ومؤشر أداء التكلفة (</w:t>
      </w:r>
      <w:r>
        <w:t>CPI</w:t>
      </w:r>
      <w:r>
        <w:rPr>
          <w:rtl/>
        </w:rPr>
        <w:t>) والاستدلال (الارتباط) في الحزمة الإحصائية للعلوم الاجتماعية (</w:t>
      </w:r>
      <w:r>
        <w:t>SPSS</w:t>
      </w:r>
      <w:r>
        <w:rPr>
          <w:rtl/>
        </w:rPr>
        <w:t>) باستخدام معامل الارتباط التسلسلي النقطي (</w:t>
      </w:r>
      <w:proofErr w:type="spellStart"/>
      <w:r>
        <w:t>rpb</w:t>
      </w:r>
      <w:proofErr w:type="spellEnd"/>
      <w:r>
        <w:rPr>
          <w:rtl/>
        </w:rPr>
        <w:t xml:space="preserve">، حيث </w:t>
      </w:r>
      <w:r>
        <w:t>p&gt; 0.05</w:t>
      </w:r>
      <w:r>
        <w:rPr>
          <w:rtl/>
        </w:rPr>
        <w:t xml:space="preserve">) لاستكشاف ارتباط وتأثير خصائص المشروع على أنفسهم وعلى أسباب التأخير المرتبطة بالعميل. كشفت النتائج عن ثمانية أسباب فريدة للتأخير مرتبطة بالعميل، مع قيم </w:t>
      </w:r>
      <w:r>
        <w:t>SPI</w:t>
      </w:r>
      <w:r>
        <w:rPr>
          <w:rtl/>
        </w:rPr>
        <w:t xml:space="preserve"> من 0.71 إلى 0.82، بالإضافة إلى قيم </w:t>
      </w:r>
      <w:r>
        <w:t>CPI</w:t>
      </w:r>
      <w:r>
        <w:rPr>
          <w:rtl/>
        </w:rPr>
        <w:t xml:space="preserve"> تتراوح من 0.84 إلى </w:t>
      </w:r>
      <w:r>
        <w:rPr>
          <w:rtl/>
        </w:rPr>
        <w:lastRenderedPageBreak/>
        <w:t xml:space="preserve">0.89، مما يشير إلى ضعف أداء الوقت والتكلفة في جميع المشاريع، بالإضافة إلى حجم ارتباط خصائص المشروع الرئيسية (التكلفة والمدة والوقت الإضافي والتكلفة الإضافية) مع أسباب التأخير الثمانية المرتبطة بالعميل. إن النتائج يمكن أن تساعد العميل (السلطات) على فهم والحد من التأخيرات التي ترجع إلى صنعهم الخاص، ومن المستحسن أن يتم تطوير عوامل التأخير هذه، التي تم تحديد احتمالاتها الآن ويمكن قياس تأثيرها المحتمل مقابل خصائص المشروع الرئيسية، إلى أداة لتأثير </w:t>
      </w:r>
      <w:r>
        <w:rPr>
          <w:rFonts w:hint="cs"/>
          <w:rtl/>
        </w:rPr>
        <w:t>أخطار</w:t>
      </w:r>
      <w:r>
        <w:rPr>
          <w:rtl/>
        </w:rPr>
        <w:t xml:space="preserve"> التأخير. يمكن للمشاريع المشتركة الدولية أن تساهم بالمهارات الفنية لرؤية 2030، لكنها لا تستطيع التخفيف من التأخيرات بسبب السياسات الحكومية</w:t>
      </w:r>
      <w:r>
        <w:rPr>
          <w:rtl/>
        </w:rPr>
        <w:fldChar w:fldCharType="begin"/>
      </w:r>
      <w:r>
        <w:instrText xml:space="preserve"> CITATION Ale22 \l 1033 </w:instrText>
      </w:r>
      <w:r>
        <w:rPr>
          <w:rtl/>
        </w:rPr>
        <w:fldChar w:fldCharType="separate"/>
      </w:r>
      <w:r>
        <w:rPr>
          <w:noProof/>
        </w:rPr>
        <w:t xml:space="preserve"> (Alenazi, 2022)</w:t>
      </w:r>
      <w:r>
        <w:rPr>
          <w:rtl/>
        </w:rPr>
        <w:fldChar w:fldCharType="end"/>
      </w:r>
      <w:r>
        <w:rPr>
          <w:rtl/>
        </w:rPr>
        <w:t>.</w:t>
      </w:r>
    </w:p>
    <w:p w:rsidR="00F84EB1" w:rsidRDefault="00000000">
      <w:pPr>
        <w:pStyle w:val="a0"/>
        <w:rPr>
          <w:rtl/>
        </w:rPr>
      </w:pPr>
      <w:r>
        <w:rPr>
          <w:rtl/>
        </w:rPr>
        <w:t>إن تأخيرات البناء هي مشكلة متكررة على المستوى الدولي، والمملكة العربية السعودية على بعد مسافة قصيرة من هذه التجربة. وعلى الرغم من ازدهار قطاع البناء السعودي بسبب رؤية 2030، فقد لوحظت تأخيرات كبيرة في مشاريع بناء مختلفة، مما أدى إلى نفقات مفرطة وتجاوزات للجدول الزمني. وقد توسعت الدراسات حول نمذجة معلومات البناء (</w:t>
      </w:r>
      <w:r>
        <w:t>BIM</w:t>
      </w:r>
      <w:r>
        <w:rPr>
          <w:rtl/>
        </w:rPr>
        <w:t xml:space="preserve">) مؤخرًا بسبب أهميتها الحيوية في إدارة مشاريع البناء. ومع ذلك، هناك حاجة إلى بذل المزيد من الجهود لتحديد قيمة تأثير تبني </w:t>
      </w:r>
      <w:r>
        <w:t>BIM</w:t>
      </w:r>
      <w:r>
        <w:rPr>
          <w:rtl/>
        </w:rPr>
        <w:t xml:space="preserve"> باستخدام منهجيات متطورة مثل ديناميكيات النظام (</w:t>
      </w:r>
      <w:r>
        <w:t>SD</w:t>
      </w:r>
      <w:r>
        <w:rPr>
          <w:rtl/>
        </w:rPr>
        <w:t xml:space="preserve">). كما تحاول توضيح آثار </w:t>
      </w:r>
      <w:r>
        <w:t>BIM</w:t>
      </w:r>
      <w:r>
        <w:rPr>
          <w:rtl/>
        </w:rPr>
        <w:t xml:space="preserve"> على المستوى الدولي لتشجيع استخدام مثل هذا النظام. استكشفت مقالات محدودة تأثير </w:t>
      </w:r>
      <w:r>
        <w:t>BIM</w:t>
      </w:r>
      <w:r>
        <w:rPr>
          <w:rtl/>
        </w:rPr>
        <w:t xml:space="preserve"> بعمق باستخدام منهجيات متطورة مثل </w:t>
      </w:r>
      <w:r>
        <w:t>SD</w:t>
      </w:r>
      <w:r>
        <w:rPr>
          <w:rtl/>
        </w:rPr>
        <w:t xml:space="preserve">. وبالتالي، تم إصدار </w:t>
      </w:r>
      <w:r>
        <w:rPr>
          <w:rFonts w:hint="cs"/>
          <w:rtl/>
        </w:rPr>
        <w:t>استبانة</w:t>
      </w:r>
      <w:r>
        <w:rPr>
          <w:rtl/>
        </w:rPr>
        <w:t xml:space="preserve"> لتسعة وخمسين متخصصًا لتحديد مقدار تأثير </w:t>
      </w:r>
      <w:r>
        <w:t>BIM</w:t>
      </w:r>
      <w:r>
        <w:rPr>
          <w:rtl/>
        </w:rPr>
        <w:t xml:space="preserve"> على المعلمات العشر التي تحدد أوقات تأخير المشروع الموجودة في الأدبيات. تم استخدام نتائج التحليل الإحصائي لتوليد مؤشر الأهمية النسبية لكل عامل (</w:t>
      </w:r>
      <w:r>
        <w:t>RII</w:t>
      </w:r>
      <w:r>
        <w:rPr>
          <w:rtl/>
        </w:rPr>
        <w:t xml:space="preserve">)، ومقارنتها بالنتائج التي تم الحصول عليها دون استخدام </w:t>
      </w:r>
      <w:r>
        <w:t>BIM</w:t>
      </w:r>
      <w:r>
        <w:rPr>
          <w:rtl/>
        </w:rPr>
        <w:t xml:space="preserve">، وحساب الفرق النسبي لكل عامل. تم أخذ هذه الاختلافات النسبية في الاعتبار في </w:t>
      </w:r>
      <w:r>
        <w:t>SD</w:t>
      </w:r>
      <w:r>
        <w:rPr>
          <w:rtl/>
        </w:rPr>
        <w:t xml:space="preserve"> المحدث. تم استخدام الانحراف المعياري المعدل لدراسة حالة تصور مبنى أكاديمي في حرم جامعة الملك سعود. أظهرت الدراسة الرئيسية أن </w:t>
      </w:r>
      <w:r>
        <w:t>BIM</w:t>
      </w:r>
      <w:r>
        <w:rPr>
          <w:rtl/>
        </w:rPr>
        <w:t xml:space="preserve"> قلل من تأخيرات مشروع البناء بنسبة 14.55٪. بالإضافة إلى ذلك، أشارت هذه الدراسة إلى أن </w:t>
      </w:r>
      <w:r>
        <w:t>BIM</w:t>
      </w:r>
      <w:r>
        <w:rPr>
          <w:rtl/>
        </w:rPr>
        <w:t xml:space="preserve"> له تأثير كبير على الإدارة والإشراف غير الكافيين للموقع من قبل المقاولين، بنسبة انخفاض بلغت 17.65٪، وتأثير ضئيل على نقص خبرة المقاول والقدرات الإدارية، بنسبة 11.76٪. أشارت نتائج تحليل الانحراف المعياري إلى أن </w:t>
      </w:r>
      <w:r>
        <w:t>BIM</w:t>
      </w:r>
      <w:r>
        <w:rPr>
          <w:rtl/>
        </w:rPr>
        <w:t xml:space="preserve"> له تأثير كبير على تقليل تأخيرات مشروع البناء</w:t>
      </w:r>
      <w:r>
        <w:rPr>
          <w:rtl/>
        </w:rPr>
        <w:fldChar w:fldCharType="begin"/>
      </w:r>
      <w:r>
        <w:instrText xml:space="preserve"> CITATION Ant23 \l 1033 </w:instrText>
      </w:r>
      <w:r>
        <w:rPr>
          <w:rtl/>
        </w:rPr>
        <w:fldChar w:fldCharType="separate"/>
      </w:r>
      <w:r>
        <w:rPr>
          <w:noProof/>
        </w:rPr>
        <w:t xml:space="preserve"> (Antucheviciene, 2023)</w:t>
      </w:r>
      <w:r>
        <w:rPr>
          <w:rtl/>
        </w:rPr>
        <w:fldChar w:fldCharType="end"/>
      </w:r>
      <w:r>
        <w:rPr>
          <w:rtl/>
        </w:rPr>
        <w:t>.</w:t>
      </w:r>
    </w:p>
    <w:p w:rsidR="00F84EB1" w:rsidRDefault="00000000">
      <w:pPr>
        <w:pStyle w:val="a0"/>
        <w:rPr>
          <w:rtl/>
        </w:rPr>
      </w:pPr>
      <w:r>
        <w:rPr>
          <w:rtl/>
        </w:rPr>
        <w:lastRenderedPageBreak/>
        <w:t xml:space="preserve">إن التحدي الأساسي في مشاريع البناء هو حدوث تأخيرات زمنية، والتي لها عواقب وخيمة على كل من موقع البناء وأصحاب المصلحة فيه. تشكل هذه التأخيرات </w:t>
      </w:r>
      <w:r>
        <w:rPr>
          <w:rFonts w:hint="cs"/>
          <w:rtl/>
        </w:rPr>
        <w:t>أخطار</w:t>
      </w:r>
      <w:r>
        <w:rPr>
          <w:rtl/>
        </w:rPr>
        <w:t>، مما يؤدي إلى تجاوز قيود الوقت والنفقات، وإثارة التقاضي والخلافات، وحتى التخلي عن المشاريع. لذلك، من الضروري إجراء تحليل ودراسة شاملة لتحديد الأسباب الرئيسية للتأخير في مواقع البناء. يسعى هذا البحث إلى استكشاف جميع عوامل التأخير في البناء، وجمع الأفكار من العديد من أنواع البناء الموصوفة في الأدبيات، عبر أوقات مختلفة، وفحص أسباب التأخير المتميزة والمجموعات التي شوهدت في دول مختلفة. من خلال مقابلات متعددة واستطلاعات الرأي، يسعى هذا البحث إلى تطوير قائمة كاملة من سبعين سببًا للتأخير. تم إجراء استبيانات لاستنباط وجهات نظر من لاعبي البناء، مثل مهندسي الموقع / التصميم والمقاولين والاستشاريين والمالكين، وتصنيف التأخيرات الأكثر احتمالية التي تحدث طوال مرحلة البناء في المشاريع المصرية. ثم تم استخدام الردود المجمعة لإجراء مقارنات ثنائية بين متغيرات تأخير البناء. تم تطبيق الأساليب الإحصائية، ولا سيما الحزمة الإحصائية للعلوم الاجتماعية (</w:t>
      </w:r>
      <w:r>
        <w:t>SPSS</w:t>
      </w:r>
      <w:r>
        <w:rPr>
          <w:rtl/>
        </w:rPr>
        <w:t>) وعملية التسلسل الهرمي التحليلي (</w:t>
      </w:r>
      <w:r>
        <w:t>AHP</w:t>
      </w:r>
      <w:r>
        <w:rPr>
          <w:rtl/>
        </w:rPr>
        <w:t xml:space="preserve">) لتصنيف احتمالية حدوث التأخير وتوحيد تقديرات عدم اليقين. بعد ذلك، تم بناء نموذج تطبيق برمجي مقترح لتقدير تأخيرات مشاريع البناء قبل التنفيذ، والاستفادة من دراسات حالة متعددة لمشاريع البناء المكتملة والمتأخرة في مصر. يخدم البرنامج المقترح غرضين أساسيين: أولاً، يتنبأ بالتأخير الزمني لمشروع معين بناءً على تحليل </w:t>
      </w:r>
      <w:r>
        <w:rPr>
          <w:rFonts w:hint="cs"/>
          <w:rtl/>
        </w:rPr>
        <w:t>استبانة</w:t>
      </w:r>
      <w:r>
        <w:rPr>
          <w:rtl/>
        </w:rPr>
        <w:t xml:space="preserve"> مسح باستخدام منهجية "</w:t>
      </w:r>
      <w:r>
        <w:t>SPSS &amp; AHP</w:t>
      </w:r>
      <w:r>
        <w:rPr>
          <w:rtl/>
        </w:rPr>
        <w:t>". ثانيًا، يدرس الأسباب المؤدية إلى تأخيرات مشاريع البناء لاكتشاف المدة الحقيقية الجديدة المتوقعة للمشروع قيد المراجعة. تم تحليل دراسات الحالة ومقارنتها بعناية، ومواءمة التأخير الفعلي مع الأسباب الفعلية مقابل النتائج المقابلة الناتجة عن دراسة نموذج البرنامج. تكشف البيانات أن غياب خبرة المالك في مواقع البناء يحتل المرتبة الأولى من حيث احتمالية الحدوث الأكثر شيوعًا لمشاريع البناء. ومن ثم فإن القضايا الأساسية التي تساهم في هذه التأخيرات تشمل الخبرة غير الكافية للمقاول مما يؤدي إلى أخطاء في العمل، وعدم وجود مهارات كافية لدى موظفي الاستشاريين في مواقع البناء، وكذلك المشاكل في التدفقات النقدية في عملية البناء من قبل المقاول</w:t>
      </w:r>
      <w:r>
        <w:rPr>
          <w:rtl/>
        </w:rPr>
        <w:fldChar w:fldCharType="begin"/>
      </w:r>
      <w:r>
        <w:instrText xml:space="preserve"> CITATION Abo23 \l 1033 </w:instrText>
      </w:r>
      <w:r>
        <w:rPr>
          <w:rtl/>
        </w:rPr>
        <w:fldChar w:fldCharType="separate"/>
      </w:r>
      <w:r>
        <w:rPr>
          <w:noProof/>
        </w:rPr>
        <w:t xml:space="preserve"> (Aboelmagd, 2023)</w:t>
      </w:r>
      <w:r>
        <w:rPr>
          <w:rtl/>
        </w:rPr>
        <w:fldChar w:fldCharType="end"/>
      </w:r>
      <w:r>
        <w:rPr>
          <w:rtl/>
        </w:rPr>
        <w:t>.</w:t>
      </w:r>
    </w:p>
    <w:p w:rsidR="00F84EB1" w:rsidRDefault="00000000">
      <w:pPr>
        <w:pStyle w:val="a0"/>
        <w:rPr>
          <w:rtl/>
        </w:rPr>
      </w:pPr>
      <w:r>
        <w:rPr>
          <w:rtl/>
        </w:rPr>
        <w:t xml:space="preserve">غالبًا ما تكون المشاريع في قطاع النفط والغاز مصحوبة بتأخيرات في الجدول الزمني وتجاوز التكاليف واستياء المالكين. يعد تأخير المواد أحد العوامل التي تؤدي إلى تجاوز تكاليف المشروع والتأخير وانخفاض الإنتاجية وتدهور الجودة. يركز هذا البحث على العوامل التي تؤثر على توفر المواد للمشاريع الرأسمالية. تم اكتشاف ثلاثة وعشرين متغيرًا من الأدبيات والخبراء. </w:t>
      </w:r>
      <w:r>
        <w:rPr>
          <w:rtl/>
        </w:rPr>
        <w:lastRenderedPageBreak/>
        <w:t xml:space="preserve">تم ذكر هذه المتغيرات في استطلاع رأي تم إجراؤه للخبراء في المملكة العربية السعودية في قطاع النفط والغاز. تم إجراء تصنيفين: الأول يعتمد على تأثير السبب، والثاني يعتمد على تكرار حدوث السبب المكتشف. تم تحليل الردود المجمعة باستخدام المتوسط </w:t>
      </w:r>
      <w:r>
        <w:rPr>
          <w:rFonts w:ascii="Arial" w:hAnsi="Arial" w:cs="Arial" w:hint="cs"/>
          <w:rtl/>
        </w:rPr>
        <w:t>​​</w:t>
      </w:r>
      <w:r>
        <w:rPr>
          <w:rFonts w:hint="cs"/>
          <w:rtl/>
        </w:rPr>
        <w:t>والانحراف</w:t>
      </w:r>
      <w:r>
        <w:rPr>
          <w:rtl/>
        </w:rPr>
        <w:t xml:space="preserve"> </w:t>
      </w:r>
      <w:r>
        <w:rPr>
          <w:rFonts w:hint="cs"/>
          <w:rtl/>
        </w:rPr>
        <w:t>المعياري</w:t>
      </w:r>
      <w:r>
        <w:rPr>
          <w:rtl/>
        </w:rPr>
        <w:t xml:space="preserve"> </w:t>
      </w:r>
      <w:r>
        <w:rPr>
          <w:rFonts w:hint="cs"/>
          <w:rtl/>
        </w:rPr>
        <w:t>ومؤشر</w:t>
      </w:r>
      <w:r>
        <w:rPr>
          <w:rtl/>
        </w:rPr>
        <w:t xml:space="preserve"> </w:t>
      </w:r>
      <w:r>
        <w:rPr>
          <w:rFonts w:hint="cs"/>
          <w:rtl/>
        </w:rPr>
        <w:t>الأهمية</w:t>
      </w:r>
      <w:r>
        <w:rPr>
          <w:rtl/>
        </w:rPr>
        <w:t xml:space="preserve"> </w:t>
      </w:r>
      <w:r>
        <w:rPr>
          <w:rFonts w:hint="cs"/>
          <w:rtl/>
        </w:rPr>
        <w:t>النسبية</w:t>
      </w:r>
      <w:r>
        <w:rPr>
          <w:rtl/>
        </w:rPr>
        <w:t xml:space="preserve"> </w:t>
      </w:r>
      <w:r>
        <w:rPr>
          <w:rFonts w:hint="cs"/>
          <w:rtl/>
        </w:rPr>
        <w:t>ومؤشر</w:t>
      </w:r>
      <w:r>
        <w:rPr>
          <w:rtl/>
        </w:rPr>
        <w:t xml:space="preserve"> </w:t>
      </w:r>
      <w:r>
        <w:rPr>
          <w:rFonts w:hint="cs"/>
          <w:rtl/>
        </w:rPr>
        <w:t>التردد</w:t>
      </w:r>
      <w:r>
        <w:rPr>
          <w:rtl/>
        </w:rPr>
        <w:t xml:space="preserve"> </w:t>
      </w:r>
      <w:r>
        <w:rPr>
          <w:rFonts w:hint="cs"/>
          <w:rtl/>
        </w:rPr>
        <w:t>ومؤشر</w:t>
      </w:r>
      <w:r>
        <w:rPr>
          <w:rtl/>
        </w:rPr>
        <w:t xml:space="preserve"> </w:t>
      </w:r>
      <w:r>
        <w:rPr>
          <w:rFonts w:hint="cs"/>
          <w:rtl/>
        </w:rPr>
        <w:t>الأهمية</w:t>
      </w:r>
      <w:r>
        <w:rPr>
          <w:rtl/>
        </w:rPr>
        <w:t xml:space="preserve"> </w:t>
      </w:r>
      <w:r>
        <w:rPr>
          <w:rFonts w:hint="cs"/>
          <w:rtl/>
        </w:rPr>
        <w:t>المعدل</w:t>
      </w:r>
      <w:r>
        <w:rPr>
          <w:rtl/>
        </w:rPr>
        <w:t xml:space="preserve"> </w:t>
      </w:r>
      <w:r>
        <w:rPr>
          <w:rFonts w:hint="cs"/>
          <w:rtl/>
        </w:rPr>
        <w:t>بالتردد</w:t>
      </w:r>
      <w:r>
        <w:rPr>
          <w:rtl/>
        </w:rPr>
        <w:t xml:space="preserve"> </w:t>
      </w:r>
      <w:r>
        <w:rPr>
          <w:rFonts w:hint="cs"/>
          <w:rtl/>
        </w:rPr>
        <w:t>ومصفوفة</w:t>
      </w:r>
      <w:r>
        <w:rPr>
          <w:rtl/>
        </w:rPr>
        <w:t xml:space="preserve"> </w:t>
      </w:r>
      <w:r>
        <w:rPr>
          <w:rFonts w:hint="cs"/>
          <w:rtl/>
        </w:rPr>
        <w:t>المخاطر</w:t>
      </w:r>
      <w:r>
        <w:rPr>
          <w:rtl/>
        </w:rPr>
        <w:t xml:space="preserve">. </w:t>
      </w:r>
      <w:r>
        <w:rPr>
          <w:rFonts w:hint="cs"/>
          <w:rtl/>
        </w:rPr>
        <w:t>أشارت</w:t>
      </w:r>
      <w:r>
        <w:rPr>
          <w:rtl/>
        </w:rPr>
        <w:t xml:space="preserve"> </w:t>
      </w:r>
      <w:r>
        <w:rPr>
          <w:rFonts w:hint="cs"/>
          <w:rtl/>
        </w:rPr>
        <w:t>الإحصائيات</w:t>
      </w:r>
      <w:r>
        <w:rPr>
          <w:rtl/>
        </w:rPr>
        <w:t xml:space="preserve"> </w:t>
      </w:r>
      <w:r>
        <w:rPr>
          <w:rFonts w:hint="cs"/>
          <w:rtl/>
        </w:rPr>
        <w:t>إلى</w:t>
      </w:r>
      <w:r>
        <w:rPr>
          <w:rtl/>
        </w:rPr>
        <w:t xml:space="preserve"> </w:t>
      </w:r>
      <w:r>
        <w:rPr>
          <w:rFonts w:hint="cs"/>
          <w:rtl/>
        </w:rPr>
        <w:t>أن</w:t>
      </w:r>
      <w:r>
        <w:rPr>
          <w:rtl/>
        </w:rPr>
        <w:t xml:space="preserve"> </w:t>
      </w:r>
      <w:r>
        <w:rPr>
          <w:rFonts w:hint="cs"/>
          <w:rtl/>
        </w:rPr>
        <w:t>أكبر</w:t>
      </w:r>
      <w:r>
        <w:rPr>
          <w:rtl/>
        </w:rPr>
        <w:t xml:space="preserve"> </w:t>
      </w:r>
      <w:r>
        <w:rPr>
          <w:rFonts w:hint="cs"/>
          <w:rtl/>
        </w:rPr>
        <w:t>ثلاثة</w:t>
      </w:r>
      <w:r>
        <w:rPr>
          <w:rtl/>
        </w:rPr>
        <w:t xml:space="preserve"> </w:t>
      </w:r>
      <w:r>
        <w:rPr>
          <w:rFonts w:hint="cs"/>
          <w:rtl/>
        </w:rPr>
        <w:t>أسباب</w:t>
      </w:r>
      <w:r>
        <w:rPr>
          <w:rtl/>
        </w:rPr>
        <w:t xml:space="preserve"> </w:t>
      </w:r>
      <w:r>
        <w:rPr>
          <w:rFonts w:hint="cs"/>
          <w:rtl/>
        </w:rPr>
        <w:t>من</w:t>
      </w:r>
      <w:r>
        <w:rPr>
          <w:rtl/>
        </w:rPr>
        <w:t xml:space="preserve"> </w:t>
      </w:r>
      <w:r>
        <w:rPr>
          <w:rFonts w:hint="cs"/>
          <w:rtl/>
        </w:rPr>
        <w:t>حيث</w:t>
      </w:r>
      <w:r>
        <w:rPr>
          <w:rtl/>
        </w:rPr>
        <w:t xml:space="preserve"> </w:t>
      </w:r>
      <w:r>
        <w:rPr>
          <w:rFonts w:hint="cs"/>
          <w:rtl/>
        </w:rPr>
        <w:t>التكرار</w:t>
      </w:r>
      <w:r>
        <w:rPr>
          <w:rtl/>
        </w:rPr>
        <w:t xml:space="preserve"> </w:t>
      </w:r>
      <w:r>
        <w:rPr>
          <w:rFonts w:hint="cs"/>
          <w:rtl/>
        </w:rPr>
        <w:t>والأهمية</w:t>
      </w:r>
      <w:r>
        <w:rPr>
          <w:rtl/>
        </w:rPr>
        <w:t xml:space="preserve"> </w:t>
      </w:r>
      <w:r>
        <w:rPr>
          <w:rFonts w:hint="cs"/>
          <w:rtl/>
        </w:rPr>
        <w:t>هي</w:t>
      </w:r>
      <w:r>
        <w:rPr>
          <w:rtl/>
        </w:rPr>
        <w:t xml:space="preserve"> </w:t>
      </w:r>
      <w:r>
        <w:rPr>
          <w:rFonts w:hint="cs"/>
          <w:rtl/>
        </w:rPr>
        <w:t>العيوب</w:t>
      </w:r>
      <w:r>
        <w:rPr>
          <w:rtl/>
        </w:rPr>
        <w:t xml:space="preserve"> </w:t>
      </w:r>
      <w:r>
        <w:rPr>
          <w:rFonts w:hint="cs"/>
          <w:rtl/>
        </w:rPr>
        <w:t>في</w:t>
      </w:r>
      <w:r>
        <w:rPr>
          <w:rtl/>
        </w:rPr>
        <w:t xml:space="preserve"> </w:t>
      </w:r>
      <w:r>
        <w:rPr>
          <w:rFonts w:hint="cs"/>
          <w:rtl/>
        </w:rPr>
        <w:t>التصميم</w:t>
      </w:r>
      <w:r>
        <w:rPr>
          <w:rtl/>
        </w:rPr>
        <w:t xml:space="preserve"> </w:t>
      </w:r>
      <w:r>
        <w:rPr>
          <w:rFonts w:hint="cs"/>
          <w:rtl/>
        </w:rPr>
        <w:t>والوثائق</w:t>
      </w:r>
      <w:r>
        <w:rPr>
          <w:rtl/>
        </w:rPr>
        <w:t xml:space="preserve"> </w:t>
      </w:r>
      <w:r>
        <w:rPr>
          <w:rFonts w:hint="cs"/>
          <w:rtl/>
        </w:rPr>
        <w:t>التعاقدية</w:t>
      </w:r>
      <w:r>
        <w:rPr>
          <w:rtl/>
        </w:rPr>
        <w:t xml:space="preserve"> </w:t>
      </w:r>
      <w:r>
        <w:rPr>
          <w:rFonts w:hint="cs"/>
          <w:rtl/>
        </w:rPr>
        <w:t>والتقدير</w:t>
      </w:r>
      <w:r>
        <w:rPr>
          <w:rtl/>
        </w:rPr>
        <w:t xml:space="preserve"> </w:t>
      </w:r>
      <w:r>
        <w:rPr>
          <w:rFonts w:hint="cs"/>
          <w:rtl/>
        </w:rPr>
        <w:t>السيئ</w:t>
      </w:r>
      <w:r>
        <w:rPr>
          <w:rtl/>
        </w:rPr>
        <w:t xml:space="preserve"> </w:t>
      </w:r>
      <w:r>
        <w:rPr>
          <w:rFonts w:hint="cs"/>
          <w:rtl/>
        </w:rPr>
        <w:t>وتضخم</w:t>
      </w:r>
      <w:r>
        <w:rPr>
          <w:rtl/>
        </w:rPr>
        <w:t xml:space="preserve"> </w:t>
      </w:r>
      <w:r>
        <w:rPr>
          <w:rFonts w:hint="cs"/>
          <w:rtl/>
        </w:rPr>
        <w:t>أسعار</w:t>
      </w:r>
      <w:r>
        <w:rPr>
          <w:rtl/>
        </w:rPr>
        <w:t xml:space="preserve"> </w:t>
      </w:r>
      <w:r>
        <w:rPr>
          <w:rFonts w:hint="cs"/>
          <w:rtl/>
        </w:rPr>
        <w:t>المواد</w:t>
      </w:r>
      <w:r>
        <w:rPr>
          <w:rtl/>
        </w:rPr>
        <w:t xml:space="preserve">. </w:t>
      </w:r>
      <w:r>
        <w:rPr>
          <w:rFonts w:hint="cs"/>
          <w:rtl/>
        </w:rPr>
        <w:t>تشير</w:t>
      </w:r>
      <w:r>
        <w:rPr>
          <w:rtl/>
        </w:rPr>
        <w:t xml:space="preserve"> </w:t>
      </w:r>
      <w:r>
        <w:rPr>
          <w:rFonts w:hint="cs"/>
          <w:rtl/>
        </w:rPr>
        <w:t>هذه</w:t>
      </w:r>
      <w:r>
        <w:rPr>
          <w:rtl/>
        </w:rPr>
        <w:t xml:space="preserve"> </w:t>
      </w:r>
      <w:r>
        <w:rPr>
          <w:rFonts w:hint="cs"/>
          <w:rtl/>
        </w:rPr>
        <w:t>النتائج</w:t>
      </w:r>
      <w:r>
        <w:rPr>
          <w:rtl/>
        </w:rPr>
        <w:t xml:space="preserve"> </w:t>
      </w:r>
      <w:r>
        <w:rPr>
          <w:rFonts w:hint="cs"/>
          <w:rtl/>
        </w:rPr>
        <w:t>إلى</w:t>
      </w:r>
      <w:r>
        <w:rPr>
          <w:rtl/>
        </w:rPr>
        <w:t xml:space="preserve"> </w:t>
      </w:r>
      <w:r>
        <w:rPr>
          <w:rFonts w:hint="cs"/>
          <w:rtl/>
        </w:rPr>
        <w:t>أن</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يجب</w:t>
      </w:r>
      <w:r>
        <w:rPr>
          <w:rtl/>
        </w:rPr>
        <w:t xml:space="preserve"> </w:t>
      </w:r>
      <w:r>
        <w:rPr>
          <w:rFonts w:hint="cs"/>
          <w:rtl/>
        </w:rPr>
        <w:t>أن</w:t>
      </w:r>
      <w:r>
        <w:rPr>
          <w:rtl/>
        </w:rPr>
        <w:t xml:space="preserve"> </w:t>
      </w:r>
      <w:r>
        <w:rPr>
          <w:rFonts w:hint="cs"/>
          <w:rtl/>
        </w:rPr>
        <w:t>يركزوا</w:t>
      </w:r>
      <w:r>
        <w:rPr>
          <w:rtl/>
        </w:rPr>
        <w:t xml:space="preserve"> </w:t>
      </w:r>
      <w:r>
        <w:rPr>
          <w:rFonts w:hint="cs"/>
          <w:rtl/>
        </w:rPr>
        <w:t>أكثر</w:t>
      </w:r>
      <w:r>
        <w:rPr>
          <w:rtl/>
        </w:rPr>
        <w:t xml:space="preserve"> </w:t>
      </w:r>
      <w:r>
        <w:rPr>
          <w:rFonts w:hint="cs"/>
          <w:rtl/>
        </w:rPr>
        <w:t>على</w:t>
      </w:r>
      <w:r>
        <w:rPr>
          <w:rtl/>
        </w:rPr>
        <w:t xml:space="preserve"> </w:t>
      </w:r>
      <w:r>
        <w:rPr>
          <w:rFonts w:hint="cs"/>
          <w:rtl/>
        </w:rPr>
        <w:t>إنشاء</w:t>
      </w:r>
      <w:r>
        <w:rPr>
          <w:rtl/>
        </w:rPr>
        <w:t xml:space="preserve"> </w:t>
      </w:r>
      <w:r>
        <w:rPr>
          <w:rFonts w:hint="cs"/>
          <w:rtl/>
        </w:rPr>
        <w:t>تصاميم</w:t>
      </w:r>
      <w:r>
        <w:rPr>
          <w:rtl/>
        </w:rPr>
        <w:t xml:space="preserve"> </w:t>
      </w:r>
      <w:r>
        <w:rPr>
          <w:rFonts w:hint="cs"/>
          <w:rtl/>
        </w:rPr>
        <w:t>وعقود</w:t>
      </w:r>
      <w:r>
        <w:rPr>
          <w:rtl/>
        </w:rPr>
        <w:t xml:space="preserve"> </w:t>
      </w:r>
      <w:r>
        <w:rPr>
          <w:rFonts w:hint="cs"/>
          <w:rtl/>
        </w:rPr>
        <w:t>تعاقدية</w:t>
      </w:r>
      <w:r>
        <w:rPr>
          <w:rtl/>
        </w:rPr>
        <w:t xml:space="preserve"> </w:t>
      </w:r>
      <w:r>
        <w:rPr>
          <w:rFonts w:hint="cs"/>
          <w:rtl/>
        </w:rPr>
        <w:t>عالية</w:t>
      </w:r>
      <w:r>
        <w:rPr>
          <w:rtl/>
        </w:rPr>
        <w:t xml:space="preserve"> </w:t>
      </w:r>
      <w:r>
        <w:rPr>
          <w:rFonts w:hint="cs"/>
          <w:rtl/>
        </w:rPr>
        <w:t>الجودة</w:t>
      </w:r>
      <w:r>
        <w:rPr>
          <w:rtl/>
        </w:rPr>
        <w:t xml:space="preserve">. </w:t>
      </w:r>
      <w:r>
        <w:rPr>
          <w:rFonts w:hint="cs"/>
          <w:rtl/>
        </w:rPr>
        <w:t>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يتم</w:t>
      </w:r>
      <w:r>
        <w:rPr>
          <w:rtl/>
        </w:rPr>
        <w:t xml:space="preserve"> </w:t>
      </w:r>
      <w:r>
        <w:rPr>
          <w:rFonts w:hint="cs"/>
          <w:rtl/>
        </w:rPr>
        <w:t>حث</w:t>
      </w:r>
      <w:r>
        <w:rPr>
          <w:rtl/>
        </w:rPr>
        <w:t xml:space="preserve"> </w:t>
      </w:r>
      <w:r>
        <w:rPr>
          <w:rFonts w:hint="cs"/>
          <w:rtl/>
        </w:rPr>
        <w:t>المقاولين</w:t>
      </w:r>
      <w:r>
        <w:rPr>
          <w:rtl/>
        </w:rPr>
        <w:t xml:space="preserve"> </w:t>
      </w:r>
      <w:r>
        <w:rPr>
          <w:rFonts w:hint="cs"/>
          <w:rtl/>
        </w:rPr>
        <w:t>على</w:t>
      </w:r>
      <w:r>
        <w:rPr>
          <w:rtl/>
        </w:rPr>
        <w:t xml:space="preserve"> </w:t>
      </w:r>
      <w:r>
        <w:rPr>
          <w:rFonts w:hint="cs"/>
          <w:rtl/>
        </w:rPr>
        <w:t>زيادة</w:t>
      </w:r>
      <w:r>
        <w:rPr>
          <w:rtl/>
        </w:rPr>
        <w:t xml:space="preserve"> </w:t>
      </w:r>
      <w:r>
        <w:rPr>
          <w:rFonts w:hint="cs"/>
          <w:rtl/>
        </w:rPr>
        <w:t>منهجيات</w:t>
      </w:r>
      <w:r>
        <w:rPr>
          <w:rtl/>
        </w:rPr>
        <w:t xml:space="preserve"> </w:t>
      </w:r>
      <w:r>
        <w:rPr>
          <w:rFonts w:hint="cs"/>
          <w:rtl/>
        </w:rPr>
        <w:t>تقدير</w:t>
      </w:r>
      <w:r>
        <w:rPr>
          <w:rtl/>
        </w:rPr>
        <w:t xml:space="preserve"> </w:t>
      </w:r>
      <w:r>
        <w:rPr>
          <w:rFonts w:hint="cs"/>
          <w:rtl/>
        </w:rPr>
        <w:t>تكاليف</w:t>
      </w:r>
      <w:r>
        <w:rPr>
          <w:rtl/>
        </w:rPr>
        <w:t xml:space="preserve"> </w:t>
      </w:r>
      <w:r>
        <w:rPr>
          <w:rFonts w:hint="cs"/>
          <w:rtl/>
        </w:rPr>
        <w:t>المواد</w:t>
      </w:r>
      <w:r>
        <w:rPr>
          <w:rtl/>
        </w:rPr>
        <w:t xml:space="preserve"> </w:t>
      </w:r>
      <w:r>
        <w:rPr>
          <w:rFonts w:hint="cs"/>
          <w:rtl/>
        </w:rPr>
        <w:t>الخاصة</w:t>
      </w:r>
      <w:r>
        <w:rPr>
          <w:rtl/>
        </w:rPr>
        <w:t xml:space="preserve"> </w:t>
      </w:r>
      <w:r>
        <w:rPr>
          <w:rFonts w:hint="cs"/>
          <w:rtl/>
        </w:rPr>
        <w:t>بهم</w:t>
      </w:r>
      <w:r>
        <w:rPr>
          <w:rtl/>
        </w:rPr>
        <w:t xml:space="preserve"> </w:t>
      </w:r>
      <w:r>
        <w:rPr>
          <w:rFonts w:hint="cs"/>
          <w:rtl/>
        </w:rPr>
        <w:t>وفحص</w:t>
      </w:r>
      <w:r>
        <w:rPr>
          <w:rtl/>
        </w:rPr>
        <w:t xml:space="preserve"> </w:t>
      </w:r>
      <w:r>
        <w:rPr>
          <w:rFonts w:hint="cs"/>
          <w:rtl/>
        </w:rPr>
        <w:t>التضخم</w:t>
      </w:r>
      <w:r>
        <w:rPr>
          <w:rtl/>
        </w:rPr>
        <w:t xml:space="preserve"> </w:t>
      </w:r>
      <w:r>
        <w:rPr>
          <w:rFonts w:hint="cs"/>
          <w:rtl/>
        </w:rPr>
        <w:t>في</w:t>
      </w:r>
      <w:r>
        <w:rPr>
          <w:rtl/>
        </w:rPr>
        <w:t xml:space="preserve"> </w:t>
      </w:r>
      <w:r>
        <w:rPr>
          <w:rFonts w:hint="cs"/>
          <w:rtl/>
        </w:rPr>
        <w:t>تكا</w:t>
      </w:r>
      <w:r>
        <w:rPr>
          <w:rtl/>
        </w:rPr>
        <w:t>ليف المواد والتباين في تكاليف المواد بشكل جدي أثناء تطوير أسعار عطاءاتهم</w:t>
      </w:r>
      <w:r>
        <w:rPr>
          <w:rtl/>
        </w:rPr>
        <w:fldChar w:fldCharType="begin"/>
      </w:r>
      <w:r>
        <w:instrText xml:space="preserve"> CITATION Sha21 \l 1033 </w:instrText>
      </w:r>
      <w:r>
        <w:rPr>
          <w:rtl/>
        </w:rPr>
        <w:fldChar w:fldCharType="separate"/>
      </w:r>
      <w:r>
        <w:rPr>
          <w:noProof/>
        </w:rPr>
        <w:t xml:space="preserve"> (Shash, 2021)</w:t>
      </w:r>
      <w:r>
        <w:rPr>
          <w:rtl/>
        </w:rPr>
        <w:fldChar w:fldCharType="end"/>
      </w:r>
      <w:r>
        <w:rPr>
          <w:rtl/>
        </w:rPr>
        <w:t>.</w:t>
      </w:r>
    </w:p>
    <w:p w:rsidR="00F84EB1" w:rsidRDefault="00000000">
      <w:pPr>
        <w:pStyle w:val="a0"/>
        <w:rPr>
          <w:rtl/>
        </w:rPr>
      </w:pPr>
      <w:r>
        <w:rPr>
          <w:rtl/>
        </w:rPr>
        <w:t>نحقق في أسباب التأخير في مشاريع تطوير الطرق في المملكة العربية السعودية. يحدد البحث أربعة أنواع رئيسية من أسباب التأخير: المتغيرات الخارجية، والعوامل المتعلقة بالمقاول، وعوامل إدارة المشروع، والعوامل البيئية. تشمل القضايا الخارجية التغييرات في القواعد والتأخير في الحصول على التراخيص والموافقات. تشمل القضايا المتعلقة بالمقاول الموارد المحدودة وتخطيط المشروع السيئ. تشمل عوامل إدارة المشروع الاتصال غير الفعال وضعف التعاون بين أصحاب المصلحة. تشمل الاعتبارات البيئية الظروف الجوية السيئة والصعوبات غير المتوقعة في الموقع. تقدم الورقة استراتيجيات مثل تحسين التنسيق، وزيادة إدارة العقود، ونهج إدارة المشاريع المتقدمة للتخفيف من أسباب التأخير هذه. تقدم النتائج رؤى مهمة للأطراف المشاركة في تطوير البنية التحتية للطرق في المملكة العربية السعودية، مما يمكنهم من تطبيق استراتيجيات لتسليم المشروع في الوقت المناسب وتحسين أداء المشروع</w:t>
      </w:r>
      <w:r>
        <w:rPr>
          <w:rtl/>
        </w:rPr>
        <w:fldChar w:fldCharType="begin"/>
      </w:r>
      <w:r>
        <w:instrText xml:space="preserve"> CITATION Abo231 \l 1033 </w:instrText>
      </w:r>
      <w:r>
        <w:rPr>
          <w:rtl/>
        </w:rPr>
        <w:fldChar w:fldCharType="separate"/>
      </w:r>
      <w:r>
        <w:rPr>
          <w:noProof/>
        </w:rPr>
        <w:t xml:space="preserve"> (Abolelmagd, 2023)</w:t>
      </w:r>
      <w:r>
        <w:rPr>
          <w:rtl/>
        </w:rPr>
        <w:fldChar w:fldCharType="end"/>
      </w:r>
      <w:r>
        <w:rPr>
          <w:rtl/>
        </w:rPr>
        <w:t>.</w:t>
      </w:r>
    </w:p>
    <w:p w:rsidR="00F84EB1" w:rsidRDefault="00000000">
      <w:pPr>
        <w:pStyle w:val="a0"/>
        <w:rPr>
          <w:rtl/>
        </w:rPr>
      </w:pPr>
      <w:r>
        <w:rPr>
          <w:rtl/>
        </w:rPr>
        <w:t xml:space="preserve">تعتمد المملكة العربية السعودية بشكل كبير على صناعة البناء الخاصة بها لتطوير البنية التحتية، ولكن حاجتها إلى البنية التحتية مقيدة بمستويات الإنتاجية المنخفضة وتجاوز التكاليف بسبب التأخير في إكمال المشاريع. يعد التأخير في مشاريع البناء مشكلة عالمية، حيث </w:t>
      </w:r>
      <w:r>
        <w:rPr>
          <w:rFonts w:hint="cs"/>
          <w:rtl/>
        </w:rPr>
        <w:t>إن</w:t>
      </w:r>
      <w:r>
        <w:rPr>
          <w:rtl/>
        </w:rPr>
        <w:t xml:space="preserve"> الأسباب المتعلقة بالعملاء متوطنة في مشاريع القطاع العام في المملكة العربية السعودية. لمعالجة هذه الفجوة البحثية، تدرس هذه الدراسة نهجًا جديدًا للحد من وإدارة التأخير في مشاريع البناء من خلال نمذجة معلومات البناء (</w:t>
      </w:r>
      <w:r>
        <w:t>BIM</w:t>
      </w:r>
      <w:r>
        <w:rPr>
          <w:rtl/>
        </w:rPr>
        <w:t xml:space="preserve">)، وخاصة فيما يتعلق بالقضاء على تحيز التفاؤل والحد من العواقب المترتبة على مثل هذه التأخيرات على مشاريع القطاع العام السعودي. تم تبني نهج نوعي لجمع البيانات باستخدام دراسات حالة متعددة من ثلاث منظمات في </w:t>
      </w:r>
      <w:r>
        <w:rPr>
          <w:rtl/>
        </w:rPr>
        <w:lastRenderedPageBreak/>
        <w:t>القطاع العام في المملكة العربية السعودية: وزارة التعليم (</w:t>
      </w:r>
      <w:r>
        <w:t>MOE</w:t>
      </w:r>
      <w:r>
        <w:rPr>
          <w:rtl/>
        </w:rPr>
        <w:t>)، ووزارة الصحة (</w:t>
      </w:r>
      <w:r>
        <w:t>MOH</w:t>
      </w:r>
      <w:r>
        <w:rPr>
          <w:rtl/>
        </w:rPr>
        <w:t>)، ووزارة الشؤون البلدية والقروية (</w:t>
      </w:r>
      <w:r>
        <w:t>MOMRA</w:t>
      </w:r>
      <w:r>
        <w:rPr>
          <w:rtl/>
        </w:rPr>
        <w:t xml:space="preserve">). أجريت مقابلات شبه منظمة مع 18 خبيرًا مشاركًا في هذه المشاريع للحصول على أفكارهم وتصوراتهم الحالية حول استخدام </w:t>
      </w:r>
      <w:r>
        <w:t>BIM</w:t>
      </w:r>
      <w:r>
        <w:rPr>
          <w:rtl/>
        </w:rPr>
        <w:t xml:space="preserve"> لإدارة التأخير. تم وضع </w:t>
      </w:r>
      <w:r>
        <w:rPr>
          <w:rFonts w:hint="cs"/>
          <w:rtl/>
        </w:rPr>
        <w:t>ست</w:t>
      </w:r>
      <w:r>
        <w:rPr>
          <w:rtl/>
        </w:rPr>
        <w:t xml:space="preserve"> مقترحات لتوجيه البحث ونتائجه، مما يوضح الميزة التي يتمتع بها </w:t>
      </w:r>
      <w:r>
        <w:t>BIM</w:t>
      </w:r>
      <w:r>
        <w:rPr>
          <w:rtl/>
        </w:rPr>
        <w:t xml:space="preserve"> على الطرق التقليدية لإدارة التأخير في مشاريع البناء. تم تحديد خمسة عوامل تأخير حرجة مرتبطة مباشرة بعميل القطاع العام السعودي (أي الحكومة) كمرشحين يمكنهم الاستفادة بشكل مباشر من قدرات </w:t>
      </w:r>
      <w:r>
        <w:t>BIM</w:t>
      </w:r>
      <w:r>
        <w:rPr>
          <w:rtl/>
        </w:rPr>
        <w:t>: التخطيط غير الفعال وجدولة المشروع، والتغييرات أثناء البناء من قبل العميل، والتأخير في دفع التقدم، والبطء في اتخاذ القرار من قبل العميل، وضعف التواصل بين العملاء وأصحاب المصلحة الآخرين. كان من الممكن استخدام منصات التعاون القائمة على السحابة بشكل أفضل لإدارة هذه القضايا</w:t>
      </w:r>
      <w:r>
        <w:rPr>
          <w:rtl/>
        </w:rPr>
        <w:fldChar w:fldCharType="begin"/>
      </w:r>
      <w:r>
        <w:instrText xml:space="preserve"> CITATION Ale18 \l 1033 </w:instrText>
      </w:r>
      <w:r>
        <w:rPr>
          <w:rtl/>
        </w:rPr>
        <w:fldChar w:fldCharType="separate"/>
      </w:r>
      <w:r>
        <w:rPr>
          <w:noProof/>
        </w:rPr>
        <w:t xml:space="preserve"> (Alenazi E. O., 2018)</w:t>
      </w:r>
      <w:r>
        <w:rPr>
          <w:rtl/>
        </w:rPr>
        <w:fldChar w:fldCharType="end"/>
      </w:r>
      <w:r>
        <w:rPr>
          <w:rtl/>
        </w:rPr>
        <w:t>.</w:t>
      </w:r>
    </w:p>
    <w:p w:rsidR="00F84EB1" w:rsidRDefault="00000000">
      <w:pPr>
        <w:pStyle w:val="a0"/>
        <w:rPr>
          <w:rtl/>
        </w:rPr>
      </w:pPr>
      <w:r>
        <w:rPr>
          <w:rtl/>
        </w:rPr>
        <w:t>على الرغم من الطفرة التي يشهدها قطاع البناء في المملكة العربية السعودية، إلا أنه لم ينفذ بعد نمذجة معلومات البناء (</w:t>
      </w:r>
      <w:r>
        <w:t>BIM</w:t>
      </w:r>
      <w:r>
        <w:rPr>
          <w:rtl/>
        </w:rPr>
        <w:t xml:space="preserve">) بشكل كامل، والتي حظيت باهتمام كبير في صناعات البناء في الولايات المتحدة والمملكة المتحدة وأستراليا. وبالتالي، فإن هدف هذا البحث هو تقديم أحدث التطورات في تنفيذ </w:t>
      </w:r>
      <w:r>
        <w:t>BIM</w:t>
      </w:r>
      <w:r>
        <w:rPr>
          <w:rtl/>
        </w:rPr>
        <w:t xml:space="preserve"> في المملكة العربية السعودية، بالإضافة إلى الفوائد والقيود الملموسة من خلال دراسة حالة. تم تقديم نظرة عامة واسعة النطاق على </w:t>
      </w:r>
      <w:r>
        <w:t>BIM</w:t>
      </w:r>
      <w:r>
        <w:rPr>
          <w:rtl/>
        </w:rPr>
        <w:t xml:space="preserve"> وقطاع البناء في المملكة العربية السعودية والبحث وتطبيق </w:t>
      </w:r>
      <w:r>
        <w:t>BIM</w:t>
      </w:r>
      <w:r>
        <w:rPr>
          <w:rtl/>
        </w:rPr>
        <w:t xml:space="preserve"> في المملكة العربية السعودية في هذه الورقة. كما أثبت البحث الفوائد والقيود الملموسة لنشر </w:t>
      </w:r>
      <w:r>
        <w:t>BIM</w:t>
      </w:r>
      <w:r>
        <w:rPr>
          <w:rtl/>
        </w:rPr>
        <w:t xml:space="preserve"> من خلال دراسة حالة لشركة </w:t>
      </w:r>
      <w:r>
        <w:t>AEC</w:t>
      </w:r>
      <w:r>
        <w:rPr>
          <w:rtl/>
        </w:rPr>
        <w:t xml:space="preserve"> محلية. تم إجراء </w:t>
      </w:r>
      <w:r>
        <w:rPr>
          <w:rFonts w:hint="cs"/>
          <w:rtl/>
        </w:rPr>
        <w:t>استبانة</w:t>
      </w:r>
      <w:r>
        <w:rPr>
          <w:rtl/>
        </w:rPr>
        <w:t xml:space="preserve"> لاكتساب الدروس المستفادة من فريق </w:t>
      </w:r>
      <w:r>
        <w:t>BIM</w:t>
      </w:r>
      <w:r>
        <w:rPr>
          <w:rtl/>
        </w:rPr>
        <w:t xml:space="preserve"> للمشروع التجريبي وتم فحصه بعد ذلك باستخدام تقنية </w:t>
      </w:r>
      <w:r>
        <w:t>RII</w:t>
      </w:r>
      <w:r>
        <w:rPr>
          <w:rtl/>
        </w:rPr>
        <w:t xml:space="preserve">. تشمل استنتاجات الدراسة غياب التدابير التنظيمية في المملكة العربية السعودية لفرض </w:t>
      </w:r>
      <w:r>
        <w:t>BIM</w:t>
      </w:r>
      <w:r>
        <w:rPr>
          <w:rtl/>
        </w:rPr>
        <w:t xml:space="preserve"> في قطاع البناء، فضلاً عن الافتقار إلى البحوث المهمة في مجال </w:t>
      </w:r>
      <w:r>
        <w:t>BIM</w:t>
      </w:r>
      <w:r>
        <w:rPr>
          <w:rtl/>
        </w:rPr>
        <w:t xml:space="preserve"> في المملكة العربية السعودية. وعلاوة على ذلك، كشفت دراسة الحالة أيضًا أن أهم فائدة لتبني </w:t>
      </w:r>
      <w:r>
        <w:t>BIM</w:t>
      </w:r>
      <w:r>
        <w:rPr>
          <w:rtl/>
        </w:rPr>
        <w:t xml:space="preserve"> هي "اكتشاف </w:t>
      </w:r>
      <w:r>
        <w:rPr>
          <w:rFonts w:hint="cs"/>
          <w:rtl/>
        </w:rPr>
        <w:t>المتعارضا</w:t>
      </w:r>
      <w:r>
        <w:rPr>
          <w:rFonts w:hint="eastAsia"/>
          <w:rtl/>
        </w:rPr>
        <w:t>ت</w:t>
      </w:r>
      <w:r>
        <w:rPr>
          <w:rtl/>
        </w:rPr>
        <w:t xml:space="preserve"> بين التخصصات في الرسومات لتقليل الخطأ والحفاظ على نية التصميم ومراقبة الجودة وتسريع الاتصال"، في حين أن الحاجز الأكثر أهمية هو "الحاجة إلى إعادة هندسة العديد من مشاريع البناء للانتقال الناجح نحو </w:t>
      </w:r>
      <w:r>
        <w:t>BIM</w:t>
      </w:r>
      <w:r>
        <w:rPr>
          <w:rtl/>
        </w:rPr>
        <w:t xml:space="preserve">". توفر الدراسة أساسًا لمزيد من البحث نحو نشر </w:t>
      </w:r>
      <w:r>
        <w:t>BIM</w:t>
      </w:r>
      <w:r>
        <w:rPr>
          <w:rtl/>
        </w:rPr>
        <w:t xml:space="preserve"> في المملكة العربية السعودية وتسلط الضوء أيضًا على المزايا والتحديات المحتملة في تنفيذ</w:t>
      </w:r>
      <w:r>
        <w:t xml:space="preserve"> BIM </w:t>
      </w:r>
      <w:r>
        <w:rPr>
          <w:rtl/>
        </w:rPr>
        <w:t xml:space="preserve"> </w:t>
      </w:r>
      <w:r>
        <w:rPr>
          <w:rtl/>
        </w:rPr>
        <w:fldChar w:fldCharType="begin"/>
      </w:r>
      <w:r>
        <w:instrText xml:space="preserve"> CITATION AlY19 \l 1033 </w:instrText>
      </w:r>
      <w:r>
        <w:rPr>
          <w:rtl/>
        </w:rPr>
        <w:fldChar w:fldCharType="separate"/>
      </w:r>
      <w:r>
        <w:rPr>
          <w:noProof/>
        </w:rPr>
        <w:t xml:space="preserve"> (Al-Yami, 2019)</w:t>
      </w:r>
      <w:r>
        <w:rPr>
          <w:rtl/>
        </w:rPr>
        <w:fldChar w:fldCharType="end"/>
      </w:r>
      <w:r>
        <w:rPr>
          <w:rtl/>
        </w:rPr>
        <w:t>.</w:t>
      </w:r>
    </w:p>
    <w:p w:rsidR="00F84EB1" w:rsidRDefault="00000000">
      <w:pPr>
        <w:pStyle w:val="a0"/>
        <w:rPr>
          <w:rtl/>
        </w:rPr>
      </w:pPr>
      <w:r>
        <w:rPr>
          <w:rtl/>
        </w:rPr>
        <w:lastRenderedPageBreak/>
        <w:t xml:space="preserve">تعد صناعة البناء في المملكة العربية السعودية من أهم الأعمال في الشرق الأوسط، حيث يصل الإنفاق السنوي إلى 120 مليار دولار أمريكي. وتوظف هذه الصناعة 15% من القوى العاملة وتستخدم أكثر من 14% من موارد الطاقة في البلاد. وعلى الرغم من التوسع الكبير في قطاع البناء السعودي، إلا أنه يواجه العديد من العقبات بسبب التقديم السريع للمشاريع الضخمة، مثل مشروع الخط المتضمن في مشروع نيوم، فضلاً عن مشاريع جديدة أخرى كجزء من رؤية السعودية 2030. ويمكن أن تقتصر العقبات على ندرة العمال المدربين، وزيادة النفقات، وصراعات البناء، ونقص المواد. تهدف هذه الدراسة إلى تحليل عمليات إدارة المطالبات في ظل الممارسة القياسية ومقارنتها بحزمة </w:t>
      </w:r>
      <w:r>
        <w:t>BIM</w:t>
      </w:r>
      <w:r>
        <w:rPr>
          <w:rtl/>
        </w:rPr>
        <w:t xml:space="preserve"> المقترحة كطريقة بديلة للتخفيف من صراعات البناء. والغرض من الدراسة هو تقليل الوقت اللازم لتقييم المطالبات مقابل درجة دقة قيم المطالبات. يعمل نموذج </w:t>
      </w:r>
      <w:r>
        <w:t>BIM</w:t>
      </w:r>
      <w:r>
        <w:rPr>
          <w:rtl/>
        </w:rPr>
        <w:t xml:space="preserve"> المقترح على تعزيز وتبسيط عملية المطالبات من خلال الأتمتة. تقدم هذه الدراسة منهجيات مستقبلية ورجعية في تحليل التأخير في ظل مخطط معترف به. تم إجراء </w:t>
      </w:r>
      <w:r>
        <w:rPr>
          <w:rFonts w:hint="cs"/>
          <w:rtl/>
        </w:rPr>
        <w:t>استبانة</w:t>
      </w:r>
      <w:r>
        <w:rPr>
          <w:rtl/>
        </w:rPr>
        <w:t xml:space="preserve">، ومن إجمالي 123 ممارسًا، أجاب 79. توضح البيانات الموجودة في الجداول في هذه المقالة أن هناك احتياجات وفهمًا متزايدًا لـ </w:t>
      </w:r>
      <w:r>
        <w:t>BIM</w:t>
      </w:r>
      <w:r>
        <w:rPr>
          <w:rtl/>
        </w:rPr>
        <w:t xml:space="preserve"> في قطاع البناء في المملكة العربية السعودية. تشير النتائج إلى أن </w:t>
      </w:r>
      <w:r>
        <w:t>BIM</w:t>
      </w:r>
      <w:r>
        <w:rPr>
          <w:rtl/>
        </w:rPr>
        <w:t xml:space="preserve"> يمكن أن يساعد في تجنب الخلافات المحتملة وكذلك خفض إجمالي تجاوزات تكلفة المشروع</w:t>
      </w:r>
      <w:r>
        <w:rPr>
          <w:rtl/>
        </w:rPr>
        <w:fldChar w:fldCharType="begin"/>
      </w:r>
      <w:r>
        <w:instrText xml:space="preserve"> CITATION Abo24 \l 1033 </w:instrText>
      </w:r>
      <w:r>
        <w:rPr>
          <w:rtl/>
        </w:rPr>
        <w:fldChar w:fldCharType="separate"/>
      </w:r>
      <w:r>
        <w:rPr>
          <w:noProof/>
        </w:rPr>
        <w:t xml:space="preserve"> (Abougamil, 2024)</w:t>
      </w:r>
      <w:r>
        <w:rPr>
          <w:rtl/>
        </w:rPr>
        <w:fldChar w:fldCharType="end"/>
      </w:r>
      <w:r>
        <w:rPr>
          <w:rtl/>
        </w:rPr>
        <w:t>.</w:t>
      </w:r>
    </w:p>
    <w:p w:rsidR="00F84EB1" w:rsidRDefault="00000000">
      <w:pPr>
        <w:pStyle w:val="a0"/>
        <w:rPr>
          <w:rtl/>
        </w:rPr>
      </w:pPr>
      <w:r>
        <w:rPr>
          <w:rtl/>
        </w:rPr>
        <w:t xml:space="preserve">تقدم أنظمة التنقل الذكية حلولاً للازدحام المروري وإدارة النقل والطوارئ وسلامة الطرق. ومع ذلك، فإن نجاح التنقل الذكي يتوقف على توفر البنية التحتية للنقل الذكي. وقد حللت هذه المقالة أنظمة التنقل الذكي في ثلاث دول في منطقة آسيا والمحيط الهادئ (كوريا الجنوبية وسنغافورة واليابان) لتسليط الضوء على الأساليب الأساسية التي تقود مسارها الناجح إلى أن تصبح مدنًا ذكية للدول الطموحة، مثل المملكة العربية السعودية. وقد تم تصميم إطار شامل لتقييم أنظمة التنقل الذكي في الدول الثلاث والمملكة العربية السعودية بناءً على المؤشرات الناتجة عن نظام التنقل الذكي وثلاث فئات رئيسية من خدمات النقل (الخاصة والعامة والطوارئ). وقد تم تحديد ستين مؤشرًا لأنظمة النقل الذكية من خلال مراجعة دقيقة للأدبيات وغيرها من المصادر الثانوية. شكلت الروبوتات والطائرات بدون طيار وإنترنت الأشياء وشبكة الجيل الخامس وأنفاق </w:t>
      </w:r>
      <w:r>
        <w:rPr>
          <w:rFonts w:hint="cs"/>
          <w:rtl/>
        </w:rPr>
        <w:t>هايب لوب</w:t>
      </w:r>
      <w:r>
        <w:rPr>
          <w:rtl/>
        </w:rPr>
        <w:t xml:space="preserve"> وتقنيات القيادة الذاتية جزءًا من المؤشرات في تلك الدول. يوضح التحليل أن الدول الثلاث في منطقة آسيا والمحيط الهادئ تتحرك وجهاً لوجه من حيث تطوير التنقل الذكي. وقد تنضم المملكة العربية السعودية إلى هذه الدول الأكثر ذكاءً من خلال التنمية الشاملة، والتوحيد القياسي، والسياسات التي تحركها السياسات مع الالتزامات الصريحة بالتعاون </w:t>
      </w:r>
      <w:r>
        <w:rPr>
          <w:rtl/>
        </w:rPr>
        <w:lastRenderedPageBreak/>
        <w:t xml:space="preserve">العام والتجاري والبحثي في </w:t>
      </w:r>
      <w:r>
        <w:rPr>
          <w:rFonts w:ascii="Arial" w:hAnsi="Arial" w:cs="Arial" w:hint="cs"/>
          <w:rtl/>
        </w:rPr>
        <w:t>​​</w:t>
      </w:r>
      <w:r>
        <w:rPr>
          <w:rFonts w:hint="cs"/>
          <w:rtl/>
        </w:rPr>
        <w:t>تطوير</w:t>
      </w:r>
      <w:r>
        <w:rPr>
          <w:rtl/>
        </w:rPr>
        <w:t xml:space="preserve"> </w:t>
      </w:r>
      <w:r>
        <w:rPr>
          <w:rFonts w:hint="cs"/>
          <w:rtl/>
        </w:rPr>
        <w:t>نظام</w:t>
      </w:r>
      <w:r>
        <w:rPr>
          <w:rtl/>
        </w:rPr>
        <w:t xml:space="preserve"> </w:t>
      </w:r>
      <w:r>
        <w:rPr>
          <w:rFonts w:hint="cs"/>
          <w:rtl/>
        </w:rPr>
        <w:t>النقل</w:t>
      </w:r>
      <w:r>
        <w:rPr>
          <w:rtl/>
        </w:rPr>
        <w:t xml:space="preserve"> </w:t>
      </w:r>
      <w:r>
        <w:rPr>
          <w:rFonts w:hint="cs"/>
          <w:rtl/>
        </w:rPr>
        <w:t>الذكي</w:t>
      </w:r>
      <w:r>
        <w:rPr>
          <w:rtl/>
        </w:rPr>
        <w:t xml:space="preserve"> </w:t>
      </w:r>
      <w:r>
        <w:rPr>
          <w:rFonts w:hint="cs"/>
          <w:rtl/>
        </w:rPr>
        <w:t>الخاص</w:t>
      </w:r>
      <w:r>
        <w:rPr>
          <w:rtl/>
        </w:rPr>
        <w:t xml:space="preserve"> </w:t>
      </w:r>
      <w:r>
        <w:rPr>
          <w:rFonts w:hint="cs"/>
          <w:rtl/>
        </w:rPr>
        <w:t>بها</w:t>
      </w:r>
      <w:r>
        <w:rPr>
          <w:rtl/>
        </w:rPr>
        <w:t xml:space="preserve">. </w:t>
      </w:r>
      <w:r>
        <w:rPr>
          <w:rFonts w:hint="cs"/>
          <w:rtl/>
        </w:rPr>
        <w:t>وعلاوة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يجب</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الأمن</w:t>
      </w:r>
      <w:r>
        <w:rPr>
          <w:rtl/>
        </w:rPr>
        <w:t xml:space="preserve"> </w:t>
      </w:r>
      <w:r>
        <w:rPr>
          <w:rFonts w:hint="cs"/>
          <w:rtl/>
        </w:rPr>
        <w:t>السيبراني</w:t>
      </w:r>
      <w:r>
        <w:rPr>
          <w:rtl/>
        </w:rPr>
        <w:t xml:space="preserve"> </w:t>
      </w:r>
      <w:r>
        <w:rPr>
          <w:rFonts w:hint="cs"/>
          <w:rtl/>
        </w:rPr>
        <w:t>بعناية</w:t>
      </w:r>
      <w:r>
        <w:rPr>
          <w:rtl/>
        </w:rPr>
        <w:t xml:space="preserve"> </w:t>
      </w:r>
      <w:r>
        <w:rPr>
          <w:rFonts w:hint="cs"/>
          <w:rtl/>
        </w:rPr>
        <w:t>لأن</w:t>
      </w:r>
      <w:r>
        <w:rPr>
          <w:rtl/>
        </w:rPr>
        <w:t xml:space="preserve"> </w:t>
      </w:r>
      <w:r>
        <w:rPr>
          <w:rFonts w:hint="cs"/>
          <w:rtl/>
        </w:rPr>
        <w:t>معظم</w:t>
      </w:r>
      <w:r>
        <w:rPr>
          <w:rtl/>
        </w:rPr>
        <w:t xml:space="preserve"> </w:t>
      </w:r>
      <w:r>
        <w:rPr>
          <w:rFonts w:hint="cs"/>
          <w:rtl/>
        </w:rPr>
        <w:t>أنظمة</w:t>
      </w:r>
      <w:r>
        <w:rPr>
          <w:rtl/>
        </w:rPr>
        <w:t xml:space="preserve"> </w:t>
      </w:r>
      <w:r>
        <w:rPr>
          <w:rFonts w:hint="cs"/>
          <w:rtl/>
        </w:rPr>
        <w:t>التنقل</w:t>
      </w:r>
      <w:r>
        <w:rPr>
          <w:rtl/>
        </w:rPr>
        <w:t xml:space="preserve"> </w:t>
      </w:r>
      <w:r>
        <w:rPr>
          <w:rFonts w:hint="cs"/>
          <w:rtl/>
        </w:rPr>
        <w:t>الذكية</w:t>
      </w:r>
      <w:r>
        <w:rPr>
          <w:rtl/>
        </w:rPr>
        <w:t xml:space="preserve"> </w:t>
      </w:r>
      <w:r>
        <w:rPr>
          <w:rFonts w:hint="cs"/>
          <w:rtl/>
        </w:rPr>
        <w:t>تستخدم</w:t>
      </w:r>
      <w:r>
        <w:rPr>
          <w:rtl/>
        </w:rPr>
        <w:t xml:space="preserve"> </w:t>
      </w:r>
      <w:r>
        <w:rPr>
          <w:rFonts w:hint="cs"/>
          <w:rtl/>
        </w:rPr>
        <w:t>تقنيات</w:t>
      </w:r>
      <w:r>
        <w:rPr>
          <w:rtl/>
        </w:rPr>
        <w:t xml:space="preserve"> </w:t>
      </w:r>
      <w:r>
        <w:rPr>
          <w:rFonts w:hint="cs"/>
          <w:rtl/>
        </w:rPr>
        <w:t>لاسلكية</w:t>
      </w:r>
      <w:r>
        <w:rPr>
          <w:rtl/>
        </w:rPr>
        <w:t xml:space="preserve"> </w:t>
      </w:r>
      <w:r>
        <w:rPr>
          <w:rFonts w:hint="cs"/>
          <w:rtl/>
        </w:rPr>
        <w:t>وإنترنت</w:t>
      </w:r>
      <w:r>
        <w:rPr>
          <w:rtl/>
        </w:rPr>
        <w:t xml:space="preserve"> </w:t>
      </w:r>
      <w:r>
        <w:rPr>
          <w:rFonts w:hint="cs"/>
          <w:rtl/>
        </w:rPr>
        <w:t>الأشياء،</w:t>
      </w:r>
      <w:r>
        <w:rPr>
          <w:rtl/>
        </w:rPr>
        <w:t xml:space="preserve"> </w:t>
      </w:r>
      <w:r>
        <w:rPr>
          <w:rFonts w:hint="cs"/>
          <w:rtl/>
        </w:rPr>
        <w:t>والتي</w:t>
      </w:r>
      <w:r>
        <w:rPr>
          <w:rtl/>
        </w:rPr>
        <w:t xml:space="preserve"> </w:t>
      </w:r>
      <w:r>
        <w:rPr>
          <w:rFonts w:hint="cs"/>
          <w:rtl/>
        </w:rPr>
        <w:t>قد</w:t>
      </w:r>
      <w:r>
        <w:rPr>
          <w:rtl/>
        </w:rPr>
        <w:t xml:space="preserve"> </w:t>
      </w:r>
      <w:r>
        <w:rPr>
          <w:rFonts w:hint="cs"/>
          <w:rtl/>
        </w:rPr>
        <w:t>تكون</w:t>
      </w:r>
      <w:r>
        <w:rPr>
          <w:rtl/>
        </w:rPr>
        <w:t xml:space="preserve"> </w:t>
      </w:r>
      <w:r>
        <w:rPr>
          <w:rFonts w:hint="cs"/>
          <w:rtl/>
        </w:rPr>
        <w:t>عرضة</w:t>
      </w:r>
      <w:r>
        <w:rPr>
          <w:rtl/>
        </w:rPr>
        <w:t xml:space="preserve"> </w:t>
      </w:r>
      <w:r>
        <w:rPr>
          <w:rFonts w:hint="cs"/>
          <w:rtl/>
        </w:rPr>
        <w:t>للاختراق،</w:t>
      </w:r>
      <w:r>
        <w:rPr>
          <w:rtl/>
        </w:rPr>
        <w:t xml:space="preserve"> </w:t>
      </w:r>
      <w:r>
        <w:rPr>
          <w:rFonts w:hint="cs"/>
          <w:rtl/>
        </w:rPr>
        <w:t>وبالتالي</w:t>
      </w:r>
      <w:r>
        <w:rPr>
          <w:rtl/>
        </w:rPr>
        <w:t xml:space="preserve"> </w:t>
      </w:r>
      <w:r>
        <w:rPr>
          <w:rFonts w:hint="cs"/>
          <w:rtl/>
        </w:rPr>
        <w:t>تضعف</w:t>
      </w:r>
      <w:r>
        <w:rPr>
          <w:rtl/>
        </w:rPr>
        <w:t xml:space="preserve"> </w:t>
      </w:r>
      <w:r>
        <w:rPr>
          <w:rFonts w:hint="cs"/>
          <w:rtl/>
        </w:rPr>
        <w:t>سلامة</w:t>
      </w:r>
      <w:r>
        <w:rPr>
          <w:rtl/>
        </w:rPr>
        <w:t xml:space="preserve"> </w:t>
      </w:r>
      <w:r>
        <w:rPr>
          <w:rFonts w:hint="cs"/>
          <w:rtl/>
        </w:rPr>
        <w:t>النظام</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ذلك،</w:t>
      </w:r>
      <w:r>
        <w:rPr>
          <w:rtl/>
        </w:rPr>
        <w:t xml:space="preserve"> </w:t>
      </w:r>
      <w:r>
        <w:rPr>
          <w:rFonts w:hint="cs"/>
          <w:rtl/>
        </w:rPr>
        <w:t>يجب</w:t>
      </w:r>
      <w:r>
        <w:rPr>
          <w:rtl/>
        </w:rPr>
        <w:t xml:space="preserve"> </w:t>
      </w:r>
      <w:r>
        <w:rPr>
          <w:rFonts w:hint="cs"/>
          <w:rtl/>
        </w:rPr>
        <w:t>أن</w:t>
      </w:r>
      <w:r>
        <w:rPr>
          <w:rtl/>
        </w:rPr>
        <w:t xml:space="preserve"> </w:t>
      </w:r>
      <w:r>
        <w:rPr>
          <w:rFonts w:hint="cs"/>
          <w:rtl/>
        </w:rPr>
        <w:t>يتضمن</w:t>
      </w:r>
      <w:r>
        <w:rPr>
          <w:rtl/>
        </w:rPr>
        <w:t xml:space="preserve"> </w:t>
      </w:r>
      <w:r>
        <w:rPr>
          <w:rFonts w:hint="cs"/>
          <w:rtl/>
        </w:rPr>
        <w:t>نظام</w:t>
      </w:r>
      <w:r>
        <w:rPr>
          <w:rtl/>
        </w:rPr>
        <w:t xml:space="preserve"> </w:t>
      </w:r>
      <w:r>
        <w:rPr>
          <w:rFonts w:hint="cs"/>
          <w:rtl/>
        </w:rPr>
        <w:t>التنقل</w:t>
      </w:r>
      <w:r>
        <w:rPr>
          <w:rtl/>
        </w:rPr>
        <w:t xml:space="preserve"> </w:t>
      </w:r>
      <w:r>
        <w:rPr>
          <w:rFonts w:hint="cs"/>
          <w:rtl/>
        </w:rPr>
        <w:t>الذكي</w:t>
      </w:r>
      <w:r>
        <w:rPr>
          <w:rtl/>
        </w:rPr>
        <w:t xml:space="preserve"> </w:t>
      </w:r>
      <w:r>
        <w:rPr>
          <w:rFonts w:hint="cs"/>
          <w:rtl/>
        </w:rPr>
        <w:t>تحليلات</w:t>
      </w:r>
      <w:r>
        <w:rPr>
          <w:rtl/>
        </w:rPr>
        <w:t xml:space="preserve"> </w:t>
      </w:r>
      <w:r>
        <w:rPr>
          <w:rFonts w:hint="cs"/>
          <w:rtl/>
        </w:rPr>
        <w:t>البيانات</w:t>
      </w:r>
      <w:r>
        <w:rPr>
          <w:rtl/>
        </w:rPr>
        <w:t xml:space="preserve"> </w:t>
      </w:r>
      <w:r>
        <w:rPr>
          <w:rFonts w:hint="cs"/>
          <w:rtl/>
        </w:rPr>
        <w:t>والتعلم</w:t>
      </w:r>
      <w:r>
        <w:rPr>
          <w:rtl/>
        </w:rPr>
        <w:t xml:space="preserve"> </w:t>
      </w:r>
      <w:r>
        <w:rPr>
          <w:rFonts w:hint="cs"/>
          <w:rtl/>
        </w:rPr>
        <w:t>الآلي</w:t>
      </w:r>
      <w:r>
        <w:rPr>
          <w:rtl/>
        </w:rPr>
        <w:t xml:space="preserve"> </w:t>
      </w:r>
      <w:r>
        <w:rPr>
          <w:rFonts w:hint="cs"/>
          <w:rtl/>
        </w:rPr>
        <w:t>والذكاء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تصميم</w:t>
      </w:r>
      <w:r>
        <w:rPr>
          <w:rtl/>
        </w:rPr>
        <w:t xml:space="preserve"> </w:t>
      </w:r>
      <w:r>
        <w:rPr>
          <w:rFonts w:hint="cs"/>
          <w:rtl/>
        </w:rPr>
        <w:t>ومراقبة</w:t>
      </w:r>
      <w:r>
        <w:rPr>
          <w:rtl/>
        </w:rPr>
        <w:t xml:space="preserve"> </w:t>
      </w:r>
      <w:r>
        <w:rPr>
          <w:rFonts w:hint="cs"/>
          <w:rtl/>
        </w:rPr>
        <w:t>التقييم</w:t>
      </w:r>
      <w:r>
        <w:rPr>
          <w:rtl/>
        </w:rPr>
        <w:t xml:space="preserve"> </w:t>
      </w:r>
      <w:r>
        <w:rPr>
          <w:rFonts w:hint="cs"/>
          <w:rtl/>
        </w:rPr>
        <w:t>من</w:t>
      </w:r>
      <w:r>
        <w:rPr>
          <w:rtl/>
        </w:rPr>
        <w:t xml:space="preserve"> </w:t>
      </w:r>
      <w:r>
        <w:rPr>
          <w:rFonts w:hint="cs"/>
          <w:rtl/>
        </w:rPr>
        <w:t>حيث</w:t>
      </w:r>
      <w:r>
        <w:rPr>
          <w:rtl/>
        </w:rPr>
        <w:t xml:space="preserve"> </w:t>
      </w:r>
      <w:r>
        <w:rPr>
          <w:rFonts w:hint="cs"/>
          <w:rtl/>
        </w:rPr>
        <w:t>تجربة</w:t>
      </w:r>
      <w:r>
        <w:rPr>
          <w:rtl/>
        </w:rPr>
        <w:t xml:space="preserve"> </w:t>
      </w:r>
      <w:r>
        <w:rPr>
          <w:rFonts w:hint="cs"/>
          <w:rtl/>
        </w:rPr>
        <w:t>المستخدم</w:t>
      </w:r>
      <w:r>
        <w:rPr>
          <w:rtl/>
        </w:rPr>
        <w:t xml:space="preserve"> </w:t>
      </w:r>
      <w:r>
        <w:rPr>
          <w:rFonts w:hint="cs"/>
          <w:rtl/>
        </w:rPr>
        <w:t>والقدرة</w:t>
      </w:r>
      <w:r>
        <w:rPr>
          <w:rtl/>
        </w:rPr>
        <w:t xml:space="preserve"> </w:t>
      </w:r>
      <w:r>
        <w:rPr>
          <w:rFonts w:hint="cs"/>
          <w:rtl/>
        </w:rPr>
        <w:t>على</w:t>
      </w:r>
      <w:r>
        <w:rPr>
          <w:rtl/>
        </w:rPr>
        <w:t xml:space="preserve"> </w:t>
      </w:r>
      <w:r>
        <w:rPr>
          <w:rFonts w:hint="cs"/>
          <w:rtl/>
        </w:rPr>
        <w:t>التكيف</w:t>
      </w:r>
      <w:r>
        <w:rPr>
          <w:rtl/>
        </w:rPr>
        <w:t xml:space="preserve"> </w:t>
      </w:r>
      <w:r>
        <w:rPr>
          <w:rFonts w:hint="cs"/>
          <w:rtl/>
        </w:rPr>
        <w:t>في</w:t>
      </w:r>
      <w:r>
        <w:rPr>
          <w:rtl/>
        </w:rPr>
        <w:t xml:space="preserve"> </w:t>
      </w:r>
      <w:r>
        <w:rPr>
          <w:rFonts w:hint="cs"/>
          <w:rtl/>
        </w:rPr>
        <w:t>المستقبل</w:t>
      </w:r>
      <w:r>
        <w:rPr>
          <w:rtl/>
        </w:rPr>
        <w:fldChar w:fldCharType="begin"/>
      </w:r>
      <w:r>
        <w:instrText xml:space="preserve"> CITATION Ala23 \l 1033 </w:instrText>
      </w:r>
      <w:r>
        <w:rPr>
          <w:rtl/>
        </w:rPr>
        <w:fldChar w:fldCharType="separate"/>
      </w:r>
      <w:r>
        <w:rPr>
          <w:noProof/>
        </w:rPr>
        <w:t xml:space="preserve"> (Alanazi, 2023)</w:t>
      </w:r>
      <w:r>
        <w:rPr>
          <w:rtl/>
        </w:rPr>
        <w:fldChar w:fldCharType="end"/>
      </w:r>
      <w:r>
        <w:rPr>
          <w:rtl/>
        </w:rPr>
        <w:t>.</w:t>
      </w:r>
    </w:p>
    <w:p w:rsidR="00F84EB1" w:rsidRDefault="00000000">
      <w:pPr>
        <w:pStyle w:val="a0"/>
        <w:rPr>
          <w:rtl/>
        </w:rPr>
      </w:pPr>
      <w:r>
        <w:rPr>
          <w:rFonts w:hint="cs"/>
          <w:rtl/>
        </w:rPr>
        <w:t>تهدف دراسة</w:t>
      </w:r>
      <w:r>
        <w:rPr>
          <w:rtl/>
        </w:rPr>
        <w:fldChar w:fldCharType="begin"/>
      </w:r>
      <w:r>
        <w:instrText xml:space="preserve"> CITATION Ura24 \l 1033 </w:instrText>
      </w:r>
      <w:r>
        <w:rPr>
          <w:rtl/>
        </w:rPr>
        <w:fldChar w:fldCharType="separate"/>
      </w:r>
      <w:r>
        <w:rPr>
          <w:noProof/>
        </w:rPr>
        <w:t xml:space="preserve"> (Uraif, 2024)</w:t>
      </w:r>
      <w:r>
        <w:rPr>
          <w:rtl/>
        </w:rPr>
        <w:fldChar w:fldCharType="end"/>
      </w:r>
      <w:r>
        <w:rPr>
          <w:rtl/>
        </w:rPr>
        <w:t xml:space="preserve"> إلى تقييم المشاكل والإمكانيات المرتبطة بتوسيع البنية التحتية للرعاية الصحية في المملكة العربية السعودية من خلال تبني التكنولوجيا الذكية. تشهد صناعة الرعاية الصحية في المملكة العربية السعودية تحولات كبيرة، ويمتلك دمج التكنولوجيا الذكية القدرة على إحداث ثورة في تقديم الرعاية الصحية، وتحسين نتائج المرضى، وتعزيز تجربة الرعاية الصحية بالكامل. ومع ذلك، هناك مشاكل معينة يجب التغلب عليها من أجل الاستفادة بشكل فعال من فوائد التكنولوجيا الذكية في تطوير البنية التحتية للرعاية الصحية. تحدد هذه الورقة وتفحص هذه المشاكل مع التأكيد أيضًا على الإمكانات التي تنتج عن نشر التكنولوجيا الذكية في قطاع الرعاية الصحية في المملكة العربية السعودية. تضيف النتائج إلى المعرفة بالحالة الحالية للبنية التحتية للرعاية الصحية في المملكة العربية السعودية وتعطي رؤى حول الاستراتيجيات والسياسات اللازمة للتغلب على العقبات وتعظيم مزايا التكنولوجيا الذكية في الرعاية الصحية.</w:t>
      </w:r>
    </w:p>
    <w:p w:rsidR="00F84EB1" w:rsidRDefault="00000000">
      <w:pPr>
        <w:pStyle w:val="a0"/>
        <w:rPr>
          <w:rtl/>
        </w:rPr>
      </w:pPr>
      <w:r>
        <w:rPr>
          <w:rtl/>
        </w:rPr>
        <w:t xml:space="preserve">إن تقييم المخاطر أمر بالغ الأهمية للتنفيذ الفعال لمشاريع خطوط الأنابيب. في المملكة العربية السعودية، تواجه مشاريع تطوير خطوط الأنابيب بشكل روتيني تأخيرات وتجاوزات في التكاليف. تسعى هذه الدراسة إلى الكشف عن متغيرات المخاطر هذه. وبالتالي، تم جمع عوامل الخطر من الأدبيات وعرضها على أربعة متخصصين لتحديد أكثر 26 خطرًا انتشارًا لبناء خطوط الأنابيب في المملكة العربية السعودية. ثم تم فحص عوامل الخطر باستخدام </w:t>
      </w:r>
      <w:r>
        <w:rPr>
          <w:rFonts w:hint="cs"/>
          <w:rtl/>
        </w:rPr>
        <w:t>استبانة</w:t>
      </w:r>
      <w:r>
        <w:rPr>
          <w:rtl/>
        </w:rPr>
        <w:t xml:space="preserve"> لقياس درجة تأثير العوامل الستة والعشرين من قبل 135 فردًا. تم تطبيق نهج نموذج المعادلة الهيكلية الجزئية الأقل مربعًا (</w:t>
      </w:r>
      <w:r>
        <w:t>PLS-SEM</w:t>
      </w:r>
      <w:r>
        <w:rPr>
          <w:rtl/>
        </w:rPr>
        <w:t>) ومؤشر الأهمية النسبية (</w:t>
      </w:r>
      <w:r>
        <w:t>RII</w:t>
      </w:r>
      <w:r>
        <w:rPr>
          <w:rtl/>
        </w:rPr>
        <w:t xml:space="preserve">) لتصنيف المكونات ذات الصلة بعد إجراء موثوقية وصلاحية تمييز بيانات </w:t>
      </w:r>
      <w:r>
        <w:rPr>
          <w:rFonts w:hint="cs"/>
          <w:rtl/>
        </w:rPr>
        <w:t>الاستبانة</w:t>
      </w:r>
      <w:r>
        <w:rPr>
          <w:rtl/>
        </w:rPr>
        <w:t xml:space="preserve">. تشير النتائج إلى أن المتغيرات الخمسة الأولى بناءً على نموذج </w:t>
      </w:r>
      <w:r>
        <w:t>PLS-SEM</w:t>
      </w:r>
      <w:r>
        <w:rPr>
          <w:rtl/>
        </w:rPr>
        <w:t xml:space="preserve"> كانت عدم التوافق بين احتياجات التنفيذ والمواصفات، والفشل المالي / الإفلاس، وانخفاض جودة مواد خطوط الأنابيب، وتسليم مواد غير صالحة، والقدرة المحدودة على التعرف على المخاطر ومراقبتها. يختلف ترتيب المكونات باستخدام نموذج </w:t>
      </w:r>
      <w:r>
        <w:t>PLS-SEM</w:t>
      </w:r>
      <w:r>
        <w:rPr>
          <w:rtl/>
        </w:rPr>
        <w:t xml:space="preserve"> في تقنية </w:t>
      </w:r>
      <w:r>
        <w:t>RII</w:t>
      </w:r>
      <w:r>
        <w:rPr>
          <w:rtl/>
        </w:rPr>
        <w:t xml:space="preserve">. يرجع هذا التناقض إلى استخدام صيغة ألفا </w:t>
      </w:r>
      <w:r>
        <w:rPr>
          <w:rtl/>
        </w:rPr>
        <w:lastRenderedPageBreak/>
        <w:t xml:space="preserve">كرونباخ في التقنيتين. تحسب </w:t>
      </w:r>
      <w:r>
        <w:t>PLS-SEM</w:t>
      </w:r>
      <w:r>
        <w:rPr>
          <w:rtl/>
        </w:rPr>
        <w:t xml:space="preserve"> معاملات المجموعات، بينما تحسب </w:t>
      </w:r>
      <w:r>
        <w:t>RII</w:t>
      </w:r>
      <w:r>
        <w:rPr>
          <w:rtl/>
        </w:rPr>
        <w:t xml:space="preserve"> معاملات جميع المكونات. يمكن أن تساعد نتائج البحث مديري مشاريع خطوط الأنابيب في تحديد وتصنيف متغيرات المخاطر للاستفادة المثلى من الموارد المالية والبشرية المحدودة المتاحة لإدارة المخاطر</w:t>
      </w:r>
      <w:r>
        <w:rPr>
          <w:rtl/>
        </w:rPr>
        <w:fldChar w:fldCharType="begin"/>
      </w:r>
      <w:r>
        <w:instrText xml:space="preserve"> CITATION Ozm23 \l 1033 </w:instrText>
      </w:r>
      <w:r>
        <w:rPr>
          <w:rtl/>
        </w:rPr>
        <w:fldChar w:fldCharType="separate"/>
      </w:r>
      <w:r>
        <w:rPr>
          <w:noProof/>
        </w:rPr>
        <w:t xml:space="preserve"> (Ozmen, 2023)</w:t>
      </w:r>
      <w:r>
        <w:rPr>
          <w:rtl/>
        </w:rPr>
        <w:fldChar w:fldCharType="end"/>
      </w:r>
      <w:r>
        <w:rPr>
          <w:rtl/>
        </w:rPr>
        <w:t>.</w:t>
      </w:r>
    </w:p>
    <w:p w:rsidR="00F84EB1" w:rsidRDefault="00000000">
      <w:pPr>
        <w:pStyle w:val="a0"/>
        <w:rPr>
          <w:rtl/>
        </w:rPr>
      </w:pPr>
      <w:r>
        <w:rPr>
          <w:rtl/>
        </w:rPr>
        <w:t>إن التغيرات الفعلية في التكاليف في مشاريع البناء أمر شائع في قطاع البناء، بما في ذلك المملكة العربية السعودية. والغرض من هذه الدراسة هو بناء نموذج محاكاة للتنبؤ باختلافات تكاليف المشاريع السعودية والتي سيتم استخدامها لتقدير التكلفة الحقيقية التي تم إنفاقها عند انتهاء المشروع. كما تكشف الدراسة عما إذا كانت هناك تجاوزات في التكاليف أو وفورات من خلال فحص 10 متغيرات معترف بها لتأثير التكلفة والمخاطر. وتتضمن الدراسة نهجًا منهجيًا متكاملًا لتوليد ديناميكيات النظام (</w:t>
      </w:r>
      <w:r>
        <w:t>SD</w:t>
      </w:r>
      <w:r>
        <w:rPr>
          <w:rtl/>
        </w:rPr>
        <w:t>) لتمثيل عوامل تأثير تجاوز التكاليف العشرة (</w:t>
      </w:r>
      <w:r>
        <w:t>COICs</w:t>
      </w:r>
      <w:r>
        <w:rPr>
          <w:rtl/>
        </w:rPr>
        <w:t>) في قطاع البناء في المملكة العربية السعودية. وبالتالي، يساعد نهج مختبر تجربة اتخاذ القرار والتقييم (</w:t>
      </w:r>
      <w:r>
        <w:t>DEMATEL</w:t>
      </w:r>
      <w:r>
        <w:rPr>
          <w:rtl/>
        </w:rPr>
        <w:t>) في إنشاء مخطط حلقة سببية (</w:t>
      </w:r>
      <w:r>
        <w:t>CLD</w:t>
      </w:r>
      <w:r>
        <w:rPr>
          <w:rtl/>
        </w:rPr>
        <w:t xml:space="preserve">) في مراحل نمذجة </w:t>
      </w:r>
      <w:r>
        <w:t>SD</w:t>
      </w:r>
      <w:r>
        <w:rPr>
          <w:rtl/>
        </w:rPr>
        <w:t xml:space="preserve">. بعد تنفيذ اختبارات الاتساق والاختبارات المتطرفة، يتم تأكيد النموذج من خلال نشره في دراستي حالة (مبنى أكاديمي ومشروع بنية تحتية) في مدينة الرياض، المملكة العربية السعودية. وتوضح النتائج الرئيسية أن النموذج أنتج تخفيضات في التكاليف لدراستي الحالة الأولى والثانية بنسبة 4.8٪ </w:t>
      </w:r>
      <w:r>
        <w:rPr>
          <w:rFonts w:hint="cs"/>
          <w:rtl/>
        </w:rPr>
        <w:t>و3.76</w:t>
      </w:r>
      <w:r>
        <w:rPr>
          <w:rtl/>
        </w:rPr>
        <w:t>٪ على التوالي. وقد قام العديد من المتخصصين بفحص النظام الديناميكي الذي تم إنشاؤه. ووفقاً للخبراء الذين يؤيدون النموذج القائم، فإن النهج مناسب إذا كان لدى المقاول هامش ربح معقول. وعلى النقيض من ذلك، ذكر خبراء المعارضين أن النظام لا يزال يخلق هامش ربح على الرغم من أوامر التعديل وتأخير المشروع. والاستنتاج الرئيسي الذي أقر به الخبراء هو أن الاستراتيجية أخذت بنجاح في الاعتبار الروابط بين المكونات المساهمة. ويمكن استخدام النتائج لإنشاء إطار مفاهيمي متكامل لإدارة البناء، مما قد يؤدي إلى إطلاق مشروع سريع ومربح</w:t>
      </w:r>
      <w:r>
        <w:rPr>
          <w:rtl/>
        </w:rPr>
        <w:fldChar w:fldCharType="begin"/>
      </w:r>
      <w:r>
        <w:instrText xml:space="preserve"> CITATION AMA24 \l 1033 </w:instrText>
      </w:r>
      <w:r>
        <w:rPr>
          <w:rtl/>
        </w:rPr>
        <w:fldChar w:fldCharType="separate"/>
      </w:r>
      <w:r>
        <w:rPr>
          <w:noProof/>
        </w:rPr>
        <w:t xml:space="preserve"> (AM, 2024)</w:t>
      </w:r>
      <w:r>
        <w:rPr>
          <w:rtl/>
        </w:rPr>
        <w:fldChar w:fldCharType="end"/>
      </w:r>
      <w:r>
        <w:rPr>
          <w:rtl/>
        </w:rPr>
        <w:t>.</w:t>
      </w:r>
    </w:p>
    <w:p w:rsidR="00F84EB1" w:rsidRDefault="00000000">
      <w:pPr>
        <w:pStyle w:val="a0"/>
        <w:rPr>
          <w:rtl/>
        </w:rPr>
      </w:pPr>
      <w:r>
        <w:rPr>
          <w:rtl/>
        </w:rPr>
        <w:t>يشهد قطاع البناء تحولاً جذرياً نتيجة للثورة الصناعية الرابعة (</w:t>
      </w:r>
      <w:r>
        <w:t>IR 4.0</w:t>
      </w:r>
      <w:r>
        <w:rPr>
          <w:rtl/>
        </w:rPr>
        <w:t xml:space="preserve">). ومع ذلك، فإن تطبيق تكنولوجيا </w:t>
      </w:r>
      <w:r>
        <w:t>IR4.0</w:t>
      </w:r>
      <w:r>
        <w:rPr>
          <w:rtl/>
        </w:rPr>
        <w:t xml:space="preserve"> ضروري في الاقتصادات النامية مثل المملكة العربية السعودية. لذلك، فإن هدف هذه المقالة هو إجراء تقييم للفوائد والعقبات وعوامل النجاح الحاسمة لتطبيق </w:t>
      </w:r>
      <w:r>
        <w:t>IR4.0</w:t>
      </w:r>
      <w:r>
        <w:rPr>
          <w:rtl/>
        </w:rPr>
        <w:t xml:space="preserve"> في قطاع البناء في المملكة العربية السعودية. تتألف التقنية من فحص شامل للأدبيات الموجودة والتفاعل مع خبراء البناء ذوي الخبرة في المملكة العربية السعودية باستخدام استبيانات </w:t>
      </w:r>
      <w:r>
        <w:rPr>
          <w:rFonts w:hint="cs"/>
          <w:rtl/>
        </w:rPr>
        <w:t>الاستبانة</w:t>
      </w:r>
      <w:r>
        <w:rPr>
          <w:rtl/>
        </w:rPr>
        <w:t xml:space="preserve">. تم </w:t>
      </w:r>
      <w:r>
        <w:rPr>
          <w:rtl/>
        </w:rPr>
        <w:lastRenderedPageBreak/>
        <w:t xml:space="preserve">تقييم البيانات التي تم جمعها لاحقًا باستخدام تقنية مؤشر الأهمية النسبية وتحليل العوامل التأكيدية. كانت أهم الفوائد والعقبات ومعايير النجاح الحاسمة التي اكتشفتها هذه الدراسة هي "تحسين الاتصال والتنسيق" و "تكلفة التنفيذ (الاستثمار الأولي والصيانة)" و "الأهداف والغايات الواضحة" على التوالي. أنشأ تحليل العوامل التأكيدية نموذجًا نظريًا ليكون بمثابة منصة لتطبيق </w:t>
      </w:r>
      <w:r>
        <w:t>IR4.0</w:t>
      </w:r>
      <w:r>
        <w:rPr>
          <w:rtl/>
        </w:rPr>
        <w:t xml:space="preserve"> في قطاع البناء السعودي. يمكن تفسير القيود من حيث البيئة المحلية للبحث، وكذلك حجم العينة. وهذا يحد من إمكانية تعميم نتائج الدراسة. وهي مفيدة عمليًا لقطاع البناء السعودي في المساعدة على التطبيق الناجح للتكنولوجيا من خلال اللوائح والمبادئ التوجيهية وتوصيات أفضل الممارسات. وتزيد الدراسة من الفهم النظري لتطبيق التكنولوجيا في قطاع البناء. وستجد الاقتصادات الناشئة مثل المملكة العربية السعودية التي تسعى إلى الاستفادة من إمكانيات التكنولوجيا الرقمية أن نتائج هذا الأمر ذات أهمية بالغة</w:t>
      </w:r>
      <w:r>
        <w:rPr>
          <w:rtl/>
        </w:rPr>
        <w:fldChar w:fldCharType="begin"/>
      </w:r>
      <w:r>
        <w:instrText xml:space="preserve"> CITATION Owa24 \l 1033 </w:instrText>
      </w:r>
      <w:r>
        <w:rPr>
          <w:rtl/>
        </w:rPr>
        <w:fldChar w:fldCharType="separate"/>
      </w:r>
      <w:r>
        <w:rPr>
          <w:noProof/>
        </w:rPr>
        <w:t xml:space="preserve"> (Owaimer, 2024)</w:t>
      </w:r>
      <w:r>
        <w:rPr>
          <w:rtl/>
        </w:rPr>
        <w:fldChar w:fldCharType="end"/>
      </w:r>
      <w:r>
        <w:rPr>
          <w:rtl/>
        </w:rPr>
        <w:t>.</w:t>
      </w:r>
    </w:p>
    <w:p w:rsidR="00F84EB1" w:rsidRDefault="00F84EB1">
      <w:pPr>
        <w:pStyle w:val="a0"/>
        <w:rPr>
          <w:rtl/>
        </w:rPr>
      </w:pPr>
    </w:p>
    <w:p w:rsidR="00F84EB1" w:rsidRDefault="00F84EB1">
      <w:pPr>
        <w:pStyle w:val="a0"/>
        <w:rPr>
          <w:rtl/>
        </w:rPr>
      </w:pPr>
    </w:p>
    <w:p w:rsidR="00F84EB1" w:rsidRDefault="00F84EB1">
      <w:pPr>
        <w:pStyle w:val="a0"/>
        <w:rPr>
          <w:rtl/>
        </w:rPr>
      </w:pPr>
    </w:p>
    <w:p w:rsidR="00F84EB1" w:rsidRDefault="00F84EB1">
      <w:pPr>
        <w:pStyle w:val="a0"/>
        <w:rPr>
          <w:rtl/>
        </w:rPr>
      </w:pPr>
    </w:p>
    <w:p w:rsidR="00F84EB1" w:rsidRDefault="00F84EB1">
      <w:pPr>
        <w:pStyle w:val="a0"/>
        <w:rPr>
          <w:rtl/>
        </w:rPr>
      </w:pPr>
    </w:p>
    <w:p w:rsidR="00F84EB1" w:rsidRDefault="00F84EB1">
      <w:pPr>
        <w:pStyle w:val="a0"/>
        <w:rPr>
          <w:rtl/>
        </w:rPr>
      </w:pPr>
    </w:p>
    <w:p w:rsidR="00F84EB1" w:rsidRDefault="00000000">
      <w:pPr>
        <w:pStyle w:val="Heading2"/>
        <w:rPr>
          <w:rtl/>
        </w:rPr>
      </w:pPr>
      <w:bookmarkStart w:id="28" w:name="_Toc181295210"/>
      <w:r>
        <w:rPr>
          <w:rFonts w:hint="cs"/>
          <w:rtl/>
        </w:rPr>
        <w:t>الإطار النظري</w:t>
      </w:r>
      <w:bookmarkEnd w:id="28"/>
    </w:p>
    <w:p w:rsidR="00F84EB1" w:rsidRDefault="00F84EB1">
      <w:pPr>
        <w:rPr>
          <w:rtl/>
          <w:lang w:bidi="ar-EG"/>
        </w:rPr>
      </w:pPr>
    </w:p>
    <w:p w:rsidR="00F84EB1" w:rsidRDefault="00F84EB1">
      <w:pPr>
        <w:rPr>
          <w:rtl/>
          <w:lang w:bidi="ar-EG"/>
        </w:rPr>
      </w:pPr>
    </w:p>
    <w:p w:rsidR="00F84EB1" w:rsidRDefault="00101FAF">
      <w:pPr>
        <w:pStyle w:val="a0"/>
        <w:rPr>
          <w:rtl/>
        </w:rPr>
      </w:pPr>
      <w:r>
        <w:rPr>
          <w:noProof/>
        </w:rPr>
        <w:lastRenderedPageBreak/>
        <w:drawing>
          <wp:inline distT="0" distB="0" distL="0" distR="0">
            <wp:extent cx="5565140" cy="1553210"/>
            <wp:effectExtent l="0" t="0" r="0" b="0"/>
            <wp:docPr id="1" name="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2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5140" cy="1553210"/>
                    </a:xfrm>
                    <a:prstGeom prst="rect">
                      <a:avLst/>
                    </a:prstGeom>
                    <a:noFill/>
                    <a:ln>
                      <a:noFill/>
                    </a:ln>
                  </pic:spPr>
                </pic:pic>
              </a:graphicData>
            </a:graphic>
          </wp:inline>
        </w:drawing>
      </w:r>
    </w:p>
    <w:p w:rsidR="00F84EB1" w:rsidRDefault="00000000">
      <w:pPr>
        <w:pStyle w:val="Caption"/>
        <w:rPr>
          <w:rFonts w:ascii="Aptos" w:hAnsi="Aptos" w:cs="Arial"/>
          <w:sz w:val="18"/>
          <w:szCs w:val="18"/>
          <w:rtl/>
          <w:lang w:bidi="ar-EG"/>
        </w:rPr>
      </w:pPr>
      <w:bookmarkStart w:id="29" w:name="_Toc173779549"/>
      <w:bookmarkStart w:id="30" w:name="_Toc180346300"/>
      <w:bookmarkStart w:id="31" w:name="_Toc180351549"/>
      <w:bookmarkStart w:id="32" w:name="_Toc180488986"/>
      <w:bookmarkStart w:id="33" w:name="_Toc180576412"/>
      <w:bookmarkStart w:id="34" w:name="_Toc180590208"/>
      <w:bookmarkStart w:id="35" w:name="_Toc181007542"/>
      <w:bookmarkStart w:id="36" w:name="_Toc181295170"/>
      <w:r>
        <w:rPr>
          <w:rtl/>
        </w:rPr>
        <w:t xml:space="preserve">رسم توضيحي </w:t>
      </w:r>
      <w:fldSimple w:instr=" SEQ رسم_توضيحي \* ARABIC ">
        <w:r>
          <w:rPr>
            <w:noProof/>
            <w:rtl/>
          </w:rPr>
          <w:t>1</w:t>
        </w:r>
      </w:fldSimple>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bookmarkEnd w:id="36"/>
    </w:p>
    <w:p w:rsidR="00F84EB1" w:rsidRDefault="00F84EB1">
      <w:pPr>
        <w:pStyle w:val="a0"/>
      </w:pPr>
    </w:p>
    <w:p w:rsidR="00F84EB1" w:rsidRDefault="00F84EB1">
      <w:pPr>
        <w:spacing w:after="0" w:line="360" w:lineRule="auto"/>
        <w:rPr>
          <w:rFonts w:ascii="Sakkal Majalla" w:hAnsi="Sakkal Majalla" w:cs="Sakkal Majalla"/>
          <w:sz w:val="28"/>
          <w:szCs w:val="28"/>
          <w:rtl/>
        </w:rPr>
      </w:pPr>
    </w:p>
    <w:p w:rsidR="00F84EB1" w:rsidRDefault="00000000">
      <w:pPr>
        <w:pStyle w:val="ListParagraph"/>
        <w:numPr>
          <w:ilvl w:val="0"/>
          <w:numId w:val="1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إدارة المشاريع:</w:t>
      </w:r>
    </w:p>
    <w:p w:rsidR="00F84EB1" w:rsidRDefault="00000000">
      <w:pPr>
        <w:pStyle w:val="a0"/>
        <w:rPr>
          <w:rtl/>
        </w:rPr>
      </w:pPr>
      <w:r>
        <w:rPr>
          <w:rtl/>
        </w:rPr>
        <w:t>تؤكد هذه النظرية على ضرورة التخطيط والتنفيذ والمراقبة الدقيقة لإدارة المشاريع بنجاح. تعتمد إدارة المشاريع الحديثة على مناهج تكنولوجية دقيقة لحساب الفترة الزمنية والموارد اللازمة، والتي تدعمها الأنظمة الذكية بنجاح. من خلال تطبيق التقنيات الذكية في إدارة المشاريع، يمكن تحقيق مكاسب كبيرة في جدولة المهام وتقليل الفجوات بين توقعات الوقت والتنفيذ الفعلي. تؤكد هذه النظرية على ضرورة الأنظمة الذكية كعنصر مهم في إجراءات إدارة المشاريع لتعزيز دقة تقديرات الوقت وتحديد الأولويات وفقًا لتغيرات المشروع ومتطلباته</w:t>
      </w:r>
      <w:r>
        <w:rPr>
          <w:rtl/>
        </w:rPr>
        <w:fldChar w:fldCharType="begin"/>
      </w:r>
      <w:r>
        <w:instrText xml:space="preserve"> CITATION Bar23 \l 1033 </w:instrText>
      </w:r>
      <w:r>
        <w:rPr>
          <w:rtl/>
        </w:rPr>
        <w:fldChar w:fldCharType="separate"/>
      </w:r>
      <w:r>
        <w:rPr>
          <w:noProof/>
        </w:rPr>
        <w:t xml:space="preserve"> (Barcaui, 2023)</w:t>
      </w:r>
      <w:r>
        <w:rPr>
          <w:rtl/>
        </w:rPr>
        <w:fldChar w:fldCharType="end"/>
      </w:r>
      <w:r>
        <w:rPr>
          <w:rtl/>
        </w:rPr>
        <w:t>.</w:t>
      </w:r>
    </w:p>
    <w:p w:rsidR="00F84EB1" w:rsidRDefault="00000000">
      <w:pPr>
        <w:pStyle w:val="ListParagraph"/>
        <w:numPr>
          <w:ilvl w:val="0"/>
          <w:numId w:val="1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الأنظمة المعقدة</w:t>
      </w:r>
    </w:p>
    <w:p w:rsidR="00F84EB1" w:rsidRDefault="00000000">
      <w:pPr>
        <w:pStyle w:val="a0"/>
        <w:rPr>
          <w:rtl/>
        </w:rPr>
      </w:pPr>
      <w:r>
        <w:rPr>
          <w:rtl/>
        </w:rPr>
        <w:t xml:space="preserve"> تستند نظرية الأنظمة المعقدة إلى مفهوم مفاده أن المشاريع الضخمة، مثل مشاريع البناء والبنية الأساسية، تتكون من مكونات وجوانب مختلفة تتفاعل بطريقة معقدة. تشرح هذه الفكرة كيف يمكن للأنظمة الذكية أن تلعب دورًا أساسيًا في فهم والتحكم في هذه الروابط المعقدة بين الجوانب المتنوعة داخل المشروع. باستخدام تحليل البيانات الذكي، يمكن للأنظمة الذكية أن تقدم رؤى حول كيفية تداخل العمليات المتنوعة وتفاعلها، مما يزيد من دقة التنبؤات وتقليل الأخطاء البشرية من خلال التنبؤ الدقيق بالقضايا المستقبلية.</w:t>
      </w:r>
    </w:p>
    <w:p w:rsidR="00F84EB1" w:rsidRDefault="00000000">
      <w:pPr>
        <w:pStyle w:val="ListParagraph"/>
        <w:numPr>
          <w:ilvl w:val="0"/>
          <w:numId w:val="1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اتخاذ القرار</w:t>
      </w:r>
    </w:p>
    <w:p w:rsidR="00F84EB1" w:rsidRDefault="00000000">
      <w:pPr>
        <w:pStyle w:val="a0"/>
        <w:rPr>
          <w:rtl/>
        </w:rPr>
      </w:pPr>
      <w:r>
        <w:rPr>
          <w:rtl/>
        </w:rPr>
        <w:lastRenderedPageBreak/>
        <w:t>تؤكد نظرية اتخاذ القرار أن جودة القرارات مرتبطة بتوفر المعلومات وتحليلها. وبفضل التقنيات الذكية، يمكن تعزيز عملية اتخاذ القرار في المشاريع من خلال تقديم بيانات دقيقة وتحليل متطور، مما يؤدي إلى تقدير أكثر فعالية لتوقعات الوقت. تشجع هذه الفكرة استخدام الذكاء الاصطناعي والأدوات التحليلية لتحسين قرارات إدارة المشاريع والحد من المخاطر المحتملة، حيث قد تساعد الأنظمة الذكية في اتخاذ قرارات استباقية بناءً على تحليل البيانات الصحيح، مما يقلل من التأخيرات المحتملة</w:t>
      </w:r>
      <w:r>
        <w:rPr>
          <w:rtl/>
        </w:rPr>
        <w:fldChar w:fldCharType="begin"/>
      </w:r>
      <w:r>
        <w:instrText xml:space="preserve"> CITATION Pap23 \l 1033 </w:instrText>
      </w:r>
      <w:r>
        <w:rPr>
          <w:rtl/>
        </w:rPr>
        <w:fldChar w:fldCharType="separate"/>
      </w:r>
      <w:r>
        <w:rPr>
          <w:noProof/>
        </w:rPr>
        <w:t xml:space="preserve"> (Papagiannidis, 2023)</w:t>
      </w:r>
      <w:r>
        <w:rPr>
          <w:rtl/>
        </w:rPr>
        <w:fldChar w:fldCharType="end"/>
      </w:r>
      <w:r>
        <w:rPr>
          <w:rtl/>
        </w:rPr>
        <w:t>.</w:t>
      </w:r>
    </w:p>
    <w:p w:rsidR="00F84EB1" w:rsidRDefault="00000000">
      <w:pPr>
        <w:pStyle w:val="ListParagraph"/>
        <w:numPr>
          <w:ilvl w:val="0"/>
          <w:numId w:val="1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الابتكار التقني</w:t>
      </w:r>
    </w:p>
    <w:p w:rsidR="00F84EB1" w:rsidRDefault="00000000">
      <w:pPr>
        <w:pStyle w:val="a0"/>
        <w:rPr>
          <w:rtl/>
        </w:rPr>
      </w:pPr>
      <w:r>
        <w:rPr>
          <w:rtl/>
        </w:rPr>
        <w:t xml:space="preserve"> تركز هذه النظرية على فكرة أن الابتكار التقني يساهم في تحسين الأداء وتحقيق الكفاءة في العديد من الصناعات، بما في ذلك قطاعي البناء والبنية التحتية. تظهر أهمية الأنظمة الذكية كتكنولوجيا مبتكرة قد تؤدي إلى مكاسب واضحة في تقدير الوقت والتخطيط. بفضل تقنيات الذكاء الاصطناعي، يتم الجمع بين التحليل التنبئي والتقنيات الذكية لإنشاء تقديرات الوقت بشكل صحيح. وفقًا لهذه الفرضية، يساعد الابتكار التكنولوجي في تعزيز القدرة التنافسية وتقليل التكاليف والتأخير من خلال تطبيق الأنظمة الذكية في إدارة المشاريع.</w:t>
      </w:r>
    </w:p>
    <w:p w:rsidR="00F84EB1" w:rsidRDefault="00000000">
      <w:pPr>
        <w:pStyle w:val="ListParagraph"/>
        <w:numPr>
          <w:ilvl w:val="0"/>
          <w:numId w:val="1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القدرات الديناميكية:</w:t>
      </w:r>
    </w:p>
    <w:p w:rsidR="00F84EB1" w:rsidRDefault="00000000">
      <w:pPr>
        <w:pStyle w:val="a0"/>
        <w:rPr>
          <w:rtl/>
        </w:rPr>
      </w:pPr>
      <w:r>
        <w:rPr>
          <w:rtl/>
        </w:rPr>
        <w:t xml:space="preserve"> تدعم هذه النظرية الفرضية القائلة بأن الشركات الناجحة هي تلك القادرة على خلق قدرات ديناميكية تمكنها من الاستجابة للتغيرات والاضطرابات في بيئة الأعمال. تساعد الأنظمة الذكية في تعزيز هذه المهارات من خلال تقديم الأدوات اللازمة للتكيف مع التغييرات المتوقعة في جدول المشروع، مما يساعد على تقليل التأخيرات. وفقًا لهذه النظرية، يمكن للأنظمة الذكية أن تدعم المنظمات في تطوير قدر أكبر من المرونة للتكيف مع المتغيرات وظروف الطوارئ من خلال استغلال البيانات التنبؤية وتحليل الأنماط، مما يزيد من قدرة المشاريع على تلبية المواعيد النهائية ويقلل التكلفة الناتجة عن التأخيرات</w:t>
      </w:r>
      <w:r>
        <w:rPr>
          <w:rtl/>
        </w:rPr>
        <w:fldChar w:fldCharType="begin"/>
      </w:r>
      <w:r>
        <w:instrText xml:space="preserve"> CITATION Dub24 \l 1033 </w:instrText>
      </w:r>
      <w:r>
        <w:rPr>
          <w:rtl/>
        </w:rPr>
        <w:fldChar w:fldCharType="separate"/>
      </w:r>
      <w:r>
        <w:rPr>
          <w:noProof/>
        </w:rPr>
        <w:t xml:space="preserve"> (Dubey, 2024)</w:t>
      </w:r>
      <w:r>
        <w:rPr>
          <w:rtl/>
        </w:rPr>
        <w:fldChar w:fldCharType="end"/>
      </w:r>
      <w:r>
        <w:rPr>
          <w:rtl/>
        </w:rPr>
        <w:t>.</w:t>
      </w:r>
    </w:p>
    <w:p w:rsidR="00F84EB1" w:rsidRDefault="00F84EB1">
      <w:pPr>
        <w:spacing w:after="0" w:line="360" w:lineRule="auto"/>
        <w:jc w:val="center"/>
        <w:rPr>
          <w:rFonts w:ascii="Sakkal Majalla" w:hAnsi="Sakkal Majalla" w:cs="Sakkal Majalla"/>
          <w:sz w:val="28"/>
          <w:szCs w:val="28"/>
          <w:rtl/>
        </w:rPr>
      </w:pPr>
    </w:p>
    <w:p w:rsidR="00F84EB1" w:rsidRDefault="00F84EB1">
      <w:pPr>
        <w:spacing w:after="0" w:line="360" w:lineRule="auto"/>
        <w:jc w:val="center"/>
        <w:rPr>
          <w:rFonts w:ascii="Sakkal Majalla" w:hAnsi="Sakkal Majalla" w:cs="Sakkal Majalla"/>
          <w:sz w:val="28"/>
          <w:szCs w:val="28"/>
          <w:rtl/>
        </w:rPr>
      </w:pPr>
    </w:p>
    <w:p w:rsidR="00F84EB1" w:rsidRDefault="00F84EB1"/>
    <w:sectPr w:rsidR="00F84E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altName w:val="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C53631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E06663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D85841DA"/>
    <w:lvl w:ilvl="0" w:tplc="0409000D">
      <w:start w:val="1"/>
      <w:numFmt w:val="bullet"/>
      <w:lvlText w:val=""/>
      <w:lvlJc w:val="left"/>
      <w:pPr>
        <w:ind w:left="1080" w:hanging="360"/>
      </w:pPr>
      <w:rPr>
        <w:rFonts w:ascii="Wingdings" w:hAnsi="Wingdings" w:hint="default"/>
      </w:rPr>
    </w:lvl>
    <w:lvl w:ilvl="1" w:tplc="B3A43338" w:tentative="1">
      <w:start w:val="1"/>
      <w:numFmt w:val="bullet"/>
      <w:lvlText w:val="o"/>
      <w:lvlJc w:val="left"/>
      <w:pPr>
        <w:ind w:left="1800" w:hanging="360"/>
      </w:pPr>
      <w:rPr>
        <w:rFonts w:ascii="Courier New" w:hAnsi="Courier New" w:cs="Courier New" w:hint="default"/>
      </w:rPr>
    </w:lvl>
    <w:lvl w:ilvl="2" w:tplc="6AFA53BA" w:tentative="1">
      <w:start w:val="1"/>
      <w:numFmt w:val="bullet"/>
      <w:lvlText w:val=""/>
      <w:lvlJc w:val="left"/>
      <w:pPr>
        <w:ind w:left="2520" w:hanging="360"/>
      </w:pPr>
      <w:rPr>
        <w:rFonts w:ascii="Wingdings" w:hAnsi="Wingdings" w:hint="default"/>
      </w:rPr>
    </w:lvl>
    <w:lvl w:ilvl="3" w:tplc="7D42E2A8" w:tentative="1">
      <w:start w:val="1"/>
      <w:numFmt w:val="bullet"/>
      <w:lvlText w:val=""/>
      <w:lvlJc w:val="left"/>
      <w:pPr>
        <w:ind w:left="3240" w:hanging="360"/>
      </w:pPr>
      <w:rPr>
        <w:rFonts w:ascii="Symbol" w:hAnsi="Symbol" w:hint="default"/>
      </w:rPr>
    </w:lvl>
    <w:lvl w:ilvl="4" w:tplc="F2D8D5E0" w:tentative="1">
      <w:start w:val="1"/>
      <w:numFmt w:val="bullet"/>
      <w:lvlText w:val="o"/>
      <w:lvlJc w:val="left"/>
      <w:pPr>
        <w:ind w:left="3960" w:hanging="360"/>
      </w:pPr>
      <w:rPr>
        <w:rFonts w:ascii="Courier New" w:hAnsi="Courier New" w:cs="Courier New" w:hint="default"/>
      </w:rPr>
    </w:lvl>
    <w:lvl w:ilvl="5" w:tplc="AB12752A" w:tentative="1">
      <w:start w:val="1"/>
      <w:numFmt w:val="bullet"/>
      <w:lvlText w:val=""/>
      <w:lvlJc w:val="left"/>
      <w:pPr>
        <w:ind w:left="4680" w:hanging="360"/>
      </w:pPr>
      <w:rPr>
        <w:rFonts w:ascii="Wingdings" w:hAnsi="Wingdings" w:hint="default"/>
      </w:rPr>
    </w:lvl>
    <w:lvl w:ilvl="6" w:tplc="351E1BCC" w:tentative="1">
      <w:start w:val="1"/>
      <w:numFmt w:val="bullet"/>
      <w:lvlText w:val=""/>
      <w:lvlJc w:val="left"/>
      <w:pPr>
        <w:ind w:left="5400" w:hanging="360"/>
      </w:pPr>
      <w:rPr>
        <w:rFonts w:ascii="Symbol" w:hAnsi="Symbol" w:hint="default"/>
      </w:rPr>
    </w:lvl>
    <w:lvl w:ilvl="7" w:tplc="B1C0A11A" w:tentative="1">
      <w:start w:val="1"/>
      <w:numFmt w:val="bullet"/>
      <w:lvlText w:val="o"/>
      <w:lvlJc w:val="left"/>
      <w:pPr>
        <w:ind w:left="6120" w:hanging="360"/>
      </w:pPr>
      <w:rPr>
        <w:rFonts w:ascii="Courier New" w:hAnsi="Courier New" w:cs="Courier New" w:hint="default"/>
      </w:rPr>
    </w:lvl>
    <w:lvl w:ilvl="8" w:tplc="0F30F572" w:tentative="1">
      <w:start w:val="1"/>
      <w:numFmt w:val="bullet"/>
      <w:lvlText w:val=""/>
      <w:lvlJc w:val="left"/>
      <w:pPr>
        <w:ind w:left="6840" w:hanging="360"/>
      </w:pPr>
      <w:rPr>
        <w:rFonts w:ascii="Wingdings" w:hAnsi="Wingdings" w:hint="default"/>
      </w:rPr>
    </w:lvl>
  </w:abstractNum>
  <w:abstractNum w:abstractNumId="3" w15:restartNumberingAfterBreak="0">
    <w:nsid w:val="00000004"/>
    <w:multiLevelType w:val="hybridMultilevel"/>
    <w:tmpl w:val="4516B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A5CE46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B606911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4CE0A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E51888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8D40604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000000A"/>
    <w:multiLevelType w:val="hybridMultilevel"/>
    <w:tmpl w:val="A582F66C"/>
    <w:lvl w:ilvl="0" w:tplc="0409000D">
      <w:start w:val="1"/>
      <w:numFmt w:val="bullet"/>
      <w:lvlText w:val=""/>
      <w:lvlJc w:val="left"/>
      <w:pPr>
        <w:ind w:left="720" w:hanging="360"/>
      </w:pPr>
      <w:rPr>
        <w:rFonts w:ascii="Wingdings" w:hAnsi="Wingdings" w:hint="default"/>
      </w:rPr>
    </w:lvl>
    <w:lvl w:ilvl="1" w:tplc="DB1C4B1C" w:tentative="1">
      <w:start w:val="1"/>
      <w:numFmt w:val="bullet"/>
      <w:lvlText w:val="o"/>
      <w:lvlJc w:val="left"/>
      <w:pPr>
        <w:ind w:left="1440" w:hanging="360"/>
      </w:pPr>
      <w:rPr>
        <w:rFonts w:ascii="Courier New" w:hAnsi="Courier New" w:cs="Courier New" w:hint="default"/>
      </w:rPr>
    </w:lvl>
    <w:lvl w:ilvl="2" w:tplc="E97E4A38" w:tentative="1">
      <w:start w:val="1"/>
      <w:numFmt w:val="bullet"/>
      <w:lvlText w:val=""/>
      <w:lvlJc w:val="left"/>
      <w:pPr>
        <w:ind w:left="2160" w:hanging="360"/>
      </w:pPr>
      <w:rPr>
        <w:rFonts w:ascii="Wingdings" w:hAnsi="Wingdings" w:hint="default"/>
      </w:rPr>
    </w:lvl>
    <w:lvl w:ilvl="3" w:tplc="9AE4BA28" w:tentative="1">
      <w:start w:val="1"/>
      <w:numFmt w:val="bullet"/>
      <w:lvlText w:val=""/>
      <w:lvlJc w:val="left"/>
      <w:pPr>
        <w:ind w:left="2880" w:hanging="360"/>
      </w:pPr>
      <w:rPr>
        <w:rFonts w:ascii="Symbol" w:hAnsi="Symbol" w:hint="default"/>
      </w:rPr>
    </w:lvl>
    <w:lvl w:ilvl="4" w:tplc="2D323BA4" w:tentative="1">
      <w:start w:val="1"/>
      <w:numFmt w:val="bullet"/>
      <w:lvlText w:val="o"/>
      <w:lvlJc w:val="left"/>
      <w:pPr>
        <w:ind w:left="3600" w:hanging="360"/>
      </w:pPr>
      <w:rPr>
        <w:rFonts w:ascii="Courier New" w:hAnsi="Courier New" w:cs="Courier New" w:hint="default"/>
      </w:rPr>
    </w:lvl>
    <w:lvl w:ilvl="5" w:tplc="6E9E011C" w:tentative="1">
      <w:start w:val="1"/>
      <w:numFmt w:val="bullet"/>
      <w:lvlText w:val=""/>
      <w:lvlJc w:val="left"/>
      <w:pPr>
        <w:ind w:left="4320" w:hanging="360"/>
      </w:pPr>
      <w:rPr>
        <w:rFonts w:ascii="Wingdings" w:hAnsi="Wingdings" w:hint="default"/>
      </w:rPr>
    </w:lvl>
    <w:lvl w:ilvl="6" w:tplc="D4A07524" w:tentative="1">
      <w:start w:val="1"/>
      <w:numFmt w:val="bullet"/>
      <w:lvlText w:val=""/>
      <w:lvlJc w:val="left"/>
      <w:pPr>
        <w:ind w:left="5040" w:hanging="360"/>
      </w:pPr>
      <w:rPr>
        <w:rFonts w:ascii="Symbol" w:hAnsi="Symbol" w:hint="default"/>
      </w:rPr>
    </w:lvl>
    <w:lvl w:ilvl="7" w:tplc="6E66A618" w:tentative="1">
      <w:start w:val="1"/>
      <w:numFmt w:val="bullet"/>
      <w:lvlText w:val="o"/>
      <w:lvlJc w:val="left"/>
      <w:pPr>
        <w:ind w:left="5760" w:hanging="360"/>
      </w:pPr>
      <w:rPr>
        <w:rFonts w:ascii="Courier New" w:hAnsi="Courier New" w:cs="Courier New" w:hint="default"/>
      </w:rPr>
    </w:lvl>
    <w:lvl w:ilvl="8" w:tplc="7DA6CFF2"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FC0E72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F0687FBA"/>
    <w:lvl w:ilvl="0" w:tplc="04090001">
      <w:start w:val="1"/>
      <w:numFmt w:val="bullet"/>
      <w:lvlText w:val=""/>
      <w:lvlJc w:val="left"/>
      <w:pPr>
        <w:ind w:left="720" w:hanging="360"/>
      </w:pPr>
      <w:rPr>
        <w:rFonts w:ascii="Symbol" w:hAnsi="Symbol" w:hint="default"/>
      </w:rPr>
    </w:lvl>
    <w:lvl w:ilvl="1" w:tplc="00309D66" w:tentative="1">
      <w:start w:val="1"/>
      <w:numFmt w:val="bullet"/>
      <w:lvlText w:val="o"/>
      <w:lvlJc w:val="left"/>
      <w:pPr>
        <w:ind w:left="1440" w:hanging="360"/>
      </w:pPr>
      <w:rPr>
        <w:rFonts w:ascii="Courier New" w:hAnsi="Courier New" w:cs="Courier New" w:hint="default"/>
      </w:rPr>
    </w:lvl>
    <w:lvl w:ilvl="2" w:tplc="E49A62D2" w:tentative="1">
      <w:start w:val="1"/>
      <w:numFmt w:val="bullet"/>
      <w:lvlText w:val=""/>
      <w:lvlJc w:val="left"/>
      <w:pPr>
        <w:ind w:left="2160" w:hanging="360"/>
      </w:pPr>
      <w:rPr>
        <w:rFonts w:ascii="Wingdings" w:hAnsi="Wingdings" w:hint="default"/>
      </w:rPr>
    </w:lvl>
    <w:lvl w:ilvl="3" w:tplc="8EB09CC8" w:tentative="1">
      <w:start w:val="1"/>
      <w:numFmt w:val="bullet"/>
      <w:lvlText w:val=""/>
      <w:lvlJc w:val="left"/>
      <w:pPr>
        <w:ind w:left="2880" w:hanging="360"/>
      </w:pPr>
      <w:rPr>
        <w:rFonts w:ascii="Symbol" w:hAnsi="Symbol" w:hint="default"/>
      </w:rPr>
    </w:lvl>
    <w:lvl w:ilvl="4" w:tplc="2CE6FA52" w:tentative="1">
      <w:start w:val="1"/>
      <w:numFmt w:val="bullet"/>
      <w:lvlText w:val="o"/>
      <w:lvlJc w:val="left"/>
      <w:pPr>
        <w:ind w:left="3600" w:hanging="360"/>
      </w:pPr>
      <w:rPr>
        <w:rFonts w:ascii="Courier New" w:hAnsi="Courier New" w:cs="Courier New" w:hint="default"/>
      </w:rPr>
    </w:lvl>
    <w:lvl w:ilvl="5" w:tplc="E6363B96" w:tentative="1">
      <w:start w:val="1"/>
      <w:numFmt w:val="bullet"/>
      <w:lvlText w:val=""/>
      <w:lvlJc w:val="left"/>
      <w:pPr>
        <w:ind w:left="4320" w:hanging="360"/>
      </w:pPr>
      <w:rPr>
        <w:rFonts w:ascii="Wingdings" w:hAnsi="Wingdings" w:hint="default"/>
      </w:rPr>
    </w:lvl>
    <w:lvl w:ilvl="6" w:tplc="410006BE" w:tentative="1">
      <w:start w:val="1"/>
      <w:numFmt w:val="bullet"/>
      <w:lvlText w:val=""/>
      <w:lvlJc w:val="left"/>
      <w:pPr>
        <w:ind w:left="5040" w:hanging="360"/>
      </w:pPr>
      <w:rPr>
        <w:rFonts w:ascii="Symbol" w:hAnsi="Symbol" w:hint="default"/>
      </w:rPr>
    </w:lvl>
    <w:lvl w:ilvl="7" w:tplc="E46C98D0" w:tentative="1">
      <w:start w:val="1"/>
      <w:numFmt w:val="bullet"/>
      <w:lvlText w:val="o"/>
      <w:lvlJc w:val="left"/>
      <w:pPr>
        <w:ind w:left="5760" w:hanging="360"/>
      </w:pPr>
      <w:rPr>
        <w:rFonts w:ascii="Courier New" w:hAnsi="Courier New" w:cs="Courier New" w:hint="default"/>
      </w:rPr>
    </w:lvl>
    <w:lvl w:ilvl="8" w:tplc="F0C2F65E"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38883F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8912F8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000000F"/>
    <w:multiLevelType w:val="hybridMultilevel"/>
    <w:tmpl w:val="91C6F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65D29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E25A2D9C"/>
    <w:lvl w:ilvl="0" w:tplc="6D1EB08A">
      <w:start w:val="1"/>
      <w:numFmt w:val="decimal"/>
      <w:lvlText w:val="%1."/>
      <w:lvlJc w:val="left"/>
      <w:pPr>
        <w:ind w:left="720" w:hanging="360"/>
      </w:pPr>
      <w:rPr>
        <w:rFonts w:hint="default"/>
      </w:rPr>
    </w:lvl>
    <w:lvl w:ilvl="1" w:tplc="347266B8" w:tentative="1">
      <w:start w:val="1"/>
      <w:numFmt w:val="lowerLetter"/>
      <w:lvlText w:val="%2."/>
      <w:lvlJc w:val="left"/>
      <w:pPr>
        <w:ind w:left="1440" w:hanging="360"/>
      </w:pPr>
    </w:lvl>
    <w:lvl w:ilvl="2" w:tplc="06067DBE" w:tentative="1">
      <w:start w:val="1"/>
      <w:numFmt w:val="lowerRoman"/>
      <w:lvlText w:val="%3."/>
      <w:lvlJc w:val="right"/>
      <w:pPr>
        <w:ind w:left="2160" w:hanging="180"/>
      </w:pPr>
    </w:lvl>
    <w:lvl w:ilvl="3" w:tplc="76AAE2A0" w:tentative="1">
      <w:start w:val="1"/>
      <w:numFmt w:val="decimal"/>
      <w:lvlText w:val="%4."/>
      <w:lvlJc w:val="left"/>
      <w:pPr>
        <w:ind w:left="2880" w:hanging="360"/>
      </w:pPr>
    </w:lvl>
    <w:lvl w:ilvl="4" w:tplc="8F622F9E" w:tentative="1">
      <w:start w:val="1"/>
      <w:numFmt w:val="lowerLetter"/>
      <w:lvlText w:val="%5."/>
      <w:lvlJc w:val="left"/>
      <w:pPr>
        <w:ind w:left="3600" w:hanging="360"/>
      </w:pPr>
    </w:lvl>
    <w:lvl w:ilvl="5" w:tplc="14FC88C2" w:tentative="1">
      <w:start w:val="1"/>
      <w:numFmt w:val="lowerRoman"/>
      <w:lvlText w:val="%6."/>
      <w:lvlJc w:val="right"/>
      <w:pPr>
        <w:ind w:left="4320" w:hanging="180"/>
      </w:pPr>
    </w:lvl>
    <w:lvl w:ilvl="6" w:tplc="20EC7650" w:tentative="1">
      <w:start w:val="1"/>
      <w:numFmt w:val="decimal"/>
      <w:lvlText w:val="%7."/>
      <w:lvlJc w:val="left"/>
      <w:pPr>
        <w:ind w:left="5040" w:hanging="360"/>
      </w:pPr>
    </w:lvl>
    <w:lvl w:ilvl="7" w:tplc="7ED89FB8" w:tentative="1">
      <w:start w:val="1"/>
      <w:numFmt w:val="lowerLetter"/>
      <w:lvlText w:val="%8."/>
      <w:lvlJc w:val="left"/>
      <w:pPr>
        <w:ind w:left="5760" w:hanging="360"/>
      </w:pPr>
    </w:lvl>
    <w:lvl w:ilvl="8" w:tplc="C06A5708" w:tentative="1">
      <w:start w:val="1"/>
      <w:numFmt w:val="lowerRoman"/>
      <w:lvlText w:val="%9."/>
      <w:lvlJc w:val="right"/>
      <w:pPr>
        <w:ind w:left="6480" w:hanging="180"/>
      </w:pPr>
    </w:lvl>
  </w:abstractNum>
  <w:abstractNum w:abstractNumId="17" w15:restartNumberingAfterBreak="0">
    <w:nsid w:val="00000012"/>
    <w:multiLevelType w:val="hybridMultilevel"/>
    <w:tmpl w:val="D2940D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48007C94" w:tentative="1">
      <w:start w:val="1"/>
      <w:numFmt w:val="bullet"/>
      <w:lvlText w:val=""/>
      <w:lvlJc w:val="left"/>
      <w:pPr>
        <w:ind w:left="2160" w:hanging="360"/>
      </w:pPr>
      <w:rPr>
        <w:rFonts w:ascii="Wingdings" w:hAnsi="Wingdings" w:hint="default"/>
      </w:rPr>
    </w:lvl>
    <w:lvl w:ilvl="3" w:tplc="A314ADCE" w:tentative="1">
      <w:start w:val="1"/>
      <w:numFmt w:val="bullet"/>
      <w:lvlText w:val=""/>
      <w:lvlJc w:val="left"/>
      <w:pPr>
        <w:ind w:left="2880" w:hanging="360"/>
      </w:pPr>
      <w:rPr>
        <w:rFonts w:ascii="Symbol" w:hAnsi="Symbol" w:hint="default"/>
      </w:rPr>
    </w:lvl>
    <w:lvl w:ilvl="4" w:tplc="56C4FEDE" w:tentative="1">
      <w:start w:val="1"/>
      <w:numFmt w:val="bullet"/>
      <w:lvlText w:val="o"/>
      <w:lvlJc w:val="left"/>
      <w:pPr>
        <w:ind w:left="3600" w:hanging="360"/>
      </w:pPr>
      <w:rPr>
        <w:rFonts w:ascii="Courier New" w:hAnsi="Courier New" w:cs="Courier New" w:hint="default"/>
      </w:rPr>
    </w:lvl>
    <w:lvl w:ilvl="5" w:tplc="15583206" w:tentative="1">
      <w:start w:val="1"/>
      <w:numFmt w:val="bullet"/>
      <w:lvlText w:val=""/>
      <w:lvlJc w:val="left"/>
      <w:pPr>
        <w:ind w:left="4320" w:hanging="360"/>
      </w:pPr>
      <w:rPr>
        <w:rFonts w:ascii="Wingdings" w:hAnsi="Wingdings" w:hint="default"/>
      </w:rPr>
    </w:lvl>
    <w:lvl w:ilvl="6" w:tplc="A1E66676" w:tentative="1">
      <w:start w:val="1"/>
      <w:numFmt w:val="bullet"/>
      <w:lvlText w:val=""/>
      <w:lvlJc w:val="left"/>
      <w:pPr>
        <w:ind w:left="5040" w:hanging="360"/>
      </w:pPr>
      <w:rPr>
        <w:rFonts w:ascii="Symbol" w:hAnsi="Symbol" w:hint="default"/>
      </w:rPr>
    </w:lvl>
    <w:lvl w:ilvl="7" w:tplc="37A8B07C" w:tentative="1">
      <w:start w:val="1"/>
      <w:numFmt w:val="bullet"/>
      <w:lvlText w:val="o"/>
      <w:lvlJc w:val="left"/>
      <w:pPr>
        <w:ind w:left="5760" w:hanging="360"/>
      </w:pPr>
      <w:rPr>
        <w:rFonts w:ascii="Courier New" w:hAnsi="Courier New" w:cs="Courier New" w:hint="default"/>
      </w:rPr>
    </w:lvl>
    <w:lvl w:ilvl="8" w:tplc="02D62AC6"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E6A00478"/>
    <w:lvl w:ilvl="0" w:tplc="70666DF2">
      <w:start w:val="1"/>
      <w:numFmt w:val="decimal"/>
      <w:lvlText w:val="%1."/>
      <w:lvlJc w:val="left"/>
      <w:pPr>
        <w:ind w:left="720" w:hanging="360"/>
      </w:pPr>
      <w:rPr>
        <w:rFonts w:hint="default"/>
      </w:rPr>
    </w:lvl>
    <w:lvl w:ilvl="1" w:tplc="807EC8D8" w:tentative="1">
      <w:start w:val="1"/>
      <w:numFmt w:val="lowerLetter"/>
      <w:lvlText w:val="%2."/>
      <w:lvlJc w:val="left"/>
      <w:pPr>
        <w:ind w:left="1440" w:hanging="360"/>
      </w:pPr>
    </w:lvl>
    <w:lvl w:ilvl="2" w:tplc="9D86AB7A" w:tentative="1">
      <w:start w:val="1"/>
      <w:numFmt w:val="lowerRoman"/>
      <w:lvlText w:val="%3."/>
      <w:lvlJc w:val="right"/>
      <w:pPr>
        <w:ind w:left="2160" w:hanging="180"/>
      </w:pPr>
    </w:lvl>
    <w:lvl w:ilvl="3" w:tplc="E3782E26" w:tentative="1">
      <w:start w:val="1"/>
      <w:numFmt w:val="decimal"/>
      <w:lvlText w:val="%4."/>
      <w:lvlJc w:val="left"/>
      <w:pPr>
        <w:ind w:left="2880" w:hanging="360"/>
      </w:pPr>
    </w:lvl>
    <w:lvl w:ilvl="4" w:tplc="E7AE9452" w:tentative="1">
      <w:start w:val="1"/>
      <w:numFmt w:val="lowerLetter"/>
      <w:lvlText w:val="%5."/>
      <w:lvlJc w:val="left"/>
      <w:pPr>
        <w:ind w:left="3600" w:hanging="360"/>
      </w:pPr>
    </w:lvl>
    <w:lvl w:ilvl="5" w:tplc="9A8678D0" w:tentative="1">
      <w:start w:val="1"/>
      <w:numFmt w:val="lowerRoman"/>
      <w:lvlText w:val="%6."/>
      <w:lvlJc w:val="right"/>
      <w:pPr>
        <w:ind w:left="4320" w:hanging="180"/>
      </w:pPr>
    </w:lvl>
    <w:lvl w:ilvl="6" w:tplc="2F646A58" w:tentative="1">
      <w:start w:val="1"/>
      <w:numFmt w:val="decimal"/>
      <w:lvlText w:val="%7."/>
      <w:lvlJc w:val="left"/>
      <w:pPr>
        <w:ind w:left="5040" w:hanging="360"/>
      </w:pPr>
    </w:lvl>
    <w:lvl w:ilvl="7" w:tplc="2A401C7C" w:tentative="1">
      <w:start w:val="1"/>
      <w:numFmt w:val="lowerLetter"/>
      <w:lvlText w:val="%8."/>
      <w:lvlJc w:val="left"/>
      <w:pPr>
        <w:ind w:left="5760" w:hanging="360"/>
      </w:pPr>
    </w:lvl>
    <w:lvl w:ilvl="8" w:tplc="3D0A199C" w:tentative="1">
      <w:start w:val="1"/>
      <w:numFmt w:val="lowerRoman"/>
      <w:lvlText w:val="%9."/>
      <w:lvlJc w:val="right"/>
      <w:pPr>
        <w:ind w:left="6480" w:hanging="180"/>
      </w:pPr>
    </w:lvl>
  </w:abstractNum>
  <w:abstractNum w:abstractNumId="19" w15:restartNumberingAfterBreak="0">
    <w:nsid w:val="00000014"/>
    <w:multiLevelType w:val="hybridMultilevel"/>
    <w:tmpl w:val="E6A00478"/>
    <w:lvl w:ilvl="0" w:tplc="975626D8">
      <w:start w:val="1"/>
      <w:numFmt w:val="decimal"/>
      <w:lvlText w:val="%1."/>
      <w:lvlJc w:val="left"/>
      <w:pPr>
        <w:ind w:left="720" w:hanging="360"/>
      </w:pPr>
      <w:rPr>
        <w:rFonts w:hint="default"/>
      </w:rPr>
    </w:lvl>
    <w:lvl w:ilvl="1" w:tplc="7EF88742" w:tentative="1">
      <w:start w:val="1"/>
      <w:numFmt w:val="lowerLetter"/>
      <w:lvlText w:val="%2."/>
      <w:lvlJc w:val="left"/>
      <w:pPr>
        <w:ind w:left="1440" w:hanging="360"/>
      </w:pPr>
    </w:lvl>
    <w:lvl w:ilvl="2" w:tplc="59BCE0A0" w:tentative="1">
      <w:start w:val="1"/>
      <w:numFmt w:val="lowerRoman"/>
      <w:lvlText w:val="%3."/>
      <w:lvlJc w:val="right"/>
      <w:pPr>
        <w:ind w:left="2160" w:hanging="180"/>
      </w:pPr>
    </w:lvl>
    <w:lvl w:ilvl="3" w:tplc="01882370" w:tentative="1">
      <w:start w:val="1"/>
      <w:numFmt w:val="decimal"/>
      <w:lvlText w:val="%4."/>
      <w:lvlJc w:val="left"/>
      <w:pPr>
        <w:ind w:left="2880" w:hanging="360"/>
      </w:pPr>
    </w:lvl>
    <w:lvl w:ilvl="4" w:tplc="C4EC387E" w:tentative="1">
      <w:start w:val="1"/>
      <w:numFmt w:val="lowerLetter"/>
      <w:lvlText w:val="%5."/>
      <w:lvlJc w:val="left"/>
      <w:pPr>
        <w:ind w:left="3600" w:hanging="360"/>
      </w:pPr>
    </w:lvl>
    <w:lvl w:ilvl="5" w:tplc="A91289F6" w:tentative="1">
      <w:start w:val="1"/>
      <w:numFmt w:val="lowerRoman"/>
      <w:lvlText w:val="%6."/>
      <w:lvlJc w:val="right"/>
      <w:pPr>
        <w:ind w:left="4320" w:hanging="180"/>
      </w:pPr>
    </w:lvl>
    <w:lvl w:ilvl="6" w:tplc="4180553C" w:tentative="1">
      <w:start w:val="1"/>
      <w:numFmt w:val="decimal"/>
      <w:lvlText w:val="%7."/>
      <w:lvlJc w:val="left"/>
      <w:pPr>
        <w:ind w:left="5040" w:hanging="360"/>
      </w:pPr>
    </w:lvl>
    <w:lvl w:ilvl="7" w:tplc="7A94DFB8" w:tentative="1">
      <w:start w:val="1"/>
      <w:numFmt w:val="lowerLetter"/>
      <w:lvlText w:val="%8."/>
      <w:lvlJc w:val="left"/>
      <w:pPr>
        <w:ind w:left="5760" w:hanging="360"/>
      </w:pPr>
    </w:lvl>
    <w:lvl w:ilvl="8" w:tplc="3C82B102" w:tentative="1">
      <w:start w:val="1"/>
      <w:numFmt w:val="lowerRoman"/>
      <w:lvlText w:val="%9."/>
      <w:lvlJc w:val="right"/>
      <w:pPr>
        <w:ind w:left="6480" w:hanging="180"/>
      </w:pPr>
    </w:lvl>
  </w:abstractNum>
  <w:abstractNum w:abstractNumId="20" w15:restartNumberingAfterBreak="0">
    <w:nsid w:val="126554CA"/>
    <w:multiLevelType w:val="hybridMultilevel"/>
    <w:tmpl w:val="8D186B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0075001">
    <w:abstractNumId w:val="5"/>
  </w:num>
  <w:num w:numId="2" w16cid:durableId="1793749919">
    <w:abstractNumId w:val="3"/>
  </w:num>
  <w:num w:numId="3" w16cid:durableId="1146508268">
    <w:abstractNumId w:val="2"/>
  </w:num>
  <w:num w:numId="4" w16cid:durableId="51273071">
    <w:abstractNumId w:val="14"/>
  </w:num>
  <w:num w:numId="5" w16cid:durableId="1387953922">
    <w:abstractNumId w:val="20"/>
  </w:num>
  <w:num w:numId="6" w16cid:durableId="2053996233">
    <w:abstractNumId w:val="16"/>
  </w:num>
  <w:num w:numId="7" w16cid:durableId="1264076275">
    <w:abstractNumId w:val="19"/>
  </w:num>
  <w:num w:numId="8" w16cid:durableId="58407676">
    <w:abstractNumId w:val="18"/>
  </w:num>
  <w:num w:numId="9" w16cid:durableId="1377853835">
    <w:abstractNumId w:val="0"/>
  </w:num>
  <w:num w:numId="10" w16cid:durableId="512230255">
    <w:abstractNumId w:val="12"/>
  </w:num>
  <w:num w:numId="11" w16cid:durableId="510684329">
    <w:abstractNumId w:val="1"/>
  </w:num>
  <w:num w:numId="12" w16cid:durableId="41905605">
    <w:abstractNumId w:val="9"/>
  </w:num>
  <w:num w:numId="13" w16cid:durableId="505095683">
    <w:abstractNumId w:val="17"/>
  </w:num>
  <w:num w:numId="14" w16cid:durableId="578715022">
    <w:abstractNumId w:val="11"/>
  </w:num>
  <w:num w:numId="15" w16cid:durableId="718092743">
    <w:abstractNumId w:val="13"/>
  </w:num>
  <w:num w:numId="16" w16cid:durableId="85469135">
    <w:abstractNumId w:val="6"/>
  </w:num>
  <w:num w:numId="17" w16cid:durableId="1025595179">
    <w:abstractNumId w:val="7"/>
  </w:num>
  <w:num w:numId="18" w16cid:durableId="295992237">
    <w:abstractNumId w:val="15"/>
  </w:num>
  <w:num w:numId="19" w16cid:durableId="1477994064">
    <w:abstractNumId w:val="10"/>
  </w:num>
  <w:num w:numId="20" w16cid:durableId="3173737">
    <w:abstractNumId w:val="8"/>
  </w:num>
  <w:num w:numId="21" w16cid:durableId="1727141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EB1"/>
    <w:rsid w:val="000B47C5"/>
    <w:rsid w:val="00101FAF"/>
    <w:rsid w:val="0074449C"/>
    <w:rsid w:val="00D0671A"/>
    <w:rsid w:val="00F84E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AFED"/>
  <w15:docId w15:val="{04E80933-366B-544E-B6AF-7BF114C0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ascii="Calibri" w:eastAsia="Calibri" w:hAnsi="Calibri"/>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customStyle="1" w:styleId="a0">
    <w:name w:val="كلام"/>
    <w:basedOn w:val="Normal"/>
    <w:link w:val="Char"/>
    <w:qFormat/>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eastAsia="Calibri" w:hAnsi="Sakkal Majalla" w:cs="Sakkal Majalla"/>
      <w:sz w:val="28"/>
      <w:szCs w:val="28"/>
      <w:lang w:bidi="ar-EG"/>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bidi/>
      <w:spacing w:after="0" w:line="240" w:lineRule="auto"/>
    </w:pPr>
    <w:rPr>
      <w:rFonts w:ascii="Calibri" w:eastAsia="Calibri" w:hAnsi="Calibri"/>
    </w:rPr>
  </w:style>
  <w:style w:type="paragraph" w:styleId="TOCHeading">
    <w:name w:val="TOC Heading"/>
    <w:basedOn w:val="Heading1"/>
    <w:next w:val="Normal"/>
    <w:uiPriority w:val="39"/>
    <w:qFormat/>
    <w:pPr>
      <w:spacing w:before="240" w:after="0"/>
      <w:jc w:val="center"/>
      <w:outlineLvl w:val="9"/>
    </w:pPr>
    <w:rPr>
      <w:kern w:val="0"/>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tabs>
        <w:tab w:val="right" w:leader="dot" w:pos="9350"/>
      </w:tabs>
      <w:spacing w:after="100"/>
      <w:ind w:left="220"/>
    </w:p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paragraph" w:styleId="Caption">
    <w:name w:val="caption"/>
    <w:basedOn w:val="Normal"/>
    <w:next w:val="Normal"/>
    <w:uiPriority w:val="35"/>
    <w:qFormat/>
    <w:pPr>
      <w:spacing w:after="200" w:line="240" w:lineRule="auto"/>
      <w:jc w:val="center"/>
    </w:pPr>
    <w:rPr>
      <w:rFonts w:ascii="Sakkal Majalla" w:eastAsia="Aptos" w:hAnsi="Sakkal Majalla" w:cs="Sakkal Majalla"/>
      <w:i/>
      <w:iCs/>
      <w:color w:val="0E2841"/>
      <w:sz w:val="20"/>
      <w:szCs w:val="20"/>
    </w:rPr>
  </w:style>
  <w:style w:type="paragraph" w:styleId="Header">
    <w:name w:val="header"/>
    <w:basedOn w:val="Normal"/>
    <w:link w:val="HeaderChar"/>
    <w:uiPriority w:val="99"/>
    <w:pPr>
      <w:tabs>
        <w:tab w:val="center" w:pos="4680"/>
        <w:tab w:val="right" w:pos="9360"/>
      </w:tabs>
      <w:bidi w:val="0"/>
      <w:spacing w:after="0" w:line="240" w:lineRule="auto"/>
    </w:pPr>
    <w:rPr>
      <w:rFonts w:ascii="Aptos" w:eastAsia="Aptos" w:hAnsi="Apto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bidi w:val="0"/>
      <w:spacing w:after="0" w:line="240" w:lineRule="auto"/>
    </w:pPr>
    <w:rPr>
      <w:rFonts w:ascii="Aptos" w:eastAsia="Aptos" w:hAnsi="Aptos"/>
    </w:rPr>
  </w:style>
  <w:style w:type="character" w:customStyle="1" w:styleId="FooterChar">
    <w:name w:val="Footer Char"/>
    <w:basedOn w:val="DefaultParagraphFont"/>
    <w:link w:val="Footer"/>
    <w:uiPriority w:val="99"/>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eastAsia="Calibri" w:hAnsi="Sakkal Majalla" w:cs="Sakkal Majalla"/>
      <w:b/>
      <w:bCs/>
      <w:sz w:val="28"/>
      <w:szCs w:val="28"/>
      <w:lang w:bidi="ar-EG"/>
    </w:rPr>
  </w:style>
  <w:style w:type="paragraph" w:styleId="Bibliography">
    <w:name w:val="Bibliography"/>
    <w:basedOn w:val="Normal"/>
    <w:next w:val="Normal"/>
    <w:uiPriority w:val="37"/>
  </w:style>
  <w:style w:type="paragraph" w:styleId="TableofFigures">
    <w:name w:val="table of figures"/>
    <w:basedOn w:val="Normal"/>
    <w:next w:val="Normal"/>
    <w:uiPriority w:val="99"/>
    <w:pPr>
      <w:spacing w:after="0"/>
    </w:pPr>
    <w:rPr>
      <w:rFonts w:ascii="Sakkal Majalla" w:hAnsi="Sakkal Majalla"/>
    </w:rPr>
  </w:style>
  <w:style w:type="paragraph" w:styleId="EndnoteText">
    <w:name w:val="endnote text"/>
    <w:basedOn w:val="Normal"/>
    <w:link w:val="EndnoteTextChar"/>
    <w:uiPriority w:val="99"/>
    <w:pPr>
      <w:bidi w:val="0"/>
      <w:spacing w:after="0" w:line="240" w:lineRule="auto"/>
    </w:pPr>
    <w:rPr>
      <w:rFonts w:ascii="Aptos" w:eastAsia="Aptos" w:hAnsi="Aptos"/>
      <w:sz w:val="20"/>
      <w:szCs w:val="20"/>
    </w:rPr>
  </w:style>
  <w:style w:type="character" w:customStyle="1" w:styleId="EndnoteTextChar">
    <w:name w:val="Endnote Text Char"/>
    <w:basedOn w:val="DefaultParagraphFont"/>
    <w:link w:val="EndnoteText"/>
    <w:uiPriority w:val="99"/>
    <w:rPr>
      <w:sz w:val="20"/>
      <w:szCs w:val="20"/>
    </w:rPr>
  </w:style>
  <w:style w:type="character" w:styleId="EndnoteReference">
    <w:name w:val="endnote reference"/>
    <w:basedOn w:val="DefaultParagraphFont"/>
    <w:uiPriority w:val="99"/>
    <w:rPr>
      <w:vertAlign w:val="superscript"/>
    </w:rPr>
  </w:style>
  <w:style w:type="character" w:styleId="FollowedHyperlink">
    <w:name w:val="FollowedHyperlink"/>
    <w:basedOn w:val="DefaultParagraphFont"/>
    <w:uiPriority w:val="99"/>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Alb22</b:Tag>
    <b:SourceType>JournalArticle</b:SourceType>
    <b:Guid>{2942D7AC-5E03-4E23-A4F0-7DE385178E32}</b:Guid>
    <b:Author>
      <b:Author>
        <b:NameList>
          <b:Person>
            <b:Last>Albashrawi</b:Last>
            <b:First>Saleh</b:First>
          </b:Person>
        </b:NameList>
      </b:Author>
    </b:Author>
    <b:Title>Quality Infrastructure of Saudi Arabia and Its Importance for Vision 2030</b:Title>
    <b:Year>2022</b:Year>
    <b:URL>https://www.researchgate.net/publication/358041640_Quality_Infrastructure_of_Saudi_Arabia_and_Its_Importance_for_Vision_2030</b:URL>
    <b:RefOrder>1</b:RefOrder>
  </b:Source>
  <b:Source>
    <b:Tag>Gur22</b:Tag>
    <b:SourceType>JournalArticle</b:SourceType>
    <b:Guid>{2B39F9FC-61F4-4A5C-ACA0-FE2186747344}</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2</b:RefOrder>
  </b:Source>
  <b:Source>
    <b:Tag>Bad22</b:Tag>
    <b:SourceType>JournalArticle</b:SourceType>
    <b:Guid>{60ACAD30-EB9C-4DE8-8D4A-010672F50903}</b:Guid>
    <b:Author>
      <b:Author>
        <b:NameList>
          <b:Person>
            <b:Last>Baduge</b:Last>
            <b:First>Shanaka</b:First>
            <b:Middle>Kristombu</b:Middle>
          </b:Person>
        </b:NameList>
      </b:Author>
    </b:Author>
    <b:Title>Artificial intelligence and smart vision for building and construction 4.0: Machine and deep learning methods and applications</b:Title>
    <b:Year>2022</b:Year>
    <b:URL>https://www.sciencedirect.com/science/article/pii/S0926580522003132</b:URL>
    <b:RefOrder>3</b:RefOrder>
  </b:Source>
  <b:Source>
    <b:Tag>Ben231</b:Tag>
    <b:SourceType>JournalArticle</b:SourceType>
    <b:Guid>{6B73DE0F-EDC3-4950-A21E-488B7798FFC0}</b:Guid>
    <b:Author>
      <b:Author>
        <b:NameList>
          <b:Person>
            <b:Last>Benti</b:Last>
            <b:First>Natei</b:First>
            <b:Middle>Ermias</b:Middle>
          </b:Person>
        </b:NameList>
      </b:Author>
    </b:Author>
    <b:Title>Forecasting Renewable Energy Generation with Machine Learning and Deep Learning: Current Advances and Future Prospects</b:Title>
    <b:Year>2023</b:Year>
    <b:URL>https://www.mdpi.com/2071-1050/15/9/7087</b:URL>
    <b:RefOrder>4</b:RefOrder>
  </b:Source>
  <b:Source>
    <b:Tag>Nab24</b:Tag>
    <b:SourceType>JournalArticle</b:SourceType>
    <b:Guid>{742EFED7-24AE-47E6-BDBC-A5FF04177903}</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5</b:RefOrder>
  </b:Source>
  <b:Source>
    <b:Tag>Soo23</b:Tag>
    <b:SourceType>JournalArticle</b:SourceType>
    <b:Guid>{E63B7E0D-425F-4BBC-96A2-E6D31697E5C4}</b:Guid>
    <b:Author>
      <b:Author>
        <b:NameList>
          <b:Person>
            <b:Last>Soori</b:Last>
            <b:First>Mohsen</b:First>
          </b:Person>
        </b:NameList>
      </b:Author>
    </b:Author>
    <b:Title>Internet of things for smart factories in industry 4.0, a review</b:Title>
    <b:Year>2023</b:Year>
    <b:URL>https://www.sciencedirect.com/science/article/pii/S2667345223000275</b:URL>
    <b:RefOrder>6</b:RefOrder>
  </b:Source>
  <b:Source>
    <b:Tag>Min23</b:Tag>
    <b:SourceType>JournalArticle</b:SourceType>
    <b:Guid>{15A86EF6-F5C8-4EB5-B4D0-8A034F24E4CC}</b:Guid>
    <b:Author>
      <b:Author>
        <b:NameList>
          <b:Person>
            <b:Last>Minois</b:Last>
            <b:First>Nadege</b:First>
          </b:Person>
        </b:NameList>
      </b:Author>
    </b:Author>
    <b:Title>The Importance of Communication in Project Management</b:Title>
    <b:Year>2023</b:Year>
    <b:URL>https://instituteprojectmanagement.com/blog/the-crucial-role-of-communication-in-project-management/</b:URL>
    <b:RefOrder>7</b:RefOrder>
  </b:Source>
  <b:Source>
    <b:Tag>Wan24</b:Tag>
    <b:SourceType>JournalArticle</b:SourceType>
    <b:Guid>{4C70DF99-D75C-40EB-BCEB-204EBFC9E37F}</b:Guid>
    <b:Author>
      <b:Author>
        <b:NameList>
          <b:Person>
            <b:Last>Wang</b:Last>
            <b:First>Yonghao</b:First>
          </b:Person>
        </b:NameList>
      </b:Author>
    </b:Author>
    <b:Title>A hybrid building information modeling and collaboration platform for automation system in smart construction</b:Title>
    <b:Year>2024</b:Year>
    <b:URL>https://www.sciencedirect.com/science/article/pii/S1110016824000115</b:URL>
    <b:RefOrder>8</b:RefOrder>
  </b:Source>
  <b:Source>
    <b:Tag>Als243</b:Tag>
    <b:SourceType>JournalArticle</b:SourceType>
    <b:Guid>{646EB088-A255-43E0-8CA9-61C6BE100736}</b:Guid>
    <b:Author>
      <b:Author>
        <b:NameList>
          <b:Person>
            <b:Last>Alsehaimi</b:Last>
            <b:First>Abdullah</b:First>
          </b:Person>
        </b:NameList>
      </b:Author>
    </b:Author>
    <b:Title>Building a sustainable future: BIM’s role in construction, logistics, and supply chain management</b:Title>
    <b:Year>2024</b:Year>
    <b:URL>https://www.sciencedirect.com/science/article/pii/S2090447924004842</b:URL>
    <b:RefOrder>9</b:RefOrder>
  </b:Source>
  <b:Source>
    <b:Tag>Far19</b:Tag>
    <b:SourceType>JournalArticle</b:SourceType>
    <b:Guid>{A8DE4776-9B66-4C89-A640-D2EA85765114}</b:Guid>
    <b:Author>
      <b:Author>
        <b:NameList>
          <b:Person>
            <b:Last>Farag</b:Last>
            <b:First>Alshimaa</b:First>
            <b:Middle>Aboelmakarem</b:Middle>
          </b:Person>
        </b:NameList>
      </b:Author>
    </b:Author>
    <b:Title>Smart city vision and practices across the Kingdom of Saudi Arabia—a review</b:Title>
    <b:Year>2019</b:Year>
    <b:URL>https://www.researchgate.net/publication/333973427_Smart_city_vision_and_practices_across_the_Kingdom_of_Saudi_Arabia-a_review</b:URL>
    <b:RefOrder>10</b:RefOrder>
  </b:Source>
  <b:Source>
    <b:Tag>Man23</b:Tag>
    <b:SourceType>JournalArticle</b:SourceType>
    <b:Guid>{F09F94A0-11F8-49A5-A747-956BD9DD7C52}</b:Guid>
    <b:Author>
      <b:Author>
        <b:NameList>
          <b:Person>
            <b:Last>Mani</b:Last>
            <b:First>Zakaria</b:First>
            <b:Middle>A.</b:Middle>
          </b:Person>
        </b:NameList>
      </b:Author>
    </b:Author>
    <b:Title>Adapting Disaster Preparedness Strategies to Changing Climate Patterns in Saudi Arabia: A Rapid Review</b:Title>
    <b:Year>2023</b:Year>
    <b:URL>https://www.mdpi.com/2071-1050/15/19/14279</b:URL>
    <b:RefOrder>11</b:RefOrder>
  </b:Source>
  <b:Source>
    <b:Tag>Alo241</b:Tag>
    <b:SourceType>JournalArticle</b:SourceType>
    <b:Guid>{4EBCDDBA-3AFA-4F98-8927-222248DF3839}</b:Guid>
    <b:Author>
      <b:Author>
        <b:NameList>
          <b:Person>
            <b:Last>Alotaibi</b:Last>
            <b:First>Badr</b:First>
            <b:Middle>Saad</b:Middle>
          </b:Person>
        </b:NameList>
      </b:Author>
    </b:Author>
    <b:Title>Enhancing Najran’s sustainable smart city development in the face of urbanization challenges in Saudi- Arabia</b:Title>
    <b:Year>2024</b:Year>
    <b:URL>https://www.researchgate.net/publication/381399865_Enhancing_Najran's_sustainable_smart_city_development_in_the_face_of_urbanization_challenges_in_Saudi-_Arabia</b:URL>
    <b:RefOrder>12</b:RefOrder>
  </b:Source>
  <b:Source>
    <b:Tag>Ala231</b:Tag>
    <b:SourceType>JournalArticle</b:SourceType>
    <b:Guid>{85A9A98D-BA6F-49F8-AED6-31642C64CF16}</b:Guid>
    <b:Author>
      <b:Author>
        <b:NameList>
          <b:Person>
            <b:Last>Alajmi</b:Last>
            <b:First>Mohammed</b:First>
          </b:Person>
        </b:NameList>
      </b:Author>
    </b:Author>
    <b:Title>The determinants of smart government systems adoption by public sector organizations in Saudi Arabia</b:Title>
    <b:Year>2023</b:Year>
    <b:URL>https://www.researchgate.net/publication/374126902_The_determinants_of_smart_government_systems_adoption_by_public_sector_organizations_in_Saudi_Arabia</b:URL>
    <b:RefOrder>13</b:RefOrder>
  </b:Source>
  <b:Source>
    <b:Tag>Yap22</b:Tag>
    <b:SourceType>JournalArticle</b:SourceType>
    <b:Guid>{11D4D27F-C113-41A1-B849-364FFE40521A}</b:Guid>
    <b:Author>
      <b:Author>
        <b:NameList>
          <b:Person>
            <b:Last>Yap</b:Last>
            <b:First>Jeffrey</b:First>
            <b:Middle>Boon Hui</b:Middle>
          </b:Person>
        </b:NameList>
      </b:Author>
    </b:Author>
    <b:Title>Barriers to the adoption of new safety technologies in construction: a developing country context</b:Title>
    <b:Year>2022</b:Year>
    <b:URL>https://www.researchgate.net/publication/357843015_BARRIERS_TO_THE_ADOPTION_OF_NEW_SAFETY_TECHNOLOGIES_IN_CONSTRUCTION_A_DEVELOPING_COUNTRY_CONTEXT</b:URL>
    <b:RefOrder>14</b:RefOrder>
  </b:Source>
  <b:Source>
    <b:Tag>Bab241</b:Tag>
    <b:SourceType>JournalArticle</b:SourceType>
    <b:Guid>{945C909D-07A7-4AB9-B429-9CFADC3FAFFD}</b:Guid>
    <b:Author>
      <b:Author>
        <b:NameList>
          <b:Person>
            <b:Last>Babashahi</b:Last>
            <b:First>Leili</b:First>
          </b:Person>
        </b:NameList>
      </b:Author>
    </b:Author>
    <b:Title>AI in the Workplace: A Systematic Review of Skill Transformation in the Industry</b:Title>
    <b:Year>2024</b:Year>
    <b:URL>https://www.mdpi.com/2076-3387/14/6/127</b:URL>
    <b:RefOrder>15</b:RefOrder>
  </b:Source>
  <b:Source>
    <b:Tag>Nil23</b:Tag>
    <b:SourceType>JournalArticle</b:SourceType>
    <b:Guid>{685B7112-3EBC-47CB-A17B-138C8B60AAA9}</b:Guid>
    <b:Author>
      <b:Author>
        <b:NameList>
          <b:Person>
            <b:Last>Nilimaa</b:Last>
            <b:First>Jonny</b:First>
          </b:Person>
        </b:NameList>
      </b:Author>
    </b:Author>
    <b:Title>Smart materials and technologies for sustainable concrete construction</b:Title>
    <b:Year>2023</b:Year>
    <b:URL>https://www.sciencedirect.com/science/article/pii/S2666165923000595</b:URL>
    <b:RefOrder>16</b:RefOrder>
  </b:Source>
  <b:Source>
    <b:Tag>Ahm21</b:Tag>
    <b:SourceType>JournalArticle</b:SourceType>
    <b:Guid>{C23952AE-D533-491E-9C5D-840D4E0E2365}</b:Guid>
    <b:Author>
      <b:Author>
        <b:NameList>
          <b:Person>
            <b:Last>Ahmad</b:Last>
            <b:First>Tanveer</b:First>
          </b:Person>
        </b:NameList>
      </b:Author>
    </b:Author>
    <b:Title>Using the internet of things in smart energy systems and networks</b:Title>
    <b:Year>2021</b:Year>
    <b:URL>https://www.sciencedirect.com/science/article/abs/pii/S2210670721000755</b:URL>
    <b:RefOrder>17</b:RefOrder>
  </b:Source>
  <b:Source>
    <b:Tag>Sch211</b:Tag>
    <b:SourceType>JournalArticle</b:SourceType>
    <b:Guid>{67FE272D-3604-4ED9-8745-F2ED1FD77C37}</b:Guid>
    <b:Author>
      <b:Author>
        <b:NameList>
          <b:Person>
            <b:Last>Schuldt</b:Last>
            <b:First>Steven</b:First>
            <b:Middle>J.</b:Middle>
          </b:Person>
        </b:NameList>
      </b:Author>
    </b:Author>
    <b:Title>Weather-Related Construction Delays in a Changing Climate: A Systematic State-of-the-Art Review</b:Title>
    <b:Year>2021</b:Year>
    <b:URL>https://www.mdpi.com/2071-1050/13/5/2861</b:URL>
    <b:RefOrder>18</b:RefOrder>
  </b:Source>
  <b:Source>
    <b:Tag>Lon23</b:Tag>
    <b:SourceType>JournalArticle</b:SourceType>
    <b:Guid>{C52CE0E9-6B4E-4C80-9236-8B26C10E90FF}</b:Guid>
    <b:Author>
      <b:Author>
        <b:NameList>
          <b:Person>
            <b:Last>Long</b:Last>
            <b:First>Luong</b:First>
            <b:Middle>Duc</b:Middle>
          </b:Person>
        </b:NameList>
      </b:Author>
    </b:Author>
    <b:Title>An AI-driven model for predicting and optimizing energy-efficient building envelopes</b:Title>
    <b:Year>2023</b:Year>
    <b:URL>https://www.sciencedirect.com/science/article/pii/S1110016823007251</b:URL>
    <b:RefOrder>19</b:RefOrder>
  </b:Source>
  <b:Source>
    <b:Tag>Lat23</b:Tag>
    <b:SourceType>JournalArticle</b:SourceType>
    <b:Guid>{C3FDA024-EFC4-4ED1-81F9-FD0BA5CC11C6}</b:Guid>
    <b:Author>
      <b:Author>
        <b:NameList>
          <b:Person>
            <b:Last>Latif</b:Last>
            <b:First>Muhammad</b:First>
          </b:Person>
        </b:NameList>
      </b:Author>
    </b:Author>
    <b:Title>Analyzing the Key Factors Contributing to Project Delays in the Construction Industry: A Comprehensive Study</b:Title>
    <b:Year>2023</b:Year>
    <b:URL>https://www.researchgate.net/publication/374423989_Analyzing_the_Key_Factors_Contributing_to_Project_Delays_in_the_Construction_Industry_A_Comprehensive_Study</b:URL>
    <b:RefOrder>20</b:RefOrder>
  </b:Source>
  <b:Source>
    <b:Tag>Mer24</b:Tag>
    <b:SourceType>JournalArticle</b:SourceType>
    <b:Guid>{66C02789-14E1-4515-8D19-B60C09267FE5}</b:Guid>
    <b:Author>
      <b:Author>
        <b:NameList>
          <b:Person>
            <b:Last>Mercedes-Heredia</b:Last>
            <b:First>Monica</b:First>
          </b:Person>
        </b:NameList>
      </b:Author>
    </b:Author>
    <b:Title>How Does Smart Technology Improve Energy Efficiency and Control?</b:Title>
    <b:Year>2024</b:Year>
    <b:URL>https://www.glaciergrid.com/resources/technical-guides/smart-technology</b:URL>
    <b:RefOrder>21</b:RefOrder>
  </b:Source>
  <b:Source>
    <b:Tag>Far24</b:Tag>
    <b:SourceType>JournalArticle</b:SourceType>
    <b:Guid>{1E6C4670-F8FD-4B23-919E-9AFA3278B8BB}</b:Guid>
    <b:Author>
      <b:Author>
        <b:NameList>
          <b:Person>
            <b:Last>Farhadi</b:Last>
            <b:First>Forough</b:First>
          </b:Person>
        </b:NameList>
      </b:Author>
    </b:Author>
    <b:Title>Challenges and Solutions in Smart Construction Adaptation; 2024 Review</b:Title>
    <b:Year>2024</b:Year>
    <b:URL>https://neuroject.com/challenges-and-solutions-in-smart-construction/</b:URL>
    <b:RefOrder>22</b:RefOrder>
  </b:Source>
  <b:Source>
    <b:Tag>Eji23</b:Tag>
    <b:SourceType>JournalArticle</b:SourceType>
    <b:Guid>{6500639F-FFD6-4E7D-90B0-DDE4A11EDFCA}</b:Guid>
    <b:Author>
      <b:Author>
        <b:NameList>
          <b:Person>
            <b:Last>Ejidike</b:Last>
            <b:First>Cyril</b:First>
            <b:Middle>Chinonso</b:Middle>
          </b:Person>
        </b:NameList>
      </b:Author>
    </b:Author>
    <b:Title>Benefits of adopting smart building technologies in building construction of developing countries: review of literature</b:Title>
    <b:Year>2023</b:Year>
    <b:URL>https://www.researchgate.net/publication/366984732_Benefits_of_adopting_smart_building_technologies_in_building_construction_of_developing_countries_review_of_literature</b:URL>
    <b:RefOrder>23</b:RefOrder>
  </b:Source>
  <b:Source>
    <b:Tag>Wat23</b:Tag>
    <b:SourceType>JournalArticle</b:SourceType>
    <b:Guid>{02230CD4-F37E-44BA-B4C1-391F2B777DFA}</b:Guid>
    <b:Author>
      <b:Author>
        <b:NameList>
          <b:Person>
            <b:Last>Watt</b:Last>
            <b:First>Adrienne</b:First>
          </b:Person>
        </b:NameList>
      </b:Author>
    </b:Author>
    <b:Title>Framework for Project Management</b:Title>
    <b:Year>2023</b:Year>
    <b:URL>https://opentextbc.ca/projectmanagement/chapter/chapter-4-framework-for-project-management-project-management/</b:URL>
    <b:RefOrder>24</b:RefOrder>
  </b:Source>
  <b:Source>
    <b:Tag>Alj23</b:Tag>
    <b:SourceType>JournalArticle</b:SourceType>
    <b:Guid>{E6AC877C-AACD-4622-8486-020C8676EBC1}</b:Guid>
    <b:Author>
      <b:Author>
        <b:NameList>
          <b:Person>
            <b:Last>Aljohani</b:Last>
            <b:First>Abeer</b:First>
            <b:Middle>ahmed</b:Middle>
          </b:Person>
        </b:NameList>
      </b:Author>
    </b:Author>
    <b:Title>Predictive Analytics and Machine Learning for Real-Time Supply Chain Risk Mitigation and Agility</b:Title>
    <b:Year>2023</b:Year>
    <b:URL>https://www.researchgate.net/publication/374849416_Predictive_Analytics_and_Machine_Learning_for_Real-Time_Supply_Chain_Risk_Mitigation_and_Agility</b:URL>
    <b:RefOrder>25</b:RefOrder>
  </b:Source>
  <b:Source>
    <b:Tag>Bas23</b:Tag>
    <b:SourceType>JournalArticle</b:SourceType>
    <b:Guid>{5B6587E0-04A8-4F10-96CA-605EE5E155A6}</b:Guid>
    <b:Author>
      <b:Author>
        <b:NameList>
          <b:Person>
            <b:Last>Bassey</b:Last>
            <b:First>Luna</b:First>
          </b:Person>
        </b:NameList>
      </b:Author>
    </b:Author>
    <b:Title>Sustainable Materials and Construction Practices in Industrial Buildings</b:Title>
    <b:Year>2023</b:Year>
    <b:URL>https://www.researchgate.net/publication/375495465_Sustainable_Materials_and_Construction_Practices_in_Industrial_Buildings</b:URL>
    <b:RefOrder>26</b:RefOrder>
  </b:Source>
  <b:Source>
    <b:Tag>Sen23</b:Tag>
    <b:SourceType>JournalArticle</b:SourceType>
    <b:Guid>{6136478F-5664-40B9-A056-A94E88E4DC0D}</b:Guid>
    <b:Author>
      <b:Author>
        <b:NameList>
          <b:Person>
            <b:Last>Senjak</b:Last>
            <b:First>Milena</b:First>
          </b:Person>
        </b:NameList>
      </b:Author>
    </b:Author>
    <b:Title>https://www.researchgate.net/publication/375495465_Sustainable_Materials_and_Construction_Practices_in_Industrial_Buildings</b:Title>
    <b:Year>2023</b:Year>
    <b:URL>https://www.researchgate.net/publication/372328117_IMPROVING_CONSTRUCTION_PROJECTS_AND_REDUCING_RISK_BY_USING_ARTIFICIAL_INTELLIGENCE</b:URL>
    <b:RefOrder>27</b:RefOrder>
  </b:Source>
  <b:Source>
    <b:Tag>Bra24</b:Tag>
    <b:SourceType>JournalArticle</b:SourceType>
    <b:Guid>{7C277EC4-9DD0-4DF2-8893-EFA96E09CA77}</b:Guid>
    <b:Author>
      <b:Author>
        <b:NameList>
          <b:Person>
            <b:Last>Brahimi</b:Last>
            <b:First>Tayeb</b:First>
          </b:Person>
        </b:NameList>
      </b:Author>
    </b:Author>
    <b:Title>Innovation, Leadership, and Education: How Effat University is Paving the Way for Vision 2030</b:Title>
    <b:Year>2024</b:Year>
    <b:URL>https://www.emerald.com/insight/content/doi/10.1108/978-1-83753-536-120241011/full/html</b:URL>
    <b:RefOrder>28</b:RefOrder>
  </b:Source>
  <b:Source>
    <b:Tag>Als244</b:Tag>
    <b:SourceType>JournalArticle</b:SourceType>
    <b:Guid>{80060C0B-2E1C-48C6-977F-E88C121EC88E}</b:Guid>
    <b:Author>
      <b:Author>
        <b:NameList>
          <b:Person>
            <b:Last>Alshehhi</b:Last>
            <b:First>Hamad</b:First>
            <b:Middle>Saleh Mofleh Ali</b:Middle>
          </b:Person>
        </b:NameList>
      </b:Author>
    </b:Author>
    <b:Title>The Impact Of Risk Management On The Performance Of Construction Projects</b:Title>
    <b:Year>2024</b:Year>
    <b:URL>https://www.researchgate.net/publication/380678836_The_Impact_Of_Risk_Management_On_The_Performance_Of_Construction_Projects</b:URL>
    <b:RefOrder>29</b:RefOrder>
  </b:Source>
  <b:Source>
    <b:Tag>LiL22</b:Tag>
    <b:SourceType>JournalArticle</b:SourceType>
    <b:Guid>{52040FA6-C547-46BB-9B68-7613899F4F80}</b:Guid>
    <b:Author>
      <b:Author>
        <b:NameList>
          <b:Person>
            <b:Last>Li</b:Last>
            <b:First>Ling</b:First>
          </b:Person>
        </b:NameList>
      </b:Author>
    </b:Author>
    <b:Title>Reskilling and Upskilling the Future-ready Workforce for Industry 4.0 and Beyond</b:Title>
    <b:Year>2022</b:Year>
    <b:URL>https://www.ncbi.nlm.nih.gov/pmc/articles/PMC9278314/</b:URL>
    <b:RefOrder>30</b:RefOrder>
  </b:Source>
  <b:Source>
    <b:Tag>Tea24</b:Tag>
    <b:SourceType>JournalArticle</b:SourceType>
    <b:Guid>{939865A2-4D6E-45F5-A94E-0B510675F574}</b:Guid>
    <b:Author>
      <b:Author>
        <b:Corporate>Team Asana</b:Corporate>
      </b:Author>
    </b:Author>
    <b:Title>Project management methodologies: 12 popular frameworks</b:Title>
    <b:Year>2024</b:Year>
    <b:URL>https://asana.com/resources/project-management-methodologies</b:URL>
    <b:RefOrder>31</b:RefOrder>
  </b:Source>
  <b:Source>
    <b:Tag>Mar23</b:Tag>
    <b:SourceType>JournalArticle</b:SourceType>
    <b:Guid>{E084BAFC-90BB-4140-A786-45E6E0AF33C2}</b:Guid>
    <b:Author>
      <b:Author>
        <b:NameList>
          <b:Person>
            <b:Last>Marikyan</b:Last>
            <b:First>Davit</b:First>
          </b:Person>
        </b:NameList>
      </b:Author>
    </b:Author>
    <b:Title>Technology Acceptance Model (TAM)</b:Title>
    <b:Year>2023</b:Year>
    <b:URL>https://open.ncl.ac.uk/theories/1/technology-acceptance-model/</b:URL>
    <b:RefOrder>32</b:RefOrder>
  </b:Source>
  <b:Source>
    <b:Tag>Mün22</b:Tag>
    <b:SourceType>JournalArticle</b:SourceType>
    <b:Guid>{911C83C8-91F3-4746-B7AD-9D7E3F89A26A}</b:Guid>
    <b:Author>
      <b:Author>
        <b:NameList>
          <b:Person>
            <b:Last>Münch</b:Last>
            <b:First>Christopher</b:First>
          </b:Person>
        </b:NameList>
      </b:Author>
    </b:Author>
    <b:Title>Capabilities of digital servitization: Evidence from the socio-technical systems theory</b:Title>
    <b:Year>2022</b:Year>
    <b:URL>https://www.sciencedirect.com/science/article/pii/S0040162521007927</b:URL>
    <b:RefOrder>33</b:RefOrder>
  </b:Source>
  <b:Source>
    <b:Tag>RFr13</b:Tag>
    <b:SourceType>JournalArticle</b:SourceType>
    <b:Guid>{E93451CE-64A5-4A81-9813-D3268EC5F82C}</b:Guid>
    <b:Author>
      <b:Author>
        <b:NameList>
          <b:Person>
            <b:Last>R.</b:Last>
            <b:First>Frank</b:First>
          </b:Person>
        </b:NameList>
      </b:Author>
    </b:Author>
    <b:Title>Critical decision-making skills for project managers</b:Title>
    <b:Year>2013</b:Year>
    <b:URL>https://www.pmi.org/learning/library/critical-decision-making-skills-project-managers-5798</b:URL>
    <b:RefOrder>34</b:RefOrder>
  </b:Source>
  <b:Source>
    <b:Tag>Ale22</b:Tag>
    <b:SourceType>JournalArticle</b:SourceType>
    <b:Guid>{5B7D6C7D-274D-4171-B7C0-80C8EDBA007F}</b:Guid>
    <b:Author>
      <b:Author>
        <b:NameList>
          <b:Person>
            <b:Last>Alenazi</b:Last>
            <b:First>Essa</b:First>
          </b:Person>
        </b:NameList>
      </b:Author>
    </b:Author>
    <b:Title>Exploring the Nature and Impact of Client-Related Delays on Contemporary Saudi Construction Projects</b:Title>
    <b:Year>2022</b:Year>
    <b:URL>https://www.mdpi.com/2075-5309/12/7/880</b:URL>
    <b:RefOrder>35</b:RefOrder>
  </b:Source>
  <b:Source>
    <b:Tag>Ant23</b:Tag>
    <b:SourceType>JournalArticle</b:SourceType>
    <b:Guid>{5684A234-B4AA-4D42-BF88-29BB8974E3B5}</b:Guid>
    <b:Author>
      <b:Author>
        <b:NameList>
          <b:Person>
            <b:Last>Antucheviciene</b:Last>
            <b:First>Jurgita</b:First>
          </b:Person>
        </b:NameList>
      </b:Author>
    </b:Author>
    <b:Title>BIM Impact on Construction Project Time Using System Dynamics in Saudi Arabia’s Construction</b:Title>
    <b:Year>2023</b:Year>
    <b:URL>https://www.mdpi.com/2075-5309/13/9/2267</b:URL>
    <b:RefOrder>36</b:RefOrder>
  </b:Source>
  <b:Source>
    <b:Tag>Abo23</b:Tag>
    <b:SourceType>JournalArticle</b:SourceType>
    <b:Guid>{10DDDA86-34F1-45B6-A7D5-F17CF4986A71}</b:Guid>
    <b:Author>
      <b:Author>
        <b:NameList>
          <b:Person>
            <b:Last>Aboelmagd</b:Last>
            <b:First>Yasser</b:First>
            <b:Middle>Mahmoud Ragb</b:Middle>
          </b:Person>
        </b:NameList>
      </b:Author>
    </b:Author>
    <b:Title>INTEGRATED TIME SCHEDULE DELAYS FORECASTING MODEL IN EGYPTIAN CONSTRUCTION SITES</b:Title>
    <b:Year>2023</b:Year>
    <b:URL>https://oresta.org/menu-script/index.php/oresta/article/view/635</b:URL>
    <b:RefOrder>37</b:RefOrder>
  </b:Source>
  <b:Source>
    <b:Tag>Sha21</b:Tag>
    <b:SourceType>JournalArticle</b:SourceType>
    <b:Guid>{79FA45B1-3864-452B-B8DE-F608CF2DD524}</b:Guid>
    <b:Author>
      <b:Author>
        <b:NameList>
          <b:Person>
            <b:Last>Shash</b:Last>
            <b:First>Ali</b:First>
            <b:Middle>A.</b:Middle>
          </b:Person>
        </b:NameList>
      </b:Author>
    </b:Author>
    <b:Title>Causes of material delays in capital projects in Saudi Arabia</b:Title>
    <b:Year>2021</b:Year>
    <b:URL>https://www.tandfonline.com/doi/abs/10.1080/15623599.2021.1956294</b:URL>
    <b:RefOrder>38</b:RefOrder>
  </b:Source>
  <b:Source>
    <b:Tag>Abo231</b:Tag>
    <b:SourceType>JournalArticle</b:SourceType>
    <b:Guid>{92CDF575-355F-4FAC-BBCB-FEC071ACB0C6}</b:Guid>
    <b:Author>
      <b:Author>
        <b:NameList>
          <b:Person>
            <b:Last>Abolelmagd</b:Last>
            <b:First>Yasser</b:First>
            <b:Middle>M.</b:Middle>
          </b:Person>
        </b:NameList>
      </b:Author>
    </b:Author>
    <b:Title>Evaluating Delay Causes for Constructing Road Projects in Saudi Arabia</b:Title>
    <b:Year>2023</b:Year>
    <b:URL>https://digitalcommons.aaru.edu.jo/cgi/viewcontent.cgi?params=/context/isl/article/2259/&amp;path_info=k6d897d97e2m7b.pdf</b:URL>
    <b:RefOrder>39</b:RefOrder>
  </b:Source>
  <b:Source>
    <b:Tag>Ale18</b:Tag>
    <b:SourceType>JournalArticle</b:SourceType>
    <b:Guid>{C0065B81-D566-46D5-A880-DB52BB274955}</b:Guid>
    <b:Author>
      <b:Author>
        <b:NameList>
          <b:Person>
            <b:Last>Alenazi</b:Last>
            <b:First>Essa</b:First>
            <b:Middle>Othman</b:Middle>
          </b:Person>
        </b:NameList>
      </b:Author>
    </b:Author>
    <b:Title>Using BIM for Delay Management in Public Sector Construction Projects in KSA</b:Title>
    <b:Year>2018</b:Year>
    <b:URL>https://core.ac.uk/download/pdf/288351422.pdf</b:URL>
    <b:RefOrder>40</b:RefOrder>
  </b:Source>
  <b:Source>
    <b:Tag>AlY19</b:Tag>
    <b:SourceType>JournalArticle</b:SourceType>
    <b:Guid>{473A7C61-DD7D-42B1-B4B1-25EF8A70F206}</b:Guid>
    <b:Author>
      <b:Author>
        <b:NameList>
          <b:Person>
            <b:Last>Al-Yami</b:Last>
            <b:First>Abdullah</b:First>
          </b:Person>
        </b:NameList>
      </b:Author>
    </b:Author>
    <b:Title>BIM in the Saudi Arabian construction industry: state of the art, benefit and barriers</b:Title>
    <b:Year>2019</b:Year>
    <b:URL>https://www.emerald.com/insight/content/doi/10.1108/IJBPA-08-2018-0065/full/html</b:URL>
    <b:RefOrder>41</b:RefOrder>
  </b:Source>
  <b:Source>
    <b:Tag>Abo24</b:Tag>
    <b:SourceType>JournalArticle</b:SourceType>
    <b:Guid>{09343C6B-525F-48FA-A122-F1C267643073}</b:Guid>
    <b:Author>
      <b:Author>
        <b:NameList>
          <b:Person>
            <b:Last>Abougamil</b:Last>
            <b:First>Reda</b:First>
            <b:Middle>Abdelshafy</b:Middle>
          </b:Person>
        </b:NameList>
      </b:Author>
    </b:Author>
    <b:Title>An Investigation of BIM Advantages in Analysing Claims Procedures Related to the Extension of Time and Money in the KSA Construction Industry</b:Title>
    <b:Year>2024</b:Year>
    <b:URL>https://www.mdpi.com/2075-5309/14/2/426</b:URL>
    <b:RefOrder>42</b:RefOrder>
  </b:Source>
  <b:Source>
    <b:Tag>Ala23</b:Tag>
    <b:SourceType>JournalArticle</b:SourceType>
    <b:Guid>{AC56A63A-B31F-4C01-8749-89A9E2EBE96B}</b:Guid>
    <b:Author>
      <b:Author>
        <b:NameList>
          <b:Person>
            <b:Last>Alanazi</b:Last>
            <b:First>Fayez</b:First>
          </b:Person>
        </b:NameList>
      </b:Author>
    </b:Author>
    <b:Title>Development of Smart Mobility Infrastructure in Saudi Arabia: A Benchmarking Approach</b:Title>
    <b:Year>2023</b:Year>
    <b:URL>https://www.mdpi.com/2071-1050/15/4/3158</b:URL>
    <b:RefOrder>43</b:RefOrder>
  </b:Source>
  <b:Source>
    <b:Tag>Ura24</b:Tag>
    <b:SourceType>JournalArticle</b:SourceType>
    <b:Guid>{FB39A216-8A5B-4109-BF2F-7EA7EC5AD1AF}</b:Guid>
    <b:Author>
      <b:Author>
        <b:NameList>
          <b:Person>
            <b:Last>Uraif</b:Last>
            <b:First>Amani</b:First>
          </b:Person>
        </b:NameList>
      </b:Author>
    </b:Author>
    <b:Title>Developing Healthcare Infrastructure in Saudi Arabia Using Smart Technologies: Challenges and Opportunities</b:Title>
    <b:Year>2024</b:Year>
    <b:URL>https://www.scirp.org/journal/paperinformation?paperid=134984</b:URL>
    <b:RefOrder>44</b:RefOrder>
  </b:Source>
  <b:Source>
    <b:Tag>Ozm23</b:Tag>
    <b:SourceType>JournalArticle</b:SourceType>
    <b:Guid>{77A7FE36-ECA2-42F1-B357-64C273CC7B58}</b:Guid>
    <b:Author>
      <b:Author>
        <b:NameList>
          <b:Person>
            <b:Last>Ozmen</b:Last>
            <b:First>Hayri</b:First>
            <b:Middle>Baytan</b:Middle>
          </b:Person>
        </b:NameList>
      </b:Author>
    </b:Author>
    <b:Title>Risk Factors for Time and Cost Overruns of Pipeline Projects in Saudi Arabia</b:Title>
    <b:Year>2023</b:Year>
    <b:URL>https://onlinelibrary.wiley.com/doi/full/10.1155/2023/9497451</b:URL>
    <b:RefOrder>45</b:RefOrder>
  </b:Source>
  <b:Source>
    <b:Tag>AMA24</b:Tag>
    <b:SourceType>JournalArticle</b:SourceType>
    <b:Guid>{4CB80BA9-28C4-45B7-BCBD-3880422ED517}</b:Guid>
    <b:Author>
      <b:Author>
        <b:NameList>
          <b:Person>
            <b:Last>AM</b:Last>
            <b:First>Alsugair</b:First>
          </b:Person>
        </b:NameList>
      </b:Author>
    </b:Author>
    <b:Title>An integrated DEMATEL and system dynamic model for project cost prediction.</b:Title>
    <b:Year>2024</b:Year>
    <b:URL>https://europepmc.org/article/pmc/pmc10881366</b:URL>
    <b:RefOrder>46</b:RefOrder>
  </b:Source>
  <b:Source>
    <b:Tag>Owa24</b:Tag>
    <b:SourceType>JournalArticle</b:SourceType>
    <b:Guid>{63545153-D39C-473C-9BCC-3C01AF8D0744}</b:Guid>
    <b:Author>
      <b:Author>
        <b:NameList>
          <b:Person>
            <b:Last>Owaimer</b:Last>
            <b:First>Abdullah</b:First>
          </b:Person>
        </b:NameList>
      </b:Author>
    </b:Author>
    <b:Title>Industry 4.0 technologies: an examination of benefits, challenges and critical success factors for implementation in the Saudi construction industry</b:Title>
    <b:Year>2024</b:Year>
    <b:URL>https://www.emerald.com/insight/content/doi/10.1108/CI-01-2024-0001/full/html</b:URL>
    <b:RefOrder>47</b:RefOrder>
  </b:Source>
  <b:Source>
    <b:Tag>Bar23</b:Tag>
    <b:SourceType>JournalArticle</b:SourceType>
    <b:Guid>{FBC36D0A-44D6-47F0-895C-A329F0309B80}</b:Guid>
    <b:Author>
      <b:Author>
        <b:NameList>
          <b:Person>
            <b:Last>Barcaui</b:Last>
            <b:First>André</b:First>
          </b:Person>
        </b:NameList>
      </b:Author>
    </b:Author>
    <b:Title>Who is better in project planning?Generative artificial intelligence or project managers?</b:Title>
    <b:Year>2023</b:Year>
    <b:URL>https://www.sciencedirect.com/science/article/pii/S2666721523000224</b:URL>
    <b:RefOrder>48</b:RefOrder>
  </b:Source>
  <b:Source>
    <b:Tag>Pap23</b:Tag>
    <b:SourceType>JournalArticle</b:SourceType>
    <b:Guid>{2F479E16-2D38-435D-A168-F78E200E65B0}</b:Guid>
    <b:Author>
      <b:Author>
        <b:NameList>
          <b:Person>
            <b:Last>Papagiannidis</b:Last>
            <b:First>Emmanouil</b:First>
          </b:Person>
        </b:NameList>
      </b:Author>
    </b:Author>
    <b:Title>Uncovering the dark side of AI-based decision-making: A case study in a B2B context</b:Title>
    <b:Year>2023</b:Year>
    <b:URL>https://www.sciencedirect.com/science/article/pii/S0019850123001931</b:URL>
    <b:RefOrder>49</b:RefOrder>
  </b:Source>
  <b:Source>
    <b:Tag>Dub24</b:Tag>
    <b:SourceType>JournalArticle</b:SourceType>
    <b:Guid>{7E0179D4-3B53-4A2D-B6DF-001EB7F541FC}</b:Guid>
    <b:Author>
      <b:Author>
        <b:NameList>
          <b:Person>
            <b:Last>Dubey</b:Last>
            <b:First>Rameshwar</b:First>
          </b:Person>
        </b:NameList>
      </b:Author>
    </b:Author>
    <b:Title>Alliances and digital transformation are crucial for benefiting from dynamic supply chain capabilities during times of crisis: A multi-method study</b:Title>
    <b:Year>2024</b:Year>
    <b:URL>https://www.sciencedirect.com/science/article/pii/S0925527324000239</b:URL>
    <b:RefOrder>50</b:RefOrder>
  </b:Source>
</b:Sources>
</file>

<file path=customXml/itemProps1.xml><?xml version="1.0" encoding="utf-8"?>
<ds:datastoreItem xmlns:ds="http://schemas.openxmlformats.org/officeDocument/2006/customXml" ds:itemID="{7A7B7288-67E2-4F95-86AE-8F971262A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8153</Words>
  <Characters>46476</Characters>
  <Application>Microsoft Office Word</Application>
  <DocSecurity>0</DocSecurity>
  <Lines>387</Lines>
  <Paragraphs>109</Paragraphs>
  <ScaleCrop>false</ScaleCrop>
  <Company/>
  <LinksUpToDate>false</LinksUpToDate>
  <CharactersWithSpaces>54520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MAHMOUD TALIB</cp:lastModifiedBy>
  <cp:revision>2</cp:revision>
  <dcterms:created xsi:type="dcterms:W3CDTF">2024-11-16T07:16:00Z</dcterms:created>
  <dcterms:modified xsi:type="dcterms:W3CDTF">2024-11-16T07:16:00Z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a7e8b8292f574205b60297b9853177a8</vt:lpwstr>
  </property>
</Properties>
</file>