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370F97F" w:rsidR="00EA22ED" w:rsidRDefault="00496F4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587443" w:rsidR="00EA22ED" w:rsidRDefault="00496F4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C417FD2" w:rsidR="00EA22ED" w:rsidRDefault="0042538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7D166AB" w:rsidR="00EA22ED" w:rsidRDefault="0042538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75C7D9E" w:rsidR="00EA22ED" w:rsidRDefault="0042538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24C0BE4" w:rsidR="00EA22ED" w:rsidRDefault="0042538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A70D61D" w:rsidR="00EA22ED" w:rsidRDefault="0042538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5D2D76D" w:rsidR="00EA22ED" w:rsidRDefault="0042538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49F2F9D" w:rsidR="00EA22ED" w:rsidRDefault="0042538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9F26AA9" w:rsidR="00EA22ED" w:rsidRDefault="0042538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3F299F4" w:rsidR="00EA22ED" w:rsidRDefault="0042538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D090732" w:rsidR="00EA22ED" w:rsidRDefault="0042538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E65F609" w:rsidR="00EA22ED" w:rsidRDefault="0042538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3F5A0984" w:rsidR="00EA22ED" w:rsidRDefault="00425383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كتابة المراجع بطريقة أكاديمية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425383"/>
    <w:rsid w:val="00496F4A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2024-09-10T11:27:00Z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