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2BFCEF">
      <w:pPr>
        <w:pStyle w:val="9"/>
        <w:bidi w:val="0"/>
        <w:rPr>
          <w:lang w:bidi="ar-JO"/>
        </w:rPr>
      </w:pPr>
      <w:r>
        <w:rPr>
          <w:lang w:bidi="ar-JO"/>
        </w:rPr>
        <w:t>The Impact of Organizational Culture on the Effectiveness of Risk Management among Health Care Workers in King Faisal Specialist Hospital &amp; Research Centre</w:t>
      </w:r>
    </w:p>
    <w:p w14:paraId="6352274E">
      <w:pPr>
        <w:bidi w:val="0"/>
        <w:spacing w:before="0" w:after="200" w:line="480" w:lineRule="auto"/>
        <w:ind w:firstLine="0"/>
        <w:rPr>
          <w:rFonts w:eastAsia="Calibri" w:asciiTheme="majorBidi" w:hAnsiTheme="majorBidi" w:cstheme="majorBidi"/>
          <w:color w:val="000000" w:themeColor="text1"/>
          <w:szCs w:val="24"/>
          <w14:textFill>
            <w14:solidFill>
              <w14:schemeClr w14:val="tx1"/>
            </w14:solidFill>
          </w14:textFill>
        </w:rPr>
      </w:pPr>
    </w:p>
    <w:p w14:paraId="61BAD624">
      <w:pPr>
        <w:bidi w:val="0"/>
        <w:ind w:firstLine="0"/>
        <w:jc w:val="left"/>
        <w:rPr>
          <w:rFonts w:eastAsia="Calibri" w:asciiTheme="majorBidi" w:hAnsiTheme="majorBidi" w:cstheme="majorBidi"/>
          <w:b/>
          <w:color w:val="00000A"/>
          <w:szCs w:val="24"/>
        </w:rPr>
      </w:pPr>
    </w:p>
    <w:p w14:paraId="01C3A72A">
      <w:pPr>
        <w:tabs>
          <w:tab w:val="left" w:pos="567"/>
          <w:tab w:val="left" w:pos="2610"/>
          <w:tab w:val="left" w:pos="3960"/>
        </w:tabs>
        <w:bidi w:val="0"/>
        <w:spacing w:line="480" w:lineRule="auto"/>
        <w:ind w:firstLine="0"/>
        <w:rPr>
          <w:b/>
          <w:bCs/>
          <w:szCs w:val="24"/>
        </w:rPr>
        <w:sectPr>
          <w:footerReference r:id="rId8" w:type="first"/>
          <w:headerReference r:id="rId5" w:type="default"/>
          <w:footerReference r:id="rId6" w:type="default"/>
          <w:footerReference r:id="rId7" w:type="even"/>
          <w:pgSz w:w="11906" w:h="16838"/>
          <w:pgMar w:top="1440" w:right="1440" w:bottom="1440" w:left="1440" w:header="720" w:footer="720" w:gutter="0"/>
          <w:pgNumType w:fmt="lowerRoman" w:start="1"/>
          <w:cols w:space="720" w:num="1"/>
          <w:titlePg/>
          <w:docGrid w:linePitch="408" w:charSpace="0"/>
        </w:sectPr>
      </w:pPr>
    </w:p>
    <w:p w14:paraId="2DE3830C">
      <w:pPr>
        <w:keepNext/>
        <w:overflowPunct w:val="0"/>
        <w:autoSpaceDE w:val="0"/>
        <w:autoSpaceDN w:val="0"/>
        <w:adjustRightInd w:val="0"/>
        <w:spacing w:before="240" w:after="60" w:line="360" w:lineRule="auto"/>
        <w:ind w:firstLine="26"/>
        <w:jc w:val="center"/>
        <w:textAlignment w:val="baseline"/>
        <w:outlineLvl w:val="1"/>
        <w:rPr>
          <w:rFonts w:eastAsia="Calibri" w:asciiTheme="majorBidi" w:hAnsiTheme="majorBidi" w:cstheme="majorBidi"/>
          <w:b/>
          <w:bCs/>
          <w:szCs w:val="24"/>
          <w:lang w:eastAsia="ar-SA" w:bidi="ar-SA"/>
        </w:rPr>
      </w:pPr>
    </w:p>
    <w:p w14:paraId="3041DDF7">
      <w:pPr>
        <w:keepNext/>
        <w:overflowPunct w:val="0"/>
        <w:autoSpaceDE w:val="0"/>
        <w:autoSpaceDN w:val="0"/>
        <w:adjustRightInd w:val="0"/>
        <w:spacing w:before="240" w:after="60" w:line="360" w:lineRule="auto"/>
        <w:ind w:firstLine="26"/>
        <w:jc w:val="center"/>
        <w:textAlignment w:val="baseline"/>
        <w:outlineLvl w:val="1"/>
        <w:rPr>
          <w:rFonts w:eastAsia="Calibri" w:asciiTheme="majorBidi" w:hAnsiTheme="majorBidi" w:cstheme="majorBidi"/>
          <w:b/>
          <w:bCs/>
          <w:szCs w:val="24"/>
          <w:lang w:eastAsia="ar-SA" w:bidi="ar-SA"/>
        </w:rPr>
      </w:pPr>
      <w:bookmarkStart w:id="0" w:name="_Toc105955077"/>
      <w:r>
        <w:rPr>
          <w:rFonts w:eastAsia="Calibri" w:asciiTheme="majorBidi" w:hAnsiTheme="majorBidi" w:cstheme="majorBidi"/>
          <w:b/>
          <w:bCs/>
          <w:szCs w:val="24"/>
          <w:lang w:eastAsia="ar-SA" w:bidi="ar-SA"/>
        </w:rPr>
        <w:t>ABSTRACT</w:t>
      </w:r>
      <w:bookmarkEnd w:id="0"/>
    </w:p>
    <w:p w14:paraId="6B40D0E4">
      <w:pPr>
        <w:tabs>
          <w:tab w:val="left" w:pos="567"/>
        </w:tabs>
        <w:bidi w:val="0"/>
        <w:spacing w:line="360" w:lineRule="auto"/>
        <w:ind w:firstLine="0"/>
        <w:rPr>
          <w:rFonts w:eastAsia="Times New Roman" w:cs="Times New Roman"/>
          <w:color w:val="000000" w:themeColor="text1"/>
          <w:szCs w:val="24"/>
          <w:lang w:bidi="en-US"/>
          <w14:textFill>
            <w14:solidFill>
              <w14:schemeClr w14:val="tx1"/>
            </w14:solidFill>
          </w14:textFill>
        </w:rPr>
      </w:pPr>
      <w:r>
        <w:rPr>
          <w:rFonts w:eastAsia="Calibri" w:cs="Times New Roman"/>
          <w:color w:val="00000A"/>
          <w:szCs w:val="24"/>
          <w:lang w:eastAsia="ar-SA" w:bidi="ar-SA"/>
        </w:rPr>
        <w:t>This study explores the impact of organizational culture on the effectiveness of risk management among healthcare workers at King Faisal Specialist Hospital &amp; Research Centre (KFSHRC), Saudi Arabia’s top-ranked medical institution. As healthcare increasingly integrates advanced technologies, a supportive and transparent organizational culture becomes critical for managing clinical risks effectively. Despite KFSHRC’s global acclaim and alignment with Saudi Vision 2030, little is known about how its internal culture affects staff engagement with safety protocols and risk mitigation. Using a cross-sectional survey adapted from AHRQ tools, this research aims to measure the prevalence and dimensions of risk culture among healthcare workers, analyze correlations between organizational culture and risk management efficacy, and provide data-driven recommendations. The findings will guide institutional leadership in enhancing patient safety outcomes, aligning risk protocols with global best practices, and overcoming cultural barriers to safety reporting</w:t>
      </w:r>
      <w:r>
        <w:rPr>
          <w:rFonts w:eastAsia="Calibri" w:cs="Times New Roman"/>
          <w:bCs/>
          <w:color w:val="00000A"/>
          <w:szCs w:val="24"/>
          <w:lang w:eastAsia="ar-SA" w:bidi="ar-SA"/>
        </w:rPr>
        <w:t>.</w:t>
      </w:r>
    </w:p>
    <w:p w14:paraId="414CE873">
      <w:pPr>
        <w:tabs>
          <w:tab w:val="left" w:pos="567"/>
        </w:tabs>
        <w:bidi w:val="0"/>
        <w:spacing w:line="360" w:lineRule="auto"/>
        <w:ind w:firstLine="0"/>
        <w:rPr>
          <w:rFonts w:eastAsia="Calibri" w:cs="Times New Roman"/>
          <w:i/>
          <w:szCs w:val="24"/>
        </w:rPr>
      </w:pPr>
      <w:r>
        <w:rPr>
          <w:rFonts w:eastAsia="Calibri" w:cs="Times New Roman"/>
          <w:b/>
          <w:bCs/>
          <w:color w:val="2E2E2E"/>
          <w:szCs w:val="24"/>
        </w:rPr>
        <w:t>Keywords</w:t>
      </w:r>
      <w:r>
        <w:rPr>
          <w:rFonts w:eastAsia="Calibri" w:cs="Times New Roman"/>
          <w:color w:val="2E2E2E"/>
          <w:szCs w:val="24"/>
        </w:rPr>
        <w:t xml:space="preserve">: </w:t>
      </w:r>
      <w:r>
        <w:rPr>
          <w:rFonts w:eastAsia="Calibri" w:cs="Times New Roman"/>
          <w:iCs/>
          <w:color w:val="2E2E2E"/>
          <w:szCs w:val="24"/>
        </w:rPr>
        <w:t>Organizational culture, risk management, patient safety, healthcare workers, safety culture, King Faisal Specialist Hospital, Saudi Vision 2030, health systems, risk reporting, hospital safety survey.</w:t>
      </w:r>
    </w:p>
    <w:p w14:paraId="3764F4C6">
      <w:pPr>
        <w:tabs>
          <w:tab w:val="left" w:pos="567"/>
        </w:tabs>
        <w:bidi w:val="0"/>
        <w:spacing w:line="360" w:lineRule="auto"/>
        <w:ind w:firstLine="0"/>
        <w:rPr>
          <w:rFonts w:eastAsia="Calibri" w:cs="Times New Roman"/>
          <w:i/>
          <w:szCs w:val="24"/>
        </w:rPr>
        <w:sectPr>
          <w:pgSz w:w="11906" w:h="16838"/>
          <w:pgMar w:top="1440" w:right="1440" w:bottom="1440" w:left="1440" w:header="720" w:footer="720" w:gutter="0"/>
          <w:pgNumType w:fmt="lowerRoman" w:start="1"/>
          <w:cols w:space="720" w:num="1"/>
          <w:titlePg/>
          <w:docGrid w:linePitch="408" w:charSpace="0"/>
        </w:sectPr>
      </w:pPr>
    </w:p>
    <w:p w14:paraId="0BF27141">
      <w:pPr>
        <w:keepNext/>
        <w:overflowPunct w:val="0"/>
        <w:autoSpaceDE w:val="0"/>
        <w:autoSpaceDN w:val="0"/>
        <w:adjustRightInd w:val="0"/>
        <w:spacing w:before="240" w:after="60" w:line="360" w:lineRule="auto"/>
        <w:ind w:firstLine="0"/>
        <w:jc w:val="center"/>
        <w:textAlignment w:val="baseline"/>
        <w:outlineLvl w:val="1"/>
        <w:rPr>
          <w:rFonts w:eastAsia="Calibri" w:asciiTheme="majorBidi" w:hAnsiTheme="majorBidi" w:cstheme="majorBidi"/>
          <w:b/>
          <w:bCs/>
          <w:szCs w:val="24"/>
          <w:lang w:eastAsia="ar-SA" w:bidi="ar-SA"/>
        </w:rPr>
      </w:pPr>
      <w:bookmarkStart w:id="1" w:name="_Toc105955078"/>
      <w:r>
        <w:rPr>
          <w:rFonts w:eastAsia="Calibri" w:asciiTheme="majorBidi" w:hAnsiTheme="majorBidi" w:cstheme="majorBidi"/>
          <w:b/>
          <w:bCs/>
          <w:szCs w:val="24"/>
          <w:lang w:eastAsia="ar-SA" w:bidi="ar-SA"/>
        </w:rPr>
        <w:t>ACKNOWLEDGEMENT</w:t>
      </w:r>
      <w:bookmarkEnd w:id="1"/>
    </w:p>
    <w:p w14:paraId="0B5E1F30">
      <w:pPr>
        <w:bidi w:val="0"/>
        <w:spacing w:line="360" w:lineRule="auto"/>
        <w:ind w:firstLine="720"/>
        <w:rPr>
          <w:szCs w:val="24"/>
        </w:rPr>
      </w:pPr>
      <w:r>
        <w:rPr>
          <w:szCs w:val="24"/>
        </w:rPr>
        <w:t xml:space="preserve">I would like to express my deepest gratitude to </w:t>
      </w:r>
      <w:r>
        <w:rPr>
          <w:b/>
          <w:bCs/>
          <w:szCs w:val="24"/>
        </w:rPr>
        <w:t>Dr. Faisal Abdulhamid</w:t>
      </w:r>
      <w:r>
        <w:rPr>
          <w:szCs w:val="24"/>
        </w:rPr>
        <w:t xml:space="preserve"> and </w:t>
      </w:r>
      <w:r>
        <w:rPr>
          <w:b/>
          <w:bCs/>
          <w:szCs w:val="24"/>
        </w:rPr>
        <w:t>Dr. Faiz Jarad</w:t>
      </w:r>
      <w:r>
        <w:rPr>
          <w:szCs w:val="24"/>
        </w:rPr>
        <w:t xml:space="preserve"> for their invaluable supervision, guidance, and support throughout the development of this research protocol. Their expertise and encouragement have greatly enriched my academic journey. </w:t>
      </w:r>
    </w:p>
    <w:p w14:paraId="41AD9841">
      <w:pPr>
        <w:bidi w:val="0"/>
        <w:spacing w:line="360" w:lineRule="auto"/>
        <w:ind w:firstLine="720"/>
        <w:rPr>
          <w:szCs w:val="24"/>
        </w:rPr>
      </w:pPr>
      <w:r>
        <w:rPr>
          <w:szCs w:val="24"/>
        </w:rPr>
        <w:t xml:space="preserve">I am also thankful to the administration and staff of </w:t>
      </w:r>
      <w:r>
        <w:rPr>
          <w:b/>
          <w:bCs/>
          <w:szCs w:val="24"/>
        </w:rPr>
        <w:t>King Faisal Specialist Hospital &amp; Research Centre</w:t>
      </w:r>
      <w:r>
        <w:rPr>
          <w:szCs w:val="24"/>
        </w:rPr>
        <w:t xml:space="preserve"> for their anticipated cooperation and support during the data collection phase. </w:t>
      </w:r>
    </w:p>
    <w:p w14:paraId="7004DE04">
      <w:pPr>
        <w:bidi w:val="0"/>
        <w:spacing w:line="360" w:lineRule="auto"/>
        <w:ind w:firstLine="720"/>
        <w:rPr>
          <w:szCs w:val="24"/>
        </w:rPr>
      </w:pPr>
      <w:r>
        <w:rPr>
          <w:szCs w:val="24"/>
        </w:rPr>
        <w:t>My sincere gratitude to all of my study participants who agreed to participate in my research and who worked cooperatively throughout the data collection process</w:t>
      </w:r>
      <w:r>
        <w:rPr>
          <w:szCs w:val="24"/>
          <w:rtl/>
        </w:rPr>
        <w:t>.</w:t>
      </w:r>
    </w:p>
    <w:p w14:paraId="1FB336BB">
      <w:pPr>
        <w:bidi w:val="0"/>
        <w:spacing w:line="360" w:lineRule="auto"/>
        <w:ind w:firstLine="720"/>
        <w:rPr>
          <w:szCs w:val="24"/>
        </w:rPr>
      </w:pPr>
      <w:r>
        <w:rPr>
          <w:szCs w:val="24"/>
        </w:rPr>
        <w:t>My heartfelt gratitude to my entire family, whose love, encouragement, and blessings always made me feel that I could complete my studies without difficulty</w:t>
      </w:r>
      <w:r>
        <w:rPr>
          <w:szCs w:val="24"/>
          <w:rtl/>
        </w:rPr>
        <w:t>.</w:t>
      </w:r>
    </w:p>
    <w:p w14:paraId="39476D5D">
      <w:pPr>
        <w:bidi w:val="0"/>
        <w:spacing w:line="360" w:lineRule="auto"/>
        <w:ind w:firstLine="720"/>
        <w:rPr>
          <w:szCs w:val="24"/>
        </w:rPr>
      </w:pPr>
      <w:r>
        <w:rPr>
          <w:szCs w:val="24"/>
        </w:rPr>
        <w:t>I can't thank all of my friends, peers and coworkers enough for their efforts throughout this project</w:t>
      </w:r>
      <w:r>
        <w:rPr>
          <w:szCs w:val="24"/>
          <w:rtl/>
        </w:rPr>
        <w:t>.</w:t>
      </w:r>
    </w:p>
    <w:p w14:paraId="043B62EE">
      <w:pPr>
        <w:bidi w:val="0"/>
        <w:spacing w:line="360" w:lineRule="auto"/>
        <w:ind w:firstLine="720"/>
        <w:rPr>
          <w:szCs w:val="24"/>
        </w:rPr>
      </w:pPr>
      <w:r>
        <w:rPr>
          <w:szCs w:val="24"/>
        </w:rPr>
        <w:t>Finally, I want to express my gratitude to everyone who has assisted me in completing my successful project, whether directly or indirectly.</w:t>
      </w:r>
    </w:p>
    <w:p w14:paraId="754EE547">
      <w:pPr>
        <w:bidi w:val="0"/>
        <w:spacing w:line="360" w:lineRule="auto"/>
        <w:ind w:firstLine="0"/>
        <w:rPr>
          <w:sz w:val="28"/>
          <w:szCs w:val="28"/>
        </w:rPr>
      </w:pPr>
    </w:p>
    <w:p w14:paraId="0D6884FF">
      <w:pPr>
        <w:tabs>
          <w:tab w:val="left" w:pos="630"/>
        </w:tabs>
        <w:bidi w:val="0"/>
        <w:spacing w:before="0" w:after="160" w:line="480" w:lineRule="auto"/>
        <w:ind w:left="360" w:firstLine="0"/>
        <w:contextualSpacing/>
        <w:rPr>
          <w:rFonts w:eastAsia="Calibri" w:cs="Times New Roman"/>
          <w:b/>
          <w:bCs/>
          <w:color w:val="000000"/>
          <w:szCs w:val="24"/>
          <w:lang w:bidi="ar-SA"/>
        </w:rPr>
        <w:sectPr>
          <w:footerReference r:id="rId9" w:type="first"/>
          <w:pgSz w:w="11906" w:h="16838"/>
          <w:pgMar w:top="1440" w:right="1440" w:bottom="1440" w:left="1440" w:header="720" w:footer="720" w:gutter="0"/>
          <w:pgNumType w:fmt="lowerRoman" w:start="1"/>
          <w:cols w:space="720" w:num="1"/>
          <w:titlePg/>
          <w:docGrid w:linePitch="408" w:charSpace="0"/>
        </w:sectPr>
      </w:pPr>
    </w:p>
    <w:p w14:paraId="13794B21">
      <w:pPr>
        <w:pStyle w:val="2"/>
      </w:pPr>
      <w:bookmarkStart w:id="2" w:name="_Toc50369653"/>
      <w:bookmarkStart w:id="3" w:name="_Toc105955083"/>
      <w:bookmarkStart w:id="4" w:name="_Toc50369651"/>
      <w:bookmarkStart w:id="5" w:name="_Toc45026478"/>
      <w:r>
        <w:t xml:space="preserve">CHAPTER </w:t>
      </w:r>
      <w:bookmarkEnd w:id="2"/>
      <w:r>
        <w:t>I: Introduction, Background and rationale and Research Context</w:t>
      </w:r>
      <w:bookmarkEnd w:id="3"/>
    </w:p>
    <w:p w14:paraId="60B7E069">
      <w:pPr>
        <w:tabs>
          <w:tab w:val="left" w:pos="630"/>
        </w:tabs>
        <w:bidi w:val="0"/>
        <w:spacing w:before="0" w:after="160" w:line="480" w:lineRule="auto"/>
        <w:ind w:firstLine="0"/>
        <w:rPr>
          <w:rFonts w:eastAsia="Calibri" w:cs="Times New Roman"/>
          <w:szCs w:val="24"/>
          <w:lang w:val="en-GB" w:bidi="ar-SA"/>
        </w:rPr>
      </w:pPr>
    </w:p>
    <w:p w14:paraId="14DDE922">
      <w:pPr>
        <w:tabs>
          <w:tab w:val="left" w:pos="630"/>
        </w:tabs>
        <w:bidi w:val="0"/>
        <w:spacing w:before="0" w:after="160" w:line="480" w:lineRule="auto"/>
        <w:ind w:firstLine="0"/>
        <w:rPr>
          <w:rFonts w:eastAsia="Calibri" w:cs="Times New Roman"/>
          <w:szCs w:val="24"/>
          <w:lang w:val="en-GB" w:bidi="ar-SA"/>
        </w:rPr>
      </w:pPr>
      <w:r>
        <w:rPr>
          <w:rFonts w:eastAsia="Calibri" w:cs="Times New Roman"/>
          <w:szCs w:val="24"/>
          <w:lang w:val="en-GB" w:bidi="ar-SA"/>
        </w:rPr>
        <w:t>This chapter describes the identified research problem and statement of the problem and justifies the significance of the delineated problem.</w:t>
      </w:r>
    </w:p>
    <w:p w14:paraId="0D44B82E">
      <w:pPr>
        <w:pStyle w:val="3"/>
        <w:numPr>
          <w:ilvl w:val="0"/>
          <w:numId w:val="0"/>
        </w:numPr>
        <w:ind w:left="720" w:hanging="720"/>
      </w:pPr>
      <w:bookmarkStart w:id="6" w:name="_Toc105955084"/>
      <w:r>
        <w:t>Introduction</w:t>
      </w:r>
      <w:bookmarkEnd w:id="6"/>
    </w:p>
    <w:p w14:paraId="550AADC4">
      <w:pPr>
        <w:bidi w:val="0"/>
        <w:spacing w:before="240" w:after="240" w:line="480" w:lineRule="auto"/>
        <w:ind w:firstLine="720"/>
        <w:rPr>
          <w:rFonts w:eastAsia="Calibri"/>
          <w:b/>
          <w:bCs/>
          <w:szCs w:val="24"/>
        </w:rPr>
      </w:pPr>
      <w:r>
        <w:rPr>
          <w:rFonts w:eastAsia="Calibri"/>
          <w:szCs w:val="24"/>
        </w:rPr>
        <w:t xml:space="preserve">In today’s rapidly evolving healthcare environment, risk management has become a central pillar of patient safety and operational quality </w:t>
      </w:r>
      <w:r>
        <w:rPr>
          <w:rFonts w:asciiTheme="majorBidi" w:hAnsiTheme="majorBidi" w:cstheme="majorBidi"/>
          <w:b/>
          <w:bCs/>
          <w:szCs w:val="24"/>
          <w:lang w:bidi="en-US"/>
        </w:rPr>
        <w:t>(Kim &amp; Jung, 2022)</w:t>
      </w:r>
      <w:r>
        <w:rPr>
          <w:rFonts w:eastAsia="Calibri"/>
          <w:szCs w:val="24"/>
        </w:rPr>
        <w:t xml:space="preserve">. While many healthcare institutions adopt official policies and systems for managing clinical and organizational risks, their true effectiveness often depends not solely on protocols but on the prevailing organizational culture and the behaviors of healthcare professionals </w:t>
      </w:r>
      <w:r>
        <w:rPr>
          <w:rFonts w:asciiTheme="majorBidi" w:hAnsiTheme="majorBidi" w:cstheme="majorBidi"/>
          <w:b/>
          <w:bCs/>
          <w:szCs w:val="24"/>
          <w:lang w:bidi="en-US"/>
        </w:rPr>
        <w:t>(Mendes &amp; França, 2024)</w:t>
      </w:r>
      <w:r>
        <w:rPr>
          <w:rFonts w:eastAsia="Calibri"/>
          <w:szCs w:val="24"/>
        </w:rPr>
        <w:t xml:space="preserve">. A culture that does not support open communication, learning from mistakes, and consistent adherence to safety guidelines may undermine even the most technically robust risk management systems. As hospitals continue to embrace advanced technologies and expand their scope of services, the human factors embedded in cultural attitudes become increasingly critical to sustaining safety outcomes. In particular, healthcare professionals’ awareness and engagement with risk practices directly affect the institution’s ability to mitigate harm and ensure continuous improvement </w:t>
      </w:r>
      <w:r>
        <w:rPr>
          <w:rFonts w:eastAsia="Calibri"/>
          <w:b/>
          <w:bCs/>
          <w:szCs w:val="24"/>
        </w:rPr>
        <w:t xml:space="preserve">(Lee, 2024). </w:t>
      </w:r>
    </w:p>
    <w:p w14:paraId="41130F92">
      <w:pPr>
        <w:bidi w:val="0"/>
        <w:spacing w:before="0" w:after="160" w:line="480" w:lineRule="auto"/>
        <w:ind w:firstLine="0"/>
        <w:rPr>
          <w:rFonts w:eastAsia="Times New Roman" w:asciiTheme="majorBidi" w:hAnsiTheme="majorBidi" w:cstheme="majorBidi"/>
          <w:b/>
          <w:bCs/>
          <w:szCs w:val="24"/>
          <w:u w:val="single"/>
          <w:lang w:bidi="ar-SA"/>
        </w:rPr>
      </w:pPr>
      <w:r>
        <w:rPr>
          <w:rFonts w:eastAsia="Times New Roman" w:cs="Times New Roman" w:asciiTheme="majorBidi" w:hAnsiTheme="majorBidi"/>
          <w:b/>
          <w:bCs/>
          <w:szCs w:val="24"/>
          <w:lang w:bidi="ar-SA"/>
        </w:rPr>
        <w:t>Research Problem</w:t>
      </w:r>
    </w:p>
    <w:p w14:paraId="01928486">
      <w:pPr>
        <w:bidi w:val="0"/>
        <w:spacing w:before="0" w:after="160" w:line="480" w:lineRule="auto"/>
        <w:ind w:firstLine="540"/>
        <w:rPr>
          <w:rFonts w:eastAsia="Calibri"/>
          <w:szCs w:val="24"/>
        </w:rPr>
      </w:pPr>
      <w:r>
        <w:rPr>
          <w:rFonts w:eastAsia="Calibri"/>
          <w:szCs w:val="24"/>
        </w:rPr>
        <w:t xml:space="preserve">Despite the increasing emphasis on patient safety and clinical risk management in modern healthcare systems, many institutions continue to face significant challenges in effectively implementing these strategies. While standardized policies and technologies are essential components, their successful execution depends heavily on the organizational culture—specifically how healthcare workers perceive, interpret, and act upon safety protocols </w:t>
      </w:r>
      <w:r>
        <w:rPr>
          <w:rFonts w:eastAsia="Calibri"/>
          <w:b/>
          <w:bCs/>
          <w:szCs w:val="24"/>
        </w:rPr>
        <w:t>(Tang, 2017).</w:t>
      </w:r>
    </w:p>
    <w:p w14:paraId="6CF2A719">
      <w:pPr>
        <w:bidi w:val="0"/>
        <w:spacing w:before="0" w:after="160" w:line="480" w:lineRule="auto"/>
        <w:ind w:firstLine="540"/>
        <w:rPr>
          <w:rFonts w:eastAsia="Calibri"/>
          <w:szCs w:val="24"/>
        </w:rPr>
      </w:pPr>
      <w:r>
        <w:rPr>
          <w:rFonts w:eastAsia="Calibri"/>
          <w:szCs w:val="24"/>
        </w:rPr>
        <w:t>In Saudi Arabia, numerous studies have explored patient safety culture across various hospitals; however, there is a notable lack of research focused on King Faisal Specialist Hospital &amp; Research Centre (KFSHRC). This institution holds a unique position as the highest-ranked healthcare provider in the Middle East, globally recognized for its innovation in telemedicine, artificial intelligence, and robotic surgery. Yet, the extent to which KFSHRC’s organizational culture supports or hinders effective risk management remains empirically unexamined</w:t>
      </w:r>
      <w:r>
        <w:rPr>
          <w:rFonts w:hint="cs" w:eastAsia="Calibri"/>
          <w:szCs w:val="24"/>
          <w:rtl/>
        </w:rPr>
        <w:t xml:space="preserve"> </w:t>
      </w:r>
      <w:r>
        <w:rPr>
          <w:rFonts w:asciiTheme="majorBidi" w:hAnsiTheme="majorBidi" w:cstheme="majorBidi"/>
          <w:b/>
          <w:bCs/>
          <w:szCs w:val="24"/>
          <w:lang w:bidi="en-US"/>
        </w:rPr>
        <w:t>(Mendes &amp; França, 2024).</w:t>
      </w:r>
    </w:p>
    <w:p w14:paraId="3401608C">
      <w:pPr>
        <w:bidi w:val="0"/>
        <w:spacing w:before="0" w:after="160" w:line="480" w:lineRule="auto"/>
        <w:ind w:firstLine="540"/>
        <w:rPr>
          <w:rFonts w:eastAsia="Calibri"/>
          <w:szCs w:val="24"/>
        </w:rPr>
      </w:pPr>
      <w:r>
        <w:rPr>
          <w:rFonts w:eastAsia="Calibri"/>
          <w:szCs w:val="24"/>
        </w:rPr>
        <w:t xml:space="preserve">This gap is particularly critical given the hospital’s role as a benchmark for clinical excellence and its strategic alignment with </w:t>
      </w:r>
      <w:r>
        <w:rPr>
          <w:rFonts w:eastAsia="Calibri"/>
          <w:b/>
          <w:bCs/>
          <w:szCs w:val="24"/>
        </w:rPr>
        <w:t>Saudi Vision 2030</w:t>
      </w:r>
      <w:r>
        <w:rPr>
          <w:rFonts w:eastAsia="Calibri"/>
          <w:szCs w:val="24"/>
        </w:rPr>
        <w:t>, which seeks to transform the national healthcare sector. The failure to understand and address cultural barriers—such as underreporting of errors, resistance to change, or inconsistent adherence to safety standards—could limit the effectiveness of risk initiatives, even in technologically advanced settings.</w:t>
      </w:r>
    </w:p>
    <w:p w14:paraId="33E1A09E">
      <w:pPr>
        <w:bidi w:val="0"/>
        <w:spacing w:before="0" w:after="160" w:line="480" w:lineRule="auto"/>
        <w:ind w:firstLine="0"/>
        <w:rPr>
          <w:rFonts w:eastAsia="Calibri"/>
          <w:szCs w:val="24"/>
        </w:rPr>
      </w:pPr>
      <w:r>
        <w:rPr>
          <w:rFonts w:eastAsia="Calibri"/>
          <w:szCs w:val="24"/>
        </w:rPr>
        <w:t>Thus, the central research problem is:</w:t>
      </w:r>
    </w:p>
    <w:p w14:paraId="71DBAB5B">
      <w:pPr>
        <w:bidi w:val="0"/>
        <w:spacing w:before="0" w:after="160" w:line="480" w:lineRule="auto"/>
        <w:ind w:firstLine="540"/>
        <w:rPr>
          <w:rFonts w:eastAsia="Calibri"/>
          <w:szCs w:val="24"/>
        </w:rPr>
      </w:pPr>
      <w:r>
        <w:rPr>
          <w:rFonts w:eastAsia="Calibri"/>
          <w:b/>
          <w:bCs/>
          <w:szCs w:val="24"/>
        </w:rPr>
        <w:t>How does the organizational culture at KFSHRC influence the effectiveness of risk management among healthcare workers, and what factors within this culture support or impede the hospital's safety performance?</w:t>
      </w:r>
    </w:p>
    <w:p w14:paraId="613B9AEB">
      <w:pPr>
        <w:bidi w:val="0"/>
        <w:spacing w:before="0" w:after="160" w:line="480" w:lineRule="auto"/>
        <w:ind w:firstLine="540"/>
        <w:rPr>
          <w:rFonts w:eastAsia="Calibri"/>
          <w:szCs w:val="24"/>
        </w:rPr>
      </w:pPr>
      <w:r>
        <w:rPr>
          <w:rFonts w:eastAsia="Calibri"/>
          <w:szCs w:val="24"/>
        </w:rPr>
        <w:t>This study seeks to investigate this problem systematically by examining the perceptions and behaviors of healthcare workers regarding risk management, identifying cultural enablers and obstacles, and providing evidence-based recommendations for improvement</w:t>
      </w:r>
      <w:r>
        <w:rPr>
          <w:rFonts w:eastAsia="Calibri"/>
          <w:szCs w:val="24"/>
          <w:lang w:bidi="en-US"/>
        </w:rPr>
        <w:t>.</w:t>
      </w:r>
    </w:p>
    <w:p w14:paraId="0C82082C">
      <w:pPr>
        <w:bidi w:val="0"/>
        <w:spacing w:before="0" w:after="160" w:line="480" w:lineRule="auto"/>
        <w:ind w:firstLine="0"/>
        <w:rPr>
          <w:rFonts w:eastAsia="Calibri" w:asciiTheme="majorBidi" w:hAnsiTheme="majorBidi" w:cstheme="majorBidi"/>
          <w:b/>
          <w:szCs w:val="24"/>
        </w:rPr>
      </w:pPr>
      <w:r>
        <w:rPr>
          <w:rFonts w:eastAsia="Calibri" w:asciiTheme="majorBidi" w:hAnsiTheme="majorBidi" w:cstheme="majorBidi"/>
          <w:b/>
          <w:szCs w:val="24"/>
        </w:rPr>
        <w:t>Background and Rationale</w:t>
      </w:r>
    </w:p>
    <w:p w14:paraId="412BEA7E">
      <w:pPr>
        <w:bidi w:val="0"/>
        <w:spacing w:line="480" w:lineRule="auto"/>
        <w:rPr>
          <w:rFonts w:asciiTheme="majorBidi" w:hAnsiTheme="majorBidi" w:cstheme="majorBidi"/>
          <w:szCs w:val="24"/>
          <w:lang w:bidi="en-US"/>
        </w:rPr>
      </w:pPr>
      <w:r>
        <w:rPr>
          <w:rFonts w:asciiTheme="majorBidi" w:hAnsiTheme="majorBidi" w:cstheme="majorBidi"/>
          <w:szCs w:val="24"/>
          <w:lang w:bidi="en-US"/>
        </w:rPr>
        <w:t xml:space="preserve">Organizational culture—defined as the shared values, norms, and behaviors that shape how people interact and make decisions—has been consistently linked to performance across sectors, particularly in healthcare settings where safety and risk tolerance must be carefully managed </w:t>
      </w:r>
      <w:r>
        <w:rPr>
          <w:rFonts w:asciiTheme="majorBidi" w:hAnsiTheme="majorBidi" w:cstheme="majorBidi"/>
          <w:b/>
          <w:bCs/>
          <w:szCs w:val="24"/>
          <w:lang w:bidi="en-US"/>
        </w:rPr>
        <w:t>(Akpa et al., 2021).</w:t>
      </w:r>
      <w:r>
        <w:rPr>
          <w:rFonts w:asciiTheme="majorBidi" w:hAnsiTheme="majorBidi" w:cstheme="majorBidi"/>
          <w:szCs w:val="24"/>
          <w:lang w:bidi="en-US"/>
        </w:rPr>
        <w:t xml:space="preserve"> The literature demonstrates that a positive safety culture fosters higher compliance with risk protocols, promotes timely reporting of errors, and encourages collaborative problem-solving, all of which lead to improved patient outcomes and fewer adverse events. According to </w:t>
      </w:r>
      <w:r>
        <w:rPr>
          <w:rFonts w:asciiTheme="majorBidi" w:hAnsiTheme="majorBidi" w:cstheme="majorBidi"/>
          <w:b/>
          <w:bCs/>
          <w:szCs w:val="24"/>
          <w:lang w:bidi="en-US"/>
        </w:rPr>
        <w:t>Denison’s (2004) and Schein’s (1992)</w:t>
      </w:r>
      <w:r>
        <w:rPr>
          <w:rFonts w:asciiTheme="majorBidi" w:hAnsiTheme="majorBidi" w:cstheme="majorBidi"/>
          <w:szCs w:val="24"/>
          <w:lang w:bidi="en-US"/>
        </w:rPr>
        <w:t xml:space="preserve"> models, effective cultures are those with high levels of consistency, adaptability, mission alignment, and involvement. In risk-sensitive domains like hospitals, these attributes influence how employees respond to uncertainty and system vulnerabilities </w:t>
      </w:r>
      <w:r>
        <w:rPr>
          <w:rFonts w:asciiTheme="majorBidi" w:hAnsiTheme="majorBidi" w:cstheme="majorBidi"/>
          <w:b/>
          <w:bCs/>
          <w:szCs w:val="24"/>
          <w:lang w:bidi="en-US"/>
        </w:rPr>
        <w:t>(Mendes &amp; França, 2024).</w:t>
      </w:r>
    </w:p>
    <w:p w14:paraId="65E63D59">
      <w:pPr>
        <w:bidi w:val="0"/>
        <w:spacing w:line="480" w:lineRule="auto"/>
        <w:rPr>
          <w:rFonts w:asciiTheme="majorBidi" w:hAnsiTheme="majorBidi" w:cstheme="majorBidi"/>
          <w:szCs w:val="24"/>
          <w:lang w:bidi="en-US"/>
        </w:rPr>
      </w:pPr>
      <w:r>
        <w:rPr>
          <w:rFonts w:asciiTheme="majorBidi" w:hAnsiTheme="majorBidi" w:cstheme="majorBidi"/>
          <w:szCs w:val="24"/>
          <w:lang w:bidi="en-US"/>
        </w:rPr>
        <w:t xml:space="preserve">Despite widespread acknowledgment of the importance of culture in healthcare risk management, there is a significant gap in empirical research examining this relationship in leading institutions within the Middle East </w:t>
      </w:r>
      <w:r>
        <w:rPr>
          <w:rFonts w:asciiTheme="majorBidi" w:hAnsiTheme="majorBidi" w:cstheme="majorBidi"/>
          <w:b/>
          <w:bCs/>
          <w:szCs w:val="24"/>
          <w:lang w:bidi="en-US"/>
        </w:rPr>
        <w:t>(Yazid et al., 2012).</w:t>
      </w:r>
      <w:r>
        <w:rPr>
          <w:rFonts w:asciiTheme="majorBidi" w:hAnsiTheme="majorBidi" w:cstheme="majorBidi"/>
          <w:szCs w:val="24"/>
          <w:lang w:bidi="en-US"/>
        </w:rPr>
        <w:t xml:space="preserve"> Specifically, King Faisal Specialist Hospital &amp; Research Centre (KFSHRC)—a technologically advanced hospital ranked among the world’s top 20 academic medical centers—has not been extensively studied in terms of how its organizational culture shapes its risk practices. Given its status as a model of excellence within Saudi Arabia’s Vision 2030 transformation plan, understanding how internal cultural dynamics influence safety outcomes is crucial. This research is driven by the need to explore how a globally recognized hospital integrates risk management into its organizational DNA and what lessons can be drawn for other institutions aspiring to similar standards </w:t>
      </w:r>
      <w:r>
        <w:rPr>
          <w:b/>
          <w:bCs/>
        </w:rPr>
        <w:t>(Riaz et al., 2023)</w:t>
      </w:r>
      <w:r>
        <w:rPr>
          <w:rFonts w:asciiTheme="majorBidi" w:hAnsiTheme="majorBidi" w:cstheme="majorBidi"/>
          <w:b/>
          <w:bCs/>
          <w:szCs w:val="24"/>
          <w:lang w:bidi="en-US"/>
        </w:rPr>
        <w:t>.</w:t>
      </w:r>
    </w:p>
    <w:p w14:paraId="224D8A1D">
      <w:pPr>
        <w:bidi w:val="0"/>
        <w:spacing w:line="480" w:lineRule="auto"/>
        <w:ind w:firstLine="0"/>
        <w:rPr>
          <w:rFonts w:asciiTheme="majorBidi" w:hAnsiTheme="majorBidi" w:cstheme="majorBidi"/>
          <w:b/>
          <w:bCs/>
          <w:szCs w:val="24"/>
          <w:lang w:bidi="en-US"/>
        </w:rPr>
      </w:pPr>
      <w:r>
        <w:rPr>
          <w:rFonts w:asciiTheme="majorBidi" w:hAnsiTheme="majorBidi" w:cstheme="majorBidi"/>
          <w:b/>
          <w:bCs/>
          <w:szCs w:val="24"/>
          <w:lang w:bidi="en-US"/>
        </w:rPr>
        <w:t>Research Context</w:t>
      </w:r>
    </w:p>
    <w:p w14:paraId="13B8356F">
      <w:pPr>
        <w:bidi w:val="0"/>
        <w:spacing w:line="480" w:lineRule="auto"/>
        <w:rPr>
          <w:rFonts w:asciiTheme="majorBidi" w:hAnsiTheme="majorBidi" w:cstheme="majorBidi"/>
          <w:szCs w:val="24"/>
          <w:lang w:bidi="en-US"/>
        </w:rPr>
      </w:pPr>
      <w:r>
        <w:rPr>
          <w:rFonts w:asciiTheme="majorBidi" w:hAnsiTheme="majorBidi" w:cstheme="majorBidi"/>
          <w:szCs w:val="24"/>
          <w:lang w:bidi="en-US"/>
        </w:rPr>
        <w:t xml:space="preserve">King Faisal Specialist Hospital &amp; Research Centre (KFSHRC) represents a unique research context for studying the relationship between organizational culture and risk management. As the leading tertiary care and research institution in Saudi Arabia, KFSHRC has achieved global recognition for its deployment of artificial intelligence, robotics, and telemedicine. It has also been listed among the “World’s Best Smart Hospitals 2025,” a designation that underscores its technical and infrastructural sophistication. However, despite these advancements, organizational effectiveness in healthcare still largely depends on cultural factors—how staff perceive risk, how willing they are to report incidents, and how committed leadership is to fostering transparency and learning </w:t>
      </w:r>
      <w:r>
        <w:rPr>
          <w:rFonts w:asciiTheme="majorBidi" w:hAnsiTheme="majorBidi" w:cstheme="majorBidi"/>
          <w:b/>
          <w:bCs/>
          <w:szCs w:val="24"/>
          <w:lang w:bidi="en-US"/>
        </w:rPr>
        <w:t>(Kim &amp; Jung, 2022).</w:t>
      </w:r>
    </w:p>
    <w:p w14:paraId="44768ECA">
      <w:pPr>
        <w:bidi w:val="0"/>
        <w:spacing w:line="480" w:lineRule="auto"/>
        <w:rPr>
          <w:rFonts w:eastAsia="Times New Roman" w:asciiTheme="majorBidi" w:hAnsiTheme="majorBidi" w:cstheme="majorBidi"/>
          <w:b/>
          <w:bCs/>
          <w:szCs w:val="24"/>
          <w:lang w:bidi="ar-SA"/>
        </w:rPr>
      </w:pPr>
      <w:r>
        <w:rPr>
          <w:rFonts w:asciiTheme="majorBidi" w:hAnsiTheme="majorBidi" w:cstheme="majorBidi"/>
          <w:szCs w:val="24"/>
          <w:lang w:bidi="en-US"/>
        </w:rPr>
        <w:t xml:space="preserve">The hospital’s scale, complexity, and global standing make it a representative case for studying the dynamics of organizational culture in a high-stakes, highly regulated healthcare setting. The hospital employs thousands of healthcare professionals across a wide range of disciplines, offering a rich sample for measuring perceptions of risk and culture </w:t>
      </w:r>
      <w:r>
        <w:rPr>
          <w:rFonts w:asciiTheme="majorBidi" w:hAnsiTheme="majorBidi" w:cstheme="majorBidi"/>
          <w:b/>
          <w:bCs/>
          <w:szCs w:val="24"/>
          <w:lang w:bidi="en-US"/>
        </w:rPr>
        <w:t>(Yanka Perkasa &amp; Fardinal, 2021).</w:t>
      </w:r>
      <w:r>
        <w:rPr>
          <w:rFonts w:asciiTheme="majorBidi" w:hAnsiTheme="majorBidi" w:cstheme="majorBidi"/>
          <w:szCs w:val="24"/>
          <w:lang w:bidi="en-US"/>
        </w:rPr>
        <w:t xml:space="preserve"> Moreover, KFSHRC plays a leading role in setting benchmarks for quality and patient safety within the region, making the findings of this study not only institutionally relevant but nationally significant. The study's results are expected to inform hospital leaders and policymakers on how to better align safety initiatives with cultural realities, close gaps between policy and practice, and foster a culture of accountability and continuous learning </w:t>
      </w:r>
      <w:r>
        <w:rPr>
          <w:rFonts w:asciiTheme="majorBidi" w:hAnsiTheme="majorBidi" w:cstheme="majorBidi"/>
          <w:b/>
          <w:bCs/>
          <w:szCs w:val="24"/>
          <w:lang w:bidi="en-US"/>
        </w:rPr>
        <w:t>(Kim &amp; Jung, 2022).</w:t>
      </w:r>
    </w:p>
    <w:p w14:paraId="41E1AB85">
      <w:pPr>
        <w:bidi w:val="0"/>
        <w:spacing w:line="480" w:lineRule="auto"/>
        <w:ind w:firstLine="0"/>
        <w:rPr>
          <w:rFonts w:asciiTheme="majorBidi" w:hAnsiTheme="majorBidi" w:cstheme="majorBidi"/>
          <w:szCs w:val="24"/>
        </w:rPr>
      </w:pPr>
    </w:p>
    <w:p w14:paraId="13A175AB">
      <w:pPr>
        <w:bidi w:val="0"/>
        <w:spacing w:line="480" w:lineRule="auto"/>
        <w:ind w:firstLine="720"/>
        <w:rPr>
          <w:rFonts w:asciiTheme="majorBidi" w:hAnsiTheme="majorBidi" w:cstheme="majorBidi"/>
          <w:szCs w:val="24"/>
          <w:highlight w:val="none"/>
        </w:rPr>
      </w:pPr>
      <w:r>
        <w:rPr>
          <w:rFonts w:asciiTheme="majorBidi" w:hAnsiTheme="majorBidi" w:cstheme="majorBidi"/>
          <w:szCs w:val="24"/>
          <w:highlight w:val="none"/>
        </w:rPr>
        <w:t xml:space="preserve">While foundational theories </w:t>
      </w:r>
      <w:r>
        <w:rPr>
          <w:rFonts w:asciiTheme="majorBidi" w:hAnsiTheme="majorBidi" w:cstheme="majorBidi"/>
          <w:b/>
          <w:bCs/>
          <w:szCs w:val="24"/>
          <w:highlight w:val="none"/>
        </w:rPr>
        <w:t>(Schein, 1992; Denison, 2004)</w:t>
      </w:r>
      <w:r>
        <w:rPr>
          <w:rFonts w:asciiTheme="majorBidi" w:hAnsiTheme="majorBidi" w:cstheme="majorBidi"/>
          <w:szCs w:val="24"/>
          <w:highlight w:val="none"/>
        </w:rPr>
        <w:t xml:space="preserve"> affirm the role of organizational culture in shaping workplace behavior, very few empirical studies have systematically examined how this culture influences the implementation of clinical risk protocols in high-acuity healthcare settings.</w:t>
      </w:r>
    </w:p>
    <w:p w14:paraId="342BEE99">
      <w:pPr>
        <w:bidi w:val="0"/>
        <w:spacing w:line="480" w:lineRule="auto"/>
        <w:ind w:firstLine="720"/>
        <w:rPr>
          <w:rFonts w:asciiTheme="majorBidi" w:hAnsiTheme="majorBidi" w:cstheme="majorBidi"/>
          <w:szCs w:val="24"/>
          <w:highlight w:val="none"/>
        </w:rPr>
      </w:pPr>
      <w:r>
        <w:rPr>
          <w:rFonts w:asciiTheme="majorBidi" w:hAnsiTheme="majorBidi" w:cstheme="majorBidi"/>
          <w:szCs w:val="24"/>
          <w:highlight w:val="none"/>
        </w:rPr>
        <w:t>Contrary to the investigator’s claim of "widespread acknowledgement," the available literature—particularly in the Gulf region—is fragmented. A 2022 systematic review by Kim and Jung included only three studies from Saudi Arabia, none of which focused on risk culture at tertiary hospitals. Mendes &amp; França (2024) found that while Lean thinking improves safety processes, cultural variables remain underexplored.</w:t>
      </w:r>
    </w:p>
    <w:p w14:paraId="146D3661">
      <w:pPr>
        <w:bidi w:val="0"/>
        <w:spacing w:line="480" w:lineRule="auto"/>
        <w:ind w:firstLine="720"/>
        <w:rPr>
          <w:rFonts w:asciiTheme="majorBidi" w:hAnsiTheme="majorBidi" w:cstheme="majorBidi"/>
          <w:szCs w:val="24"/>
          <w:highlight w:val="none"/>
        </w:rPr>
      </w:pPr>
      <w:r>
        <w:rPr>
          <w:rFonts w:asciiTheme="majorBidi" w:hAnsiTheme="majorBidi" w:cstheme="majorBidi"/>
          <w:szCs w:val="24"/>
          <w:highlight w:val="none"/>
        </w:rPr>
        <w:t xml:space="preserve">The strongest evidence comes from Western contexts, such as </w:t>
      </w:r>
      <w:r>
        <w:rPr>
          <w:rFonts w:asciiTheme="majorBidi" w:hAnsiTheme="majorBidi" w:cstheme="majorBidi"/>
          <w:b/>
          <w:bCs/>
          <w:szCs w:val="24"/>
          <w:highlight w:val="none"/>
        </w:rPr>
        <w:t>Cooper (1998; 2000) and Fraser &amp; Henry (2007)</w:t>
      </w:r>
      <w:r>
        <w:rPr>
          <w:rFonts w:asciiTheme="majorBidi" w:hAnsiTheme="majorBidi" w:cstheme="majorBidi"/>
          <w:szCs w:val="24"/>
          <w:highlight w:val="none"/>
        </w:rPr>
        <w:t xml:space="preserve">, which highlight how culture enhances safety, but their transferability to the Saudi context is unclear. Studies like </w:t>
      </w:r>
      <w:r>
        <w:rPr>
          <w:rFonts w:asciiTheme="majorBidi" w:hAnsiTheme="majorBidi" w:cstheme="majorBidi"/>
          <w:b/>
          <w:bCs/>
          <w:szCs w:val="24"/>
          <w:highlight w:val="none"/>
        </w:rPr>
        <w:t>Hassan et al. (2022)</w:t>
      </w:r>
      <w:r>
        <w:rPr>
          <w:rFonts w:asciiTheme="majorBidi" w:hAnsiTheme="majorBidi" w:cstheme="majorBidi"/>
          <w:szCs w:val="24"/>
          <w:highlight w:val="none"/>
        </w:rPr>
        <w:t xml:space="preserve"> stress the need for contextualized frameworks when examining risk governance in Arab healthcare settings.</w:t>
      </w:r>
    </w:p>
    <w:p w14:paraId="3CCBF610">
      <w:pPr>
        <w:bidi w:val="0"/>
        <w:spacing w:line="480" w:lineRule="auto"/>
        <w:ind w:firstLine="720"/>
        <w:rPr>
          <w:rFonts w:asciiTheme="majorBidi" w:hAnsiTheme="majorBidi" w:cstheme="majorBidi"/>
          <w:szCs w:val="24"/>
          <w:highlight w:val="none"/>
        </w:rPr>
      </w:pPr>
      <w:r>
        <w:rPr>
          <w:rFonts w:asciiTheme="majorBidi" w:hAnsiTheme="majorBidi" w:cstheme="majorBidi"/>
          <w:szCs w:val="24"/>
          <w:highlight w:val="none"/>
        </w:rPr>
        <w:t xml:space="preserve">Therefore, this study not only fills a geographic and institutional gap by focusing </w:t>
      </w:r>
      <w:bookmarkStart w:id="14" w:name="_GoBack"/>
      <w:bookmarkEnd w:id="14"/>
      <w:r>
        <w:rPr>
          <w:rFonts w:asciiTheme="majorBidi" w:hAnsiTheme="majorBidi" w:cstheme="majorBidi"/>
          <w:szCs w:val="24"/>
          <w:highlight w:val="none"/>
        </w:rPr>
        <w:t xml:space="preserve">on </w:t>
      </w:r>
      <w:r>
        <w:rPr>
          <w:rFonts w:asciiTheme="majorBidi" w:hAnsiTheme="majorBidi" w:cstheme="majorBidi"/>
          <w:b/>
          <w:bCs/>
          <w:szCs w:val="24"/>
          <w:highlight w:val="none"/>
        </w:rPr>
        <w:t>King Faisal Specialist Hospital</w:t>
      </w:r>
      <w:r>
        <w:rPr>
          <w:rFonts w:asciiTheme="majorBidi" w:hAnsiTheme="majorBidi" w:cstheme="majorBidi"/>
          <w:szCs w:val="24"/>
          <w:highlight w:val="none"/>
        </w:rPr>
        <w:t xml:space="preserve">, but also addresses the </w:t>
      </w:r>
      <w:r>
        <w:rPr>
          <w:rFonts w:asciiTheme="majorBidi" w:hAnsiTheme="majorBidi" w:cstheme="majorBidi"/>
          <w:b/>
          <w:bCs/>
          <w:szCs w:val="24"/>
          <w:highlight w:val="none"/>
        </w:rPr>
        <w:t>lack of localized, culture-specific research</w:t>
      </w:r>
      <w:r>
        <w:rPr>
          <w:rFonts w:asciiTheme="majorBidi" w:hAnsiTheme="majorBidi" w:cstheme="majorBidi"/>
          <w:szCs w:val="24"/>
          <w:highlight w:val="none"/>
        </w:rPr>
        <w:t xml:space="preserve"> exploring the intersection of staff perceptions, leadership norms, and risk adherence in a region undergoing rapid healthcare reform under Vision 2030.</w:t>
      </w:r>
    </w:p>
    <w:p w14:paraId="5D3B675A">
      <w:pPr>
        <w:bidi w:val="0"/>
        <w:spacing w:line="480" w:lineRule="auto"/>
        <w:ind w:firstLine="0"/>
        <w:rPr>
          <w:rFonts w:asciiTheme="majorBidi" w:hAnsiTheme="majorBidi" w:cstheme="majorBidi"/>
          <w:szCs w:val="24"/>
          <w:highlight w:val="none"/>
        </w:rPr>
        <w:sectPr>
          <w:pgSz w:w="12240" w:h="15840"/>
          <w:pgMar w:top="1440" w:right="1800" w:bottom="1440" w:left="1800" w:header="720" w:footer="720" w:gutter="0"/>
          <w:pgNumType w:start="1" w:chapStyle="1"/>
          <w:cols w:space="720" w:num="1"/>
          <w:titlePg/>
          <w:docGrid w:linePitch="408" w:charSpace="0"/>
        </w:sectPr>
      </w:pPr>
    </w:p>
    <w:bookmarkEnd w:id="4"/>
    <w:bookmarkEnd w:id="5"/>
    <w:p w14:paraId="152BE56C">
      <w:pPr>
        <w:pStyle w:val="10"/>
        <w:bidi w:val="0"/>
        <w:spacing w:before="0" w:after="200" w:line="480" w:lineRule="auto"/>
        <w:ind w:left="0" w:firstLine="0"/>
        <w:rPr>
          <w:rFonts w:eastAsia="Calibri" w:asciiTheme="majorBidi" w:hAnsiTheme="majorBidi" w:cstheme="majorBidi"/>
          <w:b/>
          <w:sz w:val="28"/>
          <w:szCs w:val="28"/>
        </w:rPr>
      </w:pPr>
      <w:bookmarkStart w:id="7" w:name="_Toc50369660"/>
      <w:r>
        <w:rPr>
          <w:rFonts w:eastAsia="Calibri" w:asciiTheme="majorBidi" w:hAnsiTheme="majorBidi" w:cstheme="majorBidi"/>
          <w:b/>
          <w:sz w:val="28"/>
          <w:szCs w:val="28"/>
        </w:rPr>
        <w:t xml:space="preserve">                                               </w:t>
      </w:r>
    </w:p>
    <w:p w14:paraId="5B11BB25">
      <w:pPr>
        <w:pStyle w:val="10"/>
        <w:bidi w:val="0"/>
        <w:spacing w:before="0" w:after="200" w:line="480" w:lineRule="auto"/>
        <w:ind w:left="0" w:firstLine="0"/>
        <w:jc w:val="center"/>
        <w:rPr>
          <w:rFonts w:eastAsia="Calibri" w:cs="Times New Roman"/>
          <w:bCs/>
          <w:szCs w:val="24"/>
          <w:lang w:eastAsia="ar-SA" w:bidi="ar-SA"/>
        </w:rPr>
      </w:pPr>
      <w:r>
        <w:rPr>
          <w:rFonts w:eastAsia="Calibri" w:asciiTheme="majorBidi" w:hAnsiTheme="majorBidi" w:cstheme="majorBidi"/>
          <w:b/>
          <w:sz w:val="28"/>
          <w:szCs w:val="28"/>
        </w:rPr>
        <w:t xml:space="preserve">CHAPTER </w:t>
      </w:r>
      <w:bookmarkEnd w:id="7"/>
      <w:r>
        <w:rPr>
          <w:rFonts w:eastAsia="Calibri" w:asciiTheme="majorBidi" w:hAnsiTheme="majorBidi" w:cstheme="majorBidi"/>
          <w:b/>
          <w:sz w:val="28"/>
          <w:szCs w:val="28"/>
        </w:rPr>
        <w:t xml:space="preserve">II: </w:t>
      </w:r>
      <w:r>
        <w:rPr>
          <w:rFonts w:eastAsia="Calibri" w:asciiTheme="majorBidi" w:hAnsiTheme="majorBidi" w:cstheme="majorBidi"/>
          <w:b/>
          <w:bCs/>
          <w:kern w:val="32"/>
          <w:sz w:val="28"/>
          <w:szCs w:val="28"/>
        </w:rPr>
        <w:t>Literature Review</w:t>
      </w:r>
    </w:p>
    <w:p w14:paraId="38DABA54">
      <w:pPr>
        <w:pStyle w:val="2"/>
        <w:rPr>
          <w:lang w:eastAsia="ar-SA"/>
        </w:rPr>
      </w:pPr>
      <w:r>
        <w:t xml:space="preserve">Introduction </w:t>
      </w:r>
    </w:p>
    <w:p w14:paraId="3A2AEFD9">
      <w:pPr>
        <w:suppressAutoHyphens/>
        <w:bidi w:val="0"/>
        <w:spacing w:before="240" w:after="240" w:line="480" w:lineRule="auto"/>
        <w:ind w:firstLine="720"/>
        <w:rPr>
          <w:rFonts w:eastAsia="Calibri" w:cs="Times New Roman"/>
          <w:bCs/>
          <w:szCs w:val="24"/>
          <w:lang w:eastAsia="ar-SA" w:bidi="ar-SA"/>
        </w:rPr>
      </w:pPr>
      <w:r>
        <w:rPr>
          <w:rFonts w:eastAsia="Calibri" w:cs="Times New Roman"/>
          <w:bCs/>
          <w:szCs w:val="24"/>
          <w:lang w:eastAsia="ar-SA" w:bidi="ar-SA"/>
        </w:rPr>
        <w:t>This chapter introduces the related literature and studies following a comprehensive and in-depth review conducted by the researcher on the impact of organizational culture on the effectiveness of risk management among healthcare workers at King Faisal Specialist Hospital &amp; Research Centre. It also presents the synthesis of the theoretical and conceptual frameworks essential to fully understand the scope, direction, and foundation of the study.</w:t>
      </w:r>
    </w:p>
    <w:p w14:paraId="1C402EAD">
      <w:pPr>
        <w:pStyle w:val="2"/>
      </w:pPr>
      <w:bookmarkStart w:id="8" w:name="_Toc73549274"/>
      <w:bookmarkStart w:id="9" w:name="_Toc105955086"/>
      <w:r>
        <w:t>Literature Review Process</w:t>
      </w:r>
      <w:bookmarkEnd w:id="8"/>
      <w:bookmarkEnd w:id="9"/>
    </w:p>
    <w:p w14:paraId="65AAD264">
      <w:pPr>
        <w:bidi w:val="0"/>
        <w:rPr>
          <w:lang w:eastAsia="en-GB" w:bidi="ar-SA"/>
        </w:rPr>
      </w:pPr>
    </w:p>
    <w:p w14:paraId="62DE0AAE">
      <w:pPr>
        <w:bidi w:val="0"/>
        <w:spacing w:before="0" w:line="480" w:lineRule="auto"/>
        <w:ind w:firstLine="720"/>
        <w:rPr>
          <w:rFonts w:eastAsia="Times New Roman" w:cs="Times New Roman"/>
          <w:szCs w:val="24"/>
          <w:lang w:eastAsia="en-GB" w:bidi="ar-SA"/>
        </w:rPr>
      </w:pPr>
      <w:r>
        <w:rPr>
          <w:rFonts w:eastAsia="Times New Roman" w:cs="Times New Roman"/>
          <w:szCs w:val="24"/>
          <w:lang w:eastAsia="en-GB" w:bidi="ar-SA"/>
        </w:rPr>
        <w:t xml:space="preserve">Although rarely applied in cultural-risk management studies within tertiary healthcare settings, I adopted a systematic approach to identify and synthesize relevant literature related to organizational culture and risk management effectiveness in hospitals. I used a combination of targeted keywords such as </w:t>
      </w:r>
      <w:r>
        <w:rPr>
          <w:rFonts w:eastAsia="Times New Roman" w:cs="Times New Roman"/>
          <w:i/>
          <w:iCs/>
          <w:szCs w:val="24"/>
          <w:lang w:eastAsia="en-GB" w:bidi="ar-SA"/>
        </w:rPr>
        <w:t>organizational culture</w:t>
      </w:r>
      <w:r>
        <w:rPr>
          <w:rFonts w:eastAsia="Times New Roman" w:cs="Times New Roman"/>
          <w:szCs w:val="24"/>
          <w:lang w:eastAsia="en-GB" w:bidi="ar-SA"/>
        </w:rPr>
        <w:t xml:space="preserve">, </w:t>
      </w:r>
      <w:r>
        <w:rPr>
          <w:rFonts w:eastAsia="Times New Roman" w:cs="Times New Roman"/>
          <w:i/>
          <w:iCs/>
          <w:szCs w:val="24"/>
          <w:lang w:eastAsia="en-GB" w:bidi="ar-SA"/>
        </w:rPr>
        <w:t>risk management</w:t>
      </w:r>
      <w:r>
        <w:rPr>
          <w:rFonts w:eastAsia="Times New Roman" w:cs="Times New Roman"/>
          <w:szCs w:val="24"/>
          <w:lang w:eastAsia="en-GB" w:bidi="ar-SA"/>
        </w:rPr>
        <w:t xml:space="preserve">, </w:t>
      </w:r>
      <w:r>
        <w:rPr>
          <w:rFonts w:eastAsia="Times New Roman" w:cs="Times New Roman"/>
          <w:i/>
          <w:iCs/>
          <w:szCs w:val="24"/>
          <w:lang w:eastAsia="en-GB" w:bidi="ar-SA"/>
        </w:rPr>
        <w:t>patient safety</w:t>
      </w:r>
      <w:r>
        <w:rPr>
          <w:rFonts w:eastAsia="Times New Roman" w:cs="Times New Roman"/>
          <w:szCs w:val="24"/>
          <w:lang w:eastAsia="en-GB" w:bidi="ar-SA"/>
        </w:rPr>
        <w:t xml:space="preserve">, </w:t>
      </w:r>
      <w:r>
        <w:rPr>
          <w:rFonts w:eastAsia="Times New Roman" w:cs="Times New Roman"/>
          <w:i/>
          <w:iCs/>
          <w:szCs w:val="24"/>
          <w:lang w:eastAsia="en-GB" w:bidi="ar-SA"/>
        </w:rPr>
        <w:t>safety reporting</w:t>
      </w:r>
      <w:r>
        <w:rPr>
          <w:rFonts w:eastAsia="Times New Roman" w:cs="Times New Roman"/>
          <w:szCs w:val="24"/>
          <w:lang w:eastAsia="en-GB" w:bidi="ar-SA"/>
        </w:rPr>
        <w:t xml:space="preserve">, </w:t>
      </w:r>
      <w:r>
        <w:rPr>
          <w:rFonts w:eastAsia="Times New Roman" w:cs="Times New Roman"/>
          <w:i/>
          <w:iCs/>
          <w:szCs w:val="24"/>
          <w:lang w:eastAsia="en-GB" w:bidi="ar-SA"/>
        </w:rPr>
        <w:t>hospital culture</w:t>
      </w:r>
      <w:r>
        <w:rPr>
          <w:rFonts w:eastAsia="Times New Roman" w:cs="Times New Roman"/>
          <w:szCs w:val="24"/>
          <w:lang w:eastAsia="en-GB" w:bidi="ar-SA"/>
        </w:rPr>
        <w:t xml:space="preserve">, </w:t>
      </w:r>
      <w:r>
        <w:rPr>
          <w:rFonts w:eastAsia="Times New Roman" w:cs="Times New Roman"/>
          <w:i/>
          <w:iCs/>
          <w:szCs w:val="24"/>
          <w:lang w:eastAsia="en-GB" w:bidi="ar-SA"/>
        </w:rPr>
        <w:t>healthcare workers</w:t>
      </w:r>
      <w:r>
        <w:rPr>
          <w:rFonts w:eastAsia="Times New Roman" w:cs="Times New Roman"/>
          <w:szCs w:val="24"/>
          <w:lang w:eastAsia="en-GB" w:bidi="ar-SA"/>
        </w:rPr>
        <w:t xml:space="preserve">, and </w:t>
      </w:r>
      <w:r>
        <w:rPr>
          <w:rFonts w:eastAsia="Times New Roman" w:cs="Times New Roman"/>
          <w:i/>
          <w:iCs/>
          <w:szCs w:val="24"/>
          <w:lang w:eastAsia="en-GB" w:bidi="ar-SA"/>
        </w:rPr>
        <w:t>King Faisal Hospital</w:t>
      </w:r>
      <w:r>
        <w:rPr>
          <w:rFonts w:eastAsia="Times New Roman" w:cs="Times New Roman"/>
          <w:szCs w:val="24"/>
          <w:lang w:eastAsia="en-GB" w:bidi="ar-SA"/>
        </w:rPr>
        <w:t xml:space="preserve"> across major academic databases, including </w:t>
      </w:r>
      <w:r>
        <w:rPr>
          <w:rFonts w:eastAsia="Times New Roman" w:cs="Times New Roman"/>
          <w:b/>
          <w:bCs/>
          <w:szCs w:val="24"/>
          <w:lang w:eastAsia="en-GB" w:bidi="ar-SA"/>
        </w:rPr>
        <w:t>PubMed, ScienceDirect, CINAHL, and DOAJ (Directory of Open Access Journals)</w:t>
      </w:r>
      <w:r>
        <w:rPr>
          <w:rFonts w:eastAsia="Times New Roman" w:cs="Times New Roman"/>
          <w:szCs w:val="24"/>
          <w:lang w:eastAsia="en-GB" w:bidi="ar-SA"/>
        </w:rPr>
        <w:t xml:space="preserve">. This search yielded a total of </w:t>
      </w:r>
      <w:r>
        <w:rPr>
          <w:rFonts w:eastAsia="Times New Roman" w:cs="Times New Roman"/>
          <w:b/>
          <w:bCs/>
          <w:szCs w:val="24"/>
          <w:lang w:eastAsia="en-GB" w:bidi="ar-SA"/>
        </w:rPr>
        <w:t>1,498 research articles</w:t>
      </w:r>
      <w:r>
        <w:rPr>
          <w:rFonts w:eastAsia="Times New Roman" w:cs="Times New Roman"/>
          <w:szCs w:val="24"/>
          <w:lang w:eastAsia="en-GB" w:bidi="ar-SA"/>
        </w:rPr>
        <w:t xml:space="preserve"> related to the subject matter.</w:t>
      </w:r>
    </w:p>
    <w:p w14:paraId="654B6A54">
      <w:pPr>
        <w:bidi w:val="0"/>
        <w:spacing w:before="0" w:line="480" w:lineRule="auto"/>
        <w:ind w:firstLine="720"/>
        <w:rPr>
          <w:rFonts w:eastAsia="Times New Roman" w:cs="Times New Roman"/>
          <w:szCs w:val="24"/>
          <w:lang w:eastAsia="en-GB" w:bidi="ar-SA"/>
        </w:rPr>
      </w:pPr>
      <w:r>
        <w:rPr>
          <w:rFonts w:eastAsia="Times New Roman" w:cs="Times New Roman"/>
          <w:szCs w:val="24"/>
          <w:lang w:eastAsia="en-GB" w:bidi="ar-SA"/>
        </w:rPr>
        <w:t xml:space="preserve">From these, </w:t>
      </w:r>
      <w:r>
        <w:rPr>
          <w:rFonts w:eastAsia="Times New Roman" w:cs="Times New Roman"/>
          <w:b/>
          <w:bCs/>
          <w:szCs w:val="24"/>
          <w:lang w:eastAsia="en-GB" w:bidi="ar-SA"/>
        </w:rPr>
        <w:t>58 articles</w:t>
      </w:r>
      <w:r>
        <w:rPr>
          <w:rFonts w:eastAsia="Times New Roman" w:cs="Times New Roman"/>
          <w:szCs w:val="24"/>
          <w:lang w:eastAsia="en-GB" w:bidi="ar-SA"/>
        </w:rPr>
        <w:t xml:space="preserve"> were shortlisted for detailed review after applying preliminary screening criteria. This deeper evaluation considered factors such as research design, setting, study population (especially hospital staff), focus on safety or risk culture, and the relevance of findings to the Saudi healthcare system. After excluding outdated, regionally irrelevant, or non-healthcare-focused studies, a final selection of </w:t>
      </w:r>
      <w:r>
        <w:rPr>
          <w:rFonts w:eastAsia="Times New Roman" w:cs="Times New Roman"/>
          <w:b/>
          <w:bCs/>
          <w:szCs w:val="24"/>
          <w:lang w:eastAsia="en-GB" w:bidi="ar-SA"/>
        </w:rPr>
        <w:t>10 high-quality peer-reviewed articles</w:t>
      </w:r>
      <w:r>
        <w:rPr>
          <w:rFonts w:eastAsia="Times New Roman" w:cs="Times New Roman"/>
          <w:szCs w:val="24"/>
          <w:lang w:eastAsia="en-GB" w:bidi="ar-SA"/>
        </w:rPr>
        <w:t xml:space="preserve"> were retained and incorporated into this research. These sources form the theoretical and empirical foundation of the study and support the development of its conceptual framework.</w:t>
      </w:r>
    </w:p>
    <w:p w14:paraId="00E74A88">
      <w:pPr>
        <w:bidi w:val="0"/>
        <w:spacing w:before="0" w:line="480" w:lineRule="auto"/>
        <w:ind w:firstLine="720"/>
        <w:rPr>
          <w:rFonts w:eastAsia="Times New Roman" w:cs="Times New Roman"/>
          <w:szCs w:val="24"/>
          <w:lang w:bidi="ar-SA"/>
        </w:rPr>
      </w:pPr>
      <w:r>
        <w:rPr>
          <w:lang w:bidi="ar-SA"/>
        </w:rPr>
        <mc:AlternateContent>
          <mc:Choice Requires="wps">
            <w:drawing>
              <wp:anchor distT="0" distB="0" distL="114300" distR="114300" simplePos="0" relativeHeight="251660288" behindDoc="0" locked="0" layoutInCell="1" allowOverlap="1">
                <wp:simplePos x="0" y="0"/>
                <wp:positionH relativeFrom="column">
                  <wp:posOffset>1303020</wp:posOffset>
                </wp:positionH>
                <wp:positionV relativeFrom="paragraph">
                  <wp:posOffset>2818130</wp:posOffset>
                </wp:positionV>
                <wp:extent cx="3912870" cy="635"/>
                <wp:effectExtent l="0" t="0" r="0" b="0"/>
                <wp:wrapThrough wrapText="bothSides">
                  <wp:wrapPolygon>
                    <wp:start x="0" y="0"/>
                    <wp:lineTo x="0" y="20874"/>
                    <wp:lineTo x="21523" y="20874"/>
                    <wp:lineTo x="21523" y="0"/>
                    <wp:lineTo x="0" y="0"/>
                  </wp:wrapPolygon>
                </wp:wrapThrough>
                <wp:docPr id="12" name="Text Box 12"/>
                <wp:cNvGraphicFramePr/>
                <a:graphic xmlns:a="http://schemas.openxmlformats.org/drawingml/2006/main">
                  <a:graphicData uri="http://schemas.microsoft.com/office/word/2010/wordprocessingShape">
                    <wps:wsp>
                      <wps:cNvSpPr txBox="1"/>
                      <wps:spPr>
                        <a:xfrm>
                          <a:off x="0" y="0"/>
                          <a:ext cx="3912870" cy="635"/>
                        </a:xfrm>
                        <a:prstGeom prst="rect">
                          <a:avLst/>
                        </a:prstGeom>
                        <a:solidFill>
                          <a:prstClr val="white"/>
                        </a:solidFill>
                        <a:ln>
                          <a:noFill/>
                        </a:ln>
                      </wps:spPr>
                      <wps:txbx>
                        <w:txbxContent>
                          <w:p w14:paraId="37DB8141">
                            <w:pPr>
                              <w:pStyle w:val="6"/>
                              <w:bidi w:val="0"/>
                              <w:rPr>
                                <w:rFonts w:eastAsia="Times New Roman" w:cs="Times New Roman"/>
                                <w:i w:val="0"/>
                                <w:iCs w:val="0"/>
                                <w:sz w:val="36"/>
                                <w:szCs w:val="36"/>
                              </w:rPr>
                            </w:pPr>
                            <w:r>
                              <w:rPr>
                                <w:i w:val="0"/>
                                <w:iCs w:val="0"/>
                                <w:sz w:val="24"/>
                                <w:szCs w:val="24"/>
                              </w:rPr>
                              <w:t>Figure</w:t>
                            </w:r>
                            <w:r>
                              <w:rPr>
                                <w:i w:val="0"/>
                                <w:iCs w:val="0"/>
                                <w:sz w:val="24"/>
                                <w:szCs w:val="24"/>
                                <w:rtl/>
                              </w:rPr>
                              <w:t xml:space="preserve"> </w:t>
                            </w:r>
                            <w:r>
                              <w:rPr>
                                <w:i w:val="0"/>
                                <w:iCs w:val="0"/>
                                <w:sz w:val="24"/>
                                <w:szCs w:val="24"/>
                              </w:rPr>
                              <w:t>2.1 Literature review process</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02.6pt;margin-top:221.9pt;height:0.05pt;width:308.1pt;mso-wrap-distance-left:9pt;mso-wrap-distance-right:9pt;z-index:251660288;mso-width-relative:page;mso-height-relative:page;" fillcolor="#FFFFFF" filled="t" stroked="f" coordsize="21600,21600" wrapcoords="0 0 0 20874 21523 20874 21523 0 0 0" o:gfxdata="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Z74aPaAAAACwEAAA8AAAAAAAAAAQAgAAAAIgAAAGRycy9kb3ducmV2LnhtbFBLAQIU&#10;ABQAAAAIAIdO4kC3xquiKgIAAHMEAAAOAAAAAAAAAAEAIAAAACkBAABkcnMvZTJvRG9jLnhtbFBL&#10;BQYAAAAABgAGAFkBAADFBQAAAAA=&#10;">
                <v:fill on="t" focussize="0,0"/>
                <v:stroke on="f"/>
                <v:imagedata o:title=""/>
                <o:lock v:ext="edit" aspectratio="f"/>
                <v:textbox inset="0mm,0mm,0mm,0mm" style="mso-fit-shape-to-text:t;">
                  <w:txbxContent>
                    <w:p w14:paraId="37DB8141">
                      <w:pPr>
                        <w:pStyle w:val="6"/>
                        <w:bidi w:val="0"/>
                        <w:rPr>
                          <w:rFonts w:eastAsia="Times New Roman" w:cs="Times New Roman"/>
                          <w:i w:val="0"/>
                          <w:iCs w:val="0"/>
                          <w:sz w:val="36"/>
                          <w:szCs w:val="36"/>
                        </w:rPr>
                      </w:pPr>
                      <w:r>
                        <w:rPr>
                          <w:i w:val="0"/>
                          <w:iCs w:val="0"/>
                          <w:sz w:val="24"/>
                          <w:szCs w:val="24"/>
                        </w:rPr>
                        <w:t>Figure</w:t>
                      </w:r>
                      <w:r>
                        <w:rPr>
                          <w:i w:val="0"/>
                          <w:iCs w:val="0"/>
                          <w:sz w:val="24"/>
                          <w:szCs w:val="24"/>
                          <w:rtl/>
                        </w:rPr>
                        <w:t xml:space="preserve"> </w:t>
                      </w:r>
                      <w:r>
                        <w:rPr>
                          <w:i w:val="0"/>
                          <w:iCs w:val="0"/>
                          <w:sz w:val="24"/>
                          <w:szCs w:val="24"/>
                        </w:rPr>
                        <w:t>2.1 Literature review process</w:t>
                      </w:r>
                    </w:p>
                  </w:txbxContent>
                </v:textbox>
                <w10:wrap type="through"/>
              </v:shape>
            </w:pict>
          </mc:Fallback>
        </mc:AlternateContent>
      </w:r>
      <w:r>
        <w:rPr>
          <w:rFonts w:eastAsia="Times New Roman" w:cs="Times New Roman"/>
          <w:szCs w:val="24"/>
          <w:lang w:bidi="ar-SA"/>
        </w:rPr>
        <w:drawing>
          <wp:anchor distT="0" distB="0" distL="114300" distR="114300" simplePos="0" relativeHeight="251659264" behindDoc="0" locked="0" layoutInCell="1" allowOverlap="1">
            <wp:simplePos x="0" y="0"/>
            <wp:positionH relativeFrom="column">
              <wp:posOffset>1303020</wp:posOffset>
            </wp:positionH>
            <wp:positionV relativeFrom="paragraph">
              <wp:posOffset>1270</wp:posOffset>
            </wp:positionV>
            <wp:extent cx="3912870" cy="2786380"/>
            <wp:effectExtent l="19050" t="0" r="11430" b="13970"/>
            <wp:wrapThrough wrapText="bothSides">
              <wp:wrapPolygon>
                <wp:start x="-105" y="0"/>
                <wp:lineTo x="-105" y="7088"/>
                <wp:lineTo x="1262" y="7088"/>
                <wp:lineTo x="1262" y="11814"/>
                <wp:lineTo x="2629" y="11814"/>
                <wp:lineTo x="2629" y="16540"/>
                <wp:lineTo x="4101" y="16540"/>
                <wp:lineTo x="4206" y="21561"/>
                <wp:lineTo x="21558" y="21561"/>
                <wp:lineTo x="21558" y="17426"/>
                <wp:lineTo x="21242" y="16687"/>
                <wp:lineTo x="20401" y="16540"/>
                <wp:lineTo x="20401" y="11814"/>
                <wp:lineTo x="19034" y="9599"/>
                <wp:lineTo x="19034" y="6645"/>
                <wp:lineTo x="18298" y="5464"/>
                <wp:lineTo x="17352" y="4726"/>
                <wp:lineTo x="17352" y="0"/>
                <wp:lineTo x="-105" y="0"/>
              </wp:wrapPolygon>
            </wp:wrapThrough>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p w14:paraId="0BB6B5AB">
      <w:pPr>
        <w:bidi w:val="0"/>
        <w:spacing w:before="0" w:line="480" w:lineRule="auto"/>
        <w:ind w:firstLine="720"/>
        <w:rPr>
          <w:rFonts w:eastAsia="Times New Roman" w:cs="Times New Roman"/>
          <w:szCs w:val="24"/>
          <w:lang w:bidi="ar-SA"/>
        </w:rPr>
      </w:pPr>
    </w:p>
    <w:p w14:paraId="7AB3CE0C">
      <w:pPr>
        <w:bidi w:val="0"/>
        <w:spacing w:before="0" w:line="480" w:lineRule="auto"/>
        <w:ind w:firstLine="720"/>
        <w:rPr>
          <w:rFonts w:eastAsia="Times New Roman" w:cs="Times New Roman"/>
          <w:szCs w:val="24"/>
          <w:lang w:bidi="ar-SA"/>
        </w:rPr>
      </w:pPr>
    </w:p>
    <w:p w14:paraId="47C19C37">
      <w:pPr>
        <w:bidi w:val="0"/>
        <w:spacing w:before="0" w:line="480" w:lineRule="auto"/>
        <w:ind w:firstLine="720"/>
        <w:rPr>
          <w:rFonts w:eastAsia="Times New Roman" w:cs="Times New Roman"/>
          <w:szCs w:val="24"/>
          <w:lang w:bidi="ar-SA"/>
        </w:rPr>
      </w:pPr>
    </w:p>
    <w:p w14:paraId="742145EF">
      <w:pPr>
        <w:bidi w:val="0"/>
        <w:spacing w:before="0" w:line="480" w:lineRule="auto"/>
        <w:ind w:firstLine="720"/>
        <w:rPr>
          <w:rFonts w:eastAsia="Times New Roman" w:cs="Times New Roman"/>
          <w:szCs w:val="24"/>
          <w:lang w:bidi="ar-SA"/>
        </w:rPr>
      </w:pPr>
    </w:p>
    <w:p w14:paraId="540C97EC">
      <w:pPr>
        <w:bidi w:val="0"/>
        <w:spacing w:before="0" w:line="480" w:lineRule="auto"/>
        <w:ind w:firstLine="720"/>
        <w:rPr>
          <w:rFonts w:eastAsia="Times New Roman" w:cs="Times New Roman"/>
          <w:szCs w:val="24"/>
          <w:lang w:bidi="ar-SA"/>
        </w:rPr>
      </w:pPr>
    </w:p>
    <w:p w14:paraId="35F9FD06">
      <w:pPr>
        <w:bidi w:val="0"/>
        <w:spacing w:before="0" w:line="480" w:lineRule="auto"/>
        <w:ind w:firstLine="720"/>
        <w:rPr>
          <w:rFonts w:eastAsia="Times New Roman" w:cs="Times New Roman"/>
          <w:szCs w:val="24"/>
          <w:lang w:bidi="ar-SA"/>
        </w:rPr>
      </w:pPr>
    </w:p>
    <w:p w14:paraId="49C1075F">
      <w:pPr>
        <w:bidi w:val="0"/>
        <w:spacing w:before="0" w:line="480" w:lineRule="auto"/>
        <w:ind w:firstLine="720"/>
        <w:rPr>
          <w:rFonts w:eastAsia="Times New Roman" w:cs="Times New Roman"/>
          <w:szCs w:val="24"/>
          <w:lang w:bidi="ar-SA"/>
        </w:rPr>
      </w:pPr>
    </w:p>
    <w:p w14:paraId="711D7D3D">
      <w:pPr>
        <w:bidi w:val="0"/>
        <w:spacing w:before="0" w:line="480" w:lineRule="auto"/>
        <w:ind w:firstLine="0"/>
        <w:rPr>
          <w:rFonts w:eastAsia="Times New Roman" w:cs="Times New Roman"/>
          <w:szCs w:val="24"/>
          <w:lang w:bidi="ar-SA"/>
        </w:rPr>
      </w:pPr>
    </w:p>
    <w:p w14:paraId="13F33FB4">
      <w:pPr>
        <w:pStyle w:val="2"/>
      </w:pPr>
      <w:bookmarkStart w:id="10" w:name="_Hlk52962602"/>
      <w:r>
        <w:t>Organizational Culture</w:t>
      </w:r>
    </w:p>
    <w:p w14:paraId="0CF4480F">
      <w:pPr>
        <w:bidi w:val="0"/>
        <w:spacing w:line="480" w:lineRule="auto"/>
        <w:rPr>
          <w:szCs w:val="24"/>
          <w:lang w:bidi="en-US"/>
        </w:rPr>
      </w:pPr>
      <w:r>
        <w:rPr>
          <w:szCs w:val="24"/>
          <w:lang w:bidi="en-US"/>
        </w:rPr>
        <w:t xml:space="preserve">Organizational culture is commonly defined as the collective system of values, beliefs, norms, and interpretations shared by members within an institution </w:t>
      </w:r>
      <w:r>
        <w:rPr>
          <w:b/>
          <w:bCs/>
          <w:szCs w:val="24"/>
          <w:lang w:bidi="en-US"/>
        </w:rPr>
        <w:t>(Susanto, 2017).</w:t>
      </w:r>
      <w:r>
        <w:rPr>
          <w:szCs w:val="24"/>
          <w:lang w:bidi="en-US"/>
        </w:rPr>
        <w:t xml:space="preserve"> It provides the foundational philosophy that shapes how an organization functions, establishes criteria for decision-making, and sets behavioral expectations among its workforce </w:t>
      </w:r>
      <w:r>
        <w:rPr>
          <w:b/>
          <w:bCs/>
          <w:szCs w:val="24"/>
          <w:lang w:bidi="en-US"/>
        </w:rPr>
        <w:t>(Borges, 2013; Hsu et al., 2011)</w:t>
      </w:r>
      <w:r>
        <w:rPr>
          <w:szCs w:val="24"/>
          <w:lang w:bidi="en-US"/>
        </w:rPr>
        <w:t xml:space="preserve">. More than a background element, culture plays a dynamic role in determining the "rules of the game," influencing perceptions, shaping internal atmospheres, and guiding employee conduct on both formal and informal levels </w:t>
      </w:r>
      <w:r>
        <w:rPr>
          <w:b/>
          <w:bCs/>
          <w:szCs w:val="24"/>
          <w:lang w:bidi="en-US"/>
        </w:rPr>
        <w:t>(Riaz et al., 2023).</w:t>
      </w:r>
    </w:p>
    <w:p w14:paraId="127D1190">
      <w:pPr>
        <w:bidi w:val="0"/>
        <w:spacing w:line="480" w:lineRule="auto"/>
        <w:rPr>
          <w:b/>
          <w:bCs/>
          <w:szCs w:val="24"/>
          <w:lang w:bidi="en-US"/>
        </w:rPr>
      </w:pPr>
      <w:r>
        <w:rPr>
          <w:szCs w:val="24"/>
          <w:lang w:bidi="en-US"/>
        </w:rPr>
        <w:t xml:space="preserve">Scholars have long recognized the anthropological roots of organizational culture, with foundational contributions from Schein, Smircich, and others linking it to how organizations adapt to internal pressures and external challenges </w:t>
      </w:r>
      <w:r>
        <w:rPr>
          <w:b/>
          <w:bCs/>
          <w:szCs w:val="24"/>
          <w:lang w:bidi="en-US"/>
        </w:rPr>
        <w:t>(Taylor, 2017).</w:t>
      </w:r>
      <w:r>
        <w:rPr>
          <w:szCs w:val="24"/>
          <w:lang w:bidi="en-US"/>
        </w:rPr>
        <w:t xml:space="preserve"> </w:t>
      </w:r>
      <w:r>
        <w:rPr>
          <w:b/>
          <w:bCs/>
          <w:szCs w:val="24"/>
          <w:lang w:bidi="en-US"/>
        </w:rPr>
        <w:t>Schein (1992)</w:t>
      </w:r>
      <w:r>
        <w:rPr>
          <w:szCs w:val="24"/>
          <w:lang w:bidi="en-US"/>
        </w:rPr>
        <w:t xml:space="preserve"> conceptualized culture as a pattern of basic assumptions developed through organizational learning and problem-solving. These assumptions influence how members perceive risk, collaborate, and respond to strategic shifts. Wallach’s classification and Denison’s cultural model further identified critical dimensions—such as adaptability, mission, and involvement—that connect culture to performance and resilience </w:t>
      </w:r>
      <w:r>
        <w:rPr>
          <w:b/>
          <w:bCs/>
          <w:szCs w:val="24"/>
          <w:lang w:bidi="en-US"/>
        </w:rPr>
        <w:t>(Hassan et al., 2022).</w:t>
      </w:r>
    </w:p>
    <w:p w14:paraId="631777EF">
      <w:pPr>
        <w:bidi w:val="0"/>
        <w:spacing w:line="480" w:lineRule="auto"/>
        <w:rPr>
          <w:szCs w:val="24"/>
          <w:lang w:bidi="en-US"/>
        </w:rPr>
      </w:pPr>
      <w:r>
        <w:rPr>
          <w:szCs w:val="24"/>
          <w:lang w:bidi="en-US"/>
        </w:rPr>
        <w:t xml:space="preserve">A well-developed organizational culture not only enhances alignment and cohesion but also reduces undesirable outcomes like employee turnover </w:t>
      </w:r>
      <w:r>
        <w:rPr>
          <w:b/>
          <w:bCs/>
          <w:szCs w:val="24"/>
          <w:lang w:bidi="en-US"/>
        </w:rPr>
        <w:t>(Schandl &amp; Foster, 2019).</w:t>
      </w:r>
      <w:r>
        <w:rPr>
          <w:szCs w:val="24"/>
          <w:lang w:bidi="en-US"/>
        </w:rPr>
        <w:t xml:space="preserve"> Robins suggests that strong cultural values anchor employees, while </w:t>
      </w:r>
      <w:r>
        <w:rPr>
          <w:b/>
          <w:bCs/>
          <w:szCs w:val="24"/>
          <w:lang w:bidi="en-US"/>
        </w:rPr>
        <w:t>Achillas et al. (2014)</w:t>
      </w:r>
      <w:r>
        <w:rPr>
          <w:szCs w:val="24"/>
          <w:lang w:bidi="en-US"/>
        </w:rPr>
        <w:t xml:space="preserve"> argue that culture increasingly acts as a guiding force in modern workplaces. Leaders play a vital role in this process, though shaping culture requires more than routine management </w:t>
      </w:r>
      <w:r>
        <w:rPr>
          <w:b/>
          <w:bCs/>
          <w:szCs w:val="24"/>
          <w:lang w:bidi="en-US"/>
        </w:rPr>
        <w:t>(Achillas et al. 2014)</w:t>
      </w:r>
      <w:r>
        <w:rPr>
          <w:szCs w:val="24"/>
          <w:lang w:bidi="en-US"/>
        </w:rPr>
        <w:t xml:space="preserve">. Unlike functional departments, culture cannot be controlled or measured in the short term. Its development depends on continuous, strategic, and system-wide interventions </w:t>
      </w:r>
      <w:r>
        <w:rPr>
          <w:b/>
          <w:bCs/>
          <w:szCs w:val="24"/>
          <w:lang w:bidi="en-US"/>
        </w:rPr>
        <w:t>(Akpa et al., 2021).</w:t>
      </w:r>
    </w:p>
    <w:p w14:paraId="1660F5A0">
      <w:pPr>
        <w:bidi w:val="0"/>
        <w:spacing w:line="480" w:lineRule="auto"/>
        <w:rPr>
          <w:szCs w:val="24"/>
          <w:lang w:bidi="en-US"/>
        </w:rPr>
      </w:pPr>
      <w:r>
        <w:rPr>
          <w:szCs w:val="24"/>
          <w:lang w:bidi="en-US"/>
        </w:rPr>
        <w:t xml:space="preserve">Schein’s three-tier model offers a practical lens for managing culture across different layers: observable artifacts, underlying values, and deep-seated assumptions </w:t>
      </w:r>
      <w:r>
        <w:rPr>
          <w:b/>
          <w:bCs/>
        </w:rPr>
        <w:t>(Yanka Perkasa &amp; Fardinal, 2021)</w:t>
      </w:r>
      <w:r>
        <w:rPr>
          <w:b/>
          <w:bCs/>
          <w:szCs w:val="24"/>
          <w:lang w:bidi="en-US"/>
        </w:rPr>
        <w:t>.</w:t>
      </w:r>
      <w:r>
        <w:rPr>
          <w:szCs w:val="24"/>
          <w:lang w:bidi="en-US"/>
        </w:rPr>
        <w:t xml:space="preserve"> Efforts at the artifact level—such as redesigning office layouts, establishing a corporate identity system (CIS), celebrating institutional rituals, or embedding feedback mechanisms—can serve as entry points for broader cultural change </w:t>
      </w:r>
      <w:r>
        <w:rPr>
          <w:b/>
          <w:bCs/>
          <w:szCs w:val="24"/>
          <w:lang w:bidi="en-US"/>
        </w:rPr>
        <w:t>(Filippini et al., 2012).</w:t>
      </w:r>
      <w:r>
        <w:rPr>
          <w:szCs w:val="24"/>
          <w:lang w:bidi="en-US"/>
        </w:rPr>
        <w:t xml:space="preserve"> These tangible initiatives help operationalize cultural values and support consistent behaviors aligned with the organization’s mission </w:t>
      </w:r>
      <w:r>
        <w:rPr>
          <w:b/>
          <w:bCs/>
        </w:rPr>
        <w:t>(Yanka Perkasa &amp; Fardinal, 2021)</w:t>
      </w:r>
      <w:r>
        <w:rPr>
          <w:b/>
          <w:bCs/>
          <w:szCs w:val="24"/>
          <w:lang w:bidi="en-US"/>
        </w:rPr>
        <w:t>.</w:t>
      </w:r>
    </w:p>
    <w:p w14:paraId="563A4159">
      <w:pPr>
        <w:bidi w:val="0"/>
        <w:spacing w:line="480" w:lineRule="auto"/>
        <w:rPr>
          <w:szCs w:val="24"/>
          <w:lang w:bidi="en-US"/>
        </w:rPr>
      </w:pPr>
      <w:r>
        <w:rPr>
          <w:szCs w:val="24"/>
          <w:lang w:bidi="en-US"/>
        </w:rPr>
        <w:t xml:space="preserve">In healthcare and other high-reliability sectors, organizational culture is particularly relevant for driving performance and risk awareness </w:t>
      </w:r>
      <w:r>
        <w:rPr>
          <w:b/>
          <w:bCs/>
          <w:szCs w:val="24"/>
          <w:lang w:bidi="en-US"/>
        </w:rPr>
        <w:t>(Jacobsen et al., 2014).</w:t>
      </w:r>
      <w:r>
        <w:rPr>
          <w:szCs w:val="24"/>
          <w:lang w:bidi="en-US"/>
        </w:rPr>
        <w:t xml:space="preserve"> Studies have shown that institutions with strong learning cultures are better equipped to manage uncertainty, promote safety, and encourage innovation </w:t>
      </w:r>
      <w:r>
        <w:rPr>
          <w:b/>
          <w:bCs/>
          <w:szCs w:val="24"/>
          <w:lang w:bidi="en-US"/>
        </w:rPr>
        <w:t>(Hult et al., 2003; Frances &amp; Morriss, 2020).</w:t>
      </w:r>
      <w:r>
        <w:rPr>
          <w:szCs w:val="24"/>
          <w:lang w:bidi="en-US"/>
        </w:rPr>
        <w:t xml:space="preserve"> Moreover, integrating cultural change with knowledge-sharing systems and leadership engagement can amplify outcomes across departments. Therefore, cultivating an adaptive and value-driven culture is not only a matter of internal alignment but a strategic imperative for long-term organizational effectiveness </w:t>
      </w:r>
      <w:r>
        <w:rPr>
          <w:b/>
          <w:bCs/>
          <w:szCs w:val="24"/>
          <w:lang w:bidi="en-US"/>
        </w:rPr>
        <w:t>(Soomro &amp; Shah, 2019).</w:t>
      </w:r>
    </w:p>
    <w:bookmarkEnd w:id="10"/>
    <w:p w14:paraId="65ED5000">
      <w:pPr>
        <w:pStyle w:val="2"/>
      </w:pPr>
      <w:r>
        <w:t>Organizational Effectiveness</w:t>
      </w:r>
    </w:p>
    <w:p w14:paraId="1DB08379">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 xml:space="preserve">Organizational effectiveness is a broad and intricate concept that has been interpreted differently by various scholars. At its core, it refers to how well an organization achieves its intended goals </w:t>
      </w:r>
      <w:r>
        <w:rPr>
          <w:rFonts w:eastAsia="Times New Roman" w:cs="Times New Roman"/>
          <w:b/>
          <w:bCs/>
          <w:szCs w:val="24"/>
          <w:lang w:eastAsia="en-GB" w:bidi="ar-SA"/>
        </w:rPr>
        <w:t xml:space="preserve">(Gebauer et al., 2012). </w:t>
      </w:r>
      <w:r>
        <w:rPr>
          <w:rFonts w:eastAsia="Times New Roman" w:cs="Times New Roman"/>
          <w:szCs w:val="24"/>
          <w:lang w:eastAsia="en-GB" w:bidi="ar-SA"/>
        </w:rPr>
        <w:t xml:space="preserve">This includes evaluating how effectively resources are utilized in meeting objectives and measuring the gap between expected outcomes and actual performance </w:t>
      </w:r>
      <w:r>
        <w:rPr>
          <w:rFonts w:eastAsia="Times New Roman" w:cs="Times New Roman"/>
          <w:b/>
          <w:bCs/>
          <w:szCs w:val="24"/>
          <w:lang w:eastAsia="en-GB" w:bidi="ar-SA"/>
        </w:rPr>
        <w:t>(Qu, 2012).</w:t>
      </w:r>
      <w:r>
        <w:rPr>
          <w:rFonts w:eastAsia="Times New Roman" w:cs="Times New Roman"/>
          <w:szCs w:val="24"/>
          <w:lang w:eastAsia="en-GB" w:bidi="ar-SA"/>
        </w:rPr>
        <w:t xml:space="preserve"> </w:t>
      </w:r>
      <w:r>
        <w:rPr>
          <w:rFonts w:eastAsia="Times New Roman" w:cs="Times New Roman"/>
          <w:b/>
          <w:bCs/>
          <w:szCs w:val="24"/>
          <w:lang w:eastAsia="en-GB" w:bidi="ar-SA"/>
        </w:rPr>
        <w:t>Agrawal (2012)</w:t>
      </w:r>
      <w:r>
        <w:rPr>
          <w:rFonts w:eastAsia="Times New Roman" w:cs="Times New Roman"/>
          <w:szCs w:val="24"/>
          <w:lang w:eastAsia="en-GB" w:bidi="ar-SA"/>
        </w:rPr>
        <w:t xml:space="preserve"> also stresses that the primary measure of effectiveness is whether the organization attains its predetermined targets </w:t>
      </w:r>
      <w:r>
        <w:rPr>
          <w:rFonts w:eastAsia="Times New Roman" w:cs="Times New Roman"/>
          <w:b/>
          <w:bCs/>
          <w:szCs w:val="24"/>
          <w:lang w:eastAsia="en-GB" w:bidi="ar-SA"/>
        </w:rPr>
        <w:t>(Agrawal 2012)</w:t>
      </w:r>
      <w:r>
        <w:rPr>
          <w:rFonts w:eastAsia="Times New Roman" w:cs="Times New Roman"/>
          <w:szCs w:val="24"/>
          <w:lang w:eastAsia="en-GB" w:bidi="ar-SA"/>
        </w:rPr>
        <w:t>.</w:t>
      </w:r>
    </w:p>
    <w:p w14:paraId="17B07580">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 xml:space="preserve">Effectiveness encompasses more than just achieving results—it involves doing so with optimal use of time, effort, and resources, indicating a high input-output efficiency </w:t>
      </w:r>
      <w:r>
        <w:rPr>
          <w:rFonts w:eastAsia="Times New Roman" w:cs="Times New Roman"/>
          <w:b/>
          <w:bCs/>
          <w:szCs w:val="24"/>
          <w:lang w:eastAsia="en-GB" w:bidi="ar-SA"/>
        </w:rPr>
        <w:t xml:space="preserve">(Koutoupis &amp; Pappa, 2018). Jacobsen et al. (2014) </w:t>
      </w:r>
      <w:r>
        <w:rPr>
          <w:rFonts w:eastAsia="Times New Roman" w:cs="Times New Roman"/>
          <w:szCs w:val="24"/>
          <w:lang w:eastAsia="en-GB" w:bidi="ar-SA"/>
        </w:rPr>
        <w:t>explain that organizational performance relates to how closely the actual achievements align with the organization’s strategic aims. Enhancing performance is a major goal behind most business strategies, making the link between strategy and results a key focus in management research</w:t>
      </w:r>
      <w:r>
        <w:rPr>
          <w:rFonts w:eastAsia="Times New Roman" w:cs="Times New Roman"/>
          <w:b/>
          <w:bCs/>
          <w:szCs w:val="24"/>
          <w:lang w:eastAsia="en-GB" w:bidi="ar-SA"/>
        </w:rPr>
        <w:t xml:space="preserve"> (Saeidi et al., 2021).</w:t>
      </w:r>
    </w:p>
    <w:p w14:paraId="67988058">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b/>
          <w:bCs/>
          <w:szCs w:val="24"/>
          <w:lang w:eastAsia="en-GB" w:bidi="ar-SA"/>
        </w:rPr>
        <w:t xml:space="preserve">Srivastava and Singh (2013) </w:t>
      </w:r>
      <w:r>
        <w:rPr>
          <w:rFonts w:eastAsia="Times New Roman" w:cs="Times New Roman"/>
          <w:szCs w:val="24"/>
          <w:lang w:eastAsia="en-GB" w:bidi="ar-SA"/>
        </w:rPr>
        <w:t xml:space="preserve">argue that effective organizations require leaders who not only manage resources efficiently and respond to environmental challenges but also apply balanced leadership approaches. For instance, the competing values framework helps leaders guide various aspects of the organization—from internal dynamics to external adaptation—toward meeting performance standards </w:t>
      </w:r>
      <w:r>
        <w:rPr>
          <w:rFonts w:eastAsia="Times New Roman" w:cs="Times New Roman"/>
          <w:b/>
          <w:bCs/>
          <w:szCs w:val="24"/>
          <w:lang w:eastAsia="en-GB" w:bidi="ar-SA"/>
        </w:rPr>
        <w:t>(Saeidi et al., 2021)</w:t>
      </w:r>
      <w:r>
        <w:rPr>
          <w:rFonts w:eastAsia="Times New Roman" w:cs="Times New Roman"/>
          <w:szCs w:val="24"/>
          <w:lang w:eastAsia="en-GB" w:bidi="ar-SA"/>
        </w:rPr>
        <w:t>.</w:t>
      </w:r>
    </w:p>
    <w:p w14:paraId="6080AFCB">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 xml:space="preserve">According to </w:t>
      </w:r>
      <w:r>
        <w:rPr>
          <w:rFonts w:eastAsia="Times New Roman" w:cs="Times New Roman"/>
          <w:b/>
          <w:bCs/>
          <w:szCs w:val="24"/>
          <w:lang w:eastAsia="en-GB" w:bidi="ar-SA"/>
        </w:rPr>
        <w:t>Diabat et al. (2012),</w:t>
      </w:r>
      <w:r>
        <w:rPr>
          <w:rFonts w:eastAsia="Times New Roman" w:cs="Times New Roman"/>
          <w:szCs w:val="24"/>
          <w:lang w:eastAsia="en-GB" w:bidi="ar-SA"/>
        </w:rPr>
        <w:t xml:space="preserve"> achieving a balance between effectiveness and efficiency is essential for an organization’s sustainability. Their view is based on two assumptions: first, that decision-makers within organizations are rational actors pursuing clear objectives; and second, that these objectives must be realistic and well-defined so that organizational members can understand and work toward them </w:t>
      </w:r>
      <w:r>
        <w:rPr>
          <w:rFonts w:eastAsia="Times New Roman" w:cs="Times New Roman"/>
          <w:b/>
          <w:bCs/>
          <w:szCs w:val="24"/>
          <w:lang w:eastAsia="en-GB" w:bidi="ar-SA"/>
        </w:rPr>
        <w:t>(Diabat et al., 2012).</w:t>
      </w:r>
      <w:r>
        <w:rPr>
          <w:rFonts w:eastAsia="Times New Roman" w:cs="Times New Roman"/>
          <w:szCs w:val="24"/>
          <w:lang w:eastAsia="en-GB" w:bidi="ar-SA"/>
        </w:rPr>
        <w:t xml:space="preserve"> This perspective, which equates effectiveness with goal attainment, is one of the oldest and most commonly used frameworks in organizational evaluation </w:t>
      </w:r>
      <w:r>
        <w:rPr>
          <w:rFonts w:eastAsia="Times New Roman" w:cs="Times New Roman"/>
          <w:b/>
          <w:bCs/>
          <w:szCs w:val="24"/>
          <w:lang w:eastAsia="en-GB" w:bidi="ar-SA"/>
        </w:rPr>
        <w:t>(Gomez &amp; Bernet, 2019).</w:t>
      </w:r>
    </w:p>
    <w:p w14:paraId="43E4FA4E">
      <w:pPr>
        <w:shd w:val="clear" w:color="auto" w:fill="FFFFFF"/>
        <w:bidi w:val="0"/>
        <w:spacing w:before="100" w:beforeAutospacing="1" w:after="100" w:afterAutospacing="1" w:line="480" w:lineRule="auto"/>
        <w:ind w:firstLine="567"/>
        <w:rPr>
          <w:rFonts w:eastAsia="Times New Roman" w:cs="Times New Roman"/>
          <w:b/>
          <w:bCs/>
          <w:szCs w:val="24"/>
          <w:lang w:eastAsia="en-GB" w:bidi="ar-SA"/>
        </w:rPr>
      </w:pPr>
      <w:r>
        <w:rPr>
          <w:rFonts w:eastAsia="Times New Roman" w:cs="Times New Roman"/>
          <w:szCs w:val="24"/>
          <w:lang w:eastAsia="en-GB" w:bidi="ar-SA"/>
        </w:rPr>
        <w:t xml:space="preserve">Organizational performance should not be judged solely through financial indicators. Other elements—such as corporate culture, employee capabilities, and investment in training—are equally vital to long-term success. Therefore, organizations should also consider non-financial aspects when assessing effectiveness </w:t>
      </w:r>
      <w:r>
        <w:rPr>
          <w:rFonts w:eastAsia="Times New Roman" w:cs="Times New Roman"/>
          <w:b/>
          <w:bCs/>
          <w:szCs w:val="24"/>
          <w:lang w:eastAsia="en-GB" w:bidi="ar-SA"/>
        </w:rPr>
        <w:t>(Lai et al., 2019).</w:t>
      </w:r>
    </w:p>
    <w:p w14:paraId="5823BC55">
      <w:pPr>
        <w:shd w:val="clear" w:color="auto" w:fill="FFFFFF"/>
        <w:bidi w:val="0"/>
        <w:spacing w:before="100" w:beforeAutospacing="1" w:after="100" w:afterAutospacing="1" w:line="480" w:lineRule="auto"/>
        <w:ind w:firstLine="567"/>
        <w:rPr>
          <w:rFonts w:eastAsia="Times New Roman" w:cs="Times New Roman"/>
          <w:b/>
          <w:bCs/>
          <w:szCs w:val="24"/>
          <w:lang w:eastAsia="en-GB" w:bidi="ar-SA"/>
        </w:rPr>
      </w:pPr>
      <w:r>
        <w:rPr>
          <w:rFonts w:eastAsia="Times New Roman" w:cs="Times New Roman"/>
          <w:b/>
          <w:bCs/>
          <w:szCs w:val="24"/>
          <w:lang w:eastAsia="en-GB" w:bidi="ar-SA"/>
        </w:rPr>
        <w:t>Chao et al. (2013)</w:t>
      </w:r>
      <w:r>
        <w:rPr>
          <w:rFonts w:eastAsia="Times New Roman" w:cs="Times New Roman"/>
          <w:szCs w:val="24"/>
          <w:lang w:eastAsia="en-GB" w:bidi="ar-SA"/>
        </w:rPr>
        <w:t xml:space="preserve"> suggest a dual approach for evaluating organizational effectiveness. The </w:t>
      </w:r>
      <w:r>
        <w:rPr>
          <w:rFonts w:eastAsia="Times New Roman" w:cs="Times New Roman"/>
          <w:b/>
          <w:bCs/>
          <w:szCs w:val="24"/>
          <w:lang w:eastAsia="en-GB" w:bidi="ar-SA"/>
        </w:rPr>
        <w:t>"hard performance"</w:t>
      </w:r>
      <w:r>
        <w:rPr>
          <w:rFonts w:eastAsia="Times New Roman" w:cs="Times New Roman"/>
          <w:szCs w:val="24"/>
          <w:lang w:eastAsia="en-GB" w:bidi="ar-SA"/>
        </w:rPr>
        <w:t xml:space="preserve"> dimension includes financial metrics like profit margins, business growth, and return on investment. On the other hand, </w:t>
      </w:r>
      <w:r>
        <w:rPr>
          <w:rFonts w:eastAsia="Times New Roman" w:cs="Times New Roman"/>
          <w:b/>
          <w:bCs/>
          <w:szCs w:val="24"/>
          <w:lang w:eastAsia="en-GB" w:bidi="ar-SA"/>
        </w:rPr>
        <w:t>"soft performance"</w:t>
      </w:r>
      <w:r>
        <w:rPr>
          <w:rFonts w:eastAsia="Times New Roman" w:cs="Times New Roman"/>
          <w:szCs w:val="24"/>
          <w:lang w:eastAsia="en-GB" w:bidi="ar-SA"/>
        </w:rPr>
        <w:t xml:space="preserve"> covers non-financial outcomes such as service quality, employee satisfaction, and customer experience. This classification highlights the need to evaluate both tangible and intangible indicators to gain a complete picture of organizational success </w:t>
      </w:r>
      <w:r>
        <w:rPr>
          <w:rFonts w:eastAsia="Times New Roman" w:cs="Times New Roman"/>
          <w:b/>
          <w:bCs/>
          <w:szCs w:val="24"/>
          <w:lang w:eastAsia="en-GB" w:bidi="ar-SA"/>
        </w:rPr>
        <w:t>(Kojima et al., 2019)</w:t>
      </w:r>
      <w:r>
        <w:rPr>
          <w:rFonts w:eastAsia="Calibri" w:cs="Times New Roman"/>
          <w:b/>
          <w:bCs/>
          <w:szCs w:val="24"/>
          <w:lang w:eastAsia="en-GB" w:bidi="ar-SA"/>
        </w:rPr>
        <w:t>.</w:t>
      </w:r>
    </w:p>
    <w:p w14:paraId="74517E92">
      <w:pPr>
        <w:pStyle w:val="2"/>
      </w:pPr>
      <w:r>
        <w:t>Risk Management</w:t>
      </w:r>
    </w:p>
    <w:p w14:paraId="6BC3B641">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Calibri" w:cs="Times New Roman"/>
          <w:szCs w:val="24"/>
          <w:lang w:eastAsia="en-GB" w:bidi="ar-SA"/>
        </w:rPr>
        <w:t xml:space="preserve">Risk is not an inevitable outcome but rather a matter of decision-making. Managing risk involves navigating between proactive and reactive options using limited organizational resources </w:t>
      </w:r>
      <w:r>
        <w:rPr>
          <w:rFonts w:eastAsia="Calibri" w:cs="Times New Roman"/>
          <w:b/>
          <w:bCs/>
          <w:szCs w:val="24"/>
          <w:lang w:eastAsia="en-GB" w:bidi="ar-SA"/>
        </w:rPr>
        <w:t>(Nasrum, 2018).</w:t>
      </w:r>
      <w:r>
        <w:rPr>
          <w:rFonts w:eastAsia="Calibri" w:cs="Times New Roman"/>
          <w:szCs w:val="24"/>
          <w:lang w:eastAsia="en-GB" w:bidi="ar-SA"/>
        </w:rPr>
        <w:t xml:space="preserve"> As global disasters and crises have evolved, the understanding of risk management has expanded beyond technical concerns to include managerial and socio-cultural dimensions </w:t>
      </w:r>
      <w:r>
        <w:rPr>
          <w:rFonts w:eastAsia="Calibri" w:cs="Times New Roman"/>
          <w:b/>
          <w:bCs/>
          <w:szCs w:val="24"/>
          <w:lang w:eastAsia="en-GB" w:bidi="ar-SA"/>
        </w:rPr>
        <w:t>(Schandl &amp; Foster, 2019).</w:t>
      </w:r>
      <w:r>
        <w:rPr>
          <w:rFonts w:eastAsia="Calibri" w:cs="Times New Roman"/>
          <w:szCs w:val="24"/>
          <w:lang w:eastAsia="en-GB" w:bidi="ar-SA"/>
        </w:rPr>
        <w:t xml:space="preserve"> This has led scholars to explore both the objective nature of risk and constructivist views, which diverge based on how risk is conceptually defined. In today’s complex business environment, organizations are vulnerable to numerous threats that may compromise their operational goals </w:t>
      </w:r>
      <w:r>
        <w:rPr>
          <w:rFonts w:eastAsia="Calibri" w:cs="Times New Roman"/>
          <w:b/>
          <w:bCs/>
          <w:szCs w:val="24"/>
          <w:lang w:eastAsia="en-GB" w:bidi="ar-SA"/>
        </w:rPr>
        <w:t>(Joseph &amp; Kibera, 2019).</w:t>
      </w:r>
    </w:p>
    <w:p w14:paraId="4E33CEC7">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Calibri" w:cs="Times New Roman"/>
          <w:szCs w:val="24"/>
          <w:lang w:eastAsia="en-GB" w:bidi="ar-SA"/>
        </w:rPr>
        <w:t xml:space="preserve">With the expansion of globalization and advancements in technology, the failure of several large multinational corporations in recent years has highlighted the critical importance of effective risk management and internal oversight </w:t>
      </w:r>
      <w:r>
        <w:rPr>
          <w:rFonts w:eastAsia="Calibri" w:cs="Times New Roman"/>
          <w:b/>
          <w:bCs/>
          <w:szCs w:val="24"/>
          <w:lang w:eastAsia="en-GB" w:bidi="ar-SA"/>
        </w:rPr>
        <w:t>(Yazid et al., 2012)</w:t>
      </w:r>
      <w:r>
        <w:rPr>
          <w:rFonts w:eastAsia="Calibri" w:cs="Times New Roman"/>
          <w:szCs w:val="24"/>
          <w:lang w:eastAsia="en-GB" w:bidi="ar-SA"/>
        </w:rPr>
        <w:t xml:space="preserve">. According to </w:t>
      </w:r>
      <w:r>
        <w:rPr>
          <w:rFonts w:eastAsia="Calibri" w:cs="Times New Roman"/>
          <w:b/>
          <w:bCs/>
          <w:szCs w:val="24"/>
          <w:lang w:eastAsia="en-GB" w:bidi="ar-SA"/>
        </w:rPr>
        <w:t>Lam (2005),</w:t>
      </w:r>
      <w:r>
        <w:rPr>
          <w:rFonts w:eastAsia="Calibri" w:cs="Times New Roman"/>
          <w:szCs w:val="24"/>
          <w:lang w:eastAsia="en-GB" w:bidi="ar-SA"/>
        </w:rPr>
        <w:t xml:space="preserve"> enterprise risk management (ERM) has evolved into both a recognized management discipline and a standard practice. </w:t>
      </w:r>
      <w:r>
        <w:rPr>
          <w:rFonts w:eastAsia="Calibri" w:cs="Times New Roman"/>
          <w:b/>
          <w:bCs/>
          <w:szCs w:val="24"/>
          <w:lang w:eastAsia="en-GB" w:bidi="ar-SA"/>
        </w:rPr>
        <w:t>Zheng (2016)</w:t>
      </w:r>
      <w:r>
        <w:rPr>
          <w:rFonts w:eastAsia="Calibri" w:cs="Times New Roman"/>
          <w:szCs w:val="24"/>
          <w:lang w:eastAsia="en-GB" w:bidi="ar-SA"/>
        </w:rPr>
        <w:t xml:space="preserve"> describes risk as being universal, inherently harmful, variable, and unavoidable, while </w:t>
      </w:r>
      <w:r>
        <w:rPr>
          <w:rFonts w:eastAsia="Calibri" w:cs="Times New Roman"/>
          <w:b/>
          <w:bCs/>
          <w:szCs w:val="24"/>
          <w:lang w:eastAsia="en-GB" w:bidi="ar-SA"/>
        </w:rPr>
        <w:t>Wang and Xu (2018)</w:t>
      </w:r>
      <w:r>
        <w:rPr>
          <w:rFonts w:eastAsia="Calibri" w:cs="Times New Roman"/>
          <w:szCs w:val="24"/>
          <w:lang w:eastAsia="en-GB" w:bidi="ar-SA"/>
        </w:rPr>
        <w:t xml:space="preserve"> point out that in hospitals, potential risks span areas such as financial operations, human resources, and institutional reputation.</w:t>
      </w:r>
    </w:p>
    <w:p w14:paraId="3490892D">
      <w:pPr>
        <w:shd w:val="clear" w:color="auto" w:fill="FFFFFF"/>
        <w:bidi w:val="0"/>
        <w:spacing w:before="100" w:beforeAutospacing="1" w:after="100" w:afterAutospacing="1" w:line="480" w:lineRule="auto"/>
        <w:ind w:firstLine="567"/>
        <w:rPr>
          <w:rFonts w:eastAsia="Calibri" w:cs="Times New Roman"/>
          <w:b/>
          <w:bCs/>
          <w:szCs w:val="24"/>
          <w:lang w:eastAsia="en-GB" w:bidi="ar-SA"/>
        </w:rPr>
      </w:pPr>
      <w:r>
        <w:rPr>
          <w:rFonts w:eastAsia="Calibri" w:cs="Times New Roman"/>
          <w:b/>
          <w:bCs/>
          <w:szCs w:val="24"/>
          <w:lang w:eastAsia="en-GB" w:bidi="ar-SA"/>
        </w:rPr>
        <w:t>Broder and Tucker (2011)</w:t>
      </w:r>
      <w:r>
        <w:rPr>
          <w:rFonts w:eastAsia="Calibri" w:cs="Times New Roman"/>
          <w:szCs w:val="24"/>
          <w:lang w:eastAsia="en-GB" w:bidi="ar-SA"/>
        </w:rPr>
        <w:t xml:space="preserve"> note that risk involves unpredictability between actual outcomes and intended results. </w:t>
      </w:r>
      <w:r>
        <w:rPr>
          <w:rFonts w:eastAsia="Calibri" w:cs="Times New Roman"/>
          <w:b/>
          <w:bCs/>
          <w:szCs w:val="24"/>
          <w:lang w:eastAsia="en-GB" w:bidi="ar-SA"/>
        </w:rPr>
        <w:t>Yang (2011)</w:t>
      </w:r>
      <w:r>
        <w:rPr>
          <w:rFonts w:eastAsia="Calibri" w:cs="Times New Roman"/>
          <w:szCs w:val="24"/>
          <w:lang w:eastAsia="en-GB" w:bidi="ar-SA"/>
        </w:rPr>
        <w:t xml:space="preserve"> emphasizes that risk management aims to analyze both causes and consequences of undesirable events. </w:t>
      </w:r>
      <w:r>
        <w:rPr>
          <w:rFonts w:eastAsia="Calibri" w:cs="Times New Roman"/>
          <w:b/>
          <w:bCs/>
          <w:szCs w:val="24"/>
          <w:lang w:eastAsia="en-GB" w:bidi="ar-SA"/>
        </w:rPr>
        <w:t xml:space="preserve">Wu (2017) </w:t>
      </w:r>
      <w:r>
        <w:rPr>
          <w:rFonts w:eastAsia="Calibri" w:cs="Times New Roman"/>
          <w:szCs w:val="24"/>
          <w:lang w:eastAsia="en-GB" w:bidi="ar-SA"/>
        </w:rPr>
        <w:t xml:space="preserve">adds that risk assessment focuses on both the severity of outcomes and the probability of their occurrence. In healthcare, the core objective of risk management is to thoroughly scrutinize operational procedures, thereby minimizing unexpected events and enabling managers to prioritize threats efficiently </w:t>
      </w:r>
      <w:r>
        <w:rPr>
          <w:rFonts w:eastAsia="Calibri" w:cs="Times New Roman"/>
          <w:b/>
          <w:bCs/>
          <w:szCs w:val="24"/>
          <w:lang w:eastAsia="en-GB" w:bidi="ar-SA"/>
        </w:rPr>
        <w:t>(Saeidi et al., 2021)</w:t>
      </w:r>
      <w:r>
        <w:rPr>
          <w:rFonts w:eastAsia="Calibri" w:cs="Times New Roman"/>
          <w:szCs w:val="24"/>
          <w:lang w:eastAsia="en-GB" w:bidi="ar-SA"/>
        </w:rPr>
        <w:t xml:space="preserve">. As part of this process, governance models are being redesigned to strengthen accountability, optimize resource use, and improve institutional resilience </w:t>
      </w:r>
      <w:r>
        <w:rPr>
          <w:rFonts w:eastAsia="Calibri" w:cs="Times New Roman"/>
          <w:b/>
          <w:bCs/>
          <w:szCs w:val="24"/>
          <w:lang w:eastAsia="en-GB" w:bidi="ar-SA"/>
        </w:rPr>
        <w:t>(Carter et al., 2019; Lai et al., 2019).</w:t>
      </w:r>
    </w:p>
    <w:p w14:paraId="27EB57DE">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Calibri" w:cs="Times New Roman"/>
          <w:szCs w:val="24"/>
          <w:lang w:eastAsia="en-GB" w:bidi="ar-SA"/>
        </w:rPr>
        <w:t xml:space="preserve">Hospitals, given the inherent complexity and unpredictability of their functions, must approach risk with vigilance </w:t>
      </w:r>
      <w:r>
        <w:rPr>
          <w:rFonts w:eastAsia="Calibri" w:cs="Times New Roman"/>
          <w:b/>
          <w:bCs/>
          <w:szCs w:val="24"/>
          <w:lang w:eastAsia="en-GB" w:bidi="ar-SA"/>
        </w:rPr>
        <w:t>(Koutoupis &amp; Pappa, 2018).</w:t>
      </w:r>
      <w:r>
        <w:rPr>
          <w:rFonts w:eastAsia="Calibri" w:cs="Times New Roman"/>
          <w:szCs w:val="24"/>
          <w:lang w:eastAsia="en-GB" w:bidi="ar-SA"/>
        </w:rPr>
        <w:t xml:space="preserve"> According to the </w:t>
      </w:r>
      <w:r>
        <w:rPr>
          <w:rFonts w:eastAsia="Calibri" w:cs="Times New Roman"/>
          <w:b/>
          <w:bCs/>
          <w:szCs w:val="24"/>
          <w:lang w:eastAsia="en-GB" w:bidi="ar-SA"/>
        </w:rPr>
        <w:t>World Health Organization (2019)</w:t>
      </w:r>
      <w:r>
        <w:rPr>
          <w:rFonts w:eastAsia="Calibri" w:cs="Times New Roman"/>
          <w:szCs w:val="24"/>
          <w:lang w:eastAsia="en-GB" w:bidi="ar-SA"/>
        </w:rPr>
        <w:t xml:space="preserve">, patient safety must be integrated into the core of healthcare policy and organizational planning </w:t>
      </w:r>
      <w:r>
        <w:rPr>
          <w:rFonts w:eastAsia="Calibri" w:cs="Times New Roman"/>
          <w:b/>
          <w:bCs/>
          <w:szCs w:val="24"/>
          <w:lang w:eastAsia="en-GB" w:bidi="ar-SA"/>
        </w:rPr>
        <w:t>(Yanka Perkasa &amp; Fardinal, 2021)</w:t>
      </w:r>
      <w:r>
        <w:rPr>
          <w:rFonts w:eastAsia="Calibri" w:cs="Times New Roman"/>
          <w:szCs w:val="24"/>
          <w:lang w:eastAsia="en-GB" w:bidi="ar-SA"/>
        </w:rPr>
        <w:t>. Key goals of hospital risk management include:</w:t>
      </w:r>
    </w:p>
    <w:p w14:paraId="0A96B54C">
      <w:pPr>
        <w:numPr>
          <w:ilvl w:val="0"/>
          <w:numId w:val="2"/>
        </w:numPr>
        <w:shd w:val="clear" w:color="auto" w:fill="FFFFFF"/>
        <w:bidi w:val="0"/>
        <w:spacing w:before="100" w:beforeAutospacing="1" w:after="100" w:afterAutospacing="1" w:line="480" w:lineRule="auto"/>
        <w:rPr>
          <w:rFonts w:eastAsia="Calibri" w:cs="Times New Roman"/>
          <w:szCs w:val="24"/>
          <w:lang w:eastAsia="en-GB" w:bidi="ar-SA"/>
        </w:rPr>
      </w:pPr>
      <w:r>
        <w:rPr>
          <w:rFonts w:eastAsia="Calibri" w:cs="Times New Roman"/>
          <w:szCs w:val="24"/>
          <w:lang w:eastAsia="en-GB" w:bidi="ar-SA"/>
        </w:rPr>
        <w:t>Reducing the likelihood of harm to patients, staff, and infrastructure;</w:t>
      </w:r>
    </w:p>
    <w:p w14:paraId="52B5C953">
      <w:pPr>
        <w:numPr>
          <w:ilvl w:val="0"/>
          <w:numId w:val="2"/>
        </w:numPr>
        <w:shd w:val="clear" w:color="auto" w:fill="FFFFFF"/>
        <w:bidi w:val="0"/>
        <w:spacing w:before="100" w:beforeAutospacing="1" w:after="100" w:afterAutospacing="1" w:line="480" w:lineRule="auto"/>
        <w:rPr>
          <w:rFonts w:eastAsia="Calibri" w:cs="Times New Roman"/>
          <w:szCs w:val="24"/>
          <w:lang w:eastAsia="en-GB" w:bidi="ar-SA"/>
        </w:rPr>
      </w:pPr>
      <w:r>
        <w:rPr>
          <w:rFonts w:eastAsia="Calibri" w:cs="Times New Roman"/>
          <w:szCs w:val="24"/>
          <w:lang w:eastAsia="en-GB" w:bidi="ar-SA"/>
        </w:rPr>
        <w:t>Preventing avoidable fatalities tied to service delivery or disease risks;</w:t>
      </w:r>
    </w:p>
    <w:p w14:paraId="22F94F25">
      <w:pPr>
        <w:numPr>
          <w:ilvl w:val="0"/>
          <w:numId w:val="2"/>
        </w:numPr>
        <w:shd w:val="clear" w:color="auto" w:fill="FFFFFF"/>
        <w:bidi w:val="0"/>
        <w:spacing w:before="100" w:beforeAutospacing="1" w:after="100" w:afterAutospacing="1" w:line="480" w:lineRule="auto"/>
        <w:rPr>
          <w:rFonts w:eastAsia="Calibri" w:cs="Times New Roman"/>
          <w:szCs w:val="24"/>
          <w:lang w:eastAsia="en-GB" w:bidi="ar-SA"/>
        </w:rPr>
      </w:pPr>
      <w:r>
        <w:rPr>
          <w:rFonts w:eastAsia="Calibri" w:cs="Times New Roman"/>
          <w:szCs w:val="24"/>
          <w:lang w:eastAsia="en-GB" w:bidi="ar-SA"/>
        </w:rPr>
        <w:t>Enhancing clinical outcomes;</w:t>
      </w:r>
    </w:p>
    <w:p w14:paraId="515DF7B0">
      <w:pPr>
        <w:numPr>
          <w:ilvl w:val="0"/>
          <w:numId w:val="2"/>
        </w:numPr>
        <w:shd w:val="clear" w:color="auto" w:fill="FFFFFF"/>
        <w:bidi w:val="0"/>
        <w:spacing w:before="100" w:beforeAutospacing="1" w:after="100" w:afterAutospacing="1" w:line="480" w:lineRule="auto"/>
        <w:rPr>
          <w:rFonts w:eastAsia="Calibri" w:cs="Times New Roman"/>
          <w:szCs w:val="24"/>
          <w:lang w:eastAsia="en-GB" w:bidi="ar-SA"/>
        </w:rPr>
      </w:pPr>
      <w:r>
        <w:rPr>
          <w:rFonts w:eastAsia="Calibri" w:cs="Times New Roman"/>
          <w:szCs w:val="24"/>
          <w:lang w:eastAsia="en-GB" w:bidi="ar-SA"/>
        </w:rPr>
        <w:t>Preserving and managing healthcare resources efficiently;</w:t>
      </w:r>
    </w:p>
    <w:p w14:paraId="1CF3EC16">
      <w:pPr>
        <w:numPr>
          <w:ilvl w:val="0"/>
          <w:numId w:val="2"/>
        </w:numPr>
        <w:shd w:val="clear" w:color="auto" w:fill="FFFFFF"/>
        <w:bidi w:val="0"/>
        <w:spacing w:before="100" w:beforeAutospacing="1" w:after="100" w:afterAutospacing="1" w:line="480" w:lineRule="auto"/>
        <w:rPr>
          <w:rFonts w:eastAsia="Calibri" w:cs="Times New Roman"/>
          <w:szCs w:val="24"/>
          <w:lang w:eastAsia="en-GB" w:bidi="ar-SA"/>
        </w:rPr>
      </w:pPr>
      <w:r>
        <w:rPr>
          <w:rFonts w:eastAsia="Calibri" w:cs="Times New Roman"/>
          <w:szCs w:val="24"/>
          <w:lang w:eastAsia="en-GB" w:bidi="ar-SA"/>
        </w:rPr>
        <w:t>Ensuring legal compliance and operational continuity.</w:t>
      </w:r>
    </w:p>
    <w:p w14:paraId="54B4D6F7">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Calibri" w:cs="Times New Roman"/>
          <w:szCs w:val="24"/>
          <w:lang w:eastAsia="en-GB" w:bidi="ar-SA"/>
        </w:rPr>
        <w:t xml:space="preserve">The COVID-19 pandemic has further highlighted the essential role of effective risk management systems in mitigating large-scale crises </w:t>
      </w:r>
      <w:r>
        <w:rPr>
          <w:rFonts w:eastAsia="Calibri" w:cs="Times New Roman"/>
          <w:b/>
          <w:bCs/>
          <w:szCs w:val="24"/>
          <w:lang w:eastAsia="en-GB" w:bidi="ar-SA"/>
        </w:rPr>
        <w:t>(Yanka Perkasa &amp; Fardinal, 2021).</w:t>
      </w:r>
    </w:p>
    <w:p w14:paraId="38A7ACCE">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Calibri" w:cs="Times New Roman"/>
          <w:b/>
          <w:bCs/>
          <w:szCs w:val="24"/>
          <w:lang w:eastAsia="en-GB" w:bidi="ar-SA"/>
        </w:rPr>
        <w:t>Levy et al. (2010)</w:t>
      </w:r>
      <w:r>
        <w:rPr>
          <w:rFonts w:eastAsia="Calibri" w:cs="Times New Roman"/>
          <w:szCs w:val="24"/>
          <w:lang w:eastAsia="en-GB" w:bidi="ar-SA"/>
        </w:rPr>
        <w:t xml:space="preserve"> define </w:t>
      </w:r>
      <w:r>
        <w:rPr>
          <w:rFonts w:eastAsia="Calibri" w:cs="Times New Roman"/>
          <w:b/>
          <w:bCs/>
          <w:szCs w:val="24"/>
          <w:lang w:eastAsia="en-GB" w:bidi="ar-SA"/>
        </w:rPr>
        <w:t>risk culture</w:t>
      </w:r>
      <w:r>
        <w:rPr>
          <w:rFonts w:eastAsia="Calibri" w:cs="Times New Roman"/>
          <w:szCs w:val="24"/>
          <w:lang w:eastAsia="en-GB" w:bidi="ar-SA"/>
        </w:rPr>
        <w:t xml:space="preserve"> as the collective behavioral tendencies within an organization that influence how risk is perceived and managed, ultimately contributing to improved organizational performance</w:t>
      </w:r>
      <w:r>
        <w:rPr>
          <w:rFonts w:eastAsia="Calibri" w:cs="Times New Roman"/>
          <w:b/>
          <w:bCs/>
          <w:szCs w:val="24"/>
          <w:lang w:eastAsia="en-GB" w:bidi="ar-SA"/>
        </w:rPr>
        <w:t xml:space="preserve">. Shahzad et al. (2012) </w:t>
      </w:r>
      <w:r>
        <w:rPr>
          <w:rFonts w:eastAsia="Calibri" w:cs="Times New Roman"/>
          <w:szCs w:val="24"/>
          <w:lang w:eastAsia="en-GB" w:bidi="ar-SA"/>
        </w:rPr>
        <w:t>also underscore the significant impact of risk culture on employee performance outcomes</w:t>
      </w:r>
      <w:r>
        <w:rPr>
          <w:rFonts w:eastAsia="Calibri" w:cs="Times New Roman"/>
          <w:b/>
          <w:bCs/>
          <w:szCs w:val="24"/>
          <w:lang w:eastAsia="en-GB" w:bidi="ar-SA"/>
        </w:rPr>
        <w:t>. Fraser and Henry (2007)</w:t>
      </w:r>
      <w:r>
        <w:rPr>
          <w:rFonts w:eastAsia="Calibri" w:cs="Times New Roman"/>
          <w:szCs w:val="24"/>
          <w:lang w:eastAsia="en-GB" w:bidi="ar-SA"/>
        </w:rPr>
        <w:t xml:space="preserve"> explored whether integrating risk management into corporate governance could improve organizational results and shareholder value, though many studies suggest that numerous firms still lack comprehensive ERM systems.</w:t>
      </w:r>
    </w:p>
    <w:p w14:paraId="139D23F8">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Calibri" w:cs="Times New Roman"/>
          <w:szCs w:val="24"/>
          <w:lang w:eastAsia="en-GB" w:bidi="ar-SA"/>
        </w:rPr>
        <w:t xml:space="preserve">ERM influences organizational strategy by identifying and assessing enterprise-wide risks. </w:t>
      </w:r>
      <w:r>
        <w:rPr>
          <w:rFonts w:eastAsia="Calibri" w:cs="Times New Roman"/>
          <w:b/>
          <w:bCs/>
          <w:szCs w:val="24"/>
          <w:lang w:eastAsia="en-GB" w:bidi="ar-SA"/>
        </w:rPr>
        <w:t>Beasley et al. (2009)</w:t>
      </w:r>
      <w:r>
        <w:rPr>
          <w:rFonts w:eastAsia="Calibri" w:cs="Times New Roman"/>
          <w:szCs w:val="24"/>
          <w:lang w:eastAsia="en-GB" w:bidi="ar-SA"/>
        </w:rPr>
        <w:t xml:space="preserve"> describe ERM as a strategic and effective approach to risk. Fong and Samad (2011) affirm that risk is a vital component of corporate governance. According to </w:t>
      </w:r>
      <w:r>
        <w:rPr>
          <w:rFonts w:eastAsia="Calibri" w:cs="Times New Roman"/>
          <w:b/>
          <w:bCs/>
          <w:szCs w:val="24"/>
          <w:lang w:eastAsia="en-GB" w:bidi="ar-SA"/>
        </w:rPr>
        <w:t>COSO (2004),</w:t>
      </w:r>
      <w:r>
        <w:rPr>
          <w:rFonts w:eastAsia="Calibri" w:cs="Times New Roman"/>
          <w:szCs w:val="24"/>
          <w:lang w:eastAsia="en-GB" w:bidi="ar-SA"/>
        </w:rPr>
        <w:t xml:space="preserve"> increasing global volatility has spurred growing interest in integrated risk management frameworks. Research by </w:t>
      </w:r>
      <w:r>
        <w:rPr>
          <w:rFonts w:eastAsia="Calibri" w:cs="Times New Roman"/>
          <w:b/>
          <w:bCs/>
          <w:szCs w:val="24"/>
          <w:lang w:eastAsia="en-GB" w:bidi="ar-SA"/>
        </w:rPr>
        <w:t xml:space="preserve">Gordon et al. (2009) </w:t>
      </w:r>
      <w:r>
        <w:rPr>
          <w:rFonts w:eastAsia="Calibri" w:cs="Times New Roman"/>
          <w:szCs w:val="24"/>
          <w:lang w:eastAsia="en-GB" w:bidi="ar-SA"/>
        </w:rPr>
        <w:t xml:space="preserve">shows that organizations employing enterprise-wide risk strategies often see notable gains in performance and decision-making capabilities </w:t>
      </w:r>
      <w:r>
        <w:rPr>
          <w:rFonts w:eastAsia="Calibri" w:cs="Times New Roman"/>
          <w:b/>
          <w:bCs/>
          <w:szCs w:val="24"/>
          <w:lang w:eastAsia="en-GB" w:bidi="ar-SA"/>
        </w:rPr>
        <w:t>(Akpa et al., 2021).</w:t>
      </w:r>
    </w:p>
    <w:p w14:paraId="26751273">
      <w:pPr>
        <w:shd w:val="clear" w:color="auto" w:fill="FFFFFF"/>
        <w:bidi w:val="0"/>
        <w:spacing w:before="100" w:beforeAutospacing="1" w:after="100" w:afterAutospacing="1" w:line="480" w:lineRule="auto"/>
        <w:ind w:firstLine="567"/>
        <w:rPr>
          <w:rFonts w:eastAsia="Calibri" w:cs="Times New Roman"/>
          <w:b/>
          <w:bCs/>
          <w:szCs w:val="24"/>
          <w:lang w:eastAsia="en-GB" w:bidi="ar-SA"/>
        </w:rPr>
      </w:pPr>
      <w:r>
        <w:rPr>
          <w:rFonts w:eastAsia="Calibri" w:cs="Times New Roman"/>
          <w:szCs w:val="24"/>
          <w:lang w:eastAsia="en-GB" w:bidi="ar-SA"/>
        </w:rPr>
        <w:t xml:space="preserve">Organizational culture plays a critical role in shaping risk-related behavior. It serves as a daily guide for individual actions and gradually redefines how safety is perceived and enacted within the organization. </w:t>
      </w:r>
      <w:r>
        <w:rPr>
          <w:rFonts w:eastAsia="Calibri" w:cs="Times New Roman"/>
          <w:b/>
          <w:bCs/>
          <w:szCs w:val="24"/>
          <w:lang w:eastAsia="en-GB" w:bidi="ar-SA"/>
        </w:rPr>
        <w:t>Cooper (1998)</w:t>
      </w:r>
      <w:r>
        <w:rPr>
          <w:rFonts w:eastAsia="Calibri" w:cs="Times New Roman"/>
          <w:szCs w:val="24"/>
          <w:lang w:eastAsia="en-GB" w:bidi="ar-SA"/>
        </w:rPr>
        <w:t xml:space="preserve"> described </w:t>
      </w:r>
      <w:r>
        <w:rPr>
          <w:rFonts w:eastAsia="Calibri" w:cs="Times New Roman"/>
          <w:b/>
          <w:bCs/>
          <w:szCs w:val="24"/>
          <w:lang w:eastAsia="en-GB" w:bidi="ar-SA"/>
        </w:rPr>
        <w:t>safety culture</w:t>
      </w:r>
      <w:r>
        <w:rPr>
          <w:rFonts w:eastAsia="Calibri" w:cs="Times New Roman"/>
          <w:szCs w:val="24"/>
          <w:lang w:eastAsia="en-GB" w:bidi="ar-SA"/>
        </w:rPr>
        <w:t xml:space="preserve"> as the interplay of personal, organizational, and job-related attributes that shape overall safety performance. Later,</w:t>
      </w:r>
      <w:r>
        <w:rPr>
          <w:rFonts w:eastAsia="Calibri" w:cs="Times New Roman"/>
          <w:b/>
          <w:bCs/>
          <w:szCs w:val="24"/>
          <w:lang w:eastAsia="en-GB" w:bidi="ar-SA"/>
        </w:rPr>
        <w:t xml:space="preserve"> Cooper (2000) </w:t>
      </w:r>
      <w:r>
        <w:rPr>
          <w:rFonts w:eastAsia="Calibri" w:cs="Times New Roman"/>
          <w:szCs w:val="24"/>
          <w:lang w:eastAsia="en-GB" w:bidi="ar-SA"/>
        </w:rPr>
        <w:t xml:space="preserve">clarified that safety culture is a distinct but integral dimension within the broader framework of organizational culture, and it significantly affects the safety behaviors and outcomes in any workplace </w:t>
      </w:r>
      <w:r>
        <w:rPr>
          <w:rFonts w:eastAsia="Calibri" w:cs="Times New Roman"/>
          <w:b/>
          <w:bCs/>
          <w:szCs w:val="24"/>
          <w:lang w:eastAsia="en-GB" w:bidi="ar-SA"/>
        </w:rPr>
        <w:t>(Broder &amp; Tucker, 2011)</w:t>
      </w:r>
      <w:r>
        <w:rPr>
          <w:rFonts w:eastAsia="Times New Roman" w:cs="Times New Roman"/>
          <w:b/>
          <w:bCs/>
          <w:szCs w:val="24"/>
          <w:lang w:eastAsia="en-GB" w:bidi="ar-SA"/>
        </w:rPr>
        <w:t>.</w:t>
      </w:r>
    </w:p>
    <w:p w14:paraId="6DFCE124">
      <w:pPr>
        <w:pStyle w:val="2"/>
      </w:pPr>
      <w:r>
        <w:t xml:space="preserve">Internal Control </w:t>
      </w:r>
    </w:p>
    <w:p w14:paraId="19164EC9">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 xml:space="preserve">The concept of internal control originated in the early 20th century and gained substantial recognition in economic literature by the mid-1900s. A significant milestone in the development of modern internal control theory was the issuance of the </w:t>
      </w:r>
      <w:r>
        <w:rPr>
          <w:rFonts w:eastAsia="Times New Roman" w:cs="Times New Roman"/>
          <w:b/>
          <w:bCs/>
          <w:szCs w:val="24"/>
          <w:lang w:eastAsia="en-GB" w:bidi="ar-SA"/>
        </w:rPr>
        <w:t>COSO Report</w:t>
      </w:r>
      <w:r>
        <w:rPr>
          <w:rFonts w:eastAsia="Times New Roman" w:cs="Times New Roman"/>
          <w:szCs w:val="24"/>
          <w:lang w:eastAsia="en-GB" w:bidi="ar-SA"/>
        </w:rPr>
        <w:t xml:space="preserve"> in 1992, followed by a 1994 supplement. Together, these reports established a foundational framework for internal control systems. According to </w:t>
      </w:r>
      <w:r>
        <w:rPr>
          <w:rFonts w:eastAsia="Times New Roman" w:cs="Times New Roman"/>
          <w:b/>
          <w:bCs/>
          <w:szCs w:val="24"/>
          <w:lang w:eastAsia="en-GB" w:bidi="ar-SA"/>
        </w:rPr>
        <w:t>Njagi (2018),</w:t>
      </w:r>
      <w:r>
        <w:rPr>
          <w:rFonts w:eastAsia="Times New Roman" w:cs="Times New Roman"/>
          <w:szCs w:val="24"/>
          <w:lang w:eastAsia="en-GB" w:bidi="ar-SA"/>
        </w:rPr>
        <w:t xml:space="preserve"> internal controls are structured processes endorsed by management and are meant to be consistently followed by employees to ensure compliance and organizational stability.</w:t>
      </w:r>
    </w:p>
    <w:p w14:paraId="07D926A0">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Effective internal control frameworks embed the organization’s structural influence and the mindset of both management and staff, cultivating a unified “control consciousness” (</w:t>
      </w:r>
      <w:r>
        <w:rPr>
          <w:rFonts w:eastAsia="Times New Roman" w:cs="Times New Roman"/>
          <w:b/>
          <w:bCs/>
          <w:szCs w:val="24"/>
          <w:lang w:eastAsia="en-GB" w:bidi="ar-SA"/>
        </w:rPr>
        <w:t>Herz et al., 2017).</w:t>
      </w:r>
      <w:r>
        <w:rPr>
          <w:rFonts w:eastAsia="Times New Roman" w:cs="Times New Roman"/>
          <w:szCs w:val="24"/>
          <w:lang w:eastAsia="en-GB" w:bidi="ar-SA"/>
        </w:rPr>
        <w:t xml:space="preserve"> The COSO framework outlines four key objectives and five integrated components of internal control. </w:t>
      </w:r>
      <w:r>
        <w:rPr>
          <w:rFonts w:eastAsia="Times New Roman" w:cs="Times New Roman"/>
          <w:b/>
          <w:bCs/>
          <w:szCs w:val="24"/>
          <w:lang w:eastAsia="en-GB" w:bidi="ar-SA"/>
        </w:rPr>
        <w:t>Schein (1996)</w:t>
      </w:r>
      <w:r>
        <w:rPr>
          <w:rFonts w:eastAsia="Times New Roman" w:cs="Times New Roman"/>
          <w:szCs w:val="24"/>
          <w:lang w:eastAsia="en-GB" w:bidi="ar-SA"/>
        </w:rPr>
        <w:t xml:space="preserve"> describes the control environment as a combination of elements that influence both the organizational culture and the perceptions of authority, rights, and duties—especially as they relate to human resource decisions. </w:t>
      </w:r>
      <w:r>
        <w:rPr>
          <w:rFonts w:eastAsia="Times New Roman" w:cs="Times New Roman"/>
          <w:b/>
          <w:bCs/>
          <w:szCs w:val="24"/>
          <w:lang w:eastAsia="en-GB" w:bidi="ar-SA"/>
        </w:rPr>
        <w:t>Mulyadi (2016</w:t>
      </w:r>
      <w:r>
        <w:rPr>
          <w:rFonts w:eastAsia="Times New Roman" w:cs="Times New Roman"/>
          <w:szCs w:val="24"/>
          <w:lang w:eastAsia="en-GB" w:bidi="ar-SA"/>
        </w:rPr>
        <w:t xml:space="preserve">) emphasizes that internal control includes guidelines aimed at safeguarding organizational assets, ensuring accounting accuracy, maintaining data integrity, and promoting adherence to company policies. Moreover, internal control effectiveness is shaped by leadership philosophy, decision-making style, and the overall corporate culture </w:t>
      </w:r>
      <w:r>
        <w:rPr>
          <w:rFonts w:eastAsia="Times New Roman" w:cs="Times New Roman"/>
          <w:b/>
          <w:bCs/>
          <w:szCs w:val="24"/>
          <w:lang w:eastAsia="en-GB" w:bidi="ar-SA"/>
        </w:rPr>
        <w:t>(Joseph &amp; Kibera, 2019).</w:t>
      </w:r>
    </w:p>
    <w:p w14:paraId="30AB850B">
      <w:pPr>
        <w:shd w:val="clear" w:color="auto" w:fill="FFFFFF"/>
        <w:bidi w:val="0"/>
        <w:spacing w:before="100" w:beforeAutospacing="1" w:after="100" w:afterAutospacing="1" w:line="480" w:lineRule="auto"/>
        <w:ind w:firstLine="567"/>
        <w:rPr>
          <w:rFonts w:eastAsia="Times New Roman" w:cs="Times New Roman"/>
          <w:b/>
          <w:bCs/>
          <w:szCs w:val="24"/>
          <w:lang w:eastAsia="en-GB" w:bidi="ar-SA"/>
        </w:rPr>
      </w:pPr>
      <w:r>
        <w:rPr>
          <w:rFonts w:eastAsia="Times New Roman" w:cs="Times New Roman"/>
          <w:szCs w:val="24"/>
          <w:lang w:eastAsia="en-GB" w:bidi="ar-SA"/>
        </w:rPr>
        <w:t xml:space="preserve">In healthcare institutions such as hospitals, internal audit functions drive the demand for improved governance and operational excellence </w:t>
      </w:r>
      <w:r>
        <w:rPr>
          <w:rFonts w:eastAsia="Times New Roman" w:cs="Times New Roman"/>
          <w:b/>
          <w:bCs/>
          <w:szCs w:val="24"/>
          <w:lang w:eastAsia="en-GB" w:bidi="ar-SA"/>
        </w:rPr>
        <w:t xml:space="preserve">(Koutoupis &amp; Pappa, 2018). </w:t>
      </w:r>
      <w:r>
        <w:rPr>
          <w:rFonts w:eastAsia="Times New Roman" w:cs="Times New Roman"/>
          <w:szCs w:val="24"/>
          <w:lang w:eastAsia="en-GB" w:bidi="ar-SA"/>
        </w:rPr>
        <w:t xml:space="preserve">Hospital internal controls are developed using a </w:t>
      </w:r>
      <w:r>
        <w:rPr>
          <w:rFonts w:eastAsia="Times New Roman" w:cs="Times New Roman"/>
          <w:b/>
          <w:bCs/>
          <w:szCs w:val="24"/>
          <w:lang w:eastAsia="en-GB" w:bidi="ar-SA"/>
        </w:rPr>
        <w:t>risk-based approach</w:t>
      </w:r>
      <w:r>
        <w:rPr>
          <w:rFonts w:eastAsia="Times New Roman" w:cs="Times New Roman"/>
          <w:szCs w:val="24"/>
          <w:lang w:eastAsia="en-GB" w:bidi="ar-SA"/>
        </w:rPr>
        <w:t xml:space="preserve">, where minor risks may be streamlined, but high-priority risks necessitate robust procedures, defined systems, and specific control mechanisms. These systems rely heavily on a comprehensive risk assessment that evaluates both internal and external threats, facilitating strategic responses </w:t>
      </w:r>
      <w:r>
        <w:rPr>
          <w:rFonts w:eastAsia="Times New Roman" w:cs="Times New Roman"/>
          <w:b/>
          <w:bCs/>
          <w:szCs w:val="24"/>
          <w:lang w:eastAsia="en-GB" w:bidi="ar-SA"/>
        </w:rPr>
        <w:t>(d’Ettorre et al., 2021).</w:t>
      </w:r>
    </w:p>
    <w:p w14:paraId="3F1BC453">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 xml:space="preserve">The origins of formal control theory can be traced back to </w:t>
      </w:r>
      <w:r>
        <w:rPr>
          <w:rFonts w:eastAsia="Times New Roman" w:cs="Times New Roman"/>
          <w:b/>
          <w:bCs/>
          <w:szCs w:val="24"/>
          <w:lang w:eastAsia="en-GB" w:bidi="ar-SA"/>
        </w:rPr>
        <w:t>Taylor (1911)</w:t>
      </w:r>
      <w:r>
        <w:rPr>
          <w:rFonts w:eastAsia="Times New Roman" w:cs="Times New Roman"/>
          <w:szCs w:val="24"/>
          <w:lang w:eastAsia="en-GB" w:bidi="ar-SA"/>
        </w:rPr>
        <w:t xml:space="preserve"> and </w:t>
      </w:r>
      <w:r>
        <w:rPr>
          <w:rFonts w:eastAsia="Times New Roman" w:cs="Times New Roman"/>
          <w:b/>
          <w:bCs/>
          <w:szCs w:val="24"/>
          <w:lang w:eastAsia="en-GB" w:bidi="ar-SA"/>
        </w:rPr>
        <w:t xml:space="preserve">Fayol (1916), </w:t>
      </w:r>
      <w:r>
        <w:rPr>
          <w:rFonts w:eastAsia="Times New Roman" w:cs="Times New Roman"/>
          <w:szCs w:val="24"/>
          <w:lang w:eastAsia="en-GB" w:bidi="ar-SA"/>
        </w:rPr>
        <w:t xml:space="preserve">with the latter identifying control as one of the core managerial functions. Reporting practices are also a critical component of internal control. According to </w:t>
      </w:r>
      <w:r>
        <w:rPr>
          <w:rFonts w:eastAsia="Times New Roman" w:cs="Times New Roman"/>
          <w:b/>
          <w:bCs/>
          <w:szCs w:val="24"/>
          <w:lang w:eastAsia="en-GB" w:bidi="ar-SA"/>
        </w:rPr>
        <w:t>Willis (2000),</w:t>
      </w:r>
      <w:r>
        <w:rPr>
          <w:rFonts w:eastAsia="Times New Roman" w:cs="Times New Roman"/>
          <w:szCs w:val="24"/>
          <w:lang w:eastAsia="en-GB" w:bidi="ar-SA"/>
        </w:rPr>
        <w:t xml:space="preserve"> transparent internal control disclosures enhance corporate governance and positively influence a firm’s market value. </w:t>
      </w:r>
      <w:r>
        <w:rPr>
          <w:rFonts w:eastAsia="Times New Roman" w:cs="Times New Roman"/>
          <w:b/>
          <w:bCs/>
          <w:szCs w:val="24"/>
          <w:lang w:eastAsia="en-GB" w:bidi="ar-SA"/>
        </w:rPr>
        <w:t>Ashbaugh (2009)</w:t>
      </w:r>
      <w:r>
        <w:rPr>
          <w:rFonts w:eastAsia="Times New Roman" w:cs="Times New Roman"/>
          <w:szCs w:val="24"/>
          <w:lang w:eastAsia="en-GB" w:bidi="ar-SA"/>
        </w:rPr>
        <w:t xml:space="preserve"> found that internal control strength varies based on systemic risk exposure, capital costs, and structural deficiencies, while </w:t>
      </w:r>
      <w:r>
        <w:rPr>
          <w:rFonts w:eastAsia="Times New Roman" w:cs="Times New Roman"/>
          <w:b/>
          <w:bCs/>
          <w:szCs w:val="24"/>
          <w:lang w:eastAsia="en-GB" w:bidi="ar-SA"/>
        </w:rPr>
        <w:t xml:space="preserve">Hogan (2008) </w:t>
      </w:r>
      <w:r>
        <w:rPr>
          <w:rFonts w:eastAsia="Times New Roman" w:cs="Times New Roman"/>
          <w:szCs w:val="24"/>
          <w:lang w:eastAsia="en-GB" w:bidi="ar-SA"/>
        </w:rPr>
        <w:t>reported a direct relationship between the severity of internal control issues and increased audit expenses.</w:t>
      </w:r>
    </w:p>
    <w:p w14:paraId="27476903">
      <w:pPr>
        <w:shd w:val="clear" w:color="auto" w:fill="FFFFFF"/>
        <w:bidi w:val="0"/>
        <w:spacing w:before="100" w:beforeAutospacing="1" w:after="100" w:afterAutospacing="1" w:line="480" w:lineRule="auto"/>
        <w:ind w:firstLine="567"/>
        <w:rPr>
          <w:rFonts w:eastAsia="Times New Roman" w:cs="Times New Roman"/>
          <w:szCs w:val="24"/>
          <w:lang w:eastAsia="en-GB" w:bidi="ar-SA"/>
        </w:rPr>
      </w:pPr>
      <w:r>
        <w:rPr>
          <w:rFonts w:eastAsia="Times New Roman" w:cs="Times New Roman"/>
          <w:szCs w:val="24"/>
          <w:lang w:eastAsia="en-GB" w:bidi="ar-SA"/>
        </w:rPr>
        <w:t xml:space="preserve">Internal control mechanisms function across all phases of enterprise growth, adapting to various types of organizational development. </w:t>
      </w:r>
      <w:r>
        <w:rPr>
          <w:rFonts w:eastAsia="Times New Roman" w:cs="Times New Roman"/>
          <w:b/>
          <w:bCs/>
          <w:szCs w:val="24"/>
          <w:lang w:eastAsia="en-GB" w:bidi="ar-SA"/>
        </w:rPr>
        <w:t>Susanto (2017)</w:t>
      </w:r>
      <w:r>
        <w:rPr>
          <w:rFonts w:eastAsia="Times New Roman" w:cs="Times New Roman"/>
          <w:szCs w:val="24"/>
          <w:lang w:eastAsia="en-GB" w:bidi="ar-SA"/>
        </w:rPr>
        <w:t xml:space="preserve"> argues that such systems are essential for generating reliable financial data needed for strategic decision-making. </w:t>
      </w:r>
      <w:r>
        <w:rPr>
          <w:rFonts w:eastAsia="Times New Roman" w:cs="Times New Roman"/>
          <w:b/>
          <w:bCs/>
          <w:szCs w:val="24"/>
          <w:lang w:eastAsia="en-GB" w:bidi="ar-SA"/>
        </w:rPr>
        <w:t>Schandl and Foster (2019)</w:t>
      </w:r>
      <w:r>
        <w:rPr>
          <w:rFonts w:eastAsia="Times New Roman" w:cs="Times New Roman"/>
          <w:szCs w:val="24"/>
          <w:lang w:eastAsia="en-GB" w:bidi="ar-SA"/>
        </w:rPr>
        <w:t xml:space="preserve"> advocate for continuous monitoring to improve the effectiveness of internal evaluations. </w:t>
      </w:r>
      <w:r>
        <w:rPr>
          <w:rFonts w:eastAsia="Times New Roman" w:cs="Times New Roman"/>
          <w:b/>
          <w:bCs/>
          <w:szCs w:val="24"/>
          <w:lang w:eastAsia="en-GB" w:bidi="ar-SA"/>
        </w:rPr>
        <w:t>Arens et al. (2014)</w:t>
      </w:r>
      <w:r>
        <w:rPr>
          <w:rFonts w:eastAsia="Times New Roman" w:cs="Times New Roman"/>
          <w:szCs w:val="24"/>
          <w:lang w:eastAsia="en-GB" w:bidi="ar-SA"/>
        </w:rPr>
        <w:t xml:space="preserve"> further reinforce that internal control contributes significantly to the oversight and application of Good Corporate Governance (GCG).</w:t>
      </w:r>
    </w:p>
    <w:p w14:paraId="4FF71441">
      <w:pPr>
        <w:shd w:val="clear" w:color="auto" w:fill="FFFFFF"/>
        <w:bidi w:val="0"/>
        <w:spacing w:before="100" w:beforeAutospacing="1" w:after="100" w:afterAutospacing="1" w:line="480" w:lineRule="auto"/>
        <w:ind w:firstLine="567"/>
        <w:rPr>
          <w:rFonts w:eastAsia="Calibri" w:cs="Times New Roman"/>
          <w:szCs w:val="24"/>
          <w:lang w:eastAsia="en-GB" w:bidi="ar-SA"/>
        </w:rPr>
      </w:pPr>
      <w:r>
        <w:rPr>
          <w:rFonts w:eastAsia="Times New Roman" w:cs="Times New Roman"/>
          <w:szCs w:val="24"/>
          <w:lang w:eastAsia="en-GB" w:bidi="ar-SA"/>
        </w:rPr>
        <w:t xml:space="preserve">To institutionalize ethical practices and accountability, organizations should establish behavioral benchmarks within their cultural framework. </w:t>
      </w:r>
      <w:r>
        <w:rPr>
          <w:rFonts w:eastAsia="Times New Roman" w:cs="Times New Roman"/>
          <w:b/>
          <w:bCs/>
          <w:szCs w:val="24"/>
          <w:lang w:eastAsia="en-GB" w:bidi="ar-SA"/>
        </w:rPr>
        <w:t xml:space="preserve">Nasrum (2018) </w:t>
      </w:r>
      <w:r>
        <w:rPr>
          <w:rFonts w:eastAsia="Times New Roman" w:cs="Times New Roman"/>
          <w:szCs w:val="24"/>
          <w:lang w:eastAsia="en-GB" w:bidi="ar-SA"/>
        </w:rPr>
        <w:t xml:space="preserve">notes that such benchmarks help align employee conduct with organizational values and ethical norms. A strong culture is also linked to long-term corporate sustainability </w:t>
      </w:r>
      <w:r>
        <w:rPr>
          <w:rFonts w:eastAsia="Times New Roman" w:cs="Times New Roman"/>
          <w:b/>
          <w:bCs/>
          <w:szCs w:val="24"/>
          <w:lang w:eastAsia="en-GB" w:bidi="ar-SA"/>
        </w:rPr>
        <w:t>(Taylor, 2017). Manossoh (2016)</w:t>
      </w:r>
      <w:r>
        <w:rPr>
          <w:rFonts w:eastAsia="Times New Roman" w:cs="Times New Roman"/>
          <w:szCs w:val="24"/>
          <w:lang w:eastAsia="en-GB" w:bidi="ar-SA"/>
        </w:rPr>
        <w:t xml:space="preserve"> emphasizes the importance of harmonizing internal systems with external pressures in governance, where cultural values impact both individual and collective performance. Lastly, </w:t>
      </w:r>
      <w:r>
        <w:rPr>
          <w:rFonts w:eastAsia="Times New Roman" w:cs="Times New Roman"/>
          <w:b/>
          <w:bCs/>
          <w:szCs w:val="24"/>
          <w:lang w:eastAsia="en-GB" w:bidi="ar-SA"/>
        </w:rPr>
        <w:t>Yanka and Fardinal (2021)</w:t>
      </w:r>
      <w:r>
        <w:rPr>
          <w:rFonts w:eastAsia="Times New Roman" w:cs="Times New Roman"/>
          <w:szCs w:val="24"/>
          <w:lang w:eastAsia="en-GB" w:bidi="ar-SA"/>
        </w:rPr>
        <w:t xml:space="preserve"> found a significant correlation between internal control quality and the effectiveness of accounting information systems</w:t>
      </w:r>
      <w:r>
        <w:rPr>
          <w:rFonts w:eastAsia="Calibri" w:cs="Times New Roman"/>
          <w:szCs w:val="24"/>
          <w:lang w:eastAsia="en-GB" w:bidi="ar-SA"/>
        </w:rPr>
        <w:t>.</w:t>
      </w:r>
    </w:p>
    <w:p w14:paraId="14D1C599">
      <w:pPr>
        <w:pStyle w:val="2"/>
      </w:pPr>
      <w:bookmarkStart w:id="11" w:name="_Toc105955093"/>
      <w:r>
        <w:t>Significance of the Study</w:t>
      </w:r>
      <w:bookmarkEnd w:id="11"/>
    </w:p>
    <w:p w14:paraId="03825819">
      <w:pPr>
        <w:widowControl w:val="0"/>
        <w:autoSpaceDE w:val="0"/>
        <w:autoSpaceDN w:val="0"/>
        <w:bidi w:val="0"/>
        <w:spacing w:before="100" w:beforeAutospacing="1" w:after="100" w:afterAutospacing="1" w:line="480" w:lineRule="auto"/>
        <w:ind w:right="134" w:firstLine="630"/>
        <w:rPr>
          <w:rFonts w:eastAsia="Times New Roman" w:cs="Times New Roman"/>
          <w:szCs w:val="24"/>
          <w:lang w:eastAsia="en-GB" w:bidi="ar-SA"/>
        </w:rPr>
      </w:pPr>
      <w:r>
        <w:rPr>
          <w:rFonts w:eastAsia="Times New Roman" w:cs="Times New Roman"/>
          <w:szCs w:val="24"/>
          <w:lang w:eastAsia="en-GB" w:bidi="en-US"/>
        </w:rPr>
        <w:t>This study holds critical significance as it explores the dynamic relationship between organizational culture and the effectiveness of risk management practices within a high-stakes healthcare setting. At King Faisal Specialist Hospital &amp; Research Centre—a leading institution in Saudi Arabia known for its excellence in specialized medical care—understanding how cultural norms, values, and leadership influence safety protocols and risk awareness is essential. With increasing demands for patient safety, quality healthcare delivery, and institutional accountability, this research provides evidence-based insights into how fostering a positive and proactive culture can reduce adverse events, improve compliance with safety guidelines, and enhance workforce engagement in risk prevention efforts. Furthermore, the study aligns with the goals of Saudi Vision 2030 by supporting healthcare transformation and strengthening institutional performance. By identifying cultural strengths and gaps, the findings can inform policy, training programs, and leadership strategies that promote a more resilient, responsive, and safety-driven hospital environment—ultimately improving both staff well-being and patient outcomes</w:t>
      </w:r>
      <w:r>
        <w:rPr>
          <w:rFonts w:eastAsia="Times New Roman" w:cs="Times New Roman"/>
          <w:szCs w:val="24"/>
          <w:lang w:eastAsia="en-GB" w:bidi="ar-SA"/>
        </w:rPr>
        <w:t xml:space="preserve">. </w:t>
      </w:r>
    </w:p>
    <w:p w14:paraId="5870AD1B">
      <w:pPr>
        <w:pStyle w:val="2"/>
      </w:pPr>
      <w:bookmarkStart w:id="12" w:name="_Toc105955094"/>
      <w:r>
        <w:t>Study Purpose</w:t>
      </w:r>
      <w:bookmarkEnd w:id="12"/>
    </w:p>
    <w:p w14:paraId="3A1ACBD0">
      <w:pPr>
        <w:bidi w:val="0"/>
        <w:spacing w:line="480" w:lineRule="auto"/>
        <w:ind w:firstLine="720"/>
        <w:rPr>
          <w:rFonts w:asciiTheme="majorBidi" w:hAnsiTheme="majorBidi" w:cstheme="majorBidi"/>
          <w:szCs w:val="24"/>
        </w:rPr>
      </w:pPr>
      <w:r>
        <w:rPr>
          <w:rFonts w:asciiTheme="majorBidi" w:hAnsiTheme="majorBidi" w:cstheme="majorBidi"/>
          <w:szCs w:val="24"/>
        </w:rPr>
        <w:t>The study aimed to to assess how healthcare workers perceive the risk management culture within the institution and to evaluate the extent to which organizational culture impacts the implementation and success of risk-related practices. By benchmarking these findings against international standards, the study seeks to provide a comprehensive understanding of how culture shapes safety performance in one of the Middle East’s most advanced healthcare institutions.</w:t>
      </w:r>
    </w:p>
    <w:p w14:paraId="5482AFB1">
      <w:pPr>
        <w:bidi w:val="0"/>
        <w:ind w:firstLine="0"/>
        <w:rPr>
          <w:rFonts w:eastAsia="Calibri"/>
          <w:b/>
        </w:rPr>
      </w:pPr>
      <w:r>
        <w:rPr>
          <w:rFonts w:eastAsia="Calibri"/>
          <w:b/>
        </w:rPr>
        <w:t>Research Objectives</w:t>
      </w:r>
    </w:p>
    <w:p w14:paraId="349B0AD1">
      <w:pPr>
        <w:pStyle w:val="10"/>
        <w:numPr>
          <w:ilvl w:val="0"/>
          <w:numId w:val="3"/>
        </w:numPr>
        <w:bidi w:val="0"/>
        <w:rPr>
          <w:bCs/>
        </w:rPr>
      </w:pPr>
      <w:r>
        <w:rPr>
          <w:bCs/>
        </w:rPr>
        <w:t>To evaluate the awareness and understanding of risk management culture among healthcare staff at KFSHRC.</w:t>
      </w:r>
    </w:p>
    <w:p w14:paraId="3AFAD4E2">
      <w:pPr>
        <w:pStyle w:val="10"/>
        <w:numPr>
          <w:ilvl w:val="0"/>
          <w:numId w:val="3"/>
        </w:numPr>
        <w:bidi w:val="0"/>
        <w:rPr>
          <w:bCs/>
        </w:rPr>
      </w:pPr>
      <w:r>
        <w:rPr>
          <w:bCs/>
        </w:rPr>
        <w:t>To examine the correlation between organizational culture dimensions and the effectiveness of risk management.</w:t>
      </w:r>
    </w:p>
    <w:p w14:paraId="43C5BD97">
      <w:pPr>
        <w:pStyle w:val="10"/>
        <w:numPr>
          <w:ilvl w:val="0"/>
          <w:numId w:val="3"/>
        </w:numPr>
        <w:bidi w:val="0"/>
        <w:rPr>
          <w:bCs/>
        </w:rPr>
      </w:pPr>
      <w:r>
        <w:rPr>
          <w:bCs/>
        </w:rPr>
        <w:t>To identify factors influencing risk culture development in a technologically advanced and internationally recognized healthcare setting.</w:t>
      </w:r>
    </w:p>
    <w:p w14:paraId="14071B61">
      <w:pPr>
        <w:pStyle w:val="10"/>
        <w:numPr>
          <w:ilvl w:val="0"/>
          <w:numId w:val="3"/>
        </w:numPr>
        <w:bidi w:val="0"/>
        <w:rPr>
          <w:bCs/>
        </w:rPr>
      </w:pPr>
      <w:r>
        <w:rPr>
          <w:bCs/>
        </w:rPr>
        <w:t>To offer evidence-based recommendations to improve patient safety and organizational risk culture at KFSHRC.</w:t>
      </w:r>
    </w:p>
    <w:p w14:paraId="12771D53">
      <w:pPr>
        <w:bidi w:val="0"/>
        <w:ind w:left="360" w:firstLine="0"/>
        <w:rPr>
          <w:b/>
        </w:rPr>
      </w:pPr>
      <w:r>
        <w:rPr>
          <w:b/>
        </w:rPr>
        <w:t>Research Hypotheses</w:t>
      </w:r>
    </w:p>
    <w:p w14:paraId="7EACA4D5">
      <w:pPr>
        <w:pStyle w:val="10"/>
        <w:numPr>
          <w:ilvl w:val="0"/>
          <w:numId w:val="4"/>
        </w:numPr>
        <w:bidi w:val="0"/>
        <w:rPr>
          <w:b/>
        </w:rPr>
      </w:pPr>
      <w:r>
        <w:rPr>
          <w:b/>
        </w:rPr>
        <w:t>H₀ (Null Hypothesis):</w:t>
      </w:r>
    </w:p>
    <w:p w14:paraId="403C7B9C">
      <w:pPr>
        <w:bidi w:val="0"/>
        <w:ind w:left="360" w:firstLine="0"/>
        <w:rPr>
          <w:bCs/>
        </w:rPr>
      </w:pPr>
      <w:r>
        <w:rPr>
          <w:bCs/>
        </w:rPr>
        <w:t>There is no statistically significant relationship between organizational culture and the effectiveness of risk management among healthcare workers at King Faisal Specialist Hospital &amp; Research Centre.</w:t>
      </w:r>
    </w:p>
    <w:p w14:paraId="34228D66">
      <w:pPr>
        <w:pStyle w:val="10"/>
        <w:numPr>
          <w:ilvl w:val="0"/>
          <w:numId w:val="4"/>
        </w:numPr>
        <w:bidi w:val="0"/>
        <w:rPr>
          <w:b/>
        </w:rPr>
      </w:pPr>
      <w:r>
        <w:rPr>
          <w:b/>
        </w:rPr>
        <w:t>H₁ (Alternative Hypothesis):</w:t>
      </w:r>
    </w:p>
    <w:p w14:paraId="58839405">
      <w:pPr>
        <w:bidi w:val="0"/>
        <w:ind w:left="360" w:firstLine="0"/>
        <w:rPr>
          <w:bCs/>
        </w:rPr>
      </w:pPr>
      <w:r>
        <w:rPr>
          <w:bCs/>
        </w:rPr>
        <w:t>There is a statistically significant relationship between organizational culture and the effectiveness of risk management among healthcare workers at King Faisal Specialist Hospital &amp; Research Centre.</w:t>
      </w:r>
    </w:p>
    <w:p w14:paraId="78043174">
      <w:pPr>
        <w:pStyle w:val="2"/>
      </w:pPr>
      <w:bookmarkStart w:id="13" w:name="_Toc105955095"/>
      <w:r>
        <w:t>2.11 Research Questions</w:t>
      </w:r>
      <w:bookmarkEnd w:id="13"/>
    </w:p>
    <w:p w14:paraId="5CC793EF">
      <w:pPr>
        <w:numPr>
          <w:ilvl w:val="0"/>
          <w:numId w:val="5"/>
        </w:numPr>
        <w:tabs>
          <w:tab w:val="left" w:pos="11178"/>
        </w:tabs>
        <w:bidi w:val="0"/>
        <w:spacing w:line="480" w:lineRule="auto"/>
        <w:rPr>
          <w:rFonts w:eastAsia="Times New Roman" w:asciiTheme="majorBidi" w:hAnsiTheme="majorBidi" w:cstheme="majorBidi"/>
          <w:szCs w:val="24"/>
          <w:rtl/>
        </w:rPr>
      </w:pPr>
      <w:r>
        <w:rPr>
          <w:rFonts w:eastAsia="Times New Roman" w:asciiTheme="majorBidi" w:hAnsiTheme="majorBidi" w:cstheme="majorBidi"/>
          <w:szCs w:val="24"/>
        </w:rPr>
        <w:t>What is the prevailing organizational culture among healthcare workers at King Faisal Specialist Hospital &amp; Research Centre?</w:t>
      </w:r>
    </w:p>
    <w:p w14:paraId="168DC74A">
      <w:pPr>
        <w:numPr>
          <w:ilvl w:val="0"/>
          <w:numId w:val="5"/>
        </w:numPr>
        <w:tabs>
          <w:tab w:val="left" w:pos="11178"/>
        </w:tabs>
        <w:bidi w:val="0"/>
        <w:spacing w:line="480" w:lineRule="auto"/>
        <w:rPr>
          <w:rFonts w:eastAsia="Times New Roman" w:asciiTheme="majorBidi" w:hAnsiTheme="majorBidi" w:cstheme="majorBidi"/>
          <w:szCs w:val="24"/>
          <w:rtl/>
        </w:rPr>
      </w:pPr>
      <w:r>
        <w:rPr>
          <w:rFonts w:eastAsia="Times New Roman" w:asciiTheme="majorBidi" w:hAnsiTheme="majorBidi" w:cstheme="majorBidi"/>
          <w:szCs w:val="24"/>
        </w:rPr>
        <w:t>How do healthcare workers perceive the effectiveness of current risk management practices within the hospital?</w:t>
      </w:r>
    </w:p>
    <w:p w14:paraId="55F430B6">
      <w:pPr>
        <w:numPr>
          <w:ilvl w:val="0"/>
          <w:numId w:val="5"/>
        </w:numPr>
        <w:tabs>
          <w:tab w:val="left" w:pos="11178"/>
        </w:tabs>
        <w:bidi w:val="0"/>
        <w:spacing w:line="480" w:lineRule="auto"/>
        <w:rPr>
          <w:rFonts w:eastAsia="Times New Roman" w:asciiTheme="majorBidi" w:hAnsiTheme="majorBidi" w:cstheme="majorBidi"/>
          <w:szCs w:val="24"/>
          <w:rtl/>
        </w:rPr>
      </w:pPr>
      <w:r>
        <w:rPr>
          <w:rFonts w:eastAsia="Times New Roman" w:asciiTheme="majorBidi" w:hAnsiTheme="majorBidi" w:cstheme="majorBidi"/>
          <w:szCs w:val="24"/>
        </w:rPr>
        <w:t>Is there a significant relationship between organizational culture and the effectiveness of risk management among healthcare professionals in the hospital?</w:t>
      </w:r>
    </w:p>
    <w:p w14:paraId="049C183F">
      <w:pPr>
        <w:numPr>
          <w:ilvl w:val="0"/>
          <w:numId w:val="5"/>
        </w:numPr>
        <w:tabs>
          <w:tab w:val="left" w:pos="11178"/>
        </w:tabs>
        <w:bidi w:val="0"/>
        <w:spacing w:line="480" w:lineRule="auto"/>
        <w:rPr>
          <w:rFonts w:eastAsia="Times New Roman" w:asciiTheme="majorBidi" w:hAnsiTheme="majorBidi" w:cstheme="majorBidi"/>
          <w:szCs w:val="24"/>
          <w:rtl/>
        </w:rPr>
      </w:pPr>
      <w:r>
        <w:rPr>
          <w:rFonts w:eastAsia="Times New Roman" w:asciiTheme="majorBidi" w:hAnsiTheme="majorBidi" w:cstheme="majorBidi"/>
          <w:szCs w:val="24"/>
        </w:rPr>
        <w:t>Which specific dimensions of organizational culture (e.g., communication, leadership, teamwork, or support systems) most influence risk management effectiveness?</w:t>
      </w:r>
    </w:p>
    <w:p w14:paraId="6EB1A80E">
      <w:pPr>
        <w:numPr>
          <w:ilvl w:val="0"/>
          <w:numId w:val="5"/>
        </w:numPr>
        <w:tabs>
          <w:tab w:val="left" w:pos="11178"/>
        </w:tabs>
        <w:bidi w:val="0"/>
        <w:spacing w:line="480" w:lineRule="auto"/>
        <w:rPr>
          <w:rFonts w:eastAsia="Times New Roman" w:asciiTheme="majorBidi" w:hAnsiTheme="majorBidi" w:cstheme="majorBidi"/>
          <w:szCs w:val="24"/>
        </w:rPr>
      </w:pPr>
      <w:r>
        <w:rPr>
          <w:rFonts w:eastAsia="Times New Roman" w:asciiTheme="majorBidi" w:hAnsiTheme="majorBidi" w:cstheme="majorBidi"/>
          <w:szCs w:val="24"/>
        </w:rPr>
        <w:t>How do demographic variables (such as role, years of experience, or department) impact perceptions of organizational culture and risk management effectiveness?</w:t>
      </w:r>
    </w:p>
    <w:p w14:paraId="74CF15B3">
      <w:pPr>
        <w:rPr>
          <w:lang w:eastAsia="en-GB" w:bidi="en-US"/>
        </w:rPr>
      </w:pPr>
    </w:p>
    <w:p w14:paraId="73D20044"/>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306133292"/>
      <w:docPartObj>
        <w:docPartGallery w:val="autotext"/>
      </w:docPartObj>
    </w:sdtPr>
    <w:sdtEndPr>
      <w:rPr>
        <w:rtl/>
      </w:rPr>
    </w:sdtEndPr>
    <w:sdtContent>
      <w:p w14:paraId="2C58C4EF">
        <w:pPr>
          <w:pStyle w:val="7"/>
          <w:jc w:val="center"/>
        </w:pPr>
        <w:r>
          <w:fldChar w:fldCharType="begin"/>
        </w:r>
        <w:r>
          <w:instrText xml:space="preserve"> PAGE   \* MERGEFORMAT </w:instrText>
        </w:r>
        <w:r>
          <w:fldChar w:fldCharType="separate"/>
        </w:r>
        <w:r>
          <w:rPr>
            <w:rtl/>
          </w:rPr>
          <w:t>5</w:t>
        </w:r>
        <w:r>
          <w:fldChar w:fldCharType="end"/>
        </w:r>
      </w:p>
    </w:sdtContent>
  </w:sdt>
  <w:p w14:paraId="337B5C08">
    <w:pPr>
      <w:pStyle w:val="7"/>
      <w:rPr>
        <w:rFonts w:cs="Times New Roman"/>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1519000871"/>
      <w:docPartObj>
        <w:docPartGallery w:val="autotext"/>
      </w:docPartObj>
    </w:sdtPr>
    <w:sdtEndPr>
      <w:rPr>
        <w:rtl/>
      </w:rPr>
    </w:sdtEndPr>
    <w:sdtContent>
      <w:p w14:paraId="392B03D9">
        <w:pPr>
          <w:pStyle w:val="7"/>
          <w:jc w:val="center"/>
        </w:pPr>
        <w:r>
          <w:fldChar w:fldCharType="begin"/>
        </w:r>
        <w:r>
          <w:instrText xml:space="preserve"> PAGE   \* MERGEFORMAT </w:instrText>
        </w:r>
        <w:r>
          <w:fldChar w:fldCharType="separate"/>
        </w:r>
        <w:r>
          <w:rPr>
            <w:rtl/>
          </w:rPr>
          <w:t>52</w:t>
        </w:r>
        <w:r>
          <w:fldChar w:fldCharType="end"/>
        </w:r>
      </w:p>
    </w:sdtContent>
  </w:sdt>
  <w:p w14:paraId="7DB93DE4">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1DC24">
    <w:pPr>
      <w:pStyle w:val="7"/>
      <w:ind w:firstLine="0"/>
    </w:pPr>
  </w:p>
  <w:p w14:paraId="144F1892">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874308164"/>
      <w:docPartObj>
        <w:docPartGallery w:val="autotext"/>
      </w:docPartObj>
    </w:sdtPr>
    <w:sdtEndPr>
      <w:rPr>
        <w:rtl/>
      </w:rPr>
    </w:sdtEndPr>
    <w:sdtContent>
      <w:p w14:paraId="6B233A95">
        <w:pPr>
          <w:pStyle w:val="7"/>
          <w:jc w:val="center"/>
        </w:pPr>
        <w:r>
          <w:fldChar w:fldCharType="begin"/>
        </w:r>
        <w:r>
          <w:instrText xml:space="preserve"> PAGE   \* MERGEFORMAT </w:instrText>
        </w:r>
        <w:r>
          <w:fldChar w:fldCharType="separate"/>
        </w:r>
        <w:r>
          <w:rPr>
            <w:rtl/>
          </w:rPr>
          <w:t>1</w:t>
        </w:r>
        <w:r>
          <w:fldChar w:fldCharType="end"/>
        </w:r>
      </w:p>
    </w:sdtContent>
  </w:sdt>
  <w:p w14:paraId="0ABFB75C">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78F1B">
    <w:pPr>
      <w:pStyle w:val="8"/>
      <w:tabs>
        <w:tab w:val="center" w:pos="4825"/>
        <w:tab w:val="right" w:pos="9026"/>
      </w:tabs>
      <w:jc w:val="left"/>
    </w:pPr>
    <w:r>
      <w:rPr>
        <w:rtl/>
      </w:rPr>
      <w:tab/>
    </w: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9448A1"/>
    <w:multiLevelType w:val="multilevel"/>
    <w:tmpl w:val="0C9448A1"/>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A5A1C4E"/>
    <w:multiLevelType w:val="multilevel"/>
    <w:tmpl w:val="1A5A1C4E"/>
    <w:lvl w:ilvl="0" w:tentative="0">
      <w:start w:val="1"/>
      <w:numFmt w:val="decimal"/>
      <w:lvlText w:val="%1."/>
      <w:lvlJc w:val="left"/>
      <w:pPr>
        <w:ind w:left="644" w:hanging="360"/>
      </w:pPr>
      <w:rPr>
        <w:rFonts w:hint="default"/>
      </w:rPr>
    </w:lvl>
    <w:lvl w:ilvl="1" w:tentative="0">
      <w:start w:val="5"/>
      <w:numFmt w:val="decimal"/>
      <w:isLgl/>
      <w:lvlText w:val="%1.%2"/>
      <w:lvlJc w:val="left"/>
      <w:pPr>
        <w:ind w:left="908" w:hanging="360"/>
      </w:pPr>
      <w:rPr>
        <w:rFonts w:hint="default"/>
      </w:rPr>
    </w:lvl>
    <w:lvl w:ilvl="2" w:tentative="0">
      <w:start w:val="1"/>
      <w:numFmt w:val="decimal"/>
      <w:isLgl/>
      <w:lvlText w:val="%1.%2.%3"/>
      <w:lvlJc w:val="left"/>
      <w:pPr>
        <w:ind w:left="1532" w:hanging="720"/>
      </w:pPr>
      <w:rPr>
        <w:rFonts w:hint="default"/>
      </w:rPr>
    </w:lvl>
    <w:lvl w:ilvl="3" w:tentative="0">
      <w:start w:val="1"/>
      <w:numFmt w:val="decimal"/>
      <w:isLgl/>
      <w:lvlText w:val="%1.%2.%3.%4"/>
      <w:lvlJc w:val="left"/>
      <w:pPr>
        <w:ind w:left="1796" w:hanging="720"/>
      </w:pPr>
      <w:rPr>
        <w:rFonts w:hint="default"/>
      </w:rPr>
    </w:lvl>
    <w:lvl w:ilvl="4" w:tentative="0">
      <w:start w:val="1"/>
      <w:numFmt w:val="decimal"/>
      <w:isLgl/>
      <w:lvlText w:val="%1.%2.%3.%4.%5"/>
      <w:lvlJc w:val="left"/>
      <w:pPr>
        <w:ind w:left="2420" w:hanging="1080"/>
      </w:pPr>
      <w:rPr>
        <w:rFonts w:hint="default"/>
      </w:rPr>
    </w:lvl>
    <w:lvl w:ilvl="5" w:tentative="0">
      <w:start w:val="1"/>
      <w:numFmt w:val="decimal"/>
      <w:isLgl/>
      <w:lvlText w:val="%1.%2.%3.%4.%5.%6"/>
      <w:lvlJc w:val="left"/>
      <w:pPr>
        <w:ind w:left="2684" w:hanging="1080"/>
      </w:pPr>
      <w:rPr>
        <w:rFonts w:hint="default"/>
      </w:rPr>
    </w:lvl>
    <w:lvl w:ilvl="6" w:tentative="0">
      <w:start w:val="1"/>
      <w:numFmt w:val="decimal"/>
      <w:isLgl/>
      <w:lvlText w:val="%1.%2.%3.%4.%5.%6.%7"/>
      <w:lvlJc w:val="left"/>
      <w:pPr>
        <w:ind w:left="3308" w:hanging="1440"/>
      </w:pPr>
      <w:rPr>
        <w:rFonts w:hint="default"/>
      </w:rPr>
    </w:lvl>
    <w:lvl w:ilvl="7" w:tentative="0">
      <w:start w:val="1"/>
      <w:numFmt w:val="decimal"/>
      <w:isLgl/>
      <w:lvlText w:val="%1.%2.%3.%4.%5.%6.%7.%8"/>
      <w:lvlJc w:val="left"/>
      <w:pPr>
        <w:ind w:left="3572" w:hanging="1440"/>
      </w:pPr>
      <w:rPr>
        <w:rFonts w:hint="default"/>
      </w:rPr>
    </w:lvl>
    <w:lvl w:ilvl="8" w:tentative="0">
      <w:start w:val="1"/>
      <w:numFmt w:val="decimal"/>
      <w:isLgl/>
      <w:lvlText w:val="%1.%2.%3.%4.%5.%6.%7.%8.%9"/>
      <w:lvlJc w:val="left"/>
      <w:pPr>
        <w:ind w:left="4196" w:hanging="1800"/>
      </w:pPr>
      <w:rPr>
        <w:rFonts w:hint="default"/>
      </w:rPr>
    </w:lvl>
  </w:abstractNum>
  <w:abstractNum w:abstractNumId="2">
    <w:nsid w:val="1B136EEC"/>
    <w:multiLevelType w:val="multilevel"/>
    <w:tmpl w:val="1B136EE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29803AC"/>
    <w:multiLevelType w:val="multilevel"/>
    <w:tmpl w:val="729803AC"/>
    <w:lvl w:ilvl="0" w:tentative="0">
      <w:start w:val="1"/>
      <w:numFmt w:val="decimal"/>
      <w:lvlText w:val="%1"/>
      <w:lvlJc w:val="left"/>
      <w:pPr>
        <w:ind w:left="360" w:hanging="360"/>
      </w:pPr>
      <w:rPr>
        <w:rFonts w:hint="default"/>
      </w:rPr>
    </w:lvl>
    <w:lvl w:ilvl="1" w:tentative="0">
      <w:start w:val="1"/>
      <w:numFmt w:val="decimal"/>
      <w:pStyle w:val="3"/>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4">
    <w:nsid w:val="743C03C8"/>
    <w:multiLevelType w:val="multilevel"/>
    <w:tmpl w:val="743C03C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9D3667"/>
    <w:rsid w:val="099D3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before="160" w:after="0" w:line="520" w:lineRule="atLeast"/>
      <w:ind w:firstLine="624"/>
      <w:jc w:val="both"/>
    </w:pPr>
    <w:rPr>
      <w:rFonts w:ascii="Times New Roman" w:hAnsi="Times New Roman" w:cs="Arial" w:eastAsiaTheme="minorHAnsi"/>
      <w:sz w:val="24"/>
      <w:szCs w:val="30"/>
      <w:lang w:val="en-US" w:eastAsia="en-US" w:bidi="ar-JO"/>
    </w:rPr>
  </w:style>
  <w:style w:type="paragraph" w:styleId="2">
    <w:name w:val="heading 1"/>
    <w:basedOn w:val="1"/>
    <w:next w:val="1"/>
    <w:qFormat/>
    <w:uiPriority w:val="0"/>
    <w:pPr>
      <w:keepNext/>
      <w:bidi w:val="0"/>
      <w:spacing w:before="120" w:after="60"/>
      <w:ind w:firstLine="0"/>
      <w:jc w:val="left"/>
      <w:outlineLvl w:val="0"/>
    </w:pPr>
    <w:rPr>
      <w:rFonts w:eastAsia="Calibri" w:cs="Times New Roman"/>
      <w:b/>
      <w:kern w:val="32"/>
      <w:szCs w:val="24"/>
      <w:lang w:eastAsia="ko-KR" w:bidi="ar-SA"/>
    </w:rPr>
  </w:style>
  <w:style w:type="paragraph" w:styleId="3">
    <w:name w:val="heading 2"/>
    <w:basedOn w:val="1"/>
    <w:next w:val="1"/>
    <w:qFormat/>
    <w:uiPriority w:val="0"/>
    <w:pPr>
      <w:keepNext/>
      <w:numPr>
        <w:ilvl w:val="1"/>
        <w:numId w:val="1"/>
      </w:numPr>
      <w:overflowPunct w:val="0"/>
      <w:autoSpaceDE w:val="0"/>
      <w:autoSpaceDN w:val="0"/>
      <w:bidi w:val="0"/>
      <w:adjustRightInd w:val="0"/>
      <w:spacing w:before="240" w:after="60"/>
      <w:jc w:val="left"/>
      <w:textAlignment w:val="baseline"/>
      <w:outlineLvl w:val="1"/>
    </w:pPr>
    <w:rPr>
      <w:rFonts w:eastAsia="Calibri"/>
      <w:b/>
      <w:bCs/>
      <w:lang w:eastAsia="ko-KR" w:bidi="ar-SA"/>
    </w:rPr>
  </w:style>
  <w:style w:type="character" w:default="1" w:styleId="4">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caption"/>
    <w:basedOn w:val="1"/>
    <w:next w:val="1"/>
    <w:unhideWhenUsed/>
    <w:qFormat/>
    <w:uiPriority w:val="35"/>
    <w:pPr>
      <w:spacing w:before="0" w:after="200" w:line="240" w:lineRule="auto"/>
    </w:pPr>
    <w:rPr>
      <w:i/>
      <w:iCs/>
      <w:color w:val="44546A" w:themeColor="text2"/>
      <w:sz w:val="18"/>
      <w:szCs w:val="18"/>
      <w14:textFill>
        <w14:solidFill>
          <w14:schemeClr w14:val="tx2"/>
        </w14:solidFill>
      </w14:textFill>
    </w:rPr>
  </w:style>
  <w:style w:type="paragraph" w:styleId="7">
    <w:name w:val="footer"/>
    <w:basedOn w:val="1"/>
    <w:unhideWhenUsed/>
    <w:uiPriority w:val="99"/>
    <w:pPr>
      <w:tabs>
        <w:tab w:val="center" w:pos="4680"/>
        <w:tab w:val="right" w:pos="9360"/>
      </w:tabs>
      <w:spacing w:before="0" w:line="240" w:lineRule="auto"/>
    </w:pPr>
  </w:style>
  <w:style w:type="paragraph" w:styleId="8">
    <w:name w:val="header"/>
    <w:basedOn w:val="1"/>
    <w:unhideWhenUsed/>
    <w:uiPriority w:val="99"/>
    <w:pPr>
      <w:tabs>
        <w:tab w:val="center" w:pos="4680"/>
        <w:tab w:val="right" w:pos="9360"/>
      </w:tabs>
      <w:spacing w:before="0" w:line="240" w:lineRule="auto"/>
    </w:pPr>
  </w:style>
  <w:style w:type="paragraph" w:styleId="9">
    <w:name w:val="Title"/>
    <w:basedOn w:val="1"/>
    <w:qFormat/>
    <w:uiPriority w:val="0"/>
    <w:pPr>
      <w:overflowPunct w:val="0"/>
      <w:autoSpaceDE w:val="0"/>
      <w:autoSpaceDN w:val="0"/>
      <w:adjustRightInd w:val="0"/>
      <w:spacing w:before="240" w:after="60"/>
      <w:jc w:val="center"/>
      <w:textAlignment w:val="baseline"/>
    </w:pPr>
    <w:rPr>
      <w:rFonts w:ascii="Arial" w:hAnsi="Arial" w:eastAsia="Times New Roman"/>
      <w:b/>
      <w:bCs/>
      <w:kern w:val="28"/>
      <w:sz w:val="32"/>
      <w:szCs w:val="38"/>
      <w:lang w:bidi="ar-SA"/>
    </w:rPr>
  </w:style>
  <w:style w:type="paragraph" w:styleId="10">
    <w:name w:val="List Paragraph"/>
    <w:basedOn w:val="1"/>
    <w:qFormat/>
    <w:uiPriority w:val="34"/>
    <w:pPr>
      <w:ind w:left="720"/>
      <w:contextualSpacing/>
    </w:pPr>
    <w:rPr>
      <w:rFonts w:eastAsia="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theme" Target="theme/them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25F19D7-EE39-48F4-92D1-01FED9B17175}" type="doc">
      <dgm:prSet loTypeId="urn:microsoft.com/office/officeart/2005/8/layout/vProcess5" loCatId="process" qsTypeId="urn:microsoft.com/office/officeart/2005/8/quickstyle/simple1" qsCatId="simple" csTypeId="urn:microsoft.com/office/officeart/2005/8/colors/accent1_2" csCatId="accent1" phldr="1"/>
      <dgm:spPr/>
      <dgm:t>
        <a:bodyPr/>
        <a:p>
          <a:endParaRPr lang="en-US"/>
        </a:p>
      </dgm:t>
    </dgm:pt>
    <dgm:pt modelId="{2E99E4CB-DE01-42AB-B61C-99C3F4235147}">
      <dgm:prSet phldrT="[Text]"/>
      <dgm:spPr/>
      <dgm:t>
        <a:bodyPr/>
        <a:p>
          <a:r>
            <a:rPr lang="en-US"/>
            <a:t>1,498 articales related with this subject</a:t>
          </a:r>
        </a:p>
      </dgm:t>
    </dgm:pt>
    <dgm:pt modelId="{4D4BF891-B268-49DE-92E2-56658E292372}" cxnId="{F7A6E0C5-A6BE-483D-A5A3-6FD0899A7C62}" type="parTrans">
      <dgm:prSet/>
      <dgm:spPr/>
      <dgm:t>
        <a:bodyPr/>
        <a:p>
          <a:endParaRPr lang="en-US"/>
        </a:p>
      </dgm:t>
    </dgm:pt>
    <dgm:pt modelId="{5F372DB1-66FD-4D52-B64F-5C363B92BEF8}" cxnId="{F7A6E0C5-A6BE-483D-A5A3-6FD0899A7C62}" type="sibTrans">
      <dgm:prSet/>
      <dgm:spPr/>
      <dgm:t>
        <a:bodyPr/>
        <a:p>
          <a:endParaRPr lang="en-US"/>
        </a:p>
      </dgm:t>
    </dgm:pt>
    <dgm:pt modelId="{C596A6DD-0F01-493B-9E75-AEA7B83F826D}">
      <dgm:prSet phldrT="[Text]"/>
      <dgm:spPr/>
      <dgm:t>
        <a:bodyPr/>
        <a:p>
          <a:r>
            <a:rPr lang="en-US"/>
            <a:t>58 articles included within the in-depth review</a:t>
          </a:r>
        </a:p>
      </dgm:t>
    </dgm:pt>
    <dgm:pt modelId="{3CA02C68-776B-47F7-A63B-1755EB054054}" cxnId="{AAD1A8F6-51FE-4279-A18D-E41C9F112E75}" type="parTrans">
      <dgm:prSet/>
      <dgm:spPr/>
      <dgm:t>
        <a:bodyPr/>
        <a:p>
          <a:endParaRPr lang="en-US"/>
        </a:p>
      </dgm:t>
    </dgm:pt>
    <dgm:pt modelId="{9042B4C1-20B8-418E-9575-D90B72E0ADF0}" cxnId="{AAD1A8F6-51FE-4279-A18D-E41C9F112E75}" type="sibTrans">
      <dgm:prSet/>
      <dgm:spPr/>
      <dgm:t>
        <a:bodyPr/>
        <a:p>
          <a:endParaRPr lang="en-US"/>
        </a:p>
      </dgm:t>
    </dgm:pt>
    <dgm:pt modelId="{09ED8D38-1EF4-4EAE-AB7D-1D2529C85236}">
      <dgm:prSet phldrT="[Text]"/>
      <dgm:spPr/>
      <dgm:t>
        <a:bodyPr/>
        <a:p>
          <a:r>
            <a:rPr lang="en-US"/>
            <a:t>48 articles remained exempted</a:t>
          </a:r>
        </a:p>
      </dgm:t>
    </dgm:pt>
    <dgm:pt modelId="{E6977ECC-2887-489D-BEBA-1EE4EB231F6B}" cxnId="{3E591F2F-C3DD-4E3B-87BC-8D172986156D}" type="parTrans">
      <dgm:prSet/>
      <dgm:spPr/>
      <dgm:t>
        <a:bodyPr/>
        <a:p>
          <a:endParaRPr lang="en-US"/>
        </a:p>
      </dgm:t>
    </dgm:pt>
    <dgm:pt modelId="{765E722F-7F87-479E-80EC-41176802EDF5}" cxnId="{3E591F2F-C3DD-4E3B-87BC-8D172986156D}" type="sibTrans">
      <dgm:prSet/>
      <dgm:spPr/>
      <dgm:t>
        <a:bodyPr/>
        <a:p>
          <a:endParaRPr lang="en-US"/>
        </a:p>
      </dgm:t>
    </dgm:pt>
    <dgm:pt modelId="{A3F19D3F-35DD-497D-9DBF-9CAAECF386DA}">
      <dgm:prSet/>
      <dgm:spPr/>
      <dgm:t>
        <a:bodyPr/>
        <a:p>
          <a:r>
            <a:rPr lang="en-US"/>
            <a:t>10 articles were included</a:t>
          </a:r>
        </a:p>
      </dgm:t>
    </dgm:pt>
    <dgm:pt modelId="{01DC416C-BDC8-4B77-83CD-6A8450D4F490}" cxnId="{20454485-40F8-4F0C-A3A1-72CAE5C135F2}" type="parTrans">
      <dgm:prSet/>
      <dgm:spPr/>
      <dgm:t>
        <a:bodyPr/>
        <a:p>
          <a:endParaRPr lang="en-US"/>
        </a:p>
      </dgm:t>
    </dgm:pt>
    <dgm:pt modelId="{6D031270-19DA-44D2-A555-C894F5922717}" cxnId="{20454485-40F8-4F0C-A3A1-72CAE5C135F2}" type="sibTrans">
      <dgm:prSet/>
      <dgm:spPr/>
      <dgm:t>
        <a:bodyPr/>
        <a:p>
          <a:endParaRPr lang="en-US"/>
        </a:p>
      </dgm:t>
    </dgm:pt>
    <dgm:pt modelId="{CC1C09B3-F91C-4CA4-8365-C51FF5F18654}" type="pres">
      <dgm:prSet presAssocID="{925F19D7-EE39-48F4-92D1-01FED9B17175}" presName="outerComposite" presStyleCnt="0">
        <dgm:presLayoutVars>
          <dgm:chMax val="5"/>
          <dgm:dir/>
          <dgm:resizeHandles val="exact"/>
        </dgm:presLayoutVars>
      </dgm:prSet>
      <dgm:spPr/>
      <dgm:t>
        <a:bodyPr/>
        <a:p>
          <a:endParaRPr lang="en-US"/>
        </a:p>
      </dgm:t>
    </dgm:pt>
    <dgm:pt modelId="{BA3069B2-1CE9-4B16-BAAB-BF7EFE4BF227}" type="pres">
      <dgm:prSet presAssocID="{925F19D7-EE39-48F4-92D1-01FED9B17175}" presName="dummyMaxCanvas" presStyleCnt="0">
        <dgm:presLayoutVars/>
      </dgm:prSet>
      <dgm:spPr/>
    </dgm:pt>
    <dgm:pt modelId="{79B0CA22-6316-4D9B-9701-DDE12A84174F}" type="pres">
      <dgm:prSet presAssocID="{925F19D7-EE39-48F4-92D1-01FED9B17175}" presName="FourNodes_1" presStyleLbl="node1" presStyleIdx="0" presStyleCnt="4">
        <dgm:presLayoutVars>
          <dgm:bulletEnabled val="1"/>
        </dgm:presLayoutVars>
      </dgm:prSet>
      <dgm:spPr/>
      <dgm:t>
        <a:bodyPr/>
        <a:p>
          <a:endParaRPr lang="en-US"/>
        </a:p>
      </dgm:t>
    </dgm:pt>
    <dgm:pt modelId="{04752FE0-3E2F-4FEC-8603-4F186EBA20E8}" type="pres">
      <dgm:prSet presAssocID="{925F19D7-EE39-48F4-92D1-01FED9B17175}" presName="FourNodes_2" presStyleLbl="node1" presStyleIdx="1" presStyleCnt="4">
        <dgm:presLayoutVars>
          <dgm:bulletEnabled val="1"/>
        </dgm:presLayoutVars>
      </dgm:prSet>
      <dgm:spPr/>
      <dgm:t>
        <a:bodyPr/>
        <a:p>
          <a:endParaRPr lang="en-US"/>
        </a:p>
      </dgm:t>
    </dgm:pt>
    <dgm:pt modelId="{0E639738-22B9-41AE-91F3-D2AB8B299053}" type="pres">
      <dgm:prSet presAssocID="{925F19D7-EE39-48F4-92D1-01FED9B17175}" presName="FourNodes_3" presStyleLbl="node1" presStyleIdx="2" presStyleCnt="4">
        <dgm:presLayoutVars>
          <dgm:bulletEnabled val="1"/>
        </dgm:presLayoutVars>
      </dgm:prSet>
      <dgm:spPr/>
      <dgm:t>
        <a:bodyPr/>
        <a:p>
          <a:endParaRPr lang="en-US"/>
        </a:p>
      </dgm:t>
    </dgm:pt>
    <dgm:pt modelId="{11A4C1A0-FA28-417F-81DD-9212CCE0AD76}" type="pres">
      <dgm:prSet presAssocID="{925F19D7-EE39-48F4-92D1-01FED9B17175}" presName="FourNodes_4" presStyleLbl="node1" presStyleIdx="3" presStyleCnt="4">
        <dgm:presLayoutVars>
          <dgm:bulletEnabled val="1"/>
        </dgm:presLayoutVars>
      </dgm:prSet>
      <dgm:spPr/>
      <dgm:t>
        <a:bodyPr/>
        <a:p>
          <a:endParaRPr lang="en-US"/>
        </a:p>
      </dgm:t>
    </dgm:pt>
    <dgm:pt modelId="{79083433-49E8-44D0-9AB4-91FBC947F19F}" type="pres">
      <dgm:prSet presAssocID="{925F19D7-EE39-48F4-92D1-01FED9B17175}" presName="FourConn_1-2" presStyleLbl="fgAccFollowNode1" presStyleIdx="0" presStyleCnt="3">
        <dgm:presLayoutVars>
          <dgm:bulletEnabled val="1"/>
        </dgm:presLayoutVars>
      </dgm:prSet>
      <dgm:spPr/>
      <dgm:t>
        <a:bodyPr/>
        <a:p>
          <a:endParaRPr lang="en-US"/>
        </a:p>
      </dgm:t>
    </dgm:pt>
    <dgm:pt modelId="{76F55478-91BF-43A8-8E4E-8323D67F52A9}" type="pres">
      <dgm:prSet presAssocID="{925F19D7-EE39-48F4-92D1-01FED9B17175}" presName="FourConn_2-3" presStyleLbl="fgAccFollowNode1" presStyleIdx="1" presStyleCnt="3">
        <dgm:presLayoutVars>
          <dgm:bulletEnabled val="1"/>
        </dgm:presLayoutVars>
      </dgm:prSet>
      <dgm:spPr/>
      <dgm:t>
        <a:bodyPr/>
        <a:p>
          <a:endParaRPr lang="en-US"/>
        </a:p>
      </dgm:t>
    </dgm:pt>
    <dgm:pt modelId="{88FF8DCA-1D8F-4F43-AF0F-A0DB3EEF5B33}" type="pres">
      <dgm:prSet presAssocID="{925F19D7-EE39-48F4-92D1-01FED9B17175}" presName="FourConn_3-4" presStyleLbl="fgAccFollowNode1" presStyleIdx="2" presStyleCnt="3">
        <dgm:presLayoutVars>
          <dgm:bulletEnabled val="1"/>
        </dgm:presLayoutVars>
      </dgm:prSet>
      <dgm:spPr/>
      <dgm:t>
        <a:bodyPr/>
        <a:p>
          <a:endParaRPr lang="en-US"/>
        </a:p>
      </dgm:t>
    </dgm:pt>
    <dgm:pt modelId="{ED042A2D-C0D6-4EC1-B4C7-B8B632D867FC}" type="pres">
      <dgm:prSet presAssocID="{925F19D7-EE39-48F4-92D1-01FED9B17175}" presName="FourNodes_1_text" presStyleLbl="node1" presStyleIdx="3" presStyleCnt="4">
        <dgm:presLayoutVars>
          <dgm:bulletEnabled val="1"/>
        </dgm:presLayoutVars>
      </dgm:prSet>
      <dgm:spPr/>
      <dgm:t>
        <a:bodyPr/>
        <a:p>
          <a:endParaRPr lang="en-US"/>
        </a:p>
      </dgm:t>
    </dgm:pt>
    <dgm:pt modelId="{0EA62E4A-0CD6-4181-8566-948ADD29B568}" type="pres">
      <dgm:prSet presAssocID="{925F19D7-EE39-48F4-92D1-01FED9B17175}" presName="FourNodes_2_text" presStyleLbl="node1" presStyleIdx="3" presStyleCnt="4">
        <dgm:presLayoutVars>
          <dgm:bulletEnabled val="1"/>
        </dgm:presLayoutVars>
      </dgm:prSet>
      <dgm:spPr/>
      <dgm:t>
        <a:bodyPr/>
        <a:p>
          <a:endParaRPr lang="en-US"/>
        </a:p>
      </dgm:t>
    </dgm:pt>
    <dgm:pt modelId="{32B83AC5-8E4B-4388-A926-BDE8FBA2720B}" type="pres">
      <dgm:prSet presAssocID="{925F19D7-EE39-48F4-92D1-01FED9B17175}" presName="FourNodes_3_text" presStyleLbl="node1" presStyleIdx="3" presStyleCnt="4">
        <dgm:presLayoutVars>
          <dgm:bulletEnabled val="1"/>
        </dgm:presLayoutVars>
      </dgm:prSet>
      <dgm:spPr/>
      <dgm:t>
        <a:bodyPr/>
        <a:p>
          <a:endParaRPr lang="en-US"/>
        </a:p>
      </dgm:t>
    </dgm:pt>
    <dgm:pt modelId="{8A030C2B-E55C-4410-9FAD-5C5A52304DB6}" type="pres">
      <dgm:prSet presAssocID="{925F19D7-EE39-48F4-92D1-01FED9B17175}" presName="FourNodes_4_text" presStyleLbl="node1" presStyleIdx="3" presStyleCnt="4">
        <dgm:presLayoutVars>
          <dgm:bulletEnabled val="1"/>
        </dgm:presLayoutVars>
      </dgm:prSet>
      <dgm:spPr/>
      <dgm:t>
        <a:bodyPr/>
        <a:p>
          <a:endParaRPr lang="en-US"/>
        </a:p>
      </dgm:t>
    </dgm:pt>
  </dgm:ptLst>
  <dgm:cxnLst>
    <dgm:cxn modelId="{73EF79CE-E8B6-4C44-83E7-87E07C4FCFBA}" type="presOf" srcId="{09ED8D38-1EF4-4EAE-AB7D-1D2529C85236}" destId="{0E639738-22B9-41AE-91F3-D2AB8B299053}" srcOrd="0" destOrd="0" presId="urn:microsoft.com/office/officeart/2005/8/layout/vProcess5"/>
    <dgm:cxn modelId="{FD370100-A9D3-426B-946D-89BA94AA54E9}" type="presOf" srcId="{A3F19D3F-35DD-497D-9DBF-9CAAECF386DA}" destId="{11A4C1A0-FA28-417F-81DD-9212CCE0AD76}" srcOrd="0" destOrd="0" presId="urn:microsoft.com/office/officeart/2005/8/layout/vProcess5"/>
    <dgm:cxn modelId="{09F63614-A9F5-438B-A14B-C35662D6FB6A}" type="presOf" srcId="{765E722F-7F87-479E-80EC-41176802EDF5}" destId="{88FF8DCA-1D8F-4F43-AF0F-A0DB3EEF5B33}" srcOrd="0" destOrd="0" presId="urn:microsoft.com/office/officeart/2005/8/layout/vProcess5"/>
    <dgm:cxn modelId="{614EF615-15A3-42B0-9E5A-927D37865ED5}" type="presOf" srcId="{09ED8D38-1EF4-4EAE-AB7D-1D2529C85236}" destId="{32B83AC5-8E4B-4388-A926-BDE8FBA2720B}" srcOrd="1" destOrd="0" presId="urn:microsoft.com/office/officeart/2005/8/layout/vProcess5"/>
    <dgm:cxn modelId="{CA025343-648A-4524-BF4D-5AF18E10C4E6}" type="presOf" srcId="{2E99E4CB-DE01-42AB-B61C-99C3F4235147}" destId="{ED042A2D-C0D6-4EC1-B4C7-B8B632D867FC}" srcOrd="1" destOrd="0" presId="urn:microsoft.com/office/officeart/2005/8/layout/vProcess5"/>
    <dgm:cxn modelId="{44F92BFB-E1CF-43B0-BCD9-FFF5CD38469E}" type="presOf" srcId="{5F372DB1-66FD-4D52-B64F-5C363B92BEF8}" destId="{79083433-49E8-44D0-9AB4-91FBC947F19F}" srcOrd="0" destOrd="0" presId="urn:microsoft.com/office/officeart/2005/8/layout/vProcess5"/>
    <dgm:cxn modelId="{20454485-40F8-4F0C-A3A1-72CAE5C135F2}" srcId="{925F19D7-EE39-48F4-92D1-01FED9B17175}" destId="{A3F19D3F-35DD-497D-9DBF-9CAAECF386DA}" srcOrd="3" destOrd="0" parTransId="{01DC416C-BDC8-4B77-83CD-6A8450D4F490}" sibTransId="{6D031270-19DA-44D2-A555-C894F5922717}"/>
    <dgm:cxn modelId="{3E591F2F-C3DD-4E3B-87BC-8D172986156D}" srcId="{925F19D7-EE39-48F4-92D1-01FED9B17175}" destId="{09ED8D38-1EF4-4EAE-AB7D-1D2529C85236}" srcOrd="2" destOrd="0" parTransId="{E6977ECC-2887-489D-BEBA-1EE4EB231F6B}" sibTransId="{765E722F-7F87-479E-80EC-41176802EDF5}"/>
    <dgm:cxn modelId="{1AFF30A3-F576-4B8B-A00D-DD2480EB56CD}" type="presOf" srcId="{A3F19D3F-35DD-497D-9DBF-9CAAECF386DA}" destId="{8A030C2B-E55C-4410-9FAD-5C5A52304DB6}" srcOrd="1" destOrd="0" presId="urn:microsoft.com/office/officeart/2005/8/layout/vProcess5"/>
    <dgm:cxn modelId="{CDE54C7D-27EC-4088-BC31-E9B15B3CFEE2}" type="presOf" srcId="{C596A6DD-0F01-493B-9E75-AEA7B83F826D}" destId="{04752FE0-3E2F-4FEC-8603-4F186EBA20E8}" srcOrd="0" destOrd="0" presId="urn:microsoft.com/office/officeart/2005/8/layout/vProcess5"/>
    <dgm:cxn modelId="{65DDBB96-B758-4979-9CDE-B074B72E70E6}" type="presOf" srcId="{9042B4C1-20B8-418E-9575-D90B72E0ADF0}" destId="{76F55478-91BF-43A8-8E4E-8323D67F52A9}" srcOrd="0" destOrd="0" presId="urn:microsoft.com/office/officeart/2005/8/layout/vProcess5"/>
    <dgm:cxn modelId="{D5F2997A-FA0E-460A-BC6A-575B7A58941B}" type="presOf" srcId="{2E99E4CB-DE01-42AB-B61C-99C3F4235147}" destId="{79B0CA22-6316-4D9B-9701-DDE12A84174F}" srcOrd="0" destOrd="0" presId="urn:microsoft.com/office/officeart/2005/8/layout/vProcess5"/>
    <dgm:cxn modelId="{F7A6E0C5-A6BE-483D-A5A3-6FD0899A7C62}" srcId="{925F19D7-EE39-48F4-92D1-01FED9B17175}" destId="{2E99E4CB-DE01-42AB-B61C-99C3F4235147}" srcOrd="0" destOrd="0" parTransId="{4D4BF891-B268-49DE-92E2-56658E292372}" sibTransId="{5F372DB1-66FD-4D52-B64F-5C363B92BEF8}"/>
    <dgm:cxn modelId="{AAD1A8F6-51FE-4279-A18D-E41C9F112E75}" srcId="{925F19D7-EE39-48F4-92D1-01FED9B17175}" destId="{C596A6DD-0F01-493B-9E75-AEA7B83F826D}" srcOrd="1" destOrd="0" parTransId="{3CA02C68-776B-47F7-A63B-1755EB054054}" sibTransId="{9042B4C1-20B8-418E-9575-D90B72E0ADF0}"/>
    <dgm:cxn modelId="{5A7222C6-1716-4B9C-B6EA-E656828B0B6C}" type="presOf" srcId="{C596A6DD-0F01-493B-9E75-AEA7B83F826D}" destId="{0EA62E4A-0CD6-4181-8566-948ADD29B568}" srcOrd="1" destOrd="0" presId="urn:microsoft.com/office/officeart/2005/8/layout/vProcess5"/>
    <dgm:cxn modelId="{BA30A040-6732-4D7C-B08B-785F51E70A6E}" type="presOf" srcId="{925F19D7-EE39-48F4-92D1-01FED9B17175}" destId="{CC1C09B3-F91C-4CA4-8365-C51FF5F18654}" srcOrd="0" destOrd="0" presId="urn:microsoft.com/office/officeart/2005/8/layout/vProcess5"/>
    <dgm:cxn modelId="{DFFFF3FE-5DD9-486F-B87A-3ADD20C5C1B7}" type="presParOf" srcId="{CC1C09B3-F91C-4CA4-8365-C51FF5F18654}" destId="{BA3069B2-1CE9-4B16-BAAB-BF7EFE4BF227}" srcOrd="0" destOrd="0" presId="urn:microsoft.com/office/officeart/2005/8/layout/vProcess5"/>
    <dgm:cxn modelId="{36A15085-2A92-43F0-8153-4D28D284F8C6}" type="presParOf" srcId="{CC1C09B3-F91C-4CA4-8365-C51FF5F18654}" destId="{79B0CA22-6316-4D9B-9701-DDE12A84174F}" srcOrd="1" destOrd="0" presId="urn:microsoft.com/office/officeart/2005/8/layout/vProcess5"/>
    <dgm:cxn modelId="{CC4F3C0A-5B20-4675-8E31-B5118524D837}" type="presParOf" srcId="{CC1C09B3-F91C-4CA4-8365-C51FF5F18654}" destId="{04752FE0-3E2F-4FEC-8603-4F186EBA20E8}" srcOrd="2" destOrd="0" presId="urn:microsoft.com/office/officeart/2005/8/layout/vProcess5"/>
    <dgm:cxn modelId="{9EFD530A-870E-4DED-86F4-34D798588254}" type="presParOf" srcId="{CC1C09B3-F91C-4CA4-8365-C51FF5F18654}" destId="{0E639738-22B9-41AE-91F3-D2AB8B299053}" srcOrd="3" destOrd="0" presId="urn:microsoft.com/office/officeart/2005/8/layout/vProcess5"/>
    <dgm:cxn modelId="{114D66FE-3D28-44C9-A405-C04A0C93F9A6}" type="presParOf" srcId="{CC1C09B3-F91C-4CA4-8365-C51FF5F18654}" destId="{11A4C1A0-FA28-417F-81DD-9212CCE0AD76}" srcOrd="4" destOrd="0" presId="urn:microsoft.com/office/officeart/2005/8/layout/vProcess5"/>
    <dgm:cxn modelId="{0F751BB7-C441-4042-9CC5-77724C243059}" type="presParOf" srcId="{CC1C09B3-F91C-4CA4-8365-C51FF5F18654}" destId="{79083433-49E8-44D0-9AB4-91FBC947F19F}" srcOrd="5" destOrd="0" presId="urn:microsoft.com/office/officeart/2005/8/layout/vProcess5"/>
    <dgm:cxn modelId="{5AC0CFD2-1D34-45DD-B372-0FFDC5EF59E5}" type="presParOf" srcId="{CC1C09B3-F91C-4CA4-8365-C51FF5F18654}" destId="{76F55478-91BF-43A8-8E4E-8323D67F52A9}" srcOrd="6" destOrd="0" presId="urn:microsoft.com/office/officeart/2005/8/layout/vProcess5"/>
    <dgm:cxn modelId="{E96D9D4D-7B65-43CF-AE78-820B88835135}" type="presParOf" srcId="{CC1C09B3-F91C-4CA4-8365-C51FF5F18654}" destId="{88FF8DCA-1D8F-4F43-AF0F-A0DB3EEF5B33}" srcOrd="7" destOrd="0" presId="urn:microsoft.com/office/officeart/2005/8/layout/vProcess5"/>
    <dgm:cxn modelId="{C04A64E9-C116-489A-994F-2DE42B386745}" type="presParOf" srcId="{CC1C09B3-F91C-4CA4-8365-C51FF5F18654}" destId="{ED042A2D-C0D6-4EC1-B4C7-B8B632D867FC}" srcOrd="8" destOrd="0" presId="urn:microsoft.com/office/officeart/2005/8/layout/vProcess5"/>
    <dgm:cxn modelId="{74C2121D-A464-4AC6-9FB4-77CC253B04E7}" type="presParOf" srcId="{CC1C09B3-F91C-4CA4-8365-C51FF5F18654}" destId="{0EA62E4A-0CD6-4181-8566-948ADD29B568}" srcOrd="9" destOrd="0" presId="urn:microsoft.com/office/officeart/2005/8/layout/vProcess5"/>
    <dgm:cxn modelId="{C95E015D-7450-4CCF-8AD9-B4A3922EA784}" type="presParOf" srcId="{CC1C09B3-F91C-4CA4-8365-C51FF5F18654}" destId="{32B83AC5-8E4B-4388-A926-BDE8FBA2720B}" srcOrd="10" destOrd="0" presId="urn:microsoft.com/office/officeart/2005/8/layout/vProcess5"/>
    <dgm:cxn modelId="{3C55B2CD-3CEE-4AD8-9458-EC9F34BA0D68}" type="presParOf" srcId="{CC1C09B3-F91C-4CA4-8365-C51FF5F18654}" destId="{8A030C2B-E55C-4410-9FAD-5C5A52304DB6}" srcOrd="11" destOrd="0" presId="urn:microsoft.com/office/officeart/2005/8/layout/v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3912870" cy="2786380"/>
        <a:chOff x="0" y="0"/>
        <a:chExt cx="3912870" cy="2786380"/>
      </a:xfrm>
    </dsp:grpSpPr>
    <dsp:sp modelId="{79B0CA22-6316-4D9B-9701-DDE12A84174F}">
      <dsp:nvSpPr>
        <dsp:cNvPr id="3" name="Rounded Rectangle 2"/>
        <dsp:cNvSpPr/>
      </dsp:nvSpPr>
      <dsp:spPr bwMode="white">
        <a:xfrm>
          <a:off x="0" y="0"/>
          <a:ext cx="3130296" cy="613004"/>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lIns="57150" tIns="57150" rIns="57150" bIns="57150" anchor="ctr"/>
        <a:lstStyle>
          <a:lvl1pPr algn="l">
            <a:defRPr sz="15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0">
            <a:lnSpc>
              <a:spcPct val="100000"/>
            </a:lnSpc>
            <a:spcBef>
              <a:spcPct val="0"/>
            </a:spcBef>
            <a:spcAft>
              <a:spcPct val="35000"/>
            </a:spcAft>
          </a:pPr>
          <a:r>
            <a:rPr lang="en-US"/>
            <a:t>1,498 articales related with this subject</a:t>
          </a:r>
        </a:p>
      </dsp:txBody>
      <dsp:txXfrm>
        <a:off x="0" y="0"/>
        <a:ext cx="3130296" cy="613004"/>
      </dsp:txXfrm>
    </dsp:sp>
    <dsp:sp modelId="{04752FE0-3E2F-4FEC-8603-4F186EBA20E8}">
      <dsp:nvSpPr>
        <dsp:cNvPr id="4" name="Rounded Rectangle 3"/>
        <dsp:cNvSpPr/>
      </dsp:nvSpPr>
      <dsp:spPr bwMode="white">
        <a:xfrm>
          <a:off x="262162" y="724459"/>
          <a:ext cx="3130296" cy="613004"/>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lIns="57150" tIns="57150" rIns="57150" bIns="57150" anchor="ctr"/>
        <a:lstStyle>
          <a:lvl1pPr algn="l">
            <a:defRPr sz="15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0">
            <a:lnSpc>
              <a:spcPct val="100000"/>
            </a:lnSpc>
            <a:spcBef>
              <a:spcPct val="0"/>
            </a:spcBef>
            <a:spcAft>
              <a:spcPct val="35000"/>
            </a:spcAft>
          </a:pPr>
          <a:r>
            <a:rPr lang="en-US"/>
            <a:t>58 articles included within the in-depth review</a:t>
          </a:r>
        </a:p>
      </dsp:txBody>
      <dsp:txXfrm>
        <a:off x="262162" y="724459"/>
        <a:ext cx="3130296" cy="613004"/>
      </dsp:txXfrm>
    </dsp:sp>
    <dsp:sp modelId="{0E639738-22B9-41AE-91F3-D2AB8B299053}">
      <dsp:nvSpPr>
        <dsp:cNvPr id="5" name="Rounded Rectangle 4"/>
        <dsp:cNvSpPr/>
      </dsp:nvSpPr>
      <dsp:spPr bwMode="white">
        <a:xfrm>
          <a:off x="520412" y="1448918"/>
          <a:ext cx="3130296" cy="613004"/>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lIns="57150" tIns="57150" rIns="57150" bIns="57150" anchor="ctr"/>
        <a:lstStyle>
          <a:lvl1pPr algn="l">
            <a:defRPr sz="15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0">
            <a:lnSpc>
              <a:spcPct val="100000"/>
            </a:lnSpc>
            <a:spcBef>
              <a:spcPct val="0"/>
            </a:spcBef>
            <a:spcAft>
              <a:spcPct val="35000"/>
            </a:spcAft>
          </a:pPr>
          <a:r>
            <a:rPr lang="en-US"/>
            <a:t>48 articles remained exempted</a:t>
          </a:r>
        </a:p>
      </dsp:txBody>
      <dsp:txXfrm>
        <a:off x="520412" y="1448918"/>
        <a:ext cx="3130296" cy="613004"/>
      </dsp:txXfrm>
    </dsp:sp>
    <dsp:sp modelId="{11A4C1A0-FA28-417F-81DD-9212CCE0AD76}">
      <dsp:nvSpPr>
        <dsp:cNvPr id="6" name="Rounded Rectangle 5"/>
        <dsp:cNvSpPr/>
      </dsp:nvSpPr>
      <dsp:spPr bwMode="white">
        <a:xfrm>
          <a:off x="782574" y="2173376"/>
          <a:ext cx="3130296" cy="613004"/>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lIns="57150" tIns="57150" rIns="57150" bIns="57150" anchor="ctr"/>
        <a:lstStyle>
          <a:lvl1pPr algn="l">
            <a:defRPr sz="15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0">
            <a:lnSpc>
              <a:spcPct val="100000"/>
            </a:lnSpc>
            <a:spcBef>
              <a:spcPct val="0"/>
            </a:spcBef>
            <a:spcAft>
              <a:spcPct val="35000"/>
            </a:spcAft>
          </a:pPr>
          <a:r>
            <a:rPr lang="en-US"/>
            <a:t>10 articles were included</a:t>
          </a:r>
        </a:p>
      </dsp:txBody>
      <dsp:txXfrm>
        <a:off x="782574" y="2173376"/>
        <a:ext cx="3130296" cy="613004"/>
      </dsp:txXfrm>
    </dsp:sp>
    <dsp:sp modelId="{79083433-49E8-44D0-9AB4-91FBC947F19F}">
      <dsp:nvSpPr>
        <dsp:cNvPr id="7" name="Down Arrow 6"/>
        <dsp:cNvSpPr/>
      </dsp:nvSpPr>
      <dsp:spPr bwMode="white">
        <a:xfrm>
          <a:off x="2731844" y="469505"/>
          <a:ext cx="398452" cy="398452"/>
        </a:xfrm>
        <a:prstGeom prst="downArrow">
          <a:avLst>
            <a:gd name="adj1" fmla="val 55000"/>
            <a:gd name="adj2" fmla="val 45000"/>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lIns="20320" tIns="20320" rIns="20320" bIns="2032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endParaRPr lang="en-US">
            <a:solidFill>
              <a:schemeClr val="dk1"/>
            </a:solidFill>
          </a:endParaRPr>
        </a:p>
      </dsp:txBody>
      <dsp:txXfrm>
        <a:off x="2731844" y="469505"/>
        <a:ext cx="398452" cy="398452"/>
      </dsp:txXfrm>
    </dsp:sp>
    <dsp:sp modelId="{76F55478-91BF-43A8-8E4E-8323D67F52A9}">
      <dsp:nvSpPr>
        <dsp:cNvPr id="8" name="Down Arrow 7"/>
        <dsp:cNvSpPr/>
      </dsp:nvSpPr>
      <dsp:spPr bwMode="white">
        <a:xfrm>
          <a:off x="2994006" y="1193964"/>
          <a:ext cx="398452" cy="398452"/>
        </a:xfrm>
        <a:prstGeom prst="downArrow">
          <a:avLst>
            <a:gd name="adj1" fmla="val 55000"/>
            <a:gd name="adj2" fmla="val 45000"/>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lIns="20320" tIns="20320" rIns="20320" bIns="2032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endParaRPr lang="en-US">
            <a:solidFill>
              <a:schemeClr val="dk1"/>
            </a:solidFill>
          </a:endParaRPr>
        </a:p>
      </dsp:txBody>
      <dsp:txXfrm>
        <a:off x="2994006" y="1193964"/>
        <a:ext cx="398452" cy="398452"/>
      </dsp:txXfrm>
    </dsp:sp>
    <dsp:sp modelId="{88FF8DCA-1D8F-4F43-AF0F-A0DB3EEF5B33}">
      <dsp:nvSpPr>
        <dsp:cNvPr id="9" name="Down Arrow 8"/>
        <dsp:cNvSpPr/>
      </dsp:nvSpPr>
      <dsp:spPr bwMode="white">
        <a:xfrm>
          <a:off x="3252255" y="1918423"/>
          <a:ext cx="398452" cy="398452"/>
        </a:xfrm>
        <a:prstGeom prst="downArrow">
          <a:avLst>
            <a:gd name="adj1" fmla="val 55000"/>
            <a:gd name="adj2" fmla="val 45000"/>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lIns="20320" tIns="20320" rIns="20320" bIns="2032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nSpc>
              <a:spcPct val="100000"/>
            </a:lnSpc>
            <a:spcBef>
              <a:spcPct val="0"/>
            </a:spcBef>
            <a:spcAft>
              <a:spcPct val="35000"/>
            </a:spcAft>
          </a:pPr>
          <a:endParaRPr lang="en-US">
            <a:solidFill>
              <a:schemeClr val="dk1"/>
            </a:solidFill>
          </a:endParaRPr>
        </a:p>
      </dsp:txBody>
      <dsp:txXfrm>
        <a:off x="3252255" y="1918423"/>
        <a:ext cx="398452" cy="39845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1</TotalTime>
  <ScaleCrop>false</ScaleCrop>
  <LinksUpToDate>false</LinksUpToDate>
  <CharactersWithSpaces>0</CharactersWithSpaces>
  <Application>WPS Office_12.2.0.21936_F1E327BC-269C-435d-A152-05C5408002CA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2025-08-23T13:18:00Z</dcterms:created>
  <dc:creator>Essam Al-Harbi</dc:creator>
  <cp:lastModifiedBy>Essam Al-Harbi</cp:lastModifiedBy>
  <dcterms:modified xsi:type="dcterms:W3CDTF">2025-08-23T13:21:43Z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2057-12.2.0.21936</vt:lpwstr>
  </property>
  <property fmtid="{D5CDD505-2E9C-101B-9397-08002B2CF9AE}" pid="3" name="ICV">
    <vt:lpwstr>21372B0277444388AA7C724A658B6D69_11</vt:lpwstr>
  </property>
</Properties>
</file>