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EBC6C" w14:textId="77777777" w:rsidR="00040F96" w:rsidRDefault="00040F96" w:rsidP="00040F96">
      <w:pPr>
        <w:rPr>
          <w:rFonts w:ascii="Sakkal Majalla" w:hAnsi="Sakkal Majalla" w:cs="Sakkal Majalla"/>
          <w:sz w:val="28"/>
          <w:szCs w:val="28"/>
          <w:rtl/>
        </w:rPr>
      </w:pPr>
    </w:p>
    <w:p w14:paraId="4CAF2292" w14:textId="77777777" w:rsidR="00040F96" w:rsidRDefault="00040F96" w:rsidP="00040F96">
      <w:pPr>
        <w:rPr>
          <w:rFonts w:ascii="Sakkal Majalla" w:hAnsi="Sakkal Majalla" w:cs="Sakkal Majalla"/>
          <w:sz w:val="28"/>
          <w:szCs w:val="28"/>
          <w:rtl/>
        </w:rPr>
      </w:pPr>
    </w:p>
    <w:p w14:paraId="75CE22BD" w14:textId="77777777" w:rsidR="00040F96" w:rsidRDefault="00040F96" w:rsidP="00040F96">
      <w:pPr>
        <w:rPr>
          <w:rFonts w:ascii="Sakkal Majalla" w:hAnsi="Sakkal Majalla" w:cs="Sakkal Majalla"/>
          <w:sz w:val="28"/>
          <w:szCs w:val="28"/>
          <w:rtl/>
        </w:rPr>
      </w:pPr>
      <w:bookmarkStart w:id="0" w:name="_Hlk191140068"/>
    </w:p>
    <w:p w14:paraId="0017957D" w14:textId="77777777" w:rsidR="00040F96" w:rsidRDefault="00040F96" w:rsidP="00040F96">
      <w:pPr>
        <w:rPr>
          <w:rFonts w:ascii="Sakkal Majalla" w:hAnsi="Sakkal Majalla" w:cs="Sakkal Majalla"/>
          <w:sz w:val="28"/>
          <w:szCs w:val="28"/>
          <w:rtl/>
        </w:rPr>
      </w:pPr>
    </w:p>
    <w:p w14:paraId="23CE9462" w14:textId="77777777" w:rsidR="00040F96" w:rsidRDefault="00040F96" w:rsidP="00040F96">
      <w:pPr>
        <w:rPr>
          <w:rFonts w:ascii="Sakkal Majalla" w:hAnsi="Sakkal Majalla" w:cs="Sakkal Majalla"/>
          <w:sz w:val="28"/>
          <w:szCs w:val="28"/>
          <w:rtl/>
          <w:lang w:bidi="ar-EG"/>
        </w:rPr>
      </w:pPr>
    </w:p>
    <w:p w14:paraId="471F4161" w14:textId="77777777" w:rsidR="00040F96" w:rsidRDefault="00040F96" w:rsidP="00040F96">
      <w:pPr>
        <w:rPr>
          <w:rFonts w:ascii="Sakkal Majalla" w:hAnsi="Sakkal Majalla" w:cs="Sakkal Majalla"/>
          <w:sz w:val="28"/>
          <w:szCs w:val="28"/>
          <w:rtl/>
        </w:rPr>
      </w:pPr>
    </w:p>
    <w:p w14:paraId="151BFC2F" w14:textId="77777777" w:rsidR="00040F96" w:rsidRDefault="00040F96" w:rsidP="00040F96">
      <w:pPr>
        <w:rPr>
          <w:rFonts w:ascii="Sakkal Majalla" w:hAnsi="Sakkal Majalla" w:cs="Sakkal Majalla"/>
          <w:sz w:val="28"/>
          <w:szCs w:val="28"/>
          <w:u w:val="single"/>
          <w:rtl/>
        </w:rPr>
      </w:pPr>
    </w:p>
    <w:p w14:paraId="6DA657A9" w14:textId="77777777" w:rsidR="00040F96" w:rsidRPr="009F738B" w:rsidRDefault="00040F96" w:rsidP="00040F96">
      <w:pPr>
        <w:pStyle w:val="Heading1"/>
        <w:jc w:val="center"/>
        <w:rPr>
          <w:rFonts w:ascii="Simplified Arabic" w:hAnsi="Simplified Arabic" w:cs="Simplified Arabic"/>
          <w:b/>
          <w:bCs/>
          <w:color w:val="000000" w:themeColor="text1"/>
          <w:rtl/>
        </w:rPr>
      </w:pPr>
      <w:bookmarkStart w:id="1" w:name="_Toc172397775"/>
      <w:bookmarkStart w:id="2" w:name="_Toc172746088"/>
      <w:bookmarkStart w:id="3" w:name="_Toc191138768"/>
      <w:r w:rsidRPr="009F738B">
        <w:rPr>
          <w:rFonts w:ascii="Simplified Arabic" w:hAnsi="Simplified Arabic" w:cs="Simplified Arabic"/>
          <w:b/>
          <w:bCs/>
          <w:color w:val="000000" w:themeColor="text1"/>
          <w:rtl/>
        </w:rPr>
        <w:t>الفصل الأول</w:t>
      </w:r>
      <w:bookmarkEnd w:id="1"/>
      <w:bookmarkEnd w:id="2"/>
      <w:bookmarkEnd w:id="3"/>
    </w:p>
    <w:p w14:paraId="217DDE44" w14:textId="77777777" w:rsidR="00040F96" w:rsidRDefault="00040F96" w:rsidP="00040F96">
      <w:pPr>
        <w:rPr>
          <w:rFonts w:ascii="Sakkal Majalla" w:hAnsi="Sakkal Majalla" w:cs="Sakkal Majalla"/>
          <w:sz w:val="28"/>
          <w:szCs w:val="28"/>
          <w:u w:val="single"/>
          <w:rtl/>
        </w:rPr>
      </w:pPr>
    </w:p>
    <w:p w14:paraId="74C49185" w14:textId="77777777" w:rsidR="00040F96" w:rsidRDefault="00040F96" w:rsidP="00040F96">
      <w:pPr>
        <w:rPr>
          <w:rFonts w:ascii="Sakkal Majalla" w:hAnsi="Sakkal Majalla" w:cs="Sakkal Majalla"/>
          <w:sz w:val="28"/>
          <w:szCs w:val="28"/>
          <w:u w:val="single"/>
          <w:rtl/>
        </w:rPr>
      </w:pPr>
    </w:p>
    <w:p w14:paraId="340F8BB6" w14:textId="77777777" w:rsidR="00040F96" w:rsidRDefault="00040F96" w:rsidP="00040F96">
      <w:pPr>
        <w:rPr>
          <w:rFonts w:ascii="Sakkal Majalla" w:hAnsi="Sakkal Majalla" w:cs="Sakkal Majalla"/>
          <w:sz w:val="28"/>
          <w:szCs w:val="28"/>
          <w:u w:val="single"/>
          <w:rtl/>
        </w:rPr>
      </w:pPr>
    </w:p>
    <w:p w14:paraId="536F8A46" w14:textId="77777777" w:rsidR="00040F96" w:rsidRDefault="00040F96" w:rsidP="00040F96">
      <w:pPr>
        <w:rPr>
          <w:rFonts w:ascii="Sakkal Majalla" w:hAnsi="Sakkal Majalla" w:cs="Sakkal Majalla"/>
          <w:sz w:val="28"/>
          <w:szCs w:val="28"/>
          <w:u w:val="single"/>
          <w:rtl/>
        </w:rPr>
      </w:pPr>
    </w:p>
    <w:p w14:paraId="7918925E" w14:textId="77777777" w:rsidR="00040F96" w:rsidRDefault="00040F96" w:rsidP="00040F96">
      <w:pPr>
        <w:rPr>
          <w:rFonts w:ascii="Sakkal Majalla" w:hAnsi="Sakkal Majalla" w:cs="Sakkal Majalla"/>
          <w:sz w:val="28"/>
          <w:szCs w:val="28"/>
          <w:u w:val="single"/>
          <w:rtl/>
        </w:rPr>
      </w:pPr>
    </w:p>
    <w:p w14:paraId="3EB4126A" w14:textId="77777777" w:rsidR="00040F96" w:rsidRDefault="00040F96" w:rsidP="00040F96">
      <w:pPr>
        <w:rPr>
          <w:rFonts w:ascii="Sakkal Majalla" w:hAnsi="Sakkal Majalla" w:cs="Sakkal Majalla"/>
          <w:sz w:val="28"/>
          <w:szCs w:val="28"/>
          <w:u w:val="single"/>
          <w:rtl/>
        </w:rPr>
      </w:pPr>
    </w:p>
    <w:p w14:paraId="1D334680" w14:textId="77777777" w:rsidR="00040F96" w:rsidRDefault="00040F96" w:rsidP="00040F96">
      <w:pPr>
        <w:rPr>
          <w:rFonts w:ascii="Sakkal Majalla" w:hAnsi="Sakkal Majalla" w:cs="Sakkal Majalla"/>
          <w:sz w:val="28"/>
          <w:szCs w:val="28"/>
          <w:u w:val="single"/>
          <w:rtl/>
        </w:rPr>
      </w:pPr>
    </w:p>
    <w:p w14:paraId="532455BF" w14:textId="77777777" w:rsidR="00040F96" w:rsidRDefault="00040F96" w:rsidP="00040F96">
      <w:pPr>
        <w:rPr>
          <w:rFonts w:ascii="Sakkal Majalla" w:hAnsi="Sakkal Majalla" w:cs="Sakkal Majalla"/>
          <w:sz w:val="28"/>
          <w:szCs w:val="28"/>
          <w:u w:val="single"/>
          <w:rtl/>
        </w:rPr>
      </w:pPr>
    </w:p>
    <w:p w14:paraId="33FA5189" w14:textId="77777777" w:rsidR="00040F96" w:rsidRDefault="00040F96" w:rsidP="00040F96">
      <w:pPr>
        <w:rPr>
          <w:rFonts w:ascii="Sakkal Majalla" w:hAnsi="Sakkal Majalla" w:cs="Sakkal Majalla"/>
          <w:sz w:val="28"/>
          <w:szCs w:val="28"/>
          <w:u w:val="single"/>
          <w:rtl/>
        </w:rPr>
      </w:pPr>
    </w:p>
    <w:p w14:paraId="2516C3BF" w14:textId="77777777" w:rsidR="00040F96" w:rsidRDefault="00040F96" w:rsidP="00040F96">
      <w:pPr>
        <w:rPr>
          <w:rFonts w:ascii="Sakkal Majalla" w:hAnsi="Sakkal Majalla" w:cs="Sakkal Majalla"/>
          <w:sz w:val="28"/>
          <w:szCs w:val="28"/>
          <w:u w:val="single"/>
          <w:rtl/>
        </w:rPr>
      </w:pPr>
    </w:p>
    <w:p w14:paraId="75603B18" w14:textId="77777777" w:rsidR="00040F96" w:rsidRDefault="00040F96" w:rsidP="00040F96">
      <w:pPr>
        <w:rPr>
          <w:rFonts w:ascii="Sakkal Majalla" w:hAnsi="Sakkal Majalla" w:cs="Sakkal Majalla"/>
          <w:sz w:val="28"/>
          <w:szCs w:val="28"/>
          <w:u w:val="single"/>
          <w:rtl/>
        </w:rPr>
      </w:pPr>
    </w:p>
    <w:p w14:paraId="07C7F737" w14:textId="77777777" w:rsidR="00040F96" w:rsidRDefault="00040F96" w:rsidP="00040F96">
      <w:pPr>
        <w:rPr>
          <w:rFonts w:ascii="Sakkal Majalla" w:hAnsi="Sakkal Majalla" w:cs="Sakkal Majalla"/>
          <w:sz w:val="28"/>
          <w:szCs w:val="28"/>
          <w:u w:val="single"/>
        </w:rPr>
      </w:pPr>
    </w:p>
    <w:p w14:paraId="1D63B740" w14:textId="77777777" w:rsidR="00040F96" w:rsidRDefault="00040F96" w:rsidP="00040F96">
      <w:pPr>
        <w:rPr>
          <w:rFonts w:ascii="Sakkal Majalla" w:hAnsi="Sakkal Majalla" w:cs="Sakkal Majalla"/>
          <w:sz w:val="28"/>
          <w:szCs w:val="28"/>
          <w:u w:val="single"/>
          <w:rtl/>
        </w:rPr>
      </w:pPr>
    </w:p>
    <w:p w14:paraId="1579C38E" w14:textId="77777777" w:rsidR="00040F96" w:rsidRPr="009F738B" w:rsidRDefault="00040F96" w:rsidP="00040F96">
      <w:pPr>
        <w:pStyle w:val="Heading2"/>
        <w:rPr>
          <w:rtl/>
        </w:rPr>
      </w:pPr>
      <w:bookmarkStart w:id="4" w:name="_Toc172397776"/>
      <w:bookmarkStart w:id="5" w:name="_Toc172746089"/>
      <w:bookmarkStart w:id="6" w:name="_Toc191138769"/>
      <w:r w:rsidRPr="009F738B">
        <w:rPr>
          <w:rtl/>
        </w:rPr>
        <w:t>المقدمة</w:t>
      </w:r>
      <w:bookmarkEnd w:id="4"/>
      <w:bookmarkEnd w:id="5"/>
      <w:bookmarkEnd w:id="6"/>
    </w:p>
    <w:p w14:paraId="7B4FE5FD" w14:textId="77777777" w:rsidR="00040F96" w:rsidRDefault="00040F96" w:rsidP="00040F96">
      <w:pPr>
        <w:pStyle w:val="NoSpacing"/>
        <w:rPr>
          <w:rtl/>
        </w:rPr>
      </w:pPr>
      <w:r>
        <w:rPr>
          <w:rtl/>
        </w:rPr>
        <w:t>تُحدث التطورات التكنولوجية السريعة تحولات جذرية في عالم المال، وتُحدث ثورة غير مسبوقة في القطاع المصرفي العالمي. وقد برز الذكاء الاصطناعي وغيره من التقنيات الرقمية المتقدمة كقوى رئيسية تدفع عجلة الابتكار والمنافسة في القطاع المالي. ويُعدّ الذكاء الاصطناعي اليوم من أهم الأدوات التي تستخدمها البنوك والمؤسسات المالية الأخرى لتوسيع عروضها، وتحسين إجراءات التشغيل، وتقديم حلول مبتكرة تُلبي احتياجات العملاء المتزايدة. ويحدث هذا في خضم مشهد اقتصادي عالمي مُعقّد وسريع التطور، مما يُجبر المؤسسات المالية على التكيف للحفاظ على عملياتها وتعزيز قدرتها التنافسية</w:t>
      </w:r>
      <w:sdt>
        <w:sdtPr>
          <w:rPr>
            <w:rtl/>
          </w:rPr>
          <w:id w:val="433561213"/>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Map23 \l 3073</w:instrText>
          </w:r>
          <w:r>
            <w:rPr>
              <w:rtl/>
            </w:rPr>
            <w:instrText xml:space="preserve"> </w:instrText>
          </w:r>
          <w:r>
            <w:rPr>
              <w:rtl/>
            </w:rPr>
            <w:fldChar w:fldCharType="separate"/>
          </w:r>
          <w:r>
            <w:rPr>
              <w:noProof/>
              <w:rtl/>
            </w:rPr>
            <w:t xml:space="preserve"> </w:t>
          </w:r>
          <w:r>
            <w:rPr>
              <w:rFonts w:hint="cs"/>
              <w:noProof/>
              <w:rtl/>
            </w:rPr>
            <w:t>(</w:t>
          </w:r>
          <w:r>
            <w:rPr>
              <w:rFonts w:hint="cs"/>
              <w:noProof/>
            </w:rPr>
            <w:t>Maple</w:t>
          </w:r>
          <w:r>
            <w:rPr>
              <w:rFonts w:hint="cs"/>
              <w:noProof/>
              <w:rtl/>
            </w:rPr>
            <w:t>، 2023)</w:t>
          </w:r>
          <w:r>
            <w:rPr>
              <w:rtl/>
            </w:rPr>
            <w:fldChar w:fldCharType="end"/>
          </w:r>
        </w:sdtContent>
      </w:sdt>
      <w:r>
        <w:rPr>
          <w:rtl/>
        </w:rPr>
        <w:t>.</w:t>
      </w:r>
    </w:p>
    <w:p w14:paraId="43371F15" w14:textId="77777777" w:rsidR="00040F96" w:rsidRDefault="00040F96" w:rsidP="00040F96">
      <w:pPr>
        <w:pStyle w:val="NoSpacing"/>
        <w:rPr>
          <w:rtl/>
        </w:rPr>
      </w:pPr>
      <w:r>
        <w:rPr>
          <w:rtl/>
        </w:rPr>
        <w:t>تُعدّ البنوك الإسلامية جزءًا لا يتجزأ من النظام المصرفي العالمي، حيث تتبع استراتيجية أعمال مميزة مبنية على الشريعة الإسلامية، والتي تفرض قيودًا صارمة على المعاملات المالية، بما في ذلك تحريم الربا، وضرورة تقسيم الأرباح والخسائر، وضرورة ربط النشاط الاقتصادي بالأصول الملموسة. وعلى الرغم من الإنجازات الملحوظة التي حققها هذا القطاع في العقود الأخيرة، إلا أنه لا يزال يواجه صعوبات في مواكبة التطورات التقنية التي شهدها القطاع المصرفي العالمي. بالمقارنة مع البنوك التقليدية، يُمثل دمج أحدث التقنيات، كالذكاء الاصطناعي، تحديًا مزدوجًا، إذ يتطلب فحصًا دقيقًا لكل تطبيق لضمان توافقه مع معايير الشريعة الإسلامية</w:t>
      </w:r>
      <w:sdt>
        <w:sdtPr>
          <w:rPr>
            <w:rtl/>
          </w:rPr>
          <w:id w:val="-95918174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Nor241 \l 3073</w:instrText>
          </w:r>
          <w:r>
            <w:rPr>
              <w:rtl/>
            </w:rPr>
            <w:instrText xml:space="preserve"> </w:instrText>
          </w:r>
          <w:r>
            <w:rPr>
              <w:rtl/>
            </w:rPr>
            <w:fldChar w:fldCharType="separate"/>
          </w:r>
          <w:r>
            <w:rPr>
              <w:noProof/>
              <w:rtl/>
            </w:rPr>
            <w:t xml:space="preserve"> </w:t>
          </w:r>
          <w:r>
            <w:rPr>
              <w:rFonts w:hint="cs"/>
              <w:noProof/>
              <w:rtl/>
            </w:rPr>
            <w:t>(</w:t>
          </w:r>
          <w:r>
            <w:rPr>
              <w:rFonts w:hint="cs"/>
              <w:noProof/>
            </w:rPr>
            <w:t>Norchaevna</w:t>
          </w:r>
          <w:r>
            <w:rPr>
              <w:rFonts w:hint="cs"/>
              <w:noProof/>
              <w:rtl/>
            </w:rPr>
            <w:t>، 2024)</w:t>
          </w:r>
          <w:r>
            <w:rPr>
              <w:rtl/>
            </w:rPr>
            <w:fldChar w:fldCharType="end"/>
          </w:r>
        </w:sdtContent>
      </w:sdt>
      <w:r>
        <w:rPr>
          <w:rtl/>
        </w:rPr>
        <w:t>.</w:t>
      </w:r>
    </w:p>
    <w:p w14:paraId="34B0525B" w14:textId="77777777" w:rsidR="00040F96" w:rsidRDefault="00040F96" w:rsidP="00040F96">
      <w:pPr>
        <w:pStyle w:val="NoSpacing"/>
        <w:rPr>
          <w:rtl/>
        </w:rPr>
      </w:pPr>
      <w:r>
        <w:rPr>
          <w:rtl/>
        </w:rPr>
        <w:t>من خلال زيادة الكفاءة التشغيلية، وتقليل الأخطاء البشرية، وتعزيز سرعة ودقة المعاملات المالية، أثبت الذكاء الاصطناعي قدرته على إحداث ثورة في جودة الخدمات المصرفية. ومن أشهر استخداماته في القطاع المصرفي تحليل البيانات الضخمة للتنبؤ بسلوك المستهلك والمتطلبات المستقبلية، والإدارة الاستباقية للمخاطر، والكشف المبكر عن الاحتيال المالي، وإنشاء قنوات رقمية لتقديم خدمات مصرفية ذكية على مدار الساعة. وتُعد هذه التطبيقات موارد قيّمة لرفع مستوى رضا العملاء وتعزيز ثقتهم بالمؤسسات المالية، مما يُساعدها على اكتساب حصة سوقية وتعزيز مؤشرات الأداء العامة</w:t>
      </w:r>
      <w:sdt>
        <w:sdtPr>
          <w:rPr>
            <w:rtl/>
          </w:rPr>
          <w:id w:val="110646577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Per23 \l 3073</w:instrText>
          </w:r>
          <w:r>
            <w:rPr>
              <w:rtl/>
            </w:rPr>
            <w:instrText xml:space="preserve"> </w:instrText>
          </w:r>
          <w:r>
            <w:rPr>
              <w:rtl/>
            </w:rPr>
            <w:fldChar w:fldCharType="separate"/>
          </w:r>
          <w:r>
            <w:rPr>
              <w:noProof/>
              <w:rtl/>
            </w:rPr>
            <w:t xml:space="preserve"> </w:t>
          </w:r>
          <w:r>
            <w:rPr>
              <w:rFonts w:hint="cs"/>
              <w:noProof/>
              <w:rtl/>
            </w:rPr>
            <w:t>(</w:t>
          </w:r>
          <w:r>
            <w:rPr>
              <w:rFonts w:hint="cs"/>
              <w:noProof/>
            </w:rPr>
            <w:t>Perifanis</w:t>
          </w:r>
          <w:r>
            <w:rPr>
              <w:rFonts w:hint="cs"/>
              <w:noProof/>
              <w:rtl/>
            </w:rPr>
            <w:t>، 2023)</w:t>
          </w:r>
          <w:r>
            <w:rPr>
              <w:rtl/>
            </w:rPr>
            <w:fldChar w:fldCharType="end"/>
          </w:r>
        </w:sdtContent>
      </w:sdt>
      <w:r>
        <w:rPr>
          <w:rtl/>
        </w:rPr>
        <w:t>.</w:t>
      </w:r>
    </w:p>
    <w:p w14:paraId="6B542BD9" w14:textId="77777777" w:rsidR="00040F96" w:rsidRDefault="00040F96" w:rsidP="00040F96">
      <w:pPr>
        <w:pStyle w:val="NoSpacing"/>
        <w:rPr>
          <w:rtl/>
        </w:rPr>
      </w:pPr>
      <w:r>
        <w:rPr>
          <w:rtl/>
        </w:rPr>
        <w:t>ومع ذلك، يجب مراعاة جوانب أخرى من الامتثال للشريعة الإسلامية لدمج تقنيات الذكاء الاصطناعي في الخدمات المصرفية الإسلامية. وتُمثل الاعتبارات الأخلاقية والقانونية المتعلقة بالمنتجات والخدمات المالية صعوبةً لا تقل صعوبةً عن الاعتبارات التكنولوجية. يجب تطوير خوارزميات تضمن توافق جميع المعاملات المالية مع الشريعة الإسلامية، وتتجنب أي ممارسات تنطوي على الغرر أو الجهالة أو الربا على الفور. وللتحقق من ارتباط العقود والاستثمارات بالأصول الفعلية، والتزامها بمبدأ تقاسم المخاطر والأرباح، من الضروري أيضًا إنشاء أنظمة متطورة تُراجعها تلقائيًا</w:t>
      </w:r>
      <w:sdt>
        <w:sdtPr>
          <w:rPr>
            <w:rtl/>
          </w:rPr>
          <w:id w:val="-233626105"/>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Kis23 \l 3073</w:instrText>
          </w:r>
          <w:r>
            <w:rPr>
              <w:rtl/>
            </w:rPr>
            <w:instrText xml:space="preserve"> </w:instrText>
          </w:r>
          <w:r>
            <w:rPr>
              <w:rtl/>
            </w:rPr>
            <w:fldChar w:fldCharType="separate"/>
          </w:r>
          <w:r>
            <w:rPr>
              <w:noProof/>
              <w:rtl/>
            </w:rPr>
            <w:t xml:space="preserve"> </w:t>
          </w:r>
          <w:r>
            <w:rPr>
              <w:rFonts w:hint="cs"/>
              <w:noProof/>
              <w:rtl/>
            </w:rPr>
            <w:t>(</w:t>
          </w:r>
          <w:r>
            <w:rPr>
              <w:rFonts w:hint="cs"/>
              <w:noProof/>
            </w:rPr>
            <w:t>Kismawadi</w:t>
          </w:r>
          <w:r>
            <w:rPr>
              <w:rFonts w:hint="cs"/>
              <w:noProof/>
              <w:rtl/>
            </w:rPr>
            <w:t>، 2023)</w:t>
          </w:r>
          <w:r>
            <w:rPr>
              <w:rtl/>
            </w:rPr>
            <w:fldChar w:fldCharType="end"/>
          </w:r>
        </w:sdtContent>
      </w:sdt>
      <w:r>
        <w:rPr>
          <w:rtl/>
        </w:rPr>
        <w:t>.</w:t>
      </w:r>
    </w:p>
    <w:p w14:paraId="172305EA" w14:textId="77777777" w:rsidR="00040F96" w:rsidRDefault="00040F96" w:rsidP="00040F96">
      <w:pPr>
        <w:pStyle w:val="NoSpacing"/>
        <w:rPr>
          <w:rtl/>
        </w:rPr>
      </w:pPr>
      <w:r>
        <w:rPr>
          <w:rtl/>
        </w:rPr>
        <w:t>يواجه تطبيق الذكاء الاصطناعي في الخدمات المصرفية الإسلامية تحدياتٍ عديدة، منها الأطر التنظيمية والقانونية، بالإضافة إلى مسائل الشريعة الإسلامية. لا تزال هذه الأطر في بداياتها، وغالبًا ما تغفل الخصوصية المتأصلة في الخدمات المصرفية الإسلامية، على الرغم من أن بعض الجهات التنظيمية حول العالم قد بدأت في صياغة قوانين لتنظيم استخدام الذكاء الاصطناعي في القطاع المالي. بالنسبة للمؤسسات المالية الإسلامية، يثير هذا تساؤلاتٍ حول كيفية استخدام هذه التقنيات بأمان وقانونية، مع الالتزام التام بالقوانين الوطنية والدولية</w:t>
      </w:r>
      <w:sdt>
        <w:sdtPr>
          <w:rPr>
            <w:rtl/>
          </w:rPr>
          <w:id w:val="-80422963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Ham24 \l 3073</w:instrText>
          </w:r>
          <w:r>
            <w:rPr>
              <w:rtl/>
            </w:rPr>
            <w:instrText xml:space="preserve"> </w:instrText>
          </w:r>
          <w:r>
            <w:rPr>
              <w:rtl/>
            </w:rPr>
            <w:fldChar w:fldCharType="separate"/>
          </w:r>
          <w:r>
            <w:rPr>
              <w:noProof/>
              <w:rtl/>
            </w:rPr>
            <w:t xml:space="preserve"> </w:t>
          </w:r>
          <w:r>
            <w:rPr>
              <w:rFonts w:hint="cs"/>
              <w:noProof/>
              <w:rtl/>
            </w:rPr>
            <w:t>(</w:t>
          </w:r>
          <w:r>
            <w:rPr>
              <w:rFonts w:hint="cs"/>
              <w:noProof/>
            </w:rPr>
            <w:t>Hamadou</w:t>
          </w:r>
          <w:r>
            <w:rPr>
              <w:rFonts w:hint="cs"/>
              <w:noProof/>
              <w:rtl/>
            </w:rPr>
            <w:t>، 2024)</w:t>
          </w:r>
          <w:r>
            <w:rPr>
              <w:rtl/>
            </w:rPr>
            <w:fldChar w:fldCharType="end"/>
          </w:r>
        </w:sdtContent>
      </w:sdt>
      <w:r>
        <w:rPr>
          <w:rtl/>
        </w:rPr>
        <w:t>.</w:t>
      </w:r>
    </w:p>
    <w:p w14:paraId="35A6B302" w14:textId="77777777" w:rsidR="00040F96" w:rsidRDefault="00040F96" w:rsidP="00040F96">
      <w:pPr>
        <w:pStyle w:val="NoSpacing"/>
        <w:rPr>
          <w:rtl/>
        </w:rPr>
      </w:pPr>
      <w:r>
        <w:rPr>
          <w:rtl/>
        </w:rPr>
        <w:t>ومع ذلك، تُعدّ حماية البيانات من أكبر المخاوف عند تطبيق الذكاء الاصطناعي في العمليات المصرفية. تُعد الضوابط الصارمة ضرورية للحفاظ على سرية المعلومات وحمايتها من أي اختراق أو إساءة استخدام، نظرًا لاعتماد الخوارزميات المتقدمة على جمع وتحليل كميات هائلة من البيانات المالية والشخصية للمستهلكين. ويزداد هذا العامل أهميةً في حالة البنوك الإسلامية نظرًا للجوانب الأخلاقية والشرعية للحفاظ على خصوصية الأفراد وأمنهم</w:t>
      </w:r>
      <w:sdt>
        <w:sdtPr>
          <w:rPr>
            <w:rtl/>
          </w:rPr>
          <w:id w:val="-4475714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Nwa241 \l 3073</w:instrText>
          </w:r>
          <w:r>
            <w:rPr>
              <w:rtl/>
            </w:rPr>
            <w:instrText xml:space="preserve"> </w:instrText>
          </w:r>
          <w:r>
            <w:rPr>
              <w:rtl/>
            </w:rPr>
            <w:fldChar w:fldCharType="separate"/>
          </w:r>
          <w:r>
            <w:rPr>
              <w:noProof/>
              <w:rtl/>
            </w:rPr>
            <w:t xml:space="preserve"> </w:t>
          </w:r>
          <w:r>
            <w:rPr>
              <w:rFonts w:hint="cs"/>
              <w:noProof/>
              <w:rtl/>
            </w:rPr>
            <w:t>(</w:t>
          </w:r>
          <w:r>
            <w:rPr>
              <w:rFonts w:hint="cs"/>
              <w:noProof/>
            </w:rPr>
            <w:t>Nwafor</w:t>
          </w:r>
          <w:r>
            <w:rPr>
              <w:rFonts w:hint="cs"/>
              <w:noProof/>
              <w:rtl/>
            </w:rPr>
            <w:t>، 2024)</w:t>
          </w:r>
          <w:r>
            <w:rPr>
              <w:rtl/>
            </w:rPr>
            <w:fldChar w:fldCharType="end"/>
          </w:r>
        </w:sdtContent>
      </w:sdt>
      <w:r>
        <w:rPr>
          <w:rtl/>
        </w:rPr>
        <w:t>.</w:t>
      </w:r>
    </w:p>
    <w:p w14:paraId="572E14C3" w14:textId="77777777" w:rsidR="00040F96" w:rsidRDefault="00040F96" w:rsidP="00040F96">
      <w:pPr>
        <w:pStyle w:val="NoSpacing"/>
        <w:rPr>
          <w:rtl/>
        </w:rPr>
      </w:pPr>
      <w:r>
        <w:rPr>
          <w:rtl/>
        </w:rPr>
        <w:t>يمكن للذكاء الاصطناعي أيضًا أن يُسهم في تحسين المساءلة والشفافية في البنوك الإسلامية، وهما مبدأان أساسيان يُشكلان أساس الخدمات المصرفية الإسلامية. فعلى سبيل المثال، يُمكن استخدام الأنظمة الذكية لتتبع وتحديد أي خلل في المعاملات المالية الآنية. بالإضافة إلى ذلك، تُمكّن هذه الأنظمة من إعداد تقارير شاملة ودقيقة تُساعد هيئات الرقابة الشرعية على أداء واجباتها بنجاح أكبر. كما يُمكن للذكاء الاصطناعي أن يُوفر خيارات استثمارية مبتكرة تلتزم بالشريعة الإسلامية وتُلبي احتياجات مجموعة واسعة من العملاء الذين يبحثون عن منتجات مالية مستدامة وأخلاقية.</w:t>
      </w:r>
    </w:p>
    <w:p w14:paraId="1DDF7028" w14:textId="77777777" w:rsidR="00040F96" w:rsidRDefault="00040F96" w:rsidP="00040F96">
      <w:pPr>
        <w:pStyle w:val="NoSpacing"/>
        <w:rPr>
          <w:rtl/>
        </w:rPr>
      </w:pPr>
      <w:r>
        <w:rPr>
          <w:rtl/>
        </w:rPr>
        <w:t>لا يقتصر تأثير الذكاء الاصطناعي على العمليات الداخلية للبنوك الإسلامية فحسب، بل يُحسّن أيضًا تجربة العملاء بشكل عام. يبحث المستهلكون اليوم عن خدمات سريعة وبسيطة وقابلة للتكيف وقابلة للتعديل. هذا هو المكان الذي يمكن فيه للتكنولوجيا مثل أنظمة التوصية التي تقدم عروضًا وخدمات مخصصة بناءً على تحليل سلوك العميل واحتياجاته، والروبوتات الدردشة التي يمكنها الإجابة على أسئلة العملاء.</w:t>
      </w:r>
    </w:p>
    <w:p w14:paraId="1FDE76EA" w14:textId="77777777" w:rsidR="00040F96" w:rsidRDefault="00040F96" w:rsidP="00040F96">
      <w:pPr>
        <w:pStyle w:val="NoSpacing"/>
        <w:rPr>
          <w:rtl/>
        </w:rPr>
      </w:pPr>
      <w:r>
        <w:rPr>
          <w:rtl/>
        </w:rPr>
        <w:t>يدخل العملاء في أي وقت، ويلعبون دورًا محوريًا. ولذلك، يُساعد الذكاء الاصطناعي البنوك وعملائها على بناء علاقات أوثق وأطول أمدًا</w:t>
      </w:r>
      <w:sdt>
        <w:sdtPr>
          <w:rPr>
            <w:rtl/>
          </w:rPr>
          <w:id w:val="173674015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Sai25 \l 3073</w:instrText>
          </w:r>
          <w:r>
            <w:rPr>
              <w:rtl/>
            </w:rPr>
            <w:instrText xml:space="preserve"> </w:instrText>
          </w:r>
          <w:r>
            <w:rPr>
              <w:rtl/>
            </w:rPr>
            <w:fldChar w:fldCharType="separate"/>
          </w:r>
          <w:r>
            <w:rPr>
              <w:noProof/>
              <w:rtl/>
            </w:rPr>
            <w:t xml:space="preserve"> </w:t>
          </w:r>
          <w:r>
            <w:rPr>
              <w:rFonts w:hint="cs"/>
              <w:noProof/>
              <w:rtl/>
            </w:rPr>
            <w:t>(</w:t>
          </w:r>
          <w:r>
            <w:rPr>
              <w:rFonts w:hint="cs"/>
              <w:noProof/>
            </w:rPr>
            <w:t>Sain</w:t>
          </w:r>
          <w:r>
            <w:rPr>
              <w:rFonts w:hint="cs"/>
              <w:noProof/>
              <w:rtl/>
            </w:rPr>
            <w:t>، 2025)</w:t>
          </w:r>
          <w:r>
            <w:rPr>
              <w:rtl/>
            </w:rPr>
            <w:fldChar w:fldCharType="end"/>
          </w:r>
        </w:sdtContent>
      </w:sdt>
      <w:r>
        <w:rPr>
          <w:rtl/>
        </w:rPr>
        <w:t>.</w:t>
      </w:r>
    </w:p>
    <w:p w14:paraId="3484B451" w14:textId="77777777" w:rsidR="00040F96" w:rsidRDefault="00040F96" w:rsidP="00040F96">
      <w:pPr>
        <w:pStyle w:val="NoSpacing"/>
        <w:rPr>
          <w:rtl/>
        </w:rPr>
      </w:pPr>
      <w:r>
        <w:rPr>
          <w:rtl/>
        </w:rPr>
        <w:t>ورغم هذه الآفاق المُشجعة، لا يزال تطبيق الذكاء الاصطناعي في البنوك الإسلامية يتطلب رؤية استراتيجية واضحة المعالم واستراتيجية تطبيق مدروسة جيدًا. ويتعين على هذه المؤسسات التوفيق بين الالتزام الصارم بالقيم الإسلامية التي تُشكل أساس عملياتها، والاستفادة من الإمكانات التقنية الهائلة لهذه التقنيات. كما يجب عليها الاستثمار في تطوير رأس مال بشري ماهر قادر على فهم الجوانب القانونية والتكنولوجية للذكاء الاصطناعي، بما يضمن أن يُحقق استخدامه النتائج المرجوة دون مخالفة للتعاليم الدينية.</w:t>
      </w:r>
    </w:p>
    <w:p w14:paraId="620661F0" w14:textId="77777777" w:rsidR="00040F96" w:rsidRDefault="00040F96" w:rsidP="00040F96">
      <w:pPr>
        <w:pStyle w:val="NoSpacing"/>
        <w:rPr>
          <w:rtl/>
        </w:rPr>
      </w:pPr>
      <w:r>
        <w:rPr>
          <w:rtl/>
        </w:rPr>
        <w:t>ويتطلب ذلك وضع سياسات وإجراءات داخلية على المستوى المؤسسي تُنظّم تطبيق الذكاء الاصطناعي في مختلف أقسام البنوك، بدءًا من خدمة العملاء ووصولًا إلى التسويق. ولضمان فعالية الأنظمة الذكية وسلامتها القانونية والشرعية، ينبغي أن تتضمن هذه القواعد إجراءات واضحة للإشراف والتقييم المستمرين، بدءًا من إدارة المخاطر والامتثال وصولًا إلى تطوير المنتجات والاستثمارات.</w:t>
      </w:r>
    </w:p>
    <w:p w14:paraId="29E81E36" w14:textId="77777777" w:rsidR="00040F96" w:rsidRDefault="00040F96" w:rsidP="00040F96">
      <w:pPr>
        <w:pStyle w:val="NoSpacing"/>
        <w:rPr>
          <w:rtl/>
        </w:rPr>
      </w:pPr>
      <w:r>
        <w:rPr>
          <w:rtl/>
        </w:rPr>
        <w:t>على نطاق أوسع، يُعدّ وجود بيئة تنظيمية تُعزز الابتكار مع حماية مصالح العملاء أمرًا بالغ الأهمية لنجاح تجارب البنوك الإسلامية مع الذكاء الاصطناعي. ولإنشاء أطر عمل متكاملة تُحدد المبادئ التوجيهية والمعايير الواجب اتباعها عند استخدام التقنيات الجديدة، يجب على البنوك الإسلامية والهيئات التنظيمية واللجان الشرعية التعاون بشكل وثيق وفوريّ. وعلى الصعيد الدولي، ينبغي وضع معايير موحدة لتعزيز تبادل المعرفة وتعزيز الثقة في المنتجات والخدمات المالية الإسلامية القائمة على الذكاء الاصطناعي</w:t>
      </w:r>
      <w:sdt>
        <w:sdtPr>
          <w:rPr>
            <w:rtl/>
          </w:rPr>
          <w:id w:val="48142699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JJu25 \l 3073</w:instrText>
          </w:r>
          <w:r>
            <w:rPr>
              <w:rtl/>
            </w:rPr>
            <w:instrText xml:space="preserve"> </w:instrText>
          </w:r>
          <w:r>
            <w:rPr>
              <w:rtl/>
            </w:rPr>
            <w:fldChar w:fldCharType="separate"/>
          </w:r>
          <w:r>
            <w:rPr>
              <w:noProof/>
              <w:rtl/>
            </w:rPr>
            <w:t xml:space="preserve"> </w:t>
          </w:r>
          <w:r>
            <w:rPr>
              <w:rFonts w:hint="cs"/>
              <w:noProof/>
              <w:rtl/>
            </w:rPr>
            <w:t>(</w:t>
          </w:r>
          <w:r>
            <w:rPr>
              <w:rFonts w:hint="cs"/>
              <w:noProof/>
            </w:rPr>
            <w:t>J.</w:t>
          </w:r>
          <w:r>
            <w:rPr>
              <w:rFonts w:hint="cs"/>
              <w:noProof/>
              <w:rtl/>
            </w:rPr>
            <w:t>، 2025)</w:t>
          </w:r>
          <w:r>
            <w:rPr>
              <w:rtl/>
            </w:rPr>
            <w:fldChar w:fldCharType="end"/>
          </w:r>
        </w:sdtContent>
      </w:sdt>
      <w:r>
        <w:rPr>
          <w:rtl/>
        </w:rPr>
        <w:t>.</w:t>
      </w:r>
    </w:p>
    <w:p w14:paraId="48DBD848" w14:textId="77777777" w:rsidR="00040F96" w:rsidRDefault="00040F96" w:rsidP="00040F96">
      <w:pPr>
        <w:pStyle w:val="NoSpacing"/>
        <w:rPr>
          <w:rtl/>
        </w:rPr>
      </w:pPr>
      <w:r>
        <w:rPr>
          <w:rtl/>
        </w:rPr>
        <w:t>تتجلى أهمية البحث في الدور متعدد الجوانب الذي يُمكن أن يلعبه الذكاء الاصطناعي في الارتقاء بمستوى الخدمات المالية الإسلامية مما سبق. تهدف هذه الدراسة إلى تقييم العوائق التقنية والشرعية والتنظيمية التي قد تمنع اعتماد هذه التقنيات على نطاق واسع، بالإضافة إلى استكشاف الفرص التقنية التي تُتيحها. كما تهدف الدراسة إلى تقديم إطار عمل متكامل يحافظ على الطابع الفريد للبنوك الإسلامية استنادًا إلى معايير الشريعة الإسلامية، مع تعظيم مزايا الذكاء الاصطناعي.</w:t>
      </w:r>
    </w:p>
    <w:p w14:paraId="350513C1" w14:textId="77777777" w:rsidR="00040F96" w:rsidRPr="006F6DEA" w:rsidRDefault="00040F96" w:rsidP="00040F96">
      <w:pPr>
        <w:pStyle w:val="NoSpacing"/>
        <w:rPr>
          <w:rtl/>
        </w:rPr>
      </w:pPr>
      <w:r>
        <w:rPr>
          <w:rtl/>
        </w:rPr>
        <w:t>أُجريت هذه الدراسة في خضمّ اندفاعة حثيثة نحو التحول الرقمي في القطاع المصرفي العالمي. لقد أصبح اعتماد التكنولوجيا الحديثة الآن ضرورةً للبقاء في سوقٍ شديدة التنافس، وليس خيارًا. ومن ثم، ومن أجل الحفاظ على قدرتها التنافسية، وإرضاء عملائها، وتعزيز دورها في تعزيز التنمية الاقتصادية المستدامة، يتعين على البنوك الإسلامية الآن أكثر من أي وقت مضى تطبيق تقنيات الذكاء الاصطناعي بعناية.</w:t>
      </w:r>
    </w:p>
    <w:p w14:paraId="1ED3A589" w14:textId="77777777" w:rsidR="00040F96" w:rsidRDefault="00040F96" w:rsidP="00040F96">
      <w:pPr>
        <w:rPr>
          <w:rtl/>
        </w:rPr>
      </w:pPr>
      <w:bookmarkStart w:id="7" w:name="_Toc169370865"/>
      <w:bookmarkStart w:id="8" w:name="_Toc169565909"/>
      <w:bookmarkStart w:id="9" w:name="_Toc171440855"/>
      <w:bookmarkStart w:id="10" w:name="_Toc191138770"/>
    </w:p>
    <w:p w14:paraId="38824B1E" w14:textId="77777777" w:rsidR="00040F96" w:rsidRDefault="00040F96" w:rsidP="00040F96">
      <w:pPr>
        <w:pStyle w:val="Heading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7"/>
      <w:bookmarkEnd w:id="8"/>
      <w:bookmarkEnd w:id="9"/>
      <w:bookmarkEnd w:id="10"/>
    </w:p>
    <w:p w14:paraId="79888946" w14:textId="77777777" w:rsidR="00040F96" w:rsidRPr="00C64520" w:rsidRDefault="00040F96" w:rsidP="00040F96">
      <w:pPr>
        <w:pStyle w:val="NoSpacing"/>
        <w:numPr>
          <w:ilvl w:val="0"/>
          <w:numId w:val="2"/>
        </w:numPr>
        <w:rPr>
          <w:b/>
          <w:bCs/>
          <w:rtl/>
        </w:rPr>
      </w:pPr>
      <w:r w:rsidRPr="00C64520">
        <w:rPr>
          <w:rFonts w:hint="cs"/>
          <w:b/>
          <w:bCs/>
          <w:rtl/>
        </w:rPr>
        <w:t>المشكلة</w:t>
      </w:r>
      <w:r w:rsidRPr="00C64520">
        <w:rPr>
          <w:b/>
          <w:bCs/>
          <w:rtl/>
        </w:rPr>
        <w:t xml:space="preserve"> الرئيسية</w:t>
      </w:r>
    </w:p>
    <w:p w14:paraId="0607384C" w14:textId="77777777" w:rsidR="00040F96" w:rsidRDefault="00040F96" w:rsidP="00040F96">
      <w:pPr>
        <w:pStyle w:val="NoSpacing"/>
        <w:rPr>
          <w:rtl/>
        </w:rPr>
      </w:pPr>
      <w:r>
        <w:rPr>
          <w:rtl/>
        </w:rPr>
        <w:t>تتمثل القضية الرئيسية لهذه الدراسة في الصعوبات التي تواجهها البنوك الإسلامية في تطبيق تقنيات الذكاء الاصطناعي للارتقاء بجودة خدماتها المصرفية. ورغم الإمكانات الكبيرة لهذه التقنيات لتحسين رضا العملاء، والكفاءة التشغيلية، وسرعة ودقة المعاملات المالية، إلا أن استخدامها في البنوك الإسلامية يطرح عددًا من التحديات فيما يتعلق بالالتزام بالأطر التنظيمية، وحماية بيانات العملاء، والامتثال لأحكام الشريعة الإسلامية. وتتناقض الفوائد المحتملة للذكاء الاصطناعي بشكل واضح مع ما يمكن أن تحققه البنوك الإسلامية منه في ظل قيود الشريعة والأطر التنظيمية ذات الصلة</w:t>
      </w:r>
      <w:sdt>
        <w:sdtPr>
          <w:rPr>
            <w:rtl/>
          </w:rPr>
          <w:id w:val="479963022"/>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Waz25 \l 3073</w:instrText>
          </w:r>
          <w:r>
            <w:rPr>
              <w:rtl/>
            </w:rPr>
            <w:instrText xml:space="preserve"> </w:instrText>
          </w:r>
          <w:r>
            <w:rPr>
              <w:rtl/>
            </w:rPr>
            <w:fldChar w:fldCharType="separate"/>
          </w:r>
          <w:r>
            <w:rPr>
              <w:noProof/>
              <w:rtl/>
            </w:rPr>
            <w:t xml:space="preserve"> </w:t>
          </w:r>
          <w:r>
            <w:rPr>
              <w:rFonts w:hint="cs"/>
              <w:noProof/>
              <w:rtl/>
            </w:rPr>
            <w:t>(</w:t>
          </w:r>
          <w:r>
            <w:rPr>
              <w:rFonts w:hint="cs"/>
              <w:noProof/>
            </w:rPr>
            <w:t>Wazin</w:t>
          </w:r>
          <w:r>
            <w:rPr>
              <w:rFonts w:hint="cs"/>
              <w:noProof/>
              <w:rtl/>
            </w:rPr>
            <w:t>، 2025)</w:t>
          </w:r>
          <w:r>
            <w:rPr>
              <w:rtl/>
            </w:rPr>
            <w:fldChar w:fldCharType="end"/>
          </w:r>
        </w:sdtContent>
      </w:sdt>
      <w:r>
        <w:rPr>
          <w:rtl/>
        </w:rPr>
        <w:t>.</w:t>
      </w:r>
    </w:p>
    <w:p w14:paraId="5E076472" w14:textId="77777777" w:rsidR="00040F96" w:rsidRDefault="00040F96" w:rsidP="00040F96">
      <w:pPr>
        <w:pStyle w:val="NoSpacing"/>
        <w:rPr>
          <w:rtl/>
        </w:rPr>
      </w:pPr>
    </w:p>
    <w:p w14:paraId="5CA54307" w14:textId="77777777" w:rsidR="00040F96" w:rsidRPr="00C64520" w:rsidRDefault="00040F96" w:rsidP="00040F96">
      <w:pPr>
        <w:pStyle w:val="NoSpacing"/>
        <w:numPr>
          <w:ilvl w:val="0"/>
          <w:numId w:val="2"/>
        </w:numPr>
        <w:rPr>
          <w:b/>
          <w:bCs/>
          <w:rtl/>
        </w:rPr>
      </w:pPr>
      <w:r w:rsidRPr="00C64520">
        <w:rPr>
          <w:rFonts w:hint="cs"/>
          <w:b/>
          <w:bCs/>
          <w:rtl/>
        </w:rPr>
        <w:t>المشاكل الفرعية</w:t>
      </w:r>
    </w:p>
    <w:p w14:paraId="4B0946AC" w14:textId="77777777" w:rsidR="00040F96" w:rsidRDefault="00040F96" w:rsidP="00040F96">
      <w:pPr>
        <w:pStyle w:val="Style1"/>
        <w:rPr>
          <w:rtl/>
        </w:rPr>
      </w:pPr>
      <w:r>
        <w:rPr>
          <w:rtl/>
        </w:rPr>
        <w:t xml:space="preserve">التوافق مع الشريعة الإسلامية: </w:t>
      </w:r>
    </w:p>
    <w:p w14:paraId="3DE91A3D" w14:textId="77777777" w:rsidR="00040F96" w:rsidRDefault="00040F96" w:rsidP="00040F96">
      <w:pPr>
        <w:pStyle w:val="NoSpacing"/>
        <w:rPr>
          <w:rtl/>
        </w:rPr>
      </w:pPr>
      <w:r>
        <w:rPr>
          <w:rtl/>
        </w:rPr>
        <w:t>تواجه البنوك الإسلامية تحديات في ضمان التزام تقنيات الذكاء الاصطناعي بأحكام الشريعة التي تنظم أنشطتها المصرفية. لذا، يجب تطوير خوارزميات وأنظمة ذكية قادرة على فحص العقود والمعاملات والتأكد من التزامها بأحكام الشريعة الإسلامية - مثل تحريم الربا، وضرورة منع الغموض، وضرورة ضمان ربطها بالأصول الفعلية.</w:t>
      </w:r>
    </w:p>
    <w:p w14:paraId="32A06343" w14:textId="77777777" w:rsidR="00040F96" w:rsidRDefault="00040F96" w:rsidP="00040F96">
      <w:pPr>
        <w:pStyle w:val="Style1"/>
        <w:rPr>
          <w:rtl/>
        </w:rPr>
      </w:pPr>
      <w:r>
        <w:rPr>
          <w:rtl/>
        </w:rPr>
        <w:t>غياب أطر تنظيمية واضحة المعالم:</w:t>
      </w:r>
    </w:p>
    <w:p w14:paraId="4E0CD7A8" w14:textId="77777777" w:rsidR="00040F96" w:rsidRDefault="00040F96" w:rsidP="00040F96">
      <w:pPr>
        <w:pStyle w:val="NoSpacing"/>
        <w:rPr>
          <w:rtl/>
        </w:rPr>
      </w:pPr>
      <w:r>
        <w:rPr>
          <w:rtl/>
        </w:rPr>
        <w:t xml:space="preserve"> تُعيق المصارف الإسلامية غياب القواعد والمبادئ التوجيهية التي تُنظّم تطبيق الذكاء الاصطناعي في التمويل الإسلامي. وينشأ عدم اليقين عند تطبيق هذه التقنيات، إذ لا تزال الأطر التنظيمية الحالية في معظم الدول تُركّز على الخصائص العامة للتقنيات المالية بدلاً من مُعالجة خصوصية المصارف الإسلامية وفقًا لأحكام الشريعة الإسلامية بشكلٍ كافٍ</w:t>
      </w:r>
      <w:sdt>
        <w:sdtPr>
          <w:rPr>
            <w:rtl/>
          </w:rPr>
          <w:id w:val="-212645528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Sha251 \l 3073</w:instrText>
          </w:r>
          <w:r>
            <w:rPr>
              <w:rtl/>
            </w:rPr>
            <w:instrText xml:space="preserve"> </w:instrText>
          </w:r>
          <w:r>
            <w:rPr>
              <w:rtl/>
            </w:rPr>
            <w:fldChar w:fldCharType="separate"/>
          </w:r>
          <w:r>
            <w:rPr>
              <w:noProof/>
              <w:rtl/>
            </w:rPr>
            <w:t xml:space="preserve"> </w:t>
          </w:r>
          <w:r>
            <w:rPr>
              <w:rFonts w:hint="cs"/>
              <w:noProof/>
              <w:rtl/>
            </w:rPr>
            <w:t>(</w:t>
          </w:r>
          <w:r>
            <w:rPr>
              <w:rFonts w:hint="cs"/>
              <w:noProof/>
            </w:rPr>
            <w:t>Shalhoob</w:t>
          </w:r>
          <w:r>
            <w:rPr>
              <w:rFonts w:hint="cs"/>
              <w:noProof/>
              <w:rtl/>
            </w:rPr>
            <w:t>، 2025)</w:t>
          </w:r>
          <w:r>
            <w:rPr>
              <w:rtl/>
            </w:rPr>
            <w:fldChar w:fldCharType="end"/>
          </w:r>
        </w:sdtContent>
      </w:sdt>
      <w:r>
        <w:rPr>
          <w:rtl/>
        </w:rPr>
        <w:t>.</w:t>
      </w:r>
    </w:p>
    <w:p w14:paraId="5DBA2B76" w14:textId="77777777" w:rsidR="00040F96" w:rsidRDefault="00040F96" w:rsidP="00040F96">
      <w:pPr>
        <w:pStyle w:val="Style1"/>
        <w:rPr>
          <w:rtl/>
        </w:rPr>
      </w:pPr>
      <w:r>
        <w:rPr>
          <w:rtl/>
        </w:rPr>
        <w:t>أمن البيانات والخصوصية:</w:t>
      </w:r>
    </w:p>
    <w:p w14:paraId="4A222921" w14:textId="77777777" w:rsidR="00040F96" w:rsidRDefault="00040F96" w:rsidP="00040F96">
      <w:pPr>
        <w:pStyle w:val="NoSpacing"/>
        <w:rPr>
          <w:rtl/>
        </w:rPr>
      </w:pPr>
      <w:r>
        <w:rPr>
          <w:rtl/>
        </w:rPr>
        <w:t xml:space="preserve"> بما أن الذكاء الاصطناعي يعتمد على جمع ومعالجة كميات هائلة من البيانات، فهناك مخاوف جدية بشأن سلامة البيانات المالية والشخصية للمستهلكين. أما في المصارف الإسلامية، التي تتبع مبادئ أخلاقية وشرعية صارمة للحفاظ على الثقة وحماية المعلومات الشخصية، فإن هذه المسألة أكثر حساسية.</w:t>
      </w:r>
    </w:p>
    <w:p w14:paraId="1B90B9F9" w14:textId="77777777" w:rsidR="00040F96" w:rsidRDefault="00040F96" w:rsidP="00040F96">
      <w:pPr>
        <w:pStyle w:val="Style1"/>
        <w:rPr>
          <w:rtl/>
        </w:rPr>
      </w:pPr>
      <w:r>
        <w:rPr>
          <w:rtl/>
        </w:rPr>
        <w:t xml:space="preserve">الصعوبات التقنية والبنية التحتية: </w:t>
      </w:r>
    </w:p>
    <w:p w14:paraId="1A3B36EA" w14:textId="77777777" w:rsidR="00040F96" w:rsidRDefault="00040F96" w:rsidP="00040F96">
      <w:pPr>
        <w:pStyle w:val="NoSpacing"/>
        <w:rPr>
          <w:rtl/>
        </w:rPr>
      </w:pPr>
      <w:r>
        <w:rPr>
          <w:rtl/>
        </w:rPr>
        <w:t>لا تمتلك جميع المصارف الإسلامية البنية التحتية الرقمية المتطورة اللازمة لتطبيق الذكاء الاصطناعي بنجاح. وقد تُعيق قدرة المصارف على استخدام الذكاء الاصطناعي بفعالية تفاوتٌ ملحوظ في جاهزيتها التقنية، لا سيما فيما يتعلق بالقدرة على تخزين ومعالجة وتحليل كميات هائلة من البيانات</w:t>
      </w:r>
      <w:sdt>
        <w:sdtPr>
          <w:rPr>
            <w:rtl/>
          </w:rPr>
          <w:id w:val="-149447576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Wan24 \l 3073</w:instrText>
          </w:r>
          <w:r>
            <w:rPr>
              <w:rtl/>
            </w:rPr>
            <w:instrText xml:space="preserve"> </w:instrText>
          </w:r>
          <w:r>
            <w:rPr>
              <w:rtl/>
            </w:rPr>
            <w:fldChar w:fldCharType="separate"/>
          </w:r>
          <w:r>
            <w:rPr>
              <w:noProof/>
              <w:rtl/>
            </w:rPr>
            <w:t xml:space="preserve"> </w:t>
          </w:r>
          <w:r>
            <w:rPr>
              <w:rFonts w:hint="cs"/>
              <w:noProof/>
              <w:rtl/>
            </w:rPr>
            <w:t>(</w:t>
          </w:r>
          <w:r>
            <w:rPr>
              <w:rFonts w:hint="cs"/>
              <w:noProof/>
            </w:rPr>
            <w:t>Wang S.</w:t>
          </w:r>
          <w:r>
            <w:rPr>
              <w:rFonts w:hint="cs"/>
              <w:noProof/>
              <w:rtl/>
            </w:rPr>
            <w:t>، 2024)</w:t>
          </w:r>
          <w:r>
            <w:rPr>
              <w:rtl/>
            </w:rPr>
            <w:fldChar w:fldCharType="end"/>
          </w:r>
        </w:sdtContent>
      </w:sdt>
      <w:r>
        <w:rPr>
          <w:rtl/>
        </w:rPr>
        <w:t>.</w:t>
      </w:r>
    </w:p>
    <w:p w14:paraId="6CB65DFC" w14:textId="77777777" w:rsidR="00040F96" w:rsidRDefault="00040F96" w:rsidP="00040F96">
      <w:pPr>
        <w:pStyle w:val="Style1"/>
        <w:rPr>
          <w:rtl/>
        </w:rPr>
      </w:pPr>
      <w:r>
        <w:rPr>
          <w:rtl/>
        </w:rPr>
        <w:t xml:space="preserve">نقص الكوادر المؤهلة: </w:t>
      </w:r>
    </w:p>
    <w:p w14:paraId="2B40887B" w14:textId="77777777" w:rsidR="00040F96" w:rsidRDefault="00040F96" w:rsidP="00040F96">
      <w:pPr>
        <w:pStyle w:val="NoSpacing"/>
        <w:rPr>
          <w:rtl/>
        </w:rPr>
      </w:pPr>
      <w:r>
        <w:rPr>
          <w:rtl/>
        </w:rPr>
        <w:t>يُعدّ نقص الكوادر البشرية المؤهلة ذات الخبرة في كلا المجالين من أكبر العوائق أمام التطبيق الفعال للذكاء الاصطناعي وتكنولوجيا التمويل الإسلامي. ونظرًا لندرة هذه الكفاءات في السوق، تسعى البنوك إلى استقطاب متخصصين يجمعون بين المعرفة المتعمقة بأحكام الشريعة الإسلامية والخبرة التكنولوجية المتطورة.</w:t>
      </w:r>
    </w:p>
    <w:p w14:paraId="65C09AF1" w14:textId="77777777" w:rsidR="00040F96" w:rsidRDefault="00040F96" w:rsidP="00040F96">
      <w:pPr>
        <w:pStyle w:val="Style1"/>
        <w:rPr>
          <w:rtl/>
        </w:rPr>
      </w:pPr>
      <w:r>
        <w:rPr>
          <w:rtl/>
        </w:rPr>
        <w:t xml:space="preserve">القضايا الاجتماعية والأخلاقية: </w:t>
      </w:r>
    </w:p>
    <w:p w14:paraId="2904FB99" w14:textId="77777777" w:rsidR="00040F96" w:rsidRPr="00C64520" w:rsidRDefault="00040F96" w:rsidP="00040F96">
      <w:pPr>
        <w:pStyle w:val="NoSpacing"/>
        <w:rPr>
          <w:rtl/>
        </w:rPr>
      </w:pPr>
      <w:r>
        <w:rPr>
          <w:rtl/>
        </w:rPr>
        <w:t>يُثير الاعتماد المفرط على الآلات في اتخاذ القرارات المصرفية قلقًا بشأن بعض تطبيقات الذكاء الاصطناعي، مما قد يؤثر سلبًا على ثقة الجمهور بالمؤسسات الإسلامية. كما أُثيرت مخاوف من أن هذه التقنيات قد تُقلل من فرص العمل أو تُخل بالتوازن الاجتماعي الذي تسعى البنوك الإسلامية إلى الحفاظ عليه</w:t>
      </w:r>
      <w:sdt>
        <w:sdtPr>
          <w:rPr>
            <w:rtl/>
          </w:rPr>
          <w:id w:val="1760178446"/>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Ara25 \l 3073</w:instrText>
          </w:r>
          <w:r>
            <w:rPr>
              <w:rtl/>
            </w:rPr>
            <w:instrText xml:space="preserve"> </w:instrText>
          </w:r>
          <w:r>
            <w:rPr>
              <w:rtl/>
            </w:rPr>
            <w:fldChar w:fldCharType="separate"/>
          </w:r>
          <w:r>
            <w:rPr>
              <w:noProof/>
              <w:rtl/>
            </w:rPr>
            <w:t xml:space="preserve"> </w:t>
          </w:r>
          <w:r>
            <w:rPr>
              <w:rFonts w:hint="cs"/>
              <w:noProof/>
              <w:rtl/>
            </w:rPr>
            <w:t>(</w:t>
          </w:r>
          <w:r>
            <w:rPr>
              <w:rFonts w:hint="cs"/>
              <w:noProof/>
            </w:rPr>
            <w:t>Arabi</w:t>
          </w:r>
          <w:r>
            <w:rPr>
              <w:rFonts w:hint="cs"/>
              <w:noProof/>
              <w:rtl/>
            </w:rPr>
            <w:t>، 2025)</w:t>
          </w:r>
          <w:r>
            <w:rPr>
              <w:rtl/>
            </w:rPr>
            <w:fldChar w:fldCharType="end"/>
          </w:r>
        </w:sdtContent>
      </w:sdt>
      <w:r>
        <w:rPr>
          <w:rtl/>
        </w:rPr>
        <w:t>.</w:t>
      </w:r>
    </w:p>
    <w:p w14:paraId="3F34F393" w14:textId="77777777" w:rsidR="00040F96" w:rsidRPr="00E06C68" w:rsidRDefault="00040F96" w:rsidP="00040F96">
      <w:pPr>
        <w:spacing w:after="0" w:line="360" w:lineRule="auto"/>
        <w:rPr>
          <w:rFonts w:ascii="Sakkal Majalla" w:hAnsi="Sakkal Majalla" w:cs="Sakkal Majalla"/>
          <w:sz w:val="28"/>
          <w:szCs w:val="28"/>
          <w:rtl/>
          <w:lang w:bidi="ar-EG"/>
        </w:rPr>
      </w:pPr>
    </w:p>
    <w:p w14:paraId="6D7123D1" w14:textId="77777777" w:rsidR="00040F96" w:rsidRDefault="00040F96" w:rsidP="00040F96">
      <w:pPr>
        <w:pStyle w:val="Heading1"/>
        <w:spacing w:before="0" w:line="360" w:lineRule="auto"/>
        <w:rPr>
          <w:rFonts w:ascii="Simplified Arabic" w:hAnsi="Simplified Arabic" w:cs="Simplified Arabic"/>
          <w:b/>
          <w:bCs/>
          <w:color w:val="auto"/>
          <w:sz w:val="28"/>
          <w:szCs w:val="28"/>
          <w:rtl/>
          <w:lang w:bidi="ar-EG"/>
        </w:rPr>
      </w:pPr>
      <w:bookmarkStart w:id="11" w:name="_Toc169565910"/>
      <w:bookmarkStart w:id="12" w:name="_Toc171440856"/>
      <w:bookmarkStart w:id="13" w:name="_Toc191138771"/>
      <w:r w:rsidRPr="00DE5E70">
        <w:rPr>
          <w:rFonts w:ascii="Simplified Arabic" w:hAnsi="Simplified Arabic" w:cs="Simplified Arabic"/>
          <w:b/>
          <w:bCs/>
          <w:color w:val="auto"/>
          <w:sz w:val="28"/>
          <w:szCs w:val="28"/>
          <w:rtl/>
          <w:lang w:bidi="ar-EG"/>
        </w:rPr>
        <w:t>أهمية الدراسة:</w:t>
      </w:r>
      <w:bookmarkEnd w:id="11"/>
      <w:bookmarkEnd w:id="12"/>
      <w:bookmarkEnd w:id="13"/>
    </w:p>
    <w:p w14:paraId="28780BD4" w14:textId="77777777" w:rsidR="00040F96" w:rsidRPr="00B95FC7" w:rsidRDefault="00040F96" w:rsidP="00040F96">
      <w:pPr>
        <w:pStyle w:val="Style1"/>
      </w:pPr>
      <w:r w:rsidRPr="00B95FC7">
        <w:rPr>
          <w:rtl/>
        </w:rPr>
        <w:t>الأهمية العلمية</w:t>
      </w:r>
    </w:p>
    <w:p w14:paraId="206A8415" w14:textId="77777777" w:rsidR="00040F96" w:rsidRDefault="00040F96" w:rsidP="00040F96">
      <w:pPr>
        <w:pStyle w:val="NoSpacing"/>
        <w:rPr>
          <w:rtl/>
        </w:rPr>
      </w:pPr>
      <w:r>
        <w:rPr>
          <w:rtl/>
        </w:rPr>
        <w:t>إن تناول هذه الدراسة الحالية لموضوع يرتبط ارتباطًا وثيقًا بالتغيرات الرقمية التي تشهدها الصناعة المصرفية العالمية يُضفي عليها قيمة أكاديمية. وبينما لا تزال الأبحاث المتعلقة بتطبيقات الذكاء الاصطناعي في البنوك الإسلامية أقلّ ندرةً منها في البنوك التقليدية، فقد برز الذكاء الاصطناعي كأحد القوى الرئيسية وراء نمو قطاع الخدمات المالية والمصرفية. لذلك، تُقدّم هذه الدراسة إضافة نوعية للأدبيات الأكاديمية من خلال تناول الجوانب القانونية والتقنية لاستخدام الذكاء الاصطناعي في بيئة مصرفية قائمة على مبادئ الشريعة الإسلامية</w:t>
      </w:r>
      <w:sdt>
        <w:sdtPr>
          <w:rPr>
            <w:rtl/>
          </w:rPr>
          <w:id w:val="159527676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Alq252 \l 3073</w:instrText>
          </w:r>
          <w:r>
            <w:rPr>
              <w:rtl/>
            </w:rPr>
            <w:instrText xml:space="preserve"> </w:instrText>
          </w:r>
          <w:r>
            <w:rPr>
              <w:rtl/>
            </w:rPr>
            <w:fldChar w:fldCharType="separate"/>
          </w:r>
          <w:r>
            <w:rPr>
              <w:noProof/>
              <w:rtl/>
            </w:rPr>
            <w:t xml:space="preserve"> </w:t>
          </w:r>
          <w:r>
            <w:rPr>
              <w:rFonts w:hint="cs"/>
              <w:noProof/>
              <w:rtl/>
            </w:rPr>
            <w:t>(</w:t>
          </w:r>
          <w:r>
            <w:rPr>
              <w:rFonts w:hint="cs"/>
              <w:noProof/>
            </w:rPr>
            <w:t>Alqararah</w:t>
          </w:r>
          <w:r>
            <w:rPr>
              <w:rFonts w:hint="cs"/>
              <w:noProof/>
              <w:rtl/>
            </w:rPr>
            <w:t>، 2025)</w:t>
          </w:r>
          <w:r>
            <w:rPr>
              <w:rtl/>
            </w:rPr>
            <w:fldChar w:fldCharType="end"/>
          </w:r>
        </w:sdtContent>
      </w:sdt>
      <w:r>
        <w:rPr>
          <w:rtl/>
        </w:rPr>
        <w:t>.</w:t>
      </w:r>
    </w:p>
    <w:p w14:paraId="3159D8B8" w14:textId="77777777" w:rsidR="00040F96" w:rsidRDefault="00040F96" w:rsidP="00040F96">
      <w:pPr>
        <w:pStyle w:val="NoSpacing"/>
        <w:rPr>
          <w:rtl/>
        </w:rPr>
      </w:pPr>
      <w:r>
        <w:rPr>
          <w:rtl/>
        </w:rPr>
        <w:t>كما تُسهم الدراسة في سد فجوة معرفية كبيرة ناجمة عن ندرة الأبحاث حول كيفية توافق تقنيات الذكاء الاصطناعي مع أحكام الشريعة الإسلامية المُطبقة على البنوك الإسلامية. ومن خلال التركيز على مواضيع دقيقة مثل تحريم الربا، وتجنب الغموض، وضمان الشفافية في العقود والمعاملات، تُقدّم الدراسة إطارًا نظريًا يُساعد الباحثين على فهم العلاقة بين التقدم التكنولوجي ومتطلبات الامتثال للشريعة الإسلامية</w:t>
      </w:r>
      <w:sdt>
        <w:sdtPr>
          <w:rPr>
            <w:rtl/>
          </w:rPr>
          <w:id w:val="204162502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Dah25 \l 3073</w:instrText>
          </w:r>
          <w:r>
            <w:rPr>
              <w:rtl/>
            </w:rPr>
            <w:instrText xml:space="preserve"> </w:instrText>
          </w:r>
          <w:r>
            <w:rPr>
              <w:rtl/>
            </w:rPr>
            <w:fldChar w:fldCharType="separate"/>
          </w:r>
          <w:r>
            <w:rPr>
              <w:noProof/>
              <w:rtl/>
            </w:rPr>
            <w:t xml:space="preserve"> </w:t>
          </w:r>
          <w:r>
            <w:rPr>
              <w:rFonts w:hint="cs"/>
              <w:noProof/>
              <w:rtl/>
            </w:rPr>
            <w:t>(</w:t>
          </w:r>
          <w:r>
            <w:rPr>
              <w:rFonts w:hint="cs"/>
              <w:noProof/>
            </w:rPr>
            <w:t>Dahlan</w:t>
          </w:r>
          <w:r>
            <w:rPr>
              <w:rFonts w:hint="cs"/>
              <w:noProof/>
              <w:rtl/>
            </w:rPr>
            <w:t>، 2025)</w:t>
          </w:r>
          <w:r>
            <w:rPr>
              <w:rtl/>
            </w:rPr>
            <w:fldChar w:fldCharType="end"/>
          </w:r>
        </w:sdtContent>
      </w:sdt>
      <w:r>
        <w:rPr>
          <w:rtl/>
        </w:rPr>
        <w:t>.</w:t>
      </w:r>
    </w:p>
    <w:p w14:paraId="5EDBE26F" w14:textId="77777777" w:rsidR="00040F96" w:rsidRDefault="00040F96" w:rsidP="00040F96">
      <w:pPr>
        <w:pStyle w:val="NoSpacing"/>
        <w:rPr>
          <w:rtl/>
        </w:rPr>
      </w:pPr>
      <w:r>
        <w:rPr>
          <w:rtl/>
        </w:rPr>
        <w:t>علاوة على ذلك، تُقدم هذه الدراسة أساسًا علميًا متينًا لمزيد من البحث في عدد من المجالات، بما في ذلك تطوير خوارزميات شرعية للذكاء الاصطناعي، ودراسة كيفية تأثير هذه التقنيات على مقاييس الأداء المالي للبنوك الإسلامية، أو حتى البحث في كيفية وضع الهيئات التنظيمية لمعايير التقنيات المعاصرة في التمويل الإسلامي. وبالتالي، فهي لا تُقدم نتائج فورية فحسب، بل تُشكل أيضًا أساسًا متينًا لبحوث أكاديمية أكثر شمولًا وعمقًا في المستقبل.</w:t>
      </w:r>
    </w:p>
    <w:p w14:paraId="348AA320" w14:textId="77777777" w:rsidR="00040F96" w:rsidRDefault="00040F96" w:rsidP="00040F96">
      <w:pPr>
        <w:pStyle w:val="NoSpacing"/>
        <w:rPr>
          <w:rtl/>
        </w:rPr>
      </w:pPr>
    </w:p>
    <w:p w14:paraId="45A0E48E" w14:textId="77777777" w:rsidR="00040F96" w:rsidRDefault="00040F96" w:rsidP="00040F96">
      <w:pPr>
        <w:pStyle w:val="NoSpacing"/>
        <w:rPr>
          <w:rtl/>
        </w:rPr>
      </w:pPr>
    </w:p>
    <w:p w14:paraId="486D04EF" w14:textId="77777777" w:rsidR="00040F96" w:rsidRPr="00B95FC7" w:rsidRDefault="00040F96" w:rsidP="00040F96">
      <w:pPr>
        <w:pStyle w:val="Style1"/>
      </w:pPr>
      <w:r w:rsidRPr="00B95FC7">
        <w:rPr>
          <w:rtl/>
        </w:rPr>
        <w:t>الأهمية العملية</w:t>
      </w:r>
    </w:p>
    <w:p w14:paraId="19632D80" w14:textId="77777777" w:rsidR="00040F96" w:rsidRDefault="00040F96" w:rsidP="00040F96">
      <w:pPr>
        <w:pStyle w:val="NoSpacing"/>
        <w:rPr>
          <w:rtl/>
        </w:rPr>
      </w:pPr>
      <w:r>
        <w:rPr>
          <w:rtl/>
        </w:rPr>
        <w:t>نظرًا لأنها تُعطي البنوك والمؤسسات المالية الإسلامية فكرة واضحة عن كيفية استخدام تقنيات الذكاء الاصطناعي مع الالتزام الوثيق بمبادئ الشريعة الإسلامية، فإن الأهمية العملية لهذه الدراسة لا تقل أهمية عن أهميتها الأكاديمية. من الناحية العملية، تُقدم هذه الدراسة اقتراحات تُساعد إدارات البنوك على وضع خطط واضحة لتطبيق الذكاء الاصطناعي في عدد من المجالات، بما في ذلك إدارة المخاطر، ودعم العملاء، وزيادة الفعالية التشغيلية، وابتكار منتجات مصرفية جديدة تُلبي احتياجات العملاء</w:t>
      </w:r>
      <w:sdt>
        <w:sdtPr>
          <w:rPr>
            <w:rtl/>
          </w:rPr>
          <w:id w:val="165710931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Iqb25 \l 3073</w:instrText>
          </w:r>
          <w:r>
            <w:rPr>
              <w:rtl/>
            </w:rPr>
            <w:instrText xml:space="preserve"> </w:instrText>
          </w:r>
          <w:r>
            <w:rPr>
              <w:rtl/>
            </w:rPr>
            <w:fldChar w:fldCharType="separate"/>
          </w:r>
          <w:r>
            <w:rPr>
              <w:noProof/>
              <w:rtl/>
            </w:rPr>
            <w:t xml:space="preserve"> </w:t>
          </w:r>
          <w:r>
            <w:rPr>
              <w:rFonts w:hint="cs"/>
              <w:noProof/>
              <w:rtl/>
            </w:rPr>
            <w:t>(</w:t>
          </w:r>
          <w:r>
            <w:rPr>
              <w:rFonts w:hint="cs"/>
              <w:noProof/>
            </w:rPr>
            <w:t>Iqbal</w:t>
          </w:r>
          <w:r>
            <w:rPr>
              <w:rFonts w:hint="cs"/>
              <w:noProof/>
              <w:rtl/>
            </w:rPr>
            <w:t>، 2025)</w:t>
          </w:r>
          <w:r>
            <w:rPr>
              <w:rtl/>
            </w:rPr>
            <w:fldChar w:fldCharType="end"/>
          </w:r>
        </w:sdtContent>
      </w:sdt>
      <w:r>
        <w:rPr>
          <w:rtl/>
        </w:rPr>
        <w:t>.</w:t>
      </w:r>
    </w:p>
    <w:p w14:paraId="0CD557D4" w14:textId="77777777" w:rsidR="00040F96" w:rsidRDefault="00040F96" w:rsidP="00040F96">
      <w:pPr>
        <w:pStyle w:val="NoSpacing"/>
        <w:rPr>
          <w:rtl/>
        </w:rPr>
      </w:pPr>
      <w:r>
        <w:rPr>
          <w:rtl/>
        </w:rPr>
        <w:t>تُشدد هذه الدراسة أيضًا على أهمية معالجة قضايا مثل حماية بيانات المستهلكين، وضمان شفافية الخوارزميات، وضمان توافق المنتجات المالية مع الشريعة الإسلامية، والتي قد تُعيق نجاح تبني الذكاء الاصطناعي في البنوك الإسلامية. وهذا بدوره يُساعد البنوك على تجنب المخاوف القانونية والشرعية التي قد تُضعف ثقة المستهلكين أو تُضر بمكانتهم في السوق.</w:t>
      </w:r>
    </w:p>
    <w:p w14:paraId="6F9708B3" w14:textId="77777777" w:rsidR="00040F96" w:rsidRDefault="00040F96" w:rsidP="00040F96">
      <w:pPr>
        <w:pStyle w:val="NoSpacing"/>
        <w:rPr>
          <w:rtl/>
        </w:rPr>
      </w:pPr>
      <w:r>
        <w:rPr>
          <w:rtl/>
        </w:rPr>
        <w:t>علاوة على ذلك، تُشكل نتائج هذه الدراسة دليلاً هامًا للهيئات التنظيمية وصانعي القرار في تطوير أطر تنظيمية وتشريعية تدعم الابتكار التكنولوجي في قطاع المصارف الإسلامية. فهي تُقدم منظورًا شاملًا يُحقق التوازن بين تطوير أحدث التقنيات، كالذكاء الاصطناعي، وحماية مصالح المستهلكين، والالتزام بالشريعة الإسلامية. ومن خلال تقديم خدمات عالية الجودة تُضاهي تلك التي تُقدمها البنوك التقليدية مع الحفاظ على هويتها الإسلامية الفريدة، يُمكن لتوصيات الدراسة المُفيدة أن تُساعد البنوك الإسلامية على أن تُصبح أكثر تنافسية على نطاق عالمي</w:t>
      </w:r>
      <w:sdt>
        <w:sdtPr>
          <w:rPr>
            <w:rtl/>
          </w:rPr>
          <w:id w:val="-192324662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Emm24 \l 3073</w:instrText>
          </w:r>
          <w:r>
            <w:rPr>
              <w:rtl/>
            </w:rPr>
            <w:instrText xml:space="preserve"> </w:instrText>
          </w:r>
          <w:r>
            <w:rPr>
              <w:rtl/>
            </w:rPr>
            <w:fldChar w:fldCharType="separate"/>
          </w:r>
          <w:r>
            <w:rPr>
              <w:noProof/>
              <w:rtl/>
            </w:rPr>
            <w:t xml:space="preserve"> </w:t>
          </w:r>
          <w:r>
            <w:rPr>
              <w:rFonts w:hint="cs"/>
              <w:noProof/>
              <w:rtl/>
            </w:rPr>
            <w:t>(</w:t>
          </w:r>
          <w:r>
            <w:rPr>
              <w:rFonts w:hint="cs"/>
              <w:noProof/>
            </w:rPr>
            <w:t>Emmanuel</w:t>
          </w:r>
          <w:r>
            <w:rPr>
              <w:rFonts w:hint="cs"/>
              <w:noProof/>
              <w:rtl/>
            </w:rPr>
            <w:t>، 2024)</w:t>
          </w:r>
          <w:r>
            <w:rPr>
              <w:rtl/>
            </w:rPr>
            <w:fldChar w:fldCharType="end"/>
          </w:r>
        </w:sdtContent>
      </w:sdt>
      <w:r>
        <w:rPr>
          <w:rtl/>
        </w:rPr>
        <w:t>.</w:t>
      </w:r>
    </w:p>
    <w:p w14:paraId="1035AD12" w14:textId="77777777" w:rsidR="00040F96" w:rsidRPr="00B95FC7" w:rsidRDefault="00040F96" w:rsidP="00040F96">
      <w:pPr>
        <w:pStyle w:val="NoSpacing"/>
        <w:rPr>
          <w:rtl/>
        </w:rPr>
      </w:pPr>
      <w:r>
        <w:rPr>
          <w:rtl/>
        </w:rPr>
        <w:t xml:space="preserve">وأخيرًا، بما أن الذكاء الاصطناعي يُمكّن من تقديم خدمات أسرع وأكثر دقةً وتخصيصًا، فإن تطبيق المفاهيم والاقتراحات الواردة في هذه الورقة قد يُسهم في زيادة رضا العملاء وتعزيز ولائهم للبنوك الإسلامية. وهذا يُعزز دور البنوك في تعزيز التنمية الاقتصادية المستدامة من خلال تأثيره الإيجابي على استقرارها المالي </w:t>
      </w:r>
      <w:r>
        <w:rPr>
          <w:rFonts w:hint="cs"/>
          <w:rtl/>
        </w:rPr>
        <w:t>وبرحيتها</w:t>
      </w:r>
      <w:r>
        <w:rPr>
          <w:rtl/>
        </w:rPr>
        <w:t>.</w:t>
      </w:r>
    </w:p>
    <w:p w14:paraId="763D50B2" w14:textId="77777777" w:rsidR="00040F96" w:rsidRPr="00201BD2" w:rsidRDefault="00040F96" w:rsidP="00040F96">
      <w:pPr>
        <w:pStyle w:val="NoSpacing"/>
      </w:pPr>
    </w:p>
    <w:p w14:paraId="294DAF9B" w14:textId="77777777" w:rsidR="00040F96" w:rsidRDefault="00040F96" w:rsidP="00040F96">
      <w:pPr>
        <w:pStyle w:val="Heading1"/>
        <w:spacing w:before="0" w:line="360" w:lineRule="auto"/>
        <w:rPr>
          <w:rFonts w:ascii="Simplified Arabic" w:hAnsi="Simplified Arabic" w:cs="Simplified Arabic"/>
          <w:b/>
          <w:bCs/>
          <w:color w:val="000000" w:themeColor="text1"/>
          <w:sz w:val="28"/>
          <w:szCs w:val="28"/>
          <w:rtl/>
        </w:rPr>
      </w:pPr>
      <w:bookmarkStart w:id="14" w:name="_Toc169370867"/>
      <w:bookmarkStart w:id="15" w:name="_Toc169565911"/>
      <w:bookmarkStart w:id="16" w:name="_Toc171440857"/>
      <w:bookmarkStart w:id="17" w:name="_Toc191138772"/>
      <w:r w:rsidRPr="00DE5E70">
        <w:rPr>
          <w:rFonts w:ascii="Simplified Arabic" w:hAnsi="Simplified Arabic" w:cs="Simplified Arabic"/>
          <w:b/>
          <w:bCs/>
          <w:color w:val="000000" w:themeColor="text1"/>
          <w:sz w:val="28"/>
          <w:szCs w:val="28"/>
          <w:rtl/>
        </w:rPr>
        <w:t>أهداف الدراسة:</w:t>
      </w:r>
      <w:bookmarkStart w:id="18" w:name="_Toc169370868"/>
      <w:bookmarkStart w:id="19" w:name="_Toc169565912"/>
      <w:bookmarkEnd w:id="14"/>
      <w:bookmarkEnd w:id="15"/>
      <w:bookmarkEnd w:id="16"/>
      <w:bookmarkEnd w:id="17"/>
    </w:p>
    <w:p w14:paraId="2456995D" w14:textId="77777777" w:rsidR="00040F96" w:rsidRPr="00F82F3D" w:rsidRDefault="00040F96" w:rsidP="00040F96">
      <w:pPr>
        <w:pStyle w:val="Style1"/>
        <w:rPr>
          <w:rtl/>
        </w:rPr>
      </w:pPr>
      <w:r w:rsidRPr="00F82F3D">
        <w:rPr>
          <w:rtl/>
        </w:rPr>
        <w:t>الهدف الأساسي</w:t>
      </w:r>
    </w:p>
    <w:p w14:paraId="29464646" w14:textId="77777777" w:rsidR="00040F96" w:rsidRDefault="00040F96" w:rsidP="00040F96">
      <w:pPr>
        <w:pStyle w:val="NoSpacing"/>
        <w:rPr>
          <w:rtl/>
        </w:rPr>
      </w:pPr>
      <w:r>
        <w:rPr>
          <w:rtl/>
        </w:rPr>
        <w:t>تهدف هذه الدراسة إلى تحليل دور الذكاء الاصطناعي في تحسين جودة الخدمات المصرفية في البنوك الإسلامية من خلال استكشاف إمكانات هذه التقنيات وتقييم التحديات المرتبطة بتبنيها بما يتوافق مع مبادئ الشريعة الإسلامية. ويسعى هذا الهدف إلى تقديم إطار متكامل يساعد البنوك الإسلامية على الاستفادة من الذكاء الاصطناعي لتعزيز الكفاءة التشغيلية وتطوير تجربة العملاء وتحقيق ميزة تنافسية مستدامة، مع ضمان الالتزام الكامل بالضوابط الشرعية والتنظيمية.</w:t>
      </w:r>
    </w:p>
    <w:p w14:paraId="0802BBD5" w14:textId="77777777" w:rsidR="00040F96" w:rsidRDefault="00040F96" w:rsidP="00040F96">
      <w:pPr>
        <w:pStyle w:val="NoSpacing"/>
        <w:rPr>
          <w:rtl/>
        </w:rPr>
      </w:pPr>
    </w:p>
    <w:p w14:paraId="6BEC8A08" w14:textId="77777777" w:rsidR="00040F96" w:rsidRDefault="00040F96" w:rsidP="00040F96">
      <w:pPr>
        <w:pStyle w:val="Style1"/>
        <w:rPr>
          <w:rtl/>
        </w:rPr>
      </w:pPr>
      <w:r>
        <w:rPr>
          <w:rtl/>
        </w:rPr>
        <w:t>الأهداف الفرعية</w:t>
      </w:r>
    </w:p>
    <w:p w14:paraId="6C7842D3" w14:textId="77777777" w:rsidR="00040F96" w:rsidRPr="00F82F3D" w:rsidRDefault="00040F96" w:rsidP="00040F96">
      <w:pPr>
        <w:pStyle w:val="NoSpacing"/>
        <w:numPr>
          <w:ilvl w:val="0"/>
          <w:numId w:val="3"/>
        </w:numPr>
        <w:rPr>
          <w:b/>
          <w:bCs/>
          <w:rtl/>
        </w:rPr>
      </w:pPr>
      <w:r w:rsidRPr="00F82F3D">
        <w:rPr>
          <w:b/>
          <w:bCs/>
          <w:rtl/>
        </w:rPr>
        <w:t>التعرف على واقع استخدام الذكاء الاصطناعي في البنوك الإسلامية:</w:t>
      </w:r>
    </w:p>
    <w:p w14:paraId="5CA88479" w14:textId="77777777" w:rsidR="00040F96" w:rsidRDefault="00040F96" w:rsidP="00040F96">
      <w:pPr>
        <w:pStyle w:val="NoSpacing"/>
        <w:rPr>
          <w:rtl/>
        </w:rPr>
      </w:pPr>
      <w:r>
        <w:rPr>
          <w:rtl/>
        </w:rPr>
        <w:t>يهدف هذا الهدف إلى دراسة مستوى تبني البنوك الإسلامية لتقنيات الذكاء الاصطناعي في الوقت الراهن، مع تحديد أهم المجالات التي يتم استخدامها فيها مثل خدمة العملاء، وإدارة المخاطر، وتحليل البيانات، وتطوير المنتجات المصرفية.</w:t>
      </w:r>
    </w:p>
    <w:p w14:paraId="47EEFE7B" w14:textId="77777777" w:rsidR="00040F96" w:rsidRPr="00F82F3D" w:rsidRDefault="00040F96" w:rsidP="00040F96">
      <w:pPr>
        <w:pStyle w:val="NoSpacing"/>
        <w:numPr>
          <w:ilvl w:val="0"/>
          <w:numId w:val="3"/>
        </w:numPr>
        <w:rPr>
          <w:b/>
          <w:bCs/>
          <w:rtl/>
        </w:rPr>
      </w:pPr>
      <w:r w:rsidRPr="00F82F3D">
        <w:rPr>
          <w:b/>
          <w:bCs/>
          <w:rtl/>
        </w:rPr>
        <w:t>تحليل أثر الذكاء الاصطناعي على جودة الخدمات المصرفية:</w:t>
      </w:r>
    </w:p>
    <w:p w14:paraId="36A59D6F" w14:textId="77777777" w:rsidR="00040F96" w:rsidRDefault="00040F96" w:rsidP="00040F96">
      <w:pPr>
        <w:pStyle w:val="NoSpacing"/>
        <w:rPr>
          <w:rtl/>
        </w:rPr>
      </w:pPr>
      <w:r>
        <w:rPr>
          <w:rtl/>
        </w:rPr>
        <w:t>يسعى هذا الهدف إلى قياس مدى إسهام تقنيات الذكاء الاصطناعي في تحسين سرعة الخدمات المصرفية، وزيادة الدقة في العمليات، وتقليل الأخطاء، وتحسين تجربة العملاء بشكل عام داخل البنوك الإسلامية.</w:t>
      </w:r>
    </w:p>
    <w:p w14:paraId="0A95829F" w14:textId="77777777" w:rsidR="00040F96" w:rsidRPr="00F82F3D" w:rsidRDefault="00040F96" w:rsidP="00040F96">
      <w:pPr>
        <w:pStyle w:val="NoSpacing"/>
        <w:numPr>
          <w:ilvl w:val="0"/>
          <w:numId w:val="3"/>
        </w:numPr>
        <w:rPr>
          <w:b/>
          <w:bCs/>
          <w:rtl/>
        </w:rPr>
      </w:pPr>
      <w:r w:rsidRPr="00F82F3D">
        <w:rPr>
          <w:b/>
          <w:bCs/>
          <w:rtl/>
        </w:rPr>
        <w:t>تحديد التحديات الشرعية والتنظيمية والتقنية المرتبطة باستخدام الذكاء الاصطناعي:</w:t>
      </w:r>
    </w:p>
    <w:p w14:paraId="24C0B254" w14:textId="77777777" w:rsidR="00040F96" w:rsidRDefault="00040F96" w:rsidP="00040F96">
      <w:pPr>
        <w:pStyle w:val="NoSpacing"/>
        <w:rPr>
          <w:rtl/>
        </w:rPr>
      </w:pPr>
      <w:r>
        <w:rPr>
          <w:rtl/>
        </w:rPr>
        <w:t>يركز هذا الهدف على إبراز العقبات التي تواجه البنوك الإسلامية عند تبني تقنيات الذكاء الاصطناعي، سواء كانت تتعلق بضرورة التوافق مع أحكام الشريعة، أو غياب الأطر التنظيمية المناسبة، أو نقص البنية التحتية الرقمية والكوادر البشرية المؤهلة.</w:t>
      </w:r>
    </w:p>
    <w:p w14:paraId="0F860C92" w14:textId="77777777" w:rsidR="00040F96" w:rsidRPr="00F82F3D" w:rsidRDefault="00040F96" w:rsidP="00040F96">
      <w:pPr>
        <w:pStyle w:val="NoSpacing"/>
        <w:numPr>
          <w:ilvl w:val="0"/>
          <w:numId w:val="3"/>
        </w:numPr>
        <w:rPr>
          <w:b/>
          <w:bCs/>
          <w:rtl/>
        </w:rPr>
      </w:pPr>
      <w:r w:rsidRPr="00F82F3D">
        <w:rPr>
          <w:b/>
          <w:bCs/>
          <w:rtl/>
        </w:rPr>
        <w:t>اقتراح إطار عمل متكامل لتبني الذكاء الاصطناعي في البنوك الإسلامية:</w:t>
      </w:r>
    </w:p>
    <w:p w14:paraId="249CFE87" w14:textId="77777777" w:rsidR="00040F96" w:rsidRDefault="00040F96" w:rsidP="00040F96">
      <w:pPr>
        <w:pStyle w:val="NoSpacing"/>
        <w:rPr>
          <w:rtl/>
        </w:rPr>
      </w:pPr>
      <w:r>
        <w:rPr>
          <w:rtl/>
        </w:rPr>
        <w:t>يهدف هذا الهدف إلى تقديم مجموعة من التوصيات العملية والسياسات المقترحة التي يمكن أن تساعد البنوك الإسلامية على الاستفادة المثلى من تقنيات الذكاء الاصطناعي بشكل يتوافق مع الضوابط الشرعية ويحسن جودة الخدمات المقدمة للعملاء.</w:t>
      </w:r>
    </w:p>
    <w:p w14:paraId="35DD5171" w14:textId="77777777" w:rsidR="00040F96" w:rsidRPr="00F82F3D" w:rsidRDefault="00040F96" w:rsidP="00040F96">
      <w:pPr>
        <w:pStyle w:val="NoSpacing"/>
        <w:numPr>
          <w:ilvl w:val="0"/>
          <w:numId w:val="3"/>
        </w:numPr>
        <w:rPr>
          <w:b/>
          <w:bCs/>
          <w:rtl/>
        </w:rPr>
      </w:pPr>
      <w:r w:rsidRPr="00F82F3D">
        <w:rPr>
          <w:b/>
          <w:bCs/>
          <w:rtl/>
        </w:rPr>
        <w:t>تعزيز دور البنوك الإسلامية في المنافسة العالمية من خلال الابتكار التقني:</w:t>
      </w:r>
    </w:p>
    <w:p w14:paraId="068A3213" w14:textId="77777777" w:rsidR="00040F96" w:rsidRPr="000835E6" w:rsidRDefault="00040F96" w:rsidP="00040F96">
      <w:pPr>
        <w:pStyle w:val="NoSpacing"/>
        <w:rPr>
          <w:rtl/>
        </w:rPr>
      </w:pPr>
      <w:r>
        <w:rPr>
          <w:rtl/>
        </w:rPr>
        <w:t>يركز هذا الهدف على توضيح كيفية مساهمة تقنيات الذكاء الاصطناعي في دعم البنوك الإسلامية لتحقيق ميزة تنافسية في الأسواق المحلية والعالمية من خلال تقديم خدمات مبتكرة ومتوافقة مع الشريعة الإسلامية.</w:t>
      </w:r>
    </w:p>
    <w:p w14:paraId="7EAFA418" w14:textId="77777777" w:rsidR="00040F96" w:rsidRPr="00F86C08" w:rsidRDefault="00040F96" w:rsidP="00040F96">
      <w:pPr>
        <w:pStyle w:val="NoSpacing"/>
        <w:rPr>
          <w:rtl/>
        </w:rPr>
      </w:pPr>
    </w:p>
    <w:p w14:paraId="33371877" w14:textId="77777777" w:rsidR="00040F96" w:rsidRDefault="00040F96" w:rsidP="00040F96">
      <w:pPr>
        <w:pStyle w:val="Heading2"/>
        <w:rPr>
          <w:rtl/>
        </w:rPr>
      </w:pPr>
      <w:bookmarkStart w:id="20" w:name="_Toc171440858"/>
      <w:bookmarkStart w:id="21" w:name="_Toc191138773"/>
      <w:r w:rsidRPr="00DE5E70">
        <w:rPr>
          <w:rtl/>
        </w:rPr>
        <w:t>تساؤلات الدراسة:</w:t>
      </w:r>
      <w:bookmarkEnd w:id="18"/>
      <w:bookmarkEnd w:id="19"/>
      <w:bookmarkEnd w:id="20"/>
      <w:bookmarkEnd w:id="21"/>
    </w:p>
    <w:p w14:paraId="63B26EDC" w14:textId="77777777" w:rsidR="00040F96" w:rsidRDefault="00040F96" w:rsidP="00040F96">
      <w:pPr>
        <w:pStyle w:val="Style1"/>
        <w:rPr>
          <w:rtl/>
        </w:rPr>
      </w:pPr>
      <w:r>
        <w:rPr>
          <w:rtl/>
        </w:rPr>
        <w:t>السؤال الأساسي</w:t>
      </w:r>
    </w:p>
    <w:p w14:paraId="4F53E1C3" w14:textId="77777777" w:rsidR="00040F96" w:rsidRDefault="00040F96" w:rsidP="00040F96">
      <w:pPr>
        <w:pStyle w:val="NoSpacing"/>
        <w:numPr>
          <w:ilvl w:val="0"/>
          <w:numId w:val="5"/>
        </w:numPr>
        <w:rPr>
          <w:rtl/>
        </w:rPr>
      </w:pPr>
      <w:r>
        <w:rPr>
          <w:rtl/>
        </w:rPr>
        <w:t>إلى أي مدى يسهم الذكاء الاصطناعي في تحسين جودة الخدمات المصرفية في البنوك الإسلامية مع مراعاة الضوابط الشرعية والتنظيمية؟</w:t>
      </w:r>
    </w:p>
    <w:p w14:paraId="6008C8A2" w14:textId="77777777" w:rsidR="00040F96" w:rsidRDefault="00040F96" w:rsidP="00040F96">
      <w:pPr>
        <w:pStyle w:val="NoSpacing"/>
        <w:rPr>
          <w:rtl/>
        </w:rPr>
      </w:pPr>
    </w:p>
    <w:p w14:paraId="4C05E40A" w14:textId="77777777" w:rsidR="00040F96" w:rsidRDefault="00040F96" w:rsidP="00040F96">
      <w:pPr>
        <w:pStyle w:val="Style1"/>
        <w:rPr>
          <w:rtl/>
        </w:rPr>
      </w:pPr>
      <w:r>
        <w:rPr>
          <w:rtl/>
        </w:rPr>
        <w:t>الأسئلة الفرعية</w:t>
      </w:r>
    </w:p>
    <w:p w14:paraId="190A30C5" w14:textId="77777777" w:rsidR="00040F96" w:rsidRDefault="00040F96" w:rsidP="00040F96">
      <w:pPr>
        <w:pStyle w:val="NoSpacing"/>
        <w:numPr>
          <w:ilvl w:val="0"/>
          <w:numId w:val="4"/>
        </w:numPr>
        <w:rPr>
          <w:rtl/>
        </w:rPr>
      </w:pPr>
      <w:r>
        <w:rPr>
          <w:rtl/>
        </w:rPr>
        <w:t>ما واقع تبني البنوك الإسلامية لتقنيات الذكاء الاصطناعي في الوقت الحالي؟</w:t>
      </w:r>
    </w:p>
    <w:p w14:paraId="36FDC6F0" w14:textId="77777777" w:rsidR="00040F96" w:rsidRDefault="00040F96" w:rsidP="00040F96">
      <w:pPr>
        <w:pStyle w:val="NoSpacing"/>
        <w:numPr>
          <w:ilvl w:val="0"/>
          <w:numId w:val="4"/>
        </w:numPr>
        <w:rPr>
          <w:rtl/>
        </w:rPr>
      </w:pPr>
      <w:r>
        <w:rPr>
          <w:rtl/>
        </w:rPr>
        <w:t>كيف يؤثر الذكاء الاصطناعي على جودة الخدمات المصرفية من حيث الكفاءة التشغيلية، وسرعة الأداء، ودقة العمليات، ورضا العملاء؟</w:t>
      </w:r>
    </w:p>
    <w:p w14:paraId="40C5C911" w14:textId="77777777" w:rsidR="00040F96" w:rsidRDefault="00040F96" w:rsidP="00040F96">
      <w:pPr>
        <w:pStyle w:val="NoSpacing"/>
        <w:numPr>
          <w:ilvl w:val="0"/>
          <w:numId w:val="4"/>
        </w:numPr>
        <w:rPr>
          <w:rtl/>
        </w:rPr>
      </w:pPr>
      <w:r>
        <w:rPr>
          <w:rtl/>
        </w:rPr>
        <w:t>ما أبرز التحديات الشرعية والتنظيمية والتقنية التي تواجه البنوك الإسلامية عند استخدام تقنيات الذكاء الاصطناعي؟</w:t>
      </w:r>
    </w:p>
    <w:p w14:paraId="7EBF6FE2" w14:textId="77777777" w:rsidR="00040F96" w:rsidRDefault="00040F96" w:rsidP="00040F96">
      <w:pPr>
        <w:pStyle w:val="NoSpacing"/>
        <w:numPr>
          <w:ilvl w:val="0"/>
          <w:numId w:val="4"/>
        </w:numPr>
        <w:rPr>
          <w:rtl/>
        </w:rPr>
      </w:pPr>
      <w:r>
        <w:rPr>
          <w:rtl/>
        </w:rPr>
        <w:t>ما الأطر أو الآليات التي يمكن أن تساعد البنوك الإسلامية على مواءمة استخدام الذكاء الاصطناعي مع أحكام الشريعة الإسلامية؟</w:t>
      </w:r>
    </w:p>
    <w:p w14:paraId="113421B9" w14:textId="77777777" w:rsidR="00040F96" w:rsidRDefault="00040F96" w:rsidP="00040F96">
      <w:pPr>
        <w:pStyle w:val="NoSpacing"/>
        <w:numPr>
          <w:ilvl w:val="0"/>
          <w:numId w:val="4"/>
        </w:numPr>
      </w:pPr>
      <w:r>
        <w:rPr>
          <w:rtl/>
        </w:rPr>
        <w:t>كيف يمكن لتبني تقنيات الذكاء الاصطناعي أن يعزز القدرة التنافسية للبنوك الإسلامية في الأسواق المحلية والعالمية؟</w:t>
      </w:r>
    </w:p>
    <w:p w14:paraId="17FE69FC" w14:textId="77777777" w:rsidR="00040F96" w:rsidRDefault="00040F96" w:rsidP="00040F96">
      <w:pPr>
        <w:pStyle w:val="NoSpacing"/>
        <w:rPr>
          <w:rtl/>
        </w:rPr>
      </w:pPr>
    </w:p>
    <w:p w14:paraId="1634AFBB" w14:textId="77777777" w:rsidR="00040F96" w:rsidRPr="00B2467A" w:rsidRDefault="00040F96" w:rsidP="00040F96">
      <w:pPr>
        <w:pStyle w:val="NoSpacing"/>
        <w:rPr>
          <w:rtl/>
        </w:rPr>
      </w:pPr>
    </w:p>
    <w:p w14:paraId="7E4661D6" w14:textId="77777777" w:rsidR="00040F96" w:rsidRDefault="00040F96" w:rsidP="00040F96">
      <w:pPr>
        <w:pStyle w:val="Heading1"/>
        <w:spacing w:before="0" w:line="360" w:lineRule="auto"/>
        <w:rPr>
          <w:rFonts w:ascii="Simplified Arabic" w:hAnsi="Simplified Arabic" w:cs="Simplified Arabic"/>
          <w:b/>
          <w:bCs/>
          <w:color w:val="000000" w:themeColor="text1"/>
          <w:sz w:val="28"/>
          <w:szCs w:val="28"/>
          <w:rtl/>
        </w:rPr>
      </w:pPr>
      <w:bookmarkStart w:id="22" w:name="_Toc169370869"/>
      <w:bookmarkStart w:id="23" w:name="_Toc169565913"/>
      <w:bookmarkStart w:id="24" w:name="_Toc171440859"/>
      <w:bookmarkStart w:id="25" w:name="_Toc191138774"/>
      <w:r w:rsidRPr="00DE5E70">
        <w:rPr>
          <w:rFonts w:ascii="Simplified Arabic" w:hAnsi="Simplified Arabic" w:cs="Simplified Arabic"/>
          <w:b/>
          <w:bCs/>
          <w:color w:val="000000" w:themeColor="text1"/>
          <w:sz w:val="28"/>
          <w:szCs w:val="28"/>
          <w:rtl/>
        </w:rPr>
        <w:t>فروض الدراسة:</w:t>
      </w:r>
      <w:bookmarkEnd w:id="22"/>
      <w:bookmarkEnd w:id="23"/>
      <w:bookmarkEnd w:id="24"/>
      <w:bookmarkEnd w:id="25"/>
    </w:p>
    <w:p w14:paraId="6D2444D4" w14:textId="77777777" w:rsidR="00040F96" w:rsidRDefault="00040F96" w:rsidP="00040F96">
      <w:pPr>
        <w:pStyle w:val="Style1"/>
        <w:rPr>
          <w:rtl/>
        </w:rPr>
      </w:pPr>
      <w:r>
        <w:rPr>
          <w:rtl/>
        </w:rPr>
        <w:t>الفرضية الرئيسية</w:t>
      </w:r>
    </w:p>
    <w:p w14:paraId="23715D0C" w14:textId="77777777" w:rsidR="00040F96" w:rsidRDefault="00040F96" w:rsidP="00040F96">
      <w:pPr>
        <w:pStyle w:val="NoSpacing"/>
        <w:numPr>
          <w:ilvl w:val="0"/>
          <w:numId w:val="6"/>
        </w:numPr>
        <w:rPr>
          <w:rtl/>
        </w:rPr>
      </w:pPr>
      <w:r>
        <w:rPr>
          <w:rtl/>
        </w:rPr>
        <w:t>يوجد تأثير ذو دلالة إحصائية لتبني تقنيات الذكاء الاصطناعي على تحسين جودة الخدمات المصرفية في البنوك الإسلامية مع الالتزام بالضوابط الشرعية والتنظيمية.</w:t>
      </w:r>
    </w:p>
    <w:p w14:paraId="4F0B5BB7" w14:textId="77777777" w:rsidR="00040F96" w:rsidRDefault="00040F96" w:rsidP="00040F96">
      <w:pPr>
        <w:pStyle w:val="NoSpacing"/>
        <w:rPr>
          <w:rtl/>
        </w:rPr>
      </w:pPr>
    </w:p>
    <w:p w14:paraId="01CA6AD4" w14:textId="77777777" w:rsidR="00040F96" w:rsidRDefault="00040F96" w:rsidP="00040F96">
      <w:pPr>
        <w:pStyle w:val="Style1"/>
        <w:rPr>
          <w:rtl/>
        </w:rPr>
      </w:pPr>
      <w:r>
        <w:rPr>
          <w:rtl/>
        </w:rPr>
        <w:t>الفروض الفرعية</w:t>
      </w:r>
    </w:p>
    <w:p w14:paraId="4D70F758" w14:textId="77777777" w:rsidR="00040F96" w:rsidRDefault="00040F96" w:rsidP="00040F96">
      <w:pPr>
        <w:pStyle w:val="NoSpacing"/>
        <w:numPr>
          <w:ilvl w:val="0"/>
          <w:numId w:val="6"/>
        </w:numPr>
        <w:rPr>
          <w:rtl/>
        </w:rPr>
      </w:pPr>
      <w:r>
        <w:rPr>
          <w:rtl/>
        </w:rPr>
        <w:t>هناك مستوى منخفض نسبيًا من تبني تقنيات الذكاء الاصطناعي في البنوك الإسلامية مقارنة بالبنوك التقليدية.</w:t>
      </w:r>
    </w:p>
    <w:p w14:paraId="01CDCAE2" w14:textId="77777777" w:rsidR="00040F96" w:rsidRDefault="00040F96" w:rsidP="00040F96">
      <w:pPr>
        <w:pStyle w:val="NoSpacing"/>
        <w:numPr>
          <w:ilvl w:val="0"/>
          <w:numId w:val="6"/>
        </w:numPr>
        <w:rPr>
          <w:rtl/>
        </w:rPr>
      </w:pPr>
      <w:r>
        <w:rPr>
          <w:rtl/>
        </w:rPr>
        <w:t>يؤدي استخدام الذكاء الاصطناعي إلى تحسين الكفاءة التشغيلية وسرعة الأداء ودقة العمليات المصرفية في البنوك الإسلامية، مما ينعكس إيجابًا على رضا العملاء.</w:t>
      </w:r>
    </w:p>
    <w:p w14:paraId="4EECF766" w14:textId="77777777" w:rsidR="00040F96" w:rsidRDefault="00040F96" w:rsidP="00040F96">
      <w:pPr>
        <w:pStyle w:val="NoSpacing"/>
        <w:numPr>
          <w:ilvl w:val="0"/>
          <w:numId w:val="6"/>
        </w:numPr>
        <w:rPr>
          <w:rtl/>
        </w:rPr>
      </w:pPr>
      <w:r>
        <w:rPr>
          <w:rtl/>
        </w:rPr>
        <w:t>تواجه البنوك الإسلامية تحديات شرعية وتنظيمية وتقنية تحد من قدرتها على الاستفادة الكاملة من تقنيات الذكاء الاصطناعي.</w:t>
      </w:r>
    </w:p>
    <w:p w14:paraId="73DBDFD7" w14:textId="77777777" w:rsidR="00040F96" w:rsidRDefault="00040F96" w:rsidP="00040F96">
      <w:pPr>
        <w:pStyle w:val="NoSpacing"/>
        <w:numPr>
          <w:ilvl w:val="0"/>
          <w:numId w:val="6"/>
        </w:numPr>
        <w:rPr>
          <w:rtl/>
        </w:rPr>
      </w:pPr>
      <w:r>
        <w:rPr>
          <w:rtl/>
        </w:rPr>
        <w:t>تطبيق أطر وآليات رقابية وشرعية واضحة يسهم في تعزيز مواءمة تقنيات الذكاء الاصطناعي مع أحكام الشريعة الإسلامية في البنوك الإسلامية.</w:t>
      </w:r>
    </w:p>
    <w:p w14:paraId="55273F81" w14:textId="77777777" w:rsidR="00040F96" w:rsidRPr="00A433F4" w:rsidRDefault="00040F96" w:rsidP="00040F96">
      <w:pPr>
        <w:pStyle w:val="NoSpacing"/>
        <w:numPr>
          <w:ilvl w:val="0"/>
          <w:numId w:val="6"/>
        </w:numPr>
        <w:rPr>
          <w:rtl/>
        </w:rPr>
      </w:pPr>
      <w:r>
        <w:rPr>
          <w:rtl/>
        </w:rPr>
        <w:t>تبني تقنيات الذكاء الاصطناعي بشكل فعّال يسهم في تعزيز القدرة التنافسية للبنوك الإسلامية في الأسواق المحلية والعالمية.</w:t>
      </w:r>
    </w:p>
    <w:p w14:paraId="5DBC1034" w14:textId="77777777" w:rsidR="00040F96" w:rsidRPr="00DC28DB" w:rsidRDefault="00040F96" w:rsidP="00040F96">
      <w:pPr>
        <w:pStyle w:val="Heading2"/>
        <w:spacing w:line="360" w:lineRule="auto"/>
        <w:rPr>
          <w:rtl/>
        </w:rPr>
      </w:pPr>
      <w:bookmarkStart w:id="26" w:name="_Toc191138775"/>
      <w:r w:rsidRPr="008A269C">
        <w:rPr>
          <w:rtl/>
        </w:rPr>
        <w:t>النظرية العلمية المتبعة لإعداد البحث</w:t>
      </w:r>
      <w:bookmarkEnd w:id="26"/>
      <w:r w:rsidRPr="00DC28DB">
        <w:rPr>
          <w:rtl/>
        </w:rPr>
        <w:t>.</w:t>
      </w:r>
    </w:p>
    <w:p w14:paraId="12C67AA7" w14:textId="77777777" w:rsidR="00040F96" w:rsidRDefault="00040F96" w:rsidP="00040F96">
      <w:pPr>
        <w:pStyle w:val="NoSpacing"/>
        <w:rPr>
          <w:rtl/>
        </w:rPr>
      </w:pPr>
      <w:r>
        <w:rPr>
          <w:rtl/>
        </w:rPr>
        <w:t>تستند هذه الدراسة إلى مجموعة من النظريات العلمية التي تُشكل الأساس النظري لفهم كيفية ارتباط الذكاء الاصطناعي بجودة الخدمات المصرفية في البنوك الإسلامية. وقد اختيرت هذه النظريات لارتباطها المباشر بجوانب الدراسة المختلفة، بما في ذلك رضا العملاء، والجوانب التنظيمية، والجوانب التقنية.</w:t>
      </w:r>
    </w:p>
    <w:p w14:paraId="635C1163" w14:textId="77777777" w:rsidR="00040F96" w:rsidRDefault="00040F96" w:rsidP="00040F96">
      <w:pPr>
        <w:pStyle w:val="NoSpacing"/>
        <w:rPr>
          <w:rtl/>
        </w:rPr>
      </w:pPr>
      <w:r>
        <w:rPr>
          <w:rtl/>
        </w:rPr>
        <w:t>ابتكر إيفريت روجرز نظرية انتشار الابتكار، التي تصف المراحل التي تمر بها المؤسسات عند تطبيق التطورات التقنية، بالإضافة إلى المتغيرات التي تؤثر على سرعة انتشار هذه الابتكارات. توضح هذه النظرية واقع تبني البنوك الإسلامية لتقنية الذكاء الاصطناعي، وتُحدد بدقة العوامل التي تؤثر على نجاح العملية أو فشلها. ومن خلال تبني ثقافة تنظيمية تُركز على التحسين المستمر ومشاركة جميع الأعضاء في التطوير، تُقدم نظرية إدارة الجودة الشاملة (</w:t>
      </w:r>
      <w:r>
        <w:t>TQM</w:t>
      </w:r>
      <w:r>
        <w:rPr>
          <w:rtl/>
        </w:rPr>
        <w:t>) إطارًا متكاملًا لتحسين جودة الخدمة. وهذا يُتيح وصف كيفية مساهمة الذكاء الاصطناعي في مساعدة البنوك الإسلامية على تقديم خدمات مصرفية عالية الجودة، من خلال تعزيز الفعالية التشغيلية، وتقليل الأخطاء، ورفع مستوى رضا العملاء</w:t>
      </w:r>
      <w:sdt>
        <w:sdtPr>
          <w:rPr>
            <w:rtl/>
          </w:rPr>
          <w:id w:val="-38864934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Guo244 \l 3073</w:instrText>
          </w:r>
          <w:r>
            <w:rPr>
              <w:rtl/>
            </w:rPr>
            <w:instrText xml:space="preserve"> </w:instrText>
          </w:r>
          <w:r>
            <w:rPr>
              <w:rtl/>
            </w:rPr>
            <w:fldChar w:fldCharType="separate"/>
          </w:r>
          <w:r>
            <w:rPr>
              <w:noProof/>
              <w:rtl/>
            </w:rPr>
            <w:t xml:space="preserve"> </w:t>
          </w:r>
          <w:r>
            <w:rPr>
              <w:rFonts w:hint="cs"/>
              <w:noProof/>
              <w:rtl/>
            </w:rPr>
            <w:t>(</w:t>
          </w:r>
          <w:r>
            <w:rPr>
              <w:rFonts w:hint="cs"/>
              <w:noProof/>
            </w:rPr>
            <w:t>Guo</w:t>
          </w:r>
          <w:r>
            <w:rPr>
              <w:rFonts w:hint="cs"/>
              <w:noProof/>
              <w:rtl/>
            </w:rPr>
            <w:t>، 2024)</w:t>
          </w:r>
          <w:r>
            <w:rPr>
              <w:rtl/>
            </w:rPr>
            <w:fldChar w:fldCharType="end"/>
          </w:r>
        </w:sdtContent>
      </w:sdt>
      <w:r>
        <w:rPr>
          <w:rtl/>
        </w:rPr>
        <w:t>.</w:t>
      </w:r>
    </w:p>
    <w:p w14:paraId="5E13F00F" w14:textId="77777777" w:rsidR="00040F96" w:rsidRDefault="00040F96" w:rsidP="00040F96">
      <w:pPr>
        <w:pStyle w:val="NoSpacing"/>
        <w:rPr>
          <w:rtl/>
        </w:rPr>
      </w:pPr>
      <w:r>
        <w:rPr>
          <w:rtl/>
        </w:rPr>
        <w:t>علاوةً على ذلك، وبما أن رضا العملاء وتفاعلهم المستمر يرتبطان بجودة الخدمات المُقدمة، تُساعد نظرية رضا العملاء في تفسير كيفية تأثير استخدام تقنيات الذكاء الاصطناعي على رضا العملاء وولائهم. ويرتبط فهم كيفية مساهمة الذكاء الاصطناعي في تحسين مكانة البنوك الإسلامية في الأسواق الإقليمية والدولية ومساعدتها على مواجهة المنافسة المتزايدة من البنوك التقليدية بنظرية الميزة التنافسية، التي تنص على أن المؤسسات التي تُطبق أساليب وتقنيات متطورة تكون أكثر قدرة على التفوق على منافسيها.</w:t>
      </w:r>
    </w:p>
    <w:p w14:paraId="3DED5B45" w14:textId="77777777" w:rsidR="00040F96" w:rsidRDefault="00040F96" w:rsidP="00040F96">
      <w:pPr>
        <w:pStyle w:val="NoSpacing"/>
        <w:rPr>
          <w:rtl/>
        </w:rPr>
      </w:pPr>
      <w:r>
        <w:rPr>
          <w:rtl/>
        </w:rPr>
        <w:t>وبناءً على هذه النظريات، تدرس الدراسة الجوانب المختلفة لهذه الظاهرة من زوايا مُتنوعة، مثل رضا العملاء، وجودة الخدمة، وتبني التكنولوجيا، والقدرة التنافسية، مع مراعاة الضوابط الشرعية والتنظيمية التي تُميز البنوك الإسلامية عن غيرها من المؤسسات المالية</w:t>
      </w:r>
      <w:sdt>
        <w:sdtPr>
          <w:rPr>
            <w:rtl/>
          </w:rPr>
          <w:id w:val="2080547566"/>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Yan23 \l 3073</w:instrText>
          </w:r>
          <w:r>
            <w:rPr>
              <w:rtl/>
            </w:rPr>
            <w:instrText xml:space="preserve"> </w:instrText>
          </w:r>
          <w:r>
            <w:rPr>
              <w:rtl/>
            </w:rPr>
            <w:fldChar w:fldCharType="separate"/>
          </w:r>
          <w:r>
            <w:rPr>
              <w:noProof/>
              <w:rtl/>
            </w:rPr>
            <w:t xml:space="preserve"> </w:t>
          </w:r>
          <w:r>
            <w:rPr>
              <w:rFonts w:hint="cs"/>
              <w:noProof/>
              <w:rtl/>
            </w:rPr>
            <w:t>(</w:t>
          </w:r>
          <w:r>
            <w:rPr>
              <w:rFonts w:hint="cs"/>
              <w:noProof/>
            </w:rPr>
            <w:t>Yang</w:t>
          </w:r>
          <w:r>
            <w:rPr>
              <w:rFonts w:hint="cs"/>
              <w:noProof/>
              <w:rtl/>
            </w:rPr>
            <w:t>، 2023)</w:t>
          </w:r>
          <w:r>
            <w:rPr>
              <w:rtl/>
            </w:rPr>
            <w:fldChar w:fldCharType="end"/>
          </w:r>
        </w:sdtContent>
      </w:sdt>
      <w:r>
        <w:rPr>
          <w:rtl/>
        </w:rPr>
        <w:t>.</w:t>
      </w:r>
    </w:p>
    <w:p w14:paraId="55D34E84" w14:textId="77777777" w:rsidR="00040F96" w:rsidRDefault="00040F96" w:rsidP="00040F96">
      <w:pPr>
        <w:spacing w:after="0" w:line="360" w:lineRule="auto"/>
        <w:rPr>
          <w:rFonts w:ascii="Simplified Arabic" w:hAnsi="Simplified Arabic" w:cs="Simplified Arabic"/>
          <w:b/>
          <w:bCs/>
          <w:sz w:val="28"/>
          <w:szCs w:val="28"/>
          <w:rtl/>
        </w:rPr>
      </w:pPr>
    </w:p>
    <w:p w14:paraId="2677FFBD" w14:textId="77777777" w:rsidR="00040F96" w:rsidRDefault="00040F96" w:rsidP="00040F96">
      <w:pPr>
        <w:spacing w:after="0" w:line="360" w:lineRule="auto"/>
        <w:rPr>
          <w:rFonts w:ascii="Simplified Arabic" w:hAnsi="Simplified Arabic" w:cs="Simplified Arabic"/>
          <w:b/>
          <w:bCs/>
          <w:sz w:val="28"/>
          <w:szCs w:val="28"/>
          <w:rtl/>
        </w:rPr>
      </w:pPr>
    </w:p>
    <w:p w14:paraId="649AAAB5" w14:textId="77777777" w:rsidR="00040F96" w:rsidRDefault="00040F96" w:rsidP="00040F96">
      <w:pPr>
        <w:spacing w:after="0" w:line="360" w:lineRule="auto"/>
        <w:rPr>
          <w:rFonts w:ascii="Simplified Arabic" w:hAnsi="Simplified Arabic" w:cs="Simplified Arabic"/>
          <w:b/>
          <w:bCs/>
          <w:sz w:val="28"/>
          <w:szCs w:val="28"/>
          <w:rtl/>
        </w:rPr>
      </w:pPr>
    </w:p>
    <w:p w14:paraId="1C93D2AC" w14:textId="77777777" w:rsidR="00040F96" w:rsidRDefault="00040F96" w:rsidP="00040F96">
      <w:pPr>
        <w:spacing w:after="0" w:line="360" w:lineRule="auto"/>
        <w:rPr>
          <w:rFonts w:ascii="Simplified Arabic" w:hAnsi="Simplified Arabic" w:cs="Simplified Arabic"/>
          <w:b/>
          <w:bCs/>
          <w:sz w:val="28"/>
          <w:szCs w:val="28"/>
          <w:rtl/>
        </w:rPr>
      </w:pPr>
    </w:p>
    <w:p w14:paraId="6E05E00E" w14:textId="77777777" w:rsidR="00040F96" w:rsidRDefault="00040F96" w:rsidP="00040F96">
      <w:pPr>
        <w:spacing w:after="0" w:line="360" w:lineRule="auto"/>
        <w:rPr>
          <w:rFonts w:ascii="Simplified Arabic" w:hAnsi="Simplified Arabic" w:cs="Simplified Arabic"/>
          <w:b/>
          <w:bCs/>
          <w:sz w:val="28"/>
          <w:szCs w:val="28"/>
          <w:rtl/>
        </w:rPr>
      </w:pPr>
    </w:p>
    <w:p w14:paraId="7271758A" w14:textId="77777777" w:rsidR="00040F96" w:rsidRDefault="00040F96" w:rsidP="00040F96">
      <w:pPr>
        <w:spacing w:after="0" w:line="360" w:lineRule="auto"/>
        <w:rPr>
          <w:rFonts w:ascii="Simplified Arabic" w:hAnsi="Simplified Arabic" w:cs="Simplified Arabic"/>
          <w:b/>
          <w:bCs/>
          <w:sz w:val="28"/>
          <w:szCs w:val="28"/>
          <w:rtl/>
        </w:rPr>
      </w:pPr>
    </w:p>
    <w:p w14:paraId="05B7241A" w14:textId="77777777" w:rsidR="00040F96" w:rsidRDefault="00040F96" w:rsidP="00040F96">
      <w:pPr>
        <w:spacing w:after="0" w:line="360" w:lineRule="auto"/>
        <w:rPr>
          <w:rFonts w:ascii="Simplified Arabic" w:hAnsi="Simplified Arabic" w:cs="Simplified Arabic"/>
          <w:b/>
          <w:bCs/>
          <w:sz w:val="28"/>
          <w:szCs w:val="28"/>
          <w:rtl/>
        </w:rPr>
      </w:pPr>
    </w:p>
    <w:p w14:paraId="5DF09B63" w14:textId="77777777" w:rsidR="00040F96" w:rsidRDefault="00040F96" w:rsidP="00040F96">
      <w:pPr>
        <w:spacing w:after="0" w:line="360" w:lineRule="auto"/>
        <w:rPr>
          <w:rFonts w:ascii="Simplified Arabic" w:hAnsi="Simplified Arabic" w:cs="Simplified Arabic"/>
          <w:b/>
          <w:bCs/>
          <w:sz w:val="28"/>
          <w:szCs w:val="28"/>
          <w:rtl/>
        </w:rPr>
      </w:pPr>
    </w:p>
    <w:p w14:paraId="728609AA" w14:textId="77777777" w:rsidR="00040F96" w:rsidRDefault="00040F96" w:rsidP="00040F96">
      <w:pPr>
        <w:spacing w:after="0" w:line="360" w:lineRule="auto"/>
        <w:rPr>
          <w:rFonts w:ascii="Simplified Arabic" w:hAnsi="Simplified Arabic" w:cs="Simplified Arabic"/>
          <w:b/>
          <w:bCs/>
          <w:sz w:val="28"/>
          <w:szCs w:val="28"/>
          <w:rtl/>
        </w:rPr>
      </w:pPr>
    </w:p>
    <w:p w14:paraId="1B2DC3C2" w14:textId="77777777" w:rsidR="00040F96" w:rsidRPr="009F738B" w:rsidRDefault="00040F96" w:rsidP="00040F96">
      <w:pPr>
        <w:pStyle w:val="Heading1"/>
        <w:jc w:val="center"/>
        <w:rPr>
          <w:rFonts w:ascii="Simplified Arabic" w:hAnsi="Simplified Arabic" w:cs="Simplified Arabic"/>
          <w:b/>
          <w:bCs/>
          <w:color w:val="000000" w:themeColor="text1"/>
          <w:rtl/>
        </w:rPr>
      </w:pPr>
      <w:bookmarkStart w:id="27" w:name="_Toc172397783"/>
      <w:bookmarkStart w:id="28" w:name="_Toc172746096"/>
      <w:bookmarkStart w:id="29" w:name="_Toc191138776"/>
      <w:r w:rsidRPr="009F738B">
        <w:rPr>
          <w:rFonts w:ascii="Simplified Arabic" w:hAnsi="Simplified Arabic" w:cs="Simplified Arabic"/>
          <w:b/>
          <w:bCs/>
          <w:color w:val="000000" w:themeColor="text1"/>
          <w:rtl/>
        </w:rPr>
        <w:t>الفصل الثاني</w:t>
      </w:r>
      <w:bookmarkEnd w:id="27"/>
      <w:bookmarkEnd w:id="28"/>
      <w:bookmarkEnd w:id="29"/>
    </w:p>
    <w:p w14:paraId="45BBACD6" w14:textId="77777777" w:rsidR="00040F96" w:rsidRPr="009F738B" w:rsidRDefault="00040F96" w:rsidP="00040F96">
      <w:pPr>
        <w:pStyle w:val="Heading1"/>
        <w:jc w:val="center"/>
        <w:rPr>
          <w:rFonts w:ascii="Simplified Arabic" w:hAnsi="Simplified Arabic" w:cs="Simplified Arabic"/>
          <w:b/>
          <w:bCs/>
          <w:color w:val="000000" w:themeColor="text1"/>
          <w:rtl/>
        </w:rPr>
      </w:pPr>
      <w:bookmarkStart w:id="30" w:name="_Toc172397784"/>
      <w:bookmarkStart w:id="31" w:name="_Toc172746097"/>
      <w:bookmarkStart w:id="32" w:name="_Toc191138777"/>
      <w:r w:rsidRPr="009F738B">
        <w:rPr>
          <w:rFonts w:ascii="Simplified Arabic" w:hAnsi="Simplified Arabic" w:cs="Simplified Arabic"/>
          <w:b/>
          <w:bCs/>
          <w:color w:val="000000" w:themeColor="text1"/>
          <w:rtl/>
        </w:rPr>
        <w:t>الدراسات السابقة</w:t>
      </w:r>
      <w:bookmarkEnd w:id="30"/>
      <w:bookmarkEnd w:id="31"/>
      <w:bookmarkEnd w:id="32"/>
    </w:p>
    <w:p w14:paraId="4BE272E5" w14:textId="77777777" w:rsidR="00040F96" w:rsidRDefault="00040F96" w:rsidP="00040F96">
      <w:pPr>
        <w:rPr>
          <w:b/>
          <w:bCs/>
          <w:rtl/>
        </w:rPr>
      </w:pPr>
    </w:p>
    <w:p w14:paraId="495E9D46" w14:textId="77777777" w:rsidR="00040F96" w:rsidRPr="003B5A4D" w:rsidRDefault="00040F96" w:rsidP="00040F96">
      <w:pPr>
        <w:rPr>
          <w:b/>
          <w:bCs/>
          <w:rtl/>
        </w:rPr>
      </w:pPr>
    </w:p>
    <w:p w14:paraId="4DC4575A" w14:textId="77777777" w:rsidR="00040F96" w:rsidRPr="003B5A4D" w:rsidRDefault="00040F96" w:rsidP="00040F96">
      <w:pPr>
        <w:rPr>
          <w:rFonts w:ascii="Sakkal Majalla" w:hAnsi="Sakkal Majalla" w:cs="Sakkal Majalla"/>
          <w:b/>
          <w:bCs/>
          <w:sz w:val="28"/>
          <w:szCs w:val="28"/>
          <w:u w:val="single"/>
          <w:rtl/>
        </w:rPr>
      </w:pPr>
    </w:p>
    <w:p w14:paraId="0057F822" w14:textId="77777777" w:rsidR="00040F96" w:rsidRPr="003B5A4D" w:rsidRDefault="00040F96" w:rsidP="00040F96">
      <w:pPr>
        <w:rPr>
          <w:rFonts w:ascii="Sakkal Majalla" w:hAnsi="Sakkal Majalla" w:cs="Sakkal Majalla"/>
          <w:b/>
          <w:bCs/>
          <w:sz w:val="28"/>
          <w:szCs w:val="28"/>
          <w:u w:val="single"/>
          <w:rtl/>
        </w:rPr>
      </w:pPr>
    </w:p>
    <w:p w14:paraId="49D6DB0F" w14:textId="77777777" w:rsidR="00040F96" w:rsidRPr="003B5A4D" w:rsidRDefault="00040F96" w:rsidP="00040F96">
      <w:pPr>
        <w:rPr>
          <w:rFonts w:ascii="Sakkal Majalla" w:hAnsi="Sakkal Majalla" w:cs="Sakkal Majalla"/>
          <w:b/>
          <w:bCs/>
          <w:sz w:val="28"/>
          <w:szCs w:val="28"/>
          <w:u w:val="single"/>
          <w:rtl/>
        </w:rPr>
      </w:pPr>
    </w:p>
    <w:p w14:paraId="529EBCD2" w14:textId="77777777" w:rsidR="00040F96" w:rsidRDefault="00040F96" w:rsidP="00040F96">
      <w:pPr>
        <w:rPr>
          <w:rFonts w:ascii="Sakkal Majalla" w:hAnsi="Sakkal Majalla" w:cs="Sakkal Majalla"/>
          <w:sz w:val="28"/>
          <w:szCs w:val="28"/>
          <w:u w:val="single"/>
          <w:rtl/>
        </w:rPr>
      </w:pPr>
    </w:p>
    <w:p w14:paraId="2EBE9B82" w14:textId="77777777" w:rsidR="00040F96" w:rsidRDefault="00040F96" w:rsidP="00040F96">
      <w:pPr>
        <w:rPr>
          <w:rFonts w:ascii="Sakkal Majalla" w:hAnsi="Sakkal Majalla" w:cs="Sakkal Majalla"/>
          <w:sz w:val="28"/>
          <w:szCs w:val="28"/>
          <w:u w:val="single"/>
          <w:rtl/>
        </w:rPr>
      </w:pPr>
    </w:p>
    <w:p w14:paraId="61608E2F" w14:textId="77777777" w:rsidR="00040F96" w:rsidRDefault="00040F96" w:rsidP="00040F96">
      <w:pPr>
        <w:rPr>
          <w:rFonts w:ascii="Sakkal Majalla" w:hAnsi="Sakkal Majalla" w:cs="Sakkal Majalla"/>
          <w:sz w:val="28"/>
          <w:szCs w:val="28"/>
          <w:u w:val="single"/>
          <w:rtl/>
        </w:rPr>
      </w:pPr>
    </w:p>
    <w:p w14:paraId="503B979C" w14:textId="77777777" w:rsidR="00040F96" w:rsidRDefault="00040F96" w:rsidP="00040F96">
      <w:pPr>
        <w:rPr>
          <w:rFonts w:ascii="Sakkal Majalla" w:hAnsi="Sakkal Majalla" w:cs="Sakkal Majalla"/>
          <w:sz w:val="28"/>
          <w:szCs w:val="28"/>
          <w:u w:val="single"/>
          <w:rtl/>
        </w:rPr>
      </w:pPr>
    </w:p>
    <w:p w14:paraId="19342327" w14:textId="77777777" w:rsidR="00040F96" w:rsidRDefault="00040F96" w:rsidP="00040F96">
      <w:pPr>
        <w:rPr>
          <w:rFonts w:ascii="Sakkal Majalla" w:hAnsi="Sakkal Majalla" w:cs="Sakkal Majalla"/>
          <w:sz w:val="28"/>
          <w:szCs w:val="28"/>
          <w:u w:val="single"/>
          <w:rtl/>
        </w:rPr>
      </w:pPr>
    </w:p>
    <w:p w14:paraId="00353CBB" w14:textId="77777777" w:rsidR="00040F96" w:rsidRDefault="00040F96" w:rsidP="00040F96">
      <w:pPr>
        <w:rPr>
          <w:rFonts w:ascii="Sakkal Majalla" w:hAnsi="Sakkal Majalla" w:cs="Sakkal Majalla"/>
          <w:sz w:val="28"/>
          <w:szCs w:val="28"/>
          <w:u w:val="single"/>
          <w:rtl/>
        </w:rPr>
      </w:pPr>
    </w:p>
    <w:p w14:paraId="15676FD5" w14:textId="77777777" w:rsidR="00040F96" w:rsidRDefault="00040F96" w:rsidP="00040F96">
      <w:pPr>
        <w:rPr>
          <w:rFonts w:ascii="Sakkal Majalla" w:hAnsi="Sakkal Majalla" w:cs="Sakkal Majalla"/>
          <w:sz w:val="28"/>
          <w:szCs w:val="28"/>
          <w:u w:val="single"/>
          <w:rtl/>
        </w:rPr>
      </w:pPr>
    </w:p>
    <w:p w14:paraId="3C3A0410" w14:textId="77777777" w:rsidR="00040F96" w:rsidRDefault="00040F96" w:rsidP="00040F96">
      <w:pPr>
        <w:rPr>
          <w:rFonts w:ascii="Sakkal Majalla" w:hAnsi="Sakkal Majalla" w:cs="Sakkal Majalla"/>
          <w:sz w:val="28"/>
          <w:szCs w:val="28"/>
          <w:u w:val="single"/>
        </w:rPr>
      </w:pPr>
    </w:p>
    <w:p w14:paraId="18BABF2D" w14:textId="77777777" w:rsidR="00040F96" w:rsidRDefault="00040F96" w:rsidP="00040F96">
      <w:pPr>
        <w:rPr>
          <w:rFonts w:ascii="Sakkal Majalla" w:hAnsi="Sakkal Majalla" w:cs="Sakkal Majalla"/>
          <w:sz w:val="28"/>
          <w:szCs w:val="28"/>
          <w:u w:val="single"/>
          <w:rtl/>
          <w:lang w:bidi="ar-EG"/>
        </w:rPr>
      </w:pPr>
    </w:p>
    <w:p w14:paraId="4F44D379" w14:textId="77777777" w:rsidR="00040F96" w:rsidRPr="0048136D" w:rsidRDefault="00040F96" w:rsidP="00040F96">
      <w:pPr>
        <w:pStyle w:val="Heading2"/>
        <w:rPr>
          <w:rtl/>
        </w:rPr>
      </w:pPr>
      <w:bookmarkStart w:id="33" w:name="_Toc172397785"/>
      <w:bookmarkStart w:id="34" w:name="_Toc172746098"/>
      <w:bookmarkStart w:id="35" w:name="_Toc191138778"/>
      <w:r>
        <w:rPr>
          <w:rFonts w:hint="cs"/>
          <w:rtl/>
        </w:rPr>
        <w:t>ال</w:t>
      </w:r>
      <w:r w:rsidRPr="0048136D">
        <w:rPr>
          <w:rtl/>
        </w:rPr>
        <w:t>مقدمة</w:t>
      </w:r>
      <w:bookmarkEnd w:id="33"/>
      <w:bookmarkEnd w:id="34"/>
      <w:bookmarkEnd w:id="35"/>
    </w:p>
    <w:p w14:paraId="1E71B6A8" w14:textId="77777777" w:rsidR="00040F96" w:rsidRPr="00CA382C" w:rsidRDefault="00040F96" w:rsidP="00040F96">
      <w:pPr>
        <w:pStyle w:val="NoSpacing"/>
        <w:rPr>
          <w:rtl/>
        </w:rPr>
      </w:pPr>
      <w:r w:rsidRPr="00CA382C">
        <w:rPr>
          <w:rtl/>
          <w:lang w:bidi="ar-SA"/>
        </w:rPr>
        <w:t>يُعدّ الفصل الثاني عنصرًا أساسيًا في البحث العلمي، إذ يُركّز على مراجعة الدراسات السابقة والإطار النظري ذي الصلة بموضوع البحث. ويسعى هذا الفصل إلى توفير أساس علمي شامل يُوضّح جوانب تحدّي البحث ويُبيّن صلته بالدراسات السابقة. وتُبيّن هذه الدراسة مكانتها في سياق التطوّرات في مجال الذكاء الاصطناعي ومستوى الخدمات المالية في المصارف الإسلامية.</w:t>
      </w:r>
    </w:p>
    <w:p w14:paraId="0B78FB83" w14:textId="77777777" w:rsidR="00040F96" w:rsidRPr="00CA382C" w:rsidRDefault="00040F96" w:rsidP="00040F96">
      <w:pPr>
        <w:pStyle w:val="NoSpacing"/>
        <w:rPr>
          <w:rtl/>
        </w:rPr>
      </w:pPr>
      <w:r w:rsidRPr="00CA382C">
        <w:rPr>
          <w:rtl/>
          <w:lang w:bidi="ar-SA"/>
        </w:rPr>
        <w:t>يبدأ هذا الفصل بتحديد العوامل الرئيسية ذات الصلة بالبحث، مُحدّدًا كلّ متغير على حدة، ومُوضّحًا أبعاده وأهميته في إطار البحث. ويُوضّح هذا العرض العلاقة بين الذكاء الاصطناعي كمتغيّر مُستقلّ وجودة الخدمات المصرفية كمتغيّر تابع، مُركّزًا على تفاعلهما في سياق المصارف الإسلامية، المُحدّد بإطارها القانوني والتنظيمي المُتميّز.</w:t>
      </w:r>
    </w:p>
    <w:p w14:paraId="3B559812" w14:textId="77777777" w:rsidR="00040F96" w:rsidRPr="00CA382C" w:rsidRDefault="00040F96" w:rsidP="00040F96">
      <w:pPr>
        <w:pStyle w:val="NoSpacing"/>
        <w:rPr>
          <w:rtl/>
        </w:rPr>
      </w:pPr>
      <w:r w:rsidRPr="00CA382C">
        <w:rPr>
          <w:rtl/>
          <w:lang w:bidi="ar-SA"/>
        </w:rPr>
        <w:t>يتناول هذا الفصل مجموعة مُختارة من الدراسات السابقة المُتعلّقة بالذكاء الاصطناعي في القطاع المصرفي بشكل عام، وفي المصارف الإسلامية تحديدًا، مُقيّمًا أوجه التشابه والاختلاف بين هذه الدراسات والبحث الحالي. يوضح هذا الاستعراض الاكتشافات التي تم التوصل إليها وتلك التي تتطلب بحثًا إضافيًا، مما يُبرز الفجوات العلمية التي يهدف هذا البحث إلى سدها.</w:t>
      </w:r>
    </w:p>
    <w:p w14:paraId="5DB7CF51" w14:textId="77777777" w:rsidR="00040F96" w:rsidRPr="00CA382C" w:rsidRDefault="00040F96" w:rsidP="00040F96">
      <w:pPr>
        <w:pStyle w:val="NoSpacing"/>
        <w:rPr>
          <w:rtl/>
        </w:rPr>
      </w:pPr>
      <w:r w:rsidRPr="00CA382C">
        <w:rPr>
          <w:rtl/>
          <w:lang w:bidi="ar-SA"/>
        </w:rPr>
        <w:t>يختتم هذا الفصل بوصف الإطار النظري الذي يستند إليه البحث، موضحًا الأسس النظرية التي تُساعد في تفسير العلاقة بين متغيرات الدراسة. يعتمد هذا الإطار على عدد من النظريات العلمية التي تُشكل مرجعًا أساسيًا للبحث، مثل نظرية الابتكار التكنولوجي، ونظرية إدارة الجودة الشاملة، ونظرية رضا العملاء، ونظرية الميزة التنافسية. يُساعد هذا الإطار في توجيه خطوات البحث وتقييم نتائجه بطريقة علمية ومنهجية.</w:t>
      </w:r>
    </w:p>
    <w:p w14:paraId="6F993C07" w14:textId="77777777" w:rsidR="00040F96" w:rsidRDefault="00040F96" w:rsidP="00040F96">
      <w:pPr>
        <w:spacing w:line="360" w:lineRule="auto"/>
        <w:rPr>
          <w:rFonts w:ascii="Sakkal Majalla" w:hAnsi="Sakkal Majalla" w:cs="Sakkal Majalla"/>
          <w:sz w:val="28"/>
          <w:szCs w:val="28"/>
          <w:rtl/>
        </w:rPr>
      </w:pPr>
    </w:p>
    <w:p w14:paraId="64A0BE12" w14:textId="77777777" w:rsidR="00040F96" w:rsidRDefault="00040F96" w:rsidP="00040F96">
      <w:pPr>
        <w:spacing w:line="360" w:lineRule="auto"/>
        <w:rPr>
          <w:rFonts w:ascii="Sakkal Majalla" w:hAnsi="Sakkal Majalla" w:cs="Sakkal Majalla"/>
          <w:sz w:val="28"/>
          <w:szCs w:val="28"/>
          <w:rtl/>
        </w:rPr>
      </w:pPr>
    </w:p>
    <w:p w14:paraId="05A8972D" w14:textId="77777777" w:rsidR="00040F96" w:rsidRDefault="00040F96" w:rsidP="00040F96">
      <w:pPr>
        <w:spacing w:line="360" w:lineRule="auto"/>
        <w:rPr>
          <w:rFonts w:ascii="Sakkal Majalla" w:hAnsi="Sakkal Majalla" w:cs="Sakkal Majalla"/>
          <w:sz w:val="28"/>
          <w:szCs w:val="28"/>
          <w:rtl/>
        </w:rPr>
      </w:pPr>
    </w:p>
    <w:p w14:paraId="2FBC5CA2" w14:textId="77777777" w:rsidR="00040F96" w:rsidRDefault="00040F96" w:rsidP="00040F96">
      <w:pPr>
        <w:spacing w:line="360" w:lineRule="auto"/>
        <w:rPr>
          <w:rFonts w:ascii="Sakkal Majalla" w:hAnsi="Sakkal Majalla" w:cs="Sakkal Majalla"/>
          <w:sz w:val="28"/>
          <w:szCs w:val="28"/>
          <w:rtl/>
        </w:rPr>
      </w:pPr>
    </w:p>
    <w:p w14:paraId="683A9109" w14:textId="77777777" w:rsidR="00040F96" w:rsidRDefault="00040F96" w:rsidP="00040F96">
      <w:pPr>
        <w:spacing w:line="360" w:lineRule="auto"/>
        <w:rPr>
          <w:rFonts w:ascii="Sakkal Majalla" w:hAnsi="Sakkal Majalla" w:cs="Sakkal Majalla"/>
          <w:sz w:val="28"/>
          <w:szCs w:val="28"/>
          <w:rtl/>
        </w:rPr>
      </w:pPr>
    </w:p>
    <w:p w14:paraId="29DAEC79" w14:textId="77777777" w:rsidR="00040F96" w:rsidRDefault="00040F96" w:rsidP="00040F96">
      <w:pPr>
        <w:spacing w:line="360" w:lineRule="auto"/>
        <w:rPr>
          <w:rFonts w:ascii="Sakkal Majalla" w:hAnsi="Sakkal Majalla" w:cs="Sakkal Majalla"/>
          <w:sz w:val="28"/>
          <w:szCs w:val="28"/>
          <w:rtl/>
        </w:rPr>
      </w:pPr>
    </w:p>
    <w:p w14:paraId="4EAEAE81" w14:textId="77777777" w:rsidR="00040F96" w:rsidRDefault="00040F96" w:rsidP="00040F96">
      <w:pPr>
        <w:pStyle w:val="Heading2"/>
        <w:rPr>
          <w:rtl/>
        </w:rPr>
      </w:pPr>
      <w:bookmarkStart w:id="36" w:name="_Toc191138779"/>
      <w:r>
        <w:rPr>
          <w:rFonts w:hint="cs"/>
          <w:rtl/>
        </w:rPr>
        <w:t>متغيرات الدراسة</w:t>
      </w:r>
      <w:bookmarkEnd w:id="36"/>
    </w:p>
    <w:p w14:paraId="1E696ED2" w14:textId="77777777" w:rsidR="00040F96" w:rsidRPr="007A6BE8" w:rsidRDefault="00040F96" w:rsidP="00040F96">
      <w:pPr>
        <w:pStyle w:val="NoSpacing"/>
        <w:rPr>
          <w:rtl/>
        </w:rPr>
      </w:pPr>
      <w:r w:rsidRPr="007A6BE8">
        <w:rPr>
          <w:rtl/>
        </w:rPr>
        <w:t>يعرض المخطط المرفق النموذج المفاهيمي للدراسة، والذي يوضح طبيعة العلاقة بين متغيراتها الرئيسية. يتمثل المتغير التابع، وهو محور الدراسة والنتيجة المرجو تفسيرها، في "تطبيق الذكاء الاصطناعي". أما المتغيرات المستقلة، وهي العوامل التي يُفترض أنها تؤثر في المتغير التابع، فهي ثلاثة: "اكتشاف الاحتيال"، و"العمليات التشغيلية"، و"تحليل الأخطاء البشرية".</w:t>
      </w:r>
    </w:p>
    <w:p w14:paraId="4DCD2D9A" w14:textId="77777777" w:rsidR="00040F96" w:rsidRPr="007A6BE8" w:rsidRDefault="00040F96" w:rsidP="00040F96">
      <w:pPr>
        <w:pStyle w:val="NoSpacing"/>
        <w:rPr>
          <w:rtl/>
        </w:rPr>
      </w:pPr>
      <w:r w:rsidRPr="007A6BE8">
        <w:rPr>
          <w:rtl/>
        </w:rPr>
        <w:t>تتضح طبيعة العلاقة المفترضة من خلال الأسهم التي تنطلق من المتغيرات المستقلة الثلاثة وتتجه جميعها نحو المتغير التابع. يشير هذا التصميم إلى أن النموذج يفترض وجود علاقة تأثير سببية ومباشرة، حيث يُعتقد أن كل متغير من المتغيرات المستقلة يلعب دورًا في التأثير على مدى وكيفية تطبيق الذكاء الاصطناعي. وبالتالي، فإن الهدف الجوهري للدراسة هو اختبار وقياس قوة واتجاه هذا التأثير لكل متغير على حدة، بالإضافة إلى تأثيرها مجتمعة.</w:t>
      </w:r>
    </w:p>
    <w:p w14:paraId="535B5971" w14:textId="77777777" w:rsidR="00040F96" w:rsidRDefault="00040F96" w:rsidP="00040F96">
      <w:pPr>
        <w:pStyle w:val="NoSpacing"/>
        <w:rPr>
          <w:rtl/>
        </w:rPr>
      </w:pPr>
      <w:r w:rsidRPr="007A6BE8">
        <w:rPr>
          <w:rtl/>
        </w:rPr>
        <w:t>بشكل أكثر تفصيلًا، يفترض النموذج أن الحاجة إلى "اكتشاف الاحتيال" بشكل أكثر كفاءة قد تدفع المؤسسات إلى تبني وتطبيق حلول الذكاء الاصطناعي. وبالمثل، فإن السعي لتحسين وأتمتة "العمليات التشغيلية" يُعد دافعًا رئيسيًا للاستفادة من تقنيات الذكاء الاصطناعي لزيادة الإنتاجية. كما أن الرغبة في "تحليل الأخطاء البشرية" والحد منها تشكل عاملاً أساسيًا آخر يحفز على تطبيق أنظمة ذكية قادرة على أداء المهام بدقة وثبات أكبر. إجمالاً، يطرح النموذج فكرة متكاملة مفادها أن هذه المجالات الثلاثة هي المحركات الرئيسية التي تقود إلى تبني "تطبيق الذكاء الاصطناعي" في سياق الدراسة.</w:t>
      </w:r>
    </w:p>
    <w:p w14:paraId="72831E7D" w14:textId="77777777" w:rsidR="00040F96" w:rsidRDefault="00040F96" w:rsidP="00040F96">
      <w:pPr>
        <w:pStyle w:val="NoSpacing"/>
        <w:rPr>
          <w:rtl/>
        </w:rPr>
      </w:pPr>
    </w:p>
    <w:p w14:paraId="2B358478" w14:textId="77777777" w:rsidR="00040F96" w:rsidRDefault="00040F96" w:rsidP="00040F96">
      <w:pPr>
        <w:pStyle w:val="NoSpacing"/>
        <w:rPr>
          <w:rtl/>
        </w:rPr>
      </w:pPr>
    </w:p>
    <w:p w14:paraId="3F27A82A" w14:textId="77777777" w:rsidR="00040F96" w:rsidRDefault="00040F96" w:rsidP="00040F96">
      <w:pPr>
        <w:pStyle w:val="NoSpacing"/>
        <w:rPr>
          <w:rtl/>
        </w:rPr>
      </w:pPr>
    </w:p>
    <w:p w14:paraId="6F6B326A" w14:textId="77777777" w:rsidR="00040F96" w:rsidRDefault="00040F96" w:rsidP="00040F96">
      <w:pPr>
        <w:pStyle w:val="NoSpacing"/>
        <w:rPr>
          <w:rtl/>
        </w:rPr>
      </w:pPr>
    </w:p>
    <w:p w14:paraId="7E7A0091" w14:textId="77777777" w:rsidR="00040F96" w:rsidRDefault="00040F96" w:rsidP="00040F96">
      <w:pPr>
        <w:pStyle w:val="NoSpacing"/>
        <w:rPr>
          <w:rtl/>
        </w:rPr>
      </w:pPr>
    </w:p>
    <w:p w14:paraId="2974C8D1" w14:textId="77777777" w:rsidR="00040F96" w:rsidRDefault="00040F96" w:rsidP="00040F96">
      <w:pPr>
        <w:pStyle w:val="NoSpacing"/>
        <w:rPr>
          <w:rtl/>
        </w:rPr>
      </w:pPr>
    </w:p>
    <w:p w14:paraId="0048C36F" w14:textId="77777777" w:rsidR="00040F96" w:rsidRDefault="00040F96" w:rsidP="00040F96">
      <w:pPr>
        <w:pStyle w:val="NoSpacing"/>
        <w:rPr>
          <w:rtl/>
        </w:rPr>
      </w:pPr>
    </w:p>
    <w:p w14:paraId="027E3412" w14:textId="77777777" w:rsidR="00040F96" w:rsidRDefault="00040F96" w:rsidP="00040F96">
      <w:pPr>
        <w:pStyle w:val="NoSpacing"/>
        <w:rPr>
          <w:rtl/>
        </w:rPr>
      </w:pPr>
    </w:p>
    <w:p w14:paraId="3EA0599A" w14:textId="77777777" w:rsidR="00040F96" w:rsidRPr="007A6BE8" w:rsidRDefault="00040F96" w:rsidP="00040F96">
      <w:pPr>
        <w:pStyle w:val="NoSpacing"/>
      </w:pPr>
    </w:p>
    <w:p w14:paraId="289A409A" w14:textId="77777777" w:rsidR="00040F96" w:rsidRDefault="00040F96" w:rsidP="00040F96">
      <w:pPr>
        <w:pStyle w:val="Heading2"/>
        <w:rPr>
          <w:rtl/>
        </w:rPr>
      </w:pPr>
      <w:bookmarkStart w:id="37" w:name="_Toc172397786"/>
      <w:bookmarkStart w:id="38" w:name="_Toc172746099"/>
      <w:bookmarkStart w:id="39" w:name="_Toc191138780"/>
      <w:r w:rsidRPr="0048136D">
        <w:rPr>
          <w:rtl/>
        </w:rPr>
        <w:t>الدراسات السابقة</w:t>
      </w:r>
      <w:bookmarkStart w:id="40" w:name="_Toc172397787"/>
      <w:bookmarkStart w:id="41" w:name="_Toc172746100"/>
      <w:bookmarkEnd w:id="37"/>
      <w:bookmarkEnd w:id="38"/>
      <w:bookmarkEnd w:id="39"/>
    </w:p>
    <w:p w14:paraId="40AD1B6D" w14:textId="77777777" w:rsidR="00040F96" w:rsidRDefault="00040F96" w:rsidP="00040F96">
      <w:pPr>
        <w:pStyle w:val="NoSpacing"/>
        <w:rPr>
          <w:rtl/>
        </w:rPr>
      </w:pPr>
      <w:r w:rsidRPr="00F93176">
        <w:rPr>
          <w:rtl/>
        </w:rPr>
        <w:t xml:space="preserve">يتناول بحث </w:t>
      </w:r>
      <w:sdt>
        <w:sdtPr>
          <w:rPr>
            <w:rtl/>
          </w:rPr>
          <w:id w:val="564457759"/>
          <w:citation/>
        </w:sdtPr>
        <w:sdtEndPr/>
        <w:sdtContent>
          <w:r w:rsidRPr="00F93176">
            <w:rPr>
              <w:rtl/>
            </w:rPr>
            <w:fldChar w:fldCharType="begin"/>
          </w:r>
          <w:r w:rsidRPr="00F93176">
            <w:rPr>
              <w:rtl/>
            </w:rPr>
            <w:instrText xml:space="preserve"> </w:instrText>
          </w:r>
          <w:r w:rsidRPr="00F93176">
            <w:rPr>
              <w:rFonts w:hint="cs"/>
            </w:rPr>
            <w:instrText>CITATION</w:instrText>
          </w:r>
          <w:r w:rsidRPr="00F93176">
            <w:rPr>
              <w:rFonts w:hint="cs"/>
              <w:rtl/>
            </w:rPr>
            <w:instrText xml:space="preserve"> </w:instrText>
          </w:r>
          <w:r w:rsidRPr="00F93176">
            <w:rPr>
              <w:rFonts w:hint="cs"/>
            </w:rPr>
            <w:instrText>Gaz20 \l 3073</w:instrText>
          </w:r>
          <w:r w:rsidRPr="00F93176">
            <w:rPr>
              <w:rtl/>
            </w:rPr>
            <w:instrText xml:space="preserve"> </w:instrText>
          </w:r>
          <w:r w:rsidRPr="00F93176">
            <w:rPr>
              <w:rtl/>
            </w:rPr>
            <w:fldChar w:fldCharType="separate"/>
          </w:r>
          <w:r>
            <w:rPr>
              <w:rFonts w:hint="cs"/>
              <w:noProof/>
              <w:rtl/>
            </w:rPr>
            <w:t>(</w:t>
          </w:r>
          <w:r>
            <w:rPr>
              <w:rFonts w:hint="cs"/>
              <w:noProof/>
            </w:rPr>
            <w:t>Gazali</w:t>
          </w:r>
          <w:r>
            <w:rPr>
              <w:rFonts w:hint="cs"/>
              <w:noProof/>
              <w:rtl/>
            </w:rPr>
            <w:t>، 2020)</w:t>
          </w:r>
          <w:r w:rsidRPr="00F93176">
            <w:rPr>
              <w:rtl/>
            </w:rPr>
            <w:fldChar w:fldCharType="end"/>
          </w:r>
        </w:sdtContent>
      </w:sdt>
      <w:r w:rsidRPr="00F93176">
        <w:rPr>
          <w:rtl/>
        </w:rPr>
        <w:t>استخدام الذكاء الاصطناعي في الاستثمارات الإسلامية. وكما يتضح من مساهماته في الاستثمار الإسلامي، يُستخدم الذكاء الاصطناعي على نطاق واسع في كل من الأنظمة المصرفية التقليدية والإسلامية. يمكن للمستثمرين استخدام هذه التقنية لتحليل مستويات أسعار أسهمهم، واستقرارها الحالي، وتوقعات الأسعار المستقبلية بناءً على بيانات الأسهم والأسعار. تُناقش الدراسة مفاهيم استخدام الذكاء الاصطناعي في الاستثمار الإسلامي، وتُركز على استخراج النصوص، واختيار الأسهم، والتداول الخوارزمي، والروبوتات في الاستثمار، بما في ذلك المستشارون، والمستشارون الماليون، ومستشارو الروبوتات الإسلامية (</w:t>
      </w:r>
      <w:r w:rsidRPr="00F93176">
        <w:t>RIAs</w:t>
      </w:r>
      <w:r w:rsidRPr="00F93176">
        <w:rPr>
          <w:rtl/>
        </w:rPr>
        <w:t>) الذين يعملون ضمن أنظمة الاستثمار الإسلامية. لذلك، يركز النقاش على قطاعي الاستثمار والامتثال في قطاع الخدمات المالية، بالإضافة إلى التطبيق المعرفي. وتُؤكد خاتمة الدراسة على تداعيات الموضوع، ومعوقاته، وآفاقه لمزيد من البحث.</w:t>
      </w:r>
    </w:p>
    <w:p w14:paraId="4C020960" w14:textId="77777777" w:rsidR="00040F96" w:rsidRPr="00313991" w:rsidRDefault="00040F96" w:rsidP="00040F96">
      <w:pPr>
        <w:pStyle w:val="NoSpacing"/>
        <w:rPr>
          <w:rtl/>
        </w:rPr>
      </w:pPr>
      <w:r w:rsidRPr="00313991">
        <w:rPr>
          <w:rtl/>
        </w:rPr>
        <w:t>الوظائف في مجالي المالية والقانون ليست سوى اثنتين من المهن العديدة التي ستتأثر بشكل كبير بتقنيات الذكاء الاصطناعي. والحقيقة هي أن تقنية الذكاء الاصطناعي تُستخدم بشكل متكرر في صناعة سوق رأس المال الإسلامي. وهناك خطط حاليًا لاستخدام تقنية الذكاء الاصطناعي لتحل محل المستشارين الشرعيين. وتُستخدم منهجيات نوعية في البحث القانوني. ولإثبات دور هيئة الشريعة في إحياء فكرة التحضر الإسلامي، تم اختيار أسلوب التأريخ القانوني. ونظرًا لأن تقنية الذكاء الاصطناعي وسوق رأس المال هما الموقعان الرئيسيان لعملهما في المدن، فإن مفهوم التحضر الإسلامي يرتبط ارتباطًا وثيقًا بهاتين الصناعتين. وهناك ثلاثة أهداف لهذه الدراسة. فهي تدرس وظيفة ودور أسواق رأس المال الإسلامية، وتقنية الذكاء الاصطناعي، والمستشارين الشرعيين في هذا القطاع. ومن ثم يُعتبر استخدام تقنية الذكاء الاصطناعي في سوق رأس المال الإسلامي إشكاليًا. بالإضافة إلى ذلك، فإنها توفر طريقة لاستخدام التقنيات المتطورة المقترحة. وتوضح هذه المقالة أن قدرة التكنولوجيا على أن تحل محل المستشارين الإسلاميين في صناعة سوق رأس المال الإسلامي محدودة. ويرجع هذا إلى حقيقة مفادها أن تكنولوجيا الذكاء الاصطناعي، على الرغم من تقدمها، تظل مقتصرة على الواقع المادي للمدن ويجب أن تمثل مبادئ التحضر الإسلامي. ومع ذلك، لا يمكن للذكاء الاصطناعي أن يأخذ مكان المستشارين الشرعيين</w:t>
      </w:r>
      <w:sdt>
        <w:sdtPr>
          <w:rPr>
            <w:rtl/>
          </w:rPr>
          <w:id w:val="1514340665"/>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Set23 \l 3073</w:instrText>
          </w:r>
          <w:r>
            <w:rPr>
              <w:rtl/>
            </w:rPr>
            <w:instrText xml:space="preserve"> </w:instrText>
          </w:r>
          <w:r>
            <w:rPr>
              <w:rtl/>
            </w:rPr>
            <w:fldChar w:fldCharType="separate"/>
          </w:r>
          <w:r>
            <w:rPr>
              <w:noProof/>
              <w:rtl/>
            </w:rPr>
            <w:t xml:space="preserve"> </w:t>
          </w:r>
          <w:r>
            <w:rPr>
              <w:rFonts w:hint="cs"/>
              <w:noProof/>
              <w:rtl/>
            </w:rPr>
            <w:t>(</w:t>
          </w:r>
          <w:r>
            <w:rPr>
              <w:rFonts w:hint="cs"/>
              <w:noProof/>
            </w:rPr>
            <w:t>Setyowati</w:t>
          </w:r>
          <w:r>
            <w:rPr>
              <w:rFonts w:hint="cs"/>
              <w:noProof/>
              <w:rtl/>
            </w:rPr>
            <w:t>، 2023)</w:t>
          </w:r>
          <w:r>
            <w:rPr>
              <w:rtl/>
            </w:rPr>
            <w:fldChar w:fldCharType="end"/>
          </w:r>
        </w:sdtContent>
      </w:sdt>
      <w:r w:rsidRPr="00313991">
        <w:rPr>
          <w:rtl/>
        </w:rPr>
        <w:t>.</w:t>
      </w:r>
    </w:p>
    <w:p w14:paraId="052E8D7B" w14:textId="77777777" w:rsidR="00040F96" w:rsidRPr="00F93176" w:rsidRDefault="00040F96" w:rsidP="00040F96">
      <w:pPr>
        <w:pStyle w:val="NoSpacing"/>
        <w:rPr>
          <w:rtl/>
        </w:rPr>
      </w:pPr>
      <w:r w:rsidRPr="00F93176">
        <w:rPr>
          <w:rtl/>
        </w:rPr>
        <w:t>تهدف دراسة</w:t>
      </w:r>
      <w:sdt>
        <w:sdtPr>
          <w:rPr>
            <w:rtl/>
          </w:rPr>
          <w:id w:val="1150867014"/>
          <w:citation/>
        </w:sdtPr>
        <w:sdtEndPr/>
        <w:sdtContent>
          <w:r w:rsidRPr="00F93176">
            <w:rPr>
              <w:rtl/>
            </w:rPr>
            <w:fldChar w:fldCharType="begin"/>
          </w:r>
          <w:r w:rsidRPr="00F93176">
            <w:rPr>
              <w:rtl/>
            </w:rPr>
            <w:instrText xml:space="preserve"> </w:instrText>
          </w:r>
          <w:r w:rsidRPr="00F93176">
            <w:rPr>
              <w:rFonts w:hint="cs"/>
            </w:rPr>
            <w:instrText>CITATION</w:instrText>
          </w:r>
          <w:r w:rsidRPr="00F93176">
            <w:rPr>
              <w:rFonts w:hint="cs"/>
              <w:rtl/>
            </w:rPr>
            <w:instrText xml:space="preserve"> </w:instrText>
          </w:r>
          <w:r w:rsidRPr="00F93176">
            <w:rPr>
              <w:rFonts w:hint="cs"/>
            </w:rPr>
            <w:instrText>Suh21 \l 3073</w:instrText>
          </w:r>
          <w:r w:rsidRPr="00F93176">
            <w:rPr>
              <w:rtl/>
            </w:rPr>
            <w:instrText xml:space="preserve"> </w:instrText>
          </w:r>
          <w:r w:rsidRPr="00F93176">
            <w:rPr>
              <w:rtl/>
            </w:rPr>
            <w:fldChar w:fldCharType="separate"/>
          </w:r>
          <w:r>
            <w:rPr>
              <w:noProof/>
              <w:rtl/>
            </w:rPr>
            <w:t xml:space="preserve"> </w:t>
          </w:r>
          <w:r>
            <w:rPr>
              <w:rFonts w:hint="cs"/>
              <w:noProof/>
              <w:rtl/>
            </w:rPr>
            <w:t>(</w:t>
          </w:r>
          <w:r>
            <w:rPr>
              <w:rFonts w:hint="cs"/>
              <w:noProof/>
            </w:rPr>
            <w:t>Suhartanto</w:t>
          </w:r>
          <w:r>
            <w:rPr>
              <w:rFonts w:hint="cs"/>
              <w:noProof/>
              <w:rtl/>
            </w:rPr>
            <w:t>، 2021)</w:t>
          </w:r>
          <w:r w:rsidRPr="00F93176">
            <w:rPr>
              <w:rtl/>
            </w:rPr>
            <w:fldChar w:fldCharType="end"/>
          </w:r>
        </w:sdtContent>
      </w:sdt>
      <w:r w:rsidRPr="00F93176">
        <w:rPr>
          <w:rtl/>
        </w:rPr>
        <w:t xml:space="preserve"> إلى تحليل العوامل التي تدفع ولاء جيل الألفية تجاه خدمات الصيرفة عبر الهاتف المحمول المدعومة بالذكاء الاصطناعي في البنوك الإسلامية. جمع هذا البحث بيانات من 204 مستهلكين من جيل الألفية للبنوك الإسلامية في آتشيه بإندونيسيا. تم استخدام المربع الجزئي الأصغر (</w:t>
      </w:r>
      <w:r w:rsidRPr="00F93176">
        <w:t>PLS</w:t>
      </w:r>
      <w:r w:rsidRPr="00F93176">
        <w:rPr>
          <w:rtl/>
        </w:rPr>
        <w:t>) لتحليل تأثير متغيرات الخدمة (الرغبة في الخدمة وجودة الخدمة) والعوامل القائمة على التكنولوجيا (المواقف تجاه الذكاء الاصطناعي والميزة النسبية والأمان والثقة) والتدين على ولاء جيل الألفية تجاه الخدمات المصرفية عبر الهاتف المحمول المدعومة بالذكاء الاصطناعي. يكشف هذا الاستفسار أن جودة الخدمة والموقف تجاه الذكاء الاصطناعي والثقة هي عوامل مهمة لولاء جيل الألفية تجاه الخدمات المصرفية عبر الهاتف المحمول المدعومة بالذكاء الاصطناعي. علاوة على ذلك، يؤكد هذا البحث على التأثير الرئيسي للتدين على ولاء جيل الألفية تجاه الخدمات المصرفية عبر الهاتف المحمول. يقترح هذا التقرير أن تركز البنوك الإسلامية على تعزيز ثقة جيل الألفية وموقفه تجاه الذكاء الاصطناعي لتعزيز ولائهم تجاه الخدمات المصرفية عبر الهاتف المحمول المدعومة بالذكاء الاصطناعي. علاوة على ذلك، يتم تشجيع البنوك الإسلامية التي تعمل والتي تلتزم بالشريعة الإسلامية بشدة على تعزيز ولاء جيل الألفية. وعلى حد علم المؤلفين، فإن هذه هي الدراسة الأولى التي تسعى إلى تقييم الولاء تجاه الخدمات المصرفية عبر الهاتف المحمول المدعومة بالذكاء الاصطناعي.</w:t>
      </w:r>
    </w:p>
    <w:p w14:paraId="65F666D9" w14:textId="77777777" w:rsidR="00040F96" w:rsidRDefault="00040F96" w:rsidP="00040F96">
      <w:pPr>
        <w:pStyle w:val="NoSpacing"/>
        <w:rPr>
          <w:rtl/>
        </w:rPr>
      </w:pPr>
      <w:r w:rsidRPr="00432960">
        <w:rPr>
          <w:rtl/>
        </w:rPr>
        <w:t>تحاول دراسة</w:t>
      </w:r>
      <w:sdt>
        <w:sdtPr>
          <w:rPr>
            <w:rtl/>
          </w:rPr>
          <w:id w:val="-306161946"/>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Rab231 \l 3073</w:instrText>
          </w:r>
          <w:r>
            <w:rPr>
              <w:rtl/>
            </w:rPr>
            <w:instrText xml:space="preserve"> </w:instrText>
          </w:r>
          <w:r>
            <w:rPr>
              <w:rtl/>
            </w:rPr>
            <w:fldChar w:fldCharType="separate"/>
          </w:r>
          <w:r>
            <w:rPr>
              <w:noProof/>
              <w:rtl/>
            </w:rPr>
            <w:t xml:space="preserve"> </w:t>
          </w:r>
          <w:r>
            <w:rPr>
              <w:rFonts w:hint="cs"/>
              <w:noProof/>
              <w:rtl/>
            </w:rPr>
            <w:t>(</w:t>
          </w:r>
          <w:r>
            <w:rPr>
              <w:rFonts w:hint="cs"/>
              <w:noProof/>
            </w:rPr>
            <w:t>Rabbani</w:t>
          </w:r>
          <w:r>
            <w:rPr>
              <w:rFonts w:hint="cs"/>
              <w:noProof/>
              <w:rtl/>
            </w:rPr>
            <w:t>، 2023)</w:t>
          </w:r>
          <w:r>
            <w:rPr>
              <w:rtl/>
            </w:rPr>
            <w:fldChar w:fldCharType="end"/>
          </w:r>
        </w:sdtContent>
      </w:sdt>
      <w:r w:rsidRPr="00432960">
        <w:rPr>
          <w:rtl/>
        </w:rPr>
        <w:t xml:space="preserve"> الكشف عن التأثير المُخفف للذكاء الاصطناعي في العلاقة بين العملية المالية المبتكرة للبنوك وحصتها السوقية. حُللت البيانات باستخدام برنامجي </w:t>
      </w:r>
      <w:r w:rsidRPr="00432960">
        <w:t>SPSS</w:t>
      </w:r>
      <w:r w:rsidRPr="00432960">
        <w:rPr>
          <w:rtl/>
        </w:rPr>
        <w:t xml:space="preserve"> و</w:t>
      </w:r>
      <w:r w:rsidRPr="00432960">
        <w:t>SmartPLS</w:t>
      </w:r>
      <w:r w:rsidRPr="00432960">
        <w:rPr>
          <w:rtl/>
        </w:rPr>
        <w:t xml:space="preserve">. أُجريت التقديرات باستخدام تقنيات تقدير نمذجة المعادلات الهيكلية، مثل نموذج القياس، والتحميل الخارجي، والصلاحية المتقاربة، والصلاحية التمييزية، وتقديرات </w:t>
      </w:r>
      <w:r w:rsidRPr="00432960">
        <w:t>SEM</w:t>
      </w:r>
      <w:r w:rsidRPr="00432960">
        <w:rPr>
          <w:rtl/>
        </w:rPr>
        <w:t>. أشارت الحسابات الأولية إلى موثوقية وصلاحية العوامل والبناء. وخلصت الدراسة إلى أن العملية المالية المبتكرة تلعب دورًا حاسمًا في تعزيز حصة البنوك في السوق. ومع ذلك، لم يتمكن الذكاء الاصطناعي من تخفيف هذه الصلة بشكل كبير. يتعين على الجهات المعنية بالقطاع المصرفي في باكستان النظر في تطوير نظام عملياتها المالية من خلال الابتكار والمعرفة باستخدام الذكاء الاصطناعي في كوادرها الحالية وعملائها المصرفيين. قد تتضمن الدراسات المستقبلية نموذجًا مشابهًا للبنوك الإسلامية والتجارية في إطار نهج المقارنة. بالإضافة إلى ذلك، قد تشمل الأبحاث المستقبلية أيضًا المزيد من البنوك كمؤسسات مالية مبتكرة لزيادة حجم العينة لدراسة التأثير المُحتمل للذكاء الاصطناعي.</w:t>
      </w:r>
    </w:p>
    <w:p w14:paraId="38D47164" w14:textId="77777777" w:rsidR="00040F96" w:rsidRDefault="00040F96" w:rsidP="00040F96">
      <w:pPr>
        <w:pStyle w:val="NoSpacing"/>
        <w:rPr>
          <w:rtl/>
        </w:rPr>
      </w:pPr>
      <w:r w:rsidRPr="00D274C5">
        <w:rPr>
          <w:rtl/>
        </w:rPr>
        <w:t>تهدف دراسة</w:t>
      </w:r>
      <w:sdt>
        <w:sdtPr>
          <w:rPr>
            <w:rtl/>
          </w:rPr>
          <w:id w:val="-931038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Ars25 \l 3073</w:instrText>
          </w:r>
          <w:r>
            <w:rPr>
              <w:rtl/>
            </w:rPr>
            <w:instrText xml:space="preserve"> </w:instrText>
          </w:r>
          <w:r>
            <w:rPr>
              <w:rtl/>
            </w:rPr>
            <w:fldChar w:fldCharType="separate"/>
          </w:r>
          <w:r>
            <w:rPr>
              <w:noProof/>
              <w:rtl/>
            </w:rPr>
            <w:t xml:space="preserve"> </w:t>
          </w:r>
          <w:r>
            <w:rPr>
              <w:rFonts w:hint="cs"/>
              <w:noProof/>
              <w:rtl/>
            </w:rPr>
            <w:t>(</w:t>
          </w:r>
          <w:r>
            <w:rPr>
              <w:rFonts w:hint="cs"/>
              <w:noProof/>
            </w:rPr>
            <w:t>Arsyad</w:t>
          </w:r>
          <w:r>
            <w:rPr>
              <w:rFonts w:hint="cs"/>
              <w:noProof/>
              <w:rtl/>
            </w:rPr>
            <w:t>، 2025)</w:t>
          </w:r>
          <w:r>
            <w:rPr>
              <w:rtl/>
            </w:rPr>
            <w:fldChar w:fldCharType="end"/>
          </w:r>
        </w:sdtContent>
      </w:sdt>
      <w:r w:rsidRPr="00D274C5">
        <w:rPr>
          <w:rtl/>
        </w:rPr>
        <w:t xml:space="preserve"> إلى تحليل استخدام الذكاء الاصطناعي في قطاع التمويل الإسلامي، وتحديد الصعوبات القانونية، وبناء نموذج إشرافي مناسب لتعزيز صناعة التمويل الإسلامي. يُعد هذا النوع من البحث بحثًا قانونيًا، ويستخدم منهجًا تشريعيًا، ومنهجًا مفاهيميًا، ومنهجًا مقارنًا بين إندونيسيا وهونغ كونغ وماليزيا والإمارات العربية المتحدة. يتزايد استخدام الذكاء الاصطناعي في التمويل الإسلامي في العديد من المجالات. ففي المكاتب الأمامية، يُبسط الذكاء الاصطناعي تقييم الائتمان، والتكافل (التأمين الإسلامي)، وبرامج المحادثة الفورية، مما يُعزز تفاعل العملاء وعمليات صنع القرار. أما في المكاتب الوسطى، فيُعد الذكاء الاصطناعي جانبًا حيويًا في مكافحة غسل الأموال، وتمويل الإرهاب، ومعرفة لوائح عملائك، والكشف عن الاحتيال. أما في المكاتب الخلفية، فيُحسّن الذكاء الاصطناعي إدارة رأس المال، وتقييم أثر السوق، وإدارة المخاطر، وإدارة الأصول والثروات. بالإضافة إلى ذلك، يُطور الذكاء الاصطناعي بشكل كبير التكنولوجيا التنظيمية (</w:t>
      </w:r>
      <w:r w:rsidRPr="00D274C5">
        <w:t>RegTech</w:t>
      </w:r>
      <w:r w:rsidRPr="00D274C5">
        <w:rPr>
          <w:rtl/>
        </w:rPr>
        <w:t>) والتكنولوجيا الإشرافية (</w:t>
      </w:r>
      <w:r w:rsidRPr="00D274C5">
        <w:t>SupTech</w:t>
      </w:r>
      <w:r w:rsidRPr="00D274C5">
        <w:rPr>
          <w:rtl/>
        </w:rPr>
        <w:t xml:space="preserve">)، مما يُعزز في نهاية المطاف فعالية الامتثال التنظيمي والإشراف في قطاع الخدمات المصرفية الإسلامية. تُسهّل هذه الأدوات عمليات الامتثال، وتُحلل جودة البيانات، وتكشف التهديدات المحتملة، وتتكيف مع الأطر التنظيمية المعقدة. ومع ذلك، يواجه اعتماد الذكاء الاصطناعي صعوبات كبيرة، أبرزها غياب إطار تنظيمي كامل يحكم تطبيق الذكاء الاصطناعي في الأعمال المصرفية الإسلامية. فاللوائح الحالية، وخاصة قانون المصارف الإسلامية وقانون التأمين، لا تُعالج الذكاء الاصطناعي بشكل كافٍ. علاوة على ذلك، يُثير استخدام الذكاء الاصطناعي تساؤلات حول الامتثال للشريعة الإسلامية، لا سيما فيما يتعلق بالانفتاح والتحيز الخوارزمي المحتمل في عملية صنع القرار. تعتمد كفاءة الرقابة في التمويل الإسلامي إلى حد كبير على عضوية مجلس الرقابة الإسلامي، الذي يجب أن يتمتع بمهارات تكنولوجية لضمان التوافق مع متطلبات الشريعة الإسلامية. لذلك، يلزم تطوير إجراءات مراقبة أكثر تطورًا وفعالية لنجاح نشر الذكاء الاصطناعي في الخدمات المصرفية الإسلامية. يجب أن يُمكّن إطار الرقابة الفعال من الشفافية وحماية البيانات والتدقيق المنتظم لأنظمة الذكاء الاصطناعي ودمج تقنيات </w:t>
      </w:r>
      <w:r w:rsidRPr="00D274C5">
        <w:t>RegTech</w:t>
      </w:r>
      <w:r w:rsidRPr="00D274C5">
        <w:rPr>
          <w:rtl/>
        </w:rPr>
        <w:t xml:space="preserve"> و</w:t>
      </w:r>
      <w:r w:rsidRPr="00D274C5">
        <w:t>SupTech</w:t>
      </w:r>
      <w:r w:rsidRPr="00D274C5">
        <w:rPr>
          <w:rtl/>
        </w:rPr>
        <w:t xml:space="preserve"> داخل قطاع التمويل الإسلامي.</w:t>
      </w:r>
    </w:p>
    <w:p w14:paraId="490EEC02" w14:textId="77777777" w:rsidR="00040F96" w:rsidRDefault="00040F96" w:rsidP="00040F96">
      <w:pPr>
        <w:pStyle w:val="NoSpacing"/>
        <w:rPr>
          <w:rtl/>
        </w:rPr>
      </w:pPr>
      <w:r w:rsidRPr="00E03CE5">
        <w:rPr>
          <w:rtl/>
        </w:rPr>
        <w:t>يشهد القطاع المصرفي حاليًا تحولًا نحو العصر الرقمي استجابةً لظهور التكنولوجيا المالية وثورة التكنولوجيا الرقمية. وقد أدى هذا التحول إلى دخول البنوك في عصر الخدمات المصرفية الرقمية التي تهدف إلى نشر الشمول المالي وتوفير الوصول إلى المجتمع دون قيود زمنية أو مكانية. وقد أحدث التقدم في تكنولوجيا المعلومات والاتصالات تغييرات في العديد من الشركات، بما في ذلك القطاع المالي الإسلامي. ويُعد تطوير الذكاء الاصطناعي أمرًا حيويًا في رقمنة الأموال الإسلامية، ويوفر فرصًا لتعزيز الكفاءة وتخصيص الخدمات وتقليل المخاطر. وتهدف هذه الدراسة إلى تقييم تأثير تبني الذكاء الاصطناعي على الثقافة المالية والتغيرات الاقتصادية العالمية في العمل المصرفي من خلال التركيز على الفعالية والكفاءة والامتثال لقواعد الشريعة الإسلامية. وقد تم اختيار منهجية البحث وهي دراسة الأدبيات النوعية. وتأتي البيانات من مصادر عديدة، بما في ذلك المقالات البحثية والمجلات والكتب ذات الصلة. وتشير نتائج هذه الدراسة إلى أن تطبيق الذكاء الاصطناعي في الخدمات المصرفية الإسلامية يمكن أن يزيد من الكفاءة التشغيلية، ويجعل الخدمات المالية أكثر سهولة في الوصول، ويمكّن من تحليل البيانات بطريقة تساعد في وضع الخطط الاستراتيجية. ومع ذلك، فإن الأهم هو ضمان توافق تطوير الذكاء الاصطناعي مع أحكام الشريعة الإسلامية، بما في ذلك الاعتراف بالربا والغرر والمعاملات غير الحلال. وتؤكد نتائج هذه الدراسة على أهمية وجود قوانين محددة لتعزيز استخدام الذكاء الاصطناعي في التمويل الإسلامي، حتى لو كان قائمًا على الشريعة الإسلامية. ومن خلال التفكير الجاد والمبتكر، يمكن للذكاء الاصطناعي أن يكون أداة استراتيجية لتطوير القطاع المصرفي الإسلامي في إندونيسيا، وزيادة الشمول المالي، ودفع عجلة التقدم الاقتصادي للبلاد</w:t>
      </w:r>
      <w:sdt>
        <w:sdtPr>
          <w:rPr>
            <w:rtl/>
          </w:rPr>
          <w:id w:val="-57798513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Man25 \l 3073</w:instrText>
          </w:r>
          <w:r>
            <w:rPr>
              <w:rtl/>
            </w:rPr>
            <w:instrText xml:space="preserve"> </w:instrText>
          </w:r>
          <w:r>
            <w:rPr>
              <w:rtl/>
            </w:rPr>
            <w:fldChar w:fldCharType="separate"/>
          </w:r>
          <w:r>
            <w:rPr>
              <w:noProof/>
              <w:rtl/>
            </w:rPr>
            <w:t xml:space="preserve"> </w:t>
          </w:r>
          <w:r>
            <w:rPr>
              <w:rFonts w:hint="cs"/>
              <w:noProof/>
              <w:rtl/>
            </w:rPr>
            <w:t>(</w:t>
          </w:r>
          <w:r>
            <w:rPr>
              <w:rFonts w:hint="cs"/>
              <w:noProof/>
            </w:rPr>
            <w:t>Manteghi</w:t>
          </w:r>
          <w:r>
            <w:rPr>
              <w:rFonts w:hint="cs"/>
              <w:noProof/>
              <w:rtl/>
            </w:rPr>
            <w:t>، 2025)</w:t>
          </w:r>
          <w:r>
            <w:rPr>
              <w:rtl/>
            </w:rPr>
            <w:fldChar w:fldCharType="end"/>
          </w:r>
        </w:sdtContent>
      </w:sdt>
      <w:r w:rsidRPr="00E03CE5">
        <w:rPr>
          <w:rtl/>
        </w:rPr>
        <w:t>.</w:t>
      </w:r>
    </w:p>
    <w:p w14:paraId="5C80EB08" w14:textId="77777777" w:rsidR="00040F96" w:rsidRDefault="00040F96" w:rsidP="00040F96">
      <w:pPr>
        <w:pStyle w:val="NoSpacing"/>
        <w:rPr>
          <w:rtl/>
        </w:rPr>
      </w:pPr>
      <w:r w:rsidRPr="009B1DF6">
        <w:rPr>
          <w:rtl/>
        </w:rPr>
        <w:t xml:space="preserve">تؤكد الدراسة على أهمية الذكاء الاصطناعي وتطبيقاته على جودة الخدمة التي تقدمها البنوك الأردنية لرضا عملائها. تستكشف هذه الدراسة البحثية بشكل شامل الأدبيات حول الاستخدامات المتعددة الناشئة للذكاء الاصطناعي وتأثيرها على القطاع المصرفي. يتم إجراء مراجعة دقيقة للأدبيات الحالية للتحقيق في استخدامات الذكاء الاصطناعي في الخدمات المصرفية. يحسن الذكاء الاصطناعي التجربة المصرفية لملايين العملاء والموظفين من خلال توفير فحص درجة الائتمان والتنبؤ بفشل النظام وأنظمة إنذار الطوارئ والكشف عن الاحتيال والكشف عن مواقع التصيد الاحتيالي وتقييم مخاطر السيولة وتقييم ولاء العملاء وأنظمة الاستخبارات من خلال تقليل عبء عمل الموظفين. تم جمع بيانات من 270 مستهلكًا في القطاع المصرفي الأردني من خلال استبيان. استخدم برنامج </w:t>
      </w:r>
      <w:r w:rsidRPr="009B1DF6">
        <w:t>SPSS</w:t>
      </w:r>
      <w:r w:rsidRPr="009B1DF6">
        <w:rPr>
          <w:rtl/>
        </w:rPr>
        <w:t xml:space="preserve"> تحليل العوامل الاستكشافية لفحص بيانات العينة إحصائيًا لتقدير جودة الخدمة ورضا العملاء. توضح النتائج أن نموذج </w:t>
      </w:r>
      <w:r w:rsidRPr="009B1DF6">
        <w:t>SERVQUAL</w:t>
      </w:r>
      <w:r w:rsidRPr="009B1DF6">
        <w:rPr>
          <w:rtl/>
        </w:rPr>
        <w:t xml:space="preserve"> المعدل استخرج خمسة مقاييس فرعية بدلاً من الثمانية في النموذج الأصلي. كانت المقاييس الفرعية المستخرجة هي الملموسية </w:t>
      </w:r>
      <w:r w:rsidRPr="009B1DF6">
        <w:rPr>
          <w:rFonts w:hint="cs"/>
          <w:rtl/>
        </w:rPr>
        <w:t>والضمان</w:t>
      </w:r>
      <w:r w:rsidRPr="009B1DF6">
        <w:rPr>
          <w:rFonts w:hint="eastAsia"/>
          <w:rtl/>
        </w:rPr>
        <w:t>،</w:t>
      </w:r>
      <w:r w:rsidRPr="009B1DF6">
        <w:rPr>
          <w:rtl/>
        </w:rPr>
        <w:t xml:space="preserve"> </w:t>
      </w:r>
      <w:r w:rsidRPr="009B1DF6">
        <w:rPr>
          <w:rFonts w:hint="cs"/>
          <w:rtl/>
        </w:rPr>
        <w:t>والموثوقية</w:t>
      </w:r>
      <w:r w:rsidRPr="009B1DF6">
        <w:rPr>
          <w:rFonts w:hint="eastAsia"/>
          <w:rtl/>
        </w:rPr>
        <w:t>،</w:t>
      </w:r>
      <w:r w:rsidRPr="009B1DF6">
        <w:rPr>
          <w:rtl/>
        </w:rPr>
        <w:t xml:space="preserve"> والاستجابة والتعاطف. وفقًا لهذه الدراسة، يُسهم الذكاء الاصطناعي بشكل كبير في جودة الخدمة ورضا العملاء. ويرى الباحثون أن نموذج </w:t>
      </w:r>
      <w:r w:rsidRPr="009B1DF6">
        <w:t>SERVQUAL</w:t>
      </w:r>
      <w:r w:rsidRPr="009B1DF6">
        <w:rPr>
          <w:rtl/>
        </w:rPr>
        <w:t xml:space="preserve"> الجديد يُسهم في تحسين رضا العملاء في القطاع المصرفي. وتشير نتائج البحث إلى أن الطلب على الذكاء الاصطناعي في القطاع المصرفي الأردني لا يقل أهميةً بالنسبة للمستهلكين؛ لذا، ينبغي تحقيق توازن مناسب بين الوكلاء الافتراضيين والبشريين وفقًا لمتطلبات العملاء وتفضيلاتهم. علاوةً على ذلك، حددت هذه الدراسة النتائج العملية لاعتماد الذكاء الاصطناعي في القطاع المصرفي، وخاصةً تلك المرتبطة بانطباعات المستهلك الأردني</w:t>
      </w:r>
      <w:sdt>
        <w:sdtPr>
          <w:rPr>
            <w:rtl/>
          </w:rPr>
          <w:id w:val="68778355"/>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ALA221 \l 3073</w:instrText>
          </w:r>
          <w:r>
            <w:rPr>
              <w:rtl/>
            </w:rPr>
            <w:instrText xml:space="preserve"> </w:instrText>
          </w:r>
          <w:r>
            <w:rPr>
              <w:rtl/>
            </w:rPr>
            <w:fldChar w:fldCharType="separate"/>
          </w:r>
          <w:r>
            <w:rPr>
              <w:noProof/>
              <w:rtl/>
            </w:rPr>
            <w:t xml:space="preserve"> </w:t>
          </w:r>
          <w:r>
            <w:rPr>
              <w:rFonts w:hint="cs"/>
              <w:noProof/>
              <w:rtl/>
            </w:rPr>
            <w:t>(</w:t>
          </w:r>
          <w:r>
            <w:rPr>
              <w:rFonts w:hint="cs"/>
              <w:noProof/>
            </w:rPr>
            <w:t>AL-ARAJ</w:t>
          </w:r>
          <w:r>
            <w:rPr>
              <w:rFonts w:hint="cs"/>
              <w:noProof/>
              <w:rtl/>
            </w:rPr>
            <w:t>، 2022)</w:t>
          </w:r>
          <w:r>
            <w:rPr>
              <w:rtl/>
            </w:rPr>
            <w:fldChar w:fldCharType="end"/>
          </w:r>
        </w:sdtContent>
      </w:sdt>
      <w:r w:rsidRPr="009B1DF6">
        <w:rPr>
          <w:rtl/>
        </w:rPr>
        <w:t>.</w:t>
      </w:r>
    </w:p>
    <w:p w14:paraId="58C577BC" w14:textId="77777777" w:rsidR="00040F96" w:rsidRDefault="00040F96" w:rsidP="00040F96">
      <w:pPr>
        <w:pStyle w:val="NoSpacing"/>
        <w:rPr>
          <w:rtl/>
        </w:rPr>
      </w:pPr>
      <w:r w:rsidRPr="004F77B4">
        <w:rPr>
          <w:rtl/>
        </w:rPr>
        <w:t>لا يزال قياس وإدارة المخاطر المصرفية أحد القضايا العديدة التي تواجه المديرين وصانعي السياسات. تساهم هذه الدراسة في الأدبيات والممارسات المصرفية بطريقتين من خلال (أ) اقتراح مؤشر لتصنيف المخاطر يعتمد على مسافة ماهالانوبيس (</w:t>
      </w:r>
      <w:r w:rsidRPr="004F77B4">
        <w:t>MD</w:t>
      </w:r>
      <w:r w:rsidRPr="004F77B4">
        <w:rPr>
          <w:rtl/>
        </w:rPr>
        <w:t>) بين نقطة متعددة الأبعاد تمثل مقاييس مخاطر البنك والنسب الحرجة المقابلة التي تحددها السلطات المصرفية و (ب) تحديد الأهمية النسبية لنسب مخاطر البنك في التأثير على وضعه المالي باستخدام نظام الاستدلال العصبي الضبابي التكيفي. في هذه الدراسة، تم التحقيق في أحد عشر معيارًا ماليًا تمثل خمسة مجالات للمخاطر، وهي: كفاية رأس المال، والائتمان، والسيولة، وجودة الأرباح، والمخاطر التشغيلية. تم استخدام بيانات من 45 بنكًا خليجيًا للفترة 2016-2020 لبناء النموذج. تشير نتائجنا إلى أن البنك في وضع صحي للمخاطر عند مستوى ثقة 99٪ و 95٪ و 90٪ إذا تجاوزت مسافة ماهالانوبيس 4.82 و 4.28 و 4.0 على التوالي. بلغ أكبر فرق مُحدد للبنوك في هذه الدراسة 9.31؛ حيث كان خمسة بنوك فقط من أصل خمسة وأربعين بنكًا أقل من معيار 4.82، بينما كان بنك واحد أقل من معياري 4.28 و4.0 عند 3.96. وخلص تحليل حساسية المخاطر إلى أن هامش صافي الفائدة هو العنصر الأكثر أهمية في تفسير اختلافات وضع المخاطر لدى البنك، يليه نسبة كفاية رأس المال، ثم نسبة حقوق الملكية العادية من الفئة الأولى، ثم نسبة حقوق الملكية من الفئة الأولى بالترتيب. أما النسب المالية المتبقية: القروض المتعثرة، ونسبة الرفع المالي، ونسبة التكلفة إلى الدخل، ونسبة القروض إلى إجمالي الأصول، ونسبة القروض إلى الودائع، فكان لها أقل تأثير بالترتيب الموضح؛ بينما يبدو أن نسبة القروض المؤقتة ليس لها أي تأثير</w:t>
      </w:r>
      <w:sdt>
        <w:sdtPr>
          <w:rPr>
            <w:rtl/>
          </w:rPr>
          <w:id w:val="755182343"/>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Ahm232 \l 3073</w:instrText>
          </w:r>
          <w:r>
            <w:rPr>
              <w:rtl/>
            </w:rPr>
            <w:instrText xml:space="preserve"> </w:instrText>
          </w:r>
          <w:r>
            <w:rPr>
              <w:rtl/>
            </w:rPr>
            <w:fldChar w:fldCharType="separate"/>
          </w:r>
          <w:r>
            <w:rPr>
              <w:noProof/>
              <w:rtl/>
            </w:rPr>
            <w:t xml:space="preserve"> </w:t>
          </w:r>
          <w:r>
            <w:rPr>
              <w:rFonts w:hint="cs"/>
              <w:noProof/>
              <w:rtl/>
            </w:rPr>
            <w:t>(</w:t>
          </w:r>
          <w:r>
            <w:rPr>
              <w:rFonts w:hint="cs"/>
              <w:noProof/>
            </w:rPr>
            <w:t>Ahmed</w:t>
          </w:r>
          <w:r>
            <w:rPr>
              <w:rFonts w:hint="cs"/>
              <w:noProof/>
              <w:rtl/>
            </w:rPr>
            <w:t>، 2023)</w:t>
          </w:r>
          <w:r>
            <w:rPr>
              <w:rtl/>
            </w:rPr>
            <w:fldChar w:fldCharType="end"/>
          </w:r>
        </w:sdtContent>
      </w:sdt>
      <w:r w:rsidRPr="004F77B4">
        <w:rPr>
          <w:rtl/>
        </w:rPr>
        <w:t>.</w:t>
      </w:r>
    </w:p>
    <w:p w14:paraId="2A8F3B5E" w14:textId="77777777" w:rsidR="00040F96" w:rsidRDefault="00040F96" w:rsidP="00040F96">
      <w:pPr>
        <w:pStyle w:val="NoSpacing"/>
        <w:rPr>
          <w:rtl/>
        </w:rPr>
      </w:pPr>
      <w:r w:rsidRPr="00613B64">
        <w:rPr>
          <w:rtl/>
        </w:rPr>
        <w:t>يُعدّ التحوّل الرقمي في قطاع الصيرفة الإسلامية أمرًا بالغ الأهمية في عصر التغيّر التكنولوجي. ومع ذلك، لا يزال استخدام الذكاء الاصطناعي يواجه عقبات، لا سيما في المناطق غير الحضرية. يهدف هذا البحث إلى استكشاف تأثير الذكاء الاصطناعي في تحويل الخدمات الرقمية في فرع بنك الشريعة الإندونيسي (</w:t>
      </w:r>
      <w:r w:rsidRPr="00613B64">
        <w:t>BSI</w:t>
      </w:r>
      <w:r w:rsidRPr="00613B64">
        <w:rPr>
          <w:rtl/>
        </w:rPr>
        <w:t>) في سيمارانج، مع تسليط الضوء على امتثاله لمعايير مقاصد الشريعة. يعتمد هذا البحث على أسلوب ظاهراتي نوعي، باستخدام مقابلات معمقة، وملاحظة تشاركية، وفحص الوثائق الداخلية للموظفين والعملاء. تكشف النتائج الرئيسية أن الذكاء الاصطناعي يُحسّن كفاءة الخدمة بشكل كبير من خلال التكامل الرقمي، وبرنامج الدردشة الآلي "مساعد الحسنة"، ونظام المعاملات الآلي القائم على الأنماط. ويُعتقد أن هذا الابتكار يُسرّع الخدمات مع الحفاظ على مفاهيم حماية المال والحياة. ومع ذلك، توجد مشكلات تتعلق بمحدودية تكيف الذكاء الاصطناعي مع السياقات الثقافية المحلية، ومعارضة كبار الموظفين للرقمنة، وضعف إلمام العملاء بالتكنولوجيا الرقمية. وهذا يُظهر أهمية اتباع نهج مُركّز يجمع بين التكنولوجيا وإضفاء الطابع الإنساني على الخدمات المصرفية الإسلامية. تكمن حداثة هذا البحث في تركيزه على الفروع الإقليمية التي لم تُبحث بعمق في الأدبيات الأكاديمية، بالإضافة إلى مساهمته في تعزيز فهم الذكاء الاصطناعي كوسيلة استراتيجية، وليس مجرد أداة أتمتة. تؤكد نتائج هذا البحث على ضرورة تصميم نظام ذكاء اصطناعي فعّال وأخلاقي وشامل، يركز على المبادئ الإسلامية. يقدم البحث منهجية تحول رقمي تشاركية تتكيف مع القيم المحلية وتتوافق مع مقاصد الشريعة الإسلامية لضمان استدامة الابتكار التكنولوجي في مجال الخدمات المصرفية الإسلامية</w:t>
      </w:r>
      <w:sdt>
        <w:sdtPr>
          <w:rPr>
            <w:rtl/>
          </w:rPr>
          <w:id w:val="91132636"/>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Sya251 \l 3073</w:instrText>
          </w:r>
          <w:r>
            <w:rPr>
              <w:rtl/>
            </w:rPr>
            <w:instrText xml:space="preserve"> </w:instrText>
          </w:r>
          <w:r>
            <w:rPr>
              <w:rtl/>
            </w:rPr>
            <w:fldChar w:fldCharType="separate"/>
          </w:r>
          <w:r>
            <w:rPr>
              <w:noProof/>
              <w:rtl/>
            </w:rPr>
            <w:t xml:space="preserve"> </w:t>
          </w:r>
          <w:r>
            <w:rPr>
              <w:rFonts w:hint="cs"/>
              <w:noProof/>
              <w:rtl/>
            </w:rPr>
            <w:t>(</w:t>
          </w:r>
          <w:r>
            <w:rPr>
              <w:rFonts w:hint="cs"/>
              <w:noProof/>
            </w:rPr>
            <w:t>Syakirunni’am</w:t>
          </w:r>
          <w:r>
            <w:rPr>
              <w:rFonts w:hint="cs"/>
              <w:noProof/>
              <w:rtl/>
            </w:rPr>
            <w:t>، 2025)</w:t>
          </w:r>
          <w:r>
            <w:rPr>
              <w:rtl/>
            </w:rPr>
            <w:fldChar w:fldCharType="end"/>
          </w:r>
        </w:sdtContent>
      </w:sdt>
      <w:r w:rsidRPr="00613B64">
        <w:rPr>
          <w:rtl/>
        </w:rPr>
        <w:t>.</w:t>
      </w:r>
    </w:p>
    <w:p w14:paraId="53E55758" w14:textId="77777777" w:rsidR="00040F96" w:rsidRDefault="00040F96" w:rsidP="00040F96">
      <w:pPr>
        <w:pStyle w:val="NoSpacing"/>
        <w:rPr>
          <w:rtl/>
        </w:rPr>
      </w:pPr>
      <w:r w:rsidRPr="00816492">
        <w:rPr>
          <w:rtl/>
        </w:rPr>
        <w:t>يُصنّف الذكاء الاصطناعي ضمن تخصص علوم الحاسوب، ويُركّز على إنتاج آلات ذكية تعمل كالبشر. يُساعد الذكاء الاصطناعي المؤسسات، بما في ذلك الخدمات المالية الإسلامية، على التعلّم واتخاذ القرارات وتقديم تحليلات تنبؤية فعّالة. وقد كان التقدم والآفاق التي حققها الذكاء الاصطناعي في مجال التمويل ملحوظين حتى الآن، حيث أتاح تمويلًا أرخص وأسرع وأقرب وأيسر وصولًا وأكثر ربحية وكفاءة، لا سيما خلال جائحة كوفيد-19، حيث طُلب من الناس البقاء في منازلهم مع الاستمرار في إجراء معاملاتهم المصرفية. على الرغم من التقدم والإمكانات الهائلة التي أتاحتها الاختراقات في مجال الذكاء الاصطناعي المالي، إلا أنه يُمثّل أيضًا بعض المخاطر والقيود الجسيمة. تشمل ثلاث فئات من المخاطر والقيود تزايد التهديدات الافتراضية والصراعات السيبرانية في النظام المالي، والتغيرات السلوكية في المجتمع، والمراجعات القانونية التي لا تستجيب للتطورات التكنولوجية، وخاصة في الدول النامية. الهدف الرئيسي من هذه الورقة هو تقييم عمليات المخاطر المحتملة التي قد تنشأ عند استخدام الذكاء الاصطناعي في خدمات التمويل الإسلامي، وخاصةً فيما يتعلق بالإطار القانوني المتوقع أن يتوافق مع تطوير الأعمال. إندونيسيا دولةٌ تلتزم بنظام القانون المدني، حيث يُفترض أن يستند كل ترتيب قانوني إلى قانون مكتوب. ويؤدي غياب هذا الإطار القانوني إلى عجز سرعة التغييرات القانونية عن مواكبة وتيرة النمو التقني، مما يُعيق تطوير الذكاء الاصطناعي في النظام المالي. وتخلص هذه المقالة إلى أن الذكاء الاصطناعي سيكون له تأثيرٌ كبيرٌ مستقبلًا على قطاع التمويل الإسلامي، ولكن في السياق الإندونيسي، لا يزال هذا القطاع بحاجة إلى تدابير مُتنوعة للحد من المخاطر المحتملة التي قد تُؤثر بشكل كبير على نجاح البنوك الإسلامية</w:t>
      </w:r>
      <w:sdt>
        <w:sdtPr>
          <w:rPr>
            <w:rtl/>
          </w:rPr>
          <w:id w:val="142942036"/>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Yus22 \l 3073</w:instrText>
          </w:r>
          <w:r>
            <w:rPr>
              <w:rtl/>
            </w:rPr>
            <w:instrText xml:space="preserve"> </w:instrText>
          </w:r>
          <w:r>
            <w:rPr>
              <w:rtl/>
            </w:rPr>
            <w:fldChar w:fldCharType="separate"/>
          </w:r>
          <w:r>
            <w:rPr>
              <w:noProof/>
              <w:rtl/>
            </w:rPr>
            <w:t xml:space="preserve"> </w:t>
          </w:r>
          <w:r>
            <w:rPr>
              <w:rFonts w:hint="cs"/>
              <w:noProof/>
              <w:rtl/>
            </w:rPr>
            <w:t>(</w:t>
          </w:r>
          <w:r>
            <w:rPr>
              <w:rFonts w:hint="cs"/>
              <w:noProof/>
            </w:rPr>
            <w:t>Yuspin</w:t>
          </w:r>
          <w:r>
            <w:rPr>
              <w:rFonts w:hint="cs"/>
              <w:noProof/>
              <w:rtl/>
            </w:rPr>
            <w:t>، 2022)</w:t>
          </w:r>
          <w:r>
            <w:rPr>
              <w:rtl/>
            </w:rPr>
            <w:fldChar w:fldCharType="end"/>
          </w:r>
        </w:sdtContent>
      </w:sdt>
      <w:r w:rsidRPr="00816492">
        <w:rPr>
          <w:rtl/>
        </w:rPr>
        <w:t>.</w:t>
      </w:r>
    </w:p>
    <w:p w14:paraId="2054AEC7" w14:textId="77777777" w:rsidR="00040F96" w:rsidRDefault="00040F96" w:rsidP="00040F96">
      <w:pPr>
        <w:pStyle w:val="NoSpacing"/>
        <w:rPr>
          <w:rtl/>
        </w:rPr>
      </w:pPr>
      <w:r w:rsidRPr="00447191">
        <w:rPr>
          <w:rtl/>
        </w:rPr>
        <w:t>تستكشف دراسة</w:t>
      </w:r>
      <w:sdt>
        <w:sdtPr>
          <w:rPr>
            <w:rtl/>
          </w:rPr>
          <w:id w:val="-123693862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Yus21 \l 3073</w:instrText>
          </w:r>
          <w:r>
            <w:rPr>
              <w:rtl/>
            </w:rPr>
            <w:instrText xml:space="preserve"> </w:instrText>
          </w:r>
          <w:r>
            <w:rPr>
              <w:rtl/>
            </w:rPr>
            <w:fldChar w:fldCharType="separate"/>
          </w:r>
          <w:r>
            <w:rPr>
              <w:noProof/>
              <w:rtl/>
            </w:rPr>
            <w:t xml:space="preserve"> </w:t>
          </w:r>
          <w:r>
            <w:rPr>
              <w:rFonts w:hint="cs"/>
              <w:noProof/>
              <w:rtl/>
            </w:rPr>
            <w:t>(</w:t>
          </w:r>
          <w:r>
            <w:rPr>
              <w:rFonts w:hint="cs"/>
              <w:noProof/>
            </w:rPr>
            <w:t>Yussaivi</w:t>
          </w:r>
          <w:r>
            <w:rPr>
              <w:rFonts w:hint="cs"/>
              <w:noProof/>
              <w:rtl/>
            </w:rPr>
            <w:t>، 2021)</w:t>
          </w:r>
          <w:r>
            <w:rPr>
              <w:rtl/>
            </w:rPr>
            <w:fldChar w:fldCharType="end"/>
          </w:r>
        </w:sdtContent>
      </w:sdt>
      <w:r w:rsidRPr="00447191">
        <w:rPr>
          <w:rtl/>
        </w:rPr>
        <w:t xml:space="preserve"> العوامل التي تؤثر على مواقف وتصورات جيل الألفية فيما يتعلق بتبني خدمات الخدمات المصرفية عبر الهاتف المحمول والخدمات المصرفية عبر الهاتف المحمول المدعومة بالذكاء الاصطناعي. تم إرسال استبيان البحث عبر نموذج </w:t>
      </w:r>
      <w:r w:rsidRPr="00447191">
        <w:t>Google</w:t>
      </w:r>
      <w:r w:rsidRPr="00447191">
        <w:rPr>
          <w:rtl/>
        </w:rPr>
        <w:t xml:space="preserve"> إلى العملاء الذين يستخدمون خدمات الخدمات المصرفية عبر الهاتف المحمول الإسلامية في ثلاث مدن في مقاطعة آتشيه بإندونيسيا، وهي باندا آتشيه ولانغسا ولوكسوماوي مع عينة إجمالية من 204 من المشاركين المسلمين في سن الألفية. تم استخدام المربع الأصغر الجزئي لاختبار الآثار التفاضلية القائمة على التكنولوجيا (المواقف تجاه الذكاء الاصطناعي والميزة النسبية والثقة وأمان الخدمات المصرفية عبر الهاتف المحمول) وغير القائمة على التكنولوجيا (الحاجة إلى الخدمة وجودة الخدمة) بالإضافة إلى عوامل التدين على استخدام الخدمات المصرفية عبر الهاتف المحمول والخدمات المصرفية عبر الهاتف المحمول المدعومة بالذكاء الاصطناعي. تؤدي هذه الدراسة إلى نتائج مفادها أن بناء الثقة والآراء تجاه الذكاء الاصطناعي والدين والميزة النسبية هي المؤشرات الرئيسية لنوايا تبني الخدمات المصرفية عبر الهاتف المحمول. كما توضح التناقض بين عملاء جيل الألفية في مستويات الثقة والمواقف تجاه الذكاء الاصطناعي والدين والفائدة النسبية المتصورة بين المتغيرين التابعين. وأخيرا، فإن بناء الثقة له التأثير الأكبر على استخدام الخدمات المصرفية عبر الهاتف المحمول والخدمات المصرفية عبر الهاتف المحمول المدعومة بالذكاء الاصطناعي.</w:t>
      </w:r>
    </w:p>
    <w:p w14:paraId="6BC1B9AB" w14:textId="77777777" w:rsidR="00040F96" w:rsidRDefault="00040F96" w:rsidP="00040F96">
      <w:pPr>
        <w:pStyle w:val="NoSpacing"/>
        <w:rPr>
          <w:rtl/>
        </w:rPr>
      </w:pPr>
      <w:r w:rsidRPr="001C6B41">
        <w:rPr>
          <w:rtl/>
        </w:rPr>
        <w:t>تهدف دراسة</w:t>
      </w:r>
      <w:sdt>
        <w:sdtPr>
          <w:rPr>
            <w:rtl/>
          </w:rPr>
          <w:id w:val="-785348226"/>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Rah212 \l 3073</w:instrText>
          </w:r>
          <w:r>
            <w:rPr>
              <w:rtl/>
            </w:rPr>
            <w:instrText xml:space="preserve"> </w:instrText>
          </w:r>
          <w:r>
            <w:rPr>
              <w:rtl/>
            </w:rPr>
            <w:fldChar w:fldCharType="separate"/>
          </w:r>
          <w:r>
            <w:rPr>
              <w:noProof/>
              <w:rtl/>
            </w:rPr>
            <w:t xml:space="preserve"> </w:t>
          </w:r>
          <w:r>
            <w:rPr>
              <w:rFonts w:hint="cs"/>
              <w:noProof/>
              <w:rtl/>
            </w:rPr>
            <w:t>(</w:t>
          </w:r>
          <w:r>
            <w:rPr>
              <w:rFonts w:hint="cs"/>
              <w:noProof/>
            </w:rPr>
            <w:t>Rahman</w:t>
          </w:r>
          <w:r>
            <w:rPr>
              <w:rFonts w:hint="cs"/>
              <w:noProof/>
              <w:rtl/>
            </w:rPr>
            <w:t>، 2021)</w:t>
          </w:r>
          <w:r>
            <w:rPr>
              <w:rtl/>
            </w:rPr>
            <w:fldChar w:fldCharType="end"/>
          </w:r>
        </w:sdtContent>
      </w:sdt>
      <w:r w:rsidRPr="001C6B41">
        <w:rPr>
          <w:rtl/>
        </w:rPr>
        <w:t xml:space="preserve"> إلى استكشاف أهمية وتحديات تبني الذكاء الاصطناعي في القطاع المصرفي في ماليزيا، ودراسة العناصر الحاسمة في دراسة نية المستهلكين لتبنيه في الخدمات المصرفية. أُجري البحث النوعي باستخدام مقابلات معمقة مع مسؤولين في قطاع الخبز لفهم أهمية وتحديات دمج الذكاء الاصطناعي في الأعمال المصرفية. في المسح الكمي، تم استلام 302 استبيان مكتمل من عملاء البنوك الماليزيين. تم تقييم البيانات باستخدام برنامج </w:t>
      </w:r>
      <w:r w:rsidRPr="001C6B41">
        <w:t>SmartPLS 3.0</w:t>
      </w:r>
      <w:r w:rsidRPr="001C6B41">
        <w:rPr>
          <w:rtl/>
        </w:rPr>
        <w:t xml:space="preserve"> لاكتشاف المؤشرات الرئيسية لميلهم لتبني الذكاء الاصطناعي. تشير النتائج النوعية إلى أن الذكاء الاصطناعي أداة حيوية للكشف عن الاحتيال والوقاية من المخاطر. يُعد غياب المعايير التشريعية، وخصوصية البيانات وأمنها، ونقص المهارات والبنية التحتية لتكنولوجيا المعلومات اللازمة عوائق مهمة أمام تطبيق الذكاء الاصطناعي. تكشف النتائج الكمية أن الموقف تجاه الذكاء الاصطناعي، والفائدة المتصورة، والخطر المتصوَّر، والثقة المتصورة، والمعايير الذاتية تؤثر بشدة على نية تبني الذكاء الاصطناعي في الخدمات المالية، بينما لا يؤثر سهولة الاستخدام والوعي المتصوَّران على ذلك. تشير النتائج أيضًا إلى أن الموقف تجاه الذكاء الاصطناعي يؤثر بشدة على العلاقة بين المنفعة المتصورة والنية لتبني الذكاء الاصطناعي في الخدمات المالية. تعتبر التكنولوجيا المالية (</w:t>
      </w:r>
      <w:r w:rsidRPr="001C6B41">
        <w:t>FinTech</w:t>
      </w:r>
      <w:r w:rsidRPr="001C6B41">
        <w:rPr>
          <w:rtl/>
        </w:rPr>
        <w:t xml:space="preserve">) محددًا مهمًا للتخطيط الاستراتيجي في القطاع المصرفي. في حين أن الذكاء الاصطناعي يوفر العديد من الإمكانات الثورية في مجال </w:t>
      </w:r>
      <w:r w:rsidRPr="001C6B41">
        <w:t>FinTech</w:t>
      </w:r>
      <w:r w:rsidRPr="001C6B41">
        <w:rPr>
          <w:rtl/>
        </w:rPr>
        <w:t xml:space="preserve"> من حيث جمع البيانات وتحليلها وحماية الإجراءات وتحسينها، فإنه يفرض أيضًا بحرًا من التحديات على المؤسسات التقليدية. يقدم هذا التقرير معلومات أساسية لصانعي السياسات في القطاع المصرفي للتغلب على مشاكل دمج الذكاء الاصطناعي في الخدمات المصرفية. كما يعرض أيضًا المؤشرات المهمة لميل عملاء البنك إلى تبني الذكاء الاصطناعي في الخدمات المصرفية. قد يضع صانعو السياسات تكتيكاتهم لزيادة تبني الذكاء الاصطناعي مع مراعاة الحقائق. تُعد هذه الدراسة من بين الدراسات الرائدة في التحقيق في أهمية المشاكل المحتملة في تطبيق تقنية الذكاء الاصطناعي في الخدمات المصرفية وتحديد العناصر الحاسمة التي تؤثر على نية تبني الذكاء الاصطناعي في الخدمات المصرفية في ماليزيا.</w:t>
      </w:r>
    </w:p>
    <w:p w14:paraId="01FCC9DD" w14:textId="77777777" w:rsidR="00040F96" w:rsidRDefault="00040F96" w:rsidP="00040F96">
      <w:pPr>
        <w:spacing w:line="360" w:lineRule="auto"/>
        <w:rPr>
          <w:rFonts w:ascii="Sakkal Majalla" w:hAnsi="Sakkal Majalla" w:cs="Sakkal Majalla"/>
          <w:sz w:val="28"/>
          <w:szCs w:val="28"/>
          <w:rtl/>
        </w:rPr>
      </w:pPr>
    </w:p>
    <w:p w14:paraId="59D8D6C2" w14:textId="77777777" w:rsidR="00040F96" w:rsidRDefault="00040F96" w:rsidP="00040F96">
      <w:pPr>
        <w:spacing w:line="360" w:lineRule="auto"/>
        <w:rPr>
          <w:rFonts w:ascii="Sakkal Majalla" w:hAnsi="Sakkal Majalla" w:cs="Sakkal Majalla"/>
          <w:sz w:val="28"/>
          <w:szCs w:val="28"/>
          <w:rtl/>
        </w:rPr>
      </w:pPr>
    </w:p>
    <w:p w14:paraId="6EB3C883" w14:textId="77777777" w:rsidR="00040F96" w:rsidRDefault="00040F96" w:rsidP="00040F96">
      <w:pPr>
        <w:spacing w:line="360" w:lineRule="auto"/>
        <w:rPr>
          <w:rFonts w:ascii="Sakkal Majalla" w:hAnsi="Sakkal Majalla" w:cs="Sakkal Majalla"/>
          <w:sz w:val="28"/>
          <w:szCs w:val="28"/>
          <w:rtl/>
        </w:rPr>
      </w:pPr>
    </w:p>
    <w:p w14:paraId="022039FD" w14:textId="77777777" w:rsidR="00040F96" w:rsidRDefault="00040F96" w:rsidP="00040F96">
      <w:pPr>
        <w:spacing w:line="360" w:lineRule="auto"/>
        <w:rPr>
          <w:rFonts w:ascii="Sakkal Majalla" w:hAnsi="Sakkal Majalla" w:cs="Sakkal Majalla"/>
          <w:sz w:val="28"/>
          <w:szCs w:val="28"/>
          <w:rtl/>
        </w:rPr>
      </w:pPr>
    </w:p>
    <w:p w14:paraId="295D3DB5" w14:textId="77777777" w:rsidR="00040F96" w:rsidRDefault="00040F96" w:rsidP="00040F96">
      <w:pPr>
        <w:spacing w:line="360" w:lineRule="auto"/>
        <w:rPr>
          <w:rFonts w:ascii="Sakkal Majalla" w:hAnsi="Sakkal Majalla" w:cs="Sakkal Majalla"/>
          <w:sz w:val="28"/>
          <w:szCs w:val="28"/>
          <w:rtl/>
        </w:rPr>
      </w:pPr>
    </w:p>
    <w:p w14:paraId="79151554" w14:textId="77777777" w:rsidR="00040F96" w:rsidRDefault="00040F96" w:rsidP="00040F96">
      <w:pPr>
        <w:spacing w:line="360" w:lineRule="auto"/>
        <w:rPr>
          <w:rFonts w:ascii="Sakkal Majalla" w:hAnsi="Sakkal Majalla" w:cs="Sakkal Majalla"/>
          <w:sz w:val="28"/>
          <w:szCs w:val="28"/>
          <w:rtl/>
        </w:rPr>
      </w:pPr>
    </w:p>
    <w:p w14:paraId="38E040C9" w14:textId="77777777" w:rsidR="00040F96" w:rsidRDefault="00040F96" w:rsidP="00040F96">
      <w:pPr>
        <w:spacing w:line="360" w:lineRule="auto"/>
        <w:rPr>
          <w:rFonts w:ascii="Sakkal Majalla" w:hAnsi="Sakkal Majalla" w:cs="Sakkal Majalla"/>
          <w:sz w:val="28"/>
          <w:szCs w:val="28"/>
          <w:rtl/>
        </w:rPr>
      </w:pPr>
    </w:p>
    <w:p w14:paraId="0E222FDF" w14:textId="77777777" w:rsidR="00040F96" w:rsidRDefault="00040F96" w:rsidP="00040F96">
      <w:pPr>
        <w:spacing w:line="360" w:lineRule="auto"/>
        <w:rPr>
          <w:rFonts w:ascii="Sakkal Majalla" w:hAnsi="Sakkal Majalla" w:cs="Sakkal Majalla"/>
          <w:sz w:val="28"/>
          <w:szCs w:val="28"/>
          <w:rtl/>
        </w:rPr>
      </w:pPr>
    </w:p>
    <w:p w14:paraId="5093311D" w14:textId="77777777" w:rsidR="00040F96" w:rsidRDefault="00040F96" w:rsidP="00040F96">
      <w:pPr>
        <w:spacing w:line="360" w:lineRule="auto"/>
        <w:rPr>
          <w:rFonts w:ascii="Sakkal Majalla" w:hAnsi="Sakkal Majalla" w:cs="Sakkal Majalla"/>
          <w:sz w:val="28"/>
          <w:szCs w:val="28"/>
          <w:rtl/>
        </w:rPr>
      </w:pPr>
    </w:p>
    <w:p w14:paraId="39CFFABB" w14:textId="77777777" w:rsidR="00040F96" w:rsidRDefault="00040F96" w:rsidP="00040F96">
      <w:pPr>
        <w:spacing w:line="360" w:lineRule="auto"/>
        <w:rPr>
          <w:rFonts w:ascii="Sakkal Majalla" w:hAnsi="Sakkal Majalla" w:cs="Sakkal Majalla"/>
          <w:sz w:val="28"/>
          <w:szCs w:val="28"/>
          <w:rtl/>
        </w:rPr>
      </w:pPr>
    </w:p>
    <w:p w14:paraId="7AD29F90" w14:textId="77777777" w:rsidR="00040F96" w:rsidRDefault="00040F96" w:rsidP="00040F96">
      <w:pPr>
        <w:spacing w:line="360" w:lineRule="auto"/>
        <w:rPr>
          <w:rFonts w:ascii="Sakkal Majalla" w:hAnsi="Sakkal Majalla" w:cs="Sakkal Majalla"/>
          <w:sz w:val="28"/>
          <w:szCs w:val="28"/>
          <w:rtl/>
        </w:rPr>
      </w:pPr>
    </w:p>
    <w:p w14:paraId="7D404A06" w14:textId="77777777" w:rsidR="00040F96" w:rsidRDefault="00040F96" w:rsidP="00040F96">
      <w:pPr>
        <w:spacing w:line="360" w:lineRule="auto"/>
        <w:rPr>
          <w:rFonts w:ascii="Sakkal Majalla" w:hAnsi="Sakkal Majalla" w:cs="Sakkal Majalla"/>
          <w:sz w:val="28"/>
          <w:szCs w:val="28"/>
          <w:rtl/>
        </w:rPr>
      </w:pPr>
    </w:p>
    <w:p w14:paraId="2664CBFB" w14:textId="77777777" w:rsidR="00040F96" w:rsidRDefault="00040F96" w:rsidP="00040F96">
      <w:pPr>
        <w:spacing w:line="360" w:lineRule="auto"/>
        <w:rPr>
          <w:rFonts w:ascii="Sakkal Majalla" w:hAnsi="Sakkal Majalla" w:cs="Sakkal Majalla"/>
          <w:sz w:val="28"/>
          <w:szCs w:val="28"/>
          <w:rtl/>
        </w:rPr>
      </w:pPr>
    </w:p>
    <w:p w14:paraId="03F22325" w14:textId="77777777" w:rsidR="00040F96" w:rsidRDefault="00040F96" w:rsidP="00040F96">
      <w:pPr>
        <w:spacing w:line="360" w:lineRule="auto"/>
        <w:rPr>
          <w:rFonts w:ascii="Sakkal Majalla" w:hAnsi="Sakkal Majalla" w:cs="Sakkal Majalla"/>
          <w:sz w:val="28"/>
          <w:szCs w:val="28"/>
          <w:rtl/>
        </w:rPr>
      </w:pPr>
    </w:p>
    <w:p w14:paraId="7B3AF670" w14:textId="77777777" w:rsidR="00040F96" w:rsidRDefault="00040F96" w:rsidP="00040F96">
      <w:pPr>
        <w:spacing w:line="360" w:lineRule="auto"/>
        <w:rPr>
          <w:rFonts w:ascii="Sakkal Majalla" w:hAnsi="Sakkal Majalla" w:cs="Sakkal Majalla"/>
          <w:sz w:val="28"/>
          <w:szCs w:val="28"/>
          <w:rtl/>
        </w:rPr>
      </w:pPr>
    </w:p>
    <w:p w14:paraId="200D2924" w14:textId="77777777" w:rsidR="00040F96" w:rsidRDefault="00040F96" w:rsidP="00040F96">
      <w:pPr>
        <w:spacing w:line="360" w:lineRule="auto"/>
        <w:rPr>
          <w:rFonts w:ascii="Sakkal Majalla" w:hAnsi="Sakkal Majalla" w:cs="Sakkal Majalla"/>
          <w:sz w:val="28"/>
          <w:szCs w:val="28"/>
          <w:rtl/>
        </w:rPr>
      </w:pPr>
    </w:p>
    <w:p w14:paraId="33F006B2" w14:textId="77777777" w:rsidR="00040F96" w:rsidRPr="00847E70" w:rsidRDefault="00040F96" w:rsidP="00040F96">
      <w:pPr>
        <w:spacing w:line="360" w:lineRule="auto"/>
        <w:rPr>
          <w:rFonts w:ascii="Sakkal Majalla" w:hAnsi="Sakkal Majalla" w:cs="Sakkal Majalla"/>
          <w:sz w:val="28"/>
          <w:szCs w:val="28"/>
          <w:rtl/>
        </w:rPr>
      </w:pPr>
    </w:p>
    <w:p w14:paraId="1A3DB27C" w14:textId="77777777" w:rsidR="00040F96" w:rsidRPr="00365FB4" w:rsidRDefault="00040F96" w:rsidP="00040F96">
      <w:pPr>
        <w:pStyle w:val="Heading2"/>
        <w:rPr>
          <w:rtl/>
        </w:rPr>
      </w:pPr>
      <w:bookmarkStart w:id="42" w:name="_Toc191138781"/>
      <w:r w:rsidRPr="00365FB4">
        <w:rPr>
          <w:rtl/>
        </w:rPr>
        <w:t>الإطار النظري</w:t>
      </w:r>
      <w:bookmarkEnd w:id="40"/>
      <w:bookmarkEnd w:id="41"/>
      <w:bookmarkEnd w:id="42"/>
    </w:p>
    <w:p w14:paraId="4BF4EE07" w14:textId="77777777" w:rsidR="00040F96" w:rsidRPr="008C6507" w:rsidRDefault="00040F96" w:rsidP="00040F96">
      <w:pPr>
        <w:spacing w:after="0" w:line="360" w:lineRule="auto"/>
      </w:pPr>
    </w:p>
    <w:p w14:paraId="0E5C581D" w14:textId="77777777" w:rsidR="00040F96" w:rsidRDefault="004E244F" w:rsidP="00040F96">
      <w:pPr>
        <w:spacing w:after="0" w:line="360" w:lineRule="auto"/>
        <w:rPr>
          <w:rtl/>
        </w:rPr>
      </w:pPr>
      <w:r>
        <w:rPr>
          <w:noProof/>
        </w:rPr>
      </w:r>
      <w:r w:rsidR="004E244F">
        <w:rPr>
          <w:noProof/>
        </w:rPr>
        <w:object w:dxaOrig="8805" w:dyaOrig="2505" w14:anchorId="259CBA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15pt;height:125.35pt" o:ole="">
            <v:imagedata r:id="rId6" o:title=""/>
          </v:shape>
          <o:OLEObject Type="Embed" ProgID="Visio.Drawing.15" ShapeID="_x0000_i1025" DrawAspect="Content" ObjectID="_1815459568" r:id="rId7"/>
        </w:object>
      </w:r>
    </w:p>
    <w:p w14:paraId="07AD14A6" w14:textId="77777777" w:rsidR="00040F96" w:rsidRDefault="00040F96" w:rsidP="00040F96">
      <w:pPr>
        <w:pStyle w:val="Caption"/>
        <w:rPr>
          <w:rtl/>
        </w:rPr>
      </w:pPr>
    </w:p>
    <w:p w14:paraId="15FDDC0E" w14:textId="77777777" w:rsidR="00040F96" w:rsidRDefault="00040F96" w:rsidP="00040F96">
      <w:pPr>
        <w:pStyle w:val="Caption"/>
        <w:rPr>
          <w:rtl/>
        </w:rPr>
      </w:pPr>
      <w:bookmarkStart w:id="43" w:name="_Toc204781477"/>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w:t>
      </w:r>
      <w:r w:rsidRPr="00CC381D">
        <w:rPr>
          <w:rFonts w:cs="Arial" w:hint="eastAsia"/>
          <w:noProof/>
          <w:rtl/>
          <w:lang w:bidi="ar-EG"/>
        </w:rPr>
        <w:t>الإطار</w:t>
      </w:r>
      <w:r w:rsidRPr="00CC381D">
        <w:rPr>
          <w:rFonts w:cs="Arial"/>
          <w:noProof/>
          <w:rtl/>
          <w:lang w:bidi="ar-EG"/>
        </w:rPr>
        <w:t xml:space="preserve"> </w:t>
      </w:r>
      <w:r w:rsidRPr="00CC381D">
        <w:rPr>
          <w:rFonts w:cs="Arial" w:hint="eastAsia"/>
          <w:noProof/>
          <w:rtl/>
          <w:lang w:bidi="ar-EG"/>
        </w:rPr>
        <w:t>النظري</w:t>
      </w:r>
      <w:r w:rsidRPr="00CC381D">
        <w:rPr>
          <w:rFonts w:cs="Arial"/>
          <w:noProof/>
          <w:rtl/>
          <w:lang w:bidi="ar-EG"/>
        </w:rPr>
        <w:t xml:space="preserve"> </w:t>
      </w:r>
      <w:r w:rsidRPr="00CC381D">
        <w:rPr>
          <w:rFonts w:cs="Arial" w:hint="eastAsia"/>
          <w:noProof/>
          <w:rtl/>
          <w:lang w:bidi="ar-EG"/>
        </w:rPr>
        <w:t>للدراسة</w:t>
      </w:r>
      <w:bookmarkEnd w:id="43"/>
    </w:p>
    <w:p w14:paraId="46EFBDF5" w14:textId="77777777" w:rsidR="00040F96" w:rsidRDefault="00040F96" w:rsidP="00040F96">
      <w:pPr>
        <w:pStyle w:val="NoSpacing"/>
        <w:rPr>
          <w:rtl/>
        </w:rPr>
      </w:pPr>
    </w:p>
    <w:p w14:paraId="765734AB" w14:textId="77777777" w:rsidR="00040F96" w:rsidRDefault="00040F96" w:rsidP="00040F96">
      <w:pPr>
        <w:pStyle w:val="NoSpacing"/>
        <w:rPr>
          <w:rtl/>
        </w:rPr>
      </w:pPr>
    </w:p>
    <w:p w14:paraId="0A8C8E11" w14:textId="77777777" w:rsidR="00040F96" w:rsidRDefault="00040F96" w:rsidP="00040F96">
      <w:pPr>
        <w:pStyle w:val="NoSpacing"/>
        <w:rPr>
          <w:rtl/>
        </w:rPr>
      </w:pPr>
    </w:p>
    <w:p w14:paraId="4D32E516" w14:textId="77777777" w:rsidR="00040F96" w:rsidRDefault="00040F96" w:rsidP="00040F96">
      <w:pPr>
        <w:pStyle w:val="NoSpacing"/>
        <w:rPr>
          <w:rtl/>
        </w:rPr>
      </w:pPr>
    </w:p>
    <w:p w14:paraId="348B5EB3" w14:textId="77777777" w:rsidR="00040F96" w:rsidRDefault="00040F96" w:rsidP="00040F96">
      <w:pPr>
        <w:pStyle w:val="NoSpacing"/>
        <w:rPr>
          <w:rtl/>
        </w:rPr>
      </w:pPr>
    </w:p>
    <w:p w14:paraId="61BCCD78" w14:textId="77777777" w:rsidR="00040F96" w:rsidRDefault="00040F96" w:rsidP="00040F96">
      <w:pPr>
        <w:pStyle w:val="NoSpacing"/>
        <w:rPr>
          <w:rtl/>
        </w:rPr>
      </w:pPr>
    </w:p>
    <w:p w14:paraId="232369A2" w14:textId="77777777" w:rsidR="00040F96" w:rsidRDefault="00040F96" w:rsidP="00040F96">
      <w:pPr>
        <w:pStyle w:val="NoSpacing"/>
        <w:rPr>
          <w:rtl/>
        </w:rPr>
      </w:pPr>
    </w:p>
    <w:p w14:paraId="20983B0E" w14:textId="77777777" w:rsidR="00040F96" w:rsidRDefault="00040F96" w:rsidP="00040F96">
      <w:pPr>
        <w:pStyle w:val="NoSpacing"/>
        <w:rPr>
          <w:rtl/>
        </w:rPr>
      </w:pPr>
    </w:p>
    <w:p w14:paraId="0B1E3B57" w14:textId="77777777" w:rsidR="00040F96" w:rsidRDefault="00040F96" w:rsidP="00040F96">
      <w:pPr>
        <w:pStyle w:val="NoSpacing"/>
        <w:rPr>
          <w:rtl/>
        </w:rPr>
      </w:pPr>
    </w:p>
    <w:p w14:paraId="21D73560" w14:textId="77777777" w:rsidR="00040F96" w:rsidRDefault="00040F96" w:rsidP="00040F96">
      <w:pPr>
        <w:pStyle w:val="NoSpacing"/>
        <w:rPr>
          <w:rtl/>
        </w:rPr>
      </w:pPr>
    </w:p>
    <w:p w14:paraId="58276343" w14:textId="77777777" w:rsidR="00040F96" w:rsidRDefault="00040F96" w:rsidP="00040F96">
      <w:pPr>
        <w:pStyle w:val="NoSpacing"/>
        <w:rPr>
          <w:rtl/>
        </w:rPr>
      </w:pPr>
    </w:p>
    <w:p w14:paraId="7A17F4CD" w14:textId="77777777" w:rsidR="00040F96" w:rsidRDefault="00040F96" w:rsidP="00040F96">
      <w:pPr>
        <w:pStyle w:val="NoSpacing"/>
        <w:rPr>
          <w:rtl/>
        </w:rPr>
      </w:pPr>
    </w:p>
    <w:p w14:paraId="04175928" w14:textId="77777777" w:rsidR="00040F96" w:rsidRDefault="00040F96" w:rsidP="00040F96">
      <w:pPr>
        <w:pStyle w:val="NoSpacing"/>
        <w:rPr>
          <w:rtl/>
        </w:rPr>
      </w:pPr>
    </w:p>
    <w:p w14:paraId="0EC4109A" w14:textId="77777777" w:rsidR="00040F96" w:rsidRDefault="00040F96" w:rsidP="00040F96">
      <w:pPr>
        <w:pStyle w:val="NoSpacing"/>
        <w:rPr>
          <w:rtl/>
        </w:rPr>
      </w:pPr>
    </w:p>
    <w:p w14:paraId="12BD98D9" w14:textId="77777777" w:rsidR="00040F96" w:rsidRDefault="00040F96" w:rsidP="00040F96">
      <w:pPr>
        <w:pStyle w:val="NoSpacing"/>
        <w:rPr>
          <w:rtl/>
        </w:rPr>
      </w:pPr>
    </w:p>
    <w:p w14:paraId="0E9D7974" w14:textId="77777777" w:rsidR="00040F96" w:rsidRDefault="00040F96" w:rsidP="00040F96">
      <w:pPr>
        <w:pStyle w:val="NoSpacing"/>
        <w:rPr>
          <w:rtl/>
        </w:rPr>
      </w:pPr>
    </w:p>
    <w:p w14:paraId="4A490898" w14:textId="77777777" w:rsidR="00040F96" w:rsidRDefault="00040F96" w:rsidP="00040F96">
      <w:pPr>
        <w:pStyle w:val="NoSpacing"/>
        <w:rPr>
          <w:rtl/>
        </w:rPr>
      </w:pPr>
      <w:r>
        <w:rPr>
          <w:rtl/>
        </w:rPr>
        <w:t>تستند هذه الدراسة إلى مجموعة من النظريات العلمية التي تقدم الأسس المفاهيمية لدراسة كيفية تعزيز الذكاء الاصطناعي لجودة الخدمات المالية التي تقدمها البنوك الإسلامية. ويساعد هذا الإطار على بناء فهم شامل للعلاقات بين المتغيرات قيد الدراسة وأبعادها المتعددة. وفيما يلي عرض لأهم النظريات ذات الصلة:</w:t>
      </w:r>
    </w:p>
    <w:p w14:paraId="6EDB848F" w14:textId="77777777" w:rsidR="00040F96" w:rsidRDefault="00040F96" w:rsidP="00040F96">
      <w:pPr>
        <w:pStyle w:val="NoSpacing"/>
        <w:rPr>
          <w:rtl/>
        </w:rPr>
      </w:pPr>
    </w:p>
    <w:p w14:paraId="76795DE1" w14:textId="77777777" w:rsidR="00040F96" w:rsidRDefault="00040F96" w:rsidP="00040F96">
      <w:pPr>
        <w:pStyle w:val="Style1"/>
        <w:rPr>
          <w:rtl/>
        </w:rPr>
      </w:pPr>
      <w:r>
        <w:rPr>
          <w:rtl/>
        </w:rPr>
        <w:t>نظرية انتشار الابتكار (</w:t>
      </w:r>
      <w:r>
        <w:t>Diffusion of Innovation Theory</w:t>
      </w:r>
      <w:r>
        <w:rPr>
          <w:rtl/>
        </w:rPr>
        <w:t>)</w:t>
      </w:r>
    </w:p>
    <w:p w14:paraId="29136B5D" w14:textId="77777777" w:rsidR="00040F96" w:rsidRDefault="00040F96" w:rsidP="00040F96">
      <w:pPr>
        <w:pStyle w:val="NoSpacing"/>
        <w:rPr>
          <w:rtl/>
        </w:rPr>
      </w:pPr>
      <w:r>
        <w:rPr>
          <w:rtl/>
        </w:rPr>
        <w:t>تُعد هذه النظرية من أكثر الأفكار شمولًا لوصف كيفية انتشار الاختراقات التقنية واعتمادها داخل الشركات. وضعت هذه النظرية من قبل إيفريت روجرز لتوضح المراحل التي تمر بها المؤسسات عند تطبيق الابتكارات بدءًا من مرحلة الوعي بالتقنية الجديدة مرورًا بالتقييم والاختبار وصولًا إلى التبني الكامل. ووفقًا لهذه النظرية، يؤثر عدد من العوامل على معدل ونطاق انتشار الابتكار مثل الفوائد النسبية للتقنية، وسهولة الاستخدام، ومدى توافق الابتكار مع قيم المؤسسة وإجراءاتها القائمة. تساعد هذه النظرية على فهم مدى استعداد البنوك الإسلامية لتبني تقنيات الذكاء الاصطناعي وتحديد العوائق المحتملة أمام هذا التبني، خصوصًا في ظل الحاجة إلى ضمان التزام الابتكارات بأحكام الشريعة الإسلامية والمعايير التنظيمية. كما تفسر هذه النظرية التباين بين البنوك في جاهزيتها التقنية وقدرتها على الاستفادة من الإمكانات الكبيرة التي يوفرها الذكاء الاصطناعي</w:t>
      </w:r>
      <w:sdt>
        <w:sdtPr>
          <w:rPr>
            <w:rtl/>
          </w:rPr>
          <w:id w:val="-150019553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Dea10 \l 3073</w:instrText>
          </w:r>
          <w:r>
            <w:rPr>
              <w:rtl/>
            </w:rPr>
            <w:instrText xml:space="preserve"> </w:instrText>
          </w:r>
          <w:r>
            <w:rPr>
              <w:rtl/>
            </w:rPr>
            <w:fldChar w:fldCharType="separate"/>
          </w:r>
          <w:r>
            <w:rPr>
              <w:noProof/>
              <w:rtl/>
            </w:rPr>
            <w:t xml:space="preserve"> </w:t>
          </w:r>
          <w:r>
            <w:rPr>
              <w:rFonts w:hint="cs"/>
              <w:noProof/>
              <w:rtl/>
            </w:rPr>
            <w:t>(</w:t>
          </w:r>
          <w:r>
            <w:rPr>
              <w:rFonts w:hint="cs"/>
              <w:noProof/>
            </w:rPr>
            <w:t>Dearing</w:t>
          </w:r>
          <w:r>
            <w:rPr>
              <w:rFonts w:hint="cs"/>
              <w:noProof/>
              <w:rtl/>
            </w:rPr>
            <w:t>، 2010)</w:t>
          </w:r>
          <w:r>
            <w:rPr>
              <w:rtl/>
            </w:rPr>
            <w:fldChar w:fldCharType="end"/>
          </w:r>
        </w:sdtContent>
      </w:sdt>
      <w:r>
        <w:rPr>
          <w:rtl/>
        </w:rPr>
        <w:t>.</w:t>
      </w:r>
    </w:p>
    <w:p w14:paraId="690A948B" w14:textId="77777777" w:rsidR="00040F96" w:rsidRDefault="00040F96" w:rsidP="00040F96">
      <w:pPr>
        <w:pStyle w:val="NoSpacing"/>
        <w:rPr>
          <w:rtl/>
        </w:rPr>
      </w:pPr>
    </w:p>
    <w:p w14:paraId="55F17675" w14:textId="77777777" w:rsidR="00040F96" w:rsidRDefault="00040F96" w:rsidP="00040F96">
      <w:pPr>
        <w:pStyle w:val="Style1"/>
        <w:rPr>
          <w:rtl/>
        </w:rPr>
      </w:pPr>
      <w:r>
        <w:rPr>
          <w:rtl/>
        </w:rPr>
        <w:t>نظرية إدارة الجودة الشاملة (</w:t>
      </w:r>
      <w:r>
        <w:t>Total Quality Management – TQM</w:t>
      </w:r>
      <w:r>
        <w:rPr>
          <w:rtl/>
        </w:rPr>
        <w:t>)</w:t>
      </w:r>
    </w:p>
    <w:p w14:paraId="2B5A37CD" w14:textId="77777777" w:rsidR="00040F96" w:rsidRDefault="00040F96" w:rsidP="00040F96">
      <w:pPr>
        <w:pStyle w:val="NoSpacing"/>
        <w:rPr>
          <w:rtl/>
        </w:rPr>
      </w:pPr>
      <w:r>
        <w:rPr>
          <w:rtl/>
        </w:rPr>
        <w:t>ترى هذه النظرية أن تحسين جودة الخدمات لا يمكن تحقيقه إلا من خلال التزام كامل من جميع المستويات التنظيمية بثقافة التحسين المستمر ونهج يركز على العملاء. وترتكز إدارة الجودة الشاملة على مبادئ أساسية مثل إشراك كل الموظفين في جهود التطوير، واتخاذ القرارات بناءً على بيانات موثوقة، وبناء علاقات طويلة الأمد مع العملاء. في ضوء هذه النظرية، يمكن اعتبار الذكاء الاصطناعي أداة استراتيجية تسهم في تعزيز تطبيق مبادئ الجودة الشاملة في البنوك الإسلامية. حيث تعمل التقنيات الذكية على تحسين دقة العمليات المالية، وتقليل الأخطاء البشرية، ورفع الكفاءة التشغيلية، وهو ما يؤدي إلى تحسين جودة الخدمات وزيادة رضا العملاء وتحقيق ميزة تنافسية واضحة. كما تساعد هذه النظرية على توضيح كيفية دمج تقنيات الذكاء الاصطناعي في مختلف جوانب العمليات المصرفية لتعزيز التطوير المستمر</w:t>
      </w:r>
      <w:sdt>
        <w:sdtPr>
          <w:rPr>
            <w:rtl/>
          </w:rPr>
          <w:id w:val="1850443245"/>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Abd235 \l 3073</w:instrText>
          </w:r>
          <w:r>
            <w:rPr>
              <w:rtl/>
            </w:rPr>
            <w:instrText xml:space="preserve"> </w:instrText>
          </w:r>
          <w:r>
            <w:rPr>
              <w:rtl/>
            </w:rPr>
            <w:fldChar w:fldCharType="separate"/>
          </w:r>
          <w:r>
            <w:rPr>
              <w:noProof/>
              <w:rtl/>
            </w:rPr>
            <w:t xml:space="preserve"> </w:t>
          </w:r>
          <w:r>
            <w:rPr>
              <w:rFonts w:hint="cs"/>
              <w:noProof/>
              <w:rtl/>
            </w:rPr>
            <w:t>(</w:t>
          </w:r>
          <w:r>
            <w:rPr>
              <w:rFonts w:hint="cs"/>
              <w:noProof/>
            </w:rPr>
            <w:t>Abdulkadir</w:t>
          </w:r>
          <w:r>
            <w:rPr>
              <w:rFonts w:hint="cs"/>
              <w:noProof/>
              <w:rtl/>
            </w:rPr>
            <w:t>، 2023)</w:t>
          </w:r>
          <w:r>
            <w:rPr>
              <w:rtl/>
            </w:rPr>
            <w:fldChar w:fldCharType="end"/>
          </w:r>
        </w:sdtContent>
      </w:sdt>
      <w:r>
        <w:rPr>
          <w:rtl/>
        </w:rPr>
        <w:t>.</w:t>
      </w:r>
    </w:p>
    <w:p w14:paraId="3F1B9062" w14:textId="77777777" w:rsidR="00040F96" w:rsidRDefault="00040F96" w:rsidP="00040F96">
      <w:pPr>
        <w:pStyle w:val="NoSpacing"/>
        <w:rPr>
          <w:rtl/>
        </w:rPr>
      </w:pPr>
    </w:p>
    <w:p w14:paraId="1F7EE26F" w14:textId="77777777" w:rsidR="00040F96" w:rsidRDefault="00040F96" w:rsidP="00040F96">
      <w:pPr>
        <w:pStyle w:val="Style1"/>
        <w:rPr>
          <w:rtl/>
        </w:rPr>
      </w:pPr>
      <w:r>
        <w:rPr>
          <w:rtl/>
        </w:rPr>
        <w:t>نظرية رضا العملاء (</w:t>
      </w:r>
      <w:r>
        <w:t>Customer Satisfaction Theory</w:t>
      </w:r>
      <w:r>
        <w:rPr>
          <w:rtl/>
        </w:rPr>
        <w:t>)</w:t>
      </w:r>
    </w:p>
    <w:p w14:paraId="61C18634" w14:textId="77777777" w:rsidR="00040F96" w:rsidRDefault="00040F96" w:rsidP="00040F96">
      <w:pPr>
        <w:pStyle w:val="NoSpacing"/>
        <w:rPr>
          <w:rtl/>
        </w:rPr>
      </w:pPr>
      <w:r>
        <w:rPr>
          <w:rtl/>
        </w:rPr>
        <w:t>تقوم هذه النظرية على فكرة أن جودة الخدمات التي تقدمها المؤسسة ترتبط ارتباطًا مباشرًا بمستوى رضا العملاء. فعندما يشعر العملاء بأن المنتجات والخدمات المقدمة تلبي توقعاتهم واحتياجاتهم، فإن ذلك يعزز ولاءهم واستمرار تعاملهم مع المؤسسة. أما في حالة تدني مستوى جودة الخدمات أو تعقيدها، فإن ذلك يؤدي إلى انخفاض رضا العملاء وتراجع ثقتهم بالمؤسسة. ترتبط هذه النظرية بشكل وثيق بموضوع الدراسة، حيث يمكن للذكاء الاصطناعي أن يسهم في تعزيز رضا العملاء من خلال تقديم خدمات سريعة ودقيقة ومخصصة تتناسب مع احتياجات كل عميل. كما تساعد هذه النظرية على فهم التأثير المتوقع لتبني الذكاء الاصطناعي في البنوك الإسلامية على رضا العملاء، لا سيما إذا كانت هذه الخدمات تلتزم بأحكام الشريعة الإسلامية التي تعد قيمة أساسية للعملاء في هذا القطاع</w:t>
      </w:r>
      <w:sdt>
        <w:sdtPr>
          <w:rPr>
            <w:rtl/>
          </w:rPr>
          <w:id w:val="7779960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Sin23 \l 3073</w:instrText>
          </w:r>
          <w:r>
            <w:rPr>
              <w:rtl/>
            </w:rPr>
            <w:instrText xml:space="preserve"> </w:instrText>
          </w:r>
          <w:r>
            <w:rPr>
              <w:rtl/>
            </w:rPr>
            <w:fldChar w:fldCharType="separate"/>
          </w:r>
          <w:r>
            <w:rPr>
              <w:noProof/>
              <w:rtl/>
            </w:rPr>
            <w:t xml:space="preserve"> </w:t>
          </w:r>
          <w:r>
            <w:rPr>
              <w:rFonts w:hint="cs"/>
              <w:noProof/>
              <w:rtl/>
            </w:rPr>
            <w:t>(</w:t>
          </w:r>
          <w:r>
            <w:rPr>
              <w:rFonts w:hint="cs"/>
              <w:noProof/>
            </w:rPr>
            <w:t>Singh</w:t>
          </w:r>
          <w:r>
            <w:rPr>
              <w:rFonts w:hint="cs"/>
              <w:noProof/>
              <w:rtl/>
            </w:rPr>
            <w:t>، 2023)</w:t>
          </w:r>
          <w:r>
            <w:rPr>
              <w:rtl/>
            </w:rPr>
            <w:fldChar w:fldCharType="end"/>
          </w:r>
        </w:sdtContent>
      </w:sdt>
      <w:r>
        <w:rPr>
          <w:rtl/>
        </w:rPr>
        <w:t>.</w:t>
      </w:r>
    </w:p>
    <w:p w14:paraId="5846567A" w14:textId="77777777" w:rsidR="00040F96" w:rsidRDefault="00040F96" w:rsidP="00040F96">
      <w:pPr>
        <w:pStyle w:val="NoSpacing"/>
        <w:rPr>
          <w:rtl/>
        </w:rPr>
      </w:pPr>
    </w:p>
    <w:p w14:paraId="1D705B24" w14:textId="77777777" w:rsidR="00040F96" w:rsidRDefault="00040F96" w:rsidP="00040F96">
      <w:pPr>
        <w:pStyle w:val="Style1"/>
        <w:rPr>
          <w:rtl/>
        </w:rPr>
      </w:pPr>
      <w:r>
        <w:rPr>
          <w:rtl/>
        </w:rPr>
        <w:t>نظرية الميزة التنافسية (</w:t>
      </w:r>
      <w:r>
        <w:t>Competitive Advantage Theory</w:t>
      </w:r>
      <w:r>
        <w:rPr>
          <w:rtl/>
        </w:rPr>
        <w:t>)</w:t>
      </w:r>
    </w:p>
    <w:p w14:paraId="7A653F3A" w14:textId="77777777" w:rsidR="00040F96" w:rsidRDefault="00040F96" w:rsidP="00040F96">
      <w:pPr>
        <w:pStyle w:val="NoSpacing"/>
        <w:rPr>
          <w:rtl/>
        </w:rPr>
      </w:pPr>
      <w:r>
        <w:rPr>
          <w:rtl/>
        </w:rPr>
        <w:t>تعد هذه النظرية من أهم النظريات في مجال الإدارة الاستراتيجية، إذ تركز على قدرة المؤسسات على التفوق على منافسيها من خلال تبني استراتيجيات وتقنيات مبتكرة تضيف قيمة يصعب تقليدها. يمكن تحقيق هذه الميزة عبر تقديم خدمات عالية الجودة، أو تحسين الكفاءة التشغيلية، أو بناء علاقات قوية مع العملاء. في سياق البنوك الإسلامية، توضح هذه النظرية كيف يمكن لتبني تقنيات الذكاء الاصطناعي أن يعزز القدرة التنافسية من خلال تقديم خدمات مبتكرة ومتوافقة مع أحكام الشريعة، وهو ما يمنح البنوك الإسلامية ميزة واضحة في الأسواق المحلية والدولية. كما تشير النظرية إلى أن عدم تبني هذه التقنيات قد يؤدي إلى فقدان القدرة التنافسية، خاصة في ظل تسارع التحول الرقمي في القطاع المصرفي العالمي</w:t>
      </w:r>
      <w:sdt>
        <w:sdtPr>
          <w:rPr>
            <w:rtl/>
          </w:rPr>
          <w:id w:val="-414404846"/>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Wan14 \l 3073</w:instrText>
          </w:r>
          <w:r>
            <w:rPr>
              <w:rtl/>
            </w:rPr>
            <w:instrText xml:space="preserve"> </w:instrText>
          </w:r>
          <w:r>
            <w:rPr>
              <w:rtl/>
            </w:rPr>
            <w:fldChar w:fldCharType="separate"/>
          </w:r>
          <w:r>
            <w:rPr>
              <w:noProof/>
              <w:rtl/>
            </w:rPr>
            <w:t xml:space="preserve"> </w:t>
          </w:r>
          <w:r>
            <w:rPr>
              <w:rFonts w:hint="cs"/>
              <w:noProof/>
              <w:rtl/>
            </w:rPr>
            <w:t>(</w:t>
          </w:r>
          <w:r>
            <w:rPr>
              <w:rFonts w:hint="cs"/>
              <w:noProof/>
            </w:rPr>
            <w:t>Wang H.-L.</w:t>
          </w:r>
          <w:r>
            <w:rPr>
              <w:rFonts w:hint="cs"/>
              <w:noProof/>
              <w:rtl/>
            </w:rPr>
            <w:t>، 2014)</w:t>
          </w:r>
          <w:r>
            <w:rPr>
              <w:rtl/>
            </w:rPr>
            <w:fldChar w:fldCharType="end"/>
          </w:r>
        </w:sdtContent>
      </w:sdt>
      <w:r>
        <w:rPr>
          <w:rtl/>
        </w:rPr>
        <w:t>.</w:t>
      </w:r>
    </w:p>
    <w:p w14:paraId="19379B65" w14:textId="77777777" w:rsidR="00040F96" w:rsidRDefault="00040F96" w:rsidP="00040F96">
      <w:pPr>
        <w:pStyle w:val="NoSpacing"/>
        <w:rPr>
          <w:rtl/>
        </w:rPr>
      </w:pPr>
    </w:p>
    <w:p w14:paraId="055126F8" w14:textId="77777777" w:rsidR="00040F96" w:rsidRDefault="00040F96" w:rsidP="00040F96">
      <w:pPr>
        <w:pStyle w:val="NoSpacing"/>
        <w:rPr>
          <w:rtl/>
        </w:rPr>
      </w:pPr>
      <w:r>
        <w:rPr>
          <w:rtl/>
        </w:rPr>
        <w:t>تُستخدم هذه النظريات الأربع في هذه الدراسة لتقديم تفسيرات متكاملة للظاهرة قيد البحث. حيث تفسر نظرية الابتكار التكنولوجي واقع تبني البنوك الإسلامية لتقنيات الذكاء الاصطناعي، بينما توضح نظرية إدارة الجودة الشاملة كيف تسهم هذه التقنيات في تحسين جودة الخدمات. وتربط نظرية رضا العملاء بين جودة الخدمات ورضا العملاء وولائهم، في حين توفر نظرية الميزة التنافسية إطارًا لفهم أثر تبني الذكاء الاصطناعي على مكانة البنوك الإسلامية في الأسواق. ويتيح هذا التكامل النظري تحليل الظاهرة المدروسة بصورة شمولية وأكثر دقة.</w:t>
      </w:r>
    </w:p>
    <w:p w14:paraId="3BD4BBF0" w14:textId="1550B131" w:rsidR="000364AD" w:rsidRDefault="00040F96" w:rsidP="00040F96">
      <w:r w:rsidRPr="008C6507">
        <w:br/>
      </w:r>
      <w:bookmarkEnd w:id="0"/>
    </w:p>
    <w:sectPr w:rsidR="000364AD" w:rsidSect="000364A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76CA3"/>
    <w:multiLevelType w:val="hybridMultilevel"/>
    <w:tmpl w:val="DF4881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54288C"/>
    <w:multiLevelType w:val="hybridMultilevel"/>
    <w:tmpl w:val="7D6AA8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3A233B8"/>
    <w:multiLevelType w:val="hybridMultilevel"/>
    <w:tmpl w:val="50762A2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105501A"/>
    <w:multiLevelType w:val="hybridMultilevel"/>
    <w:tmpl w:val="81D8B5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82153F0"/>
    <w:multiLevelType w:val="hybridMultilevel"/>
    <w:tmpl w:val="B3F404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3975B3"/>
    <w:multiLevelType w:val="hybridMultilevel"/>
    <w:tmpl w:val="7EE6A35C"/>
    <w:lvl w:ilvl="0" w:tplc="A65A3DC4">
      <w:start w:val="1"/>
      <w:numFmt w:val="bullet"/>
      <w:pStyle w:val="Style1"/>
      <w:lvlText w:val=""/>
      <w:lvlJc w:val="left"/>
      <w:pPr>
        <w:ind w:left="643"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98508201">
    <w:abstractNumId w:val="5"/>
  </w:num>
  <w:num w:numId="2" w16cid:durableId="1576351754">
    <w:abstractNumId w:val="2"/>
  </w:num>
  <w:num w:numId="3" w16cid:durableId="2109231142">
    <w:abstractNumId w:val="4"/>
  </w:num>
  <w:num w:numId="4" w16cid:durableId="999892707">
    <w:abstractNumId w:val="0"/>
  </w:num>
  <w:num w:numId="5" w16cid:durableId="1984501509">
    <w:abstractNumId w:val="3"/>
  </w:num>
  <w:num w:numId="6" w16cid:durableId="4497121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855"/>
    <w:rsid w:val="00002B16"/>
    <w:rsid w:val="000364AD"/>
    <w:rsid w:val="00040F96"/>
    <w:rsid w:val="002E45BD"/>
    <w:rsid w:val="00331F56"/>
    <w:rsid w:val="00394855"/>
    <w:rsid w:val="004978DA"/>
    <w:rsid w:val="004E244F"/>
    <w:rsid w:val="004F6740"/>
    <w:rsid w:val="00573EBA"/>
    <w:rsid w:val="008A3771"/>
    <w:rsid w:val="00A35F68"/>
    <w:rsid w:val="00A749B0"/>
    <w:rsid w:val="00D74C8E"/>
    <w:rsid w:val="00EF083E"/>
    <w:rsid w:val="00F56B0B"/>
    <w:rsid w:val="00F77B4F"/>
    <w:rsid w:val="00F979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BECB30F8-63D4-470D-B020-1EE300A0D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F96"/>
    <w:pPr>
      <w:bidi/>
      <w:spacing w:line="259" w:lineRule="auto"/>
    </w:pPr>
    <w:rPr>
      <w:sz w:val="22"/>
      <w:szCs w:val="22"/>
    </w:rPr>
  </w:style>
  <w:style w:type="paragraph" w:styleId="Heading1">
    <w:name w:val="heading 1"/>
    <w:basedOn w:val="Normal"/>
    <w:next w:val="Normal"/>
    <w:link w:val="Heading1Char"/>
    <w:uiPriority w:val="9"/>
    <w:qFormat/>
    <w:rsid w:val="003948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948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48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48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48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48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48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48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48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855"/>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394855"/>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394855"/>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394855"/>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394855"/>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394855"/>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394855"/>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394855"/>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394855"/>
    <w:rPr>
      <w:rFonts w:eastAsiaTheme="majorEastAsia" w:cstheme="majorBidi"/>
      <w:noProof/>
      <w:color w:val="272727" w:themeColor="text1" w:themeTint="D8"/>
    </w:rPr>
  </w:style>
  <w:style w:type="paragraph" w:styleId="Title">
    <w:name w:val="Title"/>
    <w:basedOn w:val="Normal"/>
    <w:next w:val="Normal"/>
    <w:link w:val="TitleChar"/>
    <w:uiPriority w:val="10"/>
    <w:qFormat/>
    <w:rsid w:val="003948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4855"/>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3948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4855"/>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394855"/>
    <w:pPr>
      <w:spacing w:before="160"/>
      <w:jc w:val="center"/>
    </w:pPr>
    <w:rPr>
      <w:i/>
      <w:iCs/>
      <w:color w:val="404040" w:themeColor="text1" w:themeTint="BF"/>
    </w:rPr>
  </w:style>
  <w:style w:type="character" w:customStyle="1" w:styleId="QuoteChar">
    <w:name w:val="Quote Char"/>
    <w:basedOn w:val="DefaultParagraphFont"/>
    <w:link w:val="Quote"/>
    <w:uiPriority w:val="29"/>
    <w:rsid w:val="00394855"/>
    <w:rPr>
      <w:i/>
      <w:iCs/>
      <w:noProof/>
      <w:color w:val="404040" w:themeColor="text1" w:themeTint="BF"/>
    </w:rPr>
  </w:style>
  <w:style w:type="paragraph" w:styleId="ListParagraph">
    <w:name w:val="List Paragraph"/>
    <w:basedOn w:val="Normal"/>
    <w:uiPriority w:val="34"/>
    <w:qFormat/>
    <w:rsid w:val="00394855"/>
    <w:pPr>
      <w:ind w:left="720"/>
      <w:contextualSpacing/>
    </w:pPr>
  </w:style>
  <w:style w:type="character" w:styleId="IntenseEmphasis">
    <w:name w:val="Intense Emphasis"/>
    <w:basedOn w:val="DefaultParagraphFont"/>
    <w:uiPriority w:val="21"/>
    <w:qFormat/>
    <w:rsid w:val="00394855"/>
    <w:rPr>
      <w:i/>
      <w:iCs/>
      <w:color w:val="0F4761" w:themeColor="accent1" w:themeShade="BF"/>
    </w:rPr>
  </w:style>
  <w:style w:type="paragraph" w:styleId="IntenseQuote">
    <w:name w:val="Intense Quote"/>
    <w:basedOn w:val="Normal"/>
    <w:next w:val="Normal"/>
    <w:link w:val="IntenseQuoteChar"/>
    <w:uiPriority w:val="30"/>
    <w:qFormat/>
    <w:rsid w:val="003948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4855"/>
    <w:rPr>
      <w:i/>
      <w:iCs/>
      <w:noProof/>
      <w:color w:val="0F4761" w:themeColor="accent1" w:themeShade="BF"/>
    </w:rPr>
  </w:style>
  <w:style w:type="character" w:styleId="IntenseReference">
    <w:name w:val="Intense Reference"/>
    <w:basedOn w:val="DefaultParagraphFont"/>
    <w:uiPriority w:val="32"/>
    <w:qFormat/>
    <w:rsid w:val="00394855"/>
    <w:rPr>
      <w:b/>
      <w:bCs/>
      <w:smallCaps/>
      <w:color w:val="0F4761" w:themeColor="accent1" w:themeShade="BF"/>
      <w:spacing w:val="5"/>
    </w:rPr>
  </w:style>
  <w:style w:type="paragraph" w:styleId="Caption">
    <w:name w:val="caption"/>
    <w:basedOn w:val="Normal"/>
    <w:next w:val="Normal"/>
    <w:uiPriority w:val="35"/>
    <w:unhideWhenUsed/>
    <w:qFormat/>
    <w:rsid w:val="00040F96"/>
    <w:pPr>
      <w:spacing w:after="200" w:line="240" w:lineRule="auto"/>
      <w:jc w:val="center"/>
    </w:pPr>
    <w:rPr>
      <w:i/>
      <w:iCs/>
      <w:color w:val="0E2841" w:themeColor="text2"/>
      <w:sz w:val="18"/>
      <w:szCs w:val="18"/>
    </w:rPr>
  </w:style>
  <w:style w:type="paragraph" w:styleId="NoSpacing">
    <w:name w:val="No Spacing"/>
    <w:basedOn w:val="Normal"/>
    <w:link w:val="NoSpacingChar"/>
    <w:uiPriority w:val="1"/>
    <w:qFormat/>
    <w:rsid w:val="00040F96"/>
    <w:pPr>
      <w:spacing w:after="0" w:line="360" w:lineRule="auto"/>
      <w:jc w:val="both"/>
    </w:pPr>
    <w:rPr>
      <w:rFonts w:ascii="Sakkal Majalla" w:hAnsi="Sakkal Majalla" w:cs="Sakkal Majalla"/>
      <w:sz w:val="28"/>
      <w:szCs w:val="28"/>
      <w:lang w:bidi="ar-EG"/>
    </w:rPr>
  </w:style>
  <w:style w:type="paragraph" w:customStyle="1" w:styleId="Style1">
    <w:name w:val="Style1"/>
    <w:basedOn w:val="NoSpacing"/>
    <w:link w:val="Style1Char"/>
    <w:qFormat/>
    <w:rsid w:val="00040F96"/>
    <w:pPr>
      <w:numPr>
        <w:numId w:val="1"/>
      </w:numPr>
      <w:ind w:left="720"/>
    </w:pPr>
    <w:rPr>
      <w:b/>
      <w:bCs/>
    </w:rPr>
  </w:style>
  <w:style w:type="character" w:customStyle="1" w:styleId="NoSpacingChar">
    <w:name w:val="No Spacing Char"/>
    <w:basedOn w:val="DefaultParagraphFont"/>
    <w:link w:val="NoSpacing"/>
    <w:uiPriority w:val="1"/>
    <w:rsid w:val="00040F96"/>
    <w:rPr>
      <w:rFonts w:ascii="Sakkal Majalla" w:hAnsi="Sakkal Majalla" w:cs="Sakkal Majalla"/>
      <w:sz w:val="28"/>
      <w:szCs w:val="28"/>
      <w:lang w:bidi="ar-EG"/>
    </w:rPr>
  </w:style>
  <w:style w:type="character" w:customStyle="1" w:styleId="Style1Char">
    <w:name w:val="Style1 Char"/>
    <w:basedOn w:val="NoSpacingChar"/>
    <w:link w:val="Style1"/>
    <w:rsid w:val="00040F96"/>
    <w:rPr>
      <w:rFonts w:ascii="Sakkal Majalla"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package" Target="embeddings/Microsoft_Visio_Drawing.vsdx"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emf"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Map23</b:Tag>
    <b:SourceType>JournalArticle</b:SourceType>
    <b:Guid>{110269CC-7E9F-4556-96F7-7DF4749100D0}</b:Guid>
    <b:Author>
      <b:Author>
        <b:NameList>
          <b:Person>
            <b:Last>Maple</b:Last>
            <b:First>Carsten</b:First>
          </b:Person>
        </b:NameList>
      </b:Author>
    </b:Author>
    <b:Title>The AI Revolution: Opportunities and Challenges for the Finance Sector</b:Title>
    <b:Year>2023</b:Year>
    <b:URL>https://www.researchgate.net/publication/373552066_The_AI_Revolution_Opportunities_and_Challenges_for_the_Finance_Sector</b:URL>
    <b:RefOrder>1</b:RefOrder>
  </b:Source>
  <b:Source>
    <b:Tag>Nor241</b:Tag>
    <b:SourceType>JournalArticle</b:SourceType>
    <b:Guid>{9309E86C-F362-46F9-B196-CD09C73AE98C}</b:Guid>
    <b:Author>
      <b:Author>
        <b:NameList>
          <b:Person>
            <b:Last>Norchaevna</b:Last>
            <b:First>Norchaeva</b:First>
            <b:Middle>Sabrina</b:Middle>
          </b:Person>
        </b:NameList>
      </b:Author>
    </b:Author>
    <b:Title>Islamic Finance: Principles, Governance, Sustainability and Investment Insights</b:Title>
    <b:Year>2024</b:Year>
    <b:URL>https://www.researchgate.net/publication/387593371_Islamic_Finance_Principles_Governance_Sustainability_and_Investment_Insights</b:URL>
    <b:RefOrder>2</b:RefOrder>
  </b:Source>
  <b:Source>
    <b:Tag>Per23</b:Tag>
    <b:SourceType>JournalArticle</b:SourceType>
    <b:Guid>{31FBF108-818B-43F6-A854-BBBDEE68D33C}</b:Guid>
    <b:Author>
      <b:Author>
        <b:NameList>
          <b:Person>
            <b:Last>Perifanis</b:Last>
            <b:First>Nikolaos-Alexandros</b:First>
          </b:Person>
        </b:NameList>
      </b:Author>
    </b:Author>
    <b:Title>Investigating the Influence of Artificial Intelligence on Business Value in the Digital Era of Strategy: A Literature Review</b:Title>
    <b:Year>2023</b:Year>
    <b:URL>https://www.mdpi.com/2078-2489/14/2/85</b:URL>
    <b:RefOrder>3</b:RefOrder>
  </b:Source>
  <b:Source>
    <b:Tag>Kis23</b:Tag>
    <b:SourceType>JournalArticle</b:SourceType>
    <b:Guid>{19F07253-6261-42C3-BD7F-BEF14837E573}</b:Guid>
    <b:Author>
      <b:Author>
        <b:NameList>
          <b:Person>
            <b:Last>Kismawadi</b:Last>
            <b:First>Early</b:First>
            <b:Middle>Ridho</b:Middle>
          </b:Person>
        </b:NameList>
      </b:Author>
    </b:Author>
    <b:Title>Revolutionizing Islamic Finance: Artificial Intelligence's Role in the Future of Industry</b:Title>
    <b:Year>2023</b:Year>
    <b:URL>https://www.researchgate.net/publication/374372150_Revolutionizing_Islamic_Finance_Artificial_Intelligence's_Role_in_the_Future_of_Industry</b:URL>
    <b:RefOrder>4</b:RefOrder>
  </b:Source>
  <b:Source>
    <b:Tag>Ham24</b:Tag>
    <b:SourceType>JournalArticle</b:SourceType>
    <b:Guid>{103BC29C-CE6F-4510-9C79-08A9E528431D}</b:Guid>
    <b:Author>
      <b:Author>
        <b:NameList>
          <b:Person>
            <b:Last>Hamadou</b:Last>
            <b:First>Issa</b:First>
          </b:Person>
        </b:NameList>
      </b:Author>
    </b:Author>
    <b:Title>Unleashing the power of artificial intelligence in Islamic banking: A case study of Bank Syariah Indonesia (BSI)</b:Title>
    <b:Year>2024</b:Year>
    <b:URL>https://mf-journal.com/article/view/116</b:URL>
    <b:RefOrder>5</b:RefOrder>
  </b:Source>
  <b:Source>
    <b:Tag>Nwa241</b:Tag>
    <b:SourceType>JournalArticle</b:SourceType>
    <b:Guid>{7CF46127-7482-4CB3-9CE5-F477AE501C57}</b:Guid>
    <b:Author>
      <b:Author>
        <b:NameList>
          <b:Person>
            <b:Last>Nwafor</b:Last>
            <b:First>Kenneth</b:First>
          </b:Person>
        </b:NameList>
      </b:Author>
    </b:Author>
    <b:Title>Mitigating cybersecurity risks in financial institutions: The role of AI and data analytics</b:Title>
    <b:Year>2024</b:Year>
    <b:URL>https://www.researchgate.net/publication/385217807_Mitigating_cybersecurity_risks_in_financial_institutions_The_role_of_AI_and_data_analytics</b:URL>
    <b:RefOrder>6</b:RefOrder>
  </b:Source>
  <b:Source>
    <b:Tag>Sai25</b:Tag>
    <b:SourceType>JournalArticle</b:SourceType>
    <b:Guid>{B8A9FA88-F37F-454F-9C49-DACEAB1841BA}</b:Guid>
    <b:Author>
      <b:Author>
        <b:NameList>
          <b:Person>
            <b:Last>Sain</b:Last>
            <b:First>Zohaib</b:First>
            <b:Middle>Hassan</b:Middle>
          </b:Person>
        </b:NameList>
      </b:Author>
    </b:Author>
    <b:Title>Artificial Intelligence and Islamic Finance: Enhancing Sharia Compliance and Social Impact in Banking 4.0</b:Title>
    <b:Year>2025</b:Year>
    <b:URL>https://www.researchgate.net/publication/393578188_Artificial_Intelligence_and_Islamic_Finance_Enhancing_Sharia_Compliance_and_Social_Impact_in_Banking_40</b:URL>
    <b:RefOrder>7</b:RefOrder>
  </b:Source>
  <b:Source>
    <b:Tag>JJu25</b:Tag>
    <b:SourceType>JournalArticle</b:SourceType>
    <b:Guid>{60C67CC6-0F0D-4A88-BAA7-3FB7F3A3AE16}</b:Guid>
    <b:Author>
      <b:Author>
        <b:NameList>
          <b:Person>
            <b:Last>J.</b:Last>
            <b:First>Juliana</b:First>
          </b:Person>
        </b:NameList>
      </b:Author>
    </b:Author>
    <b:Title>THE ROLE OF ISLAMIC ECONOMICS AND FINANCE AMID GLOBAL ECONOMIC UNCERTAINTY</b:Title>
    <b:Year>2025</b:Year>
    <b:URL>https://www.researchgate.net/publication/394049776_THE_ROLE_OF_ISLAMIC_ECONOMICS_AND_FINANCE_AMID_GLOBAL_ECONOMIC_UNCERTAINTY</b:URL>
    <b:RefOrder>8</b:RefOrder>
  </b:Source>
  <b:Source>
    <b:Tag>Waz25</b:Tag>
    <b:SourceType>JournalArticle</b:SourceType>
    <b:Guid>{48808AE6-3354-46FE-BF88-783D19F6D931}</b:Guid>
    <b:Author>
      <b:Author>
        <b:NameList>
          <b:Person>
            <b:Last>Wazin</b:Last>
            <b:First>Wazin</b:First>
          </b:Person>
        </b:NameList>
      </b:Author>
    </b:Author>
    <b:Title>Optimizing AI Technology in Assessing Islamic Financing Risks: A SWOT Analysis of Challenges and Opportunities from an Islamic Legal Perspective (Fiqh)</b:Title>
    <b:Year>2025</b:Year>
    <b:URL>https://www.researchgate.net/publication/391543188_Optimizing_AI_Technology_in_Assessing_Islamic_Financing_Risks_A_SWOT_Analysis_of_Challenges_and_Opportunities_from_an_Islamic_Legal_Perspective_Fiqh</b:URL>
    <b:RefOrder>9</b:RefOrder>
  </b:Source>
  <b:Source>
    <b:Tag>Sha251</b:Tag>
    <b:SourceType>JournalArticle</b:SourceType>
    <b:Guid>{7DE91464-3695-4598-99BE-FFE3A4605FED}</b:Guid>
    <b:Author>
      <b:Author>
        <b:NameList>
          <b:Person>
            <b:Last>Shalhoob</b:Last>
            <b:First>Hebah</b:First>
          </b:Person>
        </b:NameList>
      </b:Author>
    </b:Author>
    <b:Title>The role of AI in enhancing shariah compliance: Efficiency and transparency in Islamic finance</b:Title>
    <b:Year>2025</b:Year>
    <b:URL>https://www.researchgate.net/publication/388223220_The_role_of_AI_in_enhancing_shariah_compliance_Efficiency_and_transparency_in_Islamic_finance</b:URL>
    <b:RefOrder>10</b:RefOrder>
  </b:Source>
  <b:Source>
    <b:Tag>Wan24</b:Tag>
    <b:SourceType>JournalArticle</b:SourceType>
    <b:Guid>{B9165E6F-9ECE-4BE6-BB2F-63E3BFD9FE54}</b:Guid>
    <b:Author>
      <b:Author>
        <b:NameList>
          <b:Person>
            <b:Last>Wang</b:Last>
            <b:First>Shuang</b:First>
          </b:Person>
        </b:NameList>
      </b:Author>
    </b:Author>
    <b:Title>Data Privacy and Cybersecurity Challenges in the Digital Transformation of the Banking Sector</b:Title>
    <b:Year>2024</b:Year>
    <b:URL>https://www.researchgate.net/publication/383567168_Data_Privacy_and_Cybersecurity_Challenges_in_the_Digital_Transformation_of_the_Banking_Sector</b:URL>
    <b:RefOrder>11</b:RefOrder>
  </b:Source>
  <b:Source>
    <b:Tag>Ara25</b:Tag>
    <b:SourceType>JournalArticle</b:SourceType>
    <b:Guid>{DB6BD6C7-3D30-40C0-B89D-88223F7101FF}</b:Guid>
    <b:Author>
      <b:Author>
        <b:NameList>
          <b:Person>
            <b:Last>Arabi</b:Last>
            <b:First>Hamza</b:First>
            <b:Middle>el</b:Middle>
          </b:Person>
        </b:NameList>
      </b:Author>
    </b:Author>
    <b:Title>The Challenges and Opportunities of Artificial Intelligence for Entrepreneurs. Case Study of the Rabat-Salé-Kénitra Region</b:Title>
    <b:Year>2025</b:Year>
    <b:URL>https://www.researchgate.net/publication/390344860_The_Challenges_and_Opportunities_of_Artificial_Intelligence_for_Entrepreneurs_Case_Study_of_the_Rabat-Sale-Kenitra_Region</b:URL>
    <b:RefOrder>12</b:RefOrder>
  </b:Source>
  <b:Source>
    <b:Tag>Alq252</b:Tag>
    <b:SourceType>JournalArticle</b:SourceType>
    <b:Guid>{13ACD153-6DC2-4AB2-AD18-884FE9B22BE3}</b:Guid>
    <b:Author>
      <b:Author>
        <b:NameList>
          <b:Person>
            <b:Last>Alqararah</b:Last>
            <b:First>Ehsan</b:First>
            <b:Middle>Ali</b:Middle>
          </b:Person>
        </b:NameList>
      </b:Author>
    </b:Author>
    <b:Title>The Role of Digital Transformation Capabilities in Improving Banking Performance in Jordanian Commercial Banks</b:Title>
    <b:Year>2025</b:Year>
    <b:URL>https://www.mdpi.com/1911-8074/18/4/196</b:URL>
    <b:RefOrder>13</b:RefOrder>
  </b:Source>
  <b:Source>
    <b:Tag>Dah25</b:Tag>
    <b:SourceType>JournalArticle</b:SourceType>
    <b:Guid>{65FC653D-1E64-4566-921D-C96AA4E21B34}</b:Guid>
    <b:Author>
      <b:Author>
        <b:NameList>
          <b:Person>
            <b:Last>Dahlan</b:Last>
            <b:First>Ahmad</b:First>
          </b:Person>
        </b:NameList>
      </b:Author>
    </b:Author>
    <b:Title>Digital transformation: The role of AI, social dynamics, and political support on the quality of strategic decisions and their implications for the progress of Islamic banking in Malaysia and Indonesia</b:Title>
    <b:Year>2025</b:Year>
    <b:URL>https://www.researchgate.net/publication/393885435_Digital_transformation_The_role_of_AI_social_dynamics_and_political_support_on_the_quality_of_strategic_decisions_and_their_implications_for_the_progress_of_Islamic_banking_in_Malaysia_and_Indonesia</b:URL>
    <b:RefOrder>14</b:RefOrder>
  </b:Source>
  <b:Source>
    <b:Tag>Iqb25</b:Tag>
    <b:SourceType>JournalArticle</b:SourceType>
    <b:Guid>{70F6EE92-7655-4621-B51B-7D0228B9B744}</b:Guid>
    <b:Author>
      <b:Author>
        <b:NameList>
          <b:Person>
            <b:Last>Iqbal</b:Last>
            <b:First>Muhammad</b:First>
            <b:Middle>Saeed</b:Middle>
          </b:Person>
        </b:NameList>
      </b:Author>
    </b:Author>
    <b:Title>AI in Islamic finance: Global trends, ethical implications, and bibliometric insights</b:Title>
    <b:Year>2025</b:Year>
    <b:URL>https://www.researchgate.net/publication/389709357_AI_in_Islamic_finance_Global_trends_ethical_implications_and_bibliometric_insights</b:URL>
    <b:RefOrder>15</b:RefOrder>
  </b:Source>
  <b:Source>
    <b:Tag>Emm24</b:Tag>
    <b:SourceType>JournalArticle</b:SourceType>
    <b:Guid>{F2B00CDC-B82F-40CE-B82F-60F485745349}</b:Guid>
    <b:Author>
      <b:Author>
        <b:NameList>
          <b:Person>
            <b:Last>Emmanuel</b:Last>
            <b:First>Baffour</b:First>
            <b:Middle>Gyau</b:Middle>
          </b:Person>
        </b:NameList>
      </b:Author>
    </b:Author>
    <b:Title>Transforming banking: Examining the role of AI technology innovation in boosting banks financial performance</b:Title>
    <b:Year>2024</b:Year>
    <b:URL>https://www.researchgate.net/publication/385179632_Transforming_banking_Examining_the_role_of_AI_technology_innovation_in_boosting_banks_financial_performance</b:URL>
    <b:RefOrder>16</b:RefOrder>
  </b:Source>
  <b:Source>
    <b:Tag>Guo244</b:Tag>
    <b:SourceType>JournalArticle</b:SourceType>
    <b:Guid>{4F69D12A-3CB5-48C9-87B6-E962965F0C9D}</b:Guid>
    <b:Author>
      <b:Author>
        <b:NameList>
          <b:Person>
            <b:Last>Guo</b:Last>
            <b:First>Qin</b:First>
          </b:Person>
        </b:NameList>
      </b:Author>
    </b:Author>
    <b:Title>Analyzing the Diffusion of Innovations Theory</b:Title>
    <b:Year>2024</b:Year>
    <b:URL>https://www.researchgate.net/publication/387746866_Analyzing_the_Diffusion_of_Innovations_Theory</b:URL>
    <b:RefOrder>17</b:RefOrder>
  </b:Source>
  <b:Source>
    <b:Tag>Yan23</b:Tag>
    <b:SourceType>JournalArticle</b:SourceType>
    <b:Guid>{4349CA8C-9E90-4935-98CE-9CC83332DC90}</b:Guid>
    <b:Author>
      <b:Author>
        <b:NameList>
          <b:Person>
            <b:Last>Yang</b:Last>
            <b:First>Xue</b:First>
          </b:Person>
        </b:NameList>
      </b:Author>
    </b:Author>
    <b:Title>The effects of AI service quality and AI function-customer ability fit on customer's overall co-creation experience</b:Title>
    <b:Year>2023</b:Year>
    <b:URL>https://www.researchgate.net/publication/369943248_The_effects_of_AI_service_quality_and_AI_function-customer_ability_fit_on_customer's_overall_co-creation_experience</b:URL>
    <b:RefOrder>18</b:RefOrder>
  </b:Source>
  <b:Source>
    <b:Tag>Gaz20</b:Tag>
    <b:SourceType>JournalArticle</b:SourceType>
    <b:Guid>{3E3F3D9E-1A0F-4A4E-8F64-86DFD8663666}</b:Guid>
    <b:Author>
      <b:Author>
        <b:NameList>
          <b:Person>
            <b:Last>Gazali</b:Last>
            <b:First>Haneffa</b:First>
            <b:Middle>Muchlis</b:Middle>
          </b:Person>
        </b:NameList>
      </b:Author>
    </b:Author>
    <b:Title>Application of Artificial Intelligence (AI) in Islamic Investments</b:Title>
    <b:Year>2020</b:Year>
    <b:URL>https://journals.iium.edu.my/iiibf-journal/index.php/jif/article/view/485</b:URL>
    <b:RefOrder>19</b:RefOrder>
  </b:Source>
  <b:Source>
    <b:Tag>Set23</b:Tag>
    <b:SourceType>JournalArticle</b:SourceType>
    <b:Guid>{F9E66A68-BEC2-47FF-982E-AEE27A7E64C6}</b:Guid>
    <b:Author>
      <b:Author>
        <b:NameList>
          <b:Person>
            <b:Last>Setyowati</b:Last>
            <b:First>Widhy</b:First>
          </b:Person>
        </b:NameList>
      </b:Author>
    </b:Author>
    <b:Title>Sector Analysis of Islamic Capital Markets and Artificial Intelligence Functioning as Sharia Advisors</b:Title>
    <b:Year>2023</b:Year>
    <b:URL>https://journal.pandawan.id/italic/article/view/334</b:URL>
    <b:RefOrder>20</b:RefOrder>
  </b:Source>
  <b:Source>
    <b:Tag>Suh21</b:Tag>
    <b:SourceType>JournalArticle</b:SourceType>
    <b:Guid>{3C86DAE3-0358-4715-B9E5-2561ED5ADEEA}</b:Guid>
    <b:Author>
      <b:Author>
        <b:NameList>
          <b:Person>
            <b:Last>Suhartanto</b:Last>
            <b:First>Dwi</b:First>
          </b:Person>
        </b:NameList>
      </b:Author>
    </b:Author>
    <b:Title>Millennial loyalty towards artificial intelligence-enabled mobile banking: evidence from Indonesian Islamic banks</b:Title>
    <b:Year>2021</b:Year>
    <b:URL>https://www.emerald.com/jima/article/13/9/1958/218174/Millennial-loyalty-towards-artificial-intelligence</b:URL>
    <b:RefOrder>21</b:RefOrder>
  </b:Source>
  <b:Source>
    <b:Tag>Rab231</b:Tag>
    <b:SourceType>JournalArticle</b:SourceType>
    <b:Guid>{D1563943-E86B-46D0-80EC-819E2EDC92D6}</b:Guid>
    <b:Author>
      <b:Author>
        <b:NameList>
          <b:Person>
            <b:Last>Rabbani</b:Last>
            <b:First>M.</b:First>
            <b:Middle>R.</b:Middle>
          </b:Person>
        </b:NameList>
      </b:Author>
    </b:Author>
    <b:Title>Role of artificial intelligence in moderating the innovative financial process of the banking sector: a research based on structural equation modeling</b:Title>
    <b:Year>2023</b:Year>
    <b:URL>https://www.frontiersin.org/journals/environmental-science/articles/10.3389/fenvs.2022.978691/full</b:URL>
    <b:RefOrder>22</b:RefOrder>
  </b:Source>
  <b:Source>
    <b:Tag>Ars25</b:Tag>
    <b:SourceType>JournalArticle</b:SourceType>
    <b:Guid>{1B5CF3BC-8E45-406E-A47E-5DF17B8FA9BC}</b:Guid>
    <b:Author>
      <b:Author>
        <b:NameList>
          <b:Person>
            <b:Last>Arsyad</b:Last>
            <b:First>Ifan</b:First>
          </b:Person>
        </b:NameList>
      </b:Author>
    </b:Author>
    <b:Title>Artificial intelligence and Islamic finance industry: problems and oversight</b:Title>
    <b:Year>2025</b:Year>
    <b:URL>https://www.emerald.com/ijlma/article/doi/10.1108/IJLMA-07-2024-0236/1250405/Artificial-intelligence-and-Islamic-finance</b:URL>
    <b:RefOrder>23</b:RefOrder>
  </b:Source>
  <b:Source>
    <b:Tag>Man25</b:Tag>
    <b:SourceType>JournalArticle</b:SourceType>
    <b:Guid>{060A783D-1540-4E77-A7A2-0EA7E0015555}</b:Guid>
    <b:Author>
      <b:Author>
        <b:NameList>
          <b:Person>
            <b:Last>Manteghi</b:Last>
            <b:First>Nikzad</b:First>
          </b:Person>
        </b:NameList>
      </b:Author>
    </b:Author>
    <b:Title>The Impact of Artificial Intelligence (AI) Implementation on Islamic Financial Literacy and Global Economic Changes in the Banking World</b:Title>
    <b:Year>2025</b:Year>
    <b:URL>https://e-journal.syekhnurjati.ac.id/index.php/JIESBI/article/view/253</b:URL>
    <b:RefOrder>24</b:RefOrder>
  </b:Source>
  <b:Source>
    <b:Tag>ALA221</b:Tag>
    <b:SourceType>JournalArticle</b:SourceType>
    <b:Guid>{B47B2995-28B5-4B4A-ABD0-76ED9A06F1E0}</b:Guid>
    <b:Author>
      <b:Author>
        <b:NameList>
          <b:Person>
            <b:Last>AL-ARAJ</b:Last>
            <b:First>REEM</b:First>
          </b:Person>
        </b:NameList>
      </b:Author>
    </b:Author>
    <b:Title>The Effect of Artificial Intelligence on Service Quality and Customer Satisfaction in</b:Title>
    <b:Year>2022</b:Year>
    <b:URL>https://www.wseas.com/journals/bae/2022/d505107-1999.pdf</b:URL>
    <b:RefOrder>25</b:RefOrder>
  </b:Source>
  <b:Source>
    <b:Tag>Ahm232</b:Tag>
    <b:SourceType>JournalArticle</b:SourceType>
    <b:Guid>{9AEC25BE-7711-4B30-8997-96F9163DD7A8}</b:Guid>
    <b:Author>
      <b:Author>
        <b:NameList>
          <b:Person>
            <b:Last>Ahmed</b:Last>
            <b:First>Ibrahim</b:First>
            <b:Middle>Elsiddig</b:Middle>
          </b:Person>
        </b:NameList>
      </b:Author>
    </b:Author>
    <b:Title>The role of artificial intelligence in developing a banking risk index: an application of Adaptive Neural Network-Based Fuzzy Inference System (ANFIS)</b:Title>
    <b:Year>2023</b:Year>
    <b:URL>https://link.springer.com/article/10.1007/s10462-023-10473-9</b:URL>
    <b:RefOrder>26</b:RefOrder>
  </b:Source>
  <b:Source>
    <b:Tag>Sya251</b:Tag>
    <b:SourceType>JournalArticle</b:SourceType>
    <b:Guid>{8A21EE9E-D409-41DC-902A-3135108B59C0}</b:Guid>
    <b:Author>
      <b:Author>
        <b:NameList>
          <b:Person>
            <b:Last>Syakirunni’am</b:Last>
            <b:First>Luqman</b:First>
          </b:Person>
        </b:NameList>
      </b:Author>
    </b:Author>
    <b:Title>Artificial Intelligence and the Transformation of Digital Services in Islamic Banking: A Case Study of Bank Syariah Indonesia</b:Title>
    <b:Year>2025</b:Year>
    <b:URL>https://e-journal.uingusdur.ac.id/logiclink/article/view/10707</b:URL>
    <b:RefOrder>27</b:RefOrder>
  </b:Source>
  <b:Source>
    <b:Tag>Yus22</b:Tag>
    <b:SourceType>JournalArticle</b:SourceType>
    <b:Guid>{6E4EAE5B-9368-4408-B24D-D941F4B77C9A}</b:Guid>
    <b:Author>
      <b:Author>
        <b:NameList>
          <b:Person>
            <b:Last>Yuspin</b:Last>
            <b:First>Wardah</b:First>
          </b:Person>
        </b:NameList>
      </b:Author>
    </b:Author>
    <b:Title>The law alteration on artificial intelligence in reducing Islamic bank’s profit and loss sharing risk</b:Title>
    <b:Year>2022</b:Year>
    <b:URL>https://ejournal.umm.ac.id/index.php/legality/article/view/23051</b:URL>
    <b:RefOrder>28</b:RefOrder>
  </b:Source>
  <b:Source>
    <b:Tag>Yus21</b:Tag>
    <b:SourceType>JournalArticle</b:SourceType>
    <b:Guid>{FE9F426C-A36A-48FB-84F4-9D878C080701}</b:Guid>
    <b:Author>
      <b:Author>
        <b:NameList>
          <b:Person>
            <b:Last>Yussaivi</b:Last>
            <b:First>Ambia</b:First>
            <b:Middle>Masthura</b:Middle>
          </b:Person>
        </b:NameList>
      </b:Author>
    </b:Author>
    <b:Title>Millennial Experience with Mobile Banking and Artificial Intelligent (AI)-enabled Mobile Banking: Evidence from Islamic Banking</b:Title>
    <b:Year>2021</b:Year>
    <b:URL>https://www.researchgate.net/profile/Am-Yussaivi/publication/348921313_The_Use_of_Contemporary_Mobile_Banking_Service_in_Islamic_Banks_Perspective_of_Young_Customers/links/60fbeab5169a1a0103b2735a/The-Use-of-Contemporary-Mobile-Banking-Service-in-Islamic-</b:URL>
    <b:RefOrder>29</b:RefOrder>
  </b:Source>
  <b:Source>
    <b:Tag>Rah212</b:Tag>
    <b:SourceType>JournalArticle</b:SourceType>
    <b:Guid>{A077A9B5-DFE9-4594-BC72-8E6021D8FC7A}</b:Guid>
    <b:Author>
      <b:Author>
        <b:NameList>
          <b:Person>
            <b:Last>Rahman</b:Last>
            <b:First>Mahfuzur</b:First>
          </b:Person>
        </b:NameList>
      </b:Author>
    </b:Author>
    <b:Title>Adoption of artificial intelligence in banking services: an empirical analysis</b:Title>
    <b:Year>2021</b:Year>
    <b:URL>https://www.emerald.com/ijoem/article/18/10/4270/316052/Adoption-of-artificial-intelligence-in-banking</b:URL>
    <b:RefOrder>30</b:RefOrder>
  </b:Source>
  <b:Source>
    <b:Tag>Dea10</b:Tag>
    <b:SourceType>JournalArticle</b:SourceType>
    <b:Guid>{AE801394-AD84-4E48-9D02-A82318B61B55}</b:Guid>
    <b:Author>
      <b:Author>
        <b:NameList>
          <b:Person>
            <b:Last>Dearing</b:Last>
            <b:First>James</b:First>
            <b:Middle>W</b:Middle>
          </b:Person>
        </b:NameList>
      </b:Author>
    </b:Author>
    <b:Title>Applying Diffusion of Innovation Theory to Intervention Development</b:Title>
    <b:Year>2010</b:Year>
    <b:URL>https://pmc.ncbi.nlm.nih.gov/articles/PMC2957672/</b:URL>
    <b:RefOrder>31</b:RefOrder>
  </b:Source>
  <b:Source>
    <b:Tag>Abd235</b:Tag>
    <b:SourceType>JournalArticle</b:SourceType>
    <b:Guid>{D5B552BA-1040-41AE-A0F1-671825234AEA}</b:Guid>
    <b:Author>
      <b:Author>
        <b:NameList>
          <b:Person>
            <b:Last>Abdulkadir</b:Last>
            <b:First>Kabiru</b:First>
          </b:Person>
        </b:NameList>
      </b:Author>
    </b:Author>
    <b:Title>Total Quality as an Effective Tool for Achieving Customer Satisfaction, Patronage, Productivity Gains and Sustainability in Organizations</b:Title>
    <b:Year>2023</b:Year>
    <b:URL>https://www.researchgate.net/publication/376980188_Total_Quality_as_an_Effective_Tool_for_Achieving_Customer_Satisfaction_Patronage_Productivity_Gains_and_Sustainability_in_Organizations</b:URL>
    <b:RefOrder>32</b:RefOrder>
  </b:Source>
  <b:Source>
    <b:Tag>Sin23</b:Tag>
    <b:SourceType>JournalArticle</b:SourceType>
    <b:Guid>{1834DBB2-8C69-494B-AF6F-53F33CB59981}</b:Guid>
    <b:Author>
      <b:Author>
        <b:NameList>
          <b:Person>
            <b:Last>Singh</b:Last>
            <b:First>Vikas</b:First>
          </b:Person>
        </b:NameList>
      </b:Author>
    </b:Author>
    <b:Title>Service Quality, Customer Satisfaction And Customer Loyalty: A Comprehensive Literature Review</b:Title>
    <b:Year>2023</b:Year>
    <b:URL>https://www.researchgate.net/publication/371809524_Service_Quality_Customer_Satisfaction_And_Customer_Loyalty_A_Comprehensive_Literature_Review</b:URL>
    <b:RefOrder>33</b:RefOrder>
  </b:Source>
  <b:Source>
    <b:Tag>Wan14</b:Tag>
    <b:SourceType>JournalArticle</b:SourceType>
    <b:Guid>{3D6ED12F-29CE-40F7-BA4E-C15313971699}</b:Guid>
    <b:Author>
      <b:Author>
        <b:NameList>
          <b:Person>
            <b:Last>Wang</b:Last>
            <b:First>Hui-Ling</b:First>
          </b:Person>
        </b:NameList>
      </b:Author>
    </b:Author>
    <b:Title>Theories for competitive advantage</b:Title>
    <b:Year>2014</b:Year>
    <b:URL>https://www.researchgate.net/publication/285056180_Theories_for_competitive_advantage</b:URL>
    <b:RefOrder>34</b:RefOrder>
  </b:Source>
</b:Sources>
</file>

<file path=customXml/itemProps1.xml><?xml version="1.0" encoding="utf-8"?>
<ds:datastoreItem xmlns:ds="http://schemas.openxmlformats.org/officeDocument/2006/customXml" ds:itemID="{FC89FC68-9C86-415E-8419-14E14BB21F2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6315</Words>
  <Characters>35999</Characters>
  <Application>Microsoft Office Word</Application>
  <DocSecurity>0</DocSecurity>
  <Lines>299</Lines>
  <Paragraphs>84</Paragraphs>
  <ScaleCrop>false</ScaleCrop>
  <Company/>
  <LinksUpToDate>false</LinksUpToDate>
  <CharactersWithSpaces>42230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EISA AL IBRAHIM</cp:lastModifiedBy>
  <cp:revision>2</cp:revision>
  <dcterms:created xsi:type="dcterms:W3CDTF">2025-07-31T06:33:00Z</dcterms:created>
  <dcterms:modified xsi:type="dcterms:W3CDTF">2025-07-31T06:33:00Z</dcterms:modified>
</cp:coreProperties>
</file>