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43A34159" w:rsidR="001C7DB2" w:rsidRPr="0072768E" w:rsidRDefault="00264677" w:rsidP="00E000FF">
      <w:pPr>
        <w:bidi/>
        <w:spacing w:after="0" w:line="360" w:lineRule="auto"/>
        <w:ind w:hanging="283"/>
        <w:jc w:val="center"/>
        <w:rPr>
          <w:rFonts w:ascii="Simplified Arabic" w:hAnsi="Simplified Arabic" w:cs="Simplified Arabic"/>
          <w:b/>
          <w:bCs/>
          <w:sz w:val="28"/>
          <w:szCs w:val="28"/>
        </w:rPr>
      </w:pPr>
      <w:r>
        <w:rPr>
          <w:rFonts w:ascii="Traditional Arabic" w:hAnsi="Traditional Arabic" w:cs="Traditional Arabic"/>
          <w:b/>
          <w:noProof/>
          <w:sz w:val="24"/>
          <w:szCs w:val="24"/>
          <w:rtl/>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EDE3105" w14:textId="77777777" w:rsidR="00E000FF" w:rsidRDefault="00E000FF" w:rsidP="00E000FF">
      <w:pPr>
        <w:bidi/>
        <w:spacing w:after="0" w:line="360" w:lineRule="auto"/>
        <w:jc w:val="center"/>
        <w:rPr>
          <w:rFonts w:ascii="Traditional Arabic" w:hAnsi="Traditional Arabic" w:cs="Traditional Arabic"/>
          <w:b/>
          <w:bCs/>
          <w:sz w:val="28"/>
          <w:szCs w:val="28"/>
          <w:rtl/>
        </w:rPr>
      </w:pPr>
    </w:p>
    <w:p w14:paraId="16A2563A" w14:textId="10CFCC52" w:rsidR="005D691F" w:rsidRDefault="00F4227D" w:rsidP="00E000FF">
      <w:pPr>
        <w:bidi/>
        <w:spacing w:after="0" w:line="360" w:lineRule="auto"/>
        <w:jc w:val="center"/>
      </w:pPr>
      <w:r>
        <w:rPr>
          <w:rFonts w:ascii="Traditional Arabic" w:hAnsi="Traditional Arabic" w:cs="Traditional Arabic"/>
          <w:b/>
          <w:bCs/>
          <w:sz w:val="28"/>
          <w:szCs w:val="28"/>
          <w:rtl/>
        </w:rPr>
        <w:t>جامعة ميدأوشن</w:t>
      </w:r>
    </w:p>
    <w:p w14:paraId="6CD29D60" w14:textId="77777777" w:rsidR="005D691F" w:rsidRDefault="00F4227D" w:rsidP="00E000FF">
      <w:pPr>
        <w:bidi/>
        <w:spacing w:after="0" w:line="360" w:lineRule="auto"/>
        <w:jc w:val="center"/>
      </w:pPr>
      <w:r>
        <w:rPr>
          <w:rFonts w:ascii="Traditional Arabic" w:hAnsi="Traditional Arabic" w:cs="Traditional Arabic"/>
          <w:b/>
          <w:bCs/>
          <w:sz w:val="24"/>
          <w:szCs w:val="24"/>
          <w:rtl/>
        </w:rPr>
        <w:t>كلية الإدارة</w:t>
      </w:r>
    </w:p>
    <w:p w14:paraId="66EC4F74" w14:textId="77777777" w:rsidR="005D691F" w:rsidRDefault="005D691F" w:rsidP="00E000FF">
      <w:pPr>
        <w:bidi/>
        <w:spacing w:after="0" w:line="360" w:lineRule="auto"/>
      </w:pPr>
    </w:p>
    <w:p w14:paraId="12B0FE6B" w14:textId="77777777" w:rsidR="005D691F" w:rsidRDefault="00F4227D" w:rsidP="00E000FF">
      <w:pPr>
        <w:bidi/>
        <w:spacing w:after="0" w:line="360" w:lineRule="auto"/>
        <w:jc w:val="center"/>
      </w:pPr>
      <w:r>
        <w:rPr>
          <w:rFonts w:ascii="Traditional Arabic" w:hAnsi="Traditional Arabic" w:cs="Traditional Arabic"/>
          <w:b/>
          <w:bCs/>
          <w:sz w:val="36"/>
          <w:szCs w:val="36"/>
          <w:rtl/>
        </w:rPr>
        <w:t>أثر تقنية الترميز على الأمن السيبراني وكفاءة العمليات المالية في المؤسسات المالية السعودية</w:t>
      </w:r>
    </w:p>
    <w:p w14:paraId="2B1D0A37" w14:textId="77777777" w:rsidR="005D691F" w:rsidRDefault="00F4227D" w:rsidP="00E000FF">
      <w:pPr>
        <w:bidi/>
        <w:spacing w:after="0" w:line="360" w:lineRule="auto"/>
        <w:jc w:val="center"/>
      </w:pPr>
      <w:r>
        <w:rPr>
          <w:rFonts w:ascii="Traditional Arabic" w:hAnsi="Traditional Arabic" w:cs="Traditional Arabic"/>
          <w:b/>
          <w:bCs/>
          <w:sz w:val="28"/>
          <w:szCs w:val="28"/>
          <w:rtl/>
        </w:rPr>
        <w:t>دراسة تحليلية وفق رؤية المملكة 2030</w:t>
      </w:r>
    </w:p>
    <w:p w14:paraId="141DB46D" w14:textId="77777777" w:rsidR="005D691F" w:rsidRDefault="005D691F" w:rsidP="00E000FF">
      <w:pPr>
        <w:bidi/>
        <w:spacing w:after="0" w:line="360" w:lineRule="auto"/>
      </w:pPr>
    </w:p>
    <w:p w14:paraId="529F8846" w14:textId="77777777" w:rsidR="005D691F" w:rsidRDefault="00F4227D" w:rsidP="00E000FF">
      <w:pPr>
        <w:bidi/>
        <w:spacing w:after="0" w:line="360" w:lineRule="auto"/>
        <w:jc w:val="center"/>
      </w:pPr>
      <w:r>
        <w:rPr>
          <w:rFonts w:ascii="Traditional Arabic" w:hAnsi="Traditional Arabic" w:cs="Traditional Arabic"/>
          <w:b/>
          <w:bCs/>
          <w:sz w:val="28"/>
          <w:szCs w:val="28"/>
          <w:rtl/>
        </w:rPr>
        <w:t>إعداد</w:t>
      </w:r>
    </w:p>
    <w:p w14:paraId="4D3BB4A1" w14:textId="77777777" w:rsidR="005D691F" w:rsidRDefault="00F4227D" w:rsidP="00E000FF">
      <w:pPr>
        <w:bidi/>
        <w:spacing w:after="0" w:line="360" w:lineRule="auto"/>
        <w:jc w:val="center"/>
      </w:pPr>
      <w:r>
        <w:rPr>
          <w:rFonts w:ascii="Traditional Arabic" w:hAnsi="Traditional Arabic" w:cs="Traditional Arabic"/>
          <w:b/>
          <w:bCs/>
          <w:sz w:val="28"/>
          <w:szCs w:val="28"/>
          <w:rtl/>
        </w:rPr>
        <w:t>فيصل معيض الشريف</w:t>
      </w:r>
    </w:p>
    <w:p w14:paraId="068D5E1B" w14:textId="77777777" w:rsidR="005D691F" w:rsidRDefault="00F4227D" w:rsidP="00E000FF">
      <w:pPr>
        <w:bidi/>
        <w:spacing w:after="0" w:line="360" w:lineRule="auto"/>
        <w:jc w:val="center"/>
      </w:pPr>
      <w:r>
        <w:rPr>
          <w:rFonts w:ascii="Traditional Arabic" w:hAnsi="Traditional Arabic" w:cs="Traditional Arabic"/>
          <w:b/>
          <w:bCs/>
          <w:sz w:val="24"/>
          <w:szCs w:val="24"/>
          <w:rtl/>
        </w:rPr>
        <w:t>المملكة العربية السعودية</w:t>
      </w:r>
    </w:p>
    <w:p w14:paraId="785FEE93" w14:textId="77777777" w:rsidR="005D691F" w:rsidRDefault="005D691F" w:rsidP="00E000FF">
      <w:pPr>
        <w:bidi/>
        <w:spacing w:after="0" w:line="360" w:lineRule="auto"/>
      </w:pPr>
    </w:p>
    <w:p w14:paraId="13506328"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b/>
          <w:bCs/>
          <w:sz w:val="28"/>
          <w:szCs w:val="28"/>
          <w:rtl/>
        </w:rPr>
        <w:t>رسالة مقدمة لجامعة ميدأوشن لاستكمال متطلبات نيل درجة الدكتوراه في الفلسفة</w:t>
      </w:r>
    </w:p>
    <w:p w14:paraId="0DF8C2C9"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b/>
          <w:bCs/>
          <w:sz w:val="28"/>
          <w:szCs w:val="28"/>
          <w:rtl/>
        </w:rPr>
        <w:t>في</w:t>
      </w:r>
    </w:p>
    <w:p w14:paraId="1B5556EA"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b/>
          <w:bCs/>
          <w:sz w:val="28"/>
          <w:szCs w:val="28"/>
          <w:rtl/>
        </w:rPr>
        <w:t>الإدارة</w:t>
      </w:r>
    </w:p>
    <w:p w14:paraId="33F403D5" w14:textId="77777777" w:rsidR="005D691F" w:rsidRPr="00E000FF" w:rsidRDefault="005D691F" w:rsidP="00E000FF">
      <w:pPr>
        <w:bidi/>
        <w:spacing w:after="0" w:line="360" w:lineRule="auto"/>
        <w:rPr>
          <w:sz w:val="26"/>
          <w:szCs w:val="26"/>
        </w:rPr>
      </w:pPr>
    </w:p>
    <w:p w14:paraId="3343DE64" w14:textId="77777777" w:rsidR="005D691F" w:rsidRPr="00E000FF" w:rsidRDefault="00F4227D" w:rsidP="00E000FF">
      <w:pPr>
        <w:bidi/>
        <w:spacing w:after="0" w:line="360" w:lineRule="auto"/>
        <w:jc w:val="center"/>
        <w:rPr>
          <w:sz w:val="26"/>
          <w:szCs w:val="26"/>
        </w:rPr>
      </w:pPr>
      <w:r w:rsidRPr="00E000FF">
        <w:rPr>
          <w:rFonts w:ascii="Traditional Arabic" w:hAnsi="Traditional Arabic" w:cs="Traditional Arabic"/>
          <w:sz w:val="20"/>
          <w:szCs w:val="20"/>
          <w:rtl/>
        </w:rPr>
        <w:t>1447 هـ - 2025 م</w:t>
      </w:r>
    </w:p>
    <w:p w14:paraId="1373CBAD" w14:textId="77777777" w:rsidR="005D691F" w:rsidRDefault="00F4227D" w:rsidP="00E000FF">
      <w:pPr>
        <w:bidi/>
        <w:spacing w:after="0"/>
      </w:pPr>
      <w:r>
        <w:br w:type="page"/>
      </w:r>
    </w:p>
    <w:p w14:paraId="5C595E93" w14:textId="77777777" w:rsidR="005D691F" w:rsidRDefault="00F4227D" w:rsidP="00E000FF">
      <w:pPr>
        <w:spacing w:after="0" w:line="360" w:lineRule="auto"/>
        <w:jc w:val="center"/>
      </w:pPr>
      <w:r>
        <w:rPr>
          <w:rFonts w:ascii="Times New Roman" w:hAnsi="Times New Roman" w:cs="Times New Roman"/>
          <w:b/>
          <w:bCs/>
          <w:sz w:val="28"/>
          <w:szCs w:val="28"/>
        </w:rPr>
        <w:lastRenderedPageBreak/>
        <w:t>MIDOCEAN UNIVERSITY</w:t>
      </w:r>
    </w:p>
    <w:p w14:paraId="6B8E061D" w14:textId="77777777" w:rsidR="005D691F" w:rsidRDefault="00F4227D" w:rsidP="00E000FF">
      <w:pPr>
        <w:spacing w:after="0" w:line="360" w:lineRule="auto"/>
        <w:jc w:val="center"/>
      </w:pPr>
      <w:r>
        <w:rPr>
          <w:rFonts w:ascii="Times New Roman" w:hAnsi="Times New Roman" w:cs="Times New Roman"/>
          <w:b/>
          <w:bCs/>
          <w:sz w:val="24"/>
          <w:szCs w:val="24"/>
        </w:rPr>
        <w:t>College of Management</w:t>
      </w:r>
    </w:p>
    <w:p w14:paraId="428D8923" w14:textId="77777777" w:rsidR="005D691F" w:rsidRDefault="005D691F" w:rsidP="00E000FF">
      <w:pPr>
        <w:bidi/>
        <w:spacing w:after="0" w:line="360" w:lineRule="auto"/>
      </w:pPr>
    </w:p>
    <w:p w14:paraId="4AD2CE45" w14:textId="77777777" w:rsidR="005D691F" w:rsidRDefault="00F4227D" w:rsidP="00E000FF">
      <w:pPr>
        <w:spacing w:after="0" w:line="360" w:lineRule="auto"/>
        <w:jc w:val="center"/>
      </w:pPr>
      <w:r>
        <w:rPr>
          <w:rFonts w:ascii="Times New Roman" w:hAnsi="Times New Roman" w:cs="Times New Roman"/>
          <w:b/>
          <w:bCs/>
          <w:sz w:val="36"/>
          <w:szCs w:val="36"/>
        </w:rPr>
        <w:t>THE IMPACT OF TOKENIZATION ON CYBERSECURITY AND FINANCIAL OPERATIONS EFFICIENCY IN SAUDI FINANCIAL INSTITUTIONS</w:t>
      </w:r>
    </w:p>
    <w:p w14:paraId="143FFCA5" w14:textId="77777777" w:rsidR="005D691F" w:rsidRDefault="00F4227D" w:rsidP="00E000FF">
      <w:pPr>
        <w:spacing w:after="0" w:line="360" w:lineRule="auto"/>
        <w:jc w:val="center"/>
      </w:pPr>
      <w:r>
        <w:rPr>
          <w:rFonts w:ascii="Times New Roman" w:hAnsi="Times New Roman" w:cs="Times New Roman"/>
          <w:b/>
          <w:bCs/>
          <w:sz w:val="28"/>
          <w:szCs w:val="28"/>
        </w:rPr>
        <w:t xml:space="preserve">An Analytical Study </w:t>
      </w:r>
      <w:proofErr w:type="gramStart"/>
      <w:r>
        <w:rPr>
          <w:rFonts w:ascii="Times New Roman" w:hAnsi="Times New Roman" w:cs="Times New Roman"/>
          <w:b/>
          <w:bCs/>
          <w:sz w:val="28"/>
          <w:szCs w:val="28"/>
        </w:rPr>
        <w:t>in Light of</w:t>
      </w:r>
      <w:proofErr w:type="gramEnd"/>
      <w:r>
        <w:rPr>
          <w:rFonts w:ascii="Times New Roman" w:hAnsi="Times New Roman" w:cs="Times New Roman"/>
          <w:b/>
          <w:bCs/>
          <w:sz w:val="28"/>
          <w:szCs w:val="28"/>
        </w:rPr>
        <w:t xml:space="preserve"> Saudi Vision 2030</w:t>
      </w:r>
    </w:p>
    <w:p w14:paraId="75CBF5AB" w14:textId="77777777" w:rsidR="005D691F" w:rsidRDefault="005D691F" w:rsidP="00E000FF">
      <w:pPr>
        <w:bidi/>
        <w:spacing w:after="0" w:line="360" w:lineRule="auto"/>
      </w:pPr>
    </w:p>
    <w:p w14:paraId="2C9C9603" w14:textId="77777777" w:rsidR="005D691F" w:rsidRDefault="00F4227D" w:rsidP="00E000FF">
      <w:pPr>
        <w:spacing w:after="0" w:line="360" w:lineRule="auto"/>
        <w:jc w:val="center"/>
      </w:pPr>
      <w:proofErr w:type="gramStart"/>
      <w:r>
        <w:rPr>
          <w:rFonts w:ascii="Times New Roman" w:hAnsi="Times New Roman" w:cs="Times New Roman"/>
          <w:b/>
          <w:bCs/>
          <w:sz w:val="28"/>
          <w:szCs w:val="28"/>
        </w:rPr>
        <w:t>By</w:t>
      </w:r>
      <w:proofErr w:type="gramEnd"/>
    </w:p>
    <w:p w14:paraId="0E33B25B" w14:textId="77777777" w:rsidR="005D691F" w:rsidRDefault="00F4227D" w:rsidP="00E000FF">
      <w:pPr>
        <w:spacing w:after="0" w:line="360" w:lineRule="auto"/>
        <w:jc w:val="center"/>
      </w:pPr>
      <w:r>
        <w:rPr>
          <w:rFonts w:ascii="Times New Roman" w:hAnsi="Times New Roman" w:cs="Times New Roman"/>
          <w:b/>
          <w:bCs/>
          <w:sz w:val="28"/>
          <w:szCs w:val="28"/>
        </w:rPr>
        <w:t>FAISAL MUAID AL-SHARIF</w:t>
      </w:r>
    </w:p>
    <w:p w14:paraId="704E088D" w14:textId="77777777" w:rsidR="005D691F" w:rsidRDefault="00F4227D" w:rsidP="00E000FF">
      <w:pPr>
        <w:spacing w:after="0" w:line="360" w:lineRule="auto"/>
        <w:jc w:val="center"/>
      </w:pPr>
      <w:r>
        <w:rPr>
          <w:rFonts w:ascii="Times New Roman" w:hAnsi="Times New Roman" w:cs="Times New Roman"/>
          <w:b/>
          <w:bCs/>
          <w:sz w:val="24"/>
          <w:szCs w:val="24"/>
        </w:rPr>
        <w:t>Saudi Arabia</w:t>
      </w:r>
    </w:p>
    <w:p w14:paraId="7CAAEB9A" w14:textId="77777777" w:rsidR="005D691F" w:rsidRDefault="005D691F" w:rsidP="00E000FF">
      <w:pPr>
        <w:bidi/>
        <w:spacing w:after="0" w:line="360" w:lineRule="auto"/>
      </w:pPr>
    </w:p>
    <w:p w14:paraId="441D5FD1" w14:textId="77777777" w:rsidR="005D691F" w:rsidRDefault="00F4227D" w:rsidP="00E000FF">
      <w:pPr>
        <w:spacing w:after="0" w:line="360" w:lineRule="auto"/>
        <w:jc w:val="center"/>
      </w:pPr>
      <w:r>
        <w:rPr>
          <w:rFonts w:ascii="Times New Roman" w:hAnsi="Times New Roman" w:cs="Times New Roman"/>
          <w:b/>
          <w:bCs/>
          <w:sz w:val="24"/>
          <w:szCs w:val="24"/>
        </w:rPr>
        <w:t>Submitted to Midocean University in partial fulfillment of the requirements for the degree of Doctor of Philosophy</w:t>
      </w:r>
    </w:p>
    <w:p w14:paraId="35F1ABEB" w14:textId="77777777" w:rsidR="005D691F" w:rsidRDefault="00F4227D" w:rsidP="00E000FF">
      <w:pPr>
        <w:spacing w:after="0" w:line="360" w:lineRule="auto"/>
        <w:jc w:val="center"/>
      </w:pPr>
      <w:r>
        <w:rPr>
          <w:rFonts w:ascii="Times New Roman" w:hAnsi="Times New Roman" w:cs="Times New Roman"/>
          <w:b/>
          <w:bCs/>
          <w:sz w:val="24"/>
          <w:szCs w:val="24"/>
        </w:rPr>
        <w:t>in</w:t>
      </w:r>
    </w:p>
    <w:p w14:paraId="135D2BCB" w14:textId="77777777" w:rsidR="005D691F" w:rsidRDefault="00F4227D" w:rsidP="00E000FF">
      <w:pPr>
        <w:spacing w:after="0" w:line="360" w:lineRule="auto"/>
        <w:jc w:val="center"/>
      </w:pPr>
      <w:r>
        <w:rPr>
          <w:rFonts w:ascii="Times New Roman" w:hAnsi="Times New Roman" w:cs="Times New Roman"/>
          <w:b/>
          <w:bCs/>
          <w:sz w:val="24"/>
          <w:szCs w:val="24"/>
        </w:rPr>
        <w:t>MANAGEMENT</w:t>
      </w:r>
    </w:p>
    <w:p w14:paraId="7865C0EB" w14:textId="77777777" w:rsidR="005D691F" w:rsidRDefault="005D691F" w:rsidP="00E000FF">
      <w:pPr>
        <w:bidi/>
        <w:spacing w:after="0" w:line="360" w:lineRule="auto"/>
      </w:pPr>
    </w:p>
    <w:p w14:paraId="72A6DDB8" w14:textId="77777777" w:rsidR="005D691F" w:rsidRDefault="00F4227D" w:rsidP="00E000FF">
      <w:pPr>
        <w:spacing w:after="0" w:line="360" w:lineRule="auto"/>
        <w:jc w:val="center"/>
      </w:pPr>
      <w:r>
        <w:rPr>
          <w:rFonts w:ascii="Times New Roman" w:hAnsi="Times New Roman" w:cs="Times New Roman"/>
          <w:sz w:val="16"/>
          <w:szCs w:val="16"/>
        </w:rPr>
        <w:t>2025</w:t>
      </w:r>
    </w:p>
    <w:p w14:paraId="188281D5" w14:textId="2EECF615" w:rsidR="005D691F" w:rsidRDefault="005D691F" w:rsidP="00E000FF">
      <w:pPr>
        <w:bidi/>
        <w:spacing w:after="0"/>
      </w:pPr>
    </w:p>
    <w:p w14:paraId="7E6CA43F" w14:textId="77777777" w:rsidR="00DF1676" w:rsidRDefault="006E2853"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br w:type="page"/>
      </w:r>
      <w:bookmarkStart w:id="0" w:name="_Toc224563911"/>
      <w:bookmarkStart w:id="1" w:name="_Toc234424105"/>
      <w:r>
        <w:rPr>
          <w:rFonts w:ascii="Traditional Arabic" w:hAnsi="Traditional Arabic" w:cs="Traditional Arabic" w:hint="cs"/>
          <w:b/>
          <w:bCs/>
          <w:color w:val="auto"/>
          <w:u w:val="single"/>
          <w:rtl/>
        </w:rPr>
        <w:lastRenderedPageBreak/>
        <w:t>المحتويات</w:t>
      </w:r>
      <w:bookmarkEnd w:id="0"/>
      <w:bookmarkEnd w:id="1"/>
    </w:p>
    <w:p w14:paraId="723D5EB3" w14:textId="0D52F8B8" w:rsidR="005D691F" w:rsidRDefault="00F4227D" w:rsidP="00E000FF">
      <w:pPr>
        <w:bidi/>
        <w:spacing w:after="0"/>
      </w:pPr>
      <w:r>
        <w:fldChar w:fldCharType="begin"/>
      </w:r>
      <w:r>
        <w:instrText xml:space="preserve">TOC \t "Hd1,1" \h \z \u </w:instrText>
      </w:r>
      <w:r>
        <w:fldChar w:fldCharType="separate"/>
      </w:r>
      <w:r w:rsidR="00D5434C">
        <w:rPr>
          <w:b/>
          <w:bCs/>
          <w:noProof/>
        </w:rPr>
        <w:t>No table of contents entries found.</w:t>
      </w:r>
      <w:r>
        <w:fldChar w:fldCharType="end"/>
      </w:r>
    </w:p>
    <w:p w14:paraId="3766F050" w14:textId="77777777" w:rsidR="00DF1676" w:rsidRDefault="006E2853"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t>قائمة الجداول</w:t>
      </w:r>
    </w:p>
    <w:p w14:paraId="32F89236" w14:textId="630C1E67" w:rsidR="005D691F" w:rsidRDefault="00F4227D" w:rsidP="00E000FF">
      <w:pPr>
        <w:bidi/>
        <w:spacing w:after="0"/>
      </w:pPr>
      <w:r>
        <w:fldChar w:fldCharType="begin"/>
      </w:r>
      <w:r>
        <w:instrText xml:space="preserve">TOC \t "TblCap,1" \h \z \u </w:instrText>
      </w:r>
      <w:r>
        <w:fldChar w:fldCharType="separate"/>
      </w:r>
      <w:r w:rsidR="00D5434C">
        <w:rPr>
          <w:b/>
          <w:bCs/>
          <w:noProof/>
        </w:rPr>
        <w:t>No table of contents entries found.</w:t>
      </w:r>
      <w:r>
        <w:fldChar w:fldCharType="end"/>
      </w:r>
    </w:p>
    <w:p w14:paraId="050DE9A1" w14:textId="77777777" w:rsidR="00DF1676" w:rsidRDefault="006E2853"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Pr>
      </w:pPr>
      <w:r>
        <w:rPr>
          <w:rFonts w:ascii="Traditional Arabic" w:hAnsi="Traditional Arabic" w:cs="Traditional Arabic"/>
          <w:b/>
          <w:bCs/>
          <w:color w:val="auto"/>
          <w:u w:val="single"/>
          <w:rtl/>
        </w:rPr>
        <w:t>قائمة الأشكال</w:t>
      </w:r>
    </w:p>
    <w:p w14:paraId="03BB630F" w14:textId="7025BBBF" w:rsidR="005D691F" w:rsidRDefault="00F4227D" w:rsidP="00E000FF">
      <w:pPr>
        <w:bidi/>
        <w:spacing w:after="0"/>
      </w:pPr>
      <w:r>
        <w:fldChar w:fldCharType="begin"/>
      </w:r>
      <w:r>
        <w:instrText xml:space="preserve">TOC \t "FigCap,1" \h \z \u </w:instrText>
      </w:r>
      <w:r>
        <w:fldChar w:fldCharType="separate"/>
      </w:r>
      <w:r w:rsidR="00D5434C">
        <w:rPr>
          <w:b/>
          <w:bCs/>
          <w:noProof/>
        </w:rPr>
        <w:t>No table of contents entries found.</w:t>
      </w:r>
      <w:r>
        <w:fldChar w:fldCharType="end"/>
      </w:r>
    </w:p>
    <w:p w14:paraId="6DCA3EAC" w14:textId="4E1CF1F0" w:rsidR="00C6300C" w:rsidRPr="00AD7D4E" w:rsidRDefault="00DF1676" w:rsidP="00E000FF">
      <w:pPr>
        <w:pStyle w:val="HeadingTOCEntry"/>
        <w:bidi/>
        <w:spacing w:after="0" w:line="360" w:lineRule="auto"/>
        <w:rPr>
          <w:rFonts w:ascii="Simplified Arabic" w:hAnsi="Simplified Arabic" w:cs="Simplified Arabic"/>
          <w:b/>
          <w:bCs/>
          <w:sz w:val="28"/>
          <w:szCs w:val="28"/>
          <w:u w:val="single"/>
        </w:rPr>
      </w:pPr>
      <w:bookmarkStart w:id="2" w:name="_Toc224563912"/>
      <w:bookmarkStart w:id="3" w:name="_Toc234424106"/>
      <w:r>
        <w:rPr>
          <w:rFonts w:ascii="Traditional Arabic" w:hAnsi="Traditional Arabic" w:cs="Traditional Arabic"/>
          <w:b/>
          <w:bCs/>
          <w:sz w:val="32"/>
          <w:szCs w:val="32"/>
          <w:u w:val="single"/>
          <w:rtl/>
        </w:rPr>
        <w:t>الملخص (بالعربية)</w:t>
      </w:r>
      <w:bookmarkEnd w:id="2"/>
      <w:bookmarkEnd w:id="3"/>
    </w:p>
    <w:p w14:paraId="7A8323AF" w14:textId="2EC8CAFC" w:rsidR="00C6300C" w:rsidRPr="00AD7D4E" w:rsidRDefault="00C6300C"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تهدف هذه الدراسة إلى تحليل وتقييم أثر تقنية الترميز على تعزيز الأمن السيبراني وتحسين كفاءة العمليات المالية في المؤسسات المالية السعودية، في إطار رؤية المملكة 2030 للتحول الرقمي وتطوير القطاع المالي. تكتسب هذه الدراسة أهمية بالغة في ظل التحديات المتزايدة التي تواجه القطاع المالي السعودي من ناحية الهجمات السيبرانية المتصاعدة، والحاجة الملحة لتحسين كفاءة المعاملات المالية لتحقيق مستهدفات الرؤية.</w:t>
      </w:r>
    </w:p>
    <w:p w14:paraId="6A858157" w14:textId="3A7B2E75" w:rsidR="00C6300C" w:rsidRPr="00AD7D4E" w:rsidRDefault="00C6300C"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تتمثل أهداف الدراسة في قياس تأثير تقنية الترميز على مؤشرات الأمن السيبراني مثل معدلات الاختراقات الأمنية وحوادث سرقة البيانات والامتثال للمعايير الأمنية، بالإضافة إلى تحليل تأثيرها على كفاءة العمليات المالية من حيث تقليل وقت المعاملات وخفض التكاليف التشغيلية وتحسين تجربة العملاء. كما تهدف إلى تحديد الفروق في التأثير حسب حجم ونوع المؤسسات المالية، واستكشاف التحديات التي تواجه تبني هذه التقنية.</w:t>
      </w:r>
    </w:p>
    <w:p w14:paraId="42514D05" w14:textId="78E63238" w:rsidR="00C6300C" w:rsidRPr="00AD7D4E" w:rsidRDefault="00C6300C"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اعتمدت الدراسة المنهج الكمي الوصفي التحليلي، وطُبِّقت استبانة إلكترونية على عينة قصدية بلغت (196) مستجيباً من العاملين في وظائف تقنية المعلومات والأمن السيبراني والعمليات المالية والامتثال داخل المؤسسات المالية السعودية. وحُلِّلت البيانات بأساليب إحصائية </w:t>
      </w:r>
      <w:proofErr w:type="spellStart"/>
      <w:r>
        <w:rPr>
          <w:rFonts w:ascii="Traditional Arabic" w:hAnsi="Traditional Arabic" w:cs="Traditional Arabic"/>
          <w:b/>
          <w:bCs/>
          <w:color w:val="auto"/>
          <w:sz w:val="28"/>
          <w:szCs w:val="28"/>
          <w:rtl/>
        </w:rPr>
        <w:t>لامعلمية</w:t>
      </w:r>
      <w:proofErr w:type="spellEnd"/>
      <w:r>
        <w:rPr>
          <w:rFonts w:ascii="Traditional Arabic" w:hAnsi="Traditional Arabic" w:cs="Traditional Arabic"/>
          <w:b/>
          <w:bCs/>
          <w:color w:val="auto"/>
          <w:sz w:val="28"/>
          <w:szCs w:val="28"/>
          <w:rtl/>
        </w:rPr>
        <w:t xml:space="preserve"> شملت معامل ارتباط </w:t>
      </w:r>
      <w:proofErr w:type="spellStart"/>
      <w:r>
        <w:rPr>
          <w:rFonts w:ascii="Traditional Arabic" w:hAnsi="Traditional Arabic" w:cs="Traditional Arabic"/>
          <w:b/>
          <w:bCs/>
          <w:color w:val="auto"/>
          <w:sz w:val="28"/>
          <w:szCs w:val="28"/>
          <w:rtl/>
        </w:rPr>
        <w:t>سبيرمان</w:t>
      </w:r>
      <w:proofErr w:type="spellEnd"/>
      <w:r>
        <w:rPr>
          <w:rFonts w:ascii="Traditional Arabic" w:hAnsi="Traditional Arabic" w:cs="Traditional Arabic"/>
          <w:b/>
          <w:bCs/>
          <w:color w:val="auto"/>
          <w:sz w:val="28"/>
          <w:szCs w:val="28"/>
          <w:rtl/>
        </w:rPr>
        <w:t xml:space="preserve">، واختبار مان-ويتني U، واختبار </w:t>
      </w:r>
      <w:proofErr w:type="spellStart"/>
      <w:r>
        <w:rPr>
          <w:rFonts w:ascii="Traditional Arabic" w:hAnsi="Traditional Arabic" w:cs="Traditional Arabic"/>
          <w:b/>
          <w:bCs/>
          <w:color w:val="auto"/>
          <w:sz w:val="28"/>
          <w:szCs w:val="28"/>
          <w:rtl/>
        </w:rPr>
        <w:t>كروسكال</w:t>
      </w:r>
      <w:proofErr w:type="spellEnd"/>
      <w:r>
        <w:rPr>
          <w:rFonts w:ascii="Traditional Arabic" w:hAnsi="Traditional Arabic" w:cs="Traditional Arabic"/>
          <w:b/>
          <w:bCs/>
          <w:color w:val="auto"/>
          <w:sz w:val="28"/>
          <w:szCs w:val="28"/>
          <w:rtl/>
        </w:rPr>
        <w:t>-واليس، والانحدار المنقّح (</w:t>
      </w:r>
      <w:proofErr w:type="spellStart"/>
      <w:r>
        <w:rPr>
          <w:rFonts w:ascii="Traditional Arabic" w:hAnsi="Traditional Arabic" w:cs="Traditional Arabic"/>
          <w:b/>
          <w:bCs/>
          <w:color w:val="auto"/>
          <w:sz w:val="28"/>
          <w:szCs w:val="28"/>
          <w:rtl/>
        </w:rPr>
        <w:t>Robust</w:t>
      </w:r>
      <w:proofErr w:type="spellEnd"/>
      <w:r>
        <w:rPr>
          <w:rFonts w:ascii="Traditional Arabic" w:hAnsi="Traditional Arabic" w:cs="Traditional Arabic"/>
          <w:b/>
          <w:bCs/>
          <w:color w:val="auto"/>
          <w:sz w:val="28"/>
          <w:szCs w:val="28"/>
          <w:rtl/>
        </w:rPr>
        <w:t xml:space="preserve"> </w:t>
      </w:r>
      <w:proofErr w:type="spellStart"/>
      <w:r>
        <w:rPr>
          <w:rFonts w:ascii="Traditional Arabic" w:hAnsi="Traditional Arabic" w:cs="Traditional Arabic"/>
          <w:b/>
          <w:bCs/>
          <w:color w:val="auto"/>
          <w:sz w:val="28"/>
          <w:szCs w:val="28"/>
          <w:rtl/>
        </w:rPr>
        <w:t>Regression</w:t>
      </w:r>
      <w:proofErr w:type="spellEnd"/>
      <w:r>
        <w:rPr>
          <w:rFonts w:ascii="Traditional Arabic" w:hAnsi="Traditional Arabic" w:cs="Traditional Arabic"/>
          <w:b/>
          <w:bCs/>
          <w:color w:val="auto"/>
          <w:sz w:val="28"/>
          <w:szCs w:val="28"/>
          <w:rtl/>
        </w:rPr>
        <w:t>)، وذلك بعد التحقق من انحراف البيانات عن التوزيع الطبيعي وعدم تجانس التباين.</w:t>
      </w:r>
    </w:p>
    <w:p w14:paraId="1A76C465" w14:textId="6372C100" w:rsidR="00AD7D4E" w:rsidRDefault="00C6300C" w:rsidP="00E000FF">
      <w:pPr>
        <w:pStyle w:val="Heading2"/>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أظهرت النتائج وجود علاقة طردية دالة إحصائياً بين تطبيق تقنية الترميز ومستوى الأمن السيبراني المؤسسي (r = 0.641، p &lt; 0.001)، وبين تطبيق التقنية وكفاءة العمليات المالية (r = 0.625، p &lt; 0.001). كما فسّر نموذجا الانحدار المنقّح ما نسبته (78.3%) من التباين في الأمن السيبراني المؤسسي و(74.7%) من التباين في الكفاءة التشغيلية المالية. وكشفت النتائج عن فروق دالة إحصائياً تُعزى إلى مستوى تبنّي المؤسسة للتقنية ولنوع المؤسسة المالية. وتوصي الدراسة بتوسيع نطاق تطبيق الترميز وربطه بمنظومة الامتثال للمعايير الدولية بوصفه ممكِّناً لأهداف رؤية 2030.</w:t>
      </w:r>
    </w:p>
    <w:p w14:paraId="7BC4AA21" w14:textId="77777777" w:rsidR="0005531B" w:rsidRDefault="0005531B" w:rsidP="0005531B">
      <w:pPr>
        <w:bidi/>
        <w:rPr>
          <w:rtl/>
        </w:rPr>
      </w:pPr>
    </w:p>
    <w:p w14:paraId="4D8DA346" w14:textId="77777777" w:rsidR="0005531B" w:rsidRPr="0005531B" w:rsidRDefault="0005531B" w:rsidP="0005531B">
      <w:pPr>
        <w:bidi/>
      </w:pPr>
    </w:p>
    <w:p w14:paraId="24E0998E" w14:textId="77777777" w:rsidR="00AD7D4E" w:rsidRPr="00AD7D4E" w:rsidRDefault="00AD7D4E" w:rsidP="00E000FF">
      <w:pPr>
        <w:bidi/>
        <w:spacing w:after="0" w:line="360" w:lineRule="auto"/>
      </w:pPr>
    </w:p>
    <w:p w14:paraId="26C84E4B" w14:textId="77777777" w:rsidR="0005778F" w:rsidRDefault="00F443A5" w:rsidP="00E000FF">
      <w:pPr>
        <w:pStyle w:val="HeadingTOCEntry"/>
        <w:spacing w:after="0" w:line="360" w:lineRule="auto"/>
        <w:rPr>
          <w:rFonts w:ascii="Traditional Arabic" w:hAnsi="Traditional Arabic" w:cs="Traditional Arabic"/>
          <w:b/>
          <w:bCs/>
          <w:sz w:val="32"/>
          <w:szCs w:val="32"/>
          <w:u w:val="single"/>
        </w:rPr>
      </w:pPr>
      <w:r w:rsidRPr="00F443A5">
        <w:rPr>
          <w:rFonts w:ascii="Traditional Arabic" w:hAnsi="Traditional Arabic" w:cs="Traditional Arabic"/>
          <w:b/>
          <w:bCs/>
          <w:sz w:val="32"/>
          <w:szCs w:val="32"/>
          <w:u w:val="single"/>
        </w:rPr>
        <w:lastRenderedPageBreak/>
        <w:t>Abstract (English)</w:t>
      </w:r>
    </w:p>
    <w:p w14:paraId="466B5811" w14:textId="77777777" w:rsidR="0005778F" w:rsidRPr="00F277A5" w:rsidRDefault="00F630BE" w:rsidP="00E000FF">
      <w:pPr>
        <w:pStyle w:val="HeadingTOCEntry"/>
        <w:spacing w:after="0" w:line="360" w:lineRule="auto"/>
        <w:jc w:val="both"/>
        <w:rPr>
          <w:rFonts w:ascii="Traditional Arabic" w:hAnsi="Traditional Arabic" w:cs="Traditional Arabic"/>
          <w:sz w:val="28"/>
          <w:szCs w:val="28"/>
        </w:rPr>
      </w:pPr>
      <w:r w:rsidRPr="00F277A5">
        <w:rPr>
          <w:rFonts w:ascii="Traditional Arabic" w:hAnsi="Traditional Arabic" w:cs="Traditional Arabic"/>
          <w:sz w:val="28"/>
          <w:szCs w:val="28"/>
        </w:rPr>
        <w:t>This study aims to analyze and evaluate the impact of tokenization technology on enhancing cybersecurity and improving financial operations efficiency in Saudi financial institutions, within the framework of Saudi Vision 2030 for digital transformation and financial sector development. The study gains significant importance amid the escalating challenges facing the Saudi financial sector regarding increasing cyber-attacks and the urgent need to improve financial transaction efficiency to achieve Vision targets.</w:t>
      </w:r>
    </w:p>
    <w:p w14:paraId="20E7E422" w14:textId="77777777" w:rsidR="0005778F" w:rsidRPr="00F277A5" w:rsidRDefault="00F630BE" w:rsidP="00E000FF">
      <w:pPr>
        <w:pStyle w:val="HeadingTOCEntry"/>
        <w:spacing w:after="0" w:line="360" w:lineRule="auto"/>
        <w:jc w:val="both"/>
        <w:rPr>
          <w:rFonts w:ascii="Traditional Arabic" w:hAnsi="Traditional Arabic" w:cs="Traditional Arabic"/>
          <w:sz w:val="28"/>
          <w:szCs w:val="28"/>
        </w:rPr>
      </w:pPr>
      <w:r w:rsidRPr="00F277A5">
        <w:rPr>
          <w:rFonts w:ascii="Traditional Arabic" w:hAnsi="Traditional Arabic" w:cs="Traditional Arabic"/>
          <w:sz w:val="28"/>
          <w:szCs w:val="28"/>
        </w:rPr>
        <w:t>The study objectives include measuring tokenization technology's impact on cybersecurity indicators such as security breach rates, data theft incidents, and compliance with security standards, in addition to analyzing its effect on financial operations efficiency in terms of reducing transaction time, lowering operational costs, and improving customer experience. It also aims to identify differences in impact according to the size and type of financial institutions and explore challenges facing the adoption of this technology.</w:t>
      </w:r>
    </w:p>
    <w:p w14:paraId="217CA05F" w14:textId="3B009884" w:rsidR="00F630BE" w:rsidRPr="00F277A5" w:rsidRDefault="00F630BE" w:rsidP="00E000FF">
      <w:pPr>
        <w:pStyle w:val="HeadingTOCEntry"/>
        <w:spacing w:after="0" w:line="360" w:lineRule="auto"/>
        <w:jc w:val="both"/>
        <w:rPr>
          <w:rFonts w:ascii="Traditional Arabic" w:hAnsi="Traditional Arabic" w:cs="Traditional Arabic"/>
          <w:sz w:val="28"/>
          <w:szCs w:val="28"/>
        </w:rPr>
      </w:pPr>
      <w:r w:rsidRPr="00F277A5">
        <w:rPr>
          <w:rFonts w:ascii="Traditional Arabic" w:hAnsi="Traditional Arabic" w:cs="Traditional Arabic"/>
          <w:sz w:val="28"/>
          <w:szCs w:val="28"/>
        </w:rPr>
        <w:t xml:space="preserve">The study adopted a quantitative descriptive-analytical approach. An electronic questionnaire was administered to a purposive sample of 196 respondents working in information technology, cybersecurity, financial operations and compliance functions within Saudi financial institutions. Data were </w:t>
      </w:r>
      <w:proofErr w:type="spellStart"/>
      <w:r w:rsidRPr="00F277A5">
        <w:rPr>
          <w:rFonts w:ascii="Traditional Arabic" w:hAnsi="Traditional Arabic" w:cs="Traditional Arabic"/>
          <w:sz w:val="28"/>
          <w:szCs w:val="28"/>
        </w:rPr>
        <w:t>analysed</w:t>
      </w:r>
      <w:proofErr w:type="spellEnd"/>
      <w:r w:rsidRPr="00F277A5">
        <w:rPr>
          <w:rFonts w:ascii="Traditional Arabic" w:hAnsi="Traditional Arabic" w:cs="Traditional Arabic"/>
          <w:sz w:val="28"/>
          <w:szCs w:val="28"/>
        </w:rPr>
        <w:t xml:space="preserve"> using non-parametric methods: Spearman rank correlation, Mann-Whitney U, Kruskal-Wallis, and Robust Regression, following confirmation of non-normality and heterogeneity of variance.</w:t>
      </w:r>
    </w:p>
    <w:p w14:paraId="6AB6CD3B" w14:textId="4521306E" w:rsidR="00C6300C" w:rsidRPr="00F277A5" w:rsidRDefault="00F630BE" w:rsidP="00E000FF">
      <w:pPr>
        <w:pStyle w:val="Heading2"/>
        <w:spacing w:before="0" w:line="360" w:lineRule="auto"/>
        <w:jc w:val="both"/>
        <w:rPr>
          <w:rFonts w:ascii="Simplified Arabic" w:hAnsi="Simplified Arabic" w:cs="Simplified Arabic"/>
          <w:color w:val="auto"/>
          <w:sz w:val="28"/>
          <w:szCs w:val="28"/>
          <w:rtl/>
        </w:rPr>
      </w:pPr>
      <w:r w:rsidRPr="00F277A5">
        <w:rPr>
          <w:rFonts w:ascii="Traditional Arabic" w:eastAsiaTheme="minorHAnsi" w:hAnsi="Traditional Arabic" w:cs="Traditional Arabic"/>
          <w:color w:val="auto"/>
          <w:sz w:val="28"/>
          <w:szCs w:val="28"/>
        </w:rPr>
        <w:lastRenderedPageBreak/>
        <w:t>Results revealed a statistically significant positive relationship between tokenization adoption and institutional cybersecurity (r = 0.641, p &lt; 0.001), and between tokenization and financial operations efficiency (r = 0.625, p &lt; 0.001). The robust regression models explained 78.3% of the variance in institutional cybersecurity and 74.7% of the variance in financial operational efficiency. Significant differences were found according to the institution's adoption level and institution type. The study recommends expanding tokenization coverage and linking it to international compliance frameworks as an enabler of Vision 2030 objectives.</w:t>
      </w:r>
    </w:p>
    <w:p w14:paraId="13D3A60E" w14:textId="77777777" w:rsidR="0005531B" w:rsidRDefault="0005531B">
      <w:pPr>
        <w:spacing w:after="200" w:line="276" w:lineRule="auto"/>
        <w:rPr>
          <w:rFonts w:ascii="Traditional Arabic" w:hAnsi="Traditional Arabic" w:cs="Traditional Arabic"/>
          <w:b/>
          <w:bCs/>
          <w:sz w:val="92"/>
          <w:szCs w:val="92"/>
          <w:rtl/>
        </w:rPr>
      </w:pPr>
      <w:bookmarkStart w:id="4" w:name="_Toc224563914"/>
      <w:bookmarkStart w:id="5" w:name="_Toc234424108"/>
      <w:r>
        <w:rPr>
          <w:rFonts w:ascii="Traditional Arabic" w:hAnsi="Traditional Arabic" w:cs="Traditional Arabic"/>
          <w:b/>
          <w:bCs/>
          <w:sz w:val="92"/>
          <w:szCs w:val="92"/>
          <w:rtl/>
        </w:rPr>
        <w:br w:type="page"/>
      </w:r>
    </w:p>
    <w:p w14:paraId="4DCB0064" w14:textId="77777777" w:rsidR="0005531B" w:rsidRDefault="0005531B" w:rsidP="00E000FF">
      <w:pPr>
        <w:pStyle w:val="HeadingTOCEntry"/>
        <w:bidi/>
        <w:spacing w:after="0" w:line="360" w:lineRule="auto"/>
        <w:ind w:left="432" w:hanging="432"/>
        <w:jc w:val="center"/>
        <w:rPr>
          <w:rFonts w:ascii="Traditional Arabic" w:hAnsi="Traditional Arabic" w:cs="Traditional Arabic"/>
          <w:b/>
          <w:bCs/>
          <w:sz w:val="92"/>
          <w:szCs w:val="92"/>
          <w:rtl/>
        </w:rPr>
      </w:pPr>
    </w:p>
    <w:p w14:paraId="3ACF47AF" w14:textId="77777777" w:rsidR="0005531B" w:rsidRDefault="0005531B" w:rsidP="0005531B">
      <w:pPr>
        <w:pStyle w:val="HeadingTOCEntry"/>
        <w:bidi/>
        <w:spacing w:after="0" w:line="360" w:lineRule="auto"/>
        <w:ind w:left="432" w:hanging="432"/>
        <w:jc w:val="center"/>
        <w:rPr>
          <w:rFonts w:ascii="Traditional Arabic" w:hAnsi="Traditional Arabic" w:cs="Traditional Arabic"/>
          <w:b/>
          <w:bCs/>
          <w:sz w:val="92"/>
          <w:szCs w:val="92"/>
          <w:rtl/>
        </w:rPr>
      </w:pPr>
    </w:p>
    <w:p w14:paraId="04E7D36B" w14:textId="77777777" w:rsidR="0005531B" w:rsidRDefault="0005531B" w:rsidP="0005531B">
      <w:pPr>
        <w:pStyle w:val="HeadingTOCEntry"/>
        <w:bidi/>
        <w:spacing w:after="0" w:line="360" w:lineRule="auto"/>
        <w:ind w:left="432" w:hanging="432"/>
        <w:jc w:val="center"/>
        <w:rPr>
          <w:rFonts w:ascii="Traditional Arabic" w:hAnsi="Traditional Arabic" w:cs="Traditional Arabic"/>
          <w:b/>
          <w:bCs/>
          <w:sz w:val="92"/>
          <w:szCs w:val="92"/>
          <w:rtl/>
        </w:rPr>
      </w:pPr>
    </w:p>
    <w:p w14:paraId="602248CA" w14:textId="1D05DC79" w:rsidR="00D370C1" w:rsidRPr="000C2DBF" w:rsidRDefault="00D370C1" w:rsidP="0005531B">
      <w:pPr>
        <w:pStyle w:val="HeadingTOCEntry"/>
        <w:bidi/>
        <w:spacing w:after="0" w:line="360" w:lineRule="auto"/>
        <w:ind w:left="432" w:hanging="432"/>
        <w:jc w:val="center"/>
        <w:rPr>
          <w:rFonts w:ascii="Simplified Arabic" w:hAnsi="Simplified Arabic" w:cs="Simplified Arabic"/>
          <w:b/>
          <w:bCs/>
          <w:sz w:val="96"/>
          <w:szCs w:val="96"/>
          <w:rtl/>
        </w:rPr>
      </w:pPr>
      <w:r w:rsidRPr="0005778F">
        <w:rPr>
          <w:rFonts w:ascii="Traditional Arabic" w:hAnsi="Traditional Arabic" w:cs="Traditional Arabic" w:hint="cs"/>
          <w:b/>
          <w:bCs/>
          <w:sz w:val="92"/>
          <w:szCs w:val="92"/>
          <w:rtl/>
        </w:rPr>
        <w:t>الفصل الأول</w:t>
      </w:r>
      <w:bookmarkEnd w:id="4"/>
      <w:bookmarkEnd w:id="5"/>
      <w:r w:rsidRPr="0005778F">
        <w:rPr>
          <w:rFonts w:ascii="Traditional Arabic" w:hAnsi="Traditional Arabic" w:cs="Traditional Arabic" w:hint="cs"/>
          <w:b/>
          <w:bCs/>
          <w:sz w:val="92"/>
          <w:szCs w:val="92"/>
          <w:rtl/>
        </w:rPr>
        <w:t xml:space="preserve"> </w:t>
      </w:r>
    </w:p>
    <w:p w14:paraId="1E4F61D3" w14:textId="25455F4A" w:rsidR="00D370C1" w:rsidRPr="0005778F" w:rsidRDefault="00D370C1" w:rsidP="00E000FF">
      <w:pPr>
        <w:bidi/>
        <w:spacing w:after="0" w:line="360" w:lineRule="auto"/>
        <w:jc w:val="center"/>
        <w:rPr>
          <w:rFonts w:ascii="Traditional Arabic" w:hAnsi="Traditional Arabic" w:cs="Traditional Arabic"/>
          <w:b/>
          <w:bCs/>
          <w:sz w:val="92"/>
          <w:szCs w:val="92"/>
          <w:rtl/>
        </w:rPr>
      </w:pPr>
      <w:r w:rsidRPr="0005778F">
        <w:rPr>
          <w:rFonts w:ascii="Traditional Arabic" w:hAnsi="Traditional Arabic" w:cs="Traditional Arabic" w:hint="cs"/>
          <w:b/>
          <w:bCs/>
          <w:sz w:val="92"/>
          <w:szCs w:val="92"/>
          <w:rtl/>
        </w:rPr>
        <w:t>الإطار العام</w:t>
      </w:r>
    </w:p>
    <w:p w14:paraId="5182A08C" w14:textId="77777777" w:rsidR="0005778F" w:rsidRPr="0005778F" w:rsidRDefault="0005778F" w:rsidP="00E000FF">
      <w:pPr>
        <w:spacing w:after="0" w:line="276" w:lineRule="auto"/>
        <w:rPr>
          <w:rFonts w:ascii="Traditional Arabic" w:hAnsi="Traditional Arabic" w:cs="Traditional Arabic"/>
          <w:b/>
          <w:bCs/>
          <w:sz w:val="32"/>
          <w:szCs w:val="32"/>
          <w:rtl/>
        </w:rPr>
      </w:pPr>
      <w:bookmarkStart w:id="6" w:name="_Toc224563915"/>
      <w:bookmarkStart w:id="7" w:name="_Toc234424109"/>
      <w:r w:rsidRPr="0005778F">
        <w:rPr>
          <w:rFonts w:ascii="Traditional Arabic" w:hAnsi="Traditional Arabic" w:cs="Traditional Arabic"/>
          <w:b/>
          <w:bCs/>
          <w:sz w:val="32"/>
          <w:szCs w:val="32"/>
          <w:rtl/>
        </w:rPr>
        <w:br w:type="page"/>
      </w:r>
    </w:p>
    <w:p w14:paraId="63F1891A" w14:textId="77777777" w:rsidR="0005778F"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lastRenderedPageBreak/>
        <w:t>مقدمة الدراسة</w:t>
      </w:r>
      <w:bookmarkEnd w:id="6"/>
      <w:bookmarkEnd w:id="7"/>
    </w:p>
    <w:p w14:paraId="141BDC50"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يشهد العالم تحولات متسارعة في قطاع التكنولوجيا المالية (</w:t>
      </w:r>
      <w:r w:rsidRPr="0005531B">
        <w:rPr>
          <w:rFonts w:ascii="Traditional Arabic" w:hAnsi="Traditional Arabic" w:cs="Traditional Arabic"/>
          <w:sz w:val="28"/>
          <w:szCs w:val="28"/>
        </w:rPr>
        <w:t>Fintech</w:t>
      </w:r>
      <w:r w:rsidRPr="0005531B">
        <w:rPr>
          <w:rFonts w:ascii="Traditional Arabic" w:hAnsi="Traditional Arabic" w:cs="Traditional Arabic"/>
          <w:sz w:val="28"/>
          <w:szCs w:val="28"/>
          <w:rtl/>
        </w:rPr>
        <w:t>) وتطبيقاتها المتنوعة، حيث برزت تقنية الترميز (</w:t>
      </w:r>
      <w:r w:rsidRPr="0005531B">
        <w:rPr>
          <w:rFonts w:ascii="Traditional Arabic" w:hAnsi="Traditional Arabic" w:cs="Traditional Arabic"/>
          <w:sz w:val="28"/>
          <w:szCs w:val="28"/>
        </w:rPr>
        <w:t>Tokenization</w:t>
      </w:r>
      <w:r w:rsidRPr="0005531B">
        <w:rPr>
          <w:rFonts w:ascii="Traditional Arabic" w:hAnsi="Traditional Arabic" w:cs="Traditional Arabic"/>
          <w:sz w:val="28"/>
          <w:szCs w:val="28"/>
          <w:rtl/>
        </w:rPr>
        <w:t>) 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p>
    <w:p w14:paraId="0BDF9247"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p>
    <w:p w14:paraId="1AFB5D86"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 xml:space="preserve">وفقاً لتقرير "فنتك السعودية"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 </w:t>
      </w:r>
      <w:r w:rsidRPr="0005531B">
        <w:rPr>
          <w:rFonts w:ascii="Traditional Arabic" w:hAnsi="Traditional Arabic" w:cs="Traditional Arabic"/>
          <w:sz w:val="28"/>
          <w:szCs w:val="28"/>
        </w:rPr>
        <w:t>Mordor Intelligence</w:t>
      </w:r>
      <w:r w:rsidRPr="0005531B">
        <w:rPr>
          <w:rFonts w:ascii="Traditional Arabic" w:hAnsi="Traditional Arabic" w:cs="Traditional Arabic"/>
          <w:sz w:val="28"/>
          <w:szCs w:val="28"/>
          <w:rtl/>
        </w:rPr>
        <w:t xml:space="preserve"> (2023) 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p>
    <w:p w14:paraId="383FAC35"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p>
    <w:p w14:paraId="7DBE2E83"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 xml:space="preserve">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 </w:t>
      </w:r>
      <w:r w:rsidRPr="0005531B">
        <w:rPr>
          <w:rFonts w:ascii="Traditional Arabic" w:hAnsi="Traditional Arabic" w:cs="Traditional Arabic"/>
          <w:sz w:val="28"/>
          <w:szCs w:val="28"/>
        </w:rPr>
        <w:t>PwC</w:t>
      </w:r>
      <w:r w:rsidRPr="0005531B">
        <w:rPr>
          <w:rFonts w:ascii="Traditional Arabic" w:hAnsi="Traditional Arabic" w:cs="Traditional Arabic"/>
          <w:sz w:val="28"/>
          <w:szCs w:val="28"/>
          <w:rtl/>
        </w:rPr>
        <w:t xml:space="preserve"> (2022) أن المؤسسات المالية التي تطبق تقنيات الترميز بشكل فعال تشهد انخفاضاً في معدلات الاختراق بنسبة تصل إلى 73% وتحسناً في كفاءة المعاملات بنسبة 62%.</w:t>
      </w:r>
    </w:p>
    <w:p w14:paraId="040B5FD0" w14:textId="77777777" w:rsidR="00D46A37" w:rsidRPr="0005531B" w:rsidRDefault="00D46A37"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p>
    <w:p w14:paraId="319E5BA6" w14:textId="43676ABB" w:rsidR="00CF3CD3" w:rsidRPr="0005531B" w:rsidRDefault="00D46A37" w:rsidP="00E000FF">
      <w:pPr>
        <w:bidi/>
        <w:spacing w:after="0" w:line="360" w:lineRule="auto"/>
        <w:jc w:val="both"/>
        <w:rPr>
          <w:rFonts w:ascii="Traditional Arabic" w:hAnsi="Traditional Arabic" w:cs="Traditional Arabic"/>
          <w:sz w:val="28"/>
          <w:szCs w:val="28"/>
          <w:rtl/>
        </w:rPr>
      </w:pPr>
      <w:r w:rsidRPr="0005531B">
        <w:rPr>
          <w:rFonts w:ascii="Traditional Arabic" w:hAnsi="Traditional Arabic" w:cs="Traditional Arabic"/>
          <w:sz w:val="28"/>
          <w:szCs w:val="28"/>
          <w:rtl/>
        </w:rPr>
        <w:t>وفي ضوء ما تقدَّم من نمو متسارع في القطاع المالي السعودي، وتصاعد في التهديدات السيبرانية، وحضور متزايد لتقنية الترميز بوصفها أحد الحلول التقنية المطروحة، تبرز الحاجة إلى فحص علمي منضبط لأثر هذه التقنية على الأمن السيبراني وكفاءة العمليات المالية داخل المؤسسات المالية السعودية، وهو ما يتناوله المبحث التالي في إطار تحديد مشكلة الدراسة.</w:t>
      </w:r>
    </w:p>
    <w:p w14:paraId="198291C8" w14:textId="77777777" w:rsidR="00D46A37" w:rsidRPr="0072768E" w:rsidRDefault="00D46A37" w:rsidP="00E000FF">
      <w:pPr>
        <w:bidi/>
        <w:spacing w:after="0" w:line="360" w:lineRule="auto"/>
        <w:jc w:val="both"/>
        <w:rPr>
          <w:rtl/>
        </w:rPr>
      </w:pPr>
    </w:p>
    <w:p w14:paraId="33922742" w14:textId="77777777" w:rsidR="00D46A37" w:rsidRDefault="00883E09" w:rsidP="00E000FF">
      <w:pPr>
        <w:pStyle w:val="HeadingTOCEntry"/>
        <w:bidi/>
        <w:spacing w:after="0" w:line="360" w:lineRule="auto"/>
        <w:ind w:left="432" w:hanging="432"/>
        <w:jc w:val="both"/>
        <w:rPr>
          <w:rFonts w:ascii="Traditional Arabic" w:hAnsi="Traditional Arabic" w:cs="Traditional Arabic"/>
          <w:b/>
          <w:bCs/>
          <w:sz w:val="32"/>
          <w:szCs w:val="32"/>
          <w:u w:val="single"/>
          <w:rtl/>
        </w:rPr>
      </w:pPr>
      <w:bookmarkStart w:id="8" w:name="_Toc224563916"/>
      <w:bookmarkStart w:id="9" w:name="_Toc234424110"/>
      <w:r>
        <w:rPr>
          <w:rFonts w:ascii="Traditional Arabic" w:hAnsi="Traditional Arabic" w:cs="Traditional Arabic"/>
          <w:b/>
          <w:bCs/>
          <w:sz w:val="32"/>
          <w:szCs w:val="32"/>
          <w:u w:val="single"/>
          <w:rtl/>
        </w:rPr>
        <w:t>مشكلة الدراسة وأسئلتها</w:t>
      </w:r>
      <w:r>
        <w:rPr>
          <w:rFonts w:ascii="Traditional Arabic" w:hAnsi="Traditional Arabic" w:cs="Traditional Arabic" w:hint="cs"/>
          <w:b/>
          <w:bCs/>
          <w:sz w:val="32"/>
          <w:szCs w:val="32"/>
          <w:u w:val="single"/>
          <w:rtl/>
        </w:rPr>
        <w:t>:</w:t>
      </w:r>
      <w:bookmarkEnd w:id="8"/>
      <w:bookmarkEnd w:id="9"/>
    </w:p>
    <w:p w14:paraId="7B803C17" w14:textId="77777777" w:rsidR="00F277A5" w:rsidRPr="0005531B" w:rsidRDefault="00F277A5" w:rsidP="00E000FF">
      <w:pPr>
        <w:bidi/>
        <w:spacing w:after="0" w:line="360" w:lineRule="auto"/>
        <w:jc w:val="both"/>
        <w:rPr>
          <w:rFonts w:ascii="Traditional Arabic" w:hAnsi="Traditional Arabic" w:cs="Traditional Arabic"/>
          <w:sz w:val="28"/>
          <w:szCs w:val="28"/>
        </w:rPr>
      </w:pPr>
      <w:bookmarkStart w:id="10" w:name="_Toc195285632"/>
      <w:r w:rsidRPr="0005531B">
        <w:rPr>
          <w:rFonts w:ascii="Traditional Arabic" w:hAnsi="Traditional Arabic" w:cs="Traditional Arabic"/>
          <w:sz w:val="28"/>
          <w:szCs w:val="28"/>
          <w:rtl/>
        </w:rPr>
        <w:t xml:space="preserve">وتعكس هذه التهديدات تأثيراً مباشراً على ثقة المستهلكين، حيث يشير تقرير </w:t>
      </w:r>
      <w:r w:rsidRPr="0005531B">
        <w:rPr>
          <w:rFonts w:ascii="Traditional Arabic" w:hAnsi="Traditional Arabic" w:cs="Traditional Arabic"/>
          <w:sz w:val="28"/>
          <w:szCs w:val="28"/>
        </w:rPr>
        <w:t>Saudi Payments</w:t>
      </w:r>
      <w:r w:rsidRPr="0005531B">
        <w:rPr>
          <w:rFonts w:ascii="Traditional Arabic" w:hAnsi="Traditional Arabic" w:cs="Traditional Arabic"/>
          <w:sz w:val="28"/>
          <w:szCs w:val="28"/>
          <w:rtl/>
        </w:rPr>
        <w:t xml:space="preserve"> (2023) 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p>
    <w:p w14:paraId="018E350C"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 xml:space="preserve">من جهة أخرى، تواجه المؤسسات المالية السعودية فجوة حقيقية في كفاءة المعاملات المالية، حيث تكشف دراسة أجرتها شركة </w:t>
      </w:r>
      <w:proofErr w:type="spellStart"/>
      <w:r w:rsidRPr="0005531B">
        <w:rPr>
          <w:rFonts w:ascii="Traditional Arabic" w:hAnsi="Traditional Arabic" w:cs="Traditional Arabic"/>
          <w:sz w:val="28"/>
          <w:szCs w:val="28"/>
          <w:rtl/>
        </w:rPr>
        <w:t>ديلويت</w:t>
      </w:r>
      <w:proofErr w:type="spellEnd"/>
      <w:r w:rsidRPr="0005531B">
        <w:rPr>
          <w:rFonts w:ascii="Traditional Arabic" w:hAnsi="Traditional Arabic" w:cs="Traditional Arabic"/>
          <w:sz w:val="28"/>
          <w:szCs w:val="28"/>
          <w:rtl/>
        </w:rPr>
        <w:t xml:space="preserve"> (2022) أن معالجة المعاملات المالية التقليدية تستغرق في المتوسط 2-3 أيام عمل، وتكلف ما بين 15-20 ريالاً للمعاملة الواحدة، بالإضافة إلى استهلاك موارد بشرية كبيرة للتحقق والمصادقة، مما يؤثر سلباً على تنافسية هذه المؤسسات وتجربة العملاء.</w:t>
      </w:r>
    </w:p>
    <w:p w14:paraId="4795B60C"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lastRenderedPageBreak/>
        <w:t>وفي ظل هذا الواقع، تبرز تقنية الترميز كحل تقني واعد يمكن أن يعالج هذه التحديات المزدوجة، حيث تشير دراسة معهد ماكينزي العالمي (2023) إلى إمكانية تقليل مخاطر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p>
    <w:p w14:paraId="5575B60A"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 (</w:t>
      </w:r>
      <w:r w:rsidRPr="0005531B">
        <w:rPr>
          <w:rFonts w:ascii="Traditional Arabic" w:hAnsi="Traditional Arabic" w:cs="Traditional Arabic"/>
          <w:sz w:val="28"/>
          <w:szCs w:val="28"/>
        </w:rPr>
        <w:t>World Economic Forum, 2024</w:t>
      </w:r>
      <w:r w:rsidRPr="0005531B">
        <w:rPr>
          <w:rFonts w:ascii="Traditional Arabic" w:hAnsi="Traditional Arabic" w:cs="Traditional Arabic"/>
          <w:sz w:val="28"/>
          <w:szCs w:val="28"/>
          <w:rtl/>
        </w:rPr>
        <w:t>) 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p>
    <w:p w14:paraId="1FD56E1C" w14:textId="77777777" w:rsidR="00F277A5" w:rsidRPr="0005531B" w:rsidRDefault="00F277A5" w:rsidP="00E000FF">
      <w:pPr>
        <w:bidi/>
        <w:spacing w:after="0" w:line="360" w:lineRule="auto"/>
        <w:jc w:val="both"/>
        <w:rPr>
          <w:rFonts w:ascii="Traditional Arabic" w:hAnsi="Traditional Arabic" w:cs="Traditional Arabic"/>
          <w:sz w:val="28"/>
          <w:szCs w:val="28"/>
        </w:rPr>
      </w:pPr>
      <w:r w:rsidRPr="0005531B">
        <w:rPr>
          <w:rFonts w:ascii="Traditional Arabic" w:hAnsi="Traditional Arabic" w:cs="Traditional Arabic"/>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p>
    <w:p w14:paraId="5B21D740" w14:textId="77777777" w:rsidR="00F277A5" w:rsidRPr="0005531B" w:rsidRDefault="00F277A5" w:rsidP="00E000FF">
      <w:pPr>
        <w:bidi/>
        <w:spacing w:after="0" w:line="360" w:lineRule="auto"/>
        <w:jc w:val="both"/>
        <w:rPr>
          <w:rFonts w:ascii="Traditional Arabic" w:hAnsi="Traditional Arabic" w:cs="Traditional Arabic"/>
          <w:sz w:val="28"/>
          <w:szCs w:val="28"/>
          <w:rtl/>
        </w:rPr>
      </w:pPr>
      <w:r w:rsidRPr="0005531B">
        <w:rPr>
          <w:rFonts w:ascii="Traditional Arabic" w:hAnsi="Traditional Arabic" w:cs="Traditional Arabic"/>
          <w:sz w:val="28"/>
          <w:szCs w:val="28"/>
          <w:rtl/>
        </w:rPr>
        <w:t xml:space="preserve">وعليه، تتبلور مشكلة الدراسة في وجود فجوة معرفية بين التوسع العملي في تطبيق تقنية الترميز داخل المؤسسات المالية السعودية من جهة، وندرة الأدلة الميدانية الكمية التي تقيس أثر هذا التطبيق على الأمن السيبراني وكفاءة العمليات المالية في البيئة السعودية من جهة أخرى. وتُصاغ مشكلة الدراسة في السؤال الرئيس الآتي: </w:t>
      </w:r>
    </w:p>
    <w:p w14:paraId="27B02111" w14:textId="733F36AF" w:rsidR="00091751" w:rsidRPr="0005531B" w:rsidRDefault="00F277A5" w:rsidP="00E000FF">
      <w:pPr>
        <w:bidi/>
        <w:spacing w:after="0" w:line="360" w:lineRule="auto"/>
        <w:jc w:val="both"/>
        <w:rPr>
          <w:b/>
          <w:bCs/>
          <w:rtl/>
        </w:rPr>
      </w:pPr>
      <w:r w:rsidRPr="0005531B">
        <w:rPr>
          <w:rFonts w:ascii="Traditional Arabic" w:hAnsi="Traditional Arabic" w:cs="Traditional Arabic"/>
          <w:b/>
          <w:bCs/>
          <w:sz w:val="28"/>
          <w:szCs w:val="28"/>
          <w:rtl/>
        </w:rPr>
        <w:t>ما أثر تطبيق تقنية الترميز على الأمن السيبراني وكفاءة العمليات المالية في المؤسسات المالية السعودية في ضوء رؤية 2030؟</w:t>
      </w:r>
    </w:p>
    <w:p w14:paraId="74D2BC59" w14:textId="77777777" w:rsidR="000F651A" w:rsidRPr="0072768E" w:rsidRDefault="000F651A"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sectPr w:rsidR="000F651A" w:rsidRPr="0072768E" w:rsidSect="006E2853">
          <w:headerReference w:type="even" r:id="rId12"/>
          <w:headerReference w:type="default" r:id="rId13"/>
          <w:footerReference w:type="default" r:id="rId14"/>
          <w:headerReference w:type="first" r:id="rId15"/>
          <w:footerReference w:type="first" r:id="rId16"/>
          <w:pgSz w:w="11906" w:h="16838"/>
          <w:pgMar w:top="1440" w:right="1800" w:bottom="1440" w:left="1800" w:header="708" w:footer="144" w:gutter="0"/>
          <w:cols w:space="708"/>
          <w:titlePg/>
          <w:bidi/>
          <w:rtlGutter/>
          <w:docGrid w:linePitch="360"/>
        </w:sectPr>
      </w:pPr>
    </w:p>
    <w:p w14:paraId="57AA48D8" w14:textId="73BF133B" w:rsidR="00D64F3E" w:rsidRPr="0072768E" w:rsidRDefault="004C6F90" w:rsidP="00E000FF">
      <w:pPr>
        <w:pStyle w:val="HeadingTOCEntry"/>
        <w:bidi/>
        <w:spacing w:after="0" w:line="360" w:lineRule="auto"/>
        <w:ind w:left="432" w:hanging="432"/>
        <w:rPr>
          <w:rFonts w:ascii="Simplified Arabic" w:hAnsi="Simplified Arabic" w:cs="Simplified Arabic"/>
          <w:b/>
          <w:bCs/>
          <w:sz w:val="28"/>
          <w:szCs w:val="28"/>
          <w:u w:val="single"/>
          <w:rtl/>
        </w:rPr>
      </w:pPr>
      <w:bookmarkStart w:id="11" w:name="_Toc224563917"/>
      <w:bookmarkStart w:id="12" w:name="_Toc234424111"/>
      <w:r>
        <w:rPr>
          <w:rFonts w:ascii="Traditional Arabic" w:hAnsi="Traditional Arabic" w:cs="Traditional Arabic" w:hint="cs"/>
          <w:b/>
          <w:bCs/>
          <w:sz w:val="32"/>
          <w:szCs w:val="32"/>
          <w:u w:val="single"/>
          <w:rtl/>
        </w:rPr>
        <w:lastRenderedPageBreak/>
        <w:t>أسئلة البحث</w:t>
      </w:r>
      <w:bookmarkEnd w:id="10"/>
      <w:bookmarkEnd w:id="11"/>
      <w:bookmarkEnd w:id="12"/>
    </w:p>
    <w:p w14:paraId="79E8F692" w14:textId="77777777" w:rsidR="00091751" w:rsidRPr="0072768E" w:rsidRDefault="00091751"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تسعى هذه الدراسة إلى الإجابة على التساؤل الرئيسي التالي:</w:t>
      </w:r>
    </w:p>
    <w:p w14:paraId="79482EC1" w14:textId="77777777" w:rsidR="00091751" w:rsidRPr="0072768E" w:rsidRDefault="00091751" w:rsidP="00E000FF">
      <w:pPr>
        <w:pStyle w:val="Heading2"/>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ما هو أثر تقنية الترميز على الأمن السيبراني وكفاءة العمليات المالية في المؤسسات السعودية؟</w:t>
      </w:r>
    </w:p>
    <w:p w14:paraId="5DD31A27" w14:textId="77777777" w:rsidR="004A6241" w:rsidRPr="004A6241" w:rsidRDefault="004A6241" w:rsidP="00E000FF">
      <w:pPr>
        <w:pStyle w:val="Heading1"/>
        <w:numPr>
          <w:ilvl w:val="0"/>
          <w:numId w:val="0"/>
        </w:numPr>
        <w:bidi/>
        <w:spacing w:before="0" w:line="360" w:lineRule="auto"/>
        <w:jc w:val="both"/>
        <w:rPr>
          <w:rFonts w:ascii="Simplified Arabic" w:hAnsi="Simplified Arabic" w:cs="Simplified Arabic"/>
          <w:color w:val="auto"/>
          <w:sz w:val="28"/>
          <w:szCs w:val="28"/>
        </w:rPr>
      </w:pPr>
      <w:bookmarkStart w:id="13" w:name="_Hlk195360523"/>
      <w:bookmarkStart w:id="14" w:name="_Toc217927615"/>
      <w:bookmarkStart w:id="15" w:name="_Toc224563918"/>
      <w:bookmarkStart w:id="16" w:name="_Toc224563975"/>
      <w:bookmarkStart w:id="17" w:name="_Toc234424112"/>
      <w:r>
        <w:rPr>
          <w:rFonts w:ascii="Traditional Arabic" w:hAnsi="Traditional Arabic" w:cs="Traditional Arabic"/>
          <w:b/>
          <w:bCs/>
          <w:color w:val="auto"/>
          <w:rtl/>
        </w:rPr>
        <w:t>وفي ضوء مشكلة الدراسة والتساؤل الرئيسي، يمكن تحديد التساؤلات البحثية الفرعية التالية:</w:t>
      </w:r>
      <w:bookmarkEnd w:id="14"/>
      <w:bookmarkEnd w:id="15"/>
      <w:bookmarkEnd w:id="16"/>
      <w:bookmarkEnd w:id="17"/>
    </w:p>
    <w:p w14:paraId="069F24C3" w14:textId="77777777" w:rsidR="004A6241" w:rsidRPr="004A6241" w:rsidRDefault="004A6241" w:rsidP="00E000FF">
      <w:pPr>
        <w:pStyle w:val="Heading1"/>
        <w:numPr>
          <w:ilvl w:val="0"/>
          <w:numId w:val="0"/>
        </w:numPr>
        <w:bidi/>
        <w:spacing w:before="0" w:line="360" w:lineRule="auto"/>
        <w:jc w:val="both"/>
        <w:rPr>
          <w:rFonts w:ascii="Simplified Arabic" w:hAnsi="Simplified Arabic" w:cs="Simplified Arabic"/>
          <w:color w:val="auto"/>
          <w:sz w:val="28"/>
          <w:szCs w:val="28"/>
        </w:rPr>
      </w:pPr>
      <w:bookmarkStart w:id="18" w:name="_Toc217927616"/>
      <w:bookmarkStart w:id="19" w:name="_Toc224563919"/>
      <w:bookmarkStart w:id="20" w:name="_Toc224563976"/>
      <w:bookmarkStart w:id="21" w:name="_Toc234424113"/>
      <w:r>
        <w:rPr>
          <w:rFonts w:ascii="Traditional Arabic" w:hAnsi="Traditional Arabic" w:cs="Traditional Arabic"/>
          <w:b/>
          <w:bCs/>
          <w:color w:val="auto"/>
          <w:rtl/>
        </w:rPr>
        <w:t>التساؤل البحثي الأول: ما أثر تبنّي تقنية الترميز على مؤشرات الأمن السيبراني في المؤسسات المالية السعودية؟</w:t>
      </w:r>
      <w:bookmarkEnd w:id="18"/>
      <w:bookmarkEnd w:id="19"/>
      <w:bookmarkEnd w:id="20"/>
      <w:bookmarkEnd w:id="21"/>
    </w:p>
    <w:p w14:paraId="2251F11B" w14:textId="77777777" w:rsidR="004A6241" w:rsidRPr="004A6241" w:rsidRDefault="004A6241" w:rsidP="00E000FF">
      <w:pPr>
        <w:pStyle w:val="Heading1"/>
        <w:numPr>
          <w:ilvl w:val="0"/>
          <w:numId w:val="0"/>
        </w:numPr>
        <w:bidi/>
        <w:spacing w:before="0" w:line="360" w:lineRule="auto"/>
        <w:jc w:val="both"/>
        <w:rPr>
          <w:rFonts w:ascii="Simplified Arabic" w:hAnsi="Simplified Arabic" w:cs="Simplified Arabic"/>
          <w:color w:val="auto"/>
          <w:sz w:val="28"/>
          <w:szCs w:val="28"/>
        </w:rPr>
      </w:pPr>
      <w:bookmarkStart w:id="22" w:name="_Toc217927617"/>
      <w:bookmarkStart w:id="23" w:name="_Toc224563920"/>
      <w:bookmarkStart w:id="24" w:name="_Toc224563977"/>
      <w:bookmarkStart w:id="25" w:name="_Toc234424114"/>
      <w:r>
        <w:rPr>
          <w:rFonts w:ascii="Traditional Arabic" w:hAnsi="Traditional Arabic" w:cs="Traditional Arabic"/>
          <w:b/>
          <w:bCs/>
          <w:color w:val="auto"/>
          <w:rtl/>
        </w:rPr>
        <w:t>الأسئلة الفرعية:</w:t>
      </w:r>
      <w:bookmarkEnd w:id="22"/>
      <w:bookmarkEnd w:id="23"/>
      <w:bookmarkEnd w:id="24"/>
      <w:bookmarkEnd w:id="25"/>
    </w:p>
    <w:p w14:paraId="3C9B6F5A" w14:textId="77777777" w:rsidR="004A6241" w:rsidRPr="004A6241" w:rsidRDefault="004A6241" w:rsidP="00E000FF">
      <w:pPr>
        <w:pStyle w:val="Heading1"/>
        <w:numPr>
          <w:ilvl w:val="0"/>
          <w:numId w:val="5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بُعد الترميز الأمني للبيانات على مستوى الأمن السيبراني المؤسسي؟</w:t>
      </w:r>
    </w:p>
    <w:p w14:paraId="320BA1AB" w14:textId="77777777" w:rsidR="004A6241" w:rsidRPr="004A6241" w:rsidRDefault="004A6241" w:rsidP="00E000FF">
      <w:pPr>
        <w:pStyle w:val="Heading1"/>
        <w:numPr>
          <w:ilvl w:val="0"/>
          <w:numId w:val="50"/>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بُعد الامتثال للمعايير الدولية على مستوى الأمن السيبراني المؤسسي؟</w:t>
      </w:r>
    </w:p>
    <w:p w14:paraId="2C7C5FEC" w14:textId="77777777" w:rsidR="004A6241" w:rsidRPr="004A6241" w:rsidRDefault="004A6241" w:rsidP="00E000FF">
      <w:pPr>
        <w:pStyle w:val="HeadingTOCEntry"/>
        <w:bidi/>
        <w:spacing w:after="0" w:line="360" w:lineRule="auto"/>
        <w:ind w:left="432" w:hanging="432"/>
        <w:jc w:val="both"/>
        <w:rPr>
          <w:rFonts w:ascii="Simplified Arabic" w:hAnsi="Simplified Arabic" w:cs="Simplified Arabic"/>
          <w:sz w:val="28"/>
          <w:szCs w:val="28"/>
        </w:rPr>
      </w:pPr>
      <w:bookmarkStart w:id="26" w:name="_Toc217927621"/>
      <w:bookmarkStart w:id="27" w:name="_Toc224563924"/>
      <w:bookmarkStart w:id="28" w:name="_Toc224563981"/>
      <w:bookmarkStart w:id="29" w:name="_Toc234424118"/>
      <w:r>
        <w:rPr>
          <w:rFonts w:ascii="Traditional Arabic" w:hAnsi="Traditional Arabic" w:cs="Traditional Arabic"/>
          <w:b/>
          <w:bCs/>
          <w:sz w:val="32"/>
          <w:szCs w:val="32"/>
          <w:rtl/>
        </w:rPr>
        <w:t>التساؤل البحثي الثاني: ما أثر تبنّي تقنية الترميز على كفاءة العمليات المالية في المؤسسات المالية السعودية؟</w:t>
      </w:r>
      <w:bookmarkEnd w:id="26"/>
      <w:bookmarkEnd w:id="27"/>
      <w:bookmarkEnd w:id="28"/>
      <w:bookmarkEnd w:id="29"/>
    </w:p>
    <w:p w14:paraId="3A78ADFD" w14:textId="77777777" w:rsidR="004A6241" w:rsidRPr="004A6241" w:rsidRDefault="004A6241" w:rsidP="00E000FF">
      <w:pPr>
        <w:pStyle w:val="Heading1"/>
        <w:numPr>
          <w:ilvl w:val="0"/>
          <w:numId w:val="0"/>
        </w:numPr>
        <w:bidi/>
        <w:spacing w:before="0" w:line="360" w:lineRule="auto"/>
        <w:ind w:left="432" w:hanging="432"/>
        <w:jc w:val="both"/>
        <w:rPr>
          <w:rFonts w:ascii="Simplified Arabic" w:hAnsi="Simplified Arabic" w:cs="Simplified Arabic"/>
          <w:color w:val="auto"/>
          <w:sz w:val="28"/>
          <w:szCs w:val="28"/>
        </w:rPr>
      </w:pPr>
      <w:bookmarkStart w:id="30" w:name="_Toc217927622"/>
      <w:bookmarkStart w:id="31" w:name="_Toc224563925"/>
      <w:bookmarkStart w:id="32" w:name="_Toc224563982"/>
      <w:bookmarkStart w:id="33" w:name="_Toc234424119"/>
      <w:r>
        <w:rPr>
          <w:rFonts w:ascii="Traditional Arabic" w:hAnsi="Traditional Arabic" w:cs="Traditional Arabic"/>
          <w:b/>
          <w:bCs/>
          <w:color w:val="auto"/>
          <w:rtl/>
        </w:rPr>
        <w:t>الأسئلة الفرعية:</w:t>
      </w:r>
      <w:bookmarkEnd w:id="30"/>
      <w:bookmarkEnd w:id="31"/>
      <w:bookmarkEnd w:id="32"/>
      <w:bookmarkEnd w:id="33"/>
    </w:p>
    <w:p w14:paraId="42B797CE" w14:textId="77777777" w:rsidR="004A6241" w:rsidRPr="004A6241" w:rsidRDefault="004A6241" w:rsidP="00E000FF">
      <w:pPr>
        <w:pStyle w:val="Heading1"/>
        <w:numPr>
          <w:ilvl w:val="0"/>
          <w:numId w:val="51"/>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بُعد الترميز الأمني للبيانات على الكفاءة التشغيلية المالية؟</w:t>
      </w:r>
    </w:p>
    <w:p w14:paraId="18478BF6" w14:textId="77777777" w:rsidR="004A6241" w:rsidRPr="004A6241" w:rsidRDefault="004A6241" w:rsidP="00E000FF">
      <w:pPr>
        <w:pStyle w:val="Heading1"/>
        <w:numPr>
          <w:ilvl w:val="0"/>
          <w:numId w:val="51"/>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rtl/>
        </w:rPr>
        <w:t>ما أثر بُعد الامتثال للمعايير الدولية على الكفاءة التشغيلية المالية؟</w:t>
      </w:r>
    </w:p>
    <w:p w14:paraId="6ECC9DF7" w14:textId="77777777" w:rsidR="004A6241" w:rsidRPr="004A6241" w:rsidRDefault="004A6241" w:rsidP="00E000FF">
      <w:pPr>
        <w:pStyle w:val="HeadingTOCEntry"/>
        <w:bidi/>
        <w:spacing w:after="0" w:line="360" w:lineRule="auto"/>
        <w:ind w:left="432" w:hanging="432"/>
        <w:jc w:val="both"/>
        <w:rPr>
          <w:rFonts w:ascii="Simplified Arabic" w:hAnsi="Simplified Arabic" w:cs="Simplified Arabic"/>
          <w:sz w:val="28"/>
          <w:szCs w:val="28"/>
        </w:rPr>
      </w:pPr>
      <w:r>
        <w:rPr>
          <w:rFonts w:ascii="Traditional Arabic" w:hAnsi="Traditional Arabic" w:cs="Traditional Arabic"/>
          <w:b/>
          <w:bCs/>
          <w:sz w:val="32"/>
          <w:szCs w:val="32"/>
          <w:rtl/>
        </w:rPr>
        <w:t>التساؤل البحثي الثالث: هل تختلف آثار تطبيق تقنية الترميز باختلاف خصائص المؤسسة المالية؟</w:t>
      </w:r>
    </w:p>
    <w:p w14:paraId="60C9C8C5"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الأسئلة الفرعية:</w:t>
      </w:r>
    </w:p>
    <w:p w14:paraId="03BA71C7"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هل توجد فروق دالة إحصائياً في مستوى الامتثال للمعايير الدولية والأمن السيبراني المؤسسي تُعزى إلى مستوى تبنّي المؤسسة لتقنية الترميز؟</w:t>
      </w:r>
    </w:p>
    <w:p w14:paraId="22AB8F19"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هل توجد فروق دالة إحصائياً في مستوى التوافق مع رؤية 2030 تُعزى إلى نوع المؤسسة المالية؟</w:t>
      </w:r>
    </w:p>
    <w:p w14:paraId="2594D585" w14:textId="7896B447" w:rsidR="003306B7"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34" w:name="_Toc224563935"/>
      <w:bookmarkStart w:id="35" w:name="_Toc234424129"/>
      <w:r>
        <w:rPr>
          <w:rFonts w:ascii="Traditional Arabic" w:hAnsi="Traditional Arabic" w:cs="Traditional Arabic"/>
          <w:b/>
          <w:bCs/>
          <w:sz w:val="32"/>
          <w:szCs w:val="32"/>
          <w:u w:val="single"/>
          <w:rtl/>
        </w:rPr>
        <w:t>أهمية الدراسة (النظرية والتطبيقية):</w:t>
      </w:r>
      <w:bookmarkEnd w:id="13"/>
      <w:bookmarkEnd w:id="34"/>
      <w:bookmarkEnd w:id="35"/>
    </w:p>
    <w:p w14:paraId="60EB31F9" w14:textId="77777777" w:rsidR="0005531B" w:rsidRDefault="003306B7" w:rsidP="0005531B">
      <w:pPr>
        <w:pStyle w:val="HeadingTOCEntry"/>
        <w:bidi/>
        <w:spacing w:after="0" w:line="360" w:lineRule="auto"/>
        <w:ind w:left="-58"/>
        <w:rPr>
          <w:rFonts w:ascii="Traditional Arabic" w:hAnsi="Traditional Arabic" w:cs="Traditional Arabic"/>
          <w:b/>
          <w:bCs/>
          <w:sz w:val="28"/>
          <w:szCs w:val="28"/>
          <w:rtl/>
        </w:rPr>
      </w:pPr>
      <w:r w:rsidRPr="003306B7">
        <w:rPr>
          <w:rFonts w:ascii="Traditional Arabic" w:hAnsi="Traditional Arabic" w:cs="Traditional Arabic"/>
          <w:b/>
          <w:bCs/>
          <w:sz w:val="28"/>
          <w:szCs w:val="28"/>
          <w:rtl/>
        </w:rPr>
        <w:lastRenderedPageBreak/>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p>
    <w:p w14:paraId="4D375295" w14:textId="77777777" w:rsidR="0005531B" w:rsidRDefault="00421EDA"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الأهمية النظرية</w:t>
      </w:r>
    </w:p>
    <w:p w14:paraId="08816309"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إثراء المعرفة العلمية: 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 </w:t>
      </w:r>
    </w:p>
    <w:p w14:paraId="3C0656AC"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تطوير الأطر النظرية: تساهم الدراسة في تطوير الأطر النظرية لفهم العلاقة بين الترميز والأمن السيبراني والكفاءة المالية، مما يفتح المجال لمزيد من البحوث والدراسات في هذا المجال. وتقدم الدراسة نموذجاً متكاملاً يربط بين مختلف أبعاد تقنية الترميز وتأثيراتها على المتغيرات التابعة، مع مراعاة العوامل الوسيطة التي قد تؤثر على هذه العلاقة.</w:t>
      </w:r>
    </w:p>
    <w:p w14:paraId="0D725EFA" w14:textId="77777777" w:rsidR="0005531B"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سد الفجوة البحثية: تسعى الدراسة إلى سد الفجوة البحثية المتمثلة في ندرة الدراسات التي تناولت تأثير تقنية الترميز على القطاع المالي السعودي في سياق رؤية المملكة 2030. وفقاً لدراسة أجراها مركز البحوث والدراسات المالية بجامعة الملك سعود (2023)، فإن أقل من 5% من الدراسات العلمية في مجال التكنولوجيا المالية تناولت تقنية الترميز في السياق السعودي، مما يؤكد الحاجة الملحة لمثل هذه الدراسة.</w:t>
      </w:r>
    </w:p>
    <w:p w14:paraId="377B9784" w14:textId="77777777" w:rsidR="006C4DA5" w:rsidRDefault="00986114" w:rsidP="0005531B">
      <w:pPr>
        <w:pStyle w:val="HeadingTOCEntry"/>
        <w:bidi/>
        <w:spacing w:after="0" w:line="360" w:lineRule="auto"/>
        <w:ind w:left="-58"/>
        <w:rPr>
          <w:rFonts w:ascii="Traditional Arabic" w:hAnsi="Traditional Arabic" w:cs="Traditional Arabic"/>
          <w:b/>
          <w:bCs/>
          <w:sz w:val="28"/>
          <w:szCs w:val="28"/>
          <w:rtl/>
        </w:rPr>
      </w:pPr>
      <w:r>
        <w:rPr>
          <w:rFonts w:ascii="Traditional Arabic" w:hAnsi="Traditional Arabic" w:cs="Traditional Arabic"/>
          <w:b/>
          <w:bCs/>
          <w:sz w:val="28"/>
          <w:szCs w:val="28"/>
          <w:rtl/>
        </w:rPr>
        <w:t>تحديد مؤشرات قياس: 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p>
    <w:p w14:paraId="21C017CA" w14:textId="5828FCEB" w:rsidR="00986114" w:rsidRPr="0072768E" w:rsidRDefault="00986114" w:rsidP="006C4DA5">
      <w:pPr>
        <w:pStyle w:val="HeadingTOCEntry"/>
        <w:bidi/>
        <w:spacing w:after="0" w:line="360" w:lineRule="auto"/>
        <w:ind w:left="-58"/>
        <w:rPr>
          <w:rFonts w:ascii="Simplified Arabic" w:hAnsi="Simplified Arabic" w:cs="Simplified Arabic"/>
          <w:sz w:val="28"/>
          <w:szCs w:val="28"/>
        </w:rPr>
      </w:pPr>
      <w:r>
        <w:rPr>
          <w:rFonts w:ascii="Traditional Arabic" w:hAnsi="Traditional Arabic" w:cs="Traditional Arabic"/>
          <w:b/>
          <w:bCs/>
          <w:sz w:val="28"/>
          <w:szCs w:val="28"/>
          <w:rtl/>
        </w:rPr>
        <w:t xml:space="preserve">تأصيل المفاهيم العلمية: 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 </w:t>
      </w:r>
    </w:p>
    <w:p w14:paraId="2DEA6E78" w14:textId="6600A2FB" w:rsidR="00986114" w:rsidRPr="0072768E" w:rsidRDefault="00986114" w:rsidP="00E000FF">
      <w:pPr>
        <w:pStyle w:val="Heading2"/>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lastRenderedPageBreak/>
        <w:t>إنشاء قاعدة معرفية: 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p>
    <w:p w14:paraId="0ED5F7B2" w14:textId="77777777" w:rsidR="00421EDA" w:rsidRPr="0072768E" w:rsidRDefault="00421EDA" w:rsidP="00E000FF">
      <w:pPr>
        <w:pStyle w:val="Heading2"/>
        <w:bidi/>
        <w:spacing w:before="0" w:line="360" w:lineRule="auto"/>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الأهمية التطبيقية</w:t>
      </w:r>
    </w:p>
    <w:p w14:paraId="0C351743" w14:textId="3F4FB64D"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دعم صناع القرار: 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 </w:t>
      </w:r>
    </w:p>
    <w:p w14:paraId="6BCA1D16" w14:textId="70116C28"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توجيه الاستثمارات: تساعد نتائج الدراسة على توجيه استثمارات المؤسسات المالية نحو تطبيقات الترميز الأكثر فعالية وتأثيراً على الأمن والكفاءة المالية. وتشير تقديرات هيئة السوق المالية (2023) إلى أن الاستثمارات المتوقعة في تقنيات الأمن السيبراني والتكنولوجيا المالية في المملكة ستتجاوز 20 مليار ريال بحلول عام 2030، مما يبرز أهمية ترشيد هذه الاستثمارات وتوجيهها بشكل صحيح. </w:t>
      </w:r>
    </w:p>
    <w:p w14:paraId="43CACB38" w14:textId="676F1F9C"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تطوير السياسات واللوائح: تقدم الدراسة توصيات يمكن أن تساعد الجهات التنظيمية (مثل البنك المركزي السعودي وهيئة السوق المالية) على تطوير سياسات ولوائح تدعم تبني تقنية الترميز وتنظم استخدامها بما يحقق التوازن بين الابتكار والأمن. وتساهم في سد الفجوة التنظيمية التي أشارت إليها دراسة المنتدى الاقتصادي العالمي (2023) كأحد أهم تحديات تبني التقنيات المالية الحديثة في الاقتصادات الناشئة. </w:t>
      </w:r>
    </w:p>
    <w:p w14:paraId="55E3062C" w14:textId="2D1C7EDC"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تحسين الممارسات: توفر الدراسة أفضل الممارسات والدروس المستفادة في مجال تطبيق تقنية الترميز، مما يساعد المؤسسات المالية على تبني هذه التقنية بفعالية وتجنب الأخطاء الشائعة التي قد تؤثر على نجاح التطبيق. وتقدم نماذج عملية يمكن للمؤسسات تبنيها وتكييفها وفقاً لاحتياجاتها وقدراتها. </w:t>
      </w:r>
    </w:p>
    <w:p w14:paraId="0170B63B" w14:textId="393B99EF"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دعم رؤية المملكة 2030: تساهم الدراسة بشكل مباشر في دعم جهود المملكة لتحقيق التحول الرقمي وتطوير القطاع المالي تماشياً مع رؤية المملكة 2030، خاصة فيما يتعلق بمستهدفات برنامج تطوير القطاع المالي الذي يهدف إلى زيادة نسبة المعاملات غير النقدية إلى 70% بحلول عام 2030، وتعزيز مكانة المملكة كمركز مالي إقليمي وعالمي. </w:t>
      </w:r>
    </w:p>
    <w:p w14:paraId="5C0BACA8" w14:textId="3E8D41C3"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 xml:space="preserve">تعزيز التنافسية: تساعد نتائج الدراسة المؤسسات المالية السعودية على تعزيز تنافسيتها محلياً وإقليمياً من خلال تبني تقنيات مبتكرة مثل الترميز التي يمكن أن تحسن من جودة خدماتها وتقلل من تكاليفها التشغيلية. وقد أشارت دراسة شركة KPMG (2023) إلى أن المؤسسات المالية التي تتبنى التقنيات المبتكرة تحقق ميزة تنافسية تقدر بـ 15-20% مقارنة بنظيراتها التقليدية. </w:t>
      </w:r>
    </w:p>
    <w:p w14:paraId="46EB7DDA" w14:textId="4C20AACF"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حماية المستهلك: تساهم الدراسة في تعزيز حماية المستهلك من خلال تسليط الضوء على دور الترميز في تأمين المعلومات المالية والشخصية للعملاء، مما يعزز الثقة في النظام المالي ويشجع على استخدام الخدمات المالية الرقمية. وتشير إحصاءات برنامج حماية العملاء بالبنك المركزي السعودي (2023) إلى أن قضايا الاحتيال والاختراق تمثل 42% من شكاوى عملاء المؤسسات المالية، مما يبرز أهمية تعزيز الأمن السيبراني. </w:t>
      </w:r>
    </w:p>
    <w:p w14:paraId="7FB2074C" w14:textId="1C45A04B" w:rsidR="00491655" w:rsidRPr="0072768E" w:rsidRDefault="00491655" w:rsidP="00E000FF">
      <w:pPr>
        <w:pStyle w:val="Heading2"/>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تطوير الكفاءات: توفر الدراسة معلومات قيمة يمكن أن تساعد في تحديد احتياجات تطوير الكفاءات البشرية في مجال الترميز والأمن السيبراني، مما يدعم جهود توطين المعرفة والمهارات في هذا المجال التقني المتقدم. وتساهم في تحديد الفجوات المهارية التي يجب معالجتها من خلال برامج التدريب والتأهيل.</w:t>
      </w:r>
    </w:p>
    <w:p w14:paraId="0CAD3073" w14:textId="36230F99" w:rsidR="006C71F6" w:rsidRPr="0072768E" w:rsidRDefault="006C71F6"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تعزيز الشمول المالي: تسلط الدراسة الضوء على دور تقنية الترميز في تعزيز الشمول المالي من خلال توفير خدمات مالية آمنة وفعالة لشرائح أوسع من المجتمع، مما يدعم هدف رؤية 2030 المتمثل في زيادة نسبة الشمول المالي إلى 80% بحلول عام 2030. وفقاً لتقرير البنك المركزي السعودي (2023)، فإن تحسين أمن المعاملات المالية يعد عاملاً أساسياً في زيادة ثقة الأفراد والشركات الصغيرة في استخدام الخدمات المالية الرقمية. </w:t>
      </w:r>
    </w:p>
    <w:p w14:paraId="6B286D1D" w14:textId="7A1A3CD1" w:rsidR="006C71F6" w:rsidRPr="0072768E" w:rsidRDefault="006C71F6"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دعم الابتكار: 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 </w:t>
      </w:r>
    </w:p>
    <w:p w14:paraId="1E345B10" w14:textId="5B9C0EC4" w:rsidR="006C71F6" w:rsidRPr="0072768E" w:rsidRDefault="006C71F6" w:rsidP="00E000FF">
      <w:pPr>
        <w:pStyle w:val="Heading2"/>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تحسين إدارة المخاطر: توفر الدراسة إطاراً متكاملاً لفهم وتقييم المخاطر المرتبطة بتبني تقنية الترميز، والاستراتيجيات الفعالة لإدارة هذه المخاطر، مما يساعد المؤسسات المالية على اتخاذ قرارات مدروسة عند تطبيق هذه التقنية. وتقدم منهجية علمية لتقييم العائد على الاستثمار من تطبيقات الترميز المختلفة.</w:t>
      </w:r>
    </w:p>
    <w:p w14:paraId="7844FE2A" w14:textId="77777777" w:rsidR="0080377D" w:rsidRPr="0072768E" w:rsidRDefault="0080377D"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cols w:space="708"/>
          <w:titlePg/>
          <w:bidi/>
          <w:rtlGutter/>
          <w:docGrid w:linePitch="360"/>
        </w:sectPr>
      </w:pPr>
    </w:p>
    <w:p w14:paraId="74A69978" w14:textId="77777777" w:rsidR="00E000FF" w:rsidRDefault="00C11026"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36" w:name="_Toc224563936"/>
      <w:bookmarkStart w:id="37" w:name="_Toc234424130"/>
      <w:r>
        <w:rPr>
          <w:rFonts w:ascii="Traditional Arabic" w:hAnsi="Traditional Arabic" w:cs="Traditional Arabic"/>
          <w:b/>
          <w:bCs/>
          <w:sz w:val="32"/>
          <w:szCs w:val="32"/>
          <w:u w:val="single"/>
          <w:rtl/>
        </w:rPr>
        <w:lastRenderedPageBreak/>
        <w:t>أهداف الدراسة:</w:t>
      </w:r>
      <w:bookmarkStart w:id="38" w:name="_Hlk195360772"/>
      <w:bookmarkEnd w:id="36"/>
      <w:bookmarkEnd w:id="37"/>
    </w:p>
    <w:p w14:paraId="7A049149" w14:textId="1C9AAB34" w:rsidR="00A34BF0" w:rsidRPr="0072768E" w:rsidRDefault="00A34BF0" w:rsidP="00E000FF">
      <w:pPr>
        <w:pStyle w:val="HeadingTOCEntry"/>
        <w:bidi/>
        <w:spacing w:after="0" w:line="360" w:lineRule="auto"/>
        <w:rPr>
          <w:rFonts w:ascii="Simplified Arabic" w:hAnsi="Simplified Arabic" w:cs="Simplified Arabic"/>
          <w:sz w:val="28"/>
          <w:szCs w:val="28"/>
        </w:rPr>
      </w:pPr>
      <w:r>
        <w:rPr>
          <w:rFonts w:ascii="Traditional Arabic" w:hAnsi="Traditional Arabic" w:cs="Traditional Arabic"/>
          <w:b/>
          <w:bCs/>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p>
    <w:bookmarkEnd w:id="38"/>
    <w:p w14:paraId="2BBFE9B4" w14:textId="77777777" w:rsidR="00E04048" w:rsidRPr="0072768E" w:rsidRDefault="00E04048" w:rsidP="00E000FF">
      <w:pPr>
        <w:pStyle w:val="Heading2"/>
        <w:numPr>
          <w:ilvl w:val="0"/>
          <w:numId w:val="3"/>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قياس وتحليل تأثير تقنية الترميز على مؤشرات الأمن السيبراني في المؤسسات المالية السعودية، بما يشمل</w:t>
      </w:r>
      <w:r>
        <w:rPr>
          <w:rFonts w:ascii="Traditional Arabic" w:hAnsi="Traditional Arabic" w:cs="Traditional Arabic" w:hint="cs"/>
          <w:b/>
          <w:bCs/>
          <w:color w:val="auto"/>
          <w:sz w:val="28"/>
          <w:szCs w:val="28"/>
          <w:rtl/>
        </w:rPr>
        <w:t>:</w:t>
      </w:r>
    </w:p>
    <w:p w14:paraId="2A9D8794"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تحليل تأثيرها على معدلات الاختراقات الأمنية وحوادث سرقة البيانات</w:t>
      </w:r>
      <w:r>
        <w:rPr>
          <w:rFonts w:ascii="Traditional Arabic" w:hAnsi="Traditional Arabic" w:cs="Traditional Arabic" w:hint="cs"/>
          <w:b/>
          <w:bCs/>
          <w:color w:val="auto"/>
          <w:sz w:val="28"/>
          <w:szCs w:val="28"/>
          <w:rtl/>
        </w:rPr>
        <w:t>.</w:t>
      </w:r>
    </w:p>
    <w:p w14:paraId="69CE6C5E"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تقييم دورها في تحسين مستوى الامتثال للمعايير الأمنية المحلية والدولية</w:t>
      </w:r>
      <w:r>
        <w:rPr>
          <w:rFonts w:ascii="Traditional Arabic" w:hAnsi="Traditional Arabic" w:cs="Traditional Arabic" w:hint="cs"/>
          <w:b/>
          <w:bCs/>
          <w:color w:val="auto"/>
          <w:sz w:val="28"/>
          <w:szCs w:val="28"/>
          <w:rtl/>
        </w:rPr>
        <w:t>.</w:t>
      </w:r>
    </w:p>
    <w:p w14:paraId="5001E94C" w14:textId="03C161F5" w:rsidR="001058D2"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قياس فعاليتها في تعزيز القدرة على اكتشاف والتصدي للهجمات السيبرانية</w:t>
      </w:r>
      <w:r>
        <w:rPr>
          <w:rFonts w:ascii="Traditional Arabic" w:hAnsi="Traditional Arabic" w:cs="Traditional Arabic" w:hint="cs"/>
          <w:b/>
          <w:bCs/>
          <w:color w:val="auto"/>
          <w:sz w:val="28"/>
          <w:szCs w:val="28"/>
          <w:rtl/>
        </w:rPr>
        <w:t>.</w:t>
      </w:r>
    </w:p>
    <w:p w14:paraId="567F0426" w14:textId="77777777" w:rsidR="00D16538" w:rsidRPr="0072768E" w:rsidRDefault="00D16538" w:rsidP="00E000FF">
      <w:pPr>
        <w:pStyle w:val="Heading2"/>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تحليل مساهمة تقنية الترميز في تحسين كفاءة العمليات المالية في القطاع المالي السعودي من حيث</w:t>
      </w:r>
      <w:r>
        <w:rPr>
          <w:rFonts w:ascii="Traditional Arabic" w:hAnsi="Traditional Arabic" w:cs="Traditional Arabic" w:hint="cs"/>
          <w:b/>
          <w:bCs/>
          <w:color w:val="auto"/>
          <w:sz w:val="28"/>
          <w:szCs w:val="28"/>
          <w:rtl/>
        </w:rPr>
        <w:t>:</w:t>
      </w:r>
    </w:p>
    <w:p w14:paraId="453FDEF3" w14:textId="7B8C5B45" w:rsidR="009365EF"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تقليل وقت معالجة المعاملات المالية</w:t>
      </w:r>
      <w:r>
        <w:rPr>
          <w:rFonts w:ascii="Traditional Arabic" w:hAnsi="Traditional Arabic" w:cs="Traditional Arabic" w:hint="cs"/>
          <w:b/>
          <w:bCs/>
          <w:color w:val="auto"/>
          <w:sz w:val="28"/>
          <w:szCs w:val="28"/>
          <w:rtl/>
        </w:rPr>
        <w:t>.</w:t>
      </w:r>
    </w:p>
    <w:p w14:paraId="747DCE84" w14:textId="52965B7A" w:rsidR="009365EF"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خفض تكاليف العمليات التشغيلية</w:t>
      </w:r>
      <w:r>
        <w:rPr>
          <w:rFonts w:ascii="Traditional Arabic" w:hAnsi="Traditional Arabic" w:cs="Traditional Arabic" w:hint="cs"/>
          <w:b/>
          <w:bCs/>
          <w:color w:val="auto"/>
          <w:sz w:val="28"/>
          <w:szCs w:val="28"/>
          <w:rtl/>
        </w:rPr>
        <w:t>.</w:t>
      </w:r>
    </w:p>
    <w:p w14:paraId="703B12B7" w14:textId="6D40496F" w:rsidR="009365EF"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تحسين مستويات السيولة والوصول إلى الخدمات المالية</w:t>
      </w:r>
      <w:r>
        <w:rPr>
          <w:rFonts w:ascii="Traditional Arabic" w:hAnsi="Traditional Arabic" w:cs="Traditional Arabic" w:hint="cs"/>
          <w:b/>
          <w:bCs/>
          <w:color w:val="auto"/>
          <w:sz w:val="28"/>
          <w:szCs w:val="28"/>
          <w:rtl/>
        </w:rPr>
        <w:t>.</w:t>
      </w:r>
    </w:p>
    <w:p w14:paraId="67F91C57" w14:textId="7AECF9E0" w:rsidR="00D16538" w:rsidRPr="0072768E" w:rsidRDefault="00D1653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تعزيز تجربة العملاء وزيادة رضاهم.</w:t>
      </w:r>
    </w:p>
    <w:p w14:paraId="5AC11EA7" w14:textId="77777777" w:rsidR="00D16538" w:rsidRPr="00D16538" w:rsidRDefault="00D16538" w:rsidP="00E000FF">
      <w:pPr>
        <w:pStyle w:val="Heading2"/>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مستوى الامتثال للمعايير الدولية والأمن السيبراني المؤسسي تبعاً لمستوى تبنّي المؤسسة لتقنية الترميز.</w:t>
      </w:r>
    </w:p>
    <w:p w14:paraId="3DC1DFD5" w14:textId="77777777" w:rsidR="00D16538" w:rsidRPr="00D16538" w:rsidRDefault="00D16538" w:rsidP="00E000FF">
      <w:pPr>
        <w:pStyle w:val="Heading2"/>
        <w:numPr>
          <w:ilvl w:val="0"/>
          <w:numId w:val="3"/>
        </w:numPr>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الكشف عن الفروق ذات الدلالة الإحصائية في مستوى التوافق مع رؤية 2030 تبعاً لنوع المؤسسة المالية.</w:t>
      </w:r>
    </w:p>
    <w:p w14:paraId="56AD5A23" w14:textId="4061F7ED" w:rsidR="009365EF" w:rsidRPr="00C327A0" w:rsidRDefault="00D16538" w:rsidP="00E000FF">
      <w:pPr>
        <w:pStyle w:val="Heading2"/>
        <w:bidi/>
        <w:spacing w:before="0" w:line="360" w:lineRule="auto"/>
        <w:jc w:val="both"/>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تتميز هذه الأهداف بكونها محددة وقابلة للقياس وقابلة للتحقيق وواقعية ومحددة زمنياً (SMART)، مما يساعد على توجيه الدراسة وضمان تحقيق نتائج ملموسة وعملية يمكن الاستفادة منها في تطوير القطاع المالي السعودي</w:t>
      </w:r>
      <w:r>
        <w:rPr>
          <w:rFonts w:ascii="Traditional Arabic" w:hAnsi="Traditional Arabic" w:cs="Traditional Arabic" w:hint="cs"/>
          <w:b/>
          <w:bCs/>
          <w:color w:val="auto"/>
          <w:sz w:val="28"/>
          <w:szCs w:val="28"/>
          <w:rtl/>
        </w:rPr>
        <w:t>.</w:t>
      </w:r>
    </w:p>
    <w:p w14:paraId="45566A95" w14:textId="77777777" w:rsidR="006C4DA5" w:rsidRDefault="006C4DA5"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39" w:name="_Toc224563937"/>
      <w:bookmarkStart w:id="40" w:name="_Toc234424131"/>
    </w:p>
    <w:p w14:paraId="7E315E1C" w14:textId="77777777" w:rsidR="006C4DA5" w:rsidRDefault="006C4DA5" w:rsidP="006C4DA5">
      <w:pPr>
        <w:pStyle w:val="HeadingTOCEntry"/>
        <w:bidi/>
        <w:spacing w:after="0" w:line="360" w:lineRule="auto"/>
        <w:ind w:left="432" w:hanging="432"/>
        <w:rPr>
          <w:rFonts w:ascii="Traditional Arabic" w:hAnsi="Traditional Arabic" w:cs="Traditional Arabic"/>
          <w:b/>
          <w:bCs/>
          <w:sz w:val="32"/>
          <w:szCs w:val="32"/>
          <w:u w:val="single"/>
          <w:rtl/>
        </w:rPr>
      </w:pPr>
    </w:p>
    <w:p w14:paraId="20810C9E" w14:textId="77777777" w:rsidR="006C4DA5" w:rsidRDefault="00A16E60" w:rsidP="006C4DA5">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lastRenderedPageBreak/>
        <w:t>فرضيات الدراسة:</w:t>
      </w:r>
      <w:bookmarkEnd w:id="39"/>
      <w:bookmarkEnd w:id="40"/>
    </w:p>
    <w:p w14:paraId="29E2BA3B" w14:textId="77777777" w:rsidR="006C4DA5" w:rsidRDefault="007E0546" w:rsidP="006C4DA5">
      <w:pPr>
        <w:pStyle w:val="HeadingTOCEntry"/>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اشتُقَّت فرضيات الدراسة من مشكلة الدراسة وأسئلتها البحثية ومن الإطار النظري والدراسات السابقة، بحيث يقابل كل سؤال بحثي فرضٌ رئيس تتفرع عنه فروض فرعية بعدد أبعاد المتغير المستقل، وذلك على النحو الآتي:</w:t>
      </w:r>
    </w:p>
    <w:p w14:paraId="3C3079D8" w14:textId="77777777" w:rsidR="001276DC" w:rsidRDefault="007E0546" w:rsidP="001276DC">
      <w:pPr>
        <w:pStyle w:val="HeadingTOCEntry"/>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 يوجد أثر ذو دلالة إحصائية لتطبيق تقنية الترميز على مستوى الأمن السيبراني المؤسسي في المؤسسات المالية السعودية.</w:t>
      </w:r>
    </w:p>
    <w:p w14:paraId="692B76E7"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H1a: يوجد أثر ذو دلالة إحصائية لبُعد الترميز الأمني للبيانات على الأمن السيبراني المؤسسي.</w:t>
      </w:r>
    </w:p>
    <w:p w14:paraId="4E39B312"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H1b: يوجد أثر ذو دلالة إحصائية لبُعد الامتثال للمعايير الدولية على الأمن السيبراني المؤسسي.</w:t>
      </w:r>
    </w:p>
    <w:p w14:paraId="3699F822" w14:textId="77777777" w:rsidR="001276DC" w:rsidRDefault="007E0546"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 يوجد أثر ذو دلالة إحصائية لتطبيق تقنية الترميز على الكفاءة التشغيلية المالية في المؤسسات المالية السعودية.</w:t>
      </w:r>
    </w:p>
    <w:p w14:paraId="4F1AED06"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H2a: يوجد أثر ذو دلالة إحصائية لبُعد الترميز الأمني للبيانات على الكفاءة التشغيلية المالية.</w:t>
      </w:r>
    </w:p>
    <w:p w14:paraId="22C5F96A"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H2b: يوجد أثر ذو دلالة إحصائية لبُعد الامتثال للمعايير الدولية على الكفاءة التشغيلية المالية.</w:t>
      </w:r>
    </w:p>
    <w:p w14:paraId="35899449" w14:textId="77777777" w:rsidR="001276DC" w:rsidRDefault="007E0546"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H3: توجد فروق ذات دلالة إحصائية في مستويات متغيرات الدراسة تُعزى إلى خصائص المؤسسة المالية.</w:t>
      </w:r>
    </w:p>
    <w:p w14:paraId="3A5CFCBA"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H3a: توجد فروق ذات دلالة إحصائية في مستوى الامتثال للمعايير الدولية والأمن السيبراني المؤسسي تُعزى إلى مستوى تبنّي المؤسسة لتقنية الترميز.</w:t>
      </w:r>
    </w:p>
    <w:p w14:paraId="6AB02BFD" w14:textId="77777777" w:rsidR="001276DC" w:rsidRDefault="00E04048"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H3b: توجد فروق ذات دلالة إحصائية في مستوى التوافق مع رؤية 2030 تُعزى إلى نوع المؤسسة المالية.</w:t>
      </w:r>
    </w:p>
    <w:p w14:paraId="4062ACAB" w14:textId="77777777" w:rsidR="001276DC" w:rsidRDefault="007E0546" w:rsidP="001276DC">
      <w:pPr>
        <w:pStyle w:val="HeadingTOCEntry"/>
        <w:numPr>
          <w:ilvl w:val="0"/>
          <w:numId w:val="63"/>
        </w:numPr>
        <w:bidi/>
        <w:spacing w:after="0" w:line="360" w:lineRule="auto"/>
        <w:rPr>
          <w:rFonts w:ascii="Traditional Arabic" w:hAnsi="Traditional Arabic" w:cs="Traditional Arabic"/>
          <w:b/>
          <w:bCs/>
          <w:sz w:val="28"/>
          <w:szCs w:val="28"/>
          <w:rtl/>
        </w:rPr>
      </w:pPr>
      <w:r>
        <w:rPr>
          <w:rFonts w:ascii="Traditional Arabic" w:hAnsi="Traditional Arabic" w:cs="Traditional Arabic"/>
          <w:b/>
          <w:bCs/>
          <w:sz w:val="28"/>
          <w:szCs w:val="28"/>
          <w:rtl/>
        </w:rPr>
        <w:t>وتُعدّ هذه الفروض الثلاثة الرئيسة وفروعها الستة النسخة المعتمدة الوحيدة للدراسة، ويلتزم نصها وترقيمها بالتطابق في الفصل الأول والفصل الثالث والفصل الرابع.</w:t>
      </w:r>
    </w:p>
    <w:p w14:paraId="69688699" w14:textId="77777777" w:rsidR="001276DC" w:rsidRDefault="001276DC" w:rsidP="001276DC">
      <w:pPr>
        <w:pStyle w:val="HeadingTOCEntry"/>
        <w:bidi/>
        <w:spacing w:after="0" w:line="360" w:lineRule="auto"/>
        <w:rPr>
          <w:rFonts w:ascii="Traditional Arabic" w:hAnsi="Traditional Arabic" w:cs="Traditional Arabic"/>
          <w:b/>
          <w:bCs/>
          <w:sz w:val="28"/>
          <w:szCs w:val="28"/>
          <w:rtl/>
        </w:rPr>
      </w:pPr>
    </w:p>
    <w:p w14:paraId="4A388DC5" w14:textId="77777777" w:rsidR="001276DC" w:rsidRDefault="001276DC" w:rsidP="001276DC">
      <w:pPr>
        <w:pStyle w:val="HeadingTOCEntry"/>
        <w:bidi/>
        <w:spacing w:after="0" w:line="360" w:lineRule="auto"/>
        <w:rPr>
          <w:rFonts w:ascii="Traditional Arabic" w:hAnsi="Traditional Arabic" w:cs="Traditional Arabic"/>
          <w:b/>
          <w:bCs/>
          <w:sz w:val="28"/>
          <w:szCs w:val="28"/>
          <w:rtl/>
        </w:rPr>
      </w:pPr>
    </w:p>
    <w:p w14:paraId="64182AC3" w14:textId="2486FB6F" w:rsidR="003C0190" w:rsidRPr="0072768E" w:rsidRDefault="00AD783C" w:rsidP="001276DC">
      <w:pPr>
        <w:pStyle w:val="HeadingTOCEntry"/>
        <w:bidi/>
        <w:spacing w:after="0" w:line="360" w:lineRule="auto"/>
        <w:rPr>
          <w:rFonts w:ascii="Simplified Arabic" w:hAnsi="Simplified Arabic" w:cs="Simplified Arabic"/>
          <w:sz w:val="28"/>
          <w:szCs w:val="28"/>
          <w:rtl/>
        </w:rPr>
      </w:pPr>
      <w:r>
        <w:rPr>
          <w:rFonts w:ascii="Traditional Arabic" w:hAnsi="Traditional Arabic" w:cs="Traditional Arabic"/>
          <w:b/>
          <w:bCs/>
          <w:sz w:val="28"/>
          <w:szCs w:val="28"/>
          <w:u w:val="single"/>
          <w:rtl/>
        </w:rPr>
        <w:lastRenderedPageBreak/>
        <w:t>نموذج الدراسة</w:t>
      </w:r>
    </w:p>
    <w:p w14:paraId="4732385E" w14:textId="0F3BD74C" w:rsidR="002C300C" w:rsidRPr="0072768E" w:rsidRDefault="002C300C" w:rsidP="00E000FF">
      <w:pPr>
        <w:pStyle w:val="Heading2"/>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يعتبر نموذج الدراسة تمثيلاً بصرياً للعلاقات بين المتغيرات المختلفة التي تتناولها الدراسة، ويساعد على فهم الإطار المفاهيمي للبحث بشكل أوضح. يقدم النموذج التالي تصوراً شاملاً للعلاقة بين تبني تقنية الترميز (كمتغير مستقل) وتأثيرها على الأمن السيبراني وكفاءة العمليات المالية (كمتغيرات تابعة)، مع الأخذ في الاعتبار تأثير المتغيرات الوسيطة.</w:t>
      </w:r>
    </w:p>
    <w:p w14:paraId="3544EE58" w14:textId="3E2CAF0A" w:rsidR="00EE1529" w:rsidRPr="0072768E" w:rsidRDefault="00EE1529" w:rsidP="00E000FF">
      <w:pPr>
        <w:pStyle w:val="Heading2"/>
        <w:bidi/>
        <w:spacing w:before="0" w:line="360" w:lineRule="auto"/>
        <w:rPr>
          <w:color w:val="auto"/>
        </w:rPr>
      </w:pPr>
      <w:r>
        <w:rPr>
          <w:rFonts w:ascii="Traditional Arabic" w:hAnsi="Traditional Arabic" w:cs="Traditional Arabic"/>
          <w:b/>
          <w:bCs/>
          <w:color w:val="auto"/>
          <w:sz w:val="28"/>
          <w:szCs w:val="28"/>
          <w:rtl/>
        </w:rPr>
        <w:t>المتغير المستقل: تطبيق تقنية الترميز (</w:t>
      </w:r>
      <w:proofErr w:type="spellStart"/>
      <w:r>
        <w:rPr>
          <w:rFonts w:ascii="Traditional Arabic" w:hAnsi="Traditional Arabic" w:cs="Traditional Arabic"/>
          <w:b/>
          <w:bCs/>
          <w:color w:val="auto"/>
          <w:sz w:val="28"/>
          <w:szCs w:val="28"/>
          <w:rtl/>
        </w:rPr>
        <w:t>Tokenization</w:t>
      </w:r>
      <w:proofErr w:type="spellEnd"/>
      <w:r>
        <w:rPr>
          <w:rFonts w:ascii="Traditional Arabic" w:hAnsi="Traditional Arabic" w:cs="Traditional Arabic"/>
          <w:b/>
          <w:bCs/>
          <w:color w:val="auto"/>
          <w:sz w:val="28"/>
          <w:szCs w:val="28"/>
          <w:rtl/>
        </w:rPr>
        <w:t>)، ويُقاس ببُعدين:</w:t>
      </w:r>
    </w:p>
    <w:p w14:paraId="3078747F"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الترميز الأمني للبيانات</w:t>
      </w:r>
    </w:p>
    <w:p w14:paraId="1819ED67"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الامتثال للمعايير الدولية</w:t>
      </w:r>
    </w:p>
    <w:p w14:paraId="0EA1E6FB" w14:textId="77777777" w:rsidR="00EE1529" w:rsidRPr="0072768E" w:rsidRDefault="00EE1529" w:rsidP="00E000FF">
      <w:pPr>
        <w:pStyle w:val="Heading2"/>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المتغيرات الضابطة (التصنيفية):</w:t>
      </w:r>
    </w:p>
    <w:p w14:paraId="7426D4C4"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نوع المؤسسة المالية، وحجمها، وعمرها في السوق</w:t>
      </w:r>
    </w:p>
    <w:p w14:paraId="10BD5C24"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مستوى تبنّي المؤسسة لتقنية الترميز (معتمِدة / غير معتمِدة)</w:t>
      </w:r>
    </w:p>
    <w:p w14:paraId="36DB01E1" w14:textId="77777777" w:rsidR="00EE1529" w:rsidRPr="0072768E" w:rsidRDefault="00EE1529" w:rsidP="00E000FF">
      <w:pPr>
        <w:pStyle w:val="Heading2"/>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المتغيرات التابعة:</w:t>
      </w:r>
    </w:p>
    <w:p w14:paraId="0AE3DCBF" w14:textId="77777777" w:rsidR="00EE1529"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الأمن السيبراني المؤسسي</w:t>
      </w:r>
    </w:p>
    <w:p w14:paraId="7FA9FFBB" w14:textId="6B46284F" w:rsidR="00B1069E" w:rsidRPr="0072768E" w:rsidRDefault="00EE1529" w:rsidP="00E000FF">
      <w:pPr>
        <w:pStyle w:val="ListBullet"/>
        <w:numPr>
          <w:ilvl w:val="0"/>
          <w:numId w:val="2"/>
        </w:numPr>
        <w:bidi/>
        <w:spacing w:after="0" w:line="360" w:lineRule="auto"/>
        <w:rPr>
          <w:rFonts w:ascii="Simplified Arabic" w:hAnsi="Simplified Arabic" w:cs="Simplified Arabic"/>
          <w:sz w:val="24"/>
          <w:szCs w:val="24"/>
        </w:rPr>
      </w:pPr>
      <w:r>
        <w:rPr>
          <w:rFonts w:ascii="Traditional Arabic" w:hAnsi="Traditional Arabic" w:cs="Traditional Arabic"/>
          <w:sz w:val="24"/>
          <w:szCs w:val="24"/>
          <w:rtl/>
        </w:rPr>
        <w:t>الكفاءة التشغيلية المالية</w:t>
      </w:r>
    </w:p>
    <w:p w14:paraId="3E1E2598" w14:textId="77777777" w:rsidR="00A35F9B" w:rsidRPr="0072768E"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التوافق مع رؤية 2030 والتحول الرقمي المالي</w:t>
      </w:r>
    </w:p>
    <w:p w14:paraId="7DA8577E" w14:textId="77777777" w:rsidR="00B1069E" w:rsidRPr="0072768E" w:rsidRDefault="00B1069E" w:rsidP="00E000FF">
      <w:pPr>
        <w:pStyle w:val="ListBullet"/>
        <w:numPr>
          <w:ilvl w:val="0"/>
          <w:numId w:val="0"/>
        </w:numPr>
        <w:bidi/>
        <w:spacing w:after="0" w:line="360" w:lineRule="auto"/>
        <w:rPr>
          <w:rFonts w:ascii="Simplified Arabic" w:hAnsi="Simplified Arabic" w:cs="Simplified Arabic"/>
          <w:sz w:val="24"/>
          <w:szCs w:val="24"/>
          <w:rtl/>
        </w:rPr>
      </w:pPr>
    </w:p>
    <w:p w14:paraId="427204E1" w14:textId="378856BA" w:rsidR="001A46CD" w:rsidRPr="0072768E" w:rsidRDefault="00B1069E" w:rsidP="00E000FF">
      <w:pPr>
        <w:pStyle w:val="ListBullet"/>
        <w:numPr>
          <w:ilvl w:val="0"/>
          <w:numId w:val="0"/>
        </w:numPr>
        <w:bidi/>
        <w:spacing w:after="0" w:line="360" w:lineRule="auto"/>
        <w:jc w:val="center"/>
        <w:rPr>
          <w:rFonts w:ascii="Simplified Arabic" w:hAnsi="Simplified Arabic" w:cs="Simplified Arabic"/>
          <w:sz w:val="24"/>
          <w:szCs w:val="24"/>
          <w:rtl/>
        </w:rPr>
      </w:pPr>
      <w:r>
        <w:rPr>
          <w:rFonts w:ascii="Traditional Arabic" w:hAnsi="Traditional Arabic" w:cs="Traditional Arabic"/>
          <w:noProof/>
          <w:sz w:val="24"/>
          <w:szCs w:val="24"/>
          <w:rtl/>
        </w:rPr>
        <w:drawing>
          <wp:inline distT="0" distB="0" distL="0" distR="0" wp14:anchorId="0C75BCEA" wp14:editId="1DD73753">
            <wp:extent cx="4675223" cy="2708910"/>
            <wp:effectExtent l="0" t="0" r="0" b="0"/>
            <wp:docPr id="1446412030"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12030" name="Picture 1" descr="A diagram of a diagram"/>
                    <pic:cNvPicPr/>
                  </pic:nvPicPr>
                  <pic:blipFill rotWithShape="1">
                    <a:blip r:embed="rId17"/>
                    <a:srcRect t="9696" b="12743"/>
                    <a:stretch/>
                  </pic:blipFill>
                  <pic:spPr bwMode="auto">
                    <a:xfrm>
                      <a:off x="0" y="0"/>
                      <a:ext cx="4686767" cy="2715599"/>
                    </a:xfrm>
                    <a:prstGeom prst="rect">
                      <a:avLst/>
                    </a:prstGeom>
                    <a:ln>
                      <a:noFill/>
                    </a:ln>
                    <a:extLst>
                      <a:ext uri="{53640926-AAD7-44D8-BBD7-CCE9431645EC}">
                        <a14:shadowObscured xmlns:a14="http://schemas.microsoft.com/office/drawing/2010/main"/>
                      </a:ext>
                    </a:extLst>
                  </pic:spPr>
                </pic:pic>
              </a:graphicData>
            </a:graphic>
          </wp:inline>
        </w:drawing>
      </w:r>
    </w:p>
    <w:p w14:paraId="07270DCA" w14:textId="77777777" w:rsidR="00C30195" w:rsidRDefault="007E0546" w:rsidP="00E000FF">
      <w:pPr>
        <w:pStyle w:val="FigureCaption"/>
        <w:bidi/>
        <w:spacing w:after="0" w:line="300" w:lineRule="auto"/>
        <w:jc w:val="center"/>
        <w:rPr>
          <w:rFonts w:ascii="Simplified Arabic" w:hAnsi="Simplified Arabic" w:cs="Simplified Arabic"/>
          <w:b/>
          <w:sz w:val="24"/>
          <w:szCs w:val="24"/>
          <w:rtl/>
        </w:rPr>
      </w:pPr>
      <w:r>
        <w:rPr>
          <w:rFonts w:ascii="Traditional Arabic" w:hAnsi="Traditional Arabic" w:cs="Traditional Arabic"/>
          <w:b/>
          <w:bCs/>
          <w:sz w:val="24"/>
          <w:szCs w:val="24"/>
          <w:rtl/>
        </w:rPr>
        <w:lastRenderedPageBreak/>
        <w:t>شكل (1.1): نموذج الدراسة</w:t>
      </w:r>
    </w:p>
    <w:p w14:paraId="0C2090D3" w14:textId="77777777" w:rsidR="00061609" w:rsidRPr="0072768E" w:rsidRDefault="00061609" w:rsidP="00E000FF">
      <w:pPr>
        <w:pStyle w:val="ListBullet"/>
        <w:numPr>
          <w:ilvl w:val="0"/>
          <w:numId w:val="0"/>
        </w:numPr>
        <w:bidi/>
        <w:spacing w:after="0" w:line="360" w:lineRule="auto"/>
        <w:ind w:left="360"/>
        <w:jc w:val="center"/>
        <w:rPr>
          <w:rFonts w:ascii="Simplified Arabic" w:hAnsi="Simplified Arabic" w:cs="Simplified Arabic"/>
          <w:b/>
          <w:bCs/>
          <w:sz w:val="20"/>
          <w:szCs w:val="20"/>
          <w:u w:val="single"/>
        </w:rPr>
      </w:pPr>
      <w:r>
        <w:rPr>
          <w:rFonts w:ascii="Traditional Arabic" w:hAnsi="Traditional Arabic" w:cs="Traditional Arabic"/>
          <w:b/>
          <w:bCs/>
          <w:sz w:val="24"/>
          <w:szCs w:val="24"/>
          <w:u w:val="single"/>
          <w:rtl/>
        </w:rPr>
        <w:t>ملاحظة: تشير الأسهم في النموذج إلى اتجاه التأثير المفترض من المتغير المستقل بأبعاده نحو المتغيرات التابعة، بينما تُستخدَم المتغيرات الضابطة أساساً لتقسيم العينة عند اختبار الفروض المتعلقة بالفروق، ولا تدخل في نماذج الانحدار بوصفها متغيرات وسيطة، إذ لم تُختبَر أي علاقة وساطة في هذه الدراسة.</w:t>
      </w:r>
    </w:p>
    <w:p w14:paraId="70AAC005" w14:textId="77777777" w:rsidR="006037BB" w:rsidRPr="0072768E" w:rsidRDefault="006037BB" w:rsidP="00E000FF">
      <w:pPr>
        <w:pStyle w:val="ListBullet"/>
        <w:numPr>
          <w:ilvl w:val="0"/>
          <w:numId w:val="0"/>
        </w:numPr>
        <w:bidi/>
        <w:spacing w:after="0" w:line="360" w:lineRule="auto"/>
        <w:rPr>
          <w:rFonts w:ascii="Simplified Arabic" w:hAnsi="Simplified Arabic" w:cs="Simplified Arabic"/>
          <w:sz w:val="24"/>
          <w:szCs w:val="24"/>
          <w:rtl/>
        </w:rPr>
      </w:pPr>
    </w:p>
    <w:p w14:paraId="526D7D4E" w14:textId="77777777" w:rsidR="009D7E0E" w:rsidRDefault="009D7E0E" w:rsidP="00E000FF">
      <w:pPr>
        <w:bidi/>
        <w:spacing w:after="0" w:line="360" w:lineRule="auto"/>
        <w:rPr>
          <w:rFonts w:ascii="Traditional Arabic" w:hAnsi="Traditional Arabic" w:cs="Traditional Arabic"/>
          <w:b/>
          <w:sz w:val="48"/>
        </w:rPr>
      </w:pPr>
      <w:r>
        <w:rPr>
          <w:rFonts w:ascii="Traditional Arabic" w:hAnsi="Traditional Arabic" w:cs="Traditional Arabic"/>
          <w:b/>
          <w:sz w:val="24"/>
          <w:szCs w:val="24"/>
          <w:rtl/>
        </w:rPr>
        <w:br w:type="page"/>
      </w:r>
    </w:p>
    <w:p w14:paraId="59BBA661" w14:textId="42104647" w:rsidR="00AD783C" w:rsidRPr="0072768E" w:rsidRDefault="00AD783C" w:rsidP="00E000FF">
      <w:pPr>
        <w:pStyle w:val="HeadingTOCEntry"/>
        <w:bidi/>
        <w:spacing w:after="0" w:line="360" w:lineRule="auto"/>
        <w:ind w:left="432" w:hanging="432"/>
        <w:rPr>
          <w:rFonts w:ascii="Simplified Arabic" w:hAnsi="Simplified Arabic" w:cs="Simplified Arabic"/>
          <w:b/>
          <w:bCs/>
          <w:sz w:val="28"/>
          <w:szCs w:val="28"/>
          <w:u w:val="single"/>
        </w:rPr>
      </w:pPr>
      <w:bookmarkStart w:id="41" w:name="_Toc224563939"/>
      <w:bookmarkStart w:id="42" w:name="_Toc234424132"/>
      <w:r>
        <w:rPr>
          <w:rFonts w:ascii="Traditional Arabic" w:hAnsi="Traditional Arabic" w:cs="Traditional Arabic"/>
          <w:b/>
          <w:bCs/>
          <w:sz w:val="32"/>
          <w:szCs w:val="32"/>
          <w:u w:val="single"/>
          <w:rtl/>
        </w:rPr>
        <w:lastRenderedPageBreak/>
        <w:t>مصطلحات الدراسة وتعريفاتها الإجرائية</w:t>
      </w:r>
      <w:bookmarkEnd w:id="41"/>
      <w:bookmarkEnd w:id="42"/>
    </w:p>
    <w:p w14:paraId="69ADC6CE" w14:textId="1E8733A2" w:rsidR="00DA2FBD" w:rsidRPr="0072768E" w:rsidRDefault="00DA2FBD" w:rsidP="00E000FF">
      <w:pPr>
        <w:pStyle w:val="Heading2"/>
        <w:bidi/>
        <w:spacing w:before="0" w:line="360" w:lineRule="auto"/>
        <w:jc w:val="both"/>
        <w:rPr>
          <w:color w:val="auto"/>
          <w:rtl/>
        </w:rPr>
      </w:pPr>
      <w:r>
        <w:rPr>
          <w:rFonts w:ascii="Traditional Arabic" w:hAnsi="Traditional Arabic" w:cs="Traditional Arabic"/>
          <w:b/>
          <w:bCs/>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p>
    <w:p w14:paraId="228E2DE2" w14:textId="77777777" w:rsidR="001A250A" w:rsidRPr="0072768E" w:rsidRDefault="00A279D5" w:rsidP="00E000FF">
      <w:pPr>
        <w:pStyle w:val="Heading2"/>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الترمي</w:t>
      </w:r>
      <w:r>
        <w:rPr>
          <w:rFonts w:ascii="Traditional Arabic" w:hAnsi="Traditional Arabic" w:cs="Traditional Arabic" w:hint="cs"/>
          <w:b/>
          <w:bCs/>
          <w:color w:val="auto"/>
          <w:sz w:val="28"/>
          <w:szCs w:val="28"/>
          <w:rtl/>
        </w:rPr>
        <w:t xml:space="preserve">ز </w:t>
      </w:r>
      <w:r>
        <w:rPr>
          <w:rFonts w:ascii="Traditional Arabic" w:hAnsi="Traditional Arabic" w:cs="Traditional Arabic"/>
          <w:b/>
          <w:bCs/>
          <w:color w:val="auto"/>
          <w:sz w:val="28"/>
          <w:szCs w:val="28"/>
          <w:rtl/>
        </w:rPr>
        <w:t>(</w:t>
      </w:r>
      <w:proofErr w:type="spellStart"/>
      <w:r>
        <w:rPr>
          <w:rFonts w:ascii="Traditional Arabic" w:hAnsi="Traditional Arabic" w:cs="Traditional Arabic"/>
          <w:b/>
          <w:bCs/>
          <w:color w:val="auto"/>
          <w:sz w:val="28"/>
          <w:szCs w:val="28"/>
          <w:rtl/>
        </w:rPr>
        <w:t>Tokenization</w:t>
      </w:r>
      <w:proofErr w:type="spellEnd"/>
      <w:r>
        <w:rPr>
          <w:rFonts w:ascii="Traditional Arabic" w:hAnsi="Traditional Arabic" w:cs="Traditional Arabic"/>
          <w:b/>
          <w:bCs/>
          <w:color w:val="auto"/>
          <w:sz w:val="28"/>
          <w:szCs w:val="28"/>
          <w:rtl/>
        </w:rPr>
        <w:t>)</w:t>
      </w:r>
      <w:r>
        <w:rPr>
          <w:rFonts w:ascii="Traditional Arabic" w:hAnsi="Traditional Arabic" w:cs="Traditional Arabic" w:hint="cs"/>
          <w:b/>
          <w:bCs/>
          <w:color w:val="auto"/>
          <w:sz w:val="28"/>
          <w:szCs w:val="28"/>
          <w:rtl/>
        </w:rPr>
        <w:t>:</w:t>
      </w:r>
    </w:p>
    <w:p w14:paraId="6DA38002" w14:textId="77777777" w:rsidR="001276DC" w:rsidRPr="001276DC" w:rsidRDefault="001276DC" w:rsidP="001276DC">
      <w:pPr>
        <w:pStyle w:val="Heading2"/>
        <w:bidi/>
        <w:spacing w:line="360" w:lineRule="auto"/>
        <w:jc w:val="both"/>
        <w:rPr>
          <w:rFonts w:ascii="Traditional Arabic" w:hAnsi="Traditional Arabic" w:cs="Traditional Arabic"/>
          <w:b/>
          <w:bCs/>
          <w:color w:val="auto"/>
          <w:sz w:val="28"/>
          <w:szCs w:val="28"/>
        </w:rPr>
      </w:pPr>
      <w:r w:rsidRPr="001276DC">
        <w:rPr>
          <w:rFonts w:ascii="Traditional Arabic" w:hAnsi="Traditional Arabic" w:cs="Traditional Arabic"/>
          <w:b/>
          <w:bCs/>
          <w:color w:val="auto"/>
          <w:sz w:val="28"/>
          <w:szCs w:val="28"/>
          <w:rtl/>
        </w:rPr>
        <w:t>التعريف الاصطلاحي: 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 (</w:t>
      </w:r>
      <w:r w:rsidRPr="001276DC">
        <w:rPr>
          <w:rFonts w:ascii="Traditional Arabic" w:hAnsi="Traditional Arabic" w:cs="Traditional Arabic"/>
          <w:b/>
          <w:bCs/>
          <w:color w:val="auto"/>
          <w:sz w:val="28"/>
          <w:szCs w:val="28"/>
        </w:rPr>
        <w:t>Payment Card Industry Data Security Standard [PCI DSS], 2022</w:t>
      </w:r>
      <w:r w:rsidRPr="001276DC">
        <w:rPr>
          <w:rFonts w:ascii="Traditional Arabic" w:hAnsi="Traditional Arabic" w:cs="Traditional Arabic"/>
          <w:b/>
          <w:bCs/>
          <w:color w:val="auto"/>
          <w:sz w:val="28"/>
          <w:szCs w:val="28"/>
          <w:rtl/>
        </w:rPr>
        <w:t>). كما تعرفه المنظمة الدولية للتوحيد القياسي (</w:t>
      </w:r>
      <w:r w:rsidRPr="001276DC">
        <w:rPr>
          <w:rFonts w:ascii="Traditional Arabic" w:hAnsi="Traditional Arabic" w:cs="Traditional Arabic"/>
          <w:b/>
          <w:bCs/>
          <w:color w:val="auto"/>
          <w:sz w:val="28"/>
          <w:szCs w:val="28"/>
        </w:rPr>
        <w:t>ISO</w:t>
      </w:r>
      <w:r w:rsidRPr="001276DC">
        <w:rPr>
          <w:rFonts w:ascii="Traditional Arabic" w:hAnsi="Traditional Arabic" w:cs="Traditional Arabic"/>
          <w:b/>
          <w:bCs/>
          <w:color w:val="auto"/>
          <w:sz w:val="28"/>
          <w:szCs w:val="28"/>
          <w:rtl/>
        </w:rPr>
        <w:t>) بأنه "عملية استبدال المعلومات الحساسة بقيمة رمزية غير حساسة تشير إلى البيانات الأصلية دون الكشف عنها" (</w:t>
      </w:r>
      <w:r w:rsidRPr="001276DC">
        <w:rPr>
          <w:rFonts w:ascii="Traditional Arabic" w:hAnsi="Traditional Arabic" w:cs="Traditional Arabic"/>
          <w:b/>
          <w:bCs/>
          <w:color w:val="auto"/>
          <w:sz w:val="28"/>
          <w:szCs w:val="28"/>
        </w:rPr>
        <w:t>ISO 20022, 2022</w:t>
      </w:r>
      <w:r w:rsidRPr="001276DC">
        <w:rPr>
          <w:rFonts w:ascii="Traditional Arabic" w:hAnsi="Traditional Arabic" w:cs="Traditional Arabic"/>
          <w:b/>
          <w:bCs/>
          <w:color w:val="auto"/>
          <w:sz w:val="28"/>
          <w:szCs w:val="28"/>
          <w:rtl/>
        </w:rPr>
        <w:t>).</w:t>
      </w:r>
    </w:p>
    <w:p w14:paraId="223EFE57" w14:textId="77777777" w:rsidR="001276DC" w:rsidRDefault="001276DC" w:rsidP="001276DC">
      <w:pPr>
        <w:pStyle w:val="Heading2"/>
        <w:bidi/>
        <w:spacing w:before="0" w:line="360" w:lineRule="auto"/>
        <w:jc w:val="both"/>
        <w:rPr>
          <w:rFonts w:ascii="Traditional Arabic" w:hAnsi="Traditional Arabic" w:cs="Traditional Arabic"/>
          <w:b/>
          <w:bCs/>
          <w:color w:val="auto"/>
          <w:sz w:val="28"/>
          <w:szCs w:val="28"/>
          <w:rtl/>
        </w:rPr>
      </w:pPr>
      <w:r w:rsidRPr="001276DC">
        <w:rPr>
          <w:rFonts w:ascii="Traditional Arabic" w:hAnsi="Traditional Arabic" w:cs="Traditional Arabic"/>
          <w:b/>
          <w:bCs/>
          <w:color w:val="auto"/>
          <w:sz w:val="28"/>
          <w:szCs w:val="28"/>
          <w:rtl/>
        </w:rPr>
        <w:t xml:space="preserve">التعريف الإجرائي: 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w:t>
      </w:r>
      <w:proofErr w:type="spellStart"/>
      <w:r w:rsidRPr="001276DC">
        <w:rPr>
          <w:rFonts w:ascii="Traditional Arabic" w:hAnsi="Traditional Arabic" w:cs="Traditional Arabic"/>
          <w:b/>
          <w:bCs/>
          <w:color w:val="auto"/>
          <w:sz w:val="28"/>
          <w:szCs w:val="28"/>
          <w:rtl/>
        </w:rPr>
        <w:t>ليكرت</w:t>
      </w:r>
      <w:proofErr w:type="spellEnd"/>
      <w:r w:rsidRPr="001276DC">
        <w:rPr>
          <w:rFonts w:ascii="Traditional Arabic" w:hAnsi="Traditional Arabic" w:cs="Traditional Arabic"/>
          <w:b/>
          <w:bCs/>
          <w:color w:val="auto"/>
          <w:sz w:val="28"/>
          <w:szCs w:val="28"/>
          <w:rtl/>
        </w:rPr>
        <w:t xml:space="preserve"> الخماسي في استبانة الدراسة، بالإضافة إلى المؤشرات الكمية مثل نسبة البيانات والمعاملات </w:t>
      </w:r>
      <w:proofErr w:type="spellStart"/>
      <w:r w:rsidRPr="001276DC">
        <w:rPr>
          <w:rFonts w:ascii="Traditional Arabic" w:hAnsi="Traditional Arabic" w:cs="Traditional Arabic"/>
          <w:b/>
          <w:bCs/>
          <w:color w:val="auto"/>
          <w:sz w:val="28"/>
          <w:szCs w:val="28"/>
          <w:rtl/>
        </w:rPr>
        <w:t>المرمزة</w:t>
      </w:r>
      <w:proofErr w:type="spellEnd"/>
      <w:r w:rsidRPr="001276DC">
        <w:rPr>
          <w:rFonts w:ascii="Traditional Arabic" w:hAnsi="Traditional Arabic" w:cs="Traditional Arabic"/>
          <w:b/>
          <w:bCs/>
          <w:color w:val="auto"/>
          <w:sz w:val="28"/>
          <w:szCs w:val="28"/>
          <w:rtl/>
        </w:rPr>
        <w:t xml:space="preserve"> من إجمالي البيانات والمعاملات.</w:t>
      </w:r>
    </w:p>
    <w:p w14:paraId="354879AC" w14:textId="756E444C" w:rsidR="001A250A" w:rsidRPr="0072768E" w:rsidRDefault="00A279D5" w:rsidP="001276DC">
      <w:pPr>
        <w:pStyle w:val="Heading2"/>
        <w:bidi/>
        <w:spacing w:before="0" w:line="360" w:lineRule="auto"/>
        <w:jc w:val="both"/>
        <w:rPr>
          <w:rFonts w:ascii="Simplified Arabic" w:hAnsi="Simplified Arabic" w:cs="Simplified Arabic"/>
          <w:b/>
          <w:bCs/>
          <w:color w:val="auto"/>
          <w:sz w:val="28"/>
          <w:szCs w:val="28"/>
          <w:rtl/>
        </w:rPr>
      </w:pPr>
      <w:r>
        <w:rPr>
          <w:rFonts w:ascii="Traditional Arabic" w:hAnsi="Traditional Arabic" w:cs="Traditional Arabic"/>
          <w:b/>
          <w:bCs/>
          <w:color w:val="auto"/>
          <w:sz w:val="28"/>
          <w:szCs w:val="28"/>
          <w:rtl/>
        </w:rPr>
        <w:t>ترميز البيانات الحساسة</w:t>
      </w:r>
      <w:r>
        <w:rPr>
          <w:rFonts w:ascii="Traditional Arabic" w:hAnsi="Traditional Arabic" w:cs="Traditional Arabic" w:hint="cs"/>
          <w:b/>
          <w:bCs/>
          <w:color w:val="auto"/>
          <w:sz w:val="28"/>
          <w:szCs w:val="28"/>
          <w:rtl/>
        </w:rPr>
        <w:t xml:space="preserve"> </w:t>
      </w:r>
      <w:r>
        <w:rPr>
          <w:rFonts w:ascii="Traditional Arabic" w:hAnsi="Traditional Arabic" w:cs="Traditional Arabic"/>
          <w:b/>
          <w:bCs/>
          <w:color w:val="auto"/>
          <w:sz w:val="28"/>
          <w:szCs w:val="28"/>
          <w:rtl/>
        </w:rPr>
        <w:t>(</w:t>
      </w:r>
      <w:proofErr w:type="spellStart"/>
      <w:r>
        <w:rPr>
          <w:rFonts w:ascii="Traditional Arabic" w:hAnsi="Traditional Arabic" w:cs="Traditional Arabic"/>
          <w:b/>
          <w:bCs/>
          <w:color w:val="auto"/>
          <w:sz w:val="28"/>
          <w:szCs w:val="28"/>
          <w:rtl/>
        </w:rPr>
        <w:t>Sensitive</w:t>
      </w:r>
      <w:proofErr w:type="spellEnd"/>
      <w:r>
        <w:rPr>
          <w:rFonts w:ascii="Traditional Arabic" w:hAnsi="Traditional Arabic" w:cs="Traditional Arabic"/>
          <w:b/>
          <w:bCs/>
          <w:color w:val="auto"/>
          <w:sz w:val="28"/>
          <w:szCs w:val="28"/>
          <w:rtl/>
        </w:rPr>
        <w:t xml:space="preserve"> </w:t>
      </w:r>
      <w:proofErr w:type="spellStart"/>
      <w:r>
        <w:rPr>
          <w:rFonts w:ascii="Traditional Arabic" w:hAnsi="Traditional Arabic" w:cs="Traditional Arabic"/>
          <w:b/>
          <w:bCs/>
          <w:color w:val="auto"/>
          <w:sz w:val="28"/>
          <w:szCs w:val="28"/>
          <w:rtl/>
        </w:rPr>
        <w:t>Data</w:t>
      </w:r>
      <w:proofErr w:type="spellEnd"/>
      <w:r>
        <w:rPr>
          <w:rFonts w:ascii="Traditional Arabic" w:hAnsi="Traditional Arabic" w:cs="Traditional Arabic"/>
          <w:b/>
          <w:bCs/>
          <w:color w:val="auto"/>
          <w:sz w:val="28"/>
          <w:szCs w:val="28"/>
          <w:rtl/>
        </w:rPr>
        <w:t xml:space="preserve"> </w:t>
      </w:r>
      <w:proofErr w:type="spellStart"/>
      <w:r>
        <w:rPr>
          <w:rFonts w:ascii="Traditional Arabic" w:hAnsi="Traditional Arabic" w:cs="Traditional Arabic"/>
          <w:b/>
          <w:bCs/>
          <w:color w:val="auto"/>
          <w:sz w:val="28"/>
          <w:szCs w:val="28"/>
          <w:rtl/>
        </w:rPr>
        <w:t>Tokenization</w:t>
      </w:r>
      <w:proofErr w:type="spellEnd"/>
      <w:r>
        <w:rPr>
          <w:rFonts w:ascii="Traditional Arabic" w:hAnsi="Traditional Arabic" w:cs="Traditional Arabic"/>
          <w:b/>
          <w:bCs/>
          <w:color w:val="auto"/>
          <w:sz w:val="28"/>
          <w:szCs w:val="28"/>
          <w:rtl/>
        </w:rPr>
        <w:t>)</w:t>
      </w:r>
      <w:r>
        <w:rPr>
          <w:rFonts w:ascii="Traditional Arabic" w:hAnsi="Traditional Arabic" w:cs="Traditional Arabic" w:hint="cs"/>
          <w:b/>
          <w:bCs/>
          <w:color w:val="auto"/>
          <w:sz w:val="28"/>
          <w:szCs w:val="28"/>
          <w:rtl/>
        </w:rPr>
        <w:t xml:space="preserve">: </w:t>
      </w:r>
    </w:p>
    <w:p w14:paraId="7B62D286" w14:textId="77777777" w:rsidR="001276DC" w:rsidRPr="001276DC" w:rsidRDefault="001276DC" w:rsidP="001276DC">
      <w:pPr>
        <w:bidi/>
        <w:spacing w:after="0" w:line="360" w:lineRule="auto"/>
        <w:jc w:val="both"/>
        <w:rPr>
          <w:rFonts w:ascii="Traditional Arabic" w:eastAsiaTheme="majorEastAsia" w:hAnsi="Traditional Arabic" w:cs="Traditional Arabic"/>
          <w:b/>
          <w:bCs/>
          <w:sz w:val="28"/>
          <w:szCs w:val="28"/>
        </w:rPr>
      </w:pPr>
      <w:r w:rsidRPr="001276DC">
        <w:rPr>
          <w:rFonts w:ascii="Traditional Arabic" w:eastAsiaTheme="majorEastAsia" w:hAnsi="Traditional Arabic" w:cs="Traditional Arabic"/>
          <w:b/>
          <w:bCs/>
          <w:sz w:val="28"/>
          <w:szCs w:val="28"/>
          <w:rtl/>
        </w:rPr>
        <w:t>التعريف الاصطلاحي: 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 (</w:t>
      </w:r>
      <w:r w:rsidRPr="001276DC">
        <w:rPr>
          <w:rFonts w:ascii="Traditional Arabic" w:eastAsiaTheme="majorEastAsia" w:hAnsi="Traditional Arabic" w:cs="Traditional Arabic"/>
          <w:b/>
          <w:bCs/>
          <w:sz w:val="28"/>
          <w:szCs w:val="28"/>
        </w:rPr>
        <w:t>National Institute of Standards and Technology [NIST], 2023</w:t>
      </w:r>
      <w:r w:rsidRPr="001276DC">
        <w:rPr>
          <w:rFonts w:ascii="Traditional Arabic" w:eastAsiaTheme="majorEastAsia" w:hAnsi="Traditional Arabic" w:cs="Traditional Arabic"/>
          <w:b/>
          <w:bCs/>
          <w:sz w:val="28"/>
          <w:szCs w:val="28"/>
          <w:rtl/>
        </w:rPr>
        <w:t xml:space="preserve">). ويشير تعريف </w:t>
      </w:r>
      <w:r w:rsidRPr="001276DC">
        <w:rPr>
          <w:rFonts w:ascii="Traditional Arabic" w:eastAsiaTheme="majorEastAsia" w:hAnsi="Traditional Arabic" w:cs="Traditional Arabic"/>
          <w:b/>
          <w:bCs/>
          <w:sz w:val="28"/>
          <w:szCs w:val="28"/>
        </w:rPr>
        <w:t>Gartner</w:t>
      </w:r>
      <w:r w:rsidRPr="001276DC">
        <w:rPr>
          <w:rFonts w:ascii="Traditional Arabic" w:eastAsiaTheme="majorEastAsia" w:hAnsi="Traditional Arabic" w:cs="Traditional Arabic"/>
          <w:b/>
          <w:bCs/>
          <w:sz w:val="28"/>
          <w:szCs w:val="28"/>
          <w:rtl/>
        </w:rPr>
        <w:t xml:space="preserve"> (2023) إلى أنه "عملية إحلال رموز غير ذات معنى محل البيانات الحساسة مع الاحتفاظ بالقيمة التجارية للبيانات".</w:t>
      </w:r>
    </w:p>
    <w:p w14:paraId="05512EEF" w14:textId="1933567E" w:rsidR="0041700F" w:rsidRPr="001276DC" w:rsidRDefault="001276DC" w:rsidP="001276DC">
      <w:pPr>
        <w:bidi/>
        <w:spacing w:after="0" w:line="360" w:lineRule="auto"/>
        <w:jc w:val="both"/>
        <w:rPr>
          <w:rFonts w:ascii="Simplified Arabic" w:eastAsiaTheme="majorEastAsia" w:hAnsi="Simplified Arabic" w:cs="Simplified Arabic"/>
          <w:b/>
          <w:bCs/>
          <w:sz w:val="32"/>
          <w:szCs w:val="32"/>
          <w:rtl/>
        </w:rPr>
      </w:pPr>
      <w:r w:rsidRPr="001276DC">
        <w:rPr>
          <w:rFonts w:ascii="Traditional Arabic" w:eastAsiaTheme="majorEastAsia" w:hAnsi="Traditional Arabic" w:cs="Traditional Arabic"/>
          <w:b/>
          <w:bCs/>
          <w:sz w:val="28"/>
          <w:szCs w:val="28"/>
          <w:rtl/>
        </w:rPr>
        <w:lastRenderedPageBreak/>
        <w:t xml:space="preserve">التعريف الإجرائي: 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مثل نسبة البيانات الحساسة </w:t>
      </w:r>
      <w:proofErr w:type="spellStart"/>
      <w:r w:rsidRPr="001276DC">
        <w:rPr>
          <w:rFonts w:ascii="Traditional Arabic" w:eastAsiaTheme="majorEastAsia" w:hAnsi="Traditional Arabic" w:cs="Traditional Arabic"/>
          <w:b/>
          <w:bCs/>
          <w:sz w:val="28"/>
          <w:szCs w:val="28"/>
          <w:rtl/>
        </w:rPr>
        <w:t>المرمزة</w:t>
      </w:r>
      <w:proofErr w:type="spellEnd"/>
      <w:r w:rsidRPr="001276DC">
        <w:rPr>
          <w:rFonts w:ascii="Traditional Arabic" w:eastAsiaTheme="majorEastAsia" w:hAnsi="Traditional Arabic" w:cs="Traditional Arabic"/>
          <w:b/>
          <w:bCs/>
          <w:sz w:val="28"/>
          <w:szCs w:val="28"/>
          <w:rtl/>
        </w:rPr>
        <w:t>، ومستوى تكامل تقنية الترميز مع أنظمة إدارة الهويات والوصول، ومستوى الامتثال لمعايير أمن البيانات كما يقيسها الاستبيان المطور لهذه الدراسة.</w:t>
      </w:r>
    </w:p>
    <w:p w14:paraId="5D542F96" w14:textId="77777777" w:rsidR="0041700F" w:rsidRPr="0072768E" w:rsidRDefault="00A279D5" w:rsidP="00E000FF">
      <w:pPr>
        <w:bidi/>
        <w:spacing w:after="0" w:line="360" w:lineRule="auto"/>
        <w:rPr>
          <w:rFonts w:ascii="Simplified Arabic" w:hAnsi="Simplified Arabic" w:cs="Simplified Arabic"/>
          <w:b/>
          <w:bCs/>
          <w:sz w:val="28"/>
          <w:szCs w:val="28"/>
          <w:rtl/>
        </w:rPr>
      </w:pPr>
      <w:r>
        <w:rPr>
          <w:rFonts w:ascii="Traditional Arabic" w:hAnsi="Traditional Arabic" w:cs="Traditional Arabic"/>
          <w:b/>
          <w:bCs/>
          <w:sz w:val="28"/>
          <w:szCs w:val="28"/>
          <w:rtl/>
        </w:rPr>
        <w:t>ترميز المدفوعات</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proofErr w:type="spellStart"/>
      <w:r>
        <w:rPr>
          <w:rFonts w:ascii="Traditional Arabic" w:hAnsi="Traditional Arabic" w:cs="Traditional Arabic"/>
          <w:b/>
          <w:bCs/>
          <w:sz w:val="28"/>
          <w:szCs w:val="28"/>
          <w:rtl/>
        </w:rPr>
        <w:t>Payment</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Tokenization</w:t>
      </w:r>
      <w:proofErr w:type="spellEnd"/>
      <w:r>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p>
    <w:p w14:paraId="1BAF544E" w14:textId="77777777" w:rsidR="001276DC" w:rsidRPr="001276DC" w:rsidRDefault="001276DC" w:rsidP="001276DC">
      <w:pPr>
        <w:bidi/>
        <w:spacing w:after="0" w:line="360" w:lineRule="auto"/>
        <w:jc w:val="both"/>
        <w:rPr>
          <w:rFonts w:ascii="Traditional Arabic" w:hAnsi="Traditional Arabic" w:cs="Traditional Arabic"/>
          <w:b/>
          <w:bCs/>
          <w:sz w:val="28"/>
          <w:szCs w:val="28"/>
        </w:rPr>
      </w:pPr>
      <w:r w:rsidRPr="001276DC">
        <w:rPr>
          <w:rFonts w:ascii="Traditional Arabic" w:hAnsi="Traditional Arabic" w:cs="Traditional Arabic"/>
          <w:b/>
          <w:bCs/>
          <w:sz w:val="28"/>
          <w:szCs w:val="28"/>
          <w:rtl/>
        </w:rPr>
        <w:t>التعريف الاصطلاحي: يُعرّف اصطلاحاً بأنه استبدال معلومات الدفع الحساسة مثل أرقام بطاقات الائتمان برموز رقمية فريدة أثناء معالجة المعاملات المالية الإلكترونية (</w:t>
      </w:r>
      <w:r w:rsidRPr="001276DC">
        <w:rPr>
          <w:rFonts w:ascii="Traditional Arabic" w:hAnsi="Traditional Arabic" w:cs="Traditional Arabic"/>
          <w:b/>
          <w:bCs/>
          <w:sz w:val="28"/>
          <w:szCs w:val="28"/>
        </w:rPr>
        <w:t>International Organization for Standardization [ISO], 2020</w:t>
      </w:r>
      <w:r w:rsidRPr="001276DC">
        <w:rPr>
          <w:rFonts w:ascii="Traditional Arabic" w:hAnsi="Traditional Arabic" w:cs="Traditional Arabic"/>
          <w:b/>
          <w:bCs/>
          <w:sz w:val="28"/>
          <w:szCs w:val="28"/>
          <w:rtl/>
        </w:rPr>
        <w:t>). وتعرفه جمعية المدفوعات العالمية (</w:t>
      </w:r>
      <w:r w:rsidRPr="001276DC">
        <w:rPr>
          <w:rFonts w:ascii="Traditional Arabic" w:hAnsi="Traditional Arabic" w:cs="Traditional Arabic"/>
          <w:b/>
          <w:bCs/>
          <w:sz w:val="28"/>
          <w:szCs w:val="28"/>
        </w:rPr>
        <w:t>Global Payments Association, 2023</w:t>
      </w:r>
      <w:r w:rsidRPr="001276DC">
        <w:rPr>
          <w:rFonts w:ascii="Traditional Arabic" w:hAnsi="Traditional Arabic" w:cs="Traditional Arabic"/>
          <w:b/>
          <w:bCs/>
          <w:sz w:val="28"/>
          <w:szCs w:val="28"/>
          <w:rtl/>
        </w:rPr>
        <w:t>) بأنه "عملية استبدال بيانات حامل البطاقة برمز رقمي فريد يمكن استخدامه لإتمام المعاملة دون الكشف عن المعلومات الأصلية".</w:t>
      </w:r>
    </w:p>
    <w:p w14:paraId="3E1A521E" w14:textId="3042039D" w:rsidR="00CD417C" w:rsidRPr="001276DC" w:rsidRDefault="001276DC" w:rsidP="001276DC">
      <w:pPr>
        <w:bidi/>
        <w:spacing w:after="0" w:line="360" w:lineRule="auto"/>
        <w:jc w:val="both"/>
        <w:rPr>
          <w:rFonts w:ascii="Simplified Arabic" w:hAnsi="Simplified Arabic" w:cs="Simplified Arabic"/>
          <w:b/>
          <w:bCs/>
          <w:sz w:val="32"/>
          <w:szCs w:val="32"/>
          <w:rtl/>
        </w:rPr>
      </w:pPr>
      <w:r w:rsidRPr="001276DC">
        <w:rPr>
          <w:rFonts w:ascii="Traditional Arabic" w:hAnsi="Traditional Arabic" w:cs="Traditional Arabic"/>
          <w:b/>
          <w:bCs/>
          <w:sz w:val="28"/>
          <w:szCs w:val="28"/>
          <w:rtl/>
        </w:rPr>
        <w:t xml:space="preserve">التعريف الإجرائي: 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w:t>
      </w:r>
      <w:proofErr w:type="spellStart"/>
      <w:r w:rsidRPr="001276DC">
        <w:rPr>
          <w:rFonts w:ascii="Traditional Arabic" w:hAnsi="Traditional Arabic" w:cs="Traditional Arabic"/>
          <w:b/>
          <w:bCs/>
          <w:sz w:val="28"/>
          <w:szCs w:val="28"/>
          <w:rtl/>
        </w:rPr>
        <w:t>المرمزة</w:t>
      </w:r>
      <w:proofErr w:type="spellEnd"/>
      <w:r w:rsidRPr="001276DC">
        <w:rPr>
          <w:rFonts w:ascii="Traditional Arabic" w:hAnsi="Traditional Arabic" w:cs="Traditional Arabic"/>
          <w:b/>
          <w:bCs/>
          <w:sz w:val="28"/>
          <w:szCs w:val="28"/>
          <w:rtl/>
        </w:rPr>
        <w:t>، ومستوى تكامل تقنية الترميز مع أنظمة المدفوعات الوطنية والعالمية، ومؤشرات وقت وتكلفة معالجة المدفوعات، باستخدام استبانة الدراسة.</w:t>
      </w:r>
    </w:p>
    <w:p w14:paraId="51D38524" w14:textId="77777777" w:rsidR="00CD417C" w:rsidRPr="0072768E" w:rsidRDefault="00A279D5" w:rsidP="00E000FF">
      <w:pPr>
        <w:bidi/>
        <w:spacing w:after="0" w:line="360" w:lineRule="auto"/>
        <w:jc w:val="both"/>
        <w:rPr>
          <w:rFonts w:ascii="Simplified Arabic" w:hAnsi="Simplified Arabic" w:cs="Simplified Arabic"/>
          <w:b/>
          <w:bCs/>
          <w:sz w:val="28"/>
          <w:szCs w:val="28"/>
          <w:rtl/>
        </w:rPr>
      </w:pPr>
      <w:r>
        <w:rPr>
          <w:rFonts w:ascii="Traditional Arabic" w:hAnsi="Traditional Arabic" w:cs="Traditional Arabic"/>
          <w:b/>
          <w:bCs/>
          <w:sz w:val="28"/>
          <w:szCs w:val="28"/>
          <w:rtl/>
        </w:rPr>
        <w:t>ترميز الأصول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proofErr w:type="spellStart"/>
      <w:r>
        <w:rPr>
          <w:rFonts w:ascii="Traditional Arabic" w:hAnsi="Traditional Arabic" w:cs="Traditional Arabic"/>
          <w:b/>
          <w:bCs/>
          <w:sz w:val="28"/>
          <w:szCs w:val="28"/>
          <w:rtl/>
        </w:rPr>
        <w:t>Asset</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Tokenization</w:t>
      </w:r>
      <w:proofErr w:type="spellEnd"/>
      <w:r>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p>
    <w:p w14:paraId="79CDF888" w14:textId="77777777" w:rsidR="001276DC" w:rsidRPr="001276DC" w:rsidRDefault="001276DC" w:rsidP="001276DC">
      <w:pPr>
        <w:bidi/>
        <w:spacing w:after="0" w:line="360" w:lineRule="auto"/>
        <w:jc w:val="both"/>
        <w:rPr>
          <w:rFonts w:ascii="Traditional Arabic" w:hAnsi="Traditional Arabic" w:cs="Traditional Arabic"/>
          <w:b/>
          <w:bCs/>
          <w:sz w:val="28"/>
          <w:szCs w:val="28"/>
        </w:rPr>
      </w:pPr>
      <w:r w:rsidRPr="001276DC">
        <w:rPr>
          <w:rFonts w:ascii="Traditional Arabic" w:hAnsi="Traditional Arabic" w:cs="Traditional Arabic"/>
          <w:b/>
          <w:bCs/>
          <w:sz w:val="28"/>
          <w:szCs w:val="28"/>
          <w:rtl/>
        </w:rPr>
        <w:t>التعريف الاصطلاحي: يُعرّف اصطلاحاً بأنه تحويل الأصول المالية التقليدية مثل الأسهم والسندات والعقارات إلى رموز رقمية يمكن تداولها على منصات سلسلة الكتل (</w:t>
      </w:r>
      <w:r w:rsidRPr="001276DC">
        <w:rPr>
          <w:rFonts w:ascii="Traditional Arabic" w:hAnsi="Traditional Arabic" w:cs="Traditional Arabic"/>
          <w:b/>
          <w:bCs/>
          <w:sz w:val="28"/>
          <w:szCs w:val="28"/>
        </w:rPr>
        <w:t>World Economic Forum [WEF], 2023</w:t>
      </w:r>
      <w:r w:rsidRPr="001276DC">
        <w:rPr>
          <w:rFonts w:ascii="Traditional Arabic" w:hAnsi="Traditional Arabic" w:cs="Traditional Arabic"/>
          <w:b/>
          <w:bCs/>
          <w:sz w:val="28"/>
          <w:szCs w:val="28"/>
          <w:rtl/>
        </w:rPr>
        <w:t>). ويعرفه البنك الدولي (</w:t>
      </w:r>
      <w:r w:rsidRPr="001276DC">
        <w:rPr>
          <w:rFonts w:ascii="Traditional Arabic" w:hAnsi="Traditional Arabic" w:cs="Traditional Arabic"/>
          <w:b/>
          <w:bCs/>
          <w:sz w:val="28"/>
          <w:szCs w:val="28"/>
        </w:rPr>
        <w:t>World Bank, 2022</w:t>
      </w:r>
      <w:r w:rsidRPr="001276DC">
        <w:rPr>
          <w:rFonts w:ascii="Traditional Arabic" w:hAnsi="Traditional Arabic" w:cs="Traditional Arabic"/>
          <w:b/>
          <w:bCs/>
          <w:sz w:val="28"/>
          <w:szCs w:val="28"/>
          <w:rtl/>
        </w:rPr>
        <w:t>) 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p>
    <w:p w14:paraId="18DF1B83" w14:textId="77777777" w:rsidR="001276DC" w:rsidRDefault="001276DC" w:rsidP="001276DC">
      <w:pPr>
        <w:bidi/>
        <w:spacing w:after="0" w:line="360" w:lineRule="auto"/>
        <w:jc w:val="both"/>
        <w:rPr>
          <w:rFonts w:ascii="Traditional Arabic" w:hAnsi="Traditional Arabic" w:cs="Traditional Arabic"/>
          <w:b/>
          <w:bCs/>
          <w:sz w:val="28"/>
          <w:szCs w:val="28"/>
          <w:rtl/>
        </w:rPr>
      </w:pPr>
      <w:r w:rsidRPr="001276DC">
        <w:rPr>
          <w:rFonts w:ascii="Traditional Arabic" w:hAnsi="Traditional Arabic" w:cs="Traditional Arabic"/>
          <w:b/>
          <w:bCs/>
          <w:sz w:val="28"/>
          <w:szCs w:val="28"/>
          <w:rtl/>
        </w:rPr>
        <w:lastRenderedPageBreak/>
        <w:t xml:space="preserve">التعريف الإجرائي: 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w:t>
      </w:r>
      <w:proofErr w:type="spellStart"/>
      <w:r w:rsidRPr="001276DC">
        <w:rPr>
          <w:rFonts w:ascii="Traditional Arabic" w:hAnsi="Traditional Arabic" w:cs="Traditional Arabic"/>
          <w:b/>
          <w:bCs/>
          <w:sz w:val="28"/>
          <w:szCs w:val="28"/>
          <w:rtl/>
        </w:rPr>
        <w:t>المرمزة</w:t>
      </w:r>
      <w:proofErr w:type="spellEnd"/>
      <w:r w:rsidRPr="001276DC">
        <w:rPr>
          <w:rFonts w:ascii="Traditional Arabic" w:hAnsi="Traditional Arabic" w:cs="Traditional Arabic"/>
          <w:b/>
          <w:bCs/>
          <w:sz w:val="28"/>
          <w:szCs w:val="28"/>
          <w:rtl/>
        </w:rPr>
        <w:t xml:space="preserve">، وتنوع الأصول </w:t>
      </w:r>
      <w:proofErr w:type="spellStart"/>
      <w:r w:rsidRPr="001276DC">
        <w:rPr>
          <w:rFonts w:ascii="Traditional Arabic" w:hAnsi="Traditional Arabic" w:cs="Traditional Arabic"/>
          <w:b/>
          <w:bCs/>
          <w:sz w:val="28"/>
          <w:szCs w:val="28"/>
          <w:rtl/>
        </w:rPr>
        <w:t>المرمزة</w:t>
      </w:r>
      <w:proofErr w:type="spellEnd"/>
      <w:r w:rsidRPr="001276DC">
        <w:rPr>
          <w:rFonts w:ascii="Traditional Arabic" w:hAnsi="Traditional Arabic" w:cs="Traditional Arabic"/>
          <w:b/>
          <w:bCs/>
          <w:sz w:val="28"/>
          <w:szCs w:val="28"/>
          <w:rtl/>
        </w:rPr>
        <w:t>، ومستوى تكامل تقنية الترميز مع منصات التداول والتسوية، باستخدام استبانة الدراسة.</w:t>
      </w:r>
    </w:p>
    <w:p w14:paraId="0DBD253D"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الترميز غير القابل للاستبدال</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proofErr w:type="spellStart"/>
      <w:r>
        <w:rPr>
          <w:rFonts w:ascii="Traditional Arabic" w:hAnsi="Traditional Arabic" w:cs="Traditional Arabic"/>
          <w:b/>
          <w:bCs/>
          <w:sz w:val="28"/>
          <w:szCs w:val="28"/>
          <w:rtl/>
        </w:rPr>
        <w:t>Non-Fungible</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Tokenization</w:t>
      </w:r>
      <w:proofErr w:type="spellEnd"/>
      <w:r>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p>
    <w:p w14:paraId="6964E380"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إنشاء رموز رقمية فريدة غير قابلة للاستبدال لتمثيل الأصول الفريدة مثل الأعمال الفنية والملكية الفكرية (</w:t>
      </w:r>
      <w:proofErr w:type="spellStart"/>
      <w:r>
        <w:rPr>
          <w:rFonts w:ascii="Traditional Arabic" w:hAnsi="Traditional Arabic" w:cs="Traditional Arabic"/>
          <w:b/>
          <w:bCs/>
          <w:sz w:val="28"/>
          <w:szCs w:val="28"/>
          <w:rtl/>
        </w:rPr>
        <w:t>Ethereum</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Foundation</w:t>
      </w:r>
      <w:proofErr w:type="spellEnd"/>
      <w:r>
        <w:rPr>
          <w:rFonts w:ascii="Traditional Arabic" w:hAnsi="Traditional Arabic" w:cs="Traditional Arabic"/>
          <w:b/>
          <w:bCs/>
          <w:sz w:val="28"/>
          <w:szCs w:val="28"/>
          <w:rtl/>
        </w:rPr>
        <w:t>, 2024). ويعرفه قاموس أكسفورد للتقنيات المالية (</w:t>
      </w:r>
      <w:proofErr w:type="spellStart"/>
      <w:r>
        <w:rPr>
          <w:rFonts w:ascii="Traditional Arabic" w:hAnsi="Traditional Arabic" w:cs="Traditional Arabic"/>
          <w:b/>
          <w:bCs/>
          <w:sz w:val="28"/>
          <w:szCs w:val="28"/>
          <w:rtl/>
        </w:rPr>
        <w:t>Oxford</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FinTech</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Dictionary</w:t>
      </w:r>
      <w:proofErr w:type="spellEnd"/>
      <w:r>
        <w:rPr>
          <w:rFonts w:ascii="Traditional Arabic" w:hAnsi="Traditional Arabic" w:cs="Traditional Arabic"/>
          <w:b/>
          <w:bCs/>
          <w:sz w:val="28"/>
          <w:szCs w:val="28"/>
          <w:rtl/>
        </w:rPr>
        <w:t xml:space="preserve">, 2023) بأنه "رمز رقمي فريد لا يمكن استبداله بآخر، يمثل ملكية أصل فريد أو محتوى رقمي، ويستخدم تقنية </w:t>
      </w:r>
      <w:proofErr w:type="spellStart"/>
      <w:r>
        <w:rPr>
          <w:rFonts w:ascii="Traditional Arabic" w:hAnsi="Traditional Arabic" w:cs="Traditional Arabic"/>
          <w:b/>
          <w:bCs/>
          <w:sz w:val="28"/>
          <w:szCs w:val="28"/>
          <w:rtl/>
        </w:rPr>
        <w:t>البلوكتشين</w:t>
      </w:r>
      <w:proofErr w:type="spellEnd"/>
      <w:r>
        <w:rPr>
          <w:rFonts w:ascii="Traditional Arabic" w:hAnsi="Traditional Arabic" w:cs="Traditional Arabic"/>
          <w:b/>
          <w:bCs/>
          <w:sz w:val="28"/>
          <w:szCs w:val="28"/>
          <w:rtl/>
        </w:rPr>
        <w:t xml:space="preserve"> لتوثيق الملكية والأصالة".</w:t>
      </w:r>
    </w:p>
    <w:p w14:paraId="0CFE8D79"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p>
    <w:p w14:paraId="4F34D046"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الأمن السيبراني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(Cybersecurity)</w:t>
      </w:r>
      <w:r>
        <w:rPr>
          <w:rFonts w:ascii="Traditional Arabic" w:hAnsi="Traditional Arabic" w:cs="Traditional Arabic" w:hint="cs"/>
          <w:b/>
          <w:bCs/>
          <w:sz w:val="28"/>
          <w:szCs w:val="28"/>
          <w:rtl/>
        </w:rPr>
        <w:t xml:space="preserve">: </w:t>
      </w:r>
    </w:p>
    <w:p w14:paraId="37E994BF"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 (ISO/IEC 27032, 2023) بأنه "حماية سلامة وسرية وتوافر المعلومات في الفضاء الإلكتروني". وتعرفه وكالة الأمن السيبراني والبنية التحتية (CISA, 2023) بأنه "فن حماية الشبكات والأنظمة والبرامج من الهجمات الرقمية التي تهدف إلى الوصول غير المصرح به للبيانات أو تعطيل العمليات الرقمية".</w:t>
      </w:r>
    </w:p>
    <w:p w14:paraId="5DE9ED16" w14:textId="77777777" w:rsidR="0067429E" w:rsidRDefault="00AB6C56"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الإجرائي: 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 (مستوى الالتزام بالمعايير المحلية والدولية مثل ISO 27001 ومعايير الهيئة الوطنية للأمن السيبراني)، </w:t>
      </w:r>
      <w:r>
        <w:rPr>
          <w:rFonts w:ascii="Traditional Arabic" w:hAnsi="Traditional Arabic" w:cs="Traditional Arabic"/>
          <w:b/>
          <w:bCs/>
          <w:sz w:val="28"/>
          <w:szCs w:val="28"/>
          <w:rtl/>
        </w:rPr>
        <w:lastRenderedPageBreak/>
        <w:t>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Pr>
          <w:rFonts w:ascii="Traditional Arabic" w:hAnsi="Traditional Arabic" w:cs="Traditional Arabic" w:hint="cs"/>
          <w:b/>
          <w:bCs/>
          <w:sz w:val="28"/>
          <w:szCs w:val="28"/>
          <w:rtl/>
        </w:rPr>
        <w:t>.</w:t>
      </w:r>
    </w:p>
    <w:p w14:paraId="530B0E37"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كفاءة المعاملات المالية</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proofErr w:type="spellStart"/>
      <w:r>
        <w:rPr>
          <w:rFonts w:ascii="Traditional Arabic" w:hAnsi="Traditional Arabic" w:cs="Traditional Arabic"/>
          <w:b/>
          <w:bCs/>
          <w:sz w:val="28"/>
          <w:szCs w:val="28"/>
          <w:rtl/>
        </w:rPr>
        <w:t>Financial</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Transaction</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Efficiency</w:t>
      </w:r>
      <w:proofErr w:type="spellEnd"/>
      <w:r>
        <w:rPr>
          <w:rFonts w:ascii="Traditional Arabic" w:hAnsi="Traditional Arabic" w:cs="Traditional Arabic"/>
          <w:b/>
          <w:bCs/>
          <w:sz w:val="28"/>
          <w:szCs w:val="28"/>
          <w:rtl/>
        </w:rPr>
        <w:t>)</w:t>
      </w:r>
      <w:r>
        <w:rPr>
          <w:rFonts w:ascii="Traditional Arabic" w:hAnsi="Traditional Arabic" w:cs="Traditional Arabic" w:hint="cs"/>
          <w:b/>
          <w:bCs/>
          <w:sz w:val="28"/>
          <w:szCs w:val="28"/>
          <w:rtl/>
        </w:rPr>
        <w:t xml:space="preserve">: </w:t>
      </w:r>
    </w:p>
    <w:p w14:paraId="293C224E"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تُعرّف اصطلاحاً بأنها مدى سرعة ودقة وتكلفة إجراء المعاملات المالية (</w:t>
      </w:r>
      <w:proofErr w:type="spellStart"/>
      <w:r>
        <w:rPr>
          <w:rFonts w:ascii="Traditional Arabic" w:hAnsi="Traditional Arabic" w:cs="Traditional Arabic"/>
          <w:b/>
          <w:bCs/>
          <w:sz w:val="28"/>
          <w:szCs w:val="28"/>
          <w:rtl/>
        </w:rPr>
        <w:t>Bank</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for</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International</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Settlements</w:t>
      </w:r>
      <w:proofErr w:type="spellEnd"/>
      <w:r>
        <w:rPr>
          <w:rFonts w:ascii="Traditional Arabic" w:hAnsi="Traditional Arabic" w:cs="Traditional Arabic"/>
          <w:b/>
          <w:bCs/>
          <w:sz w:val="28"/>
          <w:szCs w:val="28"/>
          <w:rtl/>
        </w:rPr>
        <w:t xml:space="preserve"> [BIS], 2023). ويعرفها معهد التمويل الدولي (</w:t>
      </w:r>
      <w:proofErr w:type="spellStart"/>
      <w:r>
        <w:rPr>
          <w:rFonts w:ascii="Traditional Arabic" w:hAnsi="Traditional Arabic" w:cs="Traditional Arabic"/>
          <w:b/>
          <w:bCs/>
          <w:sz w:val="28"/>
          <w:szCs w:val="28"/>
          <w:rtl/>
        </w:rPr>
        <w:t>Institute</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of</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International</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Finance</w:t>
      </w:r>
      <w:proofErr w:type="spellEnd"/>
      <w:r>
        <w:rPr>
          <w:rFonts w:ascii="Traditional Arabic" w:hAnsi="Traditional Arabic" w:cs="Traditional Arabic"/>
          <w:b/>
          <w:bCs/>
          <w:sz w:val="28"/>
          <w:szCs w:val="28"/>
          <w:rtl/>
        </w:rPr>
        <w:t xml:space="preserve">, 2022) بأنها "قدرة النظام المالي على تنفيذ المعاملات بسرعة وتكلفة منخفضة وبأقل قدر من </w:t>
      </w:r>
      <w:proofErr w:type="spellStart"/>
      <w:r>
        <w:rPr>
          <w:rFonts w:ascii="Traditional Arabic" w:hAnsi="Traditional Arabic" w:cs="Traditional Arabic"/>
          <w:b/>
          <w:bCs/>
          <w:sz w:val="28"/>
          <w:szCs w:val="28"/>
          <w:rtl/>
        </w:rPr>
        <w:t>المخاطر".</w:t>
      </w:r>
      <w:proofErr w:type="spellEnd"/>
    </w:p>
    <w:p w14:paraId="1BF3F42A"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p>
    <w:p w14:paraId="3D447DD1"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رؤية المملكة 2030</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proofErr w:type="spellStart"/>
      <w:r>
        <w:rPr>
          <w:rFonts w:ascii="Traditional Arabic" w:hAnsi="Traditional Arabic" w:cs="Traditional Arabic"/>
          <w:b/>
          <w:bCs/>
          <w:sz w:val="28"/>
          <w:szCs w:val="28"/>
          <w:rtl/>
        </w:rPr>
        <w:t>Vision</w:t>
      </w:r>
      <w:proofErr w:type="spellEnd"/>
      <w:r>
        <w:rPr>
          <w:rFonts w:ascii="Traditional Arabic" w:hAnsi="Traditional Arabic" w:cs="Traditional Arabic"/>
          <w:b/>
          <w:bCs/>
          <w:sz w:val="28"/>
          <w:szCs w:val="28"/>
          <w:rtl/>
        </w:rPr>
        <w:t xml:space="preserve"> 2030)</w:t>
      </w:r>
      <w:r>
        <w:rPr>
          <w:rFonts w:ascii="Traditional Arabic" w:hAnsi="Traditional Arabic" w:cs="Traditional Arabic" w:hint="cs"/>
          <w:b/>
          <w:bCs/>
          <w:sz w:val="28"/>
          <w:szCs w:val="28"/>
          <w:rtl/>
        </w:rPr>
        <w:t xml:space="preserve">: </w:t>
      </w:r>
    </w:p>
    <w:p w14:paraId="2742C768"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الاصطلاحي: 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p>
    <w:p w14:paraId="444FDF97" w14:textId="77777777" w:rsidR="0067429E" w:rsidRDefault="00A34922"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الإجرائي: 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w:t>
      </w:r>
      <w:r>
        <w:rPr>
          <w:rFonts w:ascii="Traditional Arabic" w:hAnsi="Traditional Arabic" w:cs="Traditional Arabic"/>
          <w:b/>
          <w:bCs/>
          <w:sz w:val="28"/>
          <w:szCs w:val="28"/>
          <w:rtl/>
        </w:rPr>
        <w:lastRenderedPageBreak/>
        <w:t>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Pr>
          <w:rFonts w:ascii="Traditional Arabic" w:hAnsi="Traditional Arabic" w:cs="Traditional Arabic" w:hint="cs"/>
          <w:b/>
          <w:bCs/>
          <w:sz w:val="28"/>
          <w:szCs w:val="28"/>
          <w:rtl/>
        </w:rPr>
        <w:t>.</w:t>
      </w:r>
    </w:p>
    <w:p w14:paraId="454F9AFC"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التحول الرقمي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proofErr w:type="spellStart"/>
      <w:r>
        <w:rPr>
          <w:rFonts w:ascii="Traditional Arabic" w:hAnsi="Traditional Arabic" w:cs="Traditional Arabic"/>
          <w:b/>
          <w:bCs/>
          <w:sz w:val="28"/>
          <w:szCs w:val="28"/>
          <w:rtl/>
        </w:rPr>
        <w:t>Digital</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Transformation</w:t>
      </w:r>
      <w:proofErr w:type="spellEnd"/>
      <w:r>
        <w:rPr>
          <w:rFonts w:ascii="Traditional Arabic" w:hAnsi="Traditional Arabic" w:cs="Traditional Arabic"/>
          <w:b/>
          <w:bCs/>
          <w:sz w:val="28"/>
          <w:szCs w:val="28"/>
          <w:rtl/>
        </w:rPr>
        <w:t>)</w:t>
      </w:r>
      <w:r>
        <w:rPr>
          <w:rFonts w:ascii="Traditional Arabic" w:hAnsi="Traditional Arabic" w:cs="Traditional Arabic" w:hint="cs"/>
          <w:b/>
          <w:bCs/>
          <w:sz w:val="28"/>
          <w:szCs w:val="28"/>
          <w:rtl/>
        </w:rPr>
        <w:t>:</w:t>
      </w:r>
    </w:p>
    <w:p w14:paraId="12335F07" w14:textId="77777777" w:rsidR="0067429E" w:rsidRDefault="00C41974"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الاصطلاحي: يُعرّف اصطلاحاً بأنه عملية توظيف التكنولوجيا الرقمية وتبنيها في مختلف جوانب الأعمال لتحسين الأداء وزيادة القيمة وتعزيز تجربة العملاء (برنامج التحول الوطني، 2020؛ </w:t>
      </w:r>
      <w:proofErr w:type="spellStart"/>
      <w:r>
        <w:rPr>
          <w:rFonts w:ascii="Traditional Arabic" w:hAnsi="Traditional Arabic" w:cs="Traditional Arabic"/>
          <w:b/>
          <w:bCs/>
          <w:sz w:val="28"/>
          <w:szCs w:val="28"/>
          <w:rtl/>
        </w:rPr>
        <w:t>Gartner</w:t>
      </w:r>
      <w:proofErr w:type="spellEnd"/>
      <w:r>
        <w:rPr>
          <w:rFonts w:ascii="Traditional Arabic" w:hAnsi="Traditional Arabic" w:cs="Traditional Arabic"/>
          <w:b/>
          <w:bCs/>
          <w:sz w:val="28"/>
          <w:szCs w:val="28"/>
          <w:rtl/>
        </w:rPr>
        <w:t xml:space="preserve">, 2023). وتعرفه مؤسسة MIT </w:t>
      </w:r>
      <w:proofErr w:type="spellStart"/>
      <w:r>
        <w:rPr>
          <w:rFonts w:ascii="Traditional Arabic" w:hAnsi="Traditional Arabic" w:cs="Traditional Arabic"/>
          <w:b/>
          <w:bCs/>
          <w:sz w:val="28"/>
          <w:szCs w:val="28"/>
          <w:rtl/>
        </w:rPr>
        <w:t>Sloan</w:t>
      </w:r>
      <w:proofErr w:type="spellEnd"/>
      <w:r>
        <w:rPr>
          <w:rFonts w:ascii="Traditional Arabic" w:hAnsi="Traditional Arabic" w:cs="Traditional Arabic"/>
          <w:b/>
          <w:bCs/>
          <w:sz w:val="28"/>
          <w:szCs w:val="28"/>
          <w:rtl/>
        </w:rPr>
        <w:t xml:space="preserve"> (2022) بأنه "عملية تكامل التقنيات الرقمية في جميع مجالات الأعمال، مما يؤدي إلى تغيير جوهري في طريقة عمل المؤسسات وتقديم قيمة للعملاء".</w:t>
      </w:r>
    </w:p>
    <w:p w14:paraId="2FAEB803" w14:textId="77777777" w:rsidR="0067429E" w:rsidRDefault="00C41974"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إدراك المستجيبين لإسهام تقنية الترميز في دعم التحول الرقمي المالي ومستهدفات رؤية 2030، ويُقاس بالدرجة التي يحصل عليها المستجيب على عبارات بُعد (التوافق مع رؤية 2030 والتحول الرقمي المالي) في أداة الدراسة.</w:t>
      </w:r>
    </w:p>
    <w:p w14:paraId="7EF4430B" w14:textId="77777777" w:rsidR="0067429E" w:rsidRDefault="00A279D5"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تطوير القطاع المالي</w:t>
      </w:r>
      <w:r>
        <w:rPr>
          <w:rFonts w:ascii="Traditional Arabic" w:hAnsi="Traditional Arabic" w:cs="Traditional Arabic" w:hint="cs"/>
          <w:b/>
          <w:bCs/>
          <w:sz w:val="28"/>
          <w:szCs w:val="28"/>
          <w:rtl/>
        </w:rPr>
        <w:t xml:space="preserve"> </w:t>
      </w:r>
      <w:r>
        <w:rPr>
          <w:rFonts w:ascii="Traditional Arabic" w:hAnsi="Traditional Arabic" w:cs="Traditional Arabic"/>
          <w:b/>
          <w:bCs/>
          <w:sz w:val="28"/>
          <w:szCs w:val="28"/>
          <w:rtl/>
        </w:rPr>
        <w:t>(</w:t>
      </w:r>
      <w:proofErr w:type="spellStart"/>
      <w:r>
        <w:rPr>
          <w:rFonts w:ascii="Traditional Arabic" w:hAnsi="Traditional Arabic" w:cs="Traditional Arabic"/>
          <w:b/>
          <w:bCs/>
          <w:sz w:val="28"/>
          <w:szCs w:val="28"/>
          <w:rtl/>
        </w:rPr>
        <w:t>Financial</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Sector</w:t>
      </w:r>
      <w:proofErr w:type="spellEnd"/>
      <w:r>
        <w:rPr>
          <w:rFonts w:ascii="Traditional Arabic" w:hAnsi="Traditional Arabic" w:cs="Traditional Arabic"/>
          <w:b/>
          <w:bCs/>
          <w:sz w:val="28"/>
          <w:szCs w:val="28"/>
          <w:rtl/>
        </w:rPr>
        <w:t xml:space="preserve"> Development)</w:t>
      </w:r>
      <w:r>
        <w:rPr>
          <w:rFonts w:ascii="Traditional Arabic" w:hAnsi="Traditional Arabic" w:cs="Traditional Arabic" w:hint="cs"/>
          <w:b/>
          <w:bCs/>
          <w:sz w:val="28"/>
          <w:szCs w:val="28"/>
          <w:rtl/>
        </w:rPr>
        <w:t xml:space="preserve">: </w:t>
      </w:r>
    </w:p>
    <w:p w14:paraId="1EF51EEB" w14:textId="77777777" w:rsidR="0067429E" w:rsidRDefault="00656233" w:rsidP="0067429E">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التعريف الاصطلاحي: يُعرّف اصطلاحاً بأنه مجموعة الإجراءات والسياسات التي تهدف إلى تعزيز استقرار وكفاءة وتنافسية القطاع المالي (برنامج تطوير القطاع المالي، 2018؛ </w:t>
      </w:r>
      <w:proofErr w:type="spellStart"/>
      <w:r>
        <w:rPr>
          <w:rFonts w:ascii="Traditional Arabic" w:hAnsi="Traditional Arabic" w:cs="Traditional Arabic"/>
          <w:b/>
          <w:bCs/>
          <w:sz w:val="28"/>
          <w:szCs w:val="28"/>
          <w:rtl/>
        </w:rPr>
        <w:t>International</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Monetary</w:t>
      </w:r>
      <w:proofErr w:type="spellEnd"/>
      <w:r>
        <w:rPr>
          <w:rFonts w:ascii="Traditional Arabic" w:hAnsi="Traditional Arabic" w:cs="Traditional Arabic"/>
          <w:b/>
          <w:bCs/>
          <w:sz w:val="28"/>
          <w:szCs w:val="28"/>
          <w:rtl/>
        </w:rPr>
        <w:t xml:space="preserve"> </w:t>
      </w:r>
      <w:proofErr w:type="spellStart"/>
      <w:r>
        <w:rPr>
          <w:rFonts w:ascii="Traditional Arabic" w:hAnsi="Traditional Arabic" w:cs="Traditional Arabic"/>
          <w:b/>
          <w:bCs/>
          <w:sz w:val="28"/>
          <w:szCs w:val="28"/>
          <w:rtl/>
        </w:rPr>
        <w:t>Fund</w:t>
      </w:r>
      <w:proofErr w:type="spellEnd"/>
      <w:r>
        <w:rPr>
          <w:rFonts w:ascii="Traditional Arabic" w:hAnsi="Traditional Arabic" w:cs="Traditional Arabic"/>
          <w:b/>
          <w:bCs/>
          <w:sz w:val="28"/>
          <w:szCs w:val="28"/>
          <w:rtl/>
        </w:rPr>
        <w:t xml:space="preserve"> [IMF], 2022). ويعرفه البنك الدولي (2023) بأنه "عملية تحسين وتوسيع الخدمات المالية وجعلها أكثر كفاءة واستقراراً وشمولاً، مما يساهم في النمو الاقتصادي والتنمية المستدامة".</w:t>
      </w:r>
    </w:p>
    <w:p w14:paraId="08BF700A" w14:textId="77777777" w:rsidR="001B355A" w:rsidRDefault="00656233" w:rsidP="001B355A">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b/>
          <w:bCs/>
          <w:sz w:val="28"/>
          <w:szCs w:val="28"/>
          <w:rtl/>
        </w:rPr>
        <w:t>التعريف الإجرائي: 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p>
    <w:p w14:paraId="7E3AFA9D" w14:textId="1FE0A8FB" w:rsidR="00FC3D33" w:rsidRPr="001B355A" w:rsidRDefault="00656233" w:rsidP="001B355A">
      <w:pPr>
        <w:bidi/>
        <w:spacing w:after="0" w:line="360" w:lineRule="auto"/>
        <w:jc w:val="both"/>
        <w:rPr>
          <w:rFonts w:ascii="Simplified Arabic" w:hAnsi="Simplified Arabic" w:cs="Simplified Arabic"/>
          <w:b/>
          <w:bCs/>
          <w:sz w:val="32"/>
          <w:szCs w:val="32"/>
          <w:rtl/>
        </w:rPr>
      </w:pPr>
      <w:r>
        <w:rPr>
          <w:rFonts w:ascii="Traditional Arabic" w:hAnsi="Traditional Arabic" w:cs="Traditional Arabic"/>
          <w:b/>
          <w:bCs/>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p>
    <w:p w14:paraId="7734DD59" w14:textId="77777777" w:rsidR="001B355A" w:rsidRDefault="00257F01" w:rsidP="001B355A">
      <w:pPr>
        <w:pStyle w:val="HeadingTOCEntry"/>
        <w:bidi/>
        <w:spacing w:after="0" w:line="360" w:lineRule="auto"/>
        <w:ind w:left="432" w:hanging="432"/>
        <w:rPr>
          <w:rFonts w:ascii="Traditional Arabic" w:hAnsi="Traditional Arabic" w:cs="Traditional Arabic"/>
          <w:b/>
          <w:bCs/>
          <w:sz w:val="32"/>
          <w:szCs w:val="32"/>
          <w:u w:val="single"/>
          <w:rtl/>
        </w:rPr>
      </w:pPr>
      <w:bookmarkStart w:id="43" w:name="_Toc224563940"/>
      <w:bookmarkStart w:id="44" w:name="_Toc234424133"/>
      <w:r>
        <w:rPr>
          <w:rFonts w:ascii="Traditional Arabic" w:hAnsi="Traditional Arabic" w:cs="Traditional Arabic"/>
          <w:b/>
          <w:bCs/>
          <w:sz w:val="32"/>
          <w:szCs w:val="32"/>
          <w:u w:val="single"/>
          <w:rtl/>
        </w:rPr>
        <w:t xml:space="preserve">إجراءات </w:t>
      </w:r>
      <w:r>
        <w:rPr>
          <w:rFonts w:ascii="Traditional Arabic" w:hAnsi="Traditional Arabic" w:cs="Traditional Arabic" w:hint="cs"/>
          <w:b/>
          <w:bCs/>
          <w:sz w:val="32"/>
          <w:szCs w:val="32"/>
          <w:u w:val="single"/>
          <w:rtl/>
        </w:rPr>
        <w:t>الدراسة:</w:t>
      </w:r>
      <w:bookmarkEnd w:id="43"/>
      <w:bookmarkEnd w:id="44"/>
    </w:p>
    <w:p w14:paraId="6B9E16EA" w14:textId="77777777" w:rsidR="001B355A" w:rsidRDefault="00E62032"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 xml:space="preserve">اعتمدت الدراسة المنهج الكمي الوصفي التحليلي، واستخدمت الاستبانة الإلكترونية أداةً وحيدة لجمع البيانات من عينة قصدية من العاملين في المؤسسات المالية السعودية، وحُلِّلت البيانات بأساليب إحصائية </w:t>
      </w:r>
      <w:proofErr w:type="spellStart"/>
      <w:r>
        <w:rPr>
          <w:rFonts w:ascii="Traditional Arabic" w:hAnsi="Traditional Arabic" w:cs="Traditional Arabic"/>
          <w:b/>
          <w:bCs/>
          <w:sz w:val="28"/>
          <w:szCs w:val="28"/>
          <w:rtl/>
        </w:rPr>
        <w:t>لامعلمية</w:t>
      </w:r>
      <w:proofErr w:type="spellEnd"/>
      <w:r>
        <w:rPr>
          <w:rFonts w:ascii="Traditional Arabic" w:hAnsi="Traditional Arabic" w:cs="Traditional Arabic"/>
          <w:b/>
          <w:bCs/>
          <w:sz w:val="28"/>
          <w:szCs w:val="28"/>
          <w:rtl/>
        </w:rPr>
        <w:t>. ويُعرَض التفصيل الكامل لمنهج الدراسة ومجتمعها وعينتها وأداتها وصدقها وثباتها وأساليبها الإحصائية في الفصل الثالث (منهجية الدراسة)، تجنباً للتكرار.</w:t>
      </w:r>
      <w:bookmarkStart w:id="45" w:name="_Toc224563942"/>
      <w:bookmarkStart w:id="46" w:name="_Toc234424135"/>
    </w:p>
    <w:p w14:paraId="6BD53DBC" w14:textId="77777777" w:rsidR="001B355A" w:rsidRDefault="000A1E46" w:rsidP="001B355A">
      <w:pPr>
        <w:pStyle w:val="HeadingTOCEntry"/>
        <w:bidi/>
        <w:spacing w:after="0" w:line="360" w:lineRule="auto"/>
        <w:ind w:left="432" w:hanging="432"/>
        <w:rPr>
          <w:rFonts w:ascii="Traditional Arabic" w:hAnsi="Traditional Arabic" w:cs="Traditional Arabic"/>
          <w:b/>
          <w:bCs/>
          <w:sz w:val="32"/>
          <w:szCs w:val="32"/>
          <w:u w:val="single"/>
          <w:rtl/>
        </w:rPr>
      </w:pPr>
      <w:r>
        <w:rPr>
          <w:rFonts w:ascii="Traditional Arabic" w:hAnsi="Traditional Arabic" w:cs="Traditional Arabic"/>
          <w:b/>
          <w:bCs/>
          <w:sz w:val="32"/>
          <w:szCs w:val="32"/>
          <w:u w:val="single"/>
          <w:rtl/>
        </w:rPr>
        <w:t>حدود الدراسة:</w:t>
      </w:r>
      <w:bookmarkEnd w:id="45"/>
      <w:bookmarkEnd w:id="46"/>
      <w:r>
        <w:rPr>
          <w:rFonts w:ascii="Traditional Arabic" w:hAnsi="Traditional Arabic" w:cs="Traditional Arabic"/>
          <w:b/>
          <w:bCs/>
          <w:sz w:val="32"/>
          <w:szCs w:val="32"/>
          <w:u w:val="single"/>
          <w:rtl/>
        </w:rPr>
        <w:t xml:space="preserve"> </w:t>
      </w:r>
    </w:p>
    <w:p w14:paraId="0B5842C5"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hint="cs"/>
          <w:b/>
          <w:bCs/>
          <w:sz w:val="28"/>
          <w:szCs w:val="28"/>
          <w:rtl/>
        </w:rPr>
        <w:t>تعتبر</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حدود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الدراسة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إطاراً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منهجياً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يحدد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نطاق</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البحث</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ومجاله،</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مما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يساعد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في</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تركيز</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الجهود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البحثية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وضمان</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دقة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النتائج</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وإمكانية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تعميمها</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تتضمن</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هذه</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الدراسة</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الحدود</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التالية</w:t>
      </w:r>
      <w:r>
        <w:rPr>
          <w:rFonts w:ascii="Traditional Arabic" w:hAnsi="Traditional Arabic" w:cs="Traditional Arabic"/>
          <w:b/>
          <w:bCs/>
          <w:sz w:val="28"/>
          <w:szCs w:val="28"/>
          <w:rtl/>
        </w:rPr>
        <w:t>:</w:t>
      </w:r>
    </w:p>
    <w:p w14:paraId="0FAC7066"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الحدود الموضوعية</w:t>
      </w:r>
    </w:p>
    <w:p w14:paraId="76D264D5" w14:textId="77777777" w:rsidR="001B355A" w:rsidRDefault="007F6F3E" w:rsidP="001B355A">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Pr>
          <w:rFonts w:ascii="Traditional Arabic" w:hAnsi="Traditional Arabic" w:cs="Traditional Arabic" w:hint="cs"/>
          <w:b/>
          <w:bCs/>
          <w:sz w:val="28"/>
          <w:szCs w:val="28"/>
          <w:rtl/>
        </w:rPr>
        <w:t>.</w:t>
      </w:r>
    </w:p>
    <w:p w14:paraId="36422FE8" w14:textId="77777777" w:rsidR="0063519C" w:rsidRDefault="0063519C" w:rsidP="001B355A">
      <w:pPr>
        <w:pStyle w:val="HeadingTOCEntry"/>
        <w:bidi/>
        <w:spacing w:after="0" w:line="360" w:lineRule="auto"/>
        <w:ind w:left="432" w:hanging="432"/>
        <w:rPr>
          <w:rFonts w:ascii="Traditional Arabic" w:hAnsi="Traditional Arabic" w:cs="Traditional Arabic"/>
          <w:b/>
          <w:bCs/>
          <w:sz w:val="28"/>
          <w:szCs w:val="28"/>
          <w:rtl/>
        </w:rPr>
      </w:pPr>
    </w:p>
    <w:p w14:paraId="118AA5D2"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4607D415"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3DA03938" w14:textId="77777777" w:rsidR="0063519C" w:rsidRDefault="0063519C" w:rsidP="0063519C">
      <w:pPr>
        <w:pStyle w:val="HeadingTOCEntry"/>
        <w:bidi/>
        <w:spacing w:after="0" w:line="360" w:lineRule="auto"/>
        <w:ind w:left="432" w:hanging="432"/>
        <w:rPr>
          <w:rFonts w:ascii="Traditional Arabic" w:hAnsi="Traditional Arabic" w:cs="Traditional Arabic"/>
          <w:b/>
          <w:bCs/>
          <w:sz w:val="28"/>
          <w:szCs w:val="28"/>
          <w:rtl/>
        </w:rPr>
      </w:pPr>
    </w:p>
    <w:p w14:paraId="19812122" w14:textId="355FF755" w:rsidR="001B355A" w:rsidRDefault="007F6F3E" w:rsidP="0063519C">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lastRenderedPageBreak/>
        <w:t>الحدود المكانية</w:t>
      </w:r>
    </w:p>
    <w:p w14:paraId="2AF40329" w14:textId="77777777" w:rsidR="0063519C" w:rsidRDefault="007F6F3E" w:rsidP="0063519C">
      <w:pPr>
        <w:pStyle w:val="HeadingTOCEntry"/>
        <w:bidi/>
        <w:spacing w:after="0" w:line="360" w:lineRule="auto"/>
        <w:ind w:left="432" w:hanging="432"/>
        <w:rPr>
          <w:rFonts w:ascii="Traditional Arabic" w:hAnsi="Traditional Arabic" w:cs="Traditional Arabic"/>
          <w:b/>
          <w:bCs/>
          <w:sz w:val="28"/>
          <w:szCs w:val="28"/>
          <w:rtl/>
        </w:rPr>
      </w:pPr>
      <w:r>
        <w:rPr>
          <w:rFonts w:ascii="Traditional Arabic" w:hAnsi="Traditional Arabic" w:cs="Traditional Arabic"/>
          <w:b/>
          <w:bCs/>
          <w:sz w:val="28"/>
          <w:szCs w:val="28"/>
          <w:rtl/>
        </w:rPr>
        <w:t>تقتصر الدراسة على المؤسسات المالية العاملة في المملكة العربية السعودية، وتحديداً:</w:t>
      </w:r>
    </w:p>
    <w:p w14:paraId="52276572" w14:textId="77777777" w:rsidR="0063519C" w:rsidRPr="0063519C" w:rsidRDefault="007F6F3E" w:rsidP="0063519C">
      <w:pPr>
        <w:pStyle w:val="Heading2"/>
        <w:numPr>
          <w:ilvl w:val="0"/>
          <w:numId w:val="14"/>
        </w:numPr>
        <w:tabs>
          <w:tab w:val="clear" w:pos="720"/>
        </w:tabs>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البنوك التجارية المحلية التقليدية المرخصة من قبل البنك المركزي السعودي (ساما) وعددها 11 بنكاً.</w:t>
      </w:r>
    </w:p>
    <w:p w14:paraId="5A071EA3" w14:textId="77777777" w:rsidR="0063519C" w:rsidRPr="0063519C" w:rsidRDefault="007F6F3E" w:rsidP="0063519C">
      <w:pPr>
        <w:pStyle w:val="Heading2"/>
        <w:numPr>
          <w:ilvl w:val="0"/>
          <w:numId w:val="14"/>
        </w:numPr>
        <w:tabs>
          <w:tab w:val="clear" w:pos="720"/>
        </w:tabs>
        <w:bidi/>
        <w:spacing w:before="0" w:line="360" w:lineRule="auto"/>
        <w:jc w:val="both"/>
        <w:rPr>
          <w:rFonts w:ascii="Traditional Arabic" w:hAnsi="Traditional Arabic" w:cs="Traditional Arabic"/>
          <w:b/>
          <w:bCs/>
          <w:color w:val="auto"/>
          <w:sz w:val="28"/>
          <w:szCs w:val="28"/>
          <w:rtl/>
        </w:rPr>
      </w:pPr>
      <w:r>
        <w:rPr>
          <w:rFonts w:ascii="Traditional Arabic" w:hAnsi="Traditional Arabic" w:cs="Traditional Arabic"/>
          <w:b/>
          <w:bCs/>
          <w:color w:val="auto"/>
          <w:sz w:val="28"/>
          <w:szCs w:val="28"/>
          <w:rtl/>
        </w:rPr>
        <w:t>البنوك الرقمية المحلية المرخصة وعددها 3 بنوك.</w:t>
      </w:r>
    </w:p>
    <w:p w14:paraId="52F8EC2E" w14:textId="6C92E279" w:rsidR="007F6F3E" w:rsidRPr="0063519C" w:rsidRDefault="007F6F3E" w:rsidP="0063519C">
      <w:pPr>
        <w:pStyle w:val="Heading2"/>
        <w:numPr>
          <w:ilvl w:val="0"/>
          <w:numId w:val="14"/>
        </w:numPr>
        <w:tabs>
          <w:tab w:val="clear" w:pos="720"/>
        </w:tabs>
        <w:bidi/>
        <w:spacing w:before="0" w:line="360" w:lineRule="auto"/>
        <w:jc w:val="both"/>
        <w:rPr>
          <w:rFonts w:ascii="Traditional Arabic" w:hAnsi="Traditional Arabic" w:cs="Traditional Arabic"/>
          <w:b/>
          <w:bCs/>
          <w:color w:val="auto"/>
          <w:sz w:val="28"/>
          <w:szCs w:val="28"/>
        </w:rPr>
      </w:pPr>
      <w:r>
        <w:rPr>
          <w:rFonts w:ascii="Traditional Arabic" w:hAnsi="Traditional Arabic" w:cs="Traditional Arabic"/>
          <w:b/>
          <w:bCs/>
          <w:color w:val="auto"/>
          <w:sz w:val="28"/>
          <w:szCs w:val="28"/>
          <w:rtl/>
        </w:rPr>
        <w:t>شركات التقنية المالية (</w:t>
      </w:r>
      <w:proofErr w:type="spellStart"/>
      <w:r>
        <w:rPr>
          <w:rFonts w:ascii="Traditional Arabic" w:hAnsi="Traditional Arabic" w:cs="Traditional Arabic"/>
          <w:b/>
          <w:bCs/>
          <w:color w:val="auto"/>
          <w:sz w:val="28"/>
          <w:szCs w:val="28"/>
          <w:rtl/>
        </w:rPr>
        <w:t>Fintech</w:t>
      </w:r>
      <w:proofErr w:type="spellEnd"/>
      <w:r>
        <w:rPr>
          <w:rFonts w:ascii="Traditional Arabic" w:hAnsi="Traditional Arabic" w:cs="Traditional Arabic"/>
          <w:b/>
          <w:bCs/>
          <w:color w:val="auto"/>
          <w:sz w:val="28"/>
          <w:szCs w:val="28"/>
          <w:rtl/>
        </w:rPr>
        <w:t>) المرخصة من قبل البنك المركزي السعودي وعددها 224 شركة.</w:t>
      </w:r>
    </w:p>
    <w:p w14:paraId="3289790D" w14:textId="77777777" w:rsidR="007F6F3E" w:rsidRPr="0072768E" w:rsidRDefault="007F6F3E"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p>
    <w:p w14:paraId="5EF5C77B" w14:textId="77777777" w:rsidR="007F6F3E" w:rsidRPr="0072768E" w:rsidRDefault="007F6F3E" w:rsidP="00E000FF">
      <w:pPr>
        <w:pStyle w:val="Heading2"/>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الحدود الزمانية</w:t>
      </w:r>
    </w:p>
    <w:p w14:paraId="15F298C5" w14:textId="77777777" w:rsidR="007F6F3E" w:rsidRPr="0072768E" w:rsidRDefault="007F6F3E"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تغطي الدراسة الفترة من يناير 2025 إلى ديسمبر 2026، وهي الفترة المخصصة لتنفيذ خطة البحث على النحو التالي:</w:t>
      </w:r>
    </w:p>
    <w:p w14:paraId="16DB844D"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يناير إلى أبريل 2025: مراجعة الأدبيات وتطوير أدوات الدراسة.</w:t>
      </w:r>
    </w:p>
    <w:p w14:paraId="7E6F436D"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مايو إلى ديسمبر 2025: جمع البيانات من عينة الدراسة.</w:t>
      </w:r>
    </w:p>
    <w:p w14:paraId="0D7ABB6A"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يناير إلى يونيو 2026: تحليل البيانات واستخلاص النتائج.</w:t>
      </w:r>
    </w:p>
    <w:p w14:paraId="38748D14" w14:textId="77777777" w:rsidR="007F6F3E" w:rsidRPr="0072768E" w:rsidRDefault="007F6F3E" w:rsidP="00E000FF">
      <w:pPr>
        <w:pStyle w:val="Heading2"/>
        <w:numPr>
          <w:ilvl w:val="0"/>
          <w:numId w:val="15"/>
        </w:numPr>
        <w:tabs>
          <w:tab w:val="clear" w:pos="720"/>
        </w:tabs>
        <w:bidi/>
        <w:spacing w:before="0" w:line="360" w:lineRule="auto"/>
        <w:ind w:left="432" w:hanging="432"/>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الفترة من يوليو إلى ديسمبر 2026: كتابة التقرير النهائي وتقديم التوصيات.</w:t>
      </w:r>
    </w:p>
    <w:p w14:paraId="6A54FB40" w14:textId="77777777" w:rsidR="007F6F3E" w:rsidRPr="0072768E" w:rsidRDefault="007F6F3E"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p>
    <w:p w14:paraId="5937AEEC" w14:textId="77777777" w:rsidR="007F6F3E" w:rsidRPr="0072768E" w:rsidRDefault="007F6F3E" w:rsidP="00E000FF">
      <w:pPr>
        <w:pStyle w:val="Heading2"/>
        <w:bidi/>
        <w:spacing w:before="0" w:line="360" w:lineRule="auto"/>
        <w:rPr>
          <w:rFonts w:ascii="Simplified Arabic" w:hAnsi="Simplified Arabic" w:cs="Simplified Arabic"/>
          <w:b/>
          <w:bCs/>
          <w:color w:val="auto"/>
          <w:sz w:val="28"/>
          <w:szCs w:val="28"/>
        </w:rPr>
      </w:pPr>
      <w:r>
        <w:rPr>
          <w:rFonts w:ascii="Traditional Arabic" w:hAnsi="Traditional Arabic" w:cs="Traditional Arabic"/>
          <w:b/>
          <w:bCs/>
          <w:color w:val="auto"/>
          <w:sz w:val="28"/>
          <w:szCs w:val="28"/>
          <w:rtl/>
        </w:rPr>
        <w:t>الحدود البشرية</w:t>
      </w:r>
    </w:p>
    <w:p w14:paraId="483E8A6C" w14:textId="77777777" w:rsidR="007F6F3E" w:rsidRPr="0063519C" w:rsidRDefault="007F6F3E" w:rsidP="00E000FF">
      <w:p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تشمل الدراسة الفئات التالية:</w:t>
      </w:r>
    </w:p>
    <w:p w14:paraId="22512049"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القيادات الإدارية والتنفيذية: 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p>
    <w:p w14:paraId="1D505C33"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lastRenderedPageBreak/>
        <w:t>الخبراء والمتخصصون: 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p>
    <w:p w14:paraId="2EEDD58A" w14:textId="77777777" w:rsidR="007F6F3E" w:rsidRPr="0063519C" w:rsidRDefault="007F6F3E" w:rsidP="00E000FF">
      <w:pPr>
        <w:numPr>
          <w:ilvl w:val="0"/>
          <w:numId w:val="16"/>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الفنيون والمختصون التقنيون: الموظفون الفنيون العاملون في مجال تطبيق الترميز مثل محللي البيانات ومطوري البرمجيات ومسؤولي الأمن السيبراني والمختصين في تقنيات الترميز المختلفة.</w:t>
      </w:r>
    </w:p>
    <w:p w14:paraId="4653F913" w14:textId="77777777" w:rsidR="007F6F3E" w:rsidRPr="0063519C" w:rsidRDefault="007F6F3E" w:rsidP="00E000FF">
      <w:pPr>
        <w:pStyle w:val="Heading2"/>
        <w:bidi/>
        <w:spacing w:before="0" w:line="360" w:lineRule="auto"/>
        <w:jc w:val="both"/>
        <w:rPr>
          <w:rFonts w:ascii="Simplified Arabic" w:hAnsi="Simplified Arabic" w:cs="Simplified Arabic"/>
          <w:b/>
          <w:bCs/>
          <w:color w:val="auto"/>
          <w:sz w:val="28"/>
          <w:szCs w:val="28"/>
          <w:rtl/>
        </w:rPr>
      </w:pPr>
      <w:r w:rsidRPr="0063519C">
        <w:rPr>
          <w:rFonts w:ascii="Traditional Arabic" w:hAnsi="Traditional Arabic" w:cs="Traditional Arabic"/>
          <w:b/>
          <w:bCs/>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sidRPr="0063519C">
        <w:rPr>
          <w:rFonts w:ascii="Traditional Arabic" w:hAnsi="Traditional Arabic" w:cs="Traditional Arabic" w:hint="cs"/>
          <w:b/>
          <w:bCs/>
          <w:color w:val="auto"/>
          <w:sz w:val="28"/>
          <w:szCs w:val="28"/>
          <w:rtl/>
        </w:rPr>
        <w:t>.</w:t>
      </w:r>
    </w:p>
    <w:p w14:paraId="1E872725" w14:textId="77777777" w:rsidR="007F6F3E" w:rsidRPr="0063519C" w:rsidRDefault="007F6F3E" w:rsidP="00E000FF">
      <w:pPr>
        <w:pStyle w:val="Heading2"/>
        <w:bidi/>
        <w:spacing w:before="0" w:line="360" w:lineRule="auto"/>
        <w:rPr>
          <w:rFonts w:ascii="Simplified Arabic" w:hAnsi="Simplified Arabic" w:cs="Simplified Arabic"/>
          <w:b/>
          <w:bCs/>
          <w:color w:val="auto"/>
          <w:sz w:val="28"/>
          <w:szCs w:val="28"/>
        </w:rPr>
      </w:pPr>
      <w:r w:rsidRPr="0063519C">
        <w:rPr>
          <w:rFonts w:ascii="Traditional Arabic" w:hAnsi="Traditional Arabic" w:cs="Traditional Arabic"/>
          <w:b/>
          <w:bCs/>
          <w:color w:val="auto"/>
          <w:sz w:val="28"/>
          <w:szCs w:val="28"/>
          <w:rtl/>
        </w:rPr>
        <w:t>مبررات اختيار حدود الدراسة</w:t>
      </w:r>
    </w:p>
    <w:p w14:paraId="41F576BB"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الموضوعية: 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p>
    <w:p w14:paraId="00D8B7EF"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المكانية: تم اختيار المؤسسات المالية السعودية لكونها تشهد تحولاً رقمياً متسارعاً، ولوجود فجوة بحثية في دراسة تأثير تقنية الترميز في السياق السعودي تحديداً.</w:t>
      </w:r>
    </w:p>
    <w:p w14:paraId="1514F0B1"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الزمانية: تم تحديد الفترة 2025-2026 لضمان الحصول على بيانات حديثة تعكس الواقع الحالي لتبني تقنية الترميز وتأثيرها، في ظل التطور المتسارع للتكنولوجيا المالية.</w:t>
      </w:r>
    </w:p>
    <w:p w14:paraId="5F6277DD" w14:textId="77777777" w:rsidR="007F6F3E" w:rsidRPr="0063519C" w:rsidRDefault="007F6F3E" w:rsidP="00E000FF">
      <w:pPr>
        <w:numPr>
          <w:ilvl w:val="0"/>
          <w:numId w:val="17"/>
        </w:numPr>
        <w:bidi/>
        <w:spacing w:after="0" w:line="360" w:lineRule="auto"/>
        <w:jc w:val="both"/>
        <w:rPr>
          <w:rFonts w:ascii="Simplified Arabic" w:hAnsi="Simplified Arabic" w:cs="Simplified Arabic"/>
          <w:b/>
          <w:bCs/>
          <w:sz w:val="28"/>
          <w:szCs w:val="28"/>
        </w:rPr>
      </w:pPr>
      <w:r w:rsidRPr="0063519C">
        <w:rPr>
          <w:rFonts w:ascii="Traditional Arabic" w:hAnsi="Traditional Arabic" w:cs="Traditional Arabic"/>
          <w:b/>
          <w:bCs/>
          <w:sz w:val="28"/>
          <w:szCs w:val="28"/>
          <w:rtl/>
        </w:rPr>
        <w:t>مبررات الحدود البشرية: تم اختيار مجموعة متنوعة من المشاركين لضمان الحصول على رؤية متكاملة تجمع بين الجوانب الإدارية والتقنية والتنظيمية والمستخدم النهائي.</w:t>
      </w:r>
    </w:p>
    <w:p w14:paraId="68977925" w14:textId="044E8549" w:rsidR="007E4F21" w:rsidRDefault="007F6F3E" w:rsidP="00E000FF">
      <w:pPr>
        <w:pStyle w:val="Heading2"/>
        <w:bidi/>
        <w:spacing w:before="0" w:line="360" w:lineRule="auto"/>
        <w:jc w:val="both"/>
        <w:rPr>
          <w:rFonts w:ascii="Simplified Arabic" w:hAnsi="Simplified Arabic" w:cs="Simplified Arabic"/>
          <w:color w:val="auto"/>
          <w:sz w:val="28"/>
          <w:szCs w:val="28"/>
          <w:rtl/>
        </w:rPr>
      </w:pPr>
      <w:r>
        <w:rPr>
          <w:rFonts w:ascii="Traditional Arabic" w:hAnsi="Traditional Arabic" w:cs="Traditional Arabic"/>
          <w:b/>
          <w:bCs/>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p>
    <w:p w14:paraId="0B0EDE16" w14:textId="77777777" w:rsidR="00AF5C9F" w:rsidRPr="00AF5C9F" w:rsidRDefault="00AF5C9F" w:rsidP="00E000FF">
      <w:pPr>
        <w:bidi/>
        <w:spacing w:after="0" w:line="360" w:lineRule="auto"/>
        <w:rPr>
          <w:rtl/>
        </w:rPr>
      </w:pPr>
    </w:p>
    <w:p w14:paraId="7DB1CCBA" w14:textId="77777777" w:rsidR="00A554AC" w:rsidRPr="0072768E" w:rsidRDefault="00A554AC" w:rsidP="00E000FF">
      <w:pPr>
        <w:bidi/>
        <w:spacing w:after="0" w:line="360" w:lineRule="auto"/>
        <w:jc w:val="both"/>
        <w:rPr>
          <w:rFonts w:ascii="Simplified Arabic" w:eastAsiaTheme="majorEastAsia" w:hAnsi="Simplified Arabic" w:cs="Simplified Arabic"/>
          <w:b/>
          <w:bCs/>
          <w:sz w:val="28"/>
          <w:szCs w:val="28"/>
          <w:rtl/>
        </w:rPr>
      </w:pPr>
    </w:p>
    <w:p w14:paraId="253D93FC" w14:textId="77777777" w:rsidR="004E6090" w:rsidRPr="0072768E" w:rsidRDefault="004E6090" w:rsidP="00E000FF">
      <w:pPr>
        <w:bidi/>
        <w:spacing w:after="0" w:line="360" w:lineRule="auto"/>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cols w:space="708"/>
          <w:titlePg/>
          <w:bidi/>
          <w:rtlGutter/>
          <w:docGrid w:linePitch="360"/>
        </w:sectPr>
      </w:pPr>
    </w:p>
    <w:p w14:paraId="4FF710B5" w14:textId="77777777" w:rsidR="0063519C" w:rsidRDefault="0063519C" w:rsidP="00E000FF">
      <w:pPr>
        <w:pStyle w:val="HeadingTOCEntry"/>
        <w:bidi/>
        <w:spacing w:after="0" w:line="360" w:lineRule="auto"/>
        <w:ind w:left="432" w:hanging="432"/>
        <w:jc w:val="center"/>
        <w:rPr>
          <w:rFonts w:ascii="Traditional Arabic" w:hAnsi="Traditional Arabic" w:cs="Traditional Arabic"/>
          <w:b/>
          <w:bCs/>
          <w:sz w:val="32"/>
          <w:szCs w:val="32"/>
          <w:rtl/>
        </w:rPr>
      </w:pPr>
      <w:bookmarkStart w:id="47" w:name="_Toc224563956"/>
      <w:bookmarkStart w:id="48" w:name="_Toc234424148"/>
    </w:p>
    <w:p w14:paraId="6447D87C"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35C3CB21"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7C2608D2"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3FE8995D" w14:textId="77777777" w:rsidR="0063519C" w:rsidRDefault="0063519C" w:rsidP="0063519C">
      <w:pPr>
        <w:pStyle w:val="HeadingTOCEntry"/>
        <w:bidi/>
        <w:spacing w:after="0" w:line="360" w:lineRule="auto"/>
        <w:ind w:left="432" w:hanging="432"/>
        <w:jc w:val="center"/>
        <w:rPr>
          <w:rFonts w:ascii="Traditional Arabic" w:hAnsi="Traditional Arabic" w:cs="Traditional Arabic"/>
          <w:b/>
          <w:bCs/>
          <w:sz w:val="32"/>
          <w:szCs w:val="32"/>
          <w:rtl/>
        </w:rPr>
      </w:pPr>
    </w:p>
    <w:p w14:paraId="0E6B3264" w14:textId="7832620E" w:rsidR="00A40CCF" w:rsidRPr="004F6AF4" w:rsidRDefault="00A40CCF" w:rsidP="0063519C">
      <w:pPr>
        <w:pStyle w:val="HeadingTOCEntry"/>
        <w:bidi/>
        <w:spacing w:after="0" w:line="360" w:lineRule="auto"/>
        <w:ind w:left="432" w:hanging="432"/>
        <w:jc w:val="center"/>
        <w:rPr>
          <w:rFonts w:ascii="Traditional Arabic" w:hAnsi="Traditional Arabic" w:cs="Traditional Arabic"/>
          <w:b/>
          <w:bCs/>
          <w:sz w:val="92"/>
          <w:szCs w:val="92"/>
          <w:rtl/>
        </w:rPr>
      </w:pPr>
      <w:r w:rsidRPr="004F6AF4">
        <w:rPr>
          <w:rFonts w:ascii="Traditional Arabic" w:hAnsi="Traditional Arabic" w:cs="Traditional Arabic"/>
          <w:b/>
          <w:bCs/>
          <w:sz w:val="92"/>
          <w:szCs w:val="92"/>
          <w:rtl/>
        </w:rPr>
        <w:t>الفصل الثاني</w:t>
      </w:r>
      <w:bookmarkEnd w:id="47"/>
      <w:bookmarkEnd w:id="48"/>
    </w:p>
    <w:p w14:paraId="642CB666" w14:textId="1FD9B072" w:rsidR="00BC00FF" w:rsidRPr="004F6AF4" w:rsidRDefault="00A40CCF" w:rsidP="004F6AF4">
      <w:pPr>
        <w:pStyle w:val="HeadingTOCEntry"/>
        <w:bidi/>
        <w:spacing w:after="0" w:line="360" w:lineRule="auto"/>
        <w:ind w:left="432" w:hanging="432"/>
        <w:jc w:val="center"/>
        <w:rPr>
          <w:rFonts w:ascii="Traditional Arabic" w:hAnsi="Traditional Arabic" w:cs="Traditional Arabic"/>
          <w:b/>
          <w:bCs/>
          <w:sz w:val="92"/>
          <w:szCs w:val="92"/>
          <w:rtl/>
        </w:rPr>
      </w:pPr>
      <w:r w:rsidRPr="004F6AF4">
        <w:rPr>
          <w:rFonts w:ascii="Traditional Arabic" w:hAnsi="Traditional Arabic" w:cs="Traditional Arabic"/>
          <w:b/>
          <w:bCs/>
          <w:sz w:val="92"/>
          <w:szCs w:val="92"/>
          <w:rtl/>
        </w:rPr>
        <w:t>الإطار النظري والدراسات السابقة</w:t>
      </w:r>
    </w:p>
    <w:p w14:paraId="151D0399" w14:textId="77777777" w:rsidR="00F16CC0" w:rsidRPr="00F16CC0" w:rsidRDefault="00F16CC0" w:rsidP="00E000FF">
      <w:pPr>
        <w:bidi/>
        <w:spacing w:after="0" w:line="360" w:lineRule="auto"/>
        <w:rPr>
          <w:rFonts w:ascii="Simplified Arabic" w:eastAsiaTheme="majorEastAsia" w:hAnsi="Simplified Arabic" w:cs="Simplified Arabic"/>
          <w:b/>
          <w:bCs/>
          <w:sz w:val="28"/>
          <w:szCs w:val="28"/>
          <w:rtl/>
        </w:rPr>
      </w:pPr>
      <w:r>
        <w:rPr>
          <w:rFonts w:ascii="Traditional Arabic" w:hAnsi="Traditional Arabic" w:cs="Traditional Arabic"/>
          <w:b/>
          <w:bCs/>
          <w:sz w:val="24"/>
          <w:szCs w:val="24"/>
          <w:rtl/>
        </w:rPr>
        <w:br w:type="page"/>
      </w:r>
    </w:p>
    <w:p w14:paraId="5DB6E8FB" w14:textId="6E92E9B7" w:rsidR="00786A9D" w:rsidRPr="00D26972" w:rsidRDefault="00786A9D" w:rsidP="00E000FF">
      <w:pPr>
        <w:pStyle w:val="HeadingTOCEntry"/>
        <w:bidi/>
        <w:spacing w:after="0" w:line="360" w:lineRule="auto"/>
        <w:ind w:left="432" w:hanging="432"/>
        <w:rPr>
          <w:rFonts w:ascii="Simplified Arabic" w:hAnsi="Simplified Arabic" w:cs="Simplified Arabic"/>
          <w:b/>
          <w:bCs/>
          <w:sz w:val="28"/>
          <w:szCs w:val="28"/>
          <w:u w:val="single"/>
        </w:rPr>
      </w:pPr>
      <w:bookmarkStart w:id="49" w:name="_Toc224563957"/>
      <w:bookmarkStart w:id="50" w:name="_Toc234424149"/>
      <w:r>
        <w:rPr>
          <w:rFonts w:ascii="Traditional Arabic" w:hAnsi="Traditional Arabic" w:cs="Traditional Arabic"/>
          <w:b/>
          <w:bCs/>
          <w:sz w:val="32"/>
          <w:szCs w:val="32"/>
          <w:u w:val="single"/>
          <w:rtl/>
        </w:rPr>
        <w:lastRenderedPageBreak/>
        <w:t>مقدمة الفصل</w:t>
      </w:r>
      <w:bookmarkEnd w:id="49"/>
      <w:bookmarkEnd w:id="50"/>
    </w:p>
    <w:p w14:paraId="0FD04E4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تمهيد</w:t>
      </w:r>
    </w:p>
    <w:p w14:paraId="455733A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يتناول هذا الفصل الأسس النظرية والدراسات السابقة المرتبطة بموضوع الدراسة حول أثر تقنية الترميز على الأمن السيبراني وكفاءة العمليات المالية في المؤسسات السعودية في ضوء رؤية 2030، حيث يعرض الباحث في القسم الأول الإطار النظري الذي يشمل المفاهيم الأساسية والأبعاد المختلفة لمتغيرات الدراسة، من خلال استعراض التعريفات والمفاهيم المتعددة التي تناولها الباحثون والممارسون في هذا المجال، بحيث يتم بناء فهم شامل ومتكامل للموضوع محل الدراسة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 ثم ينتقل الباحث في القسم الثاني إلى عرض وتحليل الدراسات السابقة ذات الصلة المباشرة بموضوع الدراسة، والتي تم تقسيمها إلى أربع مجموعات رئيسية تغطي مختلف أبعاد الدراسة، وذلك بغرض الوقوف على ما توصلت إليه تلك الدراسات من نتائج وما أوصت به من توصيات، مما يساعد في تحديد الفجوة البحثية التي تسعى الدراسة الحالية لسدها من خلال التطبيق على المؤسسات المالية السعودية بأنواعها المختلفة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01A93482" w14:textId="77777777" w:rsidR="00F00638" w:rsidRPr="004F6AF4"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51" w:name="_Toc224563958"/>
      <w:bookmarkStart w:id="52" w:name="_Toc234424150"/>
      <w:r w:rsidRPr="004F6AF4">
        <w:rPr>
          <w:rFonts w:ascii="Traditional Arabic" w:hAnsi="Traditional Arabic" w:cs="Traditional Arabic"/>
          <w:b/>
          <w:bCs/>
          <w:sz w:val="28"/>
          <w:szCs w:val="28"/>
          <w:u w:val="single"/>
          <w:rtl/>
        </w:rPr>
        <w:t>2.1</w:t>
      </w:r>
      <w:r w:rsidRPr="004F6AF4">
        <w:rPr>
          <w:rFonts w:ascii="Traditional Arabic" w:hAnsi="Traditional Arabic" w:cs="Traditional Arabic" w:hint="cs"/>
          <w:b/>
          <w:bCs/>
          <w:sz w:val="28"/>
          <w:szCs w:val="28"/>
          <w:u w:val="single"/>
          <w:rtl/>
        </w:rPr>
        <w:t xml:space="preserve"> </w:t>
      </w:r>
      <w:r w:rsidRPr="004F6AF4">
        <w:rPr>
          <w:rFonts w:ascii="Traditional Arabic" w:hAnsi="Traditional Arabic" w:cs="Traditional Arabic"/>
          <w:b/>
          <w:bCs/>
          <w:sz w:val="28"/>
          <w:szCs w:val="28"/>
          <w:u w:val="single"/>
          <w:rtl/>
        </w:rPr>
        <w:t>الإطار النظري</w:t>
      </w:r>
      <w:bookmarkEnd w:id="51"/>
      <w:bookmarkEnd w:id="52"/>
    </w:p>
    <w:p w14:paraId="16A90C9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الأول (2.1.1) - الأمن السيبراني في النظم المالية الرقمية</w:t>
      </w:r>
    </w:p>
    <w:p w14:paraId="6E55176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يمثل الأمن السيبراني ركيزة أساسية وحيوية لأي تحول رقمي في القطاع المالي، حيث أصبحت المؤسسات المالية تواجه تهديدات سيبرانية متزايدة التعقيد والتطور بشكل مستمر (ENISA, 2024;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2024)، وذلك نتيجة للاعتماد المتزايد على التقنيات الرقمية والاتصالات الإلكترونية في تقديم الخدمات المالية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بحيث أصبح الأمن السيبراني ليس مجرد متطلب تقني بل ضرورة استراتيجية تؤثر بشكل مباشر على استمرارية الأعمال وثقة العملاء والامتثال التنظيمي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وفي ظل التحول الرقمي الشامل الذي تشهده المملكة العربية السعودية ضمن رؤية 2030، يكتسب الأمن السيبراني أهمية مضاعفة، حيث يشكل الأساس </w:t>
      </w:r>
      <w:r w:rsidRPr="004F6AF4">
        <w:rPr>
          <w:rFonts w:ascii="Traditional Arabic" w:hAnsi="Traditional Arabic" w:cs="Traditional Arabic"/>
          <w:b/>
          <w:bCs/>
          <w:sz w:val="28"/>
          <w:szCs w:val="28"/>
          <w:rtl/>
        </w:rPr>
        <w:lastRenderedPageBreak/>
        <w:t>الذي يقوم عليه بناء اقتصاد رقمي آمن ومستدام يحمي مصالح المواطنين والمستثمرين على حد سواء</w:t>
      </w:r>
      <w:r w:rsidRPr="004F6AF4">
        <w:rPr>
          <w:rFonts w:ascii="Traditional Arabic" w:hAnsi="Traditional Arabic" w:cs="Traditional Arabic" w:hint="cs"/>
          <w:b/>
          <w:bCs/>
          <w:sz w:val="28"/>
          <w:szCs w:val="28"/>
          <w:rtl/>
        </w:rPr>
        <w:t xml:space="preserve">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IMF, 2024</w:t>
      </w:r>
      <w:r w:rsidRPr="004F6AF4">
        <w:rPr>
          <w:rFonts w:ascii="Traditional Arabic" w:hAnsi="Traditional Arabic" w:cs="Traditional Arabic" w:hint="cs"/>
          <w:b/>
          <w:bCs/>
          <w:sz w:val="28"/>
          <w:szCs w:val="28"/>
          <w:rtl/>
        </w:rPr>
        <w:t>).</w:t>
      </w:r>
    </w:p>
    <w:p w14:paraId="5170CC99"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6F65EA5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2.1.1.1 مفهوم الأمن السيبراني في القطاع المالي</w:t>
      </w:r>
    </w:p>
    <w:p w14:paraId="33DAEC0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تعددت التعريفات التي تناولت مفهوم الأمن السيبراني في السياق المالي، حيث ينظر إليه من زوايا مختلفة تشمل البعد التقني والتنظيمي والاستراتيجي (ENISA, 2024;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2024)، وجميع هذه التعريفات تؤكد على أن الأمن السيبراني ليس مجرد حماية تقنية بل منظومة شاملة تضم السياسات والإجراءات والتقنيات والموارد البشرية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تعرف الوكالة الأوروبية للأمن السيبراني ENISA (2024) الأمن السيبراني في القطاع المالي بأنه "مجموعة الممارسات والتقنيات والسياسات المصممة لحماية الأنظمة المالية الرقمية والبيانات والأصول من التهديدات السيبرانية، بما في ذلك الهجمات الإلكترونية، والاختراقات، وسرقة البيانات، والاحتيال، بحيث تضمن سلامة وسرية وتوافر الخدمات المالية بشكل مستمر"، وهذا التعريف يشمل الأبعاد الثلاثة الرئيسية للأمن المعلوماتي وهي السرية والسلامة </w:t>
      </w:r>
      <w:proofErr w:type="spellStart"/>
      <w:r w:rsidRPr="004F6AF4">
        <w:rPr>
          <w:rFonts w:ascii="Traditional Arabic" w:hAnsi="Traditional Arabic" w:cs="Traditional Arabic"/>
          <w:b/>
          <w:bCs/>
          <w:sz w:val="28"/>
          <w:szCs w:val="28"/>
          <w:rtl/>
        </w:rPr>
        <w:t>والتوافرية</w:t>
      </w:r>
      <w:proofErr w:type="spellEnd"/>
      <w:r w:rsidRPr="004F6AF4">
        <w:rPr>
          <w:rFonts w:ascii="Traditional Arabic" w:hAnsi="Traditional Arabic" w:cs="Traditional Arabic"/>
          <w:b/>
          <w:bCs/>
          <w:sz w:val="28"/>
          <w:szCs w:val="28"/>
          <w:rtl/>
        </w:rPr>
        <w:t xml:space="preserve">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709CE6C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من جانب آخر، يشير المعهد الوطني للمعايير والتقنية الأمريكي NIST إلى أن الأمن السيبراني هو "القدرة على حماية أو الدفاع عن استخدام الفضاء السيبراني من الهجمات الإلكترونية من خلال مجموعة من الأدوات والسياسات ومفاهيم الأمن والضمانات الأمنية وإرشادات إدارة المخاطر والإجراءات والتدريب وأفضل الممارسات والتقنيات التي يمكن استخدامها لحماية البيئة السيبرانية والمستخدمين والأصول التنظيمية"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وهذا التعريف يبرز الطبيعة المتعددة الأبعاد للأمن السيبراني التي تتجاوز الحلول التقنية لتشمل البعد البشري والتنظيمي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4E4D9F1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 xml:space="preserve">بينما تعرف منظمة المعايير الدولية ISO/IEC 27001 أمن المعلومات والأمن السيبراني بأنه "الحفاظ على سرية وسلامة وتوافر المعلومات، بالإضافة إلى خصائص أخرى مثل الأصالة والمساءلة وعدم الإنكار والموثوقية من خلال تطبيق نظام إدارة أمن المعلومات الذي يشمل السياسات والإجراءات والضوابط التقنية والتنظيمية"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2024)، وهذا التعريف يضع الأمن السيبراني في إطار منهجي منظم قابل للقياس والتدقيق والتحسين المستمر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12DDA7C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مما سبق يرى الباحث أن الأمن السيبراني في النظم المالية الرقمية يمثل منظومة متكاملة من السياسات والممارسات والتقنيات والموارد البشرية التي تهدف إلى حماية الأصول المعلوماتية والأنظمة الرقمية للمؤسسات المالية من التهديدات السيبرانية المتنوعة (ENISA, 2024;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2024)، بحيث تضمن استمرارية تقديم الخدمات المالية بشكل آمن وموثوق يحفظ حقوق العملاء ويحمي أصول المؤسسة ويحقق الامتثال للمتطلبات التنظيمية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IMF, 2024)، وذلك من خلال نهج استباقي شامل يجمع بين الوقاية والكشف والاستجابة والتعافي من الحوادث السيبرانية، في إطار يتسم بالمرونة والقدرة على التكيف مع التهديدات المتطورة باستمرار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5C793B87" w14:textId="77777777" w:rsidR="00F00638" w:rsidRPr="005E1B5F" w:rsidRDefault="00F00638" w:rsidP="00E000FF">
      <w:pPr>
        <w:bidi/>
        <w:spacing w:after="0" w:line="360" w:lineRule="auto"/>
        <w:jc w:val="both"/>
        <w:rPr>
          <w:rFonts w:ascii="Simplified Arabic" w:hAnsi="Simplified Arabic" w:cs="Simplified Arabic"/>
          <w:sz w:val="28"/>
          <w:szCs w:val="28"/>
        </w:rPr>
      </w:pPr>
    </w:p>
    <w:p w14:paraId="31ED8E8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2.1.1.2 أهمية الأمن السيبراني في المؤسسات المالية</w:t>
      </w:r>
    </w:p>
    <w:p w14:paraId="0181746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تتعاظم أهمية الأمن السيبراني في المؤسسات المالية يوماً بعد يوم (ENISA, 2024;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2024)، حيث تتمثل هذه الأهمية فيما يلي:</w:t>
      </w:r>
    </w:p>
    <w:p w14:paraId="5E5BAFC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حماية الأصول المالية والبيانات الحساسة للعملاء: حيث تحتفظ المؤسسات المالية بكميات هائلة من البيانات الشخصية والمالية شديدة الحساسية لملايين العملاء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2024)، بما في ذلك تفاصيل الحسابات البنكية، ومعلومات البطاقات الائتمانية، وبيانات الهوية، والسجلات المالية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مما يجعلها </w:t>
      </w:r>
      <w:r w:rsidRPr="004F6AF4">
        <w:rPr>
          <w:rFonts w:ascii="Traditional Arabic" w:hAnsi="Traditional Arabic" w:cs="Traditional Arabic"/>
          <w:b/>
          <w:bCs/>
          <w:sz w:val="28"/>
          <w:szCs w:val="28"/>
          <w:rtl/>
        </w:rPr>
        <w:lastRenderedPageBreak/>
        <w:t xml:space="preserve">هدفاً رئيسياً للمهاجمين السيبرانيين الذين يسعون لسرقة هذه البيانات واستغلالها في عمليات احتيال مالي أو بيعها في الأسواق السوداء (ENISA,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بحيث أن أي اختراق لهذه البيانات قد يؤدي إلى خسائر مالية فادحة للعملاء وللمؤسسة وإلى تدمير الثقة التي تمثل رأس المال الحقيقي للمؤسسات المالية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7E73DBC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ضمان استمرارية الأعمال والخدمات المالية: من خلال حماية الأنظمة والبنية التحتية الحيوية من الهجمات التي قد تؤدي إلى تعطيل الخدمات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بحيث أن أي توقف في تقديم الخدمات المالية قد يؤدي إلى خسائر اقتصادية ضخمة ليس فقط للمؤسسة المتأثرة بل للاقتصاد بأكمله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IMF, 2024)، حيث أن القطاع المالي يمثل شريان الحياة للنشاط الاقتصادي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وهذا يتطلب تصميم أنظمة أمنية قادرة على ضمان </w:t>
      </w:r>
      <w:proofErr w:type="spellStart"/>
      <w:r w:rsidRPr="004F6AF4">
        <w:rPr>
          <w:rFonts w:ascii="Traditional Arabic" w:hAnsi="Traditional Arabic" w:cs="Traditional Arabic"/>
          <w:b/>
          <w:bCs/>
          <w:sz w:val="28"/>
          <w:szCs w:val="28"/>
          <w:rtl/>
        </w:rPr>
        <w:t>التوافرية</w:t>
      </w:r>
      <w:proofErr w:type="spellEnd"/>
      <w:r w:rsidRPr="004F6AF4">
        <w:rPr>
          <w:rFonts w:ascii="Traditional Arabic" w:hAnsi="Traditional Arabic" w:cs="Traditional Arabic"/>
          <w:b/>
          <w:bCs/>
          <w:sz w:val="28"/>
          <w:szCs w:val="28"/>
          <w:rtl/>
        </w:rPr>
        <w:t xml:space="preserve"> والمرونة في مواجهة التهديدات المختلفة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3DC46A1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الامتثال للمتطلبات التنظيمية والقانونية: حيث تفرض الجهات التنظيمية في مختلف الدول متطلبات صارمة على المؤسسات المالية فيما يتعلق بحماية البيانات والأمن السيبراني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2024; ENISA, 2024)، بما في ذلك معايير PCI DSS للمدفوعات، ومتطلبات البنوك المركزية، وقوانين حماية البيانات الشخصية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ومتطلبات الهيئة الوطنية للأمن السيبراني في المملكة (IMF, 2024)، بحيث أن عدم الامتثال لهذه المتطلبات قد يؤدي إلى عقوبات مالية كبيرة وإلى تقييد العمليات وفقدان التراخيص في بعض الحالات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3325EE4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حماية السمعة والثقة المؤسسية: من خلال منع الحوادث السيبرانية التي قد تؤدي إلى تشويه سمعة المؤسسة وفقدان ثقة العملاء والمستثمرين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بحيث أن الأضرار الناجمة عن الحوادث السيبرانية لا تقتصر على الخسائر المالية المباشرة بل تمتد لتشمل تدهور القيمة السوقية للمؤسسة وفقدان حصتها في السوق وصعوبة جذب عملاء جدد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w:t>
      </w:r>
      <w:r w:rsidRPr="004F6AF4">
        <w:rPr>
          <w:rFonts w:ascii="Traditional Arabic" w:hAnsi="Traditional Arabic" w:cs="Traditional Arabic"/>
          <w:b/>
          <w:bCs/>
          <w:sz w:val="28"/>
          <w:szCs w:val="28"/>
          <w:rtl/>
        </w:rPr>
        <w:lastRenderedPageBreak/>
        <w:t>2024)، وهذه الأضرار طويلة المدى قد تفوق بكثير التكاليف المباشرة للاختراق نفسه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5134284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مواجهة التهديدات السيبرانية المتزايدة والمتطورة: حيث تشير البيانات إلى أن القطاع المالي يواجه تحديات أمنية متصاعدة، فقد شكلت البنوك الأوروبية وحدها نسبة 46% من الحوادث الأمنية المسجلة خلال الفترة من يناير 2023 إلى يونيو 2024، مع اختراقات البيانات والتسريبات كأبرز القضايا (ENISA, 2024)، إضافة إلى تزايد هجمات سلسلة التوريد التي تستهدف مقدمي الخدمات التقنية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مما يتطلب استثماراً مستمراً في تطوير القدرات الأمنية لمواكبة تطور التهديدات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58F96AD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تمكين الابتكار والتحول الرقمي الآمن: من خلال توفير بيئة آمنة تسمح للمؤسسات المالية بتبني التقنيات الحديثة والابتكار في تقديم الخدمات دون المساس بالأمن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 بحيث يصبح الأمن السيبراني ممكناً للتحول الرقمي وليس عائقاً أمامه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وهذا يتطلب دمج الأمن في جميع مراحل تطوير المنتجات والخدمات الجديدة منذ البداية وليس كإضافة لاحقة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738434B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دعم أهداف رؤية السعودية 2030 في بناء اقتصاد رقمي آمن: من خلال المساهمة في تعزيز الثقة في الخدمات المالية الرقمية وحماية المستخدمين والمستثمرين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 بحيث يتماشى الاستثمار في الأمن السيبراني مع الأهداف الاستراتيجية للمملكة في بناء قطاع مالي متطور وآمن قادر على جذب الاستثمارات وتحقيق التنافسية العالمية (IMF, 2024)</w:t>
      </w:r>
      <w:r w:rsidRPr="004F6AF4">
        <w:rPr>
          <w:rFonts w:ascii="Traditional Arabic" w:hAnsi="Traditional Arabic" w:cs="Traditional Arabic" w:hint="cs"/>
          <w:b/>
          <w:bCs/>
          <w:sz w:val="28"/>
          <w:szCs w:val="28"/>
          <w:rtl/>
        </w:rPr>
        <w:t>.</w:t>
      </w:r>
    </w:p>
    <w:p w14:paraId="31E700F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2.1.1.3 أبعاد ومكونات الأمن السيبراني في القطاع المالي</w:t>
      </w:r>
    </w:p>
    <w:p w14:paraId="061CA4E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يتكون الأمن السيبراني في المؤسسات المالية من عدة أبعاد ومكونات رئيسية تعمل بشكل متكامل (ENISA, 2024;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2024)، حيث تتمثل أهم هذه المكونات فيما يلي:</w:t>
      </w:r>
    </w:p>
    <w:p w14:paraId="13EFDD7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أمن الشبكات والبنية التحتية: وتشمل حماية الشبكات الداخلية والخارجية من خلال جدران الحماية (</w:t>
      </w:r>
      <w:proofErr w:type="spellStart"/>
      <w:r w:rsidRPr="004F6AF4">
        <w:rPr>
          <w:rFonts w:ascii="Traditional Arabic" w:hAnsi="Traditional Arabic" w:cs="Traditional Arabic"/>
          <w:b/>
          <w:bCs/>
          <w:sz w:val="28"/>
          <w:szCs w:val="28"/>
          <w:rtl/>
        </w:rPr>
        <w:t>Firewalls</w:t>
      </w:r>
      <w:proofErr w:type="spellEnd"/>
      <w:r w:rsidRPr="004F6AF4">
        <w:rPr>
          <w:rFonts w:ascii="Traditional Arabic" w:hAnsi="Traditional Arabic" w:cs="Traditional Arabic"/>
          <w:b/>
          <w:bCs/>
          <w:sz w:val="28"/>
          <w:szCs w:val="28"/>
          <w:rtl/>
        </w:rPr>
        <w:t>)، وأنظمة كشف ومنع الاختراق (IDS/IPS)، وتقسيم الشبكات (</w:t>
      </w:r>
      <w:proofErr w:type="spellStart"/>
      <w:r w:rsidRPr="004F6AF4">
        <w:rPr>
          <w:rFonts w:ascii="Traditional Arabic" w:hAnsi="Traditional Arabic" w:cs="Traditional Arabic"/>
          <w:b/>
          <w:bCs/>
          <w:sz w:val="28"/>
          <w:szCs w:val="28"/>
          <w:rtl/>
        </w:rPr>
        <w:t>Network</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Segmentation</w:t>
      </w:r>
      <w:proofErr w:type="spellEnd"/>
      <w:r w:rsidRPr="004F6AF4">
        <w:rPr>
          <w:rFonts w:ascii="Traditional Arabic" w:hAnsi="Traditional Arabic" w:cs="Traditional Arabic"/>
          <w:b/>
          <w:bCs/>
          <w:sz w:val="28"/>
          <w:szCs w:val="28"/>
          <w:rtl/>
        </w:rPr>
        <w:t>)، والشبكات الافتراضية الخاصة (VPN)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بحيث يتم التحكم في حركة البيانات ومراقبتها لمنع الوصول غير المصرح به والكشف المبكر عن الأنشطة المشبوهة التي قد تشير إلى محاولة اختراق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7410992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أمن التطبيقات والأنظمة: من خلال تطبيق ممارسات التطوير الآمن (</w:t>
      </w:r>
      <w:proofErr w:type="spellStart"/>
      <w:r w:rsidRPr="004F6AF4">
        <w:rPr>
          <w:rFonts w:ascii="Traditional Arabic" w:hAnsi="Traditional Arabic" w:cs="Traditional Arabic"/>
          <w:b/>
          <w:bCs/>
          <w:sz w:val="28"/>
          <w:szCs w:val="28"/>
          <w:rtl/>
        </w:rPr>
        <w:t>Secure</w:t>
      </w:r>
      <w:proofErr w:type="spellEnd"/>
      <w:r w:rsidRPr="004F6AF4">
        <w:rPr>
          <w:rFonts w:ascii="Traditional Arabic" w:hAnsi="Traditional Arabic" w:cs="Traditional Arabic"/>
          <w:b/>
          <w:bCs/>
          <w:sz w:val="28"/>
          <w:szCs w:val="28"/>
          <w:rtl/>
        </w:rPr>
        <w:t xml:space="preserve"> Development </w:t>
      </w:r>
      <w:proofErr w:type="spellStart"/>
      <w:r w:rsidRPr="004F6AF4">
        <w:rPr>
          <w:rFonts w:ascii="Traditional Arabic" w:hAnsi="Traditional Arabic" w:cs="Traditional Arabic"/>
          <w:b/>
          <w:bCs/>
          <w:sz w:val="28"/>
          <w:szCs w:val="28"/>
          <w:rtl/>
        </w:rPr>
        <w:t>Lifecycle</w:t>
      </w:r>
      <w:proofErr w:type="spellEnd"/>
      <w:r w:rsidRPr="004F6AF4">
        <w:rPr>
          <w:rFonts w:ascii="Traditional Arabic" w:hAnsi="Traditional Arabic" w:cs="Traditional Arabic"/>
          <w:b/>
          <w:bCs/>
          <w:sz w:val="28"/>
          <w:szCs w:val="28"/>
          <w:rtl/>
        </w:rPr>
        <w:t>)، واختبار الاختراق المنتظم، ومعالجة الثغرات الأمنية بشكل استباقي، وتحديث الأنظمة بشكل مستمر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بحيث يتم تقليل نقاط الضعف التي قد يستغلها المهاجمون للوصول إلى الأنظمة المالية أو التلاعب بالبيانات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3BD0C62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إدارة الهويات والوصول (</w:t>
      </w:r>
      <w:proofErr w:type="spellStart"/>
      <w:r w:rsidRPr="004F6AF4">
        <w:rPr>
          <w:rFonts w:ascii="Traditional Arabic" w:hAnsi="Traditional Arabic" w:cs="Traditional Arabic"/>
          <w:b/>
          <w:bCs/>
          <w:sz w:val="28"/>
          <w:szCs w:val="28"/>
          <w:rtl/>
        </w:rPr>
        <w:t>Identity</w:t>
      </w:r>
      <w:proofErr w:type="spellEnd"/>
      <w:r w:rsidRPr="004F6AF4">
        <w:rPr>
          <w:rFonts w:ascii="Traditional Arabic" w:hAnsi="Traditional Arabic" w:cs="Traditional Arabic"/>
          <w:b/>
          <w:bCs/>
          <w:sz w:val="28"/>
          <w:szCs w:val="28"/>
          <w:rtl/>
        </w:rPr>
        <w:t xml:space="preserve"> and </w:t>
      </w:r>
      <w:proofErr w:type="spellStart"/>
      <w:r w:rsidRPr="004F6AF4">
        <w:rPr>
          <w:rFonts w:ascii="Traditional Arabic" w:hAnsi="Traditional Arabic" w:cs="Traditional Arabic"/>
          <w:b/>
          <w:bCs/>
          <w:sz w:val="28"/>
          <w:szCs w:val="28"/>
          <w:rtl/>
        </w:rPr>
        <w:t>Access</w:t>
      </w:r>
      <w:proofErr w:type="spellEnd"/>
      <w:r w:rsidRPr="004F6AF4">
        <w:rPr>
          <w:rFonts w:ascii="Traditional Arabic" w:hAnsi="Traditional Arabic" w:cs="Traditional Arabic"/>
          <w:b/>
          <w:bCs/>
          <w:sz w:val="28"/>
          <w:szCs w:val="28"/>
          <w:rtl/>
        </w:rPr>
        <w:t xml:space="preserve"> Management): وتشمل آليات المصادقة القوية (</w:t>
      </w:r>
      <w:proofErr w:type="spellStart"/>
      <w:r w:rsidRPr="004F6AF4">
        <w:rPr>
          <w:rFonts w:ascii="Traditional Arabic" w:hAnsi="Traditional Arabic" w:cs="Traditional Arabic"/>
          <w:b/>
          <w:bCs/>
          <w:sz w:val="28"/>
          <w:szCs w:val="28"/>
          <w:rtl/>
        </w:rPr>
        <w:t>Multi-Factor</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Authentication</w:t>
      </w:r>
      <w:proofErr w:type="spellEnd"/>
      <w:r w:rsidRPr="004F6AF4">
        <w:rPr>
          <w:rFonts w:ascii="Traditional Arabic" w:hAnsi="Traditional Arabic" w:cs="Traditional Arabic"/>
          <w:b/>
          <w:bCs/>
          <w:sz w:val="28"/>
          <w:szCs w:val="28"/>
          <w:rtl/>
        </w:rPr>
        <w:t xml:space="preserve">)، وإدارة الصلاحيات بناءً على الأدوار، ومراقبة الوصول للموارد الحساسة، ومراجعة الصلاحيات بشكل دوري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2024)، بحيث يتم ضمان أن كل مستخدم يحصل فقط على المستوى المناسب من الوصول المطلوب لأداء مهامه وليس أكثر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534EEDE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حماية البيانات والتشفير: من خلال تشفير البيانات في حالات السكون والنقل، وإدارة المفاتيح </w:t>
      </w:r>
      <w:proofErr w:type="spellStart"/>
      <w:r w:rsidRPr="004F6AF4">
        <w:rPr>
          <w:rFonts w:ascii="Traditional Arabic" w:hAnsi="Traditional Arabic" w:cs="Traditional Arabic"/>
          <w:b/>
          <w:bCs/>
          <w:sz w:val="28"/>
          <w:szCs w:val="28"/>
          <w:rtl/>
        </w:rPr>
        <w:t>التشفيرية</w:t>
      </w:r>
      <w:proofErr w:type="spellEnd"/>
      <w:r w:rsidRPr="004F6AF4">
        <w:rPr>
          <w:rFonts w:ascii="Traditional Arabic" w:hAnsi="Traditional Arabic" w:cs="Traditional Arabic"/>
          <w:b/>
          <w:bCs/>
          <w:sz w:val="28"/>
          <w:szCs w:val="28"/>
          <w:rtl/>
        </w:rPr>
        <w:t xml:space="preserve"> بشكل آمن، وتطبيق تقنيات إخفاء البيانات (</w:t>
      </w:r>
      <w:proofErr w:type="spellStart"/>
      <w:r w:rsidRPr="004F6AF4">
        <w:rPr>
          <w:rFonts w:ascii="Traditional Arabic" w:hAnsi="Traditional Arabic" w:cs="Traditional Arabic"/>
          <w:b/>
          <w:bCs/>
          <w:sz w:val="28"/>
          <w:szCs w:val="28"/>
          <w:rtl/>
        </w:rPr>
        <w:t>Data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Masking</w:t>
      </w:r>
      <w:proofErr w:type="spellEnd"/>
      <w:r w:rsidRPr="004F6AF4">
        <w:rPr>
          <w:rFonts w:ascii="Traditional Arabic" w:hAnsi="Traditional Arabic" w:cs="Traditional Arabic"/>
          <w:b/>
          <w:bCs/>
          <w:sz w:val="28"/>
          <w:szCs w:val="28"/>
          <w:rtl/>
        </w:rPr>
        <w:t>) والترميز (</w:t>
      </w:r>
      <w:proofErr w:type="spellStart"/>
      <w:r w:rsidRPr="004F6AF4">
        <w:rPr>
          <w:rFonts w:ascii="Traditional Arabic" w:hAnsi="Traditional Arabic" w:cs="Traditional Arabic"/>
          <w:b/>
          <w:bCs/>
          <w:sz w:val="28"/>
          <w:szCs w:val="28"/>
          <w:rtl/>
        </w:rPr>
        <w:t>Tokenization</w:t>
      </w:r>
      <w:proofErr w:type="spellEnd"/>
      <w:r w:rsidRPr="004F6AF4">
        <w:rPr>
          <w:rFonts w:ascii="Traditional Arabic" w:hAnsi="Traditional Arabic" w:cs="Traditional Arabic"/>
          <w:b/>
          <w:bCs/>
          <w:sz w:val="28"/>
          <w:szCs w:val="28"/>
          <w:rtl/>
        </w:rPr>
        <w:t xml:space="preserve">) لحماية البيانات الحساسة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بحيث حتى في حال اختراق قواعد البيانات فإن البيانات تبقى غير قابلة للقراءة بدون المفاتيح </w:t>
      </w:r>
      <w:proofErr w:type="spellStart"/>
      <w:r w:rsidRPr="004F6AF4">
        <w:rPr>
          <w:rFonts w:ascii="Traditional Arabic" w:hAnsi="Traditional Arabic" w:cs="Traditional Arabic"/>
          <w:b/>
          <w:bCs/>
          <w:sz w:val="28"/>
          <w:szCs w:val="28"/>
          <w:rtl/>
        </w:rPr>
        <w:t>التشفيرية</w:t>
      </w:r>
      <w:proofErr w:type="spellEnd"/>
      <w:r w:rsidRPr="004F6AF4">
        <w:rPr>
          <w:rFonts w:ascii="Traditional Arabic" w:hAnsi="Traditional Arabic" w:cs="Traditional Arabic"/>
          <w:b/>
          <w:bCs/>
          <w:sz w:val="28"/>
          <w:szCs w:val="28"/>
          <w:rtl/>
        </w:rPr>
        <w:t xml:space="preserve"> المناسبة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w:t>
      </w:r>
      <w:r w:rsidRPr="004F6AF4">
        <w:rPr>
          <w:rFonts w:ascii="Traditional Arabic" w:hAnsi="Traditional Arabic" w:cs="Traditional Arabic" w:hint="cs"/>
          <w:b/>
          <w:bCs/>
          <w:sz w:val="28"/>
          <w:szCs w:val="28"/>
          <w:rtl/>
        </w:rPr>
        <w:t>.</w:t>
      </w:r>
    </w:p>
    <w:p w14:paraId="160AB7E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المراقبة الأمنية والاستجابة للحوادث: عبر مراكز العمليات الأمنية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Operations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Centers</w:t>
      </w:r>
      <w:proofErr w:type="spellEnd"/>
      <w:r w:rsidRPr="004F6AF4">
        <w:rPr>
          <w:rFonts w:ascii="Traditional Arabic" w:hAnsi="Traditional Arabic" w:cs="Traditional Arabic"/>
          <w:b/>
          <w:bCs/>
          <w:sz w:val="28"/>
          <w:szCs w:val="28"/>
          <w:rtl/>
        </w:rPr>
        <w:t xml:space="preserve"> - SOC) التي تعمل على مدار الساعة لرصد التهديدات والحوادث الأمنية (ENISA,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وتحليل السجلات وأنماط الشبكة للكشف عن الأنشطة المشبوهة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والاستجابة السريعة للحوادث عند حدوثها، وإجراء التحقيقات الجنائية الرقمية لفهم طبيعة الهجوم وتأثيره واتخاذ الإجراءات التصحيحية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343DD6B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إدارة المخاطر السيبرانية: من خلال تقييم المخاطر بشكل منتظم، وتحديد الأصول الحرجة والتهديدات المحتملة، وتطبيق الضوابط المناسبة للتخفيف من المخاطر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ومراقبة فعالية هذه الضوابط وتحديثها بناءً على التغيرات في بيئة التهديدات (ENISA, 2024;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2024)، بحيث يتم اتخاذ قرارات مستنيرة بشأن الاستثمارات الأمنية وتخصيص الموارد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4363BE8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الوعي والتدريب الأمني: حيث يمثل العنصر البشري نقطة ضعف محتملة في أي منظومة أمنية (ENISA,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مما يتطلب تدريب الموظفين بشكل مستمر على أفضل الممارسات الأمنية، وتوعيتهم بالتهديدات الشائعة كهجمات التصيد الاحتيالي (</w:t>
      </w:r>
      <w:proofErr w:type="spellStart"/>
      <w:r w:rsidRPr="004F6AF4">
        <w:rPr>
          <w:rFonts w:ascii="Traditional Arabic" w:hAnsi="Traditional Arabic" w:cs="Traditional Arabic"/>
          <w:b/>
          <w:bCs/>
          <w:sz w:val="28"/>
          <w:szCs w:val="28"/>
          <w:rtl/>
        </w:rPr>
        <w:t>Phishing</w:t>
      </w:r>
      <w:proofErr w:type="spellEnd"/>
      <w:r w:rsidRPr="004F6AF4">
        <w:rPr>
          <w:rFonts w:ascii="Traditional Arabic" w:hAnsi="Traditional Arabic" w:cs="Traditional Arabic"/>
          <w:b/>
          <w:bCs/>
          <w:sz w:val="28"/>
          <w:szCs w:val="28"/>
          <w:rtl/>
        </w:rPr>
        <w:t>)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واختبار مدى التزامهم بالسياسات الأمنية من خلال محاكاة الهجمات، بحيث يصبح كل موظف خط دفاع أول ضد التهديدات السيبرانية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6490AE1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2.1.1.4 التهديدات السيبرانية الرئيسية للمؤسسات المالية</w:t>
      </w:r>
    </w:p>
    <w:p w14:paraId="1D735D8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تواجه المؤسسات المالية مجموعة واسعة من التهديدات السيبرانية التي تتطور باستمرار (ENISA, 2024;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2024)، حيث تتمثل أبرز هذه التهديدات فيما يلي:</w:t>
      </w:r>
    </w:p>
    <w:p w14:paraId="6DD8E91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هجمات برامج الفدية (</w:t>
      </w:r>
      <w:proofErr w:type="spellStart"/>
      <w:r w:rsidRPr="004F6AF4">
        <w:rPr>
          <w:rFonts w:ascii="Traditional Arabic" w:hAnsi="Traditional Arabic" w:cs="Traditional Arabic"/>
          <w:b/>
          <w:bCs/>
          <w:sz w:val="28"/>
          <w:szCs w:val="28"/>
          <w:rtl/>
        </w:rPr>
        <w:t>Ransomware</w:t>
      </w:r>
      <w:proofErr w:type="spellEnd"/>
      <w:r w:rsidRPr="004F6AF4">
        <w:rPr>
          <w:rFonts w:ascii="Traditional Arabic" w:hAnsi="Traditional Arabic" w:cs="Traditional Arabic"/>
          <w:b/>
          <w:bCs/>
          <w:sz w:val="28"/>
          <w:szCs w:val="28"/>
          <w:rtl/>
        </w:rPr>
        <w:t>)</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حيث يقوم المهاجمون بتشفير بيانات المؤسسة وطلب فدية لفك التشفير (ENISA,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مما قد يؤدي إلى توقف العمليات بشكل </w:t>
      </w:r>
      <w:r w:rsidRPr="004F6AF4">
        <w:rPr>
          <w:rFonts w:ascii="Traditional Arabic" w:hAnsi="Traditional Arabic" w:cs="Traditional Arabic"/>
          <w:b/>
          <w:bCs/>
          <w:sz w:val="28"/>
          <w:szCs w:val="28"/>
          <w:rtl/>
        </w:rPr>
        <w:lastRenderedPageBreak/>
        <w:t>كامل وخسائر مالية ضخمة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وقد شهدت السنوات الأخيرة ارتفاعاً حاداً في هذا النوع من الهجمات الموجهة للقطاع المالي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2024).</w:t>
      </w:r>
    </w:p>
    <w:p w14:paraId="35726B9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اختراقات البيانات وسرقة المعلومات: من خلال استهداف قواعد البيانات التي تحتوي على معلومات العملاء والحسابات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بهدف سرقة هذه البيانات لاستخدامها في عمليات احتيال أو بيعها في الأسواق السوداء (ENISA, 2024)، وهذا النوع من الهجمات يمثل أكبر التهديدات للقطاع المالي من حيث الانتشار والأضرار المحتملة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w:t>
      </w:r>
    </w:p>
    <w:p w14:paraId="0196A36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هجمات الحرمان من الخدمة (</w:t>
      </w:r>
      <w:proofErr w:type="spellStart"/>
      <w:r w:rsidRPr="004F6AF4">
        <w:rPr>
          <w:rFonts w:ascii="Traditional Arabic" w:hAnsi="Traditional Arabic" w:cs="Traditional Arabic"/>
          <w:b/>
          <w:bCs/>
          <w:sz w:val="28"/>
          <w:szCs w:val="28"/>
          <w:rtl/>
        </w:rPr>
        <w:t>DDoS</w:t>
      </w:r>
      <w:proofErr w:type="spellEnd"/>
      <w:r w:rsidRPr="004F6AF4">
        <w:rPr>
          <w:rFonts w:ascii="Traditional Arabic" w:hAnsi="Traditional Arabic" w:cs="Traditional Arabic"/>
          <w:b/>
          <w:bCs/>
          <w:sz w:val="28"/>
          <w:szCs w:val="28"/>
          <w:rtl/>
        </w:rPr>
        <w:t>)</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التي تهدف إلى إغراق الأنظمة والخوادم بحركة مرور كثيفة لإيقاف الخدمات عن العمل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مما يؤدي إلى عدم قدرة العملاء على الوصول للخدمات المالية الإلكترونية لفترات قد تطول (ENISA, 2024)، وهذا النوع يستخدم أحياناً كتشتيت للانتباه بينما يجري هجوم آخر أكثر خطورة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w:t>
      </w:r>
    </w:p>
    <w:p w14:paraId="0B08541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هجمات التصيد الاحتيالي والهندسة الاجتماعية: من خلال خداع الموظفين أو العملاء للكشف عن بيانات حساسة أو تنفيذ إجراءات معينة تمكن المهاجمين من الوصول للأنظمة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وتعتبر هذه الهجمات من أكثر الهجمات نجاحاً لأنها تستهدف الحلقة الأضعف وهي العنصر البشري (ENISA, 2024;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w:t>
      </w:r>
    </w:p>
    <w:p w14:paraId="598E680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هجمات سلسلة التوريد: حيث يستهدف المهاجمون مقدمي الخدمات التقنية للمؤسسات المالية للوصول إلى أنظمة المؤسسات الأساسية بشكل غير مباشر (ENISA, 2024;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 وهذا النوع شهد تزايداً ملحوظاً في الفترة الأخيرة ويمثل تحدياً كبيراً لأنه يستغل علاقات الثقة القائمة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w:t>
      </w:r>
    </w:p>
    <w:p w14:paraId="473A5F1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برمجيات التجسس والبرمجيات الخبيثة: التي تستهدف سرقة البيانات أو مراقبة الأنشطة أو السيطرة على الأنظمة دون علم المستخدمين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وتتنوع هذه البرمجيات في مستوى </w:t>
      </w:r>
      <w:r w:rsidRPr="004F6AF4">
        <w:rPr>
          <w:rFonts w:ascii="Traditional Arabic" w:hAnsi="Traditional Arabic" w:cs="Traditional Arabic"/>
          <w:b/>
          <w:bCs/>
          <w:sz w:val="28"/>
          <w:szCs w:val="28"/>
          <w:rtl/>
        </w:rPr>
        <w:lastRenderedPageBreak/>
        <w:t xml:space="preserve">تطورها وقدراتها على التخفي والاستمرار في الأنظمة لفترات طويلة دون اكتشاف (ENISA,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p>
    <w:p w14:paraId="53500CD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الثاني (2.1.2) -</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تقنية الترميز في المؤسسات المالية</w:t>
      </w:r>
    </w:p>
    <w:p w14:paraId="410A1F27"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تعد تقنية الترميز من أبرز التطورات التقنية التي شهدها القطاع المالي في السنوات الأخيرة، حيث أصبحت تمثل ركيزة أساسية في التحول الرقمي للمؤسسات المالية على مستوى العالم، وذلك من خلال قدرتها على تحويل الأصول والبيانات الحساسة إلى رموز رقمية يمكن تداولها وإدارتها بشكل آمن وفعال</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 xml:space="preserve">. </w:t>
      </w:r>
    </w:p>
    <w:p w14:paraId="3C59E83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وقد برزت أهمية هذه التقنية بشكل خاص في ظل التزايد المستمر لحجم التهديدات السيبرانية التي تستهدف القطاع المالي، والحاجة الملحة لتقليل تكاليف العمليات وتحسين سرعة التنفيذ</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2024; ENISA, 2024)</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مما جعل من الترميز حلاً تقنياً متكاملاً يجمع بين الأمان والكفاءة والابتكار</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World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Economic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Forum</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602D958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2.1.2.1</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مفهوم تقنية الترميز في المؤسسات المالية</w:t>
      </w:r>
    </w:p>
    <w:p w14:paraId="4FCDAA2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توجدت العديد من التعريفات التي تناولت مفهوم تقنية الترميز في السياق المالي، حيث يعرفها البعض من منظور الأمن السيبراني بينما يعرفها آخرون من منظور الكفاءة التشغيلية، وجميع هذه التعريفات تؤكد على الدور المحوري الذي تلعبه هذه التقنية في تطوير النظم المالية الحديثة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فقد عرف مجلس الاستقرار المالي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تقنية الترميز بأنها "عملية تحويل الحقوق في أصل ما إلى تمثيل رقمي على دفتر أستاذ قابل للبرمجة، بحيث يمكن نقل ملكية هذه الرموز وتخزينها وتداولها باستخدام التقنيات الرقمية الحديثة"، مما يعني أن الترميز لا يقتصر على مجرد تحويل رقمي، بل يشمل إنشاء بنية تحتية رقمية متكاملة تدعم إدارة الأصول بطريقة أكثر كفاءة وأماناً.</w:t>
      </w:r>
    </w:p>
    <w:p w14:paraId="200501F8"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 xml:space="preserve">من جانب آخر، يشير مجلس معايير أمن PCI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إلى أن الترميز في سياق حماية البيانات هو "عملية استبدال عنصر البيانات الحساسة برمز بديل غير حساس يسمى </w:t>
      </w:r>
      <w:proofErr w:type="spellStart"/>
      <w:r w:rsidRPr="004F6AF4">
        <w:rPr>
          <w:rFonts w:ascii="Traditional Arabic" w:hAnsi="Traditional Arabic" w:cs="Traditional Arabic"/>
          <w:b/>
          <w:bCs/>
          <w:sz w:val="28"/>
          <w:szCs w:val="28"/>
          <w:rtl/>
        </w:rPr>
        <w:lastRenderedPageBreak/>
        <w:t>Token</w:t>
      </w:r>
      <w:proofErr w:type="spellEnd"/>
      <w:r w:rsidRPr="004F6AF4">
        <w:rPr>
          <w:rFonts w:ascii="Traditional Arabic" w:hAnsi="Traditional Arabic" w:cs="Traditional Arabic"/>
          <w:b/>
          <w:bCs/>
          <w:sz w:val="28"/>
          <w:szCs w:val="28"/>
          <w:rtl/>
        </w:rPr>
        <w:t>، بحيث يحتفظ الرمز بخصائص معينة من البيانات الأصلية مثل الطول أو التنسيق دون الكشف عن القيمة الفعلية"، وهذا التعريف يركز على البعد الأمني للترميز من خلال فصل البيانات الحساسة عن بيئة المعالجة، مما يقلل بشكل كبير من مخاطر الاختراق وسرقة البيانا</w:t>
      </w:r>
      <w:r w:rsidRPr="004F6AF4">
        <w:rPr>
          <w:rFonts w:ascii="Traditional Arabic" w:hAnsi="Traditional Arabic" w:cs="Traditional Arabic" w:hint="cs"/>
          <w:b/>
          <w:bCs/>
          <w:sz w:val="28"/>
          <w:szCs w:val="28"/>
          <w:rtl/>
        </w:rPr>
        <w:t>ت.</w:t>
      </w:r>
    </w:p>
    <w:p w14:paraId="7B29473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w:t>
      </w:r>
      <w:r w:rsidRPr="004F6AF4">
        <w:rPr>
          <w:rFonts w:ascii="Traditional Arabic" w:hAnsi="Traditional Arabic" w:cs="Traditional Arabic" w:hint="cs"/>
          <w:b/>
          <w:bCs/>
          <w:sz w:val="28"/>
          <w:szCs w:val="28"/>
          <w:rtl/>
        </w:rPr>
        <w:t>.</w:t>
      </w:r>
    </w:p>
    <w:p w14:paraId="799E8EDA"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 xml:space="preserve">بينما تعرف شركة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الترميز من منظور اقتصادي وتشغيلي بأنه "تقنية تمكن من تجزئة الأصول التقليدية إلى وحدات رقمية أصغر قابلة للتداول، مما يفتح آفاقاً جديدة للسيولة والشمول المالي ويخفض حواجز الدخول للاستثمار في أصول كانت محصورة تقليدياً على المستثمرين الكبار"، وهذا التعريف يسلط الضوء على الأثر التحويلي للترميز على هيكل الأسواق المالية وإمكانية إعادة تشكيل نماذج الأعمال المالية التقليدية من خلال الابتكار التقني</w:t>
      </w:r>
      <w:r w:rsidRPr="004F6AF4">
        <w:rPr>
          <w:rFonts w:ascii="Traditional Arabic" w:hAnsi="Traditional Arabic" w:cs="Traditional Arabic" w:hint="cs"/>
          <w:b/>
          <w:bCs/>
          <w:sz w:val="28"/>
          <w:szCs w:val="28"/>
          <w:rtl/>
        </w:rPr>
        <w:t>.</w:t>
      </w:r>
    </w:p>
    <w:p w14:paraId="52DB3B1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2025;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3F7742AA"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مما سبق يرى الباحث أن تقنية الترميز في المؤسسات المالية تمثل منظومة تقنية متكاملة تهدف إلى تحويل الأصول والبيانات المالية الحساسة إلى رموز رقمية آمنة وقابلة للبرمجة</w:t>
      </w:r>
    </w:p>
    <w:p w14:paraId="5D455503" w14:textId="77777777" w:rsidR="00F00638" w:rsidRPr="004F6AF4" w:rsidRDefault="00F00638" w:rsidP="00E000FF">
      <w:pPr>
        <w:bidi/>
        <w:spacing w:after="0" w:line="360" w:lineRule="auto"/>
        <w:jc w:val="right"/>
        <w:rPr>
          <w:rFonts w:ascii="Simplified Arabic" w:hAnsi="Simplified Arabic" w:cs="Simplified Arabic"/>
          <w:b/>
          <w:bCs/>
          <w:sz w:val="28"/>
          <w:szCs w:val="28"/>
          <w:rtl/>
        </w:rPr>
      </w:pP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w:t>
      </w:r>
    </w:p>
    <w:p w14:paraId="47DB4B7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بحيث تحقق ثلاثة أهداف رئيسية متزامنة، وهي تعزيز مستويات الأمن السيبراني من خلال حماية البيانات الحساسة، وتحسين الكفاءة التشغيلية عبر أتمتة العمليات وتسريع التنفيذ، وفتح آفاق جديدة للابتكار المالي من خلال إتاحة نماذج أعمال ومنتجات مالية لم تكن ممكنة في السابق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وذلك في إطار يجمع بين التقنيات الحديثة </w:t>
      </w:r>
      <w:proofErr w:type="spellStart"/>
      <w:r w:rsidRPr="004F6AF4">
        <w:rPr>
          <w:rFonts w:ascii="Traditional Arabic" w:hAnsi="Traditional Arabic" w:cs="Traditional Arabic"/>
          <w:b/>
          <w:bCs/>
          <w:sz w:val="28"/>
          <w:szCs w:val="28"/>
          <w:rtl/>
        </w:rPr>
        <w:t>كالبلوكشين</w:t>
      </w:r>
      <w:proofErr w:type="spellEnd"/>
      <w:r w:rsidRPr="004F6AF4">
        <w:rPr>
          <w:rFonts w:ascii="Traditional Arabic" w:hAnsi="Traditional Arabic" w:cs="Traditional Arabic"/>
          <w:b/>
          <w:bCs/>
          <w:sz w:val="28"/>
          <w:szCs w:val="28"/>
          <w:rtl/>
        </w:rPr>
        <w:t xml:space="preserve"> والعقود الذكية والذكاء الاصطناعي لتقديم حلول مالية متطورة تلبي احتياجات العصر الرقمي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42EA622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2.1.2.2</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أهمية تقنية الترميز في المؤسسات المالية</w:t>
      </w:r>
    </w:p>
    <w:p w14:paraId="34C54BA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تكتسب تقنية الترميز أهمية متزايدة في القطاع المالي العالمي والسعودي على وجه الخصوص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 حيث تتمثل أهميتها فيما يلي:</w:t>
      </w:r>
    </w:p>
    <w:p w14:paraId="0FF48124"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lastRenderedPageBreak/>
        <w:t>تعزيز الأمن السيبراني وحماية البيانات الحساسة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تساهم تقنية الترميز في تقليل مخاطر اختراق البيانات بشكل جوهري من خلال استبدال البيانات الحساسة كأرقام البطاقات الائتمانية ومعلومات الحسابات المصرفية برموز عديمة القيمة في حال اعتراضها</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بحيث أن البيانات الفعلية تبقى محفوظة في بيئة آمنة معزولة تماماً عن نقاط التعرض للاختراق، مما يوفر طبقة حماية إضافية تكمل تقنيات التشفير التقليدية</w:t>
      </w:r>
      <w:r w:rsidRPr="004F6AF4">
        <w:rPr>
          <w:rFonts w:ascii="Traditional Arabic" w:hAnsi="Traditional Arabic" w:cs="Traditional Arabic" w:hint="cs"/>
          <w:b/>
          <w:bCs/>
          <w:sz w:val="28"/>
          <w:szCs w:val="28"/>
          <w:rtl/>
        </w:rPr>
        <w:t>.</w:t>
      </w:r>
    </w:p>
    <w:p w14:paraId="320B0763"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w:t>
      </w:r>
      <w:r w:rsidRPr="004F6AF4">
        <w:rPr>
          <w:rFonts w:ascii="Traditional Arabic" w:hAnsi="Traditional Arabic" w:cs="Traditional Arabic" w:hint="cs"/>
          <w:b/>
          <w:bCs/>
          <w:sz w:val="28"/>
          <w:szCs w:val="28"/>
          <w:rtl/>
        </w:rPr>
        <w:t xml:space="preserve">. </w:t>
      </w:r>
    </w:p>
    <w:p w14:paraId="6C273B7A"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وتشير البيانات إلى أن متوسط تكلفة الاختراق الأمني في القطاع المالي يبلغ حوالي 6.08 مليون دولار، مما يبرز الأهمية الاقتصادية الكبيرة لتبني حلول أمنية فعالة كالترميز</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3821A158"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تحسين الكفاءة التشغيلية وتقليل تكاليف المعاملات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من خلال قدرة أنظمة الترميز المبنية على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على تسوية المعاملات بشكل شبه فوري بدلاً من الأيام التي تستغرقها الأنظمة التقليدية</w:t>
      </w:r>
      <w:r w:rsidRPr="004F6AF4">
        <w:rPr>
          <w:rFonts w:ascii="Traditional Arabic" w:hAnsi="Traditional Arabic" w:cs="Traditional Arabic" w:hint="cs"/>
          <w:b/>
          <w:bCs/>
          <w:sz w:val="28"/>
          <w:szCs w:val="28"/>
          <w:rtl/>
        </w:rPr>
        <w:t xml:space="preserve"> </w:t>
      </w:r>
    </w:p>
    <w:p w14:paraId="7D3787B4"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وذلك عبر إلغاء الحاجة للعديد من الوسطاء وأنظمة المقاصة المركزية التي تضيف تكاليف وتعقيدات للعمليات المالية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بحيث تتمكن المؤسسات المالية من تحقيق وفورات كبيرة في التكاليف التشغيلية وتحسين تجربة العملاء من خلال خدمات أسرع وأكثر موثوقية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 xml:space="preserve">. </w:t>
      </w:r>
    </w:p>
    <w:p w14:paraId="565E035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وتقدر الدراسات الاقتصادية إمكانية توفير ما بين 15 إلى 20 مليار دولار سنوياً في تكاليف البنية التحتية المالية العالمية من خلال تبني الترميز على نطاق واسع</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World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Economic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Forum</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6FB22F3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تمكين الشمول المالي وتوسيع قاعدة المستثمرين</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تتيح تقنية الترميز إمكانية تجزئة الأصول عالية القيمة إلى وحدات صغيرة يمكن تداولها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Multiple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Authors</w:t>
      </w:r>
      <w:proofErr w:type="spellEnd"/>
      <w:r w:rsidRPr="004F6AF4">
        <w:rPr>
          <w:rFonts w:ascii="Traditional Arabic" w:hAnsi="Traditional Arabic" w:cs="Traditional Arabic"/>
          <w:b/>
          <w:bCs/>
          <w:sz w:val="28"/>
          <w:szCs w:val="28"/>
          <w:rtl/>
        </w:rPr>
        <w:t>, 2025)، مما يفتح المجال أمام صغار المستثمرين للمشاركة في أسواق كانت محصورة تقليدياً على المستثمرين المؤسسيين وكبار الأثرياء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 بحيث يمكن لأي مستثمر امتلاك حصة جزئية في عقار تجاري أو سندات حكومية أو أصول أخرى بقيمة استثمارية صغيرة نسبياً (</w:t>
      </w:r>
      <w:proofErr w:type="spellStart"/>
      <w:r w:rsidRPr="004F6AF4">
        <w:rPr>
          <w:rFonts w:ascii="Traditional Arabic" w:hAnsi="Traditional Arabic" w:cs="Traditional Arabic"/>
          <w:b/>
          <w:bCs/>
          <w:sz w:val="28"/>
          <w:szCs w:val="28"/>
          <w:rtl/>
        </w:rPr>
        <w:t>Adigwe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وهذا يتماشى بشكل مباشر مع أهداف رؤية السعودية 2030 في رفع معدل الشمول المالي وتمكين </w:t>
      </w:r>
      <w:r w:rsidRPr="004F6AF4">
        <w:rPr>
          <w:rFonts w:ascii="Traditional Arabic" w:hAnsi="Traditional Arabic" w:cs="Traditional Arabic"/>
          <w:b/>
          <w:bCs/>
          <w:sz w:val="28"/>
          <w:szCs w:val="28"/>
          <w:rtl/>
        </w:rPr>
        <w:lastRenderedPageBreak/>
        <w:t>المواطنين من المشاركة في الاقتصاد الرقمي بشكل فعال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IMF, 2024)</w:t>
      </w:r>
      <w:r w:rsidRPr="004F6AF4">
        <w:rPr>
          <w:rFonts w:ascii="Traditional Arabic" w:hAnsi="Traditional Arabic" w:cs="Traditional Arabic" w:hint="cs"/>
          <w:b/>
          <w:bCs/>
          <w:sz w:val="28"/>
          <w:szCs w:val="28"/>
          <w:rtl/>
        </w:rPr>
        <w:t>.</w:t>
      </w:r>
    </w:p>
    <w:p w14:paraId="21CB17D2"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دعم التحول الرقمي والابتكار في نماذج الأعمال المالية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من خلال إتاحة الفرصة لتطوير منتجات وخدمات مالية مبتكرة لم تكن ممكنة في البيئة التقليدية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 بحيث يمكن للمؤسسات المالية إطلاق أدوات استثمارية جديدة، وتقديم خدمات مالية على مدار الساعة طوال أيام الأسبوع، وتطوير منصات تداول لامركزية، وتحسين عمليات التمويل والإقراض من خلال العقود الذكية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مما يخلق قيمة مضافة حقيقية للعملاء والمستثمرين ويعزز من تنافسية المؤسسات المالية في السوق</w:t>
      </w:r>
      <w:r w:rsidRPr="004F6AF4">
        <w:rPr>
          <w:rFonts w:ascii="Traditional Arabic" w:hAnsi="Traditional Arabic" w:cs="Traditional Arabic" w:hint="cs"/>
          <w:b/>
          <w:bCs/>
          <w:sz w:val="28"/>
          <w:szCs w:val="28"/>
          <w:rtl/>
        </w:rPr>
        <w:t>.</w:t>
      </w:r>
    </w:p>
    <w:p w14:paraId="075D930F" w14:textId="77777777" w:rsidR="00F00638" w:rsidRPr="004F6AF4" w:rsidRDefault="00F00638" w:rsidP="00E000FF">
      <w:pPr>
        <w:bidi/>
        <w:spacing w:after="0" w:line="360" w:lineRule="auto"/>
        <w:jc w:val="right"/>
        <w:rPr>
          <w:rFonts w:ascii="Simplified Arabic" w:hAnsi="Simplified Arabic" w:cs="Simplified Arabic"/>
          <w:b/>
          <w:bCs/>
          <w:sz w:val="28"/>
          <w:szCs w:val="28"/>
        </w:rPr>
      </w:pP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w:t>
      </w:r>
    </w:p>
    <w:p w14:paraId="2BDF49A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تحسين الشفافية والامتثال التنظيمي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توفر تقنية الترميز سجلات غير قابلة للتعديل تحفظ جميع المعاملات بشكل دائم وشفاف</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 مما يسهل عمليات المراجعة والتدقيق ويساعد المؤسسات المالية على الامتثال للمتطلبات التنظيمية المتزايدة التعقيد</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 xml:space="preserve">(PCI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2024; ENISA, 2024)، بحيث يمكن للجهات الرقابية الوصول إلى سجلات موثوقة ومحدثة بشكل فوري دون الحاجة لعمليات تدقيق مطولة ومكلفة</w:t>
      </w:r>
      <w:r w:rsidRPr="004F6AF4">
        <w:rPr>
          <w:rFonts w:ascii="Traditional Arabic" w:hAnsi="Traditional Arabic" w:cs="Traditional Arabic"/>
          <w:b/>
          <w:bCs/>
          <w:sz w:val="28"/>
          <w:szCs w:val="28"/>
          <w:rtl/>
        </w:rPr>
        <w:br/>
        <w:t>(</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وهذا يقلل من مخاطر عدم الامتثال والعقوبات المرتبطة بها</w:t>
      </w:r>
      <w:r w:rsidRPr="004F6AF4">
        <w:rPr>
          <w:rFonts w:ascii="Traditional Arabic" w:hAnsi="Traditional Arabic" w:cs="Traditional Arabic"/>
          <w:b/>
          <w:bCs/>
          <w:sz w:val="28"/>
          <w:szCs w:val="28"/>
          <w:rtl/>
        </w:rPr>
        <w:br/>
        <w:t>(</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3019E6D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المساهمة في تحقيق أهداف رؤية السعودية 2030</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من خلال دعم التحول الرقمي في القطاع المالي السعودي وتعزيز مكانة المملكة كمركز مالي إقليمي وعالمي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 بحيث تتماشى تقنية الترميز مع الأهداف الاستراتيجية للرؤية في تنويع الاقتصاد، ورفع كفاءة القطاع المالي، وتحسين تجربة العملاء، وتطوير البنية التحتية الرقمية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(IMF, 2024)، مما يسهم في بناء اقتصاد معرفي تنافسي قائم على الابتكار والتقنية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World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Economic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Forum</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6CB95EA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2.1.2.3</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أنواع تقنية الترميز في القطاع المالي</w:t>
      </w:r>
    </w:p>
    <w:p w14:paraId="1E72293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تتنوع تطبيقات تقنية الترميز في القطاع المالي لتشمل عدة أنواع رئيسية، حيث يخدم كل نوع أغراضاً وحالات استخدام محددة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Multiple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Authors</w:t>
      </w:r>
      <w:proofErr w:type="spellEnd"/>
      <w:r w:rsidRPr="004F6AF4">
        <w:rPr>
          <w:rFonts w:ascii="Traditional Arabic" w:hAnsi="Traditional Arabic" w:cs="Traditional Arabic"/>
          <w:b/>
          <w:bCs/>
          <w:sz w:val="28"/>
          <w:szCs w:val="28"/>
          <w:rtl/>
        </w:rPr>
        <w:t>, 2025)، وتتمثل أهم هذه الأنواع فيما يلي:</w:t>
      </w:r>
    </w:p>
    <w:p w14:paraId="1CA4853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ترميز البيانات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Data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Tokenization</w:t>
      </w:r>
      <w:proofErr w:type="spellEnd"/>
      <w:r w:rsidRPr="004F6AF4">
        <w:rPr>
          <w:rFonts w:ascii="Traditional Arabic" w:hAnsi="Traditional Arabic" w:cs="Traditional Arabic"/>
          <w:b/>
          <w:bCs/>
          <w:sz w:val="28"/>
          <w:szCs w:val="28"/>
          <w:rtl/>
        </w:rPr>
        <w:t>)</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وهو النوع الذي يركز على حماية البيانات الحساسة كأرقام البطاقات الائتمانية ومعلومات الحسابات البنكية من خلال استبدالها برموز بديلة عند المعالجة والتخزين</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br/>
        <w:t xml:space="preserve">(PCI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2024)، بحيث تبقى البيانات الفعلية في بيئة آمنة معزولة بينما تستخدم الرموز في جميع العمليات اليومية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2024)، وهذا النوع شائع بشكل كبير في أنظمة الدفع الإلكتروني ومعاملات التجارة الإلكترونية لتقليل مخاطر الاختراق وسرقة البيانات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6E966A96"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ترميز الأصول</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Asset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Tokenization</w:t>
      </w:r>
      <w:proofErr w:type="spellEnd"/>
      <w:r w:rsidRPr="004F6AF4">
        <w:rPr>
          <w:rFonts w:ascii="Traditional Arabic" w:hAnsi="Traditional Arabic" w:cs="Traditional Arabic"/>
          <w:b/>
          <w:bCs/>
          <w:sz w:val="28"/>
          <w:szCs w:val="28"/>
          <w:rtl/>
        </w:rPr>
        <w:t>)</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وهو تحويل الحقوق في أصل مالي أو مادي إلى رموز رقمية يمكن تداولها على منصات رقمية</w:t>
      </w:r>
      <w:r w:rsidRPr="004F6AF4">
        <w:rPr>
          <w:rFonts w:ascii="Traditional Arabic" w:hAnsi="Traditional Arabic" w:cs="Traditional Arabic" w:hint="cs"/>
          <w:b/>
          <w:bCs/>
          <w:sz w:val="28"/>
          <w:szCs w:val="28"/>
          <w:rtl/>
        </w:rPr>
        <w:t xml:space="preserve"> مثل:</w:t>
      </w:r>
    </w:p>
    <w:p w14:paraId="1B83E8C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2025)، بحيث يمكن ترميز أصول متنوعة تشمل الأوراق المالية، العقارات، السلع، الديون، حقوق الملكية الفكرية، وغيرها</w:t>
      </w:r>
      <w:r w:rsidRPr="004F6AF4">
        <w:rPr>
          <w:rFonts w:ascii="Traditional Arabic" w:hAnsi="Traditional Arabic" w:cs="Traditional Arabic"/>
          <w:b/>
          <w:bCs/>
          <w:sz w:val="28"/>
          <w:szCs w:val="28"/>
          <w:rtl/>
        </w:rPr>
        <w:br/>
        <w:t>(</w:t>
      </w:r>
      <w:proofErr w:type="spellStart"/>
      <w:r w:rsidRPr="004F6AF4">
        <w:rPr>
          <w:rFonts w:ascii="Traditional Arabic" w:hAnsi="Traditional Arabic" w:cs="Traditional Arabic"/>
          <w:b/>
          <w:bCs/>
          <w:sz w:val="28"/>
          <w:szCs w:val="28"/>
          <w:rtl/>
        </w:rPr>
        <w:t>Multiple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Authors</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Adigwe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مما يفتح إمكانيات جديدة للسيولة والتداول والملكية الجزئية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 وهذا النوع يمثل ثورة حقيقية في كيفية امتلاك وتداول الأصول في العصر الرقمي</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w:t>
      </w:r>
      <w:r w:rsidRPr="004F6AF4">
        <w:rPr>
          <w:rFonts w:ascii="Traditional Arabic" w:hAnsi="Traditional Arabic" w:cs="Traditional Arabic" w:hint="cs"/>
          <w:b/>
          <w:bCs/>
          <w:sz w:val="28"/>
          <w:szCs w:val="28"/>
          <w:rtl/>
        </w:rPr>
        <w:t>.</w:t>
      </w:r>
    </w:p>
    <w:p w14:paraId="2E856CD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ترميز المعاملات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Transaction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Tokenization</w:t>
      </w:r>
      <w:proofErr w:type="spellEnd"/>
      <w:r w:rsidRPr="004F6AF4">
        <w:rPr>
          <w:rFonts w:ascii="Traditional Arabic" w:hAnsi="Traditional Arabic" w:cs="Traditional Arabic"/>
          <w:b/>
          <w:bCs/>
          <w:sz w:val="28"/>
          <w:szCs w:val="28"/>
          <w:rtl/>
        </w:rPr>
        <w:t>)</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حيث يتم تحويل تفاصيل المعاملات المالية إلى رموز لحمايتها أثناء الإرسال والمعالجة</w:t>
      </w:r>
      <w:r w:rsidRPr="004F6AF4">
        <w:rPr>
          <w:rFonts w:ascii="Traditional Arabic" w:hAnsi="Traditional Arabic" w:cs="Traditional Arabic" w:hint="cs"/>
          <w:b/>
          <w:bCs/>
          <w:sz w:val="28"/>
          <w:szCs w:val="28"/>
          <w:rtl/>
        </w:rPr>
        <w:t xml:space="preserve"> حسب التقرير </w:t>
      </w:r>
      <w:r w:rsidRPr="004F6AF4">
        <w:rPr>
          <w:rFonts w:ascii="Traditional Arabic" w:hAnsi="Traditional Arabic" w:cs="Traditional Arabic"/>
          <w:b/>
          <w:bCs/>
          <w:sz w:val="28"/>
          <w:szCs w:val="28"/>
          <w:rtl/>
        </w:rPr>
        <w:t xml:space="preserve">(PCI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بحيث تبقى المعاملة آمنة من التلاعب أو الاعتراض حتى في بيئات الاتصال </w:t>
      </w:r>
      <w:r w:rsidRPr="004F6AF4">
        <w:rPr>
          <w:rFonts w:ascii="Traditional Arabic" w:hAnsi="Traditional Arabic" w:cs="Traditional Arabic"/>
          <w:b/>
          <w:bCs/>
          <w:sz w:val="28"/>
          <w:szCs w:val="28"/>
          <w:rtl/>
        </w:rPr>
        <w:lastRenderedPageBreak/>
        <w:t>غير الآمنة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وهذا النوع يستخدم بكثرة في المدفوعات عبر الهاتف المحمول والمحافظ الرقمية لضمان سلامة وأمن المعاملات</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4FAC379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ترميز الهوية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Identity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Tokenization</w:t>
      </w:r>
      <w:proofErr w:type="spellEnd"/>
      <w:r w:rsidRPr="004F6AF4">
        <w:rPr>
          <w:rFonts w:ascii="Traditional Arabic" w:hAnsi="Traditional Arabic" w:cs="Traditional Arabic"/>
          <w:b/>
          <w:bCs/>
          <w:sz w:val="28"/>
          <w:szCs w:val="28"/>
          <w:rtl/>
        </w:rPr>
        <w:t>)</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وهو إنشاء هويات رقمية آمنة للأفراد والكيانات باستخدام تقنيات الترميز</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2024)، بحيث يمكن التحقق من الهوية دون الكشف عن البيانات الشخصية الفعلية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(ENISA, 2024)، مما يوفر توازناً بين متطلبات التحقق من الهوية والخصوصية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وهذا النوع يكتسب أهمية متزايدة في ظل التشديدات التنظيمية على معرفة العميل (KYC) ومكافحة غسل الأموال</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IMF, 2024)</w:t>
      </w:r>
      <w:r w:rsidRPr="004F6AF4">
        <w:rPr>
          <w:rFonts w:ascii="Traditional Arabic" w:hAnsi="Traditional Arabic" w:cs="Traditional Arabic" w:hint="cs"/>
          <w:b/>
          <w:bCs/>
          <w:sz w:val="28"/>
          <w:szCs w:val="28"/>
          <w:rtl/>
        </w:rPr>
        <w:t>.</w:t>
      </w:r>
    </w:p>
    <w:p w14:paraId="1CDD4F0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2.1.2.4 خصائص تقنية الترميز</w:t>
      </w:r>
    </w:p>
    <w:p w14:paraId="712DC21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تتميز تقنية الترميز بمجموعة من الخصائص التقنية والتشغيلية التي تجعلها حلاً مناسباً للمؤسسات المالية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 حيث تتمثل أهم هذه الخصائص فيما يلي:</w:t>
      </w:r>
    </w:p>
    <w:p w14:paraId="037AF00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عدم القابلية للعكس</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Irreversibility</w:t>
      </w:r>
      <w:proofErr w:type="spellEnd"/>
      <w:r w:rsidRPr="004F6AF4">
        <w:rPr>
          <w:rFonts w:ascii="Traditional Arabic" w:hAnsi="Traditional Arabic" w:cs="Traditional Arabic"/>
          <w:b/>
          <w:bCs/>
          <w:sz w:val="28"/>
          <w:szCs w:val="28"/>
          <w:rtl/>
        </w:rPr>
        <w:t>)</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حيث </w:t>
      </w:r>
      <w:proofErr w:type="gramStart"/>
      <w:r w:rsidRPr="004F6AF4">
        <w:rPr>
          <w:rFonts w:ascii="Traditional Arabic" w:hAnsi="Traditional Arabic" w:cs="Traditional Arabic"/>
          <w:b/>
          <w:bCs/>
          <w:sz w:val="28"/>
          <w:szCs w:val="28"/>
          <w:rtl/>
        </w:rPr>
        <w:t>أن</w:t>
      </w:r>
      <w:proofErr w:type="gramEnd"/>
      <w:r w:rsidRPr="004F6AF4">
        <w:rPr>
          <w:rFonts w:ascii="Traditional Arabic" w:hAnsi="Traditional Arabic" w:cs="Traditional Arabic"/>
          <w:b/>
          <w:bCs/>
          <w:sz w:val="28"/>
          <w:szCs w:val="28"/>
          <w:rtl/>
        </w:rPr>
        <w:t xml:space="preserve"> العملية التصميمية للترميز تجعل من المستحيل عملياً استخراج البيانات الأصلية من الرمز دون الوصول إلى نظام الترميز المركزي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بحيث حتى في حال اختراق قاعدة البيانات التي تحتوي على الرموز فإن المخترق لن يتمكن من الحصول على البيانات الحساسة الفعلية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وهذه الخاصية تمثل الفارق الجوهري بين الترميز والتشفير الذي يمكن عكسه بالمفتاح الصحيح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1E57EF8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الاحتفاظ بالتنسيق</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Format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Preservation</w:t>
      </w:r>
      <w:proofErr w:type="spellEnd"/>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في العديد من تطبيقات الترميز، يتم تصميم الرموز بحيث تحتفظ بنفس تنسيق البيانات الأصلية من حيث الطول ونوع الأحرف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مما يسمح باستخدام الرموز في الأنظمة الموجودة دون الحاجة لتعديلات كبيرة في البنية </w:t>
      </w:r>
      <w:r w:rsidRPr="004F6AF4">
        <w:rPr>
          <w:rFonts w:ascii="Traditional Arabic" w:hAnsi="Traditional Arabic" w:cs="Traditional Arabic"/>
          <w:b/>
          <w:bCs/>
          <w:sz w:val="28"/>
          <w:szCs w:val="28"/>
          <w:rtl/>
        </w:rPr>
        <w:lastRenderedPageBreak/>
        <w:t>التحتية التقنية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بحيث يمكن للمؤسسات المالية تطبيق الترميز بسلاسة دون تعطيل العمليات القائمة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2E8CC87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القابلية للبرمجة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Programmability</w:t>
      </w:r>
      <w:proofErr w:type="spellEnd"/>
      <w:r w:rsidRPr="004F6AF4">
        <w:rPr>
          <w:rFonts w:ascii="Traditional Arabic" w:hAnsi="Traditional Arabic" w:cs="Traditional Arabic"/>
          <w:b/>
          <w:bCs/>
          <w:sz w:val="28"/>
          <w:szCs w:val="28"/>
          <w:rtl/>
        </w:rPr>
        <w:t>)</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خاصة في ترميز الأصول، حيث يمكن دمج قواعد وشروط قابلة للتنفيذ التلقائي في الرموز نفسها من خلال العقود الذكية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بحيث تتم إدارة الحقوق والالتزامات المرتبطة بالأصل بشكل آلي دون الحاجة لتدخل بشري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2025)، مما يقلل من التكاليف والأخطاء ويزيد من الكفاءة التشغيلية بشكل كبير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w:t>
      </w:r>
    </w:p>
    <w:p w14:paraId="69F430F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القابلية للتوسع (</w:t>
      </w:r>
      <w:proofErr w:type="spellStart"/>
      <w:r w:rsidRPr="004F6AF4">
        <w:rPr>
          <w:rFonts w:ascii="Traditional Arabic" w:hAnsi="Traditional Arabic" w:cs="Traditional Arabic"/>
          <w:b/>
          <w:bCs/>
          <w:sz w:val="28"/>
          <w:szCs w:val="28"/>
          <w:rtl/>
        </w:rPr>
        <w:t>Scalability</w:t>
      </w:r>
      <w:proofErr w:type="spellEnd"/>
      <w:r w:rsidRPr="004F6AF4">
        <w:rPr>
          <w:rFonts w:ascii="Traditional Arabic" w:hAnsi="Traditional Arabic" w:cs="Traditional Arabic"/>
          <w:b/>
          <w:bCs/>
          <w:sz w:val="28"/>
          <w:szCs w:val="28"/>
          <w:rtl/>
        </w:rPr>
        <w:t>)</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حيث تدعم أنظمة الترميز الحديثة معالجة حجم هائل من المعاملات بشكل متزامن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مما يجعلها مناسبة للمؤسسات المالية الكبرى التي تتعامل مع ملايين المعاملات يومياً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وذلك من خلال البنية التحتية الموزعة والمعمارية الحديثة التي تتيح التوسع الأفقي حسب الحاجة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p>
    <w:p w14:paraId="5807272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التشغيل البيني (</w:t>
      </w:r>
      <w:proofErr w:type="spellStart"/>
      <w:r w:rsidRPr="004F6AF4">
        <w:rPr>
          <w:rFonts w:ascii="Traditional Arabic" w:hAnsi="Traditional Arabic" w:cs="Traditional Arabic"/>
          <w:b/>
          <w:bCs/>
          <w:sz w:val="28"/>
          <w:szCs w:val="28"/>
          <w:rtl/>
        </w:rPr>
        <w:t>Interoperability</w:t>
      </w:r>
      <w:proofErr w:type="spellEnd"/>
      <w:r w:rsidRPr="004F6AF4">
        <w:rPr>
          <w:rFonts w:ascii="Traditional Arabic" w:hAnsi="Traditional Arabic" w:cs="Traditional Arabic"/>
          <w:b/>
          <w:bCs/>
          <w:sz w:val="28"/>
          <w:szCs w:val="28"/>
          <w:rtl/>
        </w:rPr>
        <w:t>)</w:t>
      </w:r>
      <w:r w:rsidRPr="004F6AF4">
        <w:rPr>
          <w:rFonts w:ascii="Traditional Arabic" w:hAnsi="Traditional Arabic" w:cs="Traditional Arabic" w:hint="cs"/>
          <w:b/>
          <w:bCs/>
          <w:sz w:val="28"/>
          <w:szCs w:val="28"/>
          <w:rtl/>
        </w:rPr>
        <w:t>:</w:t>
      </w:r>
      <w:r w:rsidRPr="004F6AF4">
        <w:rPr>
          <w:rFonts w:ascii="Traditional Arabic" w:hAnsi="Traditional Arabic" w:cs="Traditional Arabic"/>
          <w:b/>
          <w:bCs/>
          <w:sz w:val="28"/>
          <w:szCs w:val="28"/>
          <w:rtl/>
        </w:rPr>
        <w:t xml:space="preserve"> إمكانية تبادل الرموز والتعامل معها عبر منصات وأنظمة مختلفة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Multiple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Authors</w:t>
      </w:r>
      <w:proofErr w:type="spellEnd"/>
      <w:r w:rsidRPr="004F6AF4">
        <w:rPr>
          <w:rFonts w:ascii="Traditional Arabic" w:hAnsi="Traditional Arabic" w:cs="Traditional Arabic"/>
          <w:b/>
          <w:bCs/>
          <w:sz w:val="28"/>
          <w:szCs w:val="28"/>
          <w:rtl/>
        </w:rPr>
        <w:t xml:space="preserve">, 2025)، بحيث لا تكون الرموز محصورة في نظام واحد بل يمكن نقلها وتداولها عبر بيئات متعددة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2024)، وهذه الخاصية تعزز من السيولة والكفاءة في الأسواق المالية الرقمية وتفتح آفاقاً واسعة للابتكار والتعاون بين المؤسسات المالية المختلفة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World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Economic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Forum</w:t>
      </w:r>
      <w:proofErr w:type="spellEnd"/>
      <w:r w:rsidRPr="004F6AF4">
        <w:rPr>
          <w:rFonts w:ascii="Traditional Arabic" w:hAnsi="Traditional Arabic" w:cs="Traditional Arabic"/>
          <w:b/>
          <w:bCs/>
          <w:sz w:val="28"/>
          <w:szCs w:val="28"/>
          <w:rtl/>
        </w:rPr>
        <w:t>, 2024).</w:t>
      </w:r>
    </w:p>
    <w:p w14:paraId="25750E0F"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255F363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الثالث (2.1.3) - كفاءة العمليات المالية وعلاقتها بتقنية الترميز والأمن السيبراني</w:t>
      </w:r>
    </w:p>
    <w:p w14:paraId="50AFF10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تعد كفاءة العمليات المالية من الأهداف الرئيسية والاستراتيجية لأي مؤسسة مالية تسعى للتميز والتنافسية في بيئة أعمال سريعة التغير ومتزايدة التعقيد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حيث أصبحت المؤسسات المالية مطالبة بتقديم خدمات أسرع وأكثر دقة وبتكلفة أقل مع الحفاظ على مستويات عالية من الجودة والأمان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وذلك في ظل توقعات متزايدة من العملاء الذين أصبحوا أكثر وعياً ومطالبة بتجربة رقمية سلسة ومتكاملة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ويرتبط مفهوم كفاءة العمليات ارتباطاً وثيقاً بالتحول الرقمي الذي يمثل رحلة شاملة لإعادة تصميم العمليات والخدمات باستخدام التقنيات الحديثة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بحيث لا يقتصر التحول على مجرد </w:t>
      </w:r>
      <w:proofErr w:type="spellStart"/>
      <w:r w:rsidRPr="004F6AF4">
        <w:rPr>
          <w:rFonts w:ascii="Traditional Arabic" w:hAnsi="Traditional Arabic" w:cs="Traditional Arabic"/>
          <w:b/>
          <w:bCs/>
          <w:sz w:val="28"/>
          <w:szCs w:val="28"/>
          <w:rtl/>
        </w:rPr>
        <w:t>رقمنة</w:t>
      </w:r>
      <w:proofErr w:type="spellEnd"/>
      <w:r w:rsidRPr="004F6AF4">
        <w:rPr>
          <w:rFonts w:ascii="Traditional Arabic" w:hAnsi="Traditional Arabic" w:cs="Traditional Arabic"/>
          <w:b/>
          <w:bCs/>
          <w:sz w:val="28"/>
          <w:szCs w:val="28"/>
          <w:rtl/>
        </w:rPr>
        <w:t xml:space="preserve"> العمليات القائمة بل يشمل إعادة التفكير الجذري في نماذج الأعمال وطرق تقديم القيمة للعملاء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08BDE4C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2.1.3.1 مفهوم كفاءة العمليات المالية</w:t>
      </w:r>
    </w:p>
    <w:p w14:paraId="77FF1E6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تعددت التعريفات التي تناولت مفهوم كفاءة العمليات المالية، حيث ينظر إليها من منظورات مختلفة تشمل البعد التشغيلي والاقتصادي والاستراتيجي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وجميع هذه التعريفات تؤكد على أن الكفاءة ليست مجرد تقليل للتكاليف بل تحسين شامل للأداء</w:t>
      </w:r>
      <w:r w:rsidRPr="004F6AF4">
        <w:rPr>
          <w:rFonts w:ascii="Traditional Arabic" w:hAnsi="Traditional Arabic" w:cs="Traditional Arabic" w:hint="cs"/>
          <w:b/>
          <w:bCs/>
          <w:sz w:val="28"/>
          <w:szCs w:val="28"/>
          <w:rtl/>
        </w:rPr>
        <w:t xml:space="preserve">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تعرف كفاءة العمليات المالية من المنظور التشغيلي بأنها "قدرة المؤسسة المالية على تحقيق أقصى قدر من المخرجات بأقل قدر من المدخلات، من خلال تحسين استخدام الموارد المتاحة سواء كانت بشرية أو تقنية أو مالية، بحيث يتم إنجاز المعاملات والعمليات بأسرع وقت ممكن وبأقل تكلفة ممكنة مع الحفاظ على الجودة والدقة المطلوبة"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 وهذا التعريف يركز على العلاقة بين المدخلات والمخرجات كمقياس أساسي للكفاءة.</w:t>
      </w:r>
    </w:p>
    <w:p w14:paraId="113D58E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من منظور اقتصادي، تعرف كفاءة العمليات المالية بأنها "قدرة المؤسسة على تحسين الإنتاجية وتقليل تكاليف المعاملات وتحسين العائد على الاستثمار في البنية التحتية التقنية والعمليات، من خلال استخدام أمثل للتقنيات </w:t>
      </w:r>
      <w:r w:rsidRPr="004F6AF4">
        <w:rPr>
          <w:rFonts w:ascii="Traditional Arabic" w:hAnsi="Traditional Arabic" w:cs="Traditional Arabic"/>
          <w:b/>
          <w:bCs/>
          <w:sz w:val="28"/>
          <w:szCs w:val="28"/>
          <w:rtl/>
        </w:rPr>
        <w:lastRenderedPageBreak/>
        <w:t>الحديثة والأتمتة والتحسين المستمر للعمليات"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2025)، بحيث تنعكس هذه الكفاءة على المؤشرات المالية للمؤسسة من خلال تحسين الربحية وزيادة القيمة المقدمة للمساهمين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7987DAC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بينما من المنظور الاستراتيجي، تعرف كفاءة العمليات بأنها "القدرة على التكيف السريع مع التغيرات في احتياجات العملاء والبيئة التنظيمية وظروف السوق، من خلال عمليات مرنة وقابلة للتطوير تدعم الابتكار والنمو المستدام"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وهذا التعريف يؤكد على أن الكفاءة ليست هدفاً ثابتاً بل عملية مستمرة من التحسين والتطوير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6BE1B83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مما سبق يرى الباحث أن كفاءة العمليات المالية تمثل قدرة المؤسسة المالية على تحقيق أهدافها التشغيلية والاستراتيجية من خلال الاستخدام الأمثل للموارد المتاحة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2025)، بحيث تتم العمليات والمعاملات المالية بأسرع وقت ممكن وبأقل تكلفة ممكنة وبأعلى مستوى من الدقة والجودة، مع القدرة على التكيف المرن مع التغيرات في البيئة الداخلية والخارجية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 وذلك من خلال تبني التقنيات الحديثة والأتمتة والتحسين المستمر للعمليات بما يحقق رضا العملاء ويعزز من التنافسية ويساهم في تحقيق الأهداف الاستراتيجية للمؤسسة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4D6637B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2.1.3.2 أبعاد ومؤشرات كفاءة العمليات المالية</w:t>
      </w:r>
    </w:p>
    <w:p w14:paraId="6573E71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تتعدد الأبعاد والمؤشرات التي يمكن من خلالها قياس كفاءة العمليات المالية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حيث تتمثل أهم هذه الأبعاد فيما يلي:</w:t>
      </w:r>
    </w:p>
    <w:p w14:paraId="2A75D42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سرعة تنفيذ المعاملات ودورات التسوية: وتقاس بالوقت المستغرق لإتمام المعاملة من البداية للنهاية، حيث كلما كانت العمليات أسرع كلما كانت أكثر كفاءة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بحيث تتحول دورات التسوية من أيام في الأنظمة التقليدية (T+2 أو T+5) إلى ثوانٍ معدودة </w:t>
      </w:r>
      <w:r w:rsidRPr="004F6AF4">
        <w:rPr>
          <w:rFonts w:ascii="Traditional Arabic" w:hAnsi="Traditional Arabic" w:cs="Traditional Arabic"/>
          <w:b/>
          <w:bCs/>
          <w:sz w:val="28"/>
          <w:szCs w:val="28"/>
          <w:rtl/>
        </w:rPr>
        <w:lastRenderedPageBreak/>
        <w:t>في الأنظمة الرقمية الحديثة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2025)، وهذا التحسين في السرعة لا يرضي العملاء فحسب بل يحرر رأس مال كان محجوزاً في دورات التسوية الطويلة، مما يحسن من كفاءة استخدام رأس المال على مستوى النظام المالي بأكمله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w:t>
      </w:r>
      <w:r w:rsidRPr="004F6AF4">
        <w:rPr>
          <w:rFonts w:ascii="Traditional Arabic" w:hAnsi="Traditional Arabic" w:cs="Traditional Arabic" w:hint="cs"/>
          <w:b/>
          <w:bCs/>
          <w:sz w:val="28"/>
          <w:szCs w:val="28"/>
          <w:rtl/>
        </w:rPr>
        <w:t>).</w:t>
      </w:r>
    </w:p>
    <w:p w14:paraId="05595BE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تكلفة العمليات التشغيلية: وتشمل جميع التكاليف المرتبطة بتنفيذ المعاملات من تكاليف المعالجة، والتسوية والمقاصة، والبنية التحتية التقنية، والموارد البشرية، والامتثال والمراجعة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بحيث كلما انخفضت هذه التكاليف دون التأثير على الجودة كلما كانت العمليات أكثر كفاءة</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 وتشير الدراسات إلى أن تبني التقنيات الحديثة كالترميز يمكن أن يخفض تكاليف المعالجة بنسبة 52%، وتكاليف التسوية والمقاصة بنسبة 48%، وتكاليف الامتثال والمراجعة بنسبة 41%</w:t>
      </w:r>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50275E1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دقة التنفيذ ومعدلات الأخطاء: من خلال قياس نسبة المعاملات التي تتم بشكل صحيح من المرة الأولى دون الحاجة لتصحيحات أو إعادة معالجة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بحيث أن الأتمتة الكاملة والسجلات غير القابلة للتعديل تساهم في تقليل الأخطاء البشرية والتناقضات في البيانات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مما يعزز موثوقية النظام المالي ويقلل من تكاليف التصحيح والمراجعة، وقد وثقت بعض الدراسات انخفاضاً بنسبة 90% في أخطاء التسوية بفضل الأتمتة الكاملة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1150B86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القدرة على التوسع والمرونة التشغيلية: وتقاس بقدرة الأنظمة على التعامل مع حجم متزايد من المعاملات دون تدهور في الأداء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وبقدرة المؤسسة على تقديم خدمات جديدة والتكيف مع التغيرات في احتياجات السوق بسرعة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بحيث تدعم البنية التحتية الحديثة معالجة ملايين المعاملات بشكل متزامن مع إمكانية التوسع الأفقي حسب الحاجة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60BDFA90" w14:textId="77777777" w:rsidR="00F00638" w:rsidRPr="004F6AF4" w:rsidRDefault="00F00638" w:rsidP="00E000FF">
      <w:pPr>
        <w:bidi/>
        <w:spacing w:after="0" w:line="360" w:lineRule="auto"/>
        <w:jc w:val="both"/>
        <w:rPr>
          <w:rFonts w:ascii="Simplified Arabic" w:hAnsi="Simplified Arabic" w:cs="Simplified Arabic"/>
          <w:b/>
          <w:bCs/>
          <w:sz w:val="28"/>
          <w:szCs w:val="28"/>
        </w:rPr>
      </w:pPr>
      <w:proofErr w:type="spellStart"/>
      <w:r w:rsidRPr="004F6AF4">
        <w:rPr>
          <w:rFonts w:ascii="Traditional Arabic" w:hAnsi="Traditional Arabic" w:cs="Traditional Arabic"/>
          <w:b/>
          <w:bCs/>
          <w:sz w:val="28"/>
          <w:szCs w:val="28"/>
          <w:rtl/>
        </w:rPr>
        <w:lastRenderedPageBreak/>
        <w:t>التوافرية</w:t>
      </w:r>
      <w:proofErr w:type="spellEnd"/>
      <w:r w:rsidRPr="004F6AF4">
        <w:rPr>
          <w:rFonts w:ascii="Traditional Arabic" w:hAnsi="Traditional Arabic" w:cs="Traditional Arabic"/>
          <w:b/>
          <w:bCs/>
          <w:sz w:val="28"/>
          <w:szCs w:val="28"/>
          <w:rtl/>
        </w:rPr>
        <w:t xml:space="preserve"> والاستمرارية: من خلال قياس نسبة الوقت الذي تكون فيه الخدمات متاحة للعملاء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حيث </w:t>
      </w:r>
      <w:proofErr w:type="gramStart"/>
      <w:r w:rsidRPr="004F6AF4">
        <w:rPr>
          <w:rFonts w:ascii="Traditional Arabic" w:hAnsi="Traditional Arabic" w:cs="Traditional Arabic"/>
          <w:b/>
          <w:bCs/>
          <w:sz w:val="28"/>
          <w:szCs w:val="28"/>
          <w:rtl/>
        </w:rPr>
        <w:t>أن</w:t>
      </w:r>
      <w:proofErr w:type="gramEnd"/>
      <w:r w:rsidRPr="004F6AF4">
        <w:rPr>
          <w:rFonts w:ascii="Traditional Arabic" w:hAnsi="Traditional Arabic" w:cs="Traditional Arabic"/>
          <w:b/>
          <w:bCs/>
          <w:sz w:val="28"/>
          <w:szCs w:val="28"/>
          <w:rtl/>
        </w:rPr>
        <w:t xml:space="preserve"> الأنظمة الحديثة تمكن من التشغيل على مدار الساعة طوال أيام الأسبوع (24/7)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مقارنة بالأنظمة التقليدية التي كانت محدودة بساعات العمل الرسمية، وهذا يحسن بشكل كبير من تجربة العملاء ويفتح فرصاً جديدة للعمل عبر المناطق الزمنية المختلفة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73424F49"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جودة تجربة العملاء ومعدلات الرضا: من خلال قياس مدى سهولة استخدام الخدمات، وسرعة الاستجابة لاحتياجات العملاء، ومستوى الشفافية في العمليات، ومعدلات رضا العملاء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 بحيث أن الخدمات الرقمية الحديثة توفر تجربة أكثر سلاسة وشفافية وتمكن العملاء من إنجاز معاملاتهم بشكل ذاتي دون الحاجة لزيارة الفروع أو الانتظار لفترات طويلة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51E88FB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2.1.3.3 العلاقة بين تقنية الترميز وكفاءة العمليات المالية</w:t>
      </w:r>
    </w:p>
    <w:p w14:paraId="638C337D"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lastRenderedPageBreak/>
        <w:t>ترتبط تقنية الترميز بكفاءة العمليات المالية عبر ثلاث قنوات تشغيلية مباشرة. الأولى تقليص نطاق البيانات الحساسة الخاضعة للتدقيق داخل أنظمة المؤسسة، إذ يستبدل الترميز البيانات الأصلية برموز بديلة لا تحمل قيمة استغلالية، ما يقلّص عدد الأنظمة الداخلة في نطاق الامتثال ويخفّض كلفة التدقيق الدوري وزمنه. والثانية تسريع دورة تسوية المعاملات، لأن تمرير الرمز بدلاً من بيانات البطاقة الكاملة يقلّل خطوات التحقق والتشفير المتكررة بين أطراف المعاملة. والثالثة خفض كلفة معالجة الحوادث، إذ يصبح أثر أي تسريب محدوداً ما دامت البيانات المسرَّبة رموزاً لا تُفكّ خارج مخزن الرموز.</w:t>
      </w:r>
    </w:p>
    <w:p w14:paraId="14A03534"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أما العلاقة بين الأمن السيبراني وكفاءة العمليات المالية فتتحقق بصورة غير مباشرة، إذ إن انخفاض عدد الحوادث الأمنية يقلّل توقّف الخدمة وتكاليف الاستجابة والتعويض، ويرفع معدل إتمام المعاملات من المحاولة الأولى، وهو ما ينعكس مباشرة على مؤشرات الكفاءة التشغيلية. وبهذا تتشكل علاقة تسلسلية يمثل فيها الترميز مدخلاً تقنياً، ويمثل الأمن السيبراني حالة وسيطة في الأداء، وتمثل كفاءة العمليات المالية مخرجاً تشغيلياً.</w:t>
      </w:r>
    </w:p>
    <w:p w14:paraId="61DE446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يلعب التحول الرقمي دوراً محورياً في تحسين كفاءة العمليات المالية من خلال عدة آليات رئيسية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 حيث تتمثل أهم هذه الآليات فيما يلي:</w:t>
      </w:r>
    </w:p>
    <w:p w14:paraId="26F33D5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الأتمتة الذكية للعمليات: من خلال استخدام تقنيات الذكاء الاصطناعي والروبوتات البرمجية (RPA) لأتمتة العمليات اليدوية المتكررة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بحيث يتم تحرير الموارد البشرية للتركيز على المهام ذات القيمة الأعلى التي تتطلب التفكير الإبداعي والحكم البشري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مما يقلل من الأخطاء ويسرع من الإنجاز ويخفض التكاليف التشغيلية بشكل كبير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5C84501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تحسين عمليات اتخاذ القرار بالبيانات: من خلال القدرة على جمع وتحليل كميات ضخمة من البيانات بشكل فوري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بحيث يمكن للمؤسسات المالية اتخاذ قرارات أكثر استنارة بناءً على رؤى دقيقة ومحدثة، سواء فيما يتعلق بإدارة المخاطر، أو تحديد الأسعار، أو تطوير المنتجات، </w:t>
      </w:r>
      <w:r w:rsidRPr="004F6AF4">
        <w:rPr>
          <w:rFonts w:ascii="Traditional Arabic" w:hAnsi="Traditional Arabic" w:cs="Traditional Arabic"/>
          <w:b/>
          <w:bCs/>
          <w:sz w:val="28"/>
          <w:szCs w:val="28"/>
          <w:rtl/>
        </w:rPr>
        <w:lastRenderedPageBreak/>
        <w:t>أو استهداف العملاء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مما يحسن من فعالية القرارات ويقلل من المخاطر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w:t>
      </w:r>
    </w:p>
    <w:p w14:paraId="5B00C83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تحسين تجربة العملاء الرقمية: عبر توفير منصات وتطبيقات رقمية سهلة الاستخدام تمكن العملاء من إنجاز معاملاتهم بشكل ذاتي في أي وقت ومن أي مكان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 مع إمكانية التخصيص حسب احتياجات كل عميل، وتقديم خدمات استباقية بناءً على التحليلات التنبؤية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2025)، مما يعزز من رضا العملاء وولائهم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480D9B4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خفض تكاليف البنية التحتية: من خلال الانتقال من الأنظمة القديمة المكلفة في الصيانة والتشغيل إلى حلول سحابية مرنة وقابلة للتوسع تدفع حسب الاستخدام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بحيث يمكن للمؤسسات المالية تقليل استثماراتها الرأسمالية في البنية التحتية التقنية والتركيز على الابتكار وتطوير الخدمات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4D09EC1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تمكين نماذج أعمال جديدة: من خلال فتح إمكانيات لم تكن متاحة في البيئة التقليدية، مثل الخدمات المصرفية المفتوحة (</w:t>
      </w:r>
      <w:proofErr w:type="spellStart"/>
      <w:r w:rsidRPr="004F6AF4">
        <w:rPr>
          <w:rFonts w:ascii="Traditional Arabic" w:hAnsi="Traditional Arabic" w:cs="Traditional Arabic"/>
          <w:b/>
          <w:bCs/>
          <w:sz w:val="28"/>
          <w:szCs w:val="28"/>
          <w:rtl/>
        </w:rPr>
        <w:t>Open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Banking</w:t>
      </w:r>
      <w:proofErr w:type="spellEnd"/>
      <w:r w:rsidRPr="004F6AF4">
        <w:rPr>
          <w:rFonts w:ascii="Traditional Arabic" w:hAnsi="Traditional Arabic" w:cs="Traditional Arabic"/>
          <w:b/>
          <w:bCs/>
          <w:sz w:val="28"/>
          <w:szCs w:val="28"/>
          <w:rtl/>
        </w:rPr>
        <w:t>)، والتمويل اللامركزي (</w:t>
      </w:r>
      <w:proofErr w:type="spellStart"/>
      <w:r w:rsidRPr="004F6AF4">
        <w:rPr>
          <w:rFonts w:ascii="Traditional Arabic" w:hAnsi="Traditional Arabic" w:cs="Traditional Arabic"/>
          <w:b/>
          <w:bCs/>
          <w:sz w:val="28"/>
          <w:szCs w:val="28"/>
          <w:rtl/>
        </w:rPr>
        <w:t>DeFi</w:t>
      </w:r>
      <w:proofErr w:type="spellEnd"/>
      <w:r w:rsidRPr="004F6AF4">
        <w:rPr>
          <w:rFonts w:ascii="Traditional Arabic" w:hAnsi="Traditional Arabic" w:cs="Traditional Arabic"/>
          <w:b/>
          <w:bCs/>
          <w:sz w:val="28"/>
          <w:szCs w:val="28"/>
          <w:rtl/>
        </w:rPr>
        <w:t>)، والمنتجات المالية القابلة للبرمجة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بحيث يمكن للمؤسسات المالية إعادة اختراع نفسها والمنافسة بطرق جديدة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10B2581E"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p>
    <w:p w14:paraId="24EB27C1"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المبحث الرابع (2.1.4) - رؤية السعودية 2030 والتحول الرقمي في القطاع المالي</w:t>
      </w:r>
    </w:p>
    <w:p w14:paraId="6C60DB1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تمثل رؤية السعودية 2030 إطاراً استراتيجياً شاملاً ومتكاملاً للتحول الاقتصادي والاجتماعي في المملكة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IMF, 2024)، حيث تهدف إلى بناء مجتمع حيوي واقتصاد مزدهر </w:t>
      </w:r>
      <w:r w:rsidRPr="004F6AF4">
        <w:rPr>
          <w:rFonts w:ascii="Traditional Arabic" w:hAnsi="Traditional Arabic" w:cs="Traditional Arabic"/>
          <w:b/>
          <w:bCs/>
          <w:sz w:val="28"/>
          <w:szCs w:val="28"/>
          <w:rtl/>
        </w:rPr>
        <w:lastRenderedPageBreak/>
        <w:t>ووطن طموح من خلال تنويع القاعدة الاقتصادية والحد من الاعتماد على النفط وتطوير القطاعات غير النفطية وتعزيز القدرات والمزايا التنافسية للمملكة على المستوى الإقليمي والعالمي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xml:space="preserve">, 2025). ويحتل التحول الرقمي موقعاً محورياً ضمن هذه الرؤية الطموحة، حيث يمثل ممكناً رئيسياً لتحقيق العديد من الأهداف الاستراتيجية عبر مختلف القطاعات (IMF,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 ومن بينها القطاع المالي الذي يلعب دوراً حيوياً في دعم النمو الاقتصادي وتمكين ريادة الأعمال وجذب الاستثمارات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w:t>
      </w:r>
      <w:r w:rsidRPr="004F6AF4">
        <w:rPr>
          <w:rFonts w:ascii="Traditional Arabic" w:hAnsi="Traditional Arabic" w:cs="Traditional Arabic" w:hint="cs"/>
          <w:b/>
          <w:bCs/>
          <w:sz w:val="28"/>
          <w:szCs w:val="28"/>
          <w:rtl/>
        </w:rPr>
        <w:t>.</w:t>
      </w:r>
    </w:p>
    <w:p w14:paraId="5AC1381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2.1.4.1 أهداف رؤية 2030 المرتبطة بالقطاع المالي الرقمي</w:t>
      </w:r>
    </w:p>
    <w:p w14:paraId="4191188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ترتبط العديد من أهداف رؤية 2030 بشكل مباشر بتطوير القطاع المالي الرقمي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 حيث تتمثل أهم هذه الأهداف فيما يلي:</w:t>
      </w:r>
    </w:p>
    <w:p w14:paraId="7666D4E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رفع معدل الشمول المالي وزيادة نسبة المعاملات غير النقدية: حيث تستهدف الرؤية الوصول إلى مجتمع أقل اعتماداً على النقد من خلال تحفيز استخدام وسائل الدفع الإلكترونية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IMF, 2024)، وتوسيع نطاق الوصول للخدمات المالية لتشمل كافة شرائح المجتمع بما في ذلك الفئات المحرومة تقليدياً من الخدمات المصرفية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 وقد حققت المملكة إنجازات ملموسة في هذا الجانب، حيث وصلت نسبة المدفوعات الإلكترونية إلى 79% من إجمالي المعاملات، وبلغت نسبة معاملات نقاط البيع بدون بطاقة (باستخدام تقنيات الترميز) 51.9%، كما ارتفع معدل الشمول المالي إلى 94% من السكان البالغين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62025DE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تطوير بنية تحتية رقمية متطورة وآمنة: من خلال الاستثمار في شبكات الاتصالات عالية السرعة، ومراكز البيانات، والحوسبة السحابية، والأمن السيبراني (IMF, 2024; ENISA, 2024)، بحيث توفر المملكة بيئة رقمية تمكينية تدعم الابتكار والنمو في القطاع المالي وغيره من القطاعات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وتستقطب الاستثمارات التقنية العالمية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w:t>
      </w:r>
      <w:r w:rsidRPr="004F6AF4">
        <w:rPr>
          <w:rFonts w:ascii="Traditional Arabic" w:hAnsi="Traditional Arabic" w:cs="Traditional Arabic" w:hint="cs"/>
          <w:b/>
          <w:bCs/>
          <w:sz w:val="28"/>
          <w:szCs w:val="28"/>
          <w:rtl/>
        </w:rPr>
        <w:t>).</w:t>
      </w:r>
    </w:p>
    <w:p w14:paraId="0FDA86B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 xml:space="preserve">تعزيز دور </w:t>
      </w:r>
      <w:proofErr w:type="spellStart"/>
      <w:r w:rsidRPr="004F6AF4">
        <w:rPr>
          <w:rFonts w:ascii="Traditional Arabic" w:hAnsi="Traditional Arabic" w:cs="Traditional Arabic"/>
          <w:b/>
          <w:bCs/>
          <w:sz w:val="28"/>
          <w:szCs w:val="28"/>
          <w:rtl/>
        </w:rPr>
        <w:t>الفنتك</w:t>
      </w:r>
      <w:proofErr w:type="spellEnd"/>
      <w:r w:rsidRPr="004F6AF4">
        <w:rPr>
          <w:rFonts w:ascii="Traditional Arabic" w:hAnsi="Traditional Arabic" w:cs="Traditional Arabic"/>
          <w:b/>
          <w:bCs/>
          <w:sz w:val="28"/>
          <w:szCs w:val="28"/>
          <w:rtl/>
        </w:rPr>
        <w:t xml:space="preserve"> والابتكار المالي: من خلال إنشاء بيئة تنظيمية داعمة للابتكار، وتوفير البيئات التجريبية (</w:t>
      </w:r>
      <w:proofErr w:type="spellStart"/>
      <w:r w:rsidRPr="004F6AF4">
        <w:rPr>
          <w:rFonts w:ascii="Traditional Arabic" w:hAnsi="Traditional Arabic" w:cs="Traditional Arabic"/>
          <w:b/>
          <w:bCs/>
          <w:sz w:val="28"/>
          <w:szCs w:val="28"/>
          <w:rtl/>
        </w:rPr>
        <w:t>Regulatory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Sandboxes</w:t>
      </w:r>
      <w:proofErr w:type="spellEnd"/>
      <w:r w:rsidRPr="004F6AF4">
        <w:rPr>
          <w:rFonts w:ascii="Traditional Arabic" w:hAnsi="Traditional Arabic" w:cs="Traditional Arabic"/>
          <w:b/>
          <w:bCs/>
          <w:sz w:val="28"/>
          <w:szCs w:val="28"/>
          <w:rtl/>
        </w:rPr>
        <w:t>) التي تمكن الشركات الناشئة من تجربة منتجاتها وخدماتها الجديدة في بيئة محكومة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IMF, 2024)، وتقديم الحوافز والدعم لشركات </w:t>
      </w:r>
      <w:proofErr w:type="spellStart"/>
      <w:r w:rsidRPr="004F6AF4">
        <w:rPr>
          <w:rFonts w:ascii="Traditional Arabic" w:hAnsi="Traditional Arabic" w:cs="Traditional Arabic"/>
          <w:b/>
          <w:bCs/>
          <w:sz w:val="28"/>
          <w:szCs w:val="28"/>
          <w:rtl/>
        </w:rPr>
        <w:t>الفنتك</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 وقد شهد القطاع نمواً ملحوظاً حيث يعمل حالياً 72 شركة فنتك في مجال المدفوعات، مما يعكس بيئة تنافسية وابتكارية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xml:space="preserve">, 2025;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4D6E319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تحسين كفاءة القطاع المالي وتنافسيته: من خلال تشجيع المؤسسات المالية على تبني أحدث التقنيات لتحسين عملياتها وخفض تكاليفها وتحسين تجربة عملائها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بحيث تصبح المؤسسات المالية السعودية قادرة على المنافسة عالمياً وجذب العملاء والاستثمارات من مختلف أنحاء العالم (IMF,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1770EF9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تعزيز الأمن السيبراني وحماية البيانات: من خلال تطوير الأطر التنظيمية والمعايير الفنية التي تضمن حماية بيانات العملاء وأمن المعاملات المالية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ENISA, 2024)، وبناء قدرات وطنية في مجال الأمن السيبراني (IMF, 2024;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2024)، بحيث تكون المملكة من الدول الرائدة عالمياً في هذا المجال الحيوي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62A3E16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2.1.4.2 الإنجازات المحققة في التحول المالي الرقمي</w:t>
      </w:r>
    </w:p>
    <w:p w14:paraId="440BD23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حققت المملكة العربية السعودية تقدماً ملموساً في مسيرة التحول المالي الرقمي ضمن رؤية 2030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IMF, 2024)، حيث تتمثل أبرز هذه الإنجازات فيما يلي:</w:t>
      </w:r>
    </w:p>
    <w:p w14:paraId="148C43A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نمو ملحوظ في المدفوعات الرقمية: حيث عالج نظام سريع 593 مليون معاملة في عام 2024، بينما وصلت نسبة المدفوعات الإلكترونية إلى 79% من إجمالي المعاملات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مع تزايد استخدام تقنيات الدفع بدون بطاقة التي تعتمد على الترميز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lastRenderedPageBreak/>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مما يعكس التحول الكبير نحو الاقتصاد الرقمي (IMF,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640B1B1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توسع النظام البيئي </w:t>
      </w:r>
      <w:proofErr w:type="spellStart"/>
      <w:r w:rsidRPr="004F6AF4">
        <w:rPr>
          <w:rFonts w:ascii="Traditional Arabic" w:hAnsi="Traditional Arabic" w:cs="Traditional Arabic"/>
          <w:b/>
          <w:bCs/>
          <w:sz w:val="28"/>
          <w:szCs w:val="28"/>
          <w:rtl/>
        </w:rPr>
        <w:t>للفنتك</w:t>
      </w:r>
      <w:proofErr w:type="spellEnd"/>
      <w:r w:rsidRPr="004F6AF4">
        <w:rPr>
          <w:rFonts w:ascii="Traditional Arabic" w:hAnsi="Traditional Arabic" w:cs="Traditional Arabic"/>
          <w:b/>
          <w:bCs/>
          <w:sz w:val="28"/>
          <w:szCs w:val="28"/>
          <w:rtl/>
        </w:rPr>
        <w:t xml:space="preserve">: من خلال زيادة عدد شركات </w:t>
      </w:r>
      <w:proofErr w:type="spellStart"/>
      <w:r w:rsidRPr="004F6AF4">
        <w:rPr>
          <w:rFonts w:ascii="Traditional Arabic" w:hAnsi="Traditional Arabic" w:cs="Traditional Arabic"/>
          <w:b/>
          <w:bCs/>
          <w:sz w:val="28"/>
          <w:szCs w:val="28"/>
          <w:rtl/>
        </w:rPr>
        <w:t>الفنتك</w:t>
      </w:r>
      <w:proofErr w:type="spellEnd"/>
      <w:r w:rsidRPr="004F6AF4">
        <w:rPr>
          <w:rFonts w:ascii="Traditional Arabic" w:hAnsi="Traditional Arabic" w:cs="Traditional Arabic"/>
          <w:b/>
          <w:bCs/>
          <w:sz w:val="28"/>
          <w:szCs w:val="28"/>
          <w:rtl/>
        </w:rPr>
        <w:t xml:space="preserve"> العاملة في المملكة، وتنوع الخدمات المقدمة لتشمل المدفوعات، والتمويل، والاستثمار، والتأمين، وغيرها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xml:space="preserve">, 2025;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مما يثري الخيارات المتاحة للمستهلكين ويعزز المنافسة والابتكار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191AB2D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إشادة دولية بالتقدم المحرز: حيث أشاد صندوق النقد الدولي بالتقدم الذي حققته المملكة في تحول المدفوعات الوطنية، ورفع معدل الشمول المالي إلى 94% من السكان البالغين، وإصلاح الأطر القانونية والتنظيمية لدعم الابتكار المالي (IMF, 2024)، مما يضع المملكة في مصاف الدول الرائدة في هذا المجال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304AF2FD"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نمو متوقع للاقتصاد الرقمي: حيث تشير التوقعات إلى وصول قيمة الاقتصاد الرقمي في المملكة إلى 87 مليار دولار بحلول عام 2025، مع معدل انتشار رقمي يبلغ 99%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 مما يعكس حجم الفرص الهائلة المتاحة في هذا القطاع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w:t>
      </w:r>
      <w:r w:rsidRPr="004F6AF4">
        <w:rPr>
          <w:rFonts w:ascii="Traditional Arabic" w:hAnsi="Traditional Arabic" w:cs="Traditional Arabic" w:hint="cs"/>
          <w:b/>
          <w:bCs/>
          <w:sz w:val="28"/>
          <w:szCs w:val="28"/>
          <w:rtl/>
        </w:rPr>
        <w:t>).</w:t>
      </w:r>
    </w:p>
    <w:p w14:paraId="46589F70"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2.1.4.3 دور تقنية الترميز في تحقيق أهداف رؤية 2030</w:t>
      </w:r>
    </w:p>
    <w:p w14:paraId="50E9691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تساهم تقنية الترميز بشكل مباشر في تحقيق العديد من أهداف رؤية 2030 في القطاع المالي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حيث يتمثل هذا الدور فيما يلي:</w:t>
      </w:r>
    </w:p>
    <w:p w14:paraId="2572B78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تعزيز الأمن السيبراني: من خلال توفير طبقة حماية إضافية للبيانات الحساسة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2024)، بما يتماشى مع أهداف الرؤية في بناء فضاء إلكتروني آمن يحمي المواطنين والمستثمرين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ENISA, 2024)، ويعزز من ثقتهم في الخدمات المالية الرقمية (IMF, 2024;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3CF6C99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تحسين كفاءة العمليات المالية: عبر تسريع المعاملات وخفض التكاليف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بما يساهم في تعزيز تنافسية المؤسسات المالية السعودية ويجعلها أكثر جاذبية للعملاء والمستثمرين على المستوى الإقليمي والعالمي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62A1B8F8"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توسيع نطاق الشمول المالي: من خلال تمكين الملكية الجزئية للأصول وخفض حواجز الدخول للاستثمار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Multiple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Authors</w:t>
      </w:r>
      <w:proofErr w:type="spellEnd"/>
      <w:r w:rsidRPr="004F6AF4">
        <w:rPr>
          <w:rFonts w:ascii="Traditional Arabic" w:hAnsi="Traditional Arabic" w:cs="Traditional Arabic"/>
          <w:b/>
          <w:bCs/>
          <w:sz w:val="28"/>
          <w:szCs w:val="28"/>
          <w:rtl/>
        </w:rPr>
        <w:t>, 2025)، بما يفتح المجال أمام شرائح أوسع من المجتمع للمشاركة في الأسواق المالية والاستفادة من فرص الاستثمار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IMF, 2024</w:t>
      </w:r>
      <w:r w:rsidRPr="004F6AF4">
        <w:rPr>
          <w:rFonts w:ascii="Traditional Arabic" w:hAnsi="Traditional Arabic" w:cs="Traditional Arabic" w:hint="cs"/>
          <w:b/>
          <w:bCs/>
          <w:sz w:val="28"/>
          <w:szCs w:val="28"/>
          <w:rtl/>
        </w:rPr>
        <w:t>).</w:t>
      </w:r>
    </w:p>
    <w:p w14:paraId="7141E49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دعم الابتكار المالي: عبر إتاحة إمكانيات جديدة لتطوير منتجات وخدمات مالية مبتكرة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بما يعزز من النظام البيئي </w:t>
      </w:r>
      <w:proofErr w:type="spellStart"/>
      <w:r w:rsidRPr="004F6AF4">
        <w:rPr>
          <w:rFonts w:ascii="Traditional Arabic" w:hAnsi="Traditional Arabic" w:cs="Traditional Arabic"/>
          <w:b/>
          <w:bCs/>
          <w:sz w:val="28"/>
          <w:szCs w:val="28"/>
          <w:rtl/>
        </w:rPr>
        <w:t>للفنتك</w:t>
      </w:r>
      <w:proofErr w:type="spellEnd"/>
      <w:r w:rsidRPr="004F6AF4">
        <w:rPr>
          <w:rFonts w:ascii="Traditional Arabic" w:hAnsi="Traditional Arabic" w:cs="Traditional Arabic"/>
          <w:b/>
          <w:bCs/>
          <w:sz w:val="28"/>
          <w:szCs w:val="28"/>
          <w:rtl/>
        </w:rPr>
        <w:t xml:space="preserve"> ويجعل المملكة مركزاً إقليمياً للابتكار المالي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07ECA27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جذب الاستثمارات: من خلال توفير بنية تحتية مالية رقمية متطورة تستقطب الاستثمارات المحلية والأجنبية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IMF, 2024)، وتعزز من مكانة المملكة كوجهة استثمارية جاذبة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w:t>
      </w:r>
      <w:r w:rsidRPr="004F6AF4">
        <w:rPr>
          <w:rFonts w:ascii="Traditional Arabic" w:hAnsi="Traditional Arabic" w:cs="Traditional Arabic" w:hint="cs"/>
          <w:b/>
          <w:bCs/>
          <w:sz w:val="28"/>
          <w:szCs w:val="28"/>
          <w:rtl/>
        </w:rPr>
        <w:t>.</w:t>
      </w:r>
    </w:p>
    <w:p w14:paraId="1C22A9F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 الأسس النظرية المفسّرة للعلاقة بين تقنية الترميز والأمن السيبراني وكفاءة العمليات المالية</w:t>
      </w:r>
    </w:p>
    <w:p w14:paraId="78E0568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تستند الدراسة الحالية إلى مجموعة من النظريات والأطر المفاهيمية التي تفسر كيفية تأثير تقنية الترميز على كل من الأمن السيبراني وكفاءة العمليات المالية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 حيث توفر هذه النظريات الأساس المنطقي والعلمي لفهم الآليات والعمليات التي من خلالها تحدث هذه التأثيرات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بحيث لا تقتصر الدراسة على مجرد رصد العلاقات الظاهرة بل تسعى لفهم الديناميكيات الكامنة وراءها من خلال عدسات نظرية متعددة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xml:space="preserve">, 2025). وتتكامل هذه النظريات </w:t>
      </w:r>
      <w:r w:rsidRPr="004F6AF4">
        <w:rPr>
          <w:rFonts w:ascii="Traditional Arabic" w:hAnsi="Traditional Arabic" w:cs="Traditional Arabic"/>
          <w:b/>
          <w:bCs/>
          <w:sz w:val="28"/>
          <w:szCs w:val="28"/>
          <w:rtl/>
        </w:rPr>
        <w:lastRenderedPageBreak/>
        <w:t>لتقديم فهم شامل ومتعدد الأبعاد للظاهرة محل الدراسة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بحيث تغطي الجوانب التقنية والاقتصادية والتنظيمية والسلوكية المرتبطة بتبني وتطبيق تقنية الترميز في المؤسسات المالية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5164706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2.1.5.1 نظرية أمن المعلومات (</w:t>
      </w:r>
      <w:proofErr w:type="spellStart"/>
      <w:r w:rsidRPr="004F6AF4">
        <w:rPr>
          <w:rFonts w:ascii="Traditional Arabic" w:hAnsi="Traditional Arabic" w:cs="Traditional Arabic"/>
          <w:b/>
          <w:bCs/>
          <w:sz w:val="28"/>
          <w:szCs w:val="28"/>
          <w:rtl/>
        </w:rPr>
        <w:t>Information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Theory</w:t>
      </w:r>
      <w:proofErr w:type="spellEnd"/>
      <w:r w:rsidRPr="004F6AF4">
        <w:rPr>
          <w:rFonts w:ascii="Traditional Arabic" w:hAnsi="Traditional Arabic" w:cs="Traditional Arabic"/>
          <w:b/>
          <w:bCs/>
          <w:sz w:val="28"/>
          <w:szCs w:val="28"/>
          <w:rtl/>
        </w:rPr>
        <w:t>)</w:t>
      </w:r>
    </w:p>
    <w:p w14:paraId="153906E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تقدم نظرية أمن المعلومات إطاراً أساسياً لفهم كيفية حماية الأصول المعلوماتية من التهديدات المختلفة (ENISA, 2024;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2024)، حيث ترتكز هذه النظرية على ثلاثية CIA التي تمثل الأهداف الرئيسية لأمن المعلومات، وهي السرية (</w:t>
      </w:r>
      <w:proofErr w:type="spellStart"/>
      <w:r w:rsidRPr="004F6AF4">
        <w:rPr>
          <w:rFonts w:ascii="Traditional Arabic" w:hAnsi="Traditional Arabic" w:cs="Traditional Arabic"/>
          <w:b/>
          <w:bCs/>
          <w:sz w:val="28"/>
          <w:szCs w:val="28"/>
          <w:rtl/>
        </w:rPr>
        <w:t>Confidentiality</w:t>
      </w:r>
      <w:proofErr w:type="spellEnd"/>
      <w:r w:rsidRPr="004F6AF4">
        <w:rPr>
          <w:rFonts w:ascii="Traditional Arabic" w:hAnsi="Traditional Arabic" w:cs="Traditional Arabic"/>
          <w:b/>
          <w:bCs/>
          <w:sz w:val="28"/>
          <w:szCs w:val="28"/>
          <w:rtl/>
        </w:rPr>
        <w:t>) والسلامة (</w:t>
      </w:r>
      <w:proofErr w:type="spellStart"/>
      <w:r w:rsidRPr="004F6AF4">
        <w:rPr>
          <w:rFonts w:ascii="Traditional Arabic" w:hAnsi="Traditional Arabic" w:cs="Traditional Arabic"/>
          <w:b/>
          <w:bCs/>
          <w:sz w:val="28"/>
          <w:szCs w:val="28"/>
          <w:rtl/>
        </w:rPr>
        <w:t>Integrity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والتوافرية</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Availability</w:t>
      </w:r>
      <w:proofErr w:type="spellEnd"/>
      <w:r w:rsidRPr="004F6AF4">
        <w:rPr>
          <w:rFonts w:ascii="Traditional Arabic" w:hAnsi="Traditional Arabic" w:cs="Traditional Arabic"/>
          <w:b/>
          <w:bCs/>
          <w:sz w:val="28"/>
          <w:szCs w:val="28"/>
          <w:rtl/>
        </w:rPr>
        <w:t xml:space="preserve">)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بحيث يجب أن تحقق أي منظومة أمنية فعالة هذه الأهداف الثلاثة بشكل متوازن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وفي سياق تقنية الترميز، تتحقق السرية من خلال استبدال البيانات الحساسة برموز عديمة القيمة في حال اعتراضها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مما يمنع الوصول غير المصرح به للمعلومات حتى في حال اختراق النظام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وهذا يمثل طبقة حماية إضافية تكمل وتعزز من فعالية التشفير التقليدي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أما السلامة فتتحقق من خلال السجلات غير القابلة للتعديل في أنظمة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التي تعتمد عليها العديد من تطبيقات الترميز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بحيث يمكن التحقق من أن البيانات لم تتعرض للتلاعب أو التعديل غير المصرح به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وبالنسبة </w:t>
      </w:r>
      <w:proofErr w:type="spellStart"/>
      <w:r w:rsidRPr="004F6AF4">
        <w:rPr>
          <w:rFonts w:ascii="Traditional Arabic" w:hAnsi="Traditional Arabic" w:cs="Traditional Arabic"/>
          <w:b/>
          <w:bCs/>
          <w:sz w:val="28"/>
          <w:szCs w:val="28"/>
          <w:rtl/>
        </w:rPr>
        <w:t>للتوافرية</w:t>
      </w:r>
      <w:proofErr w:type="spellEnd"/>
      <w:r w:rsidRPr="004F6AF4">
        <w:rPr>
          <w:rFonts w:ascii="Traditional Arabic" w:hAnsi="Traditional Arabic" w:cs="Traditional Arabic"/>
          <w:b/>
          <w:bCs/>
          <w:sz w:val="28"/>
          <w:szCs w:val="28"/>
          <w:rtl/>
        </w:rPr>
        <w:t>، فإن الطبيعة الموزعة للأنظمة اللامركزية تضمن استمرارية الخدمة حتى في حال تعطل بعض العقد في الشبكة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مما يحسن من موثوقية واستمرارية الخدمات المالية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47CA531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2.1.5.2 نظرية تكاليف المعاملات (</w:t>
      </w:r>
      <w:proofErr w:type="spellStart"/>
      <w:r w:rsidRPr="004F6AF4">
        <w:rPr>
          <w:rFonts w:ascii="Traditional Arabic" w:hAnsi="Traditional Arabic" w:cs="Traditional Arabic"/>
          <w:b/>
          <w:bCs/>
          <w:sz w:val="28"/>
          <w:szCs w:val="28"/>
          <w:rtl/>
        </w:rPr>
        <w:t>Transaction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Cost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Economics</w:t>
      </w:r>
      <w:proofErr w:type="spellEnd"/>
      <w:r w:rsidRPr="004F6AF4">
        <w:rPr>
          <w:rFonts w:ascii="Traditional Arabic" w:hAnsi="Traditional Arabic" w:cs="Traditional Arabic"/>
          <w:b/>
          <w:bCs/>
          <w:sz w:val="28"/>
          <w:szCs w:val="28"/>
          <w:rtl/>
        </w:rPr>
        <w:t>)</w:t>
      </w:r>
    </w:p>
    <w:p w14:paraId="37E343C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 xml:space="preserve">طور </w:t>
      </w:r>
      <w:proofErr w:type="spellStart"/>
      <w:r w:rsidRPr="004F6AF4">
        <w:rPr>
          <w:rFonts w:ascii="Traditional Arabic" w:hAnsi="Traditional Arabic" w:cs="Traditional Arabic"/>
          <w:b/>
          <w:bCs/>
          <w:sz w:val="28"/>
          <w:szCs w:val="28"/>
          <w:rtl/>
        </w:rPr>
        <w:t>ويليامسون</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Williamson</w:t>
      </w:r>
      <w:proofErr w:type="spellEnd"/>
      <w:r w:rsidRPr="004F6AF4">
        <w:rPr>
          <w:rFonts w:ascii="Traditional Arabic" w:hAnsi="Traditional Arabic" w:cs="Traditional Arabic"/>
          <w:b/>
          <w:bCs/>
          <w:sz w:val="28"/>
          <w:szCs w:val="28"/>
          <w:rtl/>
        </w:rPr>
        <w:t>) نظرية تكاليف المعاملات لتفسير كيف تؤثر خصائص المعاملات على التكاليف المرتبطة بها وعلى الهياكل التنظيمية المناسبة لإدارتها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حيث حدد ثلاثة أنواع رئيسية من تكاليف المعاملات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وهي تكاليف البحث والمعلومات (</w:t>
      </w:r>
      <w:proofErr w:type="spellStart"/>
      <w:r w:rsidRPr="004F6AF4">
        <w:rPr>
          <w:rFonts w:ascii="Traditional Arabic" w:hAnsi="Traditional Arabic" w:cs="Traditional Arabic"/>
          <w:b/>
          <w:bCs/>
          <w:sz w:val="28"/>
          <w:szCs w:val="28"/>
          <w:rtl/>
        </w:rPr>
        <w:t>Search</w:t>
      </w:r>
      <w:proofErr w:type="spellEnd"/>
      <w:r w:rsidRPr="004F6AF4">
        <w:rPr>
          <w:rFonts w:ascii="Traditional Arabic" w:hAnsi="Traditional Arabic" w:cs="Traditional Arabic"/>
          <w:b/>
          <w:bCs/>
          <w:sz w:val="28"/>
          <w:szCs w:val="28"/>
          <w:rtl/>
        </w:rPr>
        <w:t xml:space="preserve"> and </w:t>
      </w:r>
      <w:proofErr w:type="spellStart"/>
      <w:r w:rsidRPr="004F6AF4">
        <w:rPr>
          <w:rFonts w:ascii="Traditional Arabic" w:hAnsi="Traditional Arabic" w:cs="Traditional Arabic"/>
          <w:b/>
          <w:bCs/>
          <w:sz w:val="28"/>
          <w:szCs w:val="28"/>
          <w:rtl/>
        </w:rPr>
        <w:t>Information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Costs</w:t>
      </w:r>
      <w:proofErr w:type="spellEnd"/>
      <w:r w:rsidRPr="004F6AF4">
        <w:rPr>
          <w:rFonts w:ascii="Traditional Arabic" w:hAnsi="Traditional Arabic" w:cs="Traditional Arabic"/>
          <w:b/>
          <w:bCs/>
          <w:sz w:val="28"/>
          <w:szCs w:val="28"/>
          <w:rtl/>
        </w:rPr>
        <w:t>) التي تتكبدها الأطراف للعثور على بعضها البعض والحصول على المعلومات اللازمة لاتخاذ القرارات، وتكاليف المفاوضة والتعاقد (</w:t>
      </w:r>
      <w:proofErr w:type="spellStart"/>
      <w:r w:rsidRPr="004F6AF4">
        <w:rPr>
          <w:rFonts w:ascii="Traditional Arabic" w:hAnsi="Traditional Arabic" w:cs="Traditional Arabic"/>
          <w:b/>
          <w:bCs/>
          <w:sz w:val="28"/>
          <w:szCs w:val="28"/>
          <w:rtl/>
        </w:rPr>
        <w:t>Bargaining</w:t>
      </w:r>
      <w:proofErr w:type="spellEnd"/>
      <w:r w:rsidRPr="004F6AF4">
        <w:rPr>
          <w:rFonts w:ascii="Traditional Arabic" w:hAnsi="Traditional Arabic" w:cs="Traditional Arabic"/>
          <w:b/>
          <w:bCs/>
          <w:sz w:val="28"/>
          <w:szCs w:val="28"/>
          <w:rtl/>
        </w:rPr>
        <w:t xml:space="preserve"> and </w:t>
      </w:r>
      <w:proofErr w:type="spellStart"/>
      <w:r w:rsidRPr="004F6AF4">
        <w:rPr>
          <w:rFonts w:ascii="Traditional Arabic" w:hAnsi="Traditional Arabic" w:cs="Traditional Arabic"/>
          <w:b/>
          <w:bCs/>
          <w:sz w:val="28"/>
          <w:szCs w:val="28"/>
          <w:rtl/>
        </w:rPr>
        <w:t>Contracting</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Costs</w:t>
      </w:r>
      <w:proofErr w:type="spellEnd"/>
      <w:r w:rsidRPr="004F6AF4">
        <w:rPr>
          <w:rFonts w:ascii="Traditional Arabic" w:hAnsi="Traditional Arabic" w:cs="Traditional Arabic"/>
          <w:b/>
          <w:bCs/>
          <w:sz w:val="28"/>
          <w:szCs w:val="28"/>
          <w:rtl/>
        </w:rPr>
        <w:t>) التي تنشأ من التفاوض على شروط الصفقة وصياغة العقود، وتكاليف المراقبة والإنفاذ (</w:t>
      </w:r>
      <w:proofErr w:type="spellStart"/>
      <w:r w:rsidRPr="004F6AF4">
        <w:rPr>
          <w:rFonts w:ascii="Traditional Arabic" w:hAnsi="Traditional Arabic" w:cs="Traditional Arabic"/>
          <w:b/>
          <w:bCs/>
          <w:sz w:val="28"/>
          <w:szCs w:val="28"/>
          <w:rtl/>
        </w:rPr>
        <w:t>Monitoring</w:t>
      </w:r>
      <w:proofErr w:type="spellEnd"/>
      <w:r w:rsidRPr="004F6AF4">
        <w:rPr>
          <w:rFonts w:ascii="Traditional Arabic" w:hAnsi="Traditional Arabic" w:cs="Traditional Arabic"/>
          <w:b/>
          <w:bCs/>
          <w:sz w:val="28"/>
          <w:szCs w:val="28"/>
          <w:rtl/>
        </w:rPr>
        <w:t xml:space="preserve"> and </w:t>
      </w:r>
      <w:proofErr w:type="spellStart"/>
      <w:r w:rsidRPr="004F6AF4">
        <w:rPr>
          <w:rFonts w:ascii="Traditional Arabic" w:hAnsi="Traditional Arabic" w:cs="Traditional Arabic"/>
          <w:b/>
          <w:bCs/>
          <w:sz w:val="28"/>
          <w:szCs w:val="28"/>
          <w:rtl/>
        </w:rPr>
        <w:t>Enforcement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Costs</w:t>
      </w:r>
      <w:proofErr w:type="spellEnd"/>
      <w:r w:rsidRPr="004F6AF4">
        <w:rPr>
          <w:rFonts w:ascii="Traditional Arabic" w:hAnsi="Traditional Arabic" w:cs="Traditional Arabic"/>
          <w:b/>
          <w:bCs/>
          <w:sz w:val="28"/>
          <w:szCs w:val="28"/>
          <w:rtl/>
        </w:rPr>
        <w:t>) المرتبطة بضمان التزام الأطراف بشروط الاتفاق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وتساهم تقنية الترميز، خاصة عندما تكون مبنية على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في خفض هذه التكاليف الثلاثة بشكل جوهري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حيث توفر الشفافية الفورية للمعلومات مما يقلل من تكاليف البحث والمعلومات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وتمكن العقود الذكية من أتمتة عمليات التعاقد والتنفيذ مما يخفض تكاليف المفاوضة والتعاقد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2025)، بينما يوفر التنفيذ الذاتي للعقود الذكية آلية مضمونة للإنفاذ تلغي الحاجة للمراقبة اليدوية وتقلل من تكاليف المراقبة والإنفاذ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وهذا يفسر كيف تحقق تقنية الترميز وفورات كبيرة في تكاليف العمليات المالية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w:t>
      </w:r>
      <w:r w:rsidRPr="004F6AF4">
        <w:rPr>
          <w:rFonts w:ascii="Traditional Arabic" w:hAnsi="Traditional Arabic" w:cs="Traditional Arabic" w:hint="cs"/>
          <w:b/>
          <w:bCs/>
          <w:sz w:val="28"/>
          <w:szCs w:val="28"/>
          <w:rtl/>
        </w:rPr>
        <w:t>).</w:t>
      </w:r>
    </w:p>
    <w:p w14:paraId="24ACAEC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2.1.5.3 نظرية إدارة المخاطر (</w:t>
      </w:r>
      <w:proofErr w:type="spellStart"/>
      <w:r w:rsidRPr="004F6AF4">
        <w:rPr>
          <w:rFonts w:ascii="Traditional Arabic" w:hAnsi="Traditional Arabic" w:cs="Traditional Arabic"/>
          <w:b/>
          <w:bCs/>
          <w:sz w:val="28"/>
          <w:szCs w:val="28"/>
          <w:rtl/>
        </w:rPr>
        <w:t>Risk</w:t>
      </w:r>
      <w:proofErr w:type="spellEnd"/>
      <w:r w:rsidRPr="004F6AF4">
        <w:rPr>
          <w:rFonts w:ascii="Traditional Arabic" w:hAnsi="Traditional Arabic" w:cs="Traditional Arabic"/>
          <w:b/>
          <w:bCs/>
          <w:sz w:val="28"/>
          <w:szCs w:val="28"/>
          <w:rtl/>
        </w:rPr>
        <w:t xml:space="preserve"> Management </w:t>
      </w:r>
      <w:proofErr w:type="spellStart"/>
      <w:r w:rsidRPr="004F6AF4">
        <w:rPr>
          <w:rFonts w:ascii="Traditional Arabic" w:hAnsi="Traditional Arabic" w:cs="Traditional Arabic"/>
          <w:b/>
          <w:bCs/>
          <w:sz w:val="28"/>
          <w:szCs w:val="28"/>
          <w:rtl/>
        </w:rPr>
        <w:t>Theory</w:t>
      </w:r>
      <w:proofErr w:type="spellEnd"/>
      <w:r w:rsidRPr="004F6AF4">
        <w:rPr>
          <w:rFonts w:ascii="Traditional Arabic" w:hAnsi="Traditional Arabic" w:cs="Traditional Arabic"/>
          <w:b/>
          <w:bCs/>
          <w:sz w:val="28"/>
          <w:szCs w:val="28"/>
          <w:rtl/>
        </w:rPr>
        <w:t>)</w:t>
      </w:r>
    </w:p>
    <w:p w14:paraId="0FBA78BE"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توفر نظرية إدارة المخاطر إطاراً منظماً لتحديد المخاطر المحتملة وتقييمها واتخاذ الإجراءات المناسبة للتخفيف منها أو نقلها أو قبولها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 ENISA, 2024)، حيث تمر عملية إدارة المخاطر بمراحل متعددة تشمل تحديد المخاطر (</w:t>
      </w:r>
      <w:proofErr w:type="spellStart"/>
      <w:r w:rsidRPr="004F6AF4">
        <w:rPr>
          <w:rFonts w:ascii="Traditional Arabic" w:hAnsi="Traditional Arabic" w:cs="Traditional Arabic"/>
          <w:b/>
          <w:bCs/>
          <w:sz w:val="28"/>
          <w:szCs w:val="28"/>
          <w:rtl/>
        </w:rPr>
        <w:t>Risk</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Identification</w:t>
      </w:r>
      <w:proofErr w:type="spellEnd"/>
      <w:r w:rsidRPr="004F6AF4">
        <w:rPr>
          <w:rFonts w:ascii="Traditional Arabic" w:hAnsi="Traditional Arabic" w:cs="Traditional Arabic"/>
          <w:b/>
          <w:bCs/>
          <w:sz w:val="28"/>
          <w:szCs w:val="28"/>
          <w:rtl/>
        </w:rPr>
        <w:t>)، وتقييم المخاطر (</w:t>
      </w:r>
      <w:proofErr w:type="spellStart"/>
      <w:r w:rsidRPr="004F6AF4">
        <w:rPr>
          <w:rFonts w:ascii="Traditional Arabic" w:hAnsi="Traditional Arabic" w:cs="Traditional Arabic"/>
          <w:b/>
          <w:bCs/>
          <w:sz w:val="28"/>
          <w:szCs w:val="28"/>
          <w:rtl/>
        </w:rPr>
        <w:t>Risk</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Assessment</w:t>
      </w:r>
      <w:proofErr w:type="spellEnd"/>
      <w:r w:rsidRPr="004F6AF4">
        <w:rPr>
          <w:rFonts w:ascii="Traditional Arabic" w:hAnsi="Traditional Arabic" w:cs="Traditional Arabic"/>
          <w:b/>
          <w:bCs/>
          <w:sz w:val="28"/>
          <w:szCs w:val="28"/>
          <w:rtl/>
        </w:rPr>
        <w:t>)، ومعالجة المخاطر (</w:t>
      </w:r>
      <w:proofErr w:type="spellStart"/>
      <w:r w:rsidRPr="004F6AF4">
        <w:rPr>
          <w:rFonts w:ascii="Traditional Arabic" w:hAnsi="Traditional Arabic" w:cs="Traditional Arabic"/>
          <w:b/>
          <w:bCs/>
          <w:sz w:val="28"/>
          <w:szCs w:val="28"/>
          <w:rtl/>
        </w:rPr>
        <w:t>Risk</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Treatment</w:t>
      </w:r>
      <w:proofErr w:type="spellEnd"/>
      <w:r w:rsidRPr="004F6AF4">
        <w:rPr>
          <w:rFonts w:ascii="Traditional Arabic" w:hAnsi="Traditional Arabic" w:cs="Traditional Arabic"/>
          <w:b/>
          <w:bCs/>
          <w:sz w:val="28"/>
          <w:szCs w:val="28"/>
          <w:rtl/>
        </w:rPr>
        <w:t>)، ومراقبة المخاطر (</w:t>
      </w:r>
      <w:proofErr w:type="spellStart"/>
      <w:r w:rsidRPr="004F6AF4">
        <w:rPr>
          <w:rFonts w:ascii="Traditional Arabic" w:hAnsi="Traditional Arabic" w:cs="Traditional Arabic"/>
          <w:b/>
          <w:bCs/>
          <w:sz w:val="28"/>
          <w:szCs w:val="28"/>
          <w:rtl/>
        </w:rPr>
        <w:t>Risk</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lastRenderedPageBreak/>
        <w:t>Monitoring</w:t>
      </w:r>
      <w:proofErr w:type="spellEnd"/>
      <w:r w:rsidRPr="004F6AF4">
        <w:rPr>
          <w:rFonts w:ascii="Traditional Arabic" w:hAnsi="Traditional Arabic" w:cs="Traditional Arabic"/>
          <w:b/>
          <w:bCs/>
          <w:sz w:val="28"/>
          <w:szCs w:val="28"/>
          <w:rtl/>
        </w:rPr>
        <w:t xml:space="preserve">)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وفي سياق تبني تقنية الترميز، يجب فهم أن هذه التقنية لا تلغي المخاطر بل تغير من طبيعتها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2024)، حيث تنتقل المخاطر من المخاطر التقليدية مثل اختراق البيانات واحتيال البطاقات الائتمانية إلى مخاطر جديدة تتعلق بأمن منصات الترميز نفسها، وسلامة وأمان العقود الذكية، وحماية المفاتيح الخاصة، والاعتماد على أطراف ثالثة لإدارة البنية التحتية للترميز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لذا فإن التطبيق الناجح للترميز يتطلب فهماً عميقاً لهذا التحول في طبيعة المخاطر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ENISA, 2024)، وتصميم أطر إدارة مخاطر متطورة تأخذ في الاعتبار الخصائص الفريدة للتقنيات الجديدة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 وتطوير ضوابط وإجراءات مناسبة للتخفيف من المخاطر الناشئة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IMF, 2024)</w:t>
      </w:r>
      <w:r w:rsidRPr="004F6AF4">
        <w:rPr>
          <w:rFonts w:ascii="Traditional Arabic" w:hAnsi="Traditional Arabic" w:cs="Traditional Arabic" w:hint="cs"/>
          <w:b/>
          <w:bCs/>
          <w:sz w:val="28"/>
          <w:szCs w:val="28"/>
          <w:rtl/>
        </w:rPr>
        <w:t>.</w:t>
      </w:r>
    </w:p>
    <w:p w14:paraId="7FB6C013"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2.1.5.4 نموذج قبول التقنية (</w:t>
      </w:r>
      <w:proofErr w:type="spellStart"/>
      <w:r w:rsidRPr="004F6AF4">
        <w:rPr>
          <w:rFonts w:ascii="Traditional Arabic" w:hAnsi="Traditional Arabic" w:cs="Traditional Arabic"/>
          <w:b/>
          <w:bCs/>
          <w:sz w:val="28"/>
          <w:szCs w:val="28"/>
          <w:rtl/>
        </w:rPr>
        <w:t>Technology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Acceptance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Model</w:t>
      </w:r>
      <w:proofErr w:type="spellEnd"/>
      <w:r w:rsidRPr="004F6AF4">
        <w:rPr>
          <w:rFonts w:ascii="Traditional Arabic" w:hAnsi="Traditional Arabic" w:cs="Traditional Arabic"/>
          <w:b/>
          <w:bCs/>
          <w:sz w:val="28"/>
          <w:szCs w:val="28"/>
          <w:rtl/>
        </w:rPr>
        <w:t xml:space="preserve"> - TAM)</w:t>
      </w:r>
    </w:p>
    <w:p w14:paraId="20F39BC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طور ديفيس (</w:t>
      </w:r>
      <w:proofErr w:type="spellStart"/>
      <w:r w:rsidRPr="004F6AF4">
        <w:rPr>
          <w:rFonts w:ascii="Traditional Arabic" w:hAnsi="Traditional Arabic" w:cs="Traditional Arabic"/>
          <w:b/>
          <w:bCs/>
          <w:sz w:val="28"/>
          <w:szCs w:val="28"/>
          <w:rtl/>
        </w:rPr>
        <w:t>Davis</w:t>
      </w:r>
      <w:proofErr w:type="spellEnd"/>
      <w:r w:rsidRPr="004F6AF4">
        <w:rPr>
          <w:rFonts w:ascii="Traditional Arabic" w:hAnsi="Traditional Arabic" w:cs="Traditional Arabic"/>
          <w:b/>
          <w:bCs/>
          <w:sz w:val="28"/>
          <w:szCs w:val="28"/>
          <w:rtl/>
        </w:rPr>
        <w:t>) نموذج قبول التقنية لتفسير العوامل التي تؤثر على قرارات الأفراد والمؤسسات بتبني أو رفض التقنيات الجديدة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حيث يحدد النموذج عاملين رئيسيين يؤثران على قبول التقنية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وهما الفائدة المدركة (</w:t>
      </w:r>
      <w:proofErr w:type="spellStart"/>
      <w:r w:rsidRPr="004F6AF4">
        <w:rPr>
          <w:rFonts w:ascii="Traditional Arabic" w:hAnsi="Traditional Arabic" w:cs="Traditional Arabic"/>
          <w:b/>
          <w:bCs/>
          <w:sz w:val="28"/>
          <w:szCs w:val="28"/>
          <w:rtl/>
        </w:rPr>
        <w:t>Perceived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Usefulness</w:t>
      </w:r>
      <w:proofErr w:type="spellEnd"/>
      <w:r w:rsidRPr="004F6AF4">
        <w:rPr>
          <w:rFonts w:ascii="Traditional Arabic" w:hAnsi="Traditional Arabic" w:cs="Traditional Arabic"/>
          <w:b/>
          <w:bCs/>
          <w:sz w:val="28"/>
          <w:szCs w:val="28"/>
          <w:rtl/>
        </w:rPr>
        <w:t>) التي تشير إلى درجة اعتقاد المستخدم بأن استخدام نظام معين سيحسن من أدائه، وسهولة الاستخدام المدركة (</w:t>
      </w:r>
      <w:proofErr w:type="spellStart"/>
      <w:r w:rsidRPr="004F6AF4">
        <w:rPr>
          <w:rFonts w:ascii="Traditional Arabic" w:hAnsi="Traditional Arabic" w:cs="Traditional Arabic"/>
          <w:b/>
          <w:bCs/>
          <w:sz w:val="28"/>
          <w:szCs w:val="28"/>
          <w:rtl/>
        </w:rPr>
        <w:t>Perceived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Ease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of</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Use</w:t>
      </w:r>
      <w:proofErr w:type="spellEnd"/>
      <w:r w:rsidRPr="004F6AF4">
        <w:rPr>
          <w:rFonts w:ascii="Traditional Arabic" w:hAnsi="Traditional Arabic" w:cs="Traditional Arabic"/>
          <w:b/>
          <w:bCs/>
          <w:sz w:val="28"/>
          <w:szCs w:val="28"/>
          <w:rtl/>
        </w:rPr>
        <w:t>) التي تعبر عن درجة اعتقاد المستخدم بأن استخدام النظام لن يتطلب جهداً كبيراً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وفي سياق تقنية الترميز، يمكن تطبيق هذا النموذج لفهم العوامل التي تعيق أو تسهل تبني المؤسسات المالية لهذه التقنية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 حيث أن إدراك المؤسسة للفوائد المحتملة من الترميز من حيث تحسين الأمن وخفض التكاليف وزيادة الكفاءة يشكل محركاً رئيسياً للتبني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xml:space="preserve">, 2025)، بينما قد تشكل التعقيدات التقنية المدركة </w:t>
      </w:r>
      <w:r w:rsidRPr="004F6AF4">
        <w:rPr>
          <w:rFonts w:ascii="Traditional Arabic" w:hAnsi="Traditional Arabic" w:cs="Traditional Arabic"/>
          <w:b/>
          <w:bCs/>
          <w:sz w:val="28"/>
          <w:szCs w:val="28"/>
          <w:rtl/>
        </w:rPr>
        <w:lastRenderedPageBreak/>
        <w:t>والحاجة لمهارات متخصصة والتكاليف الأولية للتطبيق عوائق أمام التبني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2024)، وهذا يبرز أهمية التوعية والتدريب وتوفير حلول سهلة الاستخدام لتسهيل عملية التبني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 وهو ما تفحصه الدراسة الحالية في السياق السعودي تحديداً (IMF, 2024)</w:t>
      </w:r>
      <w:r w:rsidRPr="004F6AF4">
        <w:rPr>
          <w:rFonts w:ascii="Traditional Arabic" w:hAnsi="Traditional Arabic" w:cs="Traditional Arabic" w:hint="cs"/>
          <w:b/>
          <w:bCs/>
          <w:sz w:val="28"/>
          <w:szCs w:val="28"/>
          <w:rtl/>
        </w:rPr>
        <w:t>.</w:t>
      </w:r>
    </w:p>
    <w:p w14:paraId="3CACEDE6"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2.1.5.5 نظرية الانتشار والابتكار (</w:t>
      </w:r>
      <w:proofErr w:type="spellStart"/>
      <w:r w:rsidRPr="004F6AF4">
        <w:rPr>
          <w:rFonts w:ascii="Traditional Arabic" w:hAnsi="Traditional Arabic" w:cs="Traditional Arabic"/>
          <w:b/>
          <w:bCs/>
          <w:sz w:val="28"/>
          <w:szCs w:val="28"/>
          <w:rtl/>
        </w:rPr>
        <w:t>Diffusion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of</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Innovation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Theory</w:t>
      </w:r>
      <w:proofErr w:type="spellEnd"/>
      <w:r w:rsidRPr="004F6AF4">
        <w:rPr>
          <w:rFonts w:ascii="Traditional Arabic" w:hAnsi="Traditional Arabic" w:cs="Traditional Arabic"/>
          <w:b/>
          <w:bCs/>
          <w:sz w:val="28"/>
          <w:szCs w:val="28"/>
          <w:rtl/>
        </w:rPr>
        <w:t>)</w:t>
      </w:r>
    </w:p>
    <w:p w14:paraId="512F760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قدم روجرز (</w:t>
      </w:r>
      <w:proofErr w:type="spellStart"/>
      <w:r w:rsidRPr="004F6AF4">
        <w:rPr>
          <w:rFonts w:ascii="Traditional Arabic" w:hAnsi="Traditional Arabic" w:cs="Traditional Arabic"/>
          <w:b/>
          <w:bCs/>
          <w:sz w:val="28"/>
          <w:szCs w:val="28"/>
          <w:rtl/>
        </w:rPr>
        <w:t>Rogers</w:t>
      </w:r>
      <w:proofErr w:type="spellEnd"/>
      <w:r w:rsidRPr="004F6AF4">
        <w:rPr>
          <w:rFonts w:ascii="Traditional Arabic" w:hAnsi="Traditional Arabic" w:cs="Traditional Arabic"/>
          <w:b/>
          <w:bCs/>
          <w:sz w:val="28"/>
          <w:szCs w:val="28"/>
          <w:rtl/>
        </w:rPr>
        <w:t xml:space="preserve">) نظرية انتشار الابتكار التي تشرح كيف تنتشر الأفكار والتقنيات الجديدة عبر المجتمعات والمؤسسات مع مرور الوقت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 حيث حدد خمس فئات من المتبنين بناءً على سرعة تبنيهم للابتكار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وهم المبتكرون (</w:t>
      </w:r>
      <w:proofErr w:type="spellStart"/>
      <w:r w:rsidRPr="004F6AF4">
        <w:rPr>
          <w:rFonts w:ascii="Traditional Arabic" w:hAnsi="Traditional Arabic" w:cs="Traditional Arabic"/>
          <w:b/>
          <w:bCs/>
          <w:sz w:val="28"/>
          <w:szCs w:val="28"/>
          <w:rtl/>
        </w:rPr>
        <w:t>Innovators</w:t>
      </w:r>
      <w:proofErr w:type="spellEnd"/>
      <w:r w:rsidRPr="004F6AF4">
        <w:rPr>
          <w:rFonts w:ascii="Traditional Arabic" w:hAnsi="Traditional Arabic" w:cs="Traditional Arabic"/>
          <w:b/>
          <w:bCs/>
          <w:sz w:val="28"/>
          <w:szCs w:val="28"/>
          <w:rtl/>
        </w:rPr>
        <w:t xml:space="preserve">) الذين يتبنون التقنية في مراحلها المبكرة، ثم </w:t>
      </w:r>
      <w:proofErr w:type="spellStart"/>
      <w:r w:rsidRPr="004F6AF4">
        <w:rPr>
          <w:rFonts w:ascii="Traditional Arabic" w:hAnsi="Traditional Arabic" w:cs="Traditional Arabic"/>
          <w:b/>
          <w:bCs/>
          <w:sz w:val="28"/>
          <w:szCs w:val="28"/>
          <w:rtl/>
        </w:rPr>
        <w:t>المتبنون</w:t>
      </w:r>
      <w:proofErr w:type="spellEnd"/>
      <w:r w:rsidRPr="004F6AF4">
        <w:rPr>
          <w:rFonts w:ascii="Traditional Arabic" w:hAnsi="Traditional Arabic" w:cs="Traditional Arabic"/>
          <w:b/>
          <w:bCs/>
          <w:sz w:val="28"/>
          <w:szCs w:val="28"/>
          <w:rtl/>
        </w:rPr>
        <w:t xml:space="preserve"> الأوائل (</w:t>
      </w:r>
      <w:proofErr w:type="spellStart"/>
      <w:r w:rsidRPr="004F6AF4">
        <w:rPr>
          <w:rFonts w:ascii="Traditional Arabic" w:hAnsi="Traditional Arabic" w:cs="Traditional Arabic"/>
          <w:b/>
          <w:bCs/>
          <w:sz w:val="28"/>
          <w:szCs w:val="28"/>
          <w:rtl/>
        </w:rPr>
        <w:t>Early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Adopters</w:t>
      </w:r>
      <w:proofErr w:type="spellEnd"/>
      <w:r w:rsidRPr="004F6AF4">
        <w:rPr>
          <w:rFonts w:ascii="Traditional Arabic" w:hAnsi="Traditional Arabic" w:cs="Traditional Arabic"/>
          <w:b/>
          <w:bCs/>
          <w:sz w:val="28"/>
          <w:szCs w:val="28"/>
          <w:rtl/>
        </w:rPr>
        <w:t>)، ثم الأغلبية المبكرة (</w:t>
      </w:r>
      <w:proofErr w:type="spellStart"/>
      <w:r w:rsidRPr="004F6AF4">
        <w:rPr>
          <w:rFonts w:ascii="Traditional Arabic" w:hAnsi="Traditional Arabic" w:cs="Traditional Arabic"/>
          <w:b/>
          <w:bCs/>
          <w:sz w:val="28"/>
          <w:szCs w:val="28"/>
          <w:rtl/>
        </w:rPr>
        <w:t>Early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Majority</w:t>
      </w:r>
      <w:proofErr w:type="spellEnd"/>
      <w:r w:rsidRPr="004F6AF4">
        <w:rPr>
          <w:rFonts w:ascii="Traditional Arabic" w:hAnsi="Traditional Arabic" w:cs="Traditional Arabic"/>
          <w:b/>
          <w:bCs/>
          <w:sz w:val="28"/>
          <w:szCs w:val="28"/>
          <w:rtl/>
        </w:rPr>
        <w:t>)، فالأغلبية المتأخرة (</w:t>
      </w:r>
      <w:proofErr w:type="spellStart"/>
      <w:r w:rsidRPr="004F6AF4">
        <w:rPr>
          <w:rFonts w:ascii="Traditional Arabic" w:hAnsi="Traditional Arabic" w:cs="Traditional Arabic"/>
          <w:b/>
          <w:bCs/>
          <w:sz w:val="28"/>
          <w:szCs w:val="28"/>
          <w:rtl/>
        </w:rPr>
        <w:t>Late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Majority</w:t>
      </w:r>
      <w:proofErr w:type="spellEnd"/>
      <w:r w:rsidRPr="004F6AF4">
        <w:rPr>
          <w:rFonts w:ascii="Traditional Arabic" w:hAnsi="Traditional Arabic" w:cs="Traditional Arabic"/>
          <w:b/>
          <w:bCs/>
          <w:sz w:val="28"/>
          <w:szCs w:val="28"/>
          <w:rtl/>
        </w:rPr>
        <w:t>)، وأخيراً المتأخرون (</w:t>
      </w:r>
      <w:proofErr w:type="spellStart"/>
      <w:r w:rsidRPr="004F6AF4">
        <w:rPr>
          <w:rFonts w:ascii="Traditional Arabic" w:hAnsi="Traditional Arabic" w:cs="Traditional Arabic"/>
          <w:b/>
          <w:bCs/>
          <w:sz w:val="28"/>
          <w:szCs w:val="28"/>
          <w:rtl/>
        </w:rPr>
        <w:t>Laggards</w:t>
      </w:r>
      <w:proofErr w:type="spellEnd"/>
      <w:r w:rsidRPr="004F6AF4">
        <w:rPr>
          <w:rFonts w:ascii="Traditional Arabic" w:hAnsi="Traditional Arabic" w:cs="Traditional Arabic"/>
          <w:b/>
          <w:bCs/>
          <w:sz w:val="28"/>
          <w:szCs w:val="28"/>
          <w:rtl/>
        </w:rPr>
        <w:t>)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كما حدد خمس خصائص للابتكار تؤثر على سرعة انتشاره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w:t>
      </w:r>
      <w:proofErr w:type="spellStart"/>
      <w:r w:rsidRPr="004F6AF4">
        <w:rPr>
          <w:rFonts w:ascii="Traditional Arabic" w:hAnsi="Traditional Arabic" w:cs="Traditional Arabic"/>
          <w:b/>
          <w:bCs/>
          <w:sz w:val="28"/>
          <w:szCs w:val="28"/>
          <w:rtl/>
        </w:rPr>
        <w:t>McKinsey</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Company</w:t>
      </w:r>
      <w:proofErr w:type="spellEnd"/>
      <w:r w:rsidRPr="004F6AF4">
        <w:rPr>
          <w:rFonts w:ascii="Traditional Arabic" w:hAnsi="Traditional Arabic" w:cs="Traditional Arabic"/>
          <w:b/>
          <w:bCs/>
          <w:sz w:val="28"/>
          <w:szCs w:val="28"/>
          <w:rtl/>
        </w:rPr>
        <w:t>, 2024)، وهي الميزة النسبية (</w:t>
      </w:r>
      <w:proofErr w:type="spellStart"/>
      <w:r w:rsidRPr="004F6AF4">
        <w:rPr>
          <w:rFonts w:ascii="Traditional Arabic" w:hAnsi="Traditional Arabic" w:cs="Traditional Arabic"/>
          <w:b/>
          <w:bCs/>
          <w:sz w:val="28"/>
          <w:szCs w:val="28"/>
          <w:rtl/>
        </w:rPr>
        <w:t>Relative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Advantage</w:t>
      </w:r>
      <w:proofErr w:type="spellEnd"/>
      <w:r w:rsidRPr="004F6AF4">
        <w:rPr>
          <w:rFonts w:ascii="Traditional Arabic" w:hAnsi="Traditional Arabic" w:cs="Traditional Arabic"/>
          <w:b/>
          <w:bCs/>
          <w:sz w:val="28"/>
          <w:szCs w:val="28"/>
          <w:rtl/>
        </w:rPr>
        <w:t>)، والتوافق (</w:t>
      </w:r>
      <w:proofErr w:type="spellStart"/>
      <w:r w:rsidRPr="004F6AF4">
        <w:rPr>
          <w:rFonts w:ascii="Traditional Arabic" w:hAnsi="Traditional Arabic" w:cs="Traditional Arabic"/>
          <w:b/>
          <w:bCs/>
          <w:sz w:val="28"/>
          <w:szCs w:val="28"/>
          <w:rtl/>
        </w:rPr>
        <w:t>Compatibility</w:t>
      </w:r>
      <w:proofErr w:type="spellEnd"/>
      <w:r w:rsidRPr="004F6AF4">
        <w:rPr>
          <w:rFonts w:ascii="Traditional Arabic" w:hAnsi="Traditional Arabic" w:cs="Traditional Arabic"/>
          <w:b/>
          <w:bCs/>
          <w:sz w:val="28"/>
          <w:szCs w:val="28"/>
          <w:rtl/>
        </w:rPr>
        <w:t>)، والتعقيد (</w:t>
      </w:r>
      <w:proofErr w:type="spellStart"/>
      <w:r w:rsidRPr="004F6AF4">
        <w:rPr>
          <w:rFonts w:ascii="Traditional Arabic" w:hAnsi="Traditional Arabic" w:cs="Traditional Arabic"/>
          <w:b/>
          <w:bCs/>
          <w:sz w:val="28"/>
          <w:szCs w:val="28"/>
          <w:rtl/>
        </w:rPr>
        <w:t>Complexity</w:t>
      </w:r>
      <w:proofErr w:type="spellEnd"/>
      <w:r w:rsidRPr="004F6AF4">
        <w:rPr>
          <w:rFonts w:ascii="Traditional Arabic" w:hAnsi="Traditional Arabic" w:cs="Traditional Arabic"/>
          <w:b/>
          <w:bCs/>
          <w:sz w:val="28"/>
          <w:szCs w:val="28"/>
          <w:rtl/>
        </w:rPr>
        <w:t>)، وقابلية التجربة (</w:t>
      </w:r>
      <w:proofErr w:type="spellStart"/>
      <w:r w:rsidRPr="004F6AF4">
        <w:rPr>
          <w:rFonts w:ascii="Traditional Arabic" w:hAnsi="Traditional Arabic" w:cs="Traditional Arabic"/>
          <w:b/>
          <w:bCs/>
          <w:sz w:val="28"/>
          <w:szCs w:val="28"/>
          <w:rtl/>
        </w:rPr>
        <w:t>Trialability</w:t>
      </w:r>
      <w:proofErr w:type="spellEnd"/>
      <w:r w:rsidRPr="004F6AF4">
        <w:rPr>
          <w:rFonts w:ascii="Traditional Arabic" w:hAnsi="Traditional Arabic" w:cs="Traditional Arabic"/>
          <w:b/>
          <w:bCs/>
          <w:sz w:val="28"/>
          <w:szCs w:val="28"/>
          <w:rtl/>
        </w:rPr>
        <w:t>)، وقابلية الملاحظة (</w:t>
      </w:r>
      <w:proofErr w:type="spellStart"/>
      <w:r w:rsidRPr="004F6AF4">
        <w:rPr>
          <w:rFonts w:ascii="Traditional Arabic" w:hAnsi="Traditional Arabic" w:cs="Traditional Arabic"/>
          <w:b/>
          <w:bCs/>
          <w:sz w:val="28"/>
          <w:szCs w:val="28"/>
          <w:rtl/>
        </w:rPr>
        <w:t>Observability</w:t>
      </w:r>
      <w:proofErr w:type="spellEnd"/>
      <w:r w:rsidRPr="004F6AF4">
        <w:rPr>
          <w:rFonts w:ascii="Traditional Arabic" w:hAnsi="Traditional Arabic" w:cs="Traditional Arabic"/>
          <w:b/>
          <w:bCs/>
          <w:sz w:val="28"/>
          <w:szCs w:val="28"/>
          <w:rtl/>
        </w:rPr>
        <w:t>)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وبتطبيق هذه النظرية على تقنية الترميز، يمكن فهم أن المؤسسات المالية الرائدة والشركات </w:t>
      </w:r>
      <w:proofErr w:type="spellStart"/>
      <w:r w:rsidRPr="004F6AF4">
        <w:rPr>
          <w:rFonts w:ascii="Traditional Arabic" w:hAnsi="Traditional Arabic" w:cs="Traditional Arabic"/>
          <w:b/>
          <w:bCs/>
          <w:sz w:val="28"/>
          <w:szCs w:val="28"/>
          <w:rtl/>
        </w:rPr>
        <w:t>الفنتك</w:t>
      </w:r>
      <w:proofErr w:type="spellEnd"/>
      <w:r w:rsidRPr="004F6AF4">
        <w:rPr>
          <w:rFonts w:ascii="Traditional Arabic" w:hAnsi="Traditional Arabic" w:cs="Traditional Arabic"/>
          <w:b/>
          <w:bCs/>
          <w:sz w:val="28"/>
          <w:szCs w:val="28"/>
          <w:rtl/>
        </w:rPr>
        <w:t xml:space="preserve"> تمثل المبتكرين والمتبنين الأوائل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xml:space="preserve">, 2025;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بينما البنوك التقليدية الكبرى قد تكون ضمن الأغلبية المبكرة أو المتأخرة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2025)، ويعتمد معدل الانتشار على مدى وضوح الميزة النسبية للترميز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2024)، ومدى توافقه مع البنية التحتية القائمة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ومستوى التعقيد المدرك </w:t>
      </w:r>
      <w:r w:rsidRPr="004F6AF4">
        <w:rPr>
          <w:rFonts w:ascii="Traditional Arabic" w:hAnsi="Traditional Arabic" w:cs="Traditional Arabic"/>
          <w:b/>
          <w:bCs/>
          <w:sz w:val="28"/>
          <w:szCs w:val="28"/>
          <w:rtl/>
        </w:rPr>
        <w:lastRenderedPageBreak/>
        <w:t>(</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 وتوفر فرص للتجربة في بيئات محدودة قبل التطبيق الشامل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IMF, 2024</w:t>
      </w:r>
      <w:r w:rsidRPr="004F6AF4">
        <w:rPr>
          <w:rFonts w:ascii="Traditional Arabic" w:hAnsi="Traditional Arabic" w:cs="Traditional Arabic" w:hint="cs"/>
          <w:b/>
          <w:bCs/>
          <w:sz w:val="28"/>
          <w:szCs w:val="28"/>
          <w:rtl/>
        </w:rPr>
        <w:t>).</w:t>
      </w:r>
    </w:p>
    <w:p w14:paraId="24CF0252" w14:textId="77777777" w:rsidR="00F00638" w:rsidRPr="004F6AF4" w:rsidRDefault="00F00638" w:rsidP="00E000FF">
      <w:pPr>
        <w:bidi/>
        <w:spacing w:after="0" w:line="360" w:lineRule="auto"/>
        <w:jc w:val="both"/>
        <w:rPr>
          <w:rFonts w:ascii="Simplified Arabic" w:hAnsi="Simplified Arabic" w:cs="Simplified Arabic"/>
          <w:b/>
          <w:bCs/>
          <w:sz w:val="28"/>
          <w:szCs w:val="28"/>
          <w:rtl/>
        </w:rPr>
      </w:pPr>
      <w:r w:rsidRPr="004F6AF4">
        <w:rPr>
          <w:rFonts w:ascii="Traditional Arabic" w:hAnsi="Traditional Arabic" w:cs="Traditional Arabic"/>
          <w:b/>
          <w:bCs/>
          <w:sz w:val="28"/>
          <w:szCs w:val="28"/>
          <w:rtl/>
        </w:rPr>
        <w:t>مما سبق يرى الباحث أن هذه الأطر النظرية مجتمعة توفر عدسة متعددة الأبعاد شاملة لفهم وتفسير تأثير تقنية الترميز على الأمن السيبراني وكفاءة العمليات المالية في المؤسسات السعودية (</w:t>
      </w:r>
      <w:proofErr w:type="spellStart"/>
      <w:r w:rsidRPr="004F6AF4">
        <w:rPr>
          <w:rFonts w:ascii="Traditional Arabic" w:hAnsi="Traditional Arabic" w:cs="Traditional Arabic"/>
          <w:b/>
          <w:bCs/>
          <w:sz w:val="28"/>
          <w:szCs w:val="28"/>
          <w:rtl/>
        </w:rPr>
        <w:t>Financial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Stability</w:t>
      </w:r>
      <w:proofErr w:type="spellEnd"/>
      <w:r w:rsidRPr="004F6AF4">
        <w:rPr>
          <w:rFonts w:ascii="Traditional Arabic" w:hAnsi="Traditional Arabic" w:cs="Traditional Arabic"/>
          <w:b/>
          <w:bCs/>
          <w:sz w:val="28"/>
          <w:szCs w:val="28"/>
          <w:rtl/>
        </w:rPr>
        <w:t xml:space="preserve"> Board, 2024; ENISA, 2024; IBM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2024; PCI </w:t>
      </w:r>
      <w:proofErr w:type="spellStart"/>
      <w:r w:rsidRPr="004F6AF4">
        <w:rPr>
          <w:rFonts w:ascii="Traditional Arabic" w:hAnsi="Traditional Arabic" w:cs="Traditional Arabic"/>
          <w:b/>
          <w:bCs/>
          <w:sz w:val="28"/>
          <w:szCs w:val="28"/>
          <w:rtl/>
        </w:rPr>
        <w:t>Security</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Standards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Council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2024)، بحيث تجمع بين الأبعاد التقنية (نظرية أمن المعلومات)، والاقتصادية (نظرية تكاليف المعاملات)، والإدارية (نظرية إدارة المخاطر)، والسلوكية (نموذج قبول التقنية ونظرية الانتشار)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2024;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2024)، وهذا التكامل النظري يوجه تصميم الدراسة الحالية من حيث تحديد المتغيرات والعلاقات المفترضة بينها، وتفسير النتائج المتوقعة، وصياغة التوصيات العملية للمؤسسات المالية السعودية الراغبة في تبني تقنية الترميز بشكل فعال وآمن (</w:t>
      </w:r>
      <w:proofErr w:type="spellStart"/>
      <w:r w:rsidRPr="004F6AF4">
        <w:rPr>
          <w:rFonts w:ascii="Traditional Arabic" w:hAnsi="Traditional Arabic" w:cs="Traditional Arabic"/>
          <w:b/>
          <w:bCs/>
          <w:sz w:val="28"/>
          <w:szCs w:val="28"/>
          <w:rtl/>
        </w:rPr>
        <w:t>Saudi</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Central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2024; IMF, 2024; </w:t>
      </w:r>
      <w:proofErr w:type="spellStart"/>
      <w:r w:rsidRPr="004F6AF4">
        <w:rPr>
          <w:rFonts w:ascii="Traditional Arabic" w:hAnsi="Traditional Arabic" w:cs="Traditional Arabic"/>
          <w:b/>
          <w:bCs/>
          <w:sz w:val="28"/>
          <w:szCs w:val="28"/>
          <w:rtl/>
        </w:rPr>
        <w:t>Thunes</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2025)</w:t>
      </w:r>
      <w:r w:rsidRPr="004F6AF4">
        <w:rPr>
          <w:rFonts w:ascii="Traditional Arabic" w:hAnsi="Traditional Arabic" w:cs="Traditional Arabic" w:hint="cs"/>
          <w:b/>
          <w:bCs/>
          <w:sz w:val="28"/>
          <w:szCs w:val="28"/>
          <w:rtl/>
        </w:rPr>
        <w:t>.</w:t>
      </w:r>
    </w:p>
    <w:p w14:paraId="6125C9DB"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2.1.5.6 نظرية التقنية والتنظيم والبيئة (</w:t>
      </w:r>
      <w:proofErr w:type="spellStart"/>
      <w:r w:rsidRPr="004F6AF4">
        <w:rPr>
          <w:rFonts w:ascii="Traditional Arabic" w:hAnsi="Traditional Arabic" w:cs="Traditional Arabic"/>
          <w:b/>
          <w:bCs/>
          <w:sz w:val="28"/>
          <w:szCs w:val="28"/>
          <w:rtl/>
        </w:rPr>
        <w:t>Technology</w:t>
      </w:r>
      <w:proofErr w:type="spellEnd"/>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Organization</w:t>
      </w:r>
      <w:proofErr w:type="spellEnd"/>
      <w:r w:rsidRPr="004F6AF4">
        <w:rPr>
          <w:rFonts w:ascii="Traditional Arabic" w:hAnsi="Traditional Arabic" w:cs="Traditional Arabic"/>
          <w:b/>
          <w:bCs/>
          <w:sz w:val="28"/>
          <w:szCs w:val="28"/>
          <w:rtl/>
        </w:rPr>
        <w:t>–</w:t>
      </w:r>
      <w:proofErr w:type="spellStart"/>
      <w:r w:rsidRPr="004F6AF4">
        <w:rPr>
          <w:rFonts w:ascii="Traditional Arabic" w:hAnsi="Traditional Arabic" w:cs="Traditional Arabic"/>
          <w:b/>
          <w:bCs/>
          <w:sz w:val="28"/>
          <w:szCs w:val="28"/>
          <w:rtl/>
        </w:rPr>
        <w:t>Environment</w:t>
      </w:r>
      <w:proofErr w:type="spellEnd"/>
      <w:r w:rsidRPr="004F6AF4">
        <w:rPr>
          <w:rFonts w:ascii="Traditional Arabic" w:hAnsi="Traditional Arabic" w:cs="Traditional Arabic"/>
          <w:b/>
          <w:bCs/>
          <w:sz w:val="28"/>
          <w:szCs w:val="28"/>
          <w:rtl/>
        </w:rPr>
        <w:t>)</w:t>
      </w:r>
    </w:p>
    <w:p w14:paraId="01BDB8B8"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lastRenderedPageBreak/>
        <w:t xml:space="preserve">تُعدّ نظرية التقنية والتنظيم والبيئة (TOE) التي طوّرها </w:t>
      </w:r>
      <w:proofErr w:type="spellStart"/>
      <w:r w:rsidRPr="004F6AF4">
        <w:rPr>
          <w:rFonts w:ascii="Traditional Arabic" w:hAnsi="Traditional Arabic" w:cs="Traditional Arabic"/>
          <w:b/>
          <w:bCs/>
          <w:color w:val="auto"/>
          <w:sz w:val="28"/>
          <w:szCs w:val="28"/>
          <w:rtl/>
        </w:rPr>
        <w:t>تورناتزكي</w:t>
      </w:r>
      <w:proofErr w:type="spellEnd"/>
      <w:r w:rsidRPr="004F6AF4">
        <w:rPr>
          <w:rFonts w:ascii="Traditional Arabic" w:hAnsi="Traditional Arabic" w:cs="Traditional Arabic"/>
          <w:b/>
          <w:bCs/>
          <w:color w:val="auto"/>
          <w:sz w:val="28"/>
          <w:szCs w:val="28"/>
          <w:rtl/>
        </w:rPr>
        <w:t xml:space="preserve"> </w:t>
      </w:r>
      <w:proofErr w:type="spellStart"/>
      <w:r w:rsidRPr="004F6AF4">
        <w:rPr>
          <w:rFonts w:ascii="Traditional Arabic" w:hAnsi="Traditional Arabic" w:cs="Traditional Arabic"/>
          <w:b/>
          <w:bCs/>
          <w:color w:val="auto"/>
          <w:sz w:val="28"/>
          <w:szCs w:val="28"/>
          <w:rtl/>
        </w:rPr>
        <w:t>وفليشر</w:t>
      </w:r>
      <w:proofErr w:type="spellEnd"/>
      <w:r w:rsidRPr="004F6AF4">
        <w:rPr>
          <w:rFonts w:ascii="Traditional Arabic" w:hAnsi="Traditional Arabic" w:cs="Traditional Arabic"/>
          <w:b/>
          <w:bCs/>
          <w:color w:val="auto"/>
          <w:sz w:val="28"/>
          <w:szCs w:val="28"/>
          <w:rtl/>
        </w:rPr>
        <w:t xml:space="preserve"> الإطار النظري الأنسب لتفسير العلاقة بين متغيرات هذه الدراسة، لأنها لا تفسّر قرار تبنّي التقنية وحده، بل تفسّر كذلك تفاوت أثر التقنية على أداء المؤسسات باختلاف سياقها. وتقوم النظرية على ثلاثة سياقات متفاعلة تحدد مجتمعةً مسار التبنّي وعمقه ونتائجه.</w:t>
      </w:r>
    </w:p>
    <w:p w14:paraId="66641C5F"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السياق التقني: خصائص تقنية الترميز ذاتها من حيث قابلية التكامل مع الأنظمة القائمة، ومستوى النضج، والميزة النسبية مقارنة بالبدائل. ويقابل هذا السياق في الدراسة الحالية بُعد الترميز الأمني للبيانات.</w:t>
      </w:r>
    </w:p>
    <w:p w14:paraId="29A144D4"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السياق التنظيمي: حجم المؤسسة، وعمرها في السوق، وبنيتها التقنية، وجاهزية كوادرها. ويقابل هذا السياق في الدراسة الحالية المتغيرات الضابطة المتعلقة بخصائص المؤسسة ومستوى تبنّيها للتقنية.</w:t>
      </w:r>
    </w:p>
    <w:p w14:paraId="2ADA3B1B"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السياق البيئي: الضغوط التنظيمية والتشريعية الخارجية، ومتطلبات الجهات الرقابية، والمنافسة في السوق. ويقابل هذا السياق في الدراسة الحالية بُعد الامتثال للمعايير الدولية ومتطلبات البنك المركزي السعودي ومعيار PCI DSS.</w:t>
      </w:r>
    </w:p>
    <w:p w14:paraId="111A363B"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ويُتوقع وفق هذه النظرية أن يكون أثر تقنية الترميز على الأمن السيبراني وكفاءة العمليات المالية أقوى في المؤسسات التي يجتمع فيها نضج تقني مرتفع مع ضغط تنظيمي خارجي واضح، وأن تظهر فروق دالة بين المؤسسات المعتمِدة للتقنية وغير المعتمِدة، وبين أنواع المؤسسات المالية المختلفة. وهذه التوقعات هي التي تُترجَم إلى فروض الدراسة الرئيسة الثلاثة وفروعها الستة.</w:t>
      </w:r>
    </w:p>
    <w:p w14:paraId="359F2A7C"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2.1.6 تفسير العلاقة بين تقنية الترميز والأمن السيبراني</w:t>
      </w:r>
    </w:p>
    <w:p w14:paraId="362DA19A"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lastRenderedPageBreak/>
        <w:t>يعمل الترميز على تقليص سطح الهجوم عبر إزالة البيانات الحساسة من الأنظمة التشغيلية واستبدالها برموز بلا قيمة استغلالية خارج سياقها. وبذلك يفقد المهاجم الحافز الاقتصادي من اختراق تلك الأنظمة، لأن ما يحصل عليه لا يمكن تحويله إلى معاملة مالية. ومن هنا ينخفض احتمال اختراق البيانات المالية، وتنخفض معه خطورة تسريب بيانات البطاقات، إذ يبقى مخزن الرموز وحده هو النقطة الحساسة، وهي نقطة محدودة يسهل تحصينها ومراقبتها مقارنة بتحصين كامل البنية التشغيلية.</w:t>
      </w:r>
    </w:p>
    <w:p w14:paraId="0F9D6086"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وينعكس ذلك على ثلاثة مؤشرات أمنية: انخفاض عدد الحوادث الأمنية ذات الأثر المالي، وارتفاع مستوى الامتثال للمعايير الأمنية بسبب تقلّص نطاق التدقيق، وتحسّن قدرة المؤسسة على احتواء الحوادث لأن أثرها يبقى محصوراً. وهذه المؤشرات هي التي يقيسها بُعد الأمن السيبراني المؤسسي في أداة الدراسة.</w:t>
      </w:r>
    </w:p>
    <w:p w14:paraId="238CA469"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2.1.7 مقارنة تحليلية بين الترميز والتشفير</w:t>
      </w:r>
    </w:p>
    <w:p w14:paraId="658C1EAB" w14:textId="77777777" w:rsidR="00E62032" w:rsidRPr="004F6AF4" w:rsidRDefault="00E62032" w:rsidP="00E000FF">
      <w:pPr>
        <w:pStyle w:val="Heading2"/>
        <w:bidi/>
        <w:spacing w:before="0" w:line="360" w:lineRule="auto"/>
        <w:jc w:val="both"/>
        <w:rPr>
          <w:rFonts w:ascii="Simplified Arabic" w:hAnsi="Simplified Arabic" w:cs="Simplified Arabic"/>
          <w:b/>
          <w:bCs/>
          <w:color w:val="auto"/>
          <w:sz w:val="28"/>
          <w:szCs w:val="28"/>
        </w:rPr>
      </w:pPr>
      <w:r w:rsidRPr="004F6AF4">
        <w:rPr>
          <w:rFonts w:ascii="Traditional Arabic" w:hAnsi="Traditional Arabic" w:cs="Traditional Arabic"/>
          <w:b/>
          <w:bCs/>
          <w:color w:val="auto"/>
          <w:sz w:val="28"/>
          <w:szCs w:val="28"/>
          <w:rtl/>
        </w:rPr>
        <w:t>يُخلَط كثيراً بين الترميز والتشفير رغم اختلافهما الجوهري في آلية العمل والأثر التنظيمي. ويوضح الجدول الآتي أوجه المقارنة بينهما وفق المعايير الأكثر ارتباطاً بموضوع الدراسة.</w:t>
      </w:r>
    </w:p>
    <w:tbl>
      <w:tblPr>
        <w:bidiVisual/>
        <w:tblW w:w="8298" w:type="dxa"/>
        <w:jc w:val="center"/>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610"/>
        <w:gridCol w:w="3344"/>
        <w:gridCol w:w="3344"/>
      </w:tblGrid>
      <w:tr w:rsidR="005D691F" w:rsidRPr="004F6AF4" w14:paraId="6147F0B6" w14:textId="77777777" w:rsidTr="004F6AF4">
        <w:trPr>
          <w:jc w:val="center"/>
        </w:trPr>
        <w:tc>
          <w:tcPr>
            <w:tcW w:w="1610" w:type="dxa"/>
            <w:shd w:val="clear" w:color="auto" w:fill="DCE9F5"/>
            <w:vAlign w:val="center"/>
          </w:tcPr>
          <w:p w14:paraId="4B816DB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وجه المقارنة</w:t>
            </w:r>
          </w:p>
        </w:tc>
        <w:tc>
          <w:tcPr>
            <w:tcW w:w="3344" w:type="dxa"/>
            <w:shd w:val="clear" w:color="auto" w:fill="DCE9F5"/>
            <w:vAlign w:val="center"/>
          </w:tcPr>
          <w:p w14:paraId="3F5C1A3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تقنية الترميز (</w:t>
            </w:r>
            <w:proofErr w:type="spellStart"/>
            <w:r w:rsidRPr="004F6AF4">
              <w:rPr>
                <w:rFonts w:ascii="Traditional Arabic" w:hAnsi="Traditional Arabic" w:cs="Traditional Arabic"/>
                <w:b/>
                <w:bCs/>
                <w:sz w:val="24"/>
                <w:szCs w:val="24"/>
                <w:rtl/>
              </w:rPr>
              <w:t>Tokenization</w:t>
            </w:r>
            <w:proofErr w:type="spellEnd"/>
            <w:r w:rsidRPr="004F6AF4">
              <w:rPr>
                <w:rFonts w:ascii="Traditional Arabic" w:hAnsi="Traditional Arabic" w:cs="Traditional Arabic"/>
                <w:b/>
                <w:bCs/>
                <w:sz w:val="24"/>
                <w:szCs w:val="24"/>
                <w:rtl/>
              </w:rPr>
              <w:t>)</w:t>
            </w:r>
          </w:p>
        </w:tc>
        <w:tc>
          <w:tcPr>
            <w:tcW w:w="3344" w:type="dxa"/>
            <w:shd w:val="clear" w:color="auto" w:fill="DCE9F5"/>
            <w:vAlign w:val="center"/>
          </w:tcPr>
          <w:p w14:paraId="4B679EE7"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التشفير (</w:t>
            </w:r>
            <w:proofErr w:type="spellStart"/>
            <w:r w:rsidRPr="004F6AF4">
              <w:rPr>
                <w:rFonts w:ascii="Traditional Arabic" w:hAnsi="Traditional Arabic" w:cs="Traditional Arabic"/>
                <w:b/>
                <w:bCs/>
                <w:sz w:val="24"/>
                <w:szCs w:val="24"/>
                <w:rtl/>
              </w:rPr>
              <w:t>Encryption</w:t>
            </w:r>
            <w:proofErr w:type="spellEnd"/>
            <w:r w:rsidRPr="004F6AF4">
              <w:rPr>
                <w:rFonts w:ascii="Traditional Arabic" w:hAnsi="Traditional Arabic" w:cs="Traditional Arabic"/>
                <w:b/>
                <w:bCs/>
                <w:sz w:val="24"/>
                <w:szCs w:val="24"/>
                <w:rtl/>
              </w:rPr>
              <w:t>)</w:t>
            </w:r>
          </w:p>
        </w:tc>
      </w:tr>
      <w:tr w:rsidR="005D691F" w:rsidRPr="004F6AF4" w14:paraId="4C6E4083" w14:textId="77777777" w:rsidTr="004F6AF4">
        <w:trPr>
          <w:jc w:val="center"/>
        </w:trPr>
        <w:tc>
          <w:tcPr>
            <w:tcW w:w="1610" w:type="dxa"/>
            <w:vAlign w:val="center"/>
          </w:tcPr>
          <w:p w14:paraId="1FEA6C6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آلية العمل</w:t>
            </w:r>
          </w:p>
        </w:tc>
        <w:tc>
          <w:tcPr>
            <w:tcW w:w="3344" w:type="dxa"/>
            <w:vAlign w:val="center"/>
          </w:tcPr>
          <w:p w14:paraId="7F4E8A87"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استبدال البيانة الحساسة برمز بديل لا تربطه بها علاقة رياضية</w:t>
            </w:r>
          </w:p>
        </w:tc>
        <w:tc>
          <w:tcPr>
            <w:tcW w:w="3344" w:type="dxa"/>
            <w:vAlign w:val="center"/>
          </w:tcPr>
          <w:p w14:paraId="032563B1"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تحويل البيانة بخوارزمية ومفتاح إلى صيغة غير مقروءة</w:t>
            </w:r>
          </w:p>
        </w:tc>
      </w:tr>
      <w:tr w:rsidR="005D691F" w:rsidRPr="004F6AF4" w14:paraId="2EABDA29" w14:textId="77777777" w:rsidTr="004F6AF4">
        <w:trPr>
          <w:jc w:val="center"/>
        </w:trPr>
        <w:tc>
          <w:tcPr>
            <w:tcW w:w="1610" w:type="dxa"/>
            <w:vAlign w:val="center"/>
          </w:tcPr>
          <w:p w14:paraId="3CADB8C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قابلية الاسترجاع</w:t>
            </w:r>
          </w:p>
        </w:tc>
        <w:tc>
          <w:tcPr>
            <w:tcW w:w="3344" w:type="dxa"/>
            <w:vAlign w:val="center"/>
          </w:tcPr>
          <w:p w14:paraId="6F97B829"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لا يمكن استرجاع البيانة إلا بالرجوع إلى مخزن الرموز</w:t>
            </w:r>
          </w:p>
        </w:tc>
        <w:tc>
          <w:tcPr>
            <w:tcW w:w="3344" w:type="dxa"/>
            <w:vAlign w:val="center"/>
          </w:tcPr>
          <w:p w14:paraId="2A80EA5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يمكن استرجاع البيانة بحيازة المفتاح</w:t>
            </w:r>
          </w:p>
        </w:tc>
      </w:tr>
      <w:tr w:rsidR="005D691F" w:rsidRPr="004F6AF4" w14:paraId="2366220F" w14:textId="77777777" w:rsidTr="004F6AF4">
        <w:trPr>
          <w:jc w:val="center"/>
        </w:trPr>
        <w:tc>
          <w:tcPr>
            <w:tcW w:w="1610" w:type="dxa"/>
            <w:vAlign w:val="center"/>
          </w:tcPr>
          <w:p w14:paraId="11DD31B6"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نقطة الضعف الرئيسة</w:t>
            </w:r>
          </w:p>
        </w:tc>
        <w:tc>
          <w:tcPr>
            <w:tcW w:w="3344" w:type="dxa"/>
            <w:vAlign w:val="center"/>
          </w:tcPr>
          <w:p w14:paraId="6DC8CC49"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مخزن الرموز</w:t>
            </w:r>
          </w:p>
        </w:tc>
        <w:tc>
          <w:tcPr>
            <w:tcW w:w="3344" w:type="dxa"/>
            <w:vAlign w:val="center"/>
          </w:tcPr>
          <w:p w14:paraId="4B51FD10"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إدارة المفاتيح وتوزيعها</w:t>
            </w:r>
          </w:p>
        </w:tc>
      </w:tr>
      <w:tr w:rsidR="005D691F" w:rsidRPr="004F6AF4" w14:paraId="6A2CA790" w14:textId="77777777" w:rsidTr="004F6AF4">
        <w:trPr>
          <w:jc w:val="center"/>
        </w:trPr>
        <w:tc>
          <w:tcPr>
            <w:tcW w:w="1610" w:type="dxa"/>
            <w:vAlign w:val="center"/>
          </w:tcPr>
          <w:p w14:paraId="20356BB9"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الأثر على نطاق الامتثال</w:t>
            </w:r>
          </w:p>
        </w:tc>
        <w:tc>
          <w:tcPr>
            <w:tcW w:w="3344" w:type="dxa"/>
            <w:vAlign w:val="center"/>
          </w:tcPr>
          <w:p w14:paraId="3C725C9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يقلّص نطاق أنظمة معيار PCI DSS بصورة كبيرة</w:t>
            </w:r>
          </w:p>
        </w:tc>
        <w:tc>
          <w:tcPr>
            <w:tcW w:w="3344" w:type="dxa"/>
            <w:vAlign w:val="center"/>
          </w:tcPr>
          <w:p w14:paraId="0A57ED06"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لا يُخرج الأنظمة من النطاق في الغالب</w:t>
            </w:r>
          </w:p>
        </w:tc>
      </w:tr>
      <w:tr w:rsidR="005D691F" w:rsidRPr="004F6AF4" w14:paraId="5EB73F3E" w14:textId="77777777" w:rsidTr="004F6AF4">
        <w:trPr>
          <w:jc w:val="center"/>
        </w:trPr>
        <w:tc>
          <w:tcPr>
            <w:tcW w:w="1610" w:type="dxa"/>
            <w:vAlign w:val="center"/>
          </w:tcPr>
          <w:p w14:paraId="4E253BD8"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الأثر على الأداء التشغيلي</w:t>
            </w:r>
          </w:p>
        </w:tc>
        <w:tc>
          <w:tcPr>
            <w:tcW w:w="3344" w:type="dxa"/>
            <w:vAlign w:val="center"/>
          </w:tcPr>
          <w:p w14:paraId="0575A2F7"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منخفض الكلفة الحسابية عند المعالجة</w:t>
            </w:r>
          </w:p>
        </w:tc>
        <w:tc>
          <w:tcPr>
            <w:tcW w:w="3344" w:type="dxa"/>
            <w:vAlign w:val="center"/>
          </w:tcPr>
          <w:p w14:paraId="0CF99AE0"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يضيف عبئاً حسابياً عند كل عملية فك وتشفير</w:t>
            </w:r>
          </w:p>
        </w:tc>
      </w:tr>
      <w:tr w:rsidR="005D691F" w:rsidRPr="004F6AF4" w14:paraId="49980600" w14:textId="77777777" w:rsidTr="004F6AF4">
        <w:trPr>
          <w:jc w:val="center"/>
        </w:trPr>
        <w:tc>
          <w:tcPr>
            <w:tcW w:w="1610" w:type="dxa"/>
            <w:vAlign w:val="center"/>
          </w:tcPr>
          <w:p w14:paraId="37020C62"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الملاءمة لبيانات الدفع</w:t>
            </w:r>
          </w:p>
        </w:tc>
        <w:tc>
          <w:tcPr>
            <w:tcW w:w="3344" w:type="dxa"/>
            <w:vAlign w:val="center"/>
          </w:tcPr>
          <w:p w14:paraId="64A1E3CA"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عالية، ولا سيما في المعاملات المتكررة</w:t>
            </w:r>
          </w:p>
        </w:tc>
        <w:tc>
          <w:tcPr>
            <w:tcW w:w="3344" w:type="dxa"/>
            <w:vAlign w:val="center"/>
          </w:tcPr>
          <w:p w14:paraId="31ACB492"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متوسطة، وتُستخدم غالباً في مرحلة النقل</w:t>
            </w:r>
          </w:p>
        </w:tc>
      </w:tr>
    </w:tbl>
    <w:p w14:paraId="108B0346" w14:textId="77777777" w:rsidR="00B35152" w:rsidRDefault="00B35152" w:rsidP="004F6AF4">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(2.1): مقارنة تحليلية بين تقنية الترميز والتشفير</w:t>
      </w:r>
    </w:p>
    <w:p w14:paraId="5A09490F" w14:textId="77777777" w:rsidR="004F6AF4" w:rsidRDefault="004F6AF4"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53" w:name="_Toc224563959"/>
      <w:bookmarkStart w:id="54" w:name="_Toc234424151"/>
    </w:p>
    <w:p w14:paraId="45FE906E" w14:textId="77777777" w:rsidR="004F6AF4" w:rsidRDefault="004F6AF4" w:rsidP="004F6AF4">
      <w:pPr>
        <w:pStyle w:val="HeadingTOCEntry"/>
        <w:bidi/>
        <w:spacing w:after="0" w:line="360" w:lineRule="auto"/>
        <w:ind w:left="432" w:hanging="432"/>
        <w:rPr>
          <w:rFonts w:ascii="Traditional Arabic" w:hAnsi="Traditional Arabic" w:cs="Traditional Arabic"/>
          <w:b/>
          <w:bCs/>
          <w:sz w:val="32"/>
          <w:szCs w:val="32"/>
          <w:u w:val="single"/>
          <w:rtl/>
        </w:rPr>
      </w:pPr>
    </w:p>
    <w:p w14:paraId="2E65B240" w14:textId="77777777" w:rsidR="004F6AF4" w:rsidRDefault="004F6AF4" w:rsidP="004F6AF4">
      <w:pPr>
        <w:pStyle w:val="HeadingTOCEntry"/>
        <w:bidi/>
        <w:spacing w:after="0" w:line="360" w:lineRule="auto"/>
        <w:ind w:left="432" w:hanging="432"/>
        <w:rPr>
          <w:rFonts w:ascii="Traditional Arabic" w:hAnsi="Traditional Arabic" w:cs="Traditional Arabic"/>
          <w:b/>
          <w:bCs/>
          <w:sz w:val="32"/>
          <w:szCs w:val="32"/>
          <w:u w:val="single"/>
          <w:rtl/>
        </w:rPr>
      </w:pPr>
    </w:p>
    <w:p w14:paraId="63ACC700" w14:textId="36DBEED2" w:rsidR="00F00638" w:rsidRPr="00FB5EDA" w:rsidRDefault="00F00638" w:rsidP="004F6AF4">
      <w:pPr>
        <w:pStyle w:val="HeadingTOCEntry"/>
        <w:bidi/>
        <w:spacing w:after="0" w:line="360" w:lineRule="auto"/>
        <w:ind w:left="432" w:hanging="432"/>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lastRenderedPageBreak/>
        <w:t>2.2 الدراسات السابقة</w:t>
      </w:r>
      <w:bookmarkEnd w:id="53"/>
      <w:bookmarkEnd w:id="54"/>
    </w:p>
    <w:p w14:paraId="765B3459" w14:textId="77777777" w:rsidR="00F00638" w:rsidRPr="004F6AF4" w:rsidRDefault="00F00638" w:rsidP="00E000FF">
      <w:pPr>
        <w:bidi/>
        <w:spacing w:after="0" w:line="360" w:lineRule="auto"/>
        <w:jc w:val="both"/>
        <w:rPr>
          <w:rFonts w:ascii="Simplified Arabic" w:hAnsi="Simplified Arabic" w:cs="Simplified Arabic"/>
          <w:sz w:val="32"/>
          <w:szCs w:val="32"/>
        </w:rPr>
      </w:pPr>
      <w:r w:rsidRPr="004F6AF4">
        <w:rPr>
          <w:rFonts w:ascii="Traditional Arabic" w:hAnsi="Traditional Arabic" w:cs="Traditional Arabic"/>
          <w:sz w:val="28"/>
          <w:szCs w:val="28"/>
          <w:rtl/>
        </w:rPr>
        <w:t>يستعرض هذا القسم الدراسات الأكاديمية المحكمة ذات الصلة المباشرة بموضوع الدراسة الحالية، حيث تم تقسيم هذه الدراسات إلى أربع مجموعات رئيسية تتوافق مع المحاور الأساسية للدراسة</w:t>
      </w:r>
      <w:r w:rsidRPr="004F6AF4">
        <w:rPr>
          <w:rFonts w:ascii="Traditional Arabic" w:hAnsi="Traditional Arabic" w:cs="Traditional Arabic" w:hint="cs"/>
          <w:sz w:val="28"/>
          <w:szCs w:val="28"/>
          <w:rtl/>
        </w:rPr>
        <w:t xml:space="preserve"> (</w:t>
      </w:r>
      <w:proofErr w:type="spellStart"/>
      <w:r w:rsidRPr="004F6AF4">
        <w:rPr>
          <w:rFonts w:ascii="Traditional Arabic" w:hAnsi="Traditional Arabic" w:cs="Traditional Arabic"/>
          <w:sz w:val="28"/>
          <w:szCs w:val="28"/>
          <w:rtl/>
        </w:rPr>
        <w:t>Goghie</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Ahammad</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2025; Al-</w:t>
      </w:r>
      <w:proofErr w:type="spellStart"/>
      <w:r w:rsidRPr="004F6AF4">
        <w:rPr>
          <w:rFonts w:ascii="Traditional Arabic" w:hAnsi="Traditional Arabic" w:cs="Traditional Arabic"/>
          <w:sz w:val="28"/>
          <w:szCs w:val="28"/>
          <w:rtl/>
        </w:rPr>
        <w:t>Qudah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2025</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وذلك بهدف بناء فهم شامل للأدبيات المتاحة حول تقنية الترميز وتأثيرها على الأمن السيبراني وكفاءة العمليات المالية في سياقات مختلفة</w:t>
      </w:r>
      <w:r w:rsidRPr="004F6AF4">
        <w:rPr>
          <w:rFonts w:ascii="Traditional Arabic" w:hAnsi="Traditional Arabic" w:cs="Traditional Arabic" w:hint="cs"/>
          <w:sz w:val="28"/>
          <w:szCs w:val="28"/>
          <w:rtl/>
        </w:rPr>
        <w:t xml:space="preserve"> (</w:t>
      </w:r>
      <w:proofErr w:type="spellStart"/>
      <w:r w:rsidRPr="004F6AF4">
        <w:rPr>
          <w:rFonts w:ascii="Traditional Arabic" w:hAnsi="Traditional Arabic" w:cs="Traditional Arabic"/>
          <w:sz w:val="28"/>
          <w:szCs w:val="28"/>
          <w:rtl/>
        </w:rPr>
        <w:t>Carapella</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2023; </w:t>
      </w:r>
      <w:proofErr w:type="spellStart"/>
      <w:r w:rsidRPr="004F6AF4">
        <w:rPr>
          <w:rFonts w:ascii="Traditional Arabic" w:hAnsi="Traditional Arabic" w:cs="Traditional Arabic"/>
          <w:sz w:val="28"/>
          <w:szCs w:val="28"/>
          <w:rtl/>
        </w:rPr>
        <w:t>Grossmann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Karanovic</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2024)</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وقد تم اختيار هذه الدراسات بناءً على معايير صارمة تشمل الحداثة (2023-2025)، والنشر في مجلات علمية محكمة أو مؤتمرات أكاديمية معترف بها دولياً، والارتباط المباشر بأحد محاور الدراسة الحالية على الأق</w:t>
      </w:r>
      <w:r w:rsidRPr="004F6AF4">
        <w:rPr>
          <w:rFonts w:ascii="Traditional Arabic" w:hAnsi="Traditional Arabic" w:cs="Traditional Arabic" w:hint="cs"/>
          <w:sz w:val="28"/>
          <w:szCs w:val="28"/>
          <w:rtl/>
        </w:rPr>
        <w:t>ل (</w:t>
      </w:r>
      <w:r w:rsidRPr="004F6AF4">
        <w:rPr>
          <w:rFonts w:ascii="Traditional Arabic" w:hAnsi="Traditional Arabic" w:cs="Traditional Arabic"/>
          <w:sz w:val="28"/>
          <w:szCs w:val="28"/>
          <w:rtl/>
        </w:rPr>
        <w:t xml:space="preserve">Islam &amp; </w:t>
      </w:r>
      <w:proofErr w:type="spellStart"/>
      <w:r w:rsidRPr="004F6AF4">
        <w:rPr>
          <w:rFonts w:ascii="Traditional Arabic" w:hAnsi="Traditional Arabic" w:cs="Traditional Arabic"/>
          <w:sz w:val="28"/>
          <w:szCs w:val="28"/>
          <w:rtl/>
        </w:rPr>
        <w:t>In</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2024</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مما يضمن الاستفادة من أحدث المعارف المتاحة في هذا المجال سريع التطور</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w:t>
      </w:r>
      <w:proofErr w:type="spellStart"/>
      <w:r w:rsidRPr="004F6AF4">
        <w:rPr>
          <w:rFonts w:ascii="Traditional Arabic" w:hAnsi="Traditional Arabic" w:cs="Traditional Arabic"/>
          <w:sz w:val="28"/>
          <w:szCs w:val="28"/>
          <w:rtl/>
        </w:rPr>
        <w:t>Financial</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Stability</w:t>
      </w:r>
      <w:proofErr w:type="spellEnd"/>
      <w:r w:rsidRPr="004F6AF4">
        <w:rPr>
          <w:rFonts w:ascii="Traditional Arabic" w:hAnsi="Traditional Arabic" w:cs="Traditional Arabic"/>
          <w:sz w:val="28"/>
          <w:szCs w:val="28"/>
          <w:rtl/>
        </w:rPr>
        <w:t xml:space="preserve"> Board, 2024; </w:t>
      </w:r>
      <w:proofErr w:type="spellStart"/>
      <w:r w:rsidRPr="004F6AF4">
        <w:rPr>
          <w:rFonts w:ascii="Traditional Arabic" w:hAnsi="Traditional Arabic" w:cs="Traditional Arabic"/>
          <w:sz w:val="28"/>
          <w:szCs w:val="28"/>
          <w:rtl/>
        </w:rPr>
        <w:t>McKinsey</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Company</w:t>
      </w:r>
      <w:proofErr w:type="spellEnd"/>
      <w:r w:rsidRPr="004F6AF4">
        <w:rPr>
          <w:rFonts w:ascii="Traditional Arabic" w:hAnsi="Traditional Arabic" w:cs="Traditional Arabic"/>
          <w:sz w:val="28"/>
          <w:szCs w:val="28"/>
          <w:rtl/>
        </w:rPr>
        <w:t>, 2024)</w:t>
      </w:r>
      <w:r w:rsidRPr="004F6AF4">
        <w:rPr>
          <w:rFonts w:ascii="Traditional Arabic" w:hAnsi="Traditional Arabic" w:cs="Traditional Arabic" w:hint="cs"/>
          <w:sz w:val="28"/>
          <w:szCs w:val="28"/>
          <w:rtl/>
        </w:rPr>
        <w:t>.</w:t>
      </w:r>
    </w:p>
    <w:p w14:paraId="23F42302" w14:textId="77777777" w:rsidR="00F00638" w:rsidRPr="00FB5EDA"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2.2.1 الدراسات المرتبطة بالأمن السيبراني وتقنية الترميز</w:t>
      </w:r>
    </w:p>
    <w:p w14:paraId="67EFD41F"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 xml:space="preserve">تناولت عدة دراسات حديثة العلاقة بين تقنية الترميز والأمن السيبراني في القطاع المالي من زوايا متعددة، حيث أجرى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دراسة حول كيفية إعادة تعريف تقنية الترميز </w:t>
      </w:r>
      <w:proofErr w:type="spellStart"/>
      <w:r w:rsidRPr="004F6AF4">
        <w:rPr>
          <w:rFonts w:ascii="Traditional Arabic" w:hAnsi="Traditional Arabic" w:cs="Traditional Arabic"/>
          <w:b/>
          <w:bCs/>
          <w:sz w:val="28"/>
          <w:szCs w:val="28"/>
          <w:rtl/>
        </w:rPr>
        <w:t>والبلوكشين</w:t>
      </w:r>
      <w:proofErr w:type="spellEnd"/>
      <w:r w:rsidRPr="004F6AF4">
        <w:rPr>
          <w:rFonts w:ascii="Traditional Arabic" w:hAnsi="Traditional Arabic" w:cs="Traditional Arabic"/>
          <w:b/>
          <w:bCs/>
          <w:sz w:val="28"/>
          <w:szCs w:val="28"/>
          <w:rtl/>
        </w:rPr>
        <w:t xml:space="preserve"> للسلطة والنفوذ في النظام المصرفي التقليدي، وذلك من خلال تحليل البنية التحتية لحالتين رئيسيتين هما </w:t>
      </w:r>
      <w:proofErr w:type="spellStart"/>
      <w:r w:rsidRPr="004F6AF4">
        <w:rPr>
          <w:rFonts w:ascii="Traditional Arabic" w:hAnsi="Traditional Arabic" w:cs="Traditional Arabic"/>
          <w:b/>
          <w:bCs/>
          <w:sz w:val="28"/>
          <w:szCs w:val="28"/>
          <w:rtl/>
        </w:rPr>
        <w:t>SocGen-Forge</w:t>
      </w:r>
      <w:proofErr w:type="spellEnd"/>
      <w:r w:rsidRPr="004F6AF4">
        <w:rPr>
          <w:rFonts w:ascii="Traditional Arabic" w:hAnsi="Traditional Arabic" w:cs="Traditional Arabic"/>
          <w:b/>
          <w:bCs/>
          <w:sz w:val="28"/>
          <w:szCs w:val="28"/>
          <w:rtl/>
        </w:rPr>
        <w:t xml:space="preserve"> من مجموعة </w:t>
      </w:r>
      <w:proofErr w:type="spellStart"/>
      <w:r w:rsidRPr="004F6AF4">
        <w:rPr>
          <w:rFonts w:ascii="Traditional Arabic" w:hAnsi="Traditional Arabic" w:cs="Traditional Arabic"/>
          <w:b/>
          <w:bCs/>
          <w:sz w:val="28"/>
          <w:szCs w:val="28"/>
          <w:rtl/>
        </w:rPr>
        <w:t>Société</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Générale</w:t>
      </w:r>
      <w:proofErr w:type="spellEnd"/>
      <w:r w:rsidRPr="004F6AF4">
        <w:rPr>
          <w:rFonts w:ascii="Traditional Arabic" w:hAnsi="Traditional Arabic" w:cs="Traditional Arabic"/>
          <w:b/>
          <w:bCs/>
          <w:sz w:val="28"/>
          <w:szCs w:val="28"/>
          <w:rtl/>
        </w:rPr>
        <w:t xml:space="preserve"> وشبكة الضمانات </w:t>
      </w:r>
      <w:proofErr w:type="spellStart"/>
      <w:r w:rsidRPr="004F6AF4">
        <w:rPr>
          <w:rFonts w:ascii="Traditional Arabic" w:hAnsi="Traditional Arabic" w:cs="Traditional Arabic"/>
          <w:b/>
          <w:bCs/>
          <w:sz w:val="28"/>
          <w:szCs w:val="28"/>
          <w:rtl/>
        </w:rPr>
        <w:t>المرمزة</w:t>
      </w:r>
      <w:proofErr w:type="spellEnd"/>
      <w:r w:rsidRPr="004F6AF4">
        <w:rPr>
          <w:rFonts w:ascii="Traditional Arabic" w:hAnsi="Traditional Arabic" w:cs="Traditional Arabic"/>
          <w:b/>
          <w:bCs/>
          <w:sz w:val="28"/>
          <w:szCs w:val="28"/>
          <w:rtl/>
        </w:rPr>
        <w:t xml:space="preserve"> من J.P. </w:t>
      </w:r>
      <w:proofErr w:type="spellStart"/>
      <w:r w:rsidRPr="004F6AF4">
        <w:rPr>
          <w:rFonts w:ascii="Traditional Arabic" w:hAnsi="Traditional Arabic" w:cs="Traditional Arabic"/>
          <w:b/>
          <w:bCs/>
          <w:sz w:val="28"/>
          <w:szCs w:val="28"/>
          <w:rtl/>
        </w:rPr>
        <w:t>Morgan</w:t>
      </w:r>
      <w:proofErr w:type="spellEnd"/>
      <w:r w:rsidRPr="004F6AF4">
        <w:rPr>
          <w:rFonts w:ascii="Traditional Arabic" w:hAnsi="Traditional Arabic" w:cs="Traditional Arabic"/>
          <w:b/>
          <w:bCs/>
          <w:sz w:val="28"/>
          <w:szCs w:val="28"/>
          <w:rtl/>
        </w:rPr>
        <w:t>، بحيث كشفت الدراسة عن أن البنوك الكبرى نجحت في وضع نفسها في موقع مركزي ضمن بنية الترميز من خلال قدرتها على الضغط التنظيمي وامتلاك الموارد التقنية المتقدمة، مما يمكّنها من تشكيل معايير الأمن السيبراني والامتثال التنظيمي بما يخدم مصالحها المؤسسية، وهذا يلقي الضوء على البعد المؤسسي والسياسي لتبني تقنيات الترميز في القطاع المصرفي.</w:t>
      </w:r>
    </w:p>
    <w:p w14:paraId="76A9A5A4"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 xml:space="preserve">كما قدم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إطار عمل </w:t>
      </w:r>
      <w:proofErr w:type="spellStart"/>
      <w:r w:rsidRPr="004F6AF4">
        <w:rPr>
          <w:rFonts w:ascii="Traditional Arabic" w:hAnsi="Traditional Arabic" w:cs="Traditional Arabic"/>
          <w:b/>
          <w:bCs/>
          <w:sz w:val="28"/>
          <w:szCs w:val="28"/>
          <w:rtl/>
        </w:rPr>
        <w:t>بلوكشين</w:t>
      </w:r>
      <w:proofErr w:type="spellEnd"/>
      <w:r w:rsidRPr="004F6AF4">
        <w:rPr>
          <w:rFonts w:ascii="Traditional Arabic" w:hAnsi="Traditional Arabic" w:cs="Traditional Arabic"/>
          <w:b/>
          <w:bCs/>
          <w:sz w:val="28"/>
          <w:szCs w:val="28"/>
          <w:rtl/>
        </w:rPr>
        <w:t xml:space="preserve"> مبتكر يعتمد على منصة </w:t>
      </w:r>
      <w:proofErr w:type="spellStart"/>
      <w:r w:rsidRPr="004F6AF4">
        <w:rPr>
          <w:rFonts w:ascii="Traditional Arabic" w:hAnsi="Traditional Arabic" w:cs="Traditional Arabic"/>
          <w:b/>
          <w:bCs/>
          <w:sz w:val="28"/>
          <w:szCs w:val="28"/>
          <w:rtl/>
        </w:rPr>
        <w:t>Ethereum</w:t>
      </w:r>
      <w:proofErr w:type="spellEnd"/>
      <w:r w:rsidRPr="004F6AF4">
        <w:rPr>
          <w:rFonts w:ascii="Traditional Arabic" w:hAnsi="Traditional Arabic" w:cs="Traditional Arabic"/>
          <w:b/>
          <w:bCs/>
          <w:sz w:val="28"/>
          <w:szCs w:val="28"/>
          <w:rtl/>
        </w:rPr>
        <w:t xml:space="preserve"> لتعزيز الأمن والكفاءة في القطاع المصرفي، وذلك من خلال بناء نظام تجريبي باستخدام العقود الذكية على شبكة</w:t>
      </w:r>
      <w:r w:rsidRPr="004F6AF4">
        <w:rPr>
          <w:rFonts w:ascii="Traditional Arabic" w:hAnsi="Traditional Arabic" w:cs="Traditional Arabic" w:hint="cs"/>
          <w:b/>
          <w:bCs/>
          <w:sz w:val="28"/>
          <w:szCs w:val="28"/>
          <w:rtl/>
        </w:rPr>
        <w:t xml:space="preserve"> </w:t>
      </w:r>
      <w:proofErr w:type="spellStart"/>
      <w:r w:rsidRPr="004F6AF4">
        <w:rPr>
          <w:rFonts w:ascii="Traditional Arabic" w:hAnsi="Traditional Arabic" w:cs="Traditional Arabic"/>
          <w:b/>
          <w:bCs/>
          <w:sz w:val="28"/>
          <w:szCs w:val="28"/>
          <w:rtl/>
        </w:rPr>
        <w:t>Sepolia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Testnet</w:t>
      </w:r>
      <w:proofErr w:type="spellEnd"/>
      <w:r w:rsidRPr="004F6AF4">
        <w:rPr>
          <w:rFonts w:ascii="Traditional Arabic" w:hAnsi="Traditional Arabic" w:cs="Traditional Arabic" w:hint="cs"/>
          <w:b/>
          <w:bCs/>
          <w:sz w:val="28"/>
          <w:szCs w:val="28"/>
          <w:rtl/>
        </w:rPr>
        <w:t xml:space="preserve"> </w:t>
      </w:r>
      <w:r w:rsidRPr="004F6AF4">
        <w:rPr>
          <w:rFonts w:ascii="Traditional Arabic" w:hAnsi="Traditional Arabic" w:cs="Traditional Arabic"/>
          <w:b/>
          <w:bCs/>
          <w:sz w:val="28"/>
          <w:szCs w:val="28"/>
          <w:rtl/>
        </w:rPr>
        <w:t xml:space="preserve">وتطويره بتقنيات </w:t>
      </w:r>
      <w:proofErr w:type="spellStart"/>
      <w:r w:rsidRPr="004F6AF4">
        <w:rPr>
          <w:rFonts w:ascii="Traditional Arabic" w:hAnsi="Traditional Arabic" w:cs="Traditional Arabic"/>
          <w:b/>
          <w:bCs/>
          <w:sz w:val="28"/>
          <w:szCs w:val="28"/>
          <w:rtl/>
        </w:rPr>
        <w:t>Solidity</w:t>
      </w:r>
      <w:proofErr w:type="spellEnd"/>
      <w:r w:rsidRPr="004F6AF4">
        <w:rPr>
          <w:rFonts w:ascii="Traditional Arabic" w:hAnsi="Traditional Arabic" w:cs="Traditional Arabic"/>
          <w:b/>
          <w:bCs/>
          <w:sz w:val="28"/>
          <w:szCs w:val="28"/>
          <w:rtl/>
        </w:rPr>
        <w:t xml:space="preserve"> وEther.js وReact.js، بحيث أظهرت النتائج أن </w:t>
      </w:r>
      <w:r w:rsidRPr="004F6AF4">
        <w:rPr>
          <w:rFonts w:ascii="Traditional Arabic" w:hAnsi="Traditional Arabic" w:cs="Traditional Arabic"/>
          <w:b/>
          <w:bCs/>
          <w:sz w:val="28"/>
          <w:szCs w:val="28"/>
          <w:rtl/>
        </w:rPr>
        <w:lastRenderedPageBreak/>
        <w:t>النظام المقترح نجح في إلغاء الوسطاء من خلال تمكين المعاملات من نظير إلى نظير بشكل آمن ومؤتمت، مع تحسينات ملموسة في سرعة المعاملات وتقليل نقاط الضعف الأمنية المرتبطة بالأنظمة المركزية التقليدية.</w:t>
      </w:r>
    </w:p>
    <w:p w14:paraId="6544727F"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 xml:space="preserve">وفي نفس السياق، استهدف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تصميم أسواق سندات مستقبلية تعتمد على الترميز لخفض تكاليف المعاملات، وذلك باستخدام منهجية </w:t>
      </w:r>
      <w:proofErr w:type="spellStart"/>
      <w:r w:rsidRPr="004F6AF4">
        <w:rPr>
          <w:rFonts w:ascii="Traditional Arabic" w:hAnsi="Traditional Arabic" w:cs="Traditional Arabic"/>
          <w:b/>
          <w:bCs/>
          <w:sz w:val="28"/>
          <w:szCs w:val="28"/>
          <w:rtl/>
        </w:rPr>
        <w:t>Design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Science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Research</w:t>
      </w:r>
      <w:proofErr w:type="spellEnd"/>
      <w:r w:rsidRPr="004F6AF4">
        <w:rPr>
          <w:rFonts w:ascii="Traditional Arabic" w:hAnsi="Traditional Arabic" w:cs="Traditional Arabic"/>
          <w:b/>
          <w:bCs/>
          <w:sz w:val="28"/>
          <w:szCs w:val="28"/>
          <w:rtl/>
        </w:rPr>
        <w:t xml:space="preserve"> لتطوير نموذج نظري ونموذج أولي عملي، بحيث كشفت النتائج أن الترميز يخفض تكاليف المعاملات عبر ثلاثة أبعاد رئيسية بنسب ملحوظة تصل إلى 40% في تكاليف البحث والمعلومات، و50% في تكاليف المفاوضة والتعاقد، و60% في تكاليف المراقبة والإنفاذ، وذلك من خلال الاستفادة من العقود الذكية والشفافية المتأصلة في تقنية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w:t>
      </w:r>
    </w:p>
    <w:p w14:paraId="0DE95DF6"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 xml:space="preserve">بينما فحص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(2023) الآثار المترتبة على الاستقرار المالي من انتشار تقنية الترميز في النظام المالي بشكل عام، وذلك من خلال تحليل نوعي شامل للمخاطر والفرص المرتبطة بالترميز على مستوى النظام المالي، بحيث أظهرت النتائج أن الترميز يقدم فوائد كبيرة من حيث تحسين الكفاءة التشغيلية وخفض التكاليف، لكنه يطرح أيضاً مخاطر نظامية جديدة تتعلق بالاعتماد على البنية التحتية التقنية والتبعية على أطراف ثالثة لإدارة منصات الترميز والحاجة لأطر حوكمة واضحة لضمان الأمن السيبراني ومنع الانتهاكات.</w:t>
      </w:r>
    </w:p>
    <w:p w14:paraId="4CC66874"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من خلال استعراض دراسات المجموعة الأولى، يتضح أن جميعها أكدت على الدور المحوري لتقنية الترميز في تعزيز الأمن السيبراني للمؤسسات المالية من خلال آليات متعددة تشمل إلغاء الوسطاء وتقليل نقاط الضعف المركزية وتوفير الشفافية والسجلات غير القابلة للتعديل (</w:t>
      </w:r>
      <w:proofErr w:type="spellStart"/>
      <w:r w:rsidRPr="004F6AF4">
        <w:rPr>
          <w:rFonts w:ascii="Traditional Arabic" w:hAnsi="Traditional Arabic" w:cs="Traditional Arabic"/>
          <w:b/>
          <w:bCs/>
          <w:sz w:val="28"/>
          <w:szCs w:val="28"/>
          <w:rtl/>
        </w:rPr>
        <w:t>Goghie</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Ahammad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Grossmann</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Carapella</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2023). إلا أن هناك فجوة واضحة في هذه الدراسات تتمثل في غياب التطبيق على السياق السعودي تحديداً، حيث </w:t>
      </w:r>
      <w:proofErr w:type="gramStart"/>
      <w:r w:rsidRPr="004F6AF4">
        <w:rPr>
          <w:rFonts w:ascii="Traditional Arabic" w:hAnsi="Traditional Arabic" w:cs="Traditional Arabic"/>
          <w:b/>
          <w:bCs/>
          <w:sz w:val="28"/>
          <w:szCs w:val="28"/>
          <w:rtl/>
        </w:rPr>
        <w:t>أن</w:t>
      </w:r>
      <w:proofErr w:type="gramEnd"/>
      <w:r w:rsidRPr="004F6AF4">
        <w:rPr>
          <w:rFonts w:ascii="Traditional Arabic" w:hAnsi="Traditional Arabic" w:cs="Traditional Arabic"/>
          <w:b/>
          <w:bCs/>
          <w:sz w:val="28"/>
          <w:szCs w:val="28"/>
          <w:rtl/>
        </w:rPr>
        <w:t xml:space="preserve"> جميع الدراسات المستعرضة ركزت على سياقات أوروبية أو عالمية دون التطرق للخصوصية التنظيمية والثقافية للمملكة العربية السعودية، مما يبرز أهمية إجراء الدراسة الحالية لسد هذه الفجوة البحثية.</w:t>
      </w:r>
    </w:p>
    <w:p w14:paraId="72A20BEB" w14:textId="77777777" w:rsidR="00F00638" w:rsidRDefault="00F00638" w:rsidP="00E000FF">
      <w:pPr>
        <w:bidi/>
        <w:spacing w:after="0" w:line="360" w:lineRule="auto"/>
        <w:jc w:val="both"/>
        <w:rPr>
          <w:rFonts w:ascii="Simplified Arabic" w:hAnsi="Simplified Arabic" w:cs="Simplified Arabic"/>
          <w:sz w:val="28"/>
          <w:szCs w:val="28"/>
          <w:rtl/>
        </w:rPr>
      </w:pPr>
    </w:p>
    <w:p w14:paraId="4DB03825" w14:textId="77777777" w:rsidR="00F00638" w:rsidRPr="00FB5EDA" w:rsidRDefault="00F00638" w:rsidP="00E000FF">
      <w:pPr>
        <w:bidi/>
        <w:spacing w:after="0" w:line="360" w:lineRule="auto"/>
        <w:jc w:val="both"/>
        <w:rPr>
          <w:rFonts w:ascii="Simplified Arabic" w:hAnsi="Simplified Arabic" w:cs="Simplified Arabic"/>
          <w:sz w:val="28"/>
          <w:szCs w:val="28"/>
        </w:rPr>
      </w:pPr>
    </w:p>
    <w:p w14:paraId="7C66D45B" w14:textId="77777777" w:rsidR="00F00638" w:rsidRPr="00FB5EDA"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2.2.2 الدراسات المرتبطة بكفاءة العمليات المالية وتقنية الترميز</w:t>
      </w:r>
    </w:p>
    <w:p w14:paraId="0FED9D00"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 xml:space="preserve">ركزت مجموعة أخرى من الدراسات على قياس تأثير تقنية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والترميز على كفاءة المعاملات المالية بشكل كمي وتطبيقي، حيث هدف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إلى قياس تأثير تقنية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على تكاليف المعاملات المصرفية بشكل كمي من خلال تحليل بيانات 17 بنكاً في الإمارات على مدى 7 سنوات باستخدام تقنية </w:t>
      </w:r>
      <w:proofErr w:type="spellStart"/>
      <w:r w:rsidRPr="004F6AF4">
        <w:rPr>
          <w:rFonts w:ascii="Traditional Arabic" w:hAnsi="Traditional Arabic" w:cs="Traditional Arabic"/>
          <w:b/>
          <w:bCs/>
          <w:sz w:val="28"/>
          <w:szCs w:val="28"/>
          <w:rtl/>
        </w:rPr>
        <w:t>Random</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Forest</w:t>
      </w:r>
      <w:proofErr w:type="spellEnd"/>
      <w:r w:rsidRPr="004F6AF4">
        <w:rPr>
          <w:rFonts w:ascii="Traditional Arabic" w:hAnsi="Traditional Arabic" w:cs="Traditional Arabic"/>
          <w:b/>
          <w:bCs/>
          <w:sz w:val="28"/>
          <w:szCs w:val="28"/>
          <w:rtl/>
        </w:rPr>
        <w:t xml:space="preserve">، بحيث أظهرت النتائج علاقة سلبية قوية بمعامل ارتباط -0.73 بين تبني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وتكاليف المعاملات، مع انخفاض ملحوظ في تكاليف المعالجة بنسبة 52%، وتكاليف التسوية والمقاصة بنسبة 48%، وتكاليف الامتثال والمراجعة بنسبة 41%، وكشفت الدراسة أيضاً عن منحنى تبني يشير إلى أن الوفورات تتسارع بشكل كبير بعد تجاوز عتبة 40% من المعاملات على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w:t>
      </w:r>
    </w:p>
    <w:p w14:paraId="29ACB8E2"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 xml:space="preserve">كما فحص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العلاقة بين تبني تقنية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والأداء المالي للبنوك الأسترالية الكبرى وذلك من خلال دراسة وصفية تحليلية لبيانات ثانوية من التقارير السنوية لثلاثة بنوك رئيسية خلال الفترة 2016-2023، بحيث قاست الدراسة الأداء المالي من خلال معدل العائد على الأصول ومعدل العائد على حقوق الملكية، وأظهرت النتائج علاقة إيجابية بين تبني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وتحسن الأداء المالي مع مكاسب واضحة في الكفاءة وإدارة التكاليف والربحية، ومثال بارز هو مشروع </w:t>
      </w:r>
      <w:proofErr w:type="spellStart"/>
      <w:r w:rsidRPr="004F6AF4">
        <w:rPr>
          <w:rFonts w:ascii="Traditional Arabic" w:hAnsi="Traditional Arabic" w:cs="Traditional Arabic"/>
          <w:b/>
          <w:bCs/>
          <w:sz w:val="28"/>
          <w:szCs w:val="28"/>
          <w:rtl/>
        </w:rPr>
        <w:t>Lygon</w:t>
      </w:r>
      <w:proofErr w:type="spellEnd"/>
      <w:r w:rsidRPr="004F6AF4">
        <w:rPr>
          <w:rFonts w:ascii="Traditional Arabic" w:hAnsi="Traditional Arabic" w:cs="Traditional Arabic"/>
          <w:b/>
          <w:bCs/>
          <w:sz w:val="28"/>
          <w:szCs w:val="28"/>
          <w:rtl/>
        </w:rPr>
        <w:t xml:space="preserve"> الذي خفض وقت معالجة الضمانات المصرفية من 30 يوماً إلى أقل من يوم واحد.</w:t>
      </w:r>
    </w:p>
    <w:p w14:paraId="623D6C33"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 xml:space="preserve">وفي سياق مماثل، استهدف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xml:space="preserve"> (2025) تحليل كيفية معالجة الترميز لأوجه القصور في الأسواق المالية من خلال نمذجة نظرية وتحليل تجريبي لبيانات أسواق السندات الكندية، بحيث كشفت النتائج أن الترميز يخفض تكاليف إصدار الأصول بشكل دائم مما قد يؤثر على هياكل الرافعة المالية للمؤسسات، كما أظهرت الدراسة أن القابلية البرمجية للأصول </w:t>
      </w:r>
      <w:proofErr w:type="spellStart"/>
      <w:r w:rsidRPr="004F6AF4">
        <w:rPr>
          <w:rFonts w:ascii="Traditional Arabic" w:hAnsi="Traditional Arabic" w:cs="Traditional Arabic"/>
          <w:b/>
          <w:bCs/>
          <w:sz w:val="28"/>
          <w:szCs w:val="28"/>
          <w:rtl/>
        </w:rPr>
        <w:t>المرمزة</w:t>
      </w:r>
      <w:proofErr w:type="spellEnd"/>
      <w:r w:rsidRPr="004F6AF4">
        <w:rPr>
          <w:rFonts w:ascii="Traditional Arabic" w:hAnsi="Traditional Arabic" w:cs="Traditional Arabic"/>
          <w:b/>
          <w:bCs/>
          <w:sz w:val="28"/>
          <w:szCs w:val="28"/>
          <w:rtl/>
        </w:rPr>
        <w:t xml:space="preserve"> تسهل إعادة الرهن التلقائية للضمانات مما يحسن كفاءة استخدام رأس المال.</w:t>
      </w:r>
    </w:p>
    <w:p w14:paraId="696CBFE9"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 xml:space="preserve">بينما بحث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في تأثير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والعقود الذكية على ديناميكيات الثقة في القطاع المالي باستخدام منهجية مختلطة تجمع بين دراسات الحالة مثل منصة </w:t>
      </w:r>
      <w:proofErr w:type="spellStart"/>
      <w:r w:rsidRPr="004F6AF4">
        <w:rPr>
          <w:rFonts w:ascii="Traditional Arabic" w:hAnsi="Traditional Arabic" w:cs="Traditional Arabic"/>
          <w:b/>
          <w:bCs/>
          <w:sz w:val="28"/>
          <w:szCs w:val="28"/>
          <w:rtl/>
        </w:rPr>
        <w:t>Quorum</w:t>
      </w:r>
      <w:proofErr w:type="spellEnd"/>
      <w:r w:rsidRPr="004F6AF4">
        <w:rPr>
          <w:rFonts w:ascii="Traditional Arabic" w:hAnsi="Traditional Arabic" w:cs="Traditional Arabic"/>
          <w:b/>
          <w:bCs/>
          <w:sz w:val="28"/>
          <w:szCs w:val="28"/>
          <w:rtl/>
        </w:rPr>
        <w:t xml:space="preserve"> من J.P. </w:t>
      </w:r>
      <w:proofErr w:type="spellStart"/>
      <w:r w:rsidRPr="004F6AF4">
        <w:rPr>
          <w:rFonts w:ascii="Traditional Arabic" w:hAnsi="Traditional Arabic" w:cs="Traditional Arabic"/>
          <w:b/>
          <w:bCs/>
          <w:sz w:val="28"/>
          <w:szCs w:val="28"/>
          <w:rtl/>
        </w:rPr>
        <w:t>Morgan</w:t>
      </w:r>
      <w:proofErr w:type="spellEnd"/>
      <w:r w:rsidRPr="004F6AF4">
        <w:rPr>
          <w:rFonts w:ascii="Traditional Arabic" w:hAnsi="Traditional Arabic" w:cs="Traditional Arabic"/>
          <w:b/>
          <w:bCs/>
          <w:sz w:val="28"/>
          <w:szCs w:val="28"/>
          <w:rtl/>
        </w:rPr>
        <w:t xml:space="preserve"> والتحليل الكيفي، بحيث أظهرت النتائج أن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يقلل بشكل كبير من تكاليف المعاملات من خلال إلغاء الحاجة </w:t>
      </w:r>
      <w:r w:rsidRPr="004F6AF4">
        <w:rPr>
          <w:rFonts w:ascii="Traditional Arabic" w:hAnsi="Traditional Arabic" w:cs="Traditional Arabic"/>
          <w:b/>
          <w:bCs/>
          <w:sz w:val="28"/>
          <w:szCs w:val="28"/>
          <w:rtl/>
        </w:rPr>
        <w:lastRenderedPageBreak/>
        <w:t>للوسطاء ويعزز الشفافية عبر السجلات غير القابلة للتعديل ويزيد الأمن من خلال آليات الإجماع اللامركزية، لكنها كشفت أيضاً أن الانتقال من الثقة المؤسسية إلى الثقة اللامركزية يطرح تحديات تنظيمية وحوكمة جديدة.</w:t>
      </w:r>
    </w:p>
    <w:p w14:paraId="0C0B3041" w14:textId="77777777" w:rsidR="00F00638" w:rsidRPr="004F6AF4" w:rsidRDefault="00F00638" w:rsidP="00E000FF">
      <w:pPr>
        <w:bidi/>
        <w:spacing w:after="0" w:line="360" w:lineRule="auto"/>
        <w:jc w:val="both"/>
        <w:rPr>
          <w:rFonts w:ascii="Simplified Arabic" w:hAnsi="Simplified Arabic" w:cs="Simplified Arabic"/>
          <w:b/>
          <w:bCs/>
          <w:sz w:val="32"/>
          <w:szCs w:val="32"/>
        </w:rPr>
      </w:pPr>
      <w:r w:rsidRPr="004F6AF4">
        <w:rPr>
          <w:rFonts w:ascii="Traditional Arabic" w:hAnsi="Traditional Arabic" w:cs="Traditional Arabic"/>
          <w:b/>
          <w:bCs/>
          <w:sz w:val="28"/>
          <w:szCs w:val="28"/>
          <w:rtl/>
        </w:rPr>
        <w:t xml:space="preserve">تتفق دراسات المجموعة الثانية على أن تقنية الترميز </w:t>
      </w:r>
      <w:proofErr w:type="spellStart"/>
      <w:r w:rsidRPr="004F6AF4">
        <w:rPr>
          <w:rFonts w:ascii="Traditional Arabic" w:hAnsi="Traditional Arabic" w:cs="Traditional Arabic"/>
          <w:b/>
          <w:bCs/>
          <w:sz w:val="28"/>
          <w:szCs w:val="28"/>
          <w:rtl/>
        </w:rPr>
        <w:t>والبلوكشين</w:t>
      </w:r>
      <w:proofErr w:type="spellEnd"/>
      <w:r w:rsidRPr="004F6AF4">
        <w:rPr>
          <w:rFonts w:ascii="Traditional Arabic" w:hAnsi="Traditional Arabic" w:cs="Traditional Arabic"/>
          <w:b/>
          <w:bCs/>
          <w:sz w:val="28"/>
          <w:szCs w:val="28"/>
          <w:rtl/>
        </w:rPr>
        <w:t xml:space="preserve"> تحقق تحسينات جوهرية في كفاءة العمليات المالية من خلال خفض التكاليف وتسريع المعاملات وتحسين الأداء المالي الإجمالي (Al-</w:t>
      </w:r>
      <w:proofErr w:type="spellStart"/>
      <w:r w:rsidRPr="004F6AF4">
        <w:rPr>
          <w:rFonts w:ascii="Traditional Arabic" w:hAnsi="Traditional Arabic" w:cs="Traditional Arabic"/>
          <w:b/>
          <w:bCs/>
          <w:sz w:val="28"/>
          <w:szCs w:val="28"/>
          <w:rtl/>
        </w:rPr>
        <w:t>Qudah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Almadadha</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Lavayssière</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Zhang</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Udeh</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2025). وقد قدمت هذه الدراسات أدلة كمية قوية على هذه التحسينات من سياقات جغرافية متنوعة تشمل الإمارات وأستراليا وكندا، مما يعزز من موثوقية النتائج. إلا أن الفجوة البحثية تبقى قائمة فيما يتعلق بالسياق السعودي، حيث لم تتناول أي من هذه الدراسات تأثير الترميز على كفاءة العمليات في المؤسسات المالية السعودية بأنواعها المختلفة، مما يؤكد على ضرورة إجراء الدراسة الحالية.</w:t>
      </w:r>
    </w:p>
    <w:p w14:paraId="2446E297" w14:textId="77777777" w:rsidR="00F00638" w:rsidRPr="00FB5EDA" w:rsidRDefault="00F00638" w:rsidP="00E000FF">
      <w:pPr>
        <w:bidi/>
        <w:spacing w:after="0" w:line="360" w:lineRule="auto"/>
        <w:jc w:val="both"/>
        <w:rPr>
          <w:rFonts w:ascii="Simplified Arabic" w:hAnsi="Simplified Arabic" w:cs="Simplified Arabic"/>
          <w:sz w:val="28"/>
          <w:szCs w:val="28"/>
          <w:rtl/>
        </w:rPr>
      </w:pPr>
    </w:p>
    <w:p w14:paraId="4E6F7E71" w14:textId="77777777" w:rsidR="00F00638" w:rsidRPr="00FB5EDA" w:rsidRDefault="00F00638"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2.2.3 الدراسات المرتبطة برؤية 2030 والتحول الرقمي في القطاع المالي</w:t>
      </w:r>
    </w:p>
    <w:p w14:paraId="265288BF"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تناولت بعض الدراسات الحديثة التحول الرقمي في القطاع المالي في السياق الإقليمي القريب من المملكة العربية السعودية، حيث هدف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إلى فحص دور تقنية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في إدارة الكفاءة وخفض التكاليف في القطاع المصرفي الأردني كسياق إقليمي مشابه للسعودية من خلال منهجية مسحية لجمع بيانات من مديري تقنية المعلومات والمديرين الماليين في البنوك الأردنية، بحيث أظهرت النتائج أن تبني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يساهم بشكل ملموس في تحسين الكفاءة التشغيلية وخفض التكاليف خاصة في عمليات المدفوعات عبر الحدود والتحقق من الهوية وإدارة السجلات، كما أكدت الدراسة على أهمية الدعم التنظيمي والتوعية المؤسسية لنجاح التبني.</w:t>
      </w:r>
    </w:p>
    <w:p w14:paraId="4754DD1B"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كما استهدف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إجراء تحليل محتوى شامل لتطبيقات تقنية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في القطاع المصرفي مع التركيز على العملات الرقمية للبنوك المركزية من خلال منهجية </w:t>
      </w:r>
      <w:proofErr w:type="spellStart"/>
      <w:r w:rsidRPr="004F6AF4">
        <w:rPr>
          <w:rFonts w:ascii="Traditional Arabic" w:hAnsi="Traditional Arabic" w:cs="Traditional Arabic"/>
          <w:b/>
          <w:bCs/>
          <w:sz w:val="28"/>
          <w:szCs w:val="28"/>
          <w:rtl/>
        </w:rPr>
        <w:t>IntelliSLR</w:t>
      </w:r>
      <w:proofErr w:type="spellEnd"/>
      <w:r w:rsidRPr="004F6AF4">
        <w:rPr>
          <w:rFonts w:ascii="Traditional Arabic" w:hAnsi="Traditional Arabic" w:cs="Traditional Arabic"/>
          <w:b/>
          <w:bCs/>
          <w:sz w:val="28"/>
          <w:szCs w:val="28"/>
          <w:rtl/>
        </w:rPr>
        <w:t xml:space="preserve"> التي تجمع بين نمذجة المواضيع الذكية وتحليل المحتوى التقليدي وفق إرشادات PRISMA، بحيث أظهرت النتائج أن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يسهل الانتقال </w:t>
      </w:r>
      <w:r w:rsidRPr="004F6AF4">
        <w:rPr>
          <w:rFonts w:ascii="Traditional Arabic" w:hAnsi="Traditional Arabic" w:cs="Traditional Arabic"/>
          <w:b/>
          <w:bCs/>
          <w:sz w:val="28"/>
          <w:szCs w:val="28"/>
          <w:rtl/>
        </w:rPr>
        <w:lastRenderedPageBreak/>
        <w:t xml:space="preserve">من النظام المصرفي المركزي إلى اللامركزي مع تعزيز الأمن والثقة والشفافية، وكشفت الدراسة عن اتجاه عالمي متزايد نحو تطبيق العملات الرقمية للبنوك المركزية باستخدام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مع تحديات تتعلق بالقابلية للتوسع والخصوصية والحوكمة.</w:t>
      </w:r>
    </w:p>
    <w:p w14:paraId="1DB326D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تشير دراسات المجموعة الثالثة إلى أهمية السياق الإقليمي والتنظيمي في نجاح تبني تقنيات الترميز </w:t>
      </w:r>
      <w:proofErr w:type="spellStart"/>
      <w:r w:rsidRPr="004F6AF4">
        <w:rPr>
          <w:rFonts w:ascii="Traditional Arabic" w:hAnsi="Traditional Arabic" w:cs="Traditional Arabic"/>
          <w:b/>
          <w:bCs/>
          <w:sz w:val="28"/>
          <w:szCs w:val="28"/>
          <w:rtl/>
        </w:rPr>
        <w:t>والبلوكشين</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Islam &amp; </w:t>
      </w:r>
      <w:proofErr w:type="spellStart"/>
      <w:r w:rsidRPr="004F6AF4">
        <w:rPr>
          <w:rFonts w:ascii="Traditional Arabic" w:hAnsi="Traditional Arabic" w:cs="Traditional Arabic"/>
          <w:b/>
          <w:bCs/>
          <w:sz w:val="28"/>
          <w:szCs w:val="28"/>
          <w:rtl/>
        </w:rPr>
        <w:t>In</w:t>
      </w:r>
      <w:proofErr w:type="spellEnd"/>
      <w:r w:rsidRPr="004F6AF4">
        <w:rPr>
          <w:rFonts w:ascii="Traditional Arabic" w:hAnsi="Traditional Arabic" w:cs="Traditional Arabic"/>
          <w:b/>
          <w:bCs/>
          <w:sz w:val="28"/>
          <w:szCs w:val="28"/>
          <w:rtl/>
        </w:rPr>
        <w:t xml:space="preserve">, 2024)، حيث </w:t>
      </w:r>
      <w:proofErr w:type="gramStart"/>
      <w:r w:rsidRPr="004F6AF4">
        <w:rPr>
          <w:rFonts w:ascii="Traditional Arabic" w:hAnsi="Traditional Arabic" w:cs="Traditional Arabic"/>
          <w:b/>
          <w:bCs/>
          <w:sz w:val="28"/>
          <w:szCs w:val="28"/>
          <w:rtl/>
        </w:rPr>
        <w:t>أن</w:t>
      </w:r>
      <w:proofErr w:type="gramEnd"/>
      <w:r w:rsidRPr="004F6AF4">
        <w:rPr>
          <w:rFonts w:ascii="Traditional Arabic" w:hAnsi="Traditional Arabic" w:cs="Traditional Arabic"/>
          <w:b/>
          <w:bCs/>
          <w:sz w:val="28"/>
          <w:szCs w:val="28"/>
          <w:rtl/>
        </w:rPr>
        <w:t xml:space="preserve"> العوامل الثقافية والتنظيمية والمؤسسية تلعب دوراً محورياً في تحديد معدل ونجاح التبني. وبينما قدمت دراسة </w:t>
      </w:r>
      <w:proofErr w:type="spellStart"/>
      <w:r w:rsidRPr="004F6AF4">
        <w:rPr>
          <w:rFonts w:ascii="Traditional Arabic" w:hAnsi="Traditional Arabic" w:cs="Traditional Arabic"/>
          <w:b/>
          <w:bCs/>
          <w:sz w:val="28"/>
          <w:szCs w:val="28"/>
          <w:rtl/>
        </w:rPr>
        <w:t>Sakarneh</w:t>
      </w:r>
      <w:proofErr w:type="spellEnd"/>
      <w:r w:rsidRPr="004F6AF4">
        <w:rPr>
          <w:rFonts w:ascii="Traditional Arabic" w:hAnsi="Traditional Arabic" w:cs="Traditional Arabic"/>
          <w:b/>
          <w:bCs/>
          <w:sz w:val="28"/>
          <w:szCs w:val="28"/>
          <w:rtl/>
        </w:rPr>
        <w:t xml:space="preserve"> &amp; </w:t>
      </w:r>
      <w:proofErr w:type="spellStart"/>
      <w:r w:rsidRPr="004F6AF4">
        <w:rPr>
          <w:rFonts w:ascii="Traditional Arabic" w:hAnsi="Traditional Arabic" w:cs="Traditional Arabic"/>
          <w:b/>
          <w:bCs/>
          <w:sz w:val="28"/>
          <w:szCs w:val="28"/>
          <w:rtl/>
        </w:rPr>
        <w:t>Kilani</w:t>
      </w:r>
      <w:proofErr w:type="spellEnd"/>
      <w:r w:rsidRPr="004F6AF4">
        <w:rPr>
          <w:rFonts w:ascii="Traditional Arabic" w:hAnsi="Traditional Arabic" w:cs="Traditional Arabic"/>
          <w:b/>
          <w:bCs/>
          <w:sz w:val="28"/>
          <w:szCs w:val="28"/>
          <w:rtl/>
        </w:rPr>
        <w:t xml:space="preserve"> (2024) رؤى قيمة من السياق الأردني كبيئة عربية إقليمية، إلا أن هناك اختلافات جوهرية بين السياق الأردني والسياق السعودي من حيث حجم القطاع المالي والموارد المتاحة والأهداف الاستراتيجية الوطنية المتمثلة في رؤية 2030، مما يستدعي إجراء دراسة مستقلة تركز على السياق السعودي بشكل محدد وتربط بين تقنية الترميز وأهداف رؤية 2030 بشكل مباشر.</w:t>
      </w:r>
    </w:p>
    <w:p w14:paraId="7CE6756C" w14:textId="77777777" w:rsidR="00F00638" w:rsidRPr="004F6AF4" w:rsidRDefault="00F00638" w:rsidP="00E000FF">
      <w:pPr>
        <w:bidi/>
        <w:spacing w:after="0" w:line="360" w:lineRule="auto"/>
        <w:jc w:val="both"/>
        <w:rPr>
          <w:rFonts w:ascii="Simplified Arabic" w:hAnsi="Simplified Arabic" w:cs="Simplified Arabic"/>
          <w:b/>
          <w:bCs/>
          <w:sz w:val="28"/>
          <w:szCs w:val="28"/>
        </w:rPr>
      </w:pPr>
    </w:p>
    <w:p w14:paraId="3033B695"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2.2.4 الدراسات المرتبطة بتطبيقات الترميز في المؤسسات المالية</w:t>
      </w:r>
    </w:p>
    <w:p w14:paraId="4AF03FD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ركزت مجموعة من الدراسات على التطبيقات الفعلية لتقنية الترميز في قطاعات وأصول متنوعة، حيث قدمت دراسة جماعية من باحثين متعددين (</w:t>
      </w:r>
      <w:proofErr w:type="spellStart"/>
      <w:r w:rsidRPr="004F6AF4">
        <w:rPr>
          <w:rFonts w:ascii="Traditional Arabic" w:hAnsi="Traditional Arabic" w:cs="Traditional Arabic"/>
          <w:b/>
          <w:bCs/>
          <w:sz w:val="28"/>
          <w:szCs w:val="28"/>
          <w:rtl/>
        </w:rPr>
        <w:t>Multiple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Authors</w:t>
      </w:r>
      <w:proofErr w:type="spellEnd"/>
      <w:r w:rsidRPr="004F6AF4">
        <w:rPr>
          <w:rFonts w:ascii="Traditional Arabic" w:hAnsi="Traditional Arabic" w:cs="Traditional Arabic"/>
          <w:b/>
          <w:bCs/>
          <w:sz w:val="28"/>
          <w:szCs w:val="28"/>
          <w:rtl/>
        </w:rPr>
        <w:t xml:space="preserve">, 2025) تحليلاً قانونياً مقارناً لترميز الأصول الواقعية شمل دراسة حالات من أسواق متعددة، بحيث أظهرت النتائج أن ترميز الأصول الواقعية شهد نمواً كبيراً حيث بلغت قيمة الأوراق المالية </w:t>
      </w:r>
      <w:proofErr w:type="spellStart"/>
      <w:r w:rsidRPr="004F6AF4">
        <w:rPr>
          <w:rFonts w:ascii="Traditional Arabic" w:hAnsi="Traditional Arabic" w:cs="Traditional Arabic"/>
          <w:b/>
          <w:bCs/>
          <w:sz w:val="28"/>
          <w:szCs w:val="28"/>
          <w:rtl/>
        </w:rPr>
        <w:t>المرمزة</w:t>
      </w:r>
      <w:proofErr w:type="spellEnd"/>
      <w:r w:rsidRPr="004F6AF4">
        <w:rPr>
          <w:rFonts w:ascii="Traditional Arabic" w:hAnsi="Traditional Arabic" w:cs="Traditional Arabic"/>
          <w:b/>
          <w:bCs/>
          <w:sz w:val="28"/>
          <w:szCs w:val="28"/>
          <w:rtl/>
        </w:rPr>
        <w:t xml:space="preserve"> حوالي 225 مليار دولار مع قيادة أوروبا بأكثر من 600 مليون دولار في سندات رقمية وآسيا ب200 مليون دولار، لكن الدراسة أبرزت التحديات الرئيسية بما في ذلك الفجوات التنظيمية ومخاوف الأمن السيبراني وقيود القابلية للتوسع والتشغيل البيني ومقاومة المؤسسات التقليدية.</w:t>
      </w:r>
    </w:p>
    <w:p w14:paraId="7DCD8FB7"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كما فحص </w:t>
      </w:r>
      <w:proofErr w:type="spellStart"/>
      <w:r w:rsidRPr="004F6AF4">
        <w:rPr>
          <w:rFonts w:ascii="Traditional Arabic" w:hAnsi="Traditional Arabic" w:cs="Traditional Arabic"/>
          <w:b/>
          <w:bCs/>
          <w:sz w:val="28"/>
          <w:szCs w:val="28"/>
          <w:rtl/>
        </w:rPr>
        <w:t>Adigwe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ترميز الأصول الزراعية وتعزيز أمن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ضد الاحتيال والمخاطر السيبرانية من خلال منهجية تجريبية تعتمد على تحليل بيانات من </w:t>
      </w:r>
      <w:proofErr w:type="spellStart"/>
      <w:r w:rsidRPr="004F6AF4">
        <w:rPr>
          <w:rFonts w:ascii="Traditional Arabic" w:hAnsi="Traditional Arabic" w:cs="Traditional Arabic"/>
          <w:b/>
          <w:bCs/>
          <w:sz w:val="28"/>
          <w:szCs w:val="28"/>
          <w:rtl/>
        </w:rPr>
        <w:t>World</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Bank</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Global</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Findex</w:t>
      </w:r>
      <w:proofErr w:type="spellEnd"/>
      <w:r w:rsidRPr="004F6AF4">
        <w:rPr>
          <w:rFonts w:ascii="Traditional Arabic" w:hAnsi="Traditional Arabic" w:cs="Traditional Arabic"/>
          <w:b/>
          <w:bCs/>
          <w:sz w:val="28"/>
          <w:szCs w:val="28"/>
          <w:rtl/>
        </w:rPr>
        <w:t xml:space="preserve"> وسجلات معاملات </w:t>
      </w:r>
      <w:proofErr w:type="spellStart"/>
      <w:r w:rsidRPr="004F6AF4">
        <w:rPr>
          <w:rFonts w:ascii="Traditional Arabic" w:hAnsi="Traditional Arabic" w:cs="Traditional Arabic"/>
          <w:b/>
          <w:bCs/>
          <w:sz w:val="28"/>
          <w:szCs w:val="28"/>
          <w:rtl/>
        </w:rPr>
        <w:t>Ethereum</w:t>
      </w:r>
      <w:proofErr w:type="spellEnd"/>
      <w:r w:rsidRPr="004F6AF4">
        <w:rPr>
          <w:rFonts w:ascii="Traditional Arabic" w:hAnsi="Traditional Arabic" w:cs="Traditional Arabic"/>
          <w:b/>
          <w:bCs/>
          <w:sz w:val="28"/>
          <w:szCs w:val="28"/>
          <w:rtl/>
        </w:rPr>
        <w:t xml:space="preserve"> وإحصاءات FAO، بحيث أظهرت النتائج أن الترميز يقلل وقت صرف </w:t>
      </w:r>
      <w:r w:rsidRPr="004F6AF4">
        <w:rPr>
          <w:rFonts w:ascii="Traditional Arabic" w:hAnsi="Traditional Arabic" w:cs="Traditional Arabic"/>
          <w:b/>
          <w:bCs/>
          <w:sz w:val="28"/>
          <w:szCs w:val="28"/>
          <w:rtl/>
        </w:rPr>
        <w:lastRenderedPageBreak/>
        <w:t xml:space="preserve">القروض بنسبة 31.3% ويخفض تكاليف المعاملات بنسبة 37.3% ويزيد الشفافية المالية بنسبة 40% مع انخفاض حالات الاحتيال بنسبة 15% في المعاملات المدعومة </w:t>
      </w:r>
      <w:proofErr w:type="spellStart"/>
      <w:r w:rsidRPr="004F6AF4">
        <w:rPr>
          <w:rFonts w:ascii="Traditional Arabic" w:hAnsi="Traditional Arabic" w:cs="Traditional Arabic"/>
          <w:b/>
          <w:bCs/>
          <w:sz w:val="28"/>
          <w:szCs w:val="28"/>
          <w:rtl/>
        </w:rPr>
        <w:t>بالبلوكشين</w:t>
      </w:r>
      <w:proofErr w:type="spellEnd"/>
      <w:r w:rsidRPr="004F6AF4">
        <w:rPr>
          <w:rFonts w:ascii="Traditional Arabic" w:hAnsi="Traditional Arabic" w:cs="Traditional Arabic"/>
          <w:b/>
          <w:bCs/>
          <w:sz w:val="28"/>
          <w:szCs w:val="28"/>
          <w:rtl/>
        </w:rPr>
        <w:t>، وأوصت الدراسة بتعزيز أمن العقود الذكية والتحقق اللامركزي من الهوية والرقابة التنظيمية.</w:t>
      </w:r>
    </w:p>
    <w:p w14:paraId="520F484E"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 xml:space="preserve">بينما استهدف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قياس تأثير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على الخدمات المالية والمعاملات الرقمية على نطاق واسع من خلال منهجية مختلطة على مدى 24 شهراً شملت تحليل 500 مؤسسة مالية في 25 دولة مع استطلاعات ومقابلات ودراسات حالة، بحيث أظهرت النتائج انخفاضاً بنسبة 42.6% في تكاليف المعاملات وانخفاضاً بنسبة 78.3% في أوقات معالجة المعاملات عبر الحدود وانخفاضاً بنسبة 56.2% في حوادث الأمن السيبراني، كما كشفت الدراسة أن معدل تبني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 xml:space="preserve"> في البنوك التقليدية بلغ 47.3% بينما في شركات </w:t>
      </w:r>
      <w:proofErr w:type="spellStart"/>
      <w:r w:rsidRPr="004F6AF4">
        <w:rPr>
          <w:rFonts w:ascii="Traditional Arabic" w:hAnsi="Traditional Arabic" w:cs="Traditional Arabic"/>
          <w:b/>
          <w:bCs/>
          <w:sz w:val="28"/>
          <w:szCs w:val="28"/>
          <w:rtl/>
        </w:rPr>
        <w:t>الفنتك</w:t>
      </w:r>
      <w:proofErr w:type="spellEnd"/>
      <w:r w:rsidRPr="004F6AF4">
        <w:rPr>
          <w:rFonts w:ascii="Traditional Arabic" w:hAnsi="Traditional Arabic" w:cs="Traditional Arabic"/>
          <w:b/>
          <w:bCs/>
          <w:sz w:val="28"/>
          <w:szCs w:val="28"/>
          <w:rtl/>
        </w:rPr>
        <w:t xml:space="preserve"> بلغ 68.9%، وأظهر تحليل الانحدار أن 84.7% من التباين في الأداء المالي يمكن تفسيره بعوامل تبني </w:t>
      </w:r>
      <w:proofErr w:type="spellStart"/>
      <w:r w:rsidRPr="004F6AF4">
        <w:rPr>
          <w:rFonts w:ascii="Traditional Arabic" w:hAnsi="Traditional Arabic" w:cs="Traditional Arabic"/>
          <w:b/>
          <w:bCs/>
          <w:sz w:val="28"/>
          <w:szCs w:val="28"/>
          <w:rtl/>
        </w:rPr>
        <w:t>البلوكشين</w:t>
      </w:r>
      <w:proofErr w:type="spellEnd"/>
      <w:r w:rsidRPr="004F6AF4">
        <w:rPr>
          <w:rFonts w:ascii="Traditional Arabic" w:hAnsi="Traditional Arabic" w:cs="Traditional Arabic"/>
          <w:b/>
          <w:bCs/>
          <w:sz w:val="28"/>
          <w:szCs w:val="28"/>
          <w:rtl/>
        </w:rPr>
        <w:t>.</w:t>
      </w:r>
    </w:p>
    <w:p w14:paraId="2F55B6AC" w14:textId="77777777" w:rsidR="00F00638" w:rsidRPr="00FB5EDA"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b/>
          <w:bCs/>
          <w:sz w:val="28"/>
          <w:szCs w:val="28"/>
          <w:rtl/>
        </w:rPr>
        <w:t>تكشف دراسات المجموعة الرابعة عن التنوع الكبير في تطبيقات تقنية الترميز عبر قطاعات وأصول وجغرافيات مختلفة (</w:t>
      </w:r>
      <w:proofErr w:type="spellStart"/>
      <w:r w:rsidRPr="004F6AF4">
        <w:rPr>
          <w:rFonts w:ascii="Traditional Arabic" w:hAnsi="Traditional Arabic" w:cs="Traditional Arabic"/>
          <w:b/>
          <w:bCs/>
          <w:sz w:val="28"/>
          <w:szCs w:val="28"/>
          <w:rtl/>
        </w:rPr>
        <w:t>Multiple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Authors</w:t>
      </w:r>
      <w:proofErr w:type="spellEnd"/>
      <w:r w:rsidRPr="004F6AF4">
        <w:rPr>
          <w:rFonts w:ascii="Traditional Arabic" w:hAnsi="Traditional Arabic" w:cs="Traditional Arabic"/>
          <w:b/>
          <w:bCs/>
          <w:sz w:val="28"/>
          <w:szCs w:val="28"/>
          <w:rtl/>
        </w:rPr>
        <w:t xml:space="preserve">, 2025; </w:t>
      </w:r>
      <w:proofErr w:type="spellStart"/>
      <w:r w:rsidRPr="004F6AF4">
        <w:rPr>
          <w:rFonts w:ascii="Traditional Arabic" w:hAnsi="Traditional Arabic" w:cs="Traditional Arabic"/>
          <w:b/>
          <w:bCs/>
          <w:sz w:val="28"/>
          <w:szCs w:val="28"/>
          <w:rtl/>
        </w:rPr>
        <w:t>Adigwe</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حيث </w:t>
      </w:r>
      <w:proofErr w:type="gramStart"/>
      <w:r w:rsidRPr="004F6AF4">
        <w:rPr>
          <w:rFonts w:ascii="Traditional Arabic" w:hAnsi="Traditional Arabic" w:cs="Traditional Arabic"/>
          <w:b/>
          <w:bCs/>
          <w:sz w:val="28"/>
          <w:szCs w:val="28"/>
          <w:rtl/>
        </w:rPr>
        <w:t>أن</w:t>
      </w:r>
      <w:proofErr w:type="gramEnd"/>
      <w:r w:rsidRPr="004F6AF4">
        <w:rPr>
          <w:rFonts w:ascii="Traditional Arabic" w:hAnsi="Traditional Arabic" w:cs="Traditional Arabic"/>
          <w:b/>
          <w:bCs/>
          <w:sz w:val="28"/>
          <w:szCs w:val="28"/>
          <w:rtl/>
        </w:rPr>
        <w:t xml:space="preserve"> التقنية أثبتت قدرتها على تحسين الكفاءة والأمن في سياقات متنوعة تتراوح من الأصول الزراعية إلى الأوراق المالية التقليدية. وتبرز دراسة </w:t>
      </w:r>
      <w:proofErr w:type="spellStart"/>
      <w:r w:rsidRPr="004F6AF4">
        <w:rPr>
          <w:rFonts w:ascii="Traditional Arabic" w:hAnsi="Traditional Arabic" w:cs="Traditional Arabic"/>
          <w:b/>
          <w:bCs/>
          <w:sz w:val="28"/>
          <w:szCs w:val="28"/>
          <w:rtl/>
        </w:rPr>
        <w:t>Karanovic</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et</w:t>
      </w:r>
      <w:proofErr w:type="spellEnd"/>
      <w:r w:rsidRPr="004F6AF4">
        <w:rPr>
          <w:rFonts w:ascii="Traditional Arabic" w:hAnsi="Traditional Arabic" w:cs="Traditional Arabic"/>
          <w:b/>
          <w:bCs/>
          <w:sz w:val="28"/>
          <w:szCs w:val="28"/>
          <w:rtl/>
        </w:rPr>
        <w:t xml:space="preserve"> </w:t>
      </w:r>
      <w:proofErr w:type="spellStart"/>
      <w:r w:rsidRPr="004F6AF4">
        <w:rPr>
          <w:rFonts w:ascii="Traditional Arabic" w:hAnsi="Traditional Arabic" w:cs="Traditional Arabic"/>
          <w:b/>
          <w:bCs/>
          <w:sz w:val="28"/>
          <w:szCs w:val="28"/>
          <w:rtl/>
        </w:rPr>
        <w:t>al</w:t>
      </w:r>
      <w:proofErr w:type="spellEnd"/>
      <w:r w:rsidRPr="004F6AF4">
        <w:rPr>
          <w:rFonts w:ascii="Traditional Arabic" w:hAnsi="Traditional Arabic" w:cs="Traditional Arabic"/>
          <w:b/>
          <w:bCs/>
          <w:sz w:val="28"/>
          <w:szCs w:val="28"/>
          <w:rtl/>
        </w:rPr>
        <w:t xml:space="preserve">. (2024) بشكل خاص من خلال نطاقها الواسع الذي شمل 500 مؤسسة في 25 دولة، مما يوفر قاعدة مقارنة قوية للدراسة الحالية. إلا أن الفجوة البحثية تبقى واضحة فيما يتعلق بالمقارنة المباشرة بين أنواع مختلفة من المؤسسات المالية (البنوك التقليدية والبنوك الرقمية وشركات </w:t>
      </w:r>
      <w:proofErr w:type="spellStart"/>
      <w:r w:rsidRPr="004F6AF4">
        <w:rPr>
          <w:rFonts w:ascii="Traditional Arabic" w:hAnsi="Traditional Arabic" w:cs="Traditional Arabic"/>
          <w:b/>
          <w:bCs/>
          <w:sz w:val="28"/>
          <w:szCs w:val="28"/>
          <w:rtl/>
        </w:rPr>
        <w:t>الفنتك</w:t>
      </w:r>
      <w:proofErr w:type="spellEnd"/>
      <w:r w:rsidRPr="004F6AF4">
        <w:rPr>
          <w:rFonts w:ascii="Traditional Arabic" w:hAnsi="Traditional Arabic" w:cs="Traditional Arabic"/>
          <w:b/>
          <w:bCs/>
          <w:sz w:val="28"/>
          <w:szCs w:val="28"/>
          <w:rtl/>
        </w:rPr>
        <w:t>) في السياق السعودي تحديداً، وهو ما تسعى الدراسة الحالية لمعالجته.</w:t>
      </w:r>
    </w:p>
    <w:p w14:paraId="2269DE44" w14:textId="77777777" w:rsidR="004F6AF4" w:rsidRDefault="004F6AF4" w:rsidP="00E000FF">
      <w:pPr>
        <w:pStyle w:val="HeadingTOCEntry"/>
        <w:bidi/>
        <w:spacing w:after="0" w:line="360" w:lineRule="auto"/>
        <w:ind w:left="432" w:hanging="432"/>
        <w:rPr>
          <w:rFonts w:ascii="Traditional Arabic" w:hAnsi="Traditional Arabic" w:cs="Traditional Arabic"/>
          <w:b/>
          <w:bCs/>
          <w:sz w:val="32"/>
          <w:szCs w:val="32"/>
          <w:u w:val="single"/>
          <w:rtl/>
        </w:rPr>
      </w:pPr>
      <w:bookmarkStart w:id="55" w:name="_Toc224563960"/>
      <w:bookmarkStart w:id="56" w:name="_Toc234424152"/>
    </w:p>
    <w:p w14:paraId="6DBC7CA5" w14:textId="52C11B7C" w:rsidR="00F00638" w:rsidRPr="00FB5EDA" w:rsidRDefault="00F00638" w:rsidP="004F6AF4">
      <w:pPr>
        <w:pStyle w:val="HeadingTOCEntry"/>
        <w:bidi/>
        <w:spacing w:after="0" w:line="360" w:lineRule="auto"/>
        <w:rPr>
          <w:rFonts w:ascii="Simplified Arabic" w:hAnsi="Simplified Arabic" w:cs="Simplified Arabic"/>
          <w:b/>
          <w:bCs/>
          <w:sz w:val="28"/>
          <w:szCs w:val="28"/>
          <w:u w:val="single"/>
        </w:rPr>
      </w:pPr>
      <w:r>
        <w:rPr>
          <w:rFonts w:ascii="Traditional Arabic" w:hAnsi="Traditional Arabic" w:cs="Traditional Arabic"/>
          <w:b/>
          <w:bCs/>
          <w:sz w:val="32"/>
          <w:szCs w:val="32"/>
          <w:u w:val="single"/>
          <w:rtl/>
        </w:rPr>
        <w:t>2.3 جدول شامل للدراسات السابقة</w:t>
      </w:r>
      <w:bookmarkEnd w:id="55"/>
      <w:bookmarkEnd w:id="56"/>
    </w:p>
    <w:p w14:paraId="682B1A58" w14:textId="77777777" w:rsidR="005D691F" w:rsidRDefault="005D691F" w:rsidP="00E000FF">
      <w:pPr>
        <w:bidi/>
        <w:spacing w:after="0"/>
        <w:sectPr w:rsidR="005D691F" w:rsidSect="006E2853">
          <w:pgSz w:w="11906" w:h="16838"/>
          <w:pgMar w:top="1440" w:right="1800" w:bottom="1440" w:left="1800" w:header="708" w:footer="144" w:gutter="0"/>
          <w:cols w:space="708"/>
          <w:titlePg/>
          <w:bidi/>
          <w:rtlGutter/>
          <w:docGrid w:linePitch="360"/>
        </w:sectPr>
      </w:pPr>
    </w:p>
    <w:p w14:paraId="61CD5A93" w14:textId="77777777" w:rsidR="00F00638" w:rsidRPr="00FB5EDA" w:rsidRDefault="00F00638" w:rsidP="00E000FF">
      <w:pPr>
        <w:pStyle w:val="TableCaption"/>
        <w:bidi/>
        <w:spacing w:after="0" w:line="300" w:lineRule="auto"/>
        <w:jc w:val="both"/>
        <w:rPr>
          <w:rFonts w:ascii="Simplified Arabic" w:hAnsi="Simplified Arabic" w:cs="Simplified Arabic"/>
          <w:sz w:val="28"/>
          <w:szCs w:val="28"/>
        </w:rPr>
      </w:pPr>
      <w:r>
        <w:rPr>
          <w:rFonts w:ascii="Traditional Arabic" w:hAnsi="Traditional Arabic" w:cs="Traditional Arabic"/>
          <w:b/>
          <w:bCs/>
          <w:sz w:val="24"/>
          <w:szCs w:val="24"/>
          <w:rtl/>
        </w:rPr>
        <w:lastRenderedPageBreak/>
        <w:t>جدول (2.2): تحليل مقارن للدراسات السابقة حول تقنية الترميز وأثرها على الأمن السيبراني وكفاءة العمليات المالية</w:t>
      </w:r>
    </w:p>
    <w:tbl>
      <w:tblPr>
        <w:bidiVisual/>
        <w:tblW w:w="147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600"/>
        <w:gridCol w:w="1700"/>
        <w:gridCol w:w="1900"/>
        <w:gridCol w:w="1500"/>
        <w:gridCol w:w="2000"/>
        <w:gridCol w:w="2100"/>
        <w:gridCol w:w="1900"/>
        <w:gridCol w:w="2000"/>
      </w:tblGrid>
      <w:tr w:rsidR="005D691F" w14:paraId="4AA46A5C" w14:textId="77777777" w:rsidTr="004F6AF4">
        <w:trPr>
          <w:tblHeader/>
        </w:trPr>
        <w:tc>
          <w:tcPr>
            <w:tcW w:w="1600" w:type="dxa"/>
            <w:shd w:val="clear" w:color="auto" w:fill="DCE9F5"/>
            <w:vAlign w:val="center"/>
          </w:tcPr>
          <w:p w14:paraId="589E94D5" w14:textId="77777777" w:rsidR="005D691F" w:rsidRDefault="00F4227D" w:rsidP="004F6AF4">
            <w:pPr>
              <w:bidi/>
              <w:spacing w:after="0" w:line="260" w:lineRule="auto"/>
              <w:jc w:val="center"/>
            </w:pPr>
            <w:r>
              <w:rPr>
                <w:rFonts w:ascii="Traditional Arabic" w:hAnsi="Traditional Arabic" w:cs="Traditional Arabic"/>
                <w:b/>
                <w:bCs/>
                <w:rtl/>
              </w:rPr>
              <w:t>الباحث والسنة</w:t>
            </w:r>
          </w:p>
        </w:tc>
        <w:tc>
          <w:tcPr>
            <w:tcW w:w="1700" w:type="dxa"/>
            <w:shd w:val="clear" w:color="auto" w:fill="DCE9F5"/>
            <w:vAlign w:val="center"/>
          </w:tcPr>
          <w:p w14:paraId="56C09AAD" w14:textId="77777777" w:rsidR="005D691F" w:rsidRDefault="00F4227D" w:rsidP="004F6AF4">
            <w:pPr>
              <w:bidi/>
              <w:spacing w:after="0" w:line="260" w:lineRule="auto"/>
              <w:jc w:val="center"/>
            </w:pPr>
            <w:r>
              <w:rPr>
                <w:rFonts w:ascii="Traditional Arabic" w:hAnsi="Traditional Arabic" w:cs="Traditional Arabic"/>
                <w:b/>
                <w:bCs/>
                <w:rtl/>
              </w:rPr>
              <w:t>الدولة أو البيئة التطبيقية</w:t>
            </w:r>
          </w:p>
        </w:tc>
        <w:tc>
          <w:tcPr>
            <w:tcW w:w="1900" w:type="dxa"/>
            <w:shd w:val="clear" w:color="auto" w:fill="DCE9F5"/>
            <w:vAlign w:val="center"/>
          </w:tcPr>
          <w:p w14:paraId="35FABCE2" w14:textId="77777777" w:rsidR="005D691F" w:rsidRDefault="00F4227D" w:rsidP="004F6AF4">
            <w:pPr>
              <w:bidi/>
              <w:spacing w:after="0" w:line="260" w:lineRule="auto"/>
              <w:jc w:val="center"/>
            </w:pPr>
            <w:r>
              <w:rPr>
                <w:rFonts w:ascii="Traditional Arabic" w:hAnsi="Traditional Arabic" w:cs="Traditional Arabic"/>
                <w:b/>
                <w:bCs/>
                <w:rtl/>
              </w:rPr>
              <w:t>الهدف</w:t>
            </w:r>
          </w:p>
        </w:tc>
        <w:tc>
          <w:tcPr>
            <w:tcW w:w="1500" w:type="dxa"/>
            <w:shd w:val="clear" w:color="auto" w:fill="DCE9F5"/>
            <w:vAlign w:val="center"/>
          </w:tcPr>
          <w:p w14:paraId="6F2D025D" w14:textId="77777777" w:rsidR="005D691F" w:rsidRDefault="00F4227D" w:rsidP="004F6AF4">
            <w:pPr>
              <w:bidi/>
              <w:spacing w:after="0" w:line="260" w:lineRule="auto"/>
              <w:jc w:val="center"/>
            </w:pPr>
            <w:r>
              <w:rPr>
                <w:rFonts w:ascii="Traditional Arabic" w:hAnsi="Traditional Arabic" w:cs="Traditional Arabic"/>
                <w:b/>
                <w:bCs/>
                <w:rtl/>
              </w:rPr>
              <w:t>المنهج</w:t>
            </w:r>
          </w:p>
        </w:tc>
        <w:tc>
          <w:tcPr>
            <w:tcW w:w="2000" w:type="dxa"/>
            <w:shd w:val="clear" w:color="auto" w:fill="DCE9F5"/>
            <w:vAlign w:val="center"/>
          </w:tcPr>
          <w:p w14:paraId="2CC0A8F1" w14:textId="77777777" w:rsidR="005D691F" w:rsidRDefault="00F4227D" w:rsidP="004F6AF4">
            <w:pPr>
              <w:bidi/>
              <w:spacing w:after="0" w:line="260" w:lineRule="auto"/>
              <w:jc w:val="center"/>
            </w:pPr>
            <w:r>
              <w:rPr>
                <w:rFonts w:ascii="Traditional Arabic" w:hAnsi="Traditional Arabic" w:cs="Traditional Arabic"/>
                <w:b/>
                <w:bCs/>
                <w:rtl/>
              </w:rPr>
              <w:t>متغيرات الدراسة</w:t>
            </w:r>
          </w:p>
        </w:tc>
        <w:tc>
          <w:tcPr>
            <w:tcW w:w="2100" w:type="dxa"/>
            <w:shd w:val="clear" w:color="auto" w:fill="DCE9F5"/>
            <w:vAlign w:val="center"/>
          </w:tcPr>
          <w:p w14:paraId="761DE277" w14:textId="77777777" w:rsidR="005D691F" w:rsidRDefault="00F4227D" w:rsidP="004F6AF4">
            <w:pPr>
              <w:bidi/>
              <w:spacing w:after="0" w:line="260" w:lineRule="auto"/>
              <w:jc w:val="center"/>
            </w:pPr>
            <w:r>
              <w:rPr>
                <w:rFonts w:ascii="Traditional Arabic" w:hAnsi="Traditional Arabic" w:cs="Traditional Arabic"/>
                <w:b/>
                <w:bCs/>
                <w:rtl/>
              </w:rPr>
              <w:t>أهم النتائج</w:t>
            </w:r>
          </w:p>
        </w:tc>
        <w:tc>
          <w:tcPr>
            <w:tcW w:w="1900" w:type="dxa"/>
            <w:shd w:val="clear" w:color="auto" w:fill="DCE9F5"/>
            <w:vAlign w:val="center"/>
          </w:tcPr>
          <w:p w14:paraId="7385E2EB" w14:textId="77777777" w:rsidR="005D691F" w:rsidRDefault="00F4227D" w:rsidP="004F6AF4">
            <w:pPr>
              <w:bidi/>
              <w:spacing w:after="0" w:line="260" w:lineRule="auto"/>
              <w:jc w:val="center"/>
            </w:pPr>
            <w:r>
              <w:rPr>
                <w:rFonts w:ascii="Traditional Arabic" w:hAnsi="Traditional Arabic" w:cs="Traditional Arabic"/>
                <w:b/>
                <w:bCs/>
                <w:rtl/>
              </w:rPr>
              <w:t>أوجه القصور والفجوة</w:t>
            </w:r>
          </w:p>
        </w:tc>
        <w:tc>
          <w:tcPr>
            <w:tcW w:w="2000" w:type="dxa"/>
            <w:shd w:val="clear" w:color="auto" w:fill="DCE9F5"/>
            <w:vAlign w:val="center"/>
          </w:tcPr>
          <w:p w14:paraId="725F3C97" w14:textId="77777777" w:rsidR="005D691F" w:rsidRDefault="00F4227D" w:rsidP="004F6AF4">
            <w:pPr>
              <w:bidi/>
              <w:spacing w:after="0" w:line="260" w:lineRule="auto"/>
              <w:jc w:val="center"/>
            </w:pPr>
            <w:r>
              <w:rPr>
                <w:rFonts w:ascii="Traditional Arabic" w:hAnsi="Traditional Arabic" w:cs="Traditional Arabic"/>
                <w:b/>
                <w:bCs/>
                <w:rtl/>
              </w:rPr>
              <w:t>أوجه الإفادة للدراسة الحالية</w:t>
            </w:r>
          </w:p>
        </w:tc>
      </w:tr>
      <w:tr w:rsidR="005D691F" w14:paraId="572E4E7B" w14:textId="77777777" w:rsidTr="004F6AF4">
        <w:tc>
          <w:tcPr>
            <w:tcW w:w="1600" w:type="dxa"/>
            <w:vAlign w:val="center"/>
          </w:tcPr>
          <w:p w14:paraId="20912EDB" w14:textId="77777777" w:rsidR="005D691F" w:rsidRDefault="00F4227D" w:rsidP="004F6AF4">
            <w:pPr>
              <w:bidi/>
              <w:spacing w:after="0" w:line="260" w:lineRule="auto"/>
              <w:jc w:val="center"/>
            </w:pPr>
            <w:proofErr w:type="spellStart"/>
            <w:r>
              <w:rPr>
                <w:rFonts w:ascii="Traditional Arabic" w:hAnsi="Traditional Arabic" w:cs="Traditional Arabic"/>
                <w:rtl/>
              </w:rPr>
              <w:t>Goghie</w:t>
            </w:r>
            <w:proofErr w:type="spellEnd"/>
            <w:r>
              <w:rPr>
                <w:rFonts w:ascii="Traditional Arabic" w:hAnsi="Traditional Arabic" w:cs="Traditional Arabic"/>
                <w:rtl/>
              </w:rPr>
              <w:t xml:space="preserve"> (2024)</w:t>
            </w:r>
          </w:p>
        </w:tc>
        <w:tc>
          <w:tcPr>
            <w:tcW w:w="1700" w:type="dxa"/>
            <w:vAlign w:val="center"/>
          </w:tcPr>
          <w:p w14:paraId="7CBF3C74" w14:textId="77777777" w:rsidR="005D691F" w:rsidRDefault="00F4227D" w:rsidP="004F6AF4">
            <w:pPr>
              <w:bidi/>
              <w:spacing w:after="0" w:line="260" w:lineRule="auto"/>
              <w:jc w:val="center"/>
            </w:pPr>
            <w:r>
              <w:rPr>
                <w:rFonts w:ascii="Traditional Arabic" w:hAnsi="Traditional Arabic" w:cs="Traditional Arabic"/>
                <w:rtl/>
              </w:rPr>
              <w:t>أوروبا — بنوك كبرى</w:t>
            </w:r>
          </w:p>
        </w:tc>
        <w:tc>
          <w:tcPr>
            <w:tcW w:w="1900" w:type="dxa"/>
            <w:vAlign w:val="center"/>
          </w:tcPr>
          <w:p w14:paraId="4F7F377C" w14:textId="77777777" w:rsidR="005D691F" w:rsidRDefault="00F4227D" w:rsidP="004F6AF4">
            <w:pPr>
              <w:bidi/>
              <w:spacing w:after="0" w:line="260" w:lineRule="auto"/>
              <w:jc w:val="center"/>
            </w:pPr>
            <w:r>
              <w:rPr>
                <w:rFonts w:ascii="Traditional Arabic" w:hAnsi="Traditional Arabic" w:cs="Traditional Arabic"/>
                <w:rtl/>
              </w:rPr>
              <w:t>تحليل موقع البنوك الكبرى في بنية الترميز</w:t>
            </w:r>
          </w:p>
        </w:tc>
        <w:tc>
          <w:tcPr>
            <w:tcW w:w="1500" w:type="dxa"/>
            <w:vAlign w:val="center"/>
          </w:tcPr>
          <w:p w14:paraId="5E8067F0" w14:textId="77777777" w:rsidR="005D691F" w:rsidRDefault="00F4227D" w:rsidP="004F6AF4">
            <w:pPr>
              <w:bidi/>
              <w:spacing w:after="0" w:line="260" w:lineRule="auto"/>
              <w:jc w:val="center"/>
            </w:pPr>
            <w:r>
              <w:rPr>
                <w:rFonts w:ascii="Traditional Arabic" w:hAnsi="Traditional Arabic" w:cs="Traditional Arabic"/>
                <w:rtl/>
              </w:rPr>
              <w:t>تحليل البنية التحتية</w:t>
            </w:r>
          </w:p>
        </w:tc>
        <w:tc>
          <w:tcPr>
            <w:tcW w:w="2000" w:type="dxa"/>
            <w:vAlign w:val="center"/>
          </w:tcPr>
          <w:p w14:paraId="7F203E7F" w14:textId="77777777" w:rsidR="005D691F" w:rsidRDefault="00F4227D" w:rsidP="004F6AF4">
            <w:pPr>
              <w:bidi/>
              <w:spacing w:after="0" w:line="260" w:lineRule="auto"/>
              <w:jc w:val="center"/>
            </w:pPr>
            <w:r>
              <w:rPr>
                <w:rFonts w:ascii="Traditional Arabic" w:hAnsi="Traditional Arabic" w:cs="Traditional Arabic"/>
                <w:rtl/>
              </w:rPr>
              <w:t>المتغير المستقل: بنية الترميز / التابع: معايير الأمن</w:t>
            </w:r>
          </w:p>
        </w:tc>
        <w:tc>
          <w:tcPr>
            <w:tcW w:w="2100" w:type="dxa"/>
            <w:vAlign w:val="center"/>
          </w:tcPr>
          <w:p w14:paraId="130A85F3" w14:textId="77777777" w:rsidR="005D691F" w:rsidRDefault="00F4227D" w:rsidP="004F6AF4">
            <w:pPr>
              <w:bidi/>
              <w:spacing w:after="0" w:line="260" w:lineRule="auto"/>
              <w:jc w:val="center"/>
            </w:pPr>
            <w:r>
              <w:rPr>
                <w:rFonts w:ascii="Traditional Arabic" w:hAnsi="Traditional Arabic" w:cs="Traditional Arabic"/>
                <w:rtl/>
              </w:rPr>
              <w:t>البنوك الكبرى في موقع مركزي وتشكّل معايير الأمن</w:t>
            </w:r>
          </w:p>
        </w:tc>
        <w:tc>
          <w:tcPr>
            <w:tcW w:w="1900" w:type="dxa"/>
            <w:vAlign w:val="center"/>
          </w:tcPr>
          <w:p w14:paraId="15C17FD7" w14:textId="77777777" w:rsidR="005D691F" w:rsidRDefault="00F4227D" w:rsidP="004F6AF4">
            <w:pPr>
              <w:bidi/>
              <w:spacing w:after="0" w:line="260" w:lineRule="auto"/>
              <w:jc w:val="center"/>
            </w:pPr>
            <w:r>
              <w:rPr>
                <w:rFonts w:ascii="Traditional Arabic" w:hAnsi="Traditional Arabic" w:cs="Traditional Arabic"/>
                <w:rtl/>
              </w:rPr>
              <w:t>غياب أبحاث توازن القوى</w:t>
            </w:r>
          </w:p>
        </w:tc>
        <w:tc>
          <w:tcPr>
            <w:tcW w:w="2000" w:type="dxa"/>
            <w:vAlign w:val="center"/>
          </w:tcPr>
          <w:p w14:paraId="3B52164D" w14:textId="77777777" w:rsidR="005D691F" w:rsidRDefault="00F4227D" w:rsidP="004F6AF4">
            <w:pPr>
              <w:bidi/>
              <w:spacing w:after="0" w:line="260" w:lineRule="auto"/>
              <w:jc w:val="center"/>
            </w:pPr>
            <w:r>
              <w:rPr>
                <w:rFonts w:ascii="Traditional Arabic" w:hAnsi="Traditional Arabic" w:cs="Traditional Arabic"/>
                <w:rtl/>
              </w:rPr>
              <w:t>الإفادة في تفسير تفوّق البنوك على غيرها في نتائج الفرض H3b</w:t>
            </w:r>
          </w:p>
        </w:tc>
      </w:tr>
      <w:tr w:rsidR="005D691F" w14:paraId="0556744A" w14:textId="77777777" w:rsidTr="004F6AF4">
        <w:tc>
          <w:tcPr>
            <w:tcW w:w="1600" w:type="dxa"/>
            <w:vAlign w:val="center"/>
          </w:tcPr>
          <w:p w14:paraId="26859B9A" w14:textId="77777777" w:rsidR="005D691F" w:rsidRDefault="00F4227D" w:rsidP="004F6AF4">
            <w:pPr>
              <w:bidi/>
              <w:spacing w:after="0" w:line="260" w:lineRule="auto"/>
              <w:jc w:val="center"/>
            </w:pPr>
            <w:proofErr w:type="spellStart"/>
            <w:r>
              <w:rPr>
                <w:rFonts w:ascii="Traditional Arabic" w:hAnsi="Traditional Arabic" w:cs="Traditional Arabic"/>
                <w:rtl/>
              </w:rPr>
              <w:t>Ahammad</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et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al</w:t>
            </w:r>
            <w:proofErr w:type="spellEnd"/>
            <w:r>
              <w:rPr>
                <w:rFonts w:ascii="Traditional Arabic" w:hAnsi="Traditional Arabic" w:cs="Traditional Arabic"/>
                <w:rtl/>
              </w:rPr>
              <w:t>. (2025)</w:t>
            </w:r>
          </w:p>
        </w:tc>
        <w:tc>
          <w:tcPr>
            <w:tcW w:w="1700" w:type="dxa"/>
            <w:vAlign w:val="center"/>
          </w:tcPr>
          <w:p w14:paraId="6EAF3165" w14:textId="77777777" w:rsidR="005D691F" w:rsidRDefault="00F4227D" w:rsidP="004F6AF4">
            <w:pPr>
              <w:bidi/>
              <w:spacing w:after="0" w:line="260" w:lineRule="auto"/>
              <w:jc w:val="center"/>
            </w:pPr>
            <w:r>
              <w:rPr>
                <w:rFonts w:ascii="Traditional Arabic" w:hAnsi="Traditional Arabic" w:cs="Traditional Arabic"/>
                <w:rtl/>
              </w:rPr>
              <w:t xml:space="preserve">بيئة تقنية — </w:t>
            </w:r>
            <w:proofErr w:type="spellStart"/>
            <w:r>
              <w:rPr>
                <w:rFonts w:ascii="Traditional Arabic" w:hAnsi="Traditional Arabic" w:cs="Traditional Arabic"/>
                <w:rtl/>
              </w:rPr>
              <w:t>Ethereum</w:t>
            </w:r>
            <w:proofErr w:type="spellEnd"/>
          </w:p>
        </w:tc>
        <w:tc>
          <w:tcPr>
            <w:tcW w:w="1900" w:type="dxa"/>
            <w:vAlign w:val="center"/>
          </w:tcPr>
          <w:p w14:paraId="5206D059" w14:textId="77777777" w:rsidR="005D691F" w:rsidRDefault="00F4227D" w:rsidP="004F6AF4">
            <w:pPr>
              <w:bidi/>
              <w:spacing w:after="0" w:line="260" w:lineRule="auto"/>
              <w:jc w:val="center"/>
            </w:pPr>
            <w:r>
              <w:rPr>
                <w:rFonts w:ascii="Traditional Arabic" w:hAnsi="Traditional Arabic" w:cs="Traditional Arabic"/>
                <w:rtl/>
              </w:rPr>
              <w:t>تطوير نموذج ترميز لإلغاء الوسطاء</w:t>
            </w:r>
          </w:p>
        </w:tc>
        <w:tc>
          <w:tcPr>
            <w:tcW w:w="1500" w:type="dxa"/>
            <w:vAlign w:val="center"/>
          </w:tcPr>
          <w:p w14:paraId="6A73CC75" w14:textId="77777777" w:rsidR="005D691F" w:rsidRDefault="00F4227D" w:rsidP="004F6AF4">
            <w:pPr>
              <w:bidi/>
              <w:spacing w:after="0" w:line="260" w:lineRule="auto"/>
              <w:jc w:val="center"/>
            </w:pPr>
            <w:r>
              <w:rPr>
                <w:rFonts w:ascii="Traditional Arabic" w:hAnsi="Traditional Arabic" w:cs="Traditional Arabic"/>
                <w:rtl/>
              </w:rPr>
              <w:t>تطوير تجريبي</w:t>
            </w:r>
          </w:p>
        </w:tc>
        <w:tc>
          <w:tcPr>
            <w:tcW w:w="2000" w:type="dxa"/>
            <w:vAlign w:val="center"/>
          </w:tcPr>
          <w:p w14:paraId="77779472"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السرعة والأمن</w:t>
            </w:r>
          </w:p>
        </w:tc>
        <w:tc>
          <w:tcPr>
            <w:tcW w:w="2100" w:type="dxa"/>
            <w:vAlign w:val="center"/>
          </w:tcPr>
          <w:p w14:paraId="4186C17D" w14:textId="77777777" w:rsidR="005D691F" w:rsidRDefault="00F4227D" w:rsidP="004F6AF4">
            <w:pPr>
              <w:bidi/>
              <w:spacing w:after="0" w:line="260" w:lineRule="auto"/>
              <w:jc w:val="center"/>
            </w:pPr>
            <w:r>
              <w:rPr>
                <w:rFonts w:ascii="Traditional Arabic" w:hAnsi="Traditional Arabic" w:cs="Traditional Arabic"/>
                <w:rtl/>
              </w:rPr>
              <w:t>إلغاء الوسطاء وتحسين السرعة والأمن</w:t>
            </w:r>
          </w:p>
        </w:tc>
        <w:tc>
          <w:tcPr>
            <w:tcW w:w="1900" w:type="dxa"/>
            <w:vAlign w:val="center"/>
          </w:tcPr>
          <w:p w14:paraId="69B9BDC9" w14:textId="77777777" w:rsidR="005D691F" w:rsidRDefault="00F4227D" w:rsidP="004F6AF4">
            <w:pPr>
              <w:bidi/>
              <w:spacing w:after="0" w:line="260" w:lineRule="auto"/>
              <w:jc w:val="center"/>
            </w:pPr>
            <w:r>
              <w:rPr>
                <w:rFonts w:ascii="Traditional Arabic" w:hAnsi="Traditional Arabic" w:cs="Traditional Arabic"/>
                <w:rtl/>
              </w:rPr>
              <w:t>الحاجة لأبحاث التكامل بالأسواق الناشئة</w:t>
            </w:r>
          </w:p>
        </w:tc>
        <w:tc>
          <w:tcPr>
            <w:tcW w:w="2000" w:type="dxa"/>
            <w:vAlign w:val="center"/>
          </w:tcPr>
          <w:p w14:paraId="15B2BF02" w14:textId="77777777" w:rsidR="005D691F" w:rsidRDefault="00F4227D" w:rsidP="004F6AF4">
            <w:pPr>
              <w:bidi/>
              <w:spacing w:after="0" w:line="260" w:lineRule="auto"/>
              <w:jc w:val="center"/>
            </w:pPr>
            <w:r>
              <w:rPr>
                <w:rFonts w:ascii="Traditional Arabic" w:hAnsi="Traditional Arabic" w:cs="Traditional Arabic"/>
                <w:rtl/>
              </w:rPr>
              <w:t>دعم الربط بين الترميز وكفاءة العمليات في H2</w:t>
            </w:r>
          </w:p>
        </w:tc>
      </w:tr>
      <w:tr w:rsidR="005D691F" w14:paraId="4231C176" w14:textId="77777777" w:rsidTr="004F6AF4">
        <w:tc>
          <w:tcPr>
            <w:tcW w:w="1600" w:type="dxa"/>
            <w:vAlign w:val="center"/>
          </w:tcPr>
          <w:p w14:paraId="60B7F613" w14:textId="77777777" w:rsidR="005D691F" w:rsidRDefault="00F4227D" w:rsidP="004F6AF4">
            <w:pPr>
              <w:bidi/>
              <w:spacing w:after="0" w:line="260" w:lineRule="auto"/>
              <w:jc w:val="center"/>
            </w:pPr>
            <w:proofErr w:type="spellStart"/>
            <w:r>
              <w:rPr>
                <w:rFonts w:ascii="Traditional Arabic" w:hAnsi="Traditional Arabic" w:cs="Traditional Arabic"/>
                <w:rtl/>
              </w:rPr>
              <w:t>Grossmann</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et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al</w:t>
            </w:r>
            <w:proofErr w:type="spellEnd"/>
            <w:r>
              <w:rPr>
                <w:rFonts w:ascii="Traditional Arabic" w:hAnsi="Traditional Arabic" w:cs="Traditional Arabic"/>
                <w:rtl/>
              </w:rPr>
              <w:t>. (2025)</w:t>
            </w:r>
          </w:p>
        </w:tc>
        <w:tc>
          <w:tcPr>
            <w:tcW w:w="1700" w:type="dxa"/>
            <w:vAlign w:val="center"/>
          </w:tcPr>
          <w:p w14:paraId="0C6823C7" w14:textId="77777777" w:rsidR="005D691F" w:rsidRDefault="00F4227D" w:rsidP="004F6AF4">
            <w:pPr>
              <w:bidi/>
              <w:spacing w:after="0" w:line="260" w:lineRule="auto"/>
              <w:jc w:val="center"/>
            </w:pPr>
            <w:r>
              <w:rPr>
                <w:rFonts w:ascii="Traditional Arabic" w:hAnsi="Traditional Arabic" w:cs="Traditional Arabic"/>
                <w:rtl/>
              </w:rPr>
              <w:t>أوروبا</w:t>
            </w:r>
          </w:p>
        </w:tc>
        <w:tc>
          <w:tcPr>
            <w:tcW w:w="1900" w:type="dxa"/>
            <w:vAlign w:val="center"/>
          </w:tcPr>
          <w:p w14:paraId="123139DA" w14:textId="77777777" w:rsidR="005D691F" w:rsidRDefault="00F4227D" w:rsidP="004F6AF4">
            <w:pPr>
              <w:bidi/>
              <w:spacing w:after="0" w:line="260" w:lineRule="auto"/>
              <w:jc w:val="center"/>
            </w:pPr>
            <w:r>
              <w:rPr>
                <w:rFonts w:ascii="Traditional Arabic" w:hAnsi="Traditional Arabic" w:cs="Traditional Arabic"/>
                <w:rtl/>
              </w:rPr>
              <w:t>بناء مبادئ تصميم لأنظمة الترميز</w:t>
            </w:r>
          </w:p>
        </w:tc>
        <w:tc>
          <w:tcPr>
            <w:tcW w:w="1500" w:type="dxa"/>
            <w:vAlign w:val="center"/>
          </w:tcPr>
          <w:p w14:paraId="05850849" w14:textId="77777777" w:rsidR="005D691F" w:rsidRDefault="00F4227D" w:rsidP="004F6AF4">
            <w:pPr>
              <w:bidi/>
              <w:spacing w:after="0" w:line="260" w:lineRule="auto"/>
              <w:jc w:val="center"/>
            </w:pPr>
            <w:proofErr w:type="spellStart"/>
            <w:r>
              <w:rPr>
                <w:rFonts w:ascii="Traditional Arabic" w:hAnsi="Traditional Arabic" w:cs="Traditional Arabic"/>
                <w:rtl/>
              </w:rPr>
              <w:t>Design</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Science</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Research</w:t>
            </w:r>
            <w:proofErr w:type="spellEnd"/>
          </w:p>
        </w:tc>
        <w:tc>
          <w:tcPr>
            <w:tcW w:w="2000" w:type="dxa"/>
            <w:vAlign w:val="center"/>
          </w:tcPr>
          <w:p w14:paraId="5B9B92D0" w14:textId="77777777" w:rsidR="005D691F" w:rsidRDefault="00F4227D" w:rsidP="004F6AF4">
            <w:pPr>
              <w:bidi/>
              <w:spacing w:after="0" w:line="260" w:lineRule="auto"/>
              <w:jc w:val="center"/>
            </w:pPr>
            <w:r>
              <w:rPr>
                <w:rFonts w:ascii="Traditional Arabic" w:hAnsi="Traditional Arabic" w:cs="Traditional Arabic"/>
                <w:rtl/>
              </w:rPr>
              <w:t>المستقل: تصميم الترميز / التابع: التكلفة والأخطاء</w:t>
            </w:r>
          </w:p>
        </w:tc>
        <w:tc>
          <w:tcPr>
            <w:tcW w:w="2100" w:type="dxa"/>
            <w:vAlign w:val="center"/>
          </w:tcPr>
          <w:p w14:paraId="7A5C1B89" w14:textId="77777777" w:rsidR="005D691F" w:rsidRDefault="00F4227D" w:rsidP="004F6AF4">
            <w:pPr>
              <w:bidi/>
              <w:spacing w:after="0" w:line="260" w:lineRule="auto"/>
              <w:jc w:val="center"/>
            </w:pPr>
            <w:r>
              <w:rPr>
                <w:rFonts w:ascii="Traditional Arabic" w:hAnsi="Traditional Arabic" w:cs="Traditional Arabic"/>
                <w:rtl/>
              </w:rPr>
              <w:t>خفض التكاليف 40-60% وانخفاض الأخطاء 90%</w:t>
            </w:r>
          </w:p>
        </w:tc>
        <w:tc>
          <w:tcPr>
            <w:tcW w:w="1900" w:type="dxa"/>
            <w:vAlign w:val="center"/>
          </w:tcPr>
          <w:p w14:paraId="3A995F24" w14:textId="77777777" w:rsidR="005D691F" w:rsidRDefault="00F4227D" w:rsidP="004F6AF4">
            <w:pPr>
              <w:bidi/>
              <w:spacing w:after="0" w:line="260" w:lineRule="auto"/>
              <w:jc w:val="center"/>
            </w:pPr>
            <w:r>
              <w:rPr>
                <w:rFonts w:ascii="Traditional Arabic" w:hAnsi="Traditional Arabic" w:cs="Traditional Arabic"/>
                <w:rtl/>
              </w:rPr>
              <w:t>محدودية اختبار المبادئ بأسواق حقيقية</w:t>
            </w:r>
          </w:p>
        </w:tc>
        <w:tc>
          <w:tcPr>
            <w:tcW w:w="2000" w:type="dxa"/>
            <w:vAlign w:val="center"/>
          </w:tcPr>
          <w:p w14:paraId="28E3B209" w14:textId="77777777" w:rsidR="005D691F" w:rsidRDefault="00F4227D" w:rsidP="004F6AF4">
            <w:pPr>
              <w:bidi/>
              <w:spacing w:after="0" w:line="260" w:lineRule="auto"/>
              <w:jc w:val="center"/>
            </w:pPr>
            <w:r>
              <w:rPr>
                <w:rFonts w:ascii="Traditional Arabic" w:hAnsi="Traditional Arabic" w:cs="Traditional Arabic"/>
                <w:rtl/>
              </w:rPr>
              <w:t>مرجع كمي لمؤشرات الكفاءة التشغيلية</w:t>
            </w:r>
          </w:p>
        </w:tc>
      </w:tr>
      <w:tr w:rsidR="005D691F" w14:paraId="006E8021" w14:textId="77777777" w:rsidTr="004F6AF4">
        <w:tc>
          <w:tcPr>
            <w:tcW w:w="1600" w:type="dxa"/>
            <w:vAlign w:val="center"/>
          </w:tcPr>
          <w:p w14:paraId="09D79C92" w14:textId="77777777" w:rsidR="005D691F" w:rsidRDefault="00F4227D" w:rsidP="004F6AF4">
            <w:pPr>
              <w:bidi/>
              <w:spacing w:after="0" w:line="260" w:lineRule="auto"/>
              <w:jc w:val="center"/>
            </w:pPr>
            <w:proofErr w:type="spellStart"/>
            <w:r>
              <w:rPr>
                <w:rFonts w:ascii="Traditional Arabic" w:hAnsi="Traditional Arabic" w:cs="Traditional Arabic"/>
                <w:rtl/>
              </w:rPr>
              <w:t>Carapella</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et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al</w:t>
            </w:r>
            <w:proofErr w:type="spellEnd"/>
            <w:r>
              <w:rPr>
                <w:rFonts w:ascii="Traditional Arabic" w:hAnsi="Traditional Arabic" w:cs="Traditional Arabic"/>
                <w:rtl/>
              </w:rPr>
              <w:t>. (2023)</w:t>
            </w:r>
          </w:p>
        </w:tc>
        <w:tc>
          <w:tcPr>
            <w:tcW w:w="1700" w:type="dxa"/>
            <w:vAlign w:val="center"/>
          </w:tcPr>
          <w:p w14:paraId="2F9E3234" w14:textId="77777777" w:rsidR="005D691F" w:rsidRDefault="00F4227D" w:rsidP="004F6AF4">
            <w:pPr>
              <w:bidi/>
              <w:spacing w:after="0" w:line="260" w:lineRule="auto"/>
              <w:jc w:val="center"/>
            </w:pPr>
            <w:r>
              <w:rPr>
                <w:rFonts w:ascii="Traditional Arabic" w:hAnsi="Traditional Arabic" w:cs="Traditional Arabic"/>
                <w:rtl/>
              </w:rPr>
              <w:t>الولايات المتحدة</w:t>
            </w:r>
          </w:p>
        </w:tc>
        <w:tc>
          <w:tcPr>
            <w:tcW w:w="1900" w:type="dxa"/>
            <w:vAlign w:val="center"/>
          </w:tcPr>
          <w:p w14:paraId="62F8D253" w14:textId="77777777" w:rsidR="005D691F" w:rsidRDefault="00F4227D" w:rsidP="004F6AF4">
            <w:pPr>
              <w:bidi/>
              <w:spacing w:after="0" w:line="260" w:lineRule="auto"/>
              <w:jc w:val="center"/>
            </w:pPr>
            <w:r>
              <w:rPr>
                <w:rFonts w:ascii="Traditional Arabic" w:hAnsi="Traditional Arabic" w:cs="Traditional Arabic"/>
                <w:rtl/>
              </w:rPr>
              <w:t>تقييم فوائد ومخاطر الترميز نظامياً</w:t>
            </w:r>
          </w:p>
        </w:tc>
        <w:tc>
          <w:tcPr>
            <w:tcW w:w="1500" w:type="dxa"/>
            <w:vAlign w:val="center"/>
          </w:tcPr>
          <w:p w14:paraId="7EA9A765" w14:textId="77777777" w:rsidR="005D691F" w:rsidRDefault="00F4227D" w:rsidP="004F6AF4">
            <w:pPr>
              <w:bidi/>
              <w:spacing w:after="0" w:line="260" w:lineRule="auto"/>
              <w:jc w:val="center"/>
            </w:pPr>
            <w:r>
              <w:rPr>
                <w:rFonts w:ascii="Traditional Arabic" w:hAnsi="Traditional Arabic" w:cs="Traditional Arabic"/>
                <w:rtl/>
              </w:rPr>
              <w:t>تحليل نوعي شامل</w:t>
            </w:r>
          </w:p>
        </w:tc>
        <w:tc>
          <w:tcPr>
            <w:tcW w:w="2000" w:type="dxa"/>
            <w:vAlign w:val="center"/>
          </w:tcPr>
          <w:p w14:paraId="4D87C773"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الكفاءة والمخاطر النظامية</w:t>
            </w:r>
          </w:p>
        </w:tc>
        <w:tc>
          <w:tcPr>
            <w:tcW w:w="2100" w:type="dxa"/>
            <w:vAlign w:val="center"/>
          </w:tcPr>
          <w:p w14:paraId="6CFB670F" w14:textId="77777777" w:rsidR="005D691F" w:rsidRDefault="00F4227D" w:rsidP="004F6AF4">
            <w:pPr>
              <w:bidi/>
              <w:spacing w:after="0" w:line="260" w:lineRule="auto"/>
              <w:jc w:val="center"/>
            </w:pPr>
            <w:r>
              <w:rPr>
                <w:rFonts w:ascii="Traditional Arabic" w:hAnsi="Traditional Arabic" w:cs="Traditional Arabic"/>
                <w:rtl/>
              </w:rPr>
              <w:t>فوائد بالكفاءة مقابل مخاطر نظامية</w:t>
            </w:r>
          </w:p>
        </w:tc>
        <w:tc>
          <w:tcPr>
            <w:tcW w:w="1900" w:type="dxa"/>
            <w:vAlign w:val="center"/>
          </w:tcPr>
          <w:p w14:paraId="03AD93F4" w14:textId="77777777" w:rsidR="005D691F" w:rsidRDefault="00F4227D" w:rsidP="004F6AF4">
            <w:pPr>
              <w:bidi/>
              <w:spacing w:after="0" w:line="260" w:lineRule="auto"/>
              <w:jc w:val="center"/>
            </w:pPr>
            <w:r>
              <w:rPr>
                <w:rFonts w:ascii="Traditional Arabic" w:hAnsi="Traditional Arabic" w:cs="Traditional Arabic"/>
                <w:rtl/>
              </w:rPr>
              <w:t>نقص دراسات تجريبية تحت ضغط</w:t>
            </w:r>
          </w:p>
        </w:tc>
        <w:tc>
          <w:tcPr>
            <w:tcW w:w="2000" w:type="dxa"/>
            <w:vAlign w:val="center"/>
          </w:tcPr>
          <w:p w14:paraId="3511A187" w14:textId="77777777" w:rsidR="005D691F" w:rsidRDefault="00F4227D" w:rsidP="004F6AF4">
            <w:pPr>
              <w:bidi/>
              <w:spacing w:after="0" w:line="260" w:lineRule="auto"/>
              <w:jc w:val="center"/>
            </w:pPr>
            <w:r>
              <w:rPr>
                <w:rFonts w:ascii="Traditional Arabic" w:hAnsi="Traditional Arabic" w:cs="Traditional Arabic"/>
                <w:rtl/>
              </w:rPr>
              <w:t>تنبيه إلى ضرورة قياس الامتثال إلى جانب الكفاءة</w:t>
            </w:r>
          </w:p>
        </w:tc>
      </w:tr>
      <w:tr w:rsidR="005D691F" w14:paraId="06823DAD" w14:textId="77777777" w:rsidTr="004F6AF4">
        <w:tc>
          <w:tcPr>
            <w:tcW w:w="1600" w:type="dxa"/>
            <w:vAlign w:val="center"/>
          </w:tcPr>
          <w:p w14:paraId="2A361B6D" w14:textId="77777777" w:rsidR="005D691F" w:rsidRDefault="00F4227D" w:rsidP="004F6AF4">
            <w:pPr>
              <w:bidi/>
              <w:spacing w:after="0" w:line="260" w:lineRule="auto"/>
              <w:jc w:val="center"/>
            </w:pPr>
            <w:r>
              <w:rPr>
                <w:rFonts w:ascii="Traditional Arabic" w:hAnsi="Traditional Arabic" w:cs="Traditional Arabic"/>
                <w:rtl/>
              </w:rPr>
              <w:t>Al-</w:t>
            </w:r>
            <w:proofErr w:type="spellStart"/>
            <w:r>
              <w:rPr>
                <w:rFonts w:ascii="Traditional Arabic" w:hAnsi="Traditional Arabic" w:cs="Traditional Arabic"/>
                <w:rtl/>
              </w:rPr>
              <w:t>Qudah</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et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al</w:t>
            </w:r>
            <w:proofErr w:type="spellEnd"/>
            <w:r>
              <w:rPr>
                <w:rFonts w:ascii="Traditional Arabic" w:hAnsi="Traditional Arabic" w:cs="Traditional Arabic"/>
                <w:rtl/>
              </w:rPr>
              <w:t>. (2025)</w:t>
            </w:r>
          </w:p>
        </w:tc>
        <w:tc>
          <w:tcPr>
            <w:tcW w:w="1700" w:type="dxa"/>
            <w:vAlign w:val="center"/>
          </w:tcPr>
          <w:p w14:paraId="78C6E93B" w14:textId="77777777" w:rsidR="005D691F" w:rsidRDefault="00F4227D" w:rsidP="004F6AF4">
            <w:pPr>
              <w:bidi/>
              <w:spacing w:after="0" w:line="260" w:lineRule="auto"/>
              <w:jc w:val="center"/>
            </w:pPr>
            <w:r>
              <w:rPr>
                <w:rFonts w:ascii="Traditional Arabic" w:hAnsi="Traditional Arabic" w:cs="Traditional Arabic"/>
                <w:rtl/>
              </w:rPr>
              <w:t>الإمارات</w:t>
            </w:r>
          </w:p>
        </w:tc>
        <w:tc>
          <w:tcPr>
            <w:tcW w:w="1900" w:type="dxa"/>
            <w:vAlign w:val="center"/>
          </w:tcPr>
          <w:p w14:paraId="01EE7077"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الحوادث والتكاليف</w:t>
            </w:r>
          </w:p>
        </w:tc>
        <w:tc>
          <w:tcPr>
            <w:tcW w:w="1500" w:type="dxa"/>
            <w:vAlign w:val="center"/>
          </w:tcPr>
          <w:p w14:paraId="335D3004" w14:textId="77777777" w:rsidR="005D691F" w:rsidRDefault="00F4227D" w:rsidP="004F6AF4">
            <w:pPr>
              <w:bidi/>
              <w:spacing w:after="0" w:line="260" w:lineRule="auto"/>
              <w:jc w:val="center"/>
            </w:pPr>
            <w:proofErr w:type="spellStart"/>
            <w:r>
              <w:rPr>
                <w:rFonts w:ascii="Traditional Arabic" w:hAnsi="Traditional Arabic" w:cs="Traditional Arabic"/>
                <w:rtl/>
              </w:rPr>
              <w:t>Random</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Forest</w:t>
            </w:r>
            <w:proofErr w:type="spellEnd"/>
          </w:p>
        </w:tc>
        <w:tc>
          <w:tcPr>
            <w:tcW w:w="2000" w:type="dxa"/>
            <w:vAlign w:val="center"/>
          </w:tcPr>
          <w:p w14:paraId="1907D86F"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الحوادث والتكاليف</w:t>
            </w:r>
          </w:p>
        </w:tc>
        <w:tc>
          <w:tcPr>
            <w:tcW w:w="2100" w:type="dxa"/>
            <w:vAlign w:val="center"/>
          </w:tcPr>
          <w:p w14:paraId="5D06CFAC" w14:textId="77777777" w:rsidR="005D691F" w:rsidRDefault="00F4227D" w:rsidP="004F6AF4">
            <w:pPr>
              <w:bidi/>
              <w:spacing w:after="0" w:line="260" w:lineRule="auto"/>
              <w:jc w:val="center"/>
            </w:pPr>
            <w:r>
              <w:rPr>
                <w:rFonts w:ascii="Traditional Arabic" w:hAnsi="Traditional Arabic" w:cs="Traditional Arabic"/>
                <w:rtl/>
              </w:rPr>
              <w:t>علاقة سلبية r = -0.73 وخفض التكاليف 41-52%</w:t>
            </w:r>
          </w:p>
        </w:tc>
        <w:tc>
          <w:tcPr>
            <w:tcW w:w="1900" w:type="dxa"/>
            <w:vAlign w:val="center"/>
          </w:tcPr>
          <w:p w14:paraId="6959DFE9" w14:textId="77777777" w:rsidR="005D691F" w:rsidRDefault="00F4227D" w:rsidP="004F6AF4">
            <w:pPr>
              <w:bidi/>
              <w:spacing w:after="0" w:line="260" w:lineRule="auto"/>
              <w:jc w:val="center"/>
            </w:pPr>
            <w:r>
              <w:rPr>
                <w:rFonts w:ascii="Traditional Arabic" w:hAnsi="Traditional Arabic" w:cs="Traditional Arabic"/>
                <w:rtl/>
              </w:rPr>
              <w:t>محدودية دراسات كمية بالسعودية</w:t>
            </w:r>
          </w:p>
        </w:tc>
        <w:tc>
          <w:tcPr>
            <w:tcW w:w="2000" w:type="dxa"/>
            <w:vAlign w:val="center"/>
          </w:tcPr>
          <w:p w14:paraId="37EFD319" w14:textId="77777777" w:rsidR="005D691F" w:rsidRDefault="00F4227D" w:rsidP="004F6AF4">
            <w:pPr>
              <w:bidi/>
              <w:spacing w:after="0" w:line="260" w:lineRule="auto"/>
              <w:jc w:val="center"/>
            </w:pPr>
            <w:r>
              <w:rPr>
                <w:rFonts w:ascii="Traditional Arabic" w:hAnsi="Traditional Arabic" w:cs="Traditional Arabic"/>
                <w:rtl/>
              </w:rPr>
              <w:t>أقرب دراسة خليجية، وتؤكد الفجوة التي تسدّها الدراسة الحالية</w:t>
            </w:r>
          </w:p>
        </w:tc>
      </w:tr>
      <w:tr w:rsidR="005D691F" w14:paraId="3920A45A" w14:textId="77777777" w:rsidTr="004F6AF4">
        <w:tc>
          <w:tcPr>
            <w:tcW w:w="1600" w:type="dxa"/>
            <w:vAlign w:val="center"/>
          </w:tcPr>
          <w:p w14:paraId="4D84D649" w14:textId="77777777" w:rsidR="005D691F" w:rsidRDefault="00F4227D" w:rsidP="004F6AF4">
            <w:pPr>
              <w:bidi/>
              <w:spacing w:after="0" w:line="260" w:lineRule="auto"/>
              <w:jc w:val="center"/>
            </w:pPr>
            <w:proofErr w:type="spellStart"/>
            <w:r>
              <w:rPr>
                <w:rFonts w:ascii="Traditional Arabic" w:hAnsi="Traditional Arabic" w:cs="Traditional Arabic"/>
                <w:rtl/>
              </w:rPr>
              <w:t>Almadadha</w:t>
            </w:r>
            <w:proofErr w:type="spellEnd"/>
            <w:r>
              <w:rPr>
                <w:rFonts w:ascii="Traditional Arabic" w:hAnsi="Traditional Arabic" w:cs="Traditional Arabic"/>
                <w:rtl/>
              </w:rPr>
              <w:t xml:space="preserve"> (2025)</w:t>
            </w:r>
          </w:p>
        </w:tc>
        <w:tc>
          <w:tcPr>
            <w:tcW w:w="1700" w:type="dxa"/>
            <w:vAlign w:val="center"/>
          </w:tcPr>
          <w:p w14:paraId="7C1D9073" w14:textId="77777777" w:rsidR="005D691F" w:rsidRDefault="00F4227D" w:rsidP="004F6AF4">
            <w:pPr>
              <w:bidi/>
              <w:spacing w:after="0" w:line="260" w:lineRule="auto"/>
              <w:jc w:val="center"/>
            </w:pPr>
            <w:r>
              <w:rPr>
                <w:rFonts w:ascii="Traditional Arabic" w:hAnsi="Traditional Arabic" w:cs="Traditional Arabic"/>
                <w:rtl/>
              </w:rPr>
              <w:t>أستراليا</w:t>
            </w:r>
          </w:p>
        </w:tc>
        <w:tc>
          <w:tcPr>
            <w:tcW w:w="1900" w:type="dxa"/>
            <w:vAlign w:val="center"/>
          </w:tcPr>
          <w:p w14:paraId="153B7521" w14:textId="77777777" w:rsidR="005D691F" w:rsidRDefault="00F4227D" w:rsidP="004F6AF4">
            <w:pPr>
              <w:bidi/>
              <w:spacing w:after="0" w:line="260" w:lineRule="auto"/>
              <w:jc w:val="center"/>
            </w:pPr>
            <w:r>
              <w:rPr>
                <w:rFonts w:ascii="Traditional Arabic" w:hAnsi="Traditional Arabic" w:cs="Traditional Arabic"/>
                <w:rtl/>
              </w:rPr>
              <w:t>تحليل أثر الترميز على الأداء المالي</w:t>
            </w:r>
          </w:p>
        </w:tc>
        <w:tc>
          <w:tcPr>
            <w:tcW w:w="1500" w:type="dxa"/>
            <w:vAlign w:val="center"/>
          </w:tcPr>
          <w:p w14:paraId="25093574" w14:textId="77777777" w:rsidR="005D691F" w:rsidRDefault="00F4227D" w:rsidP="004F6AF4">
            <w:pPr>
              <w:bidi/>
              <w:spacing w:after="0" w:line="260" w:lineRule="auto"/>
              <w:jc w:val="center"/>
            </w:pPr>
            <w:r>
              <w:rPr>
                <w:rFonts w:ascii="Traditional Arabic" w:hAnsi="Traditional Arabic" w:cs="Traditional Arabic"/>
                <w:rtl/>
              </w:rPr>
              <w:t>وصفية تحليلية</w:t>
            </w:r>
          </w:p>
        </w:tc>
        <w:tc>
          <w:tcPr>
            <w:tcW w:w="2000" w:type="dxa"/>
            <w:vAlign w:val="center"/>
          </w:tcPr>
          <w:p w14:paraId="6D545B09" w14:textId="77777777" w:rsidR="005D691F" w:rsidRDefault="00F4227D" w:rsidP="004F6AF4">
            <w:pPr>
              <w:bidi/>
              <w:spacing w:after="0" w:line="260" w:lineRule="auto"/>
              <w:jc w:val="center"/>
            </w:pPr>
            <w:r>
              <w:rPr>
                <w:rFonts w:ascii="Traditional Arabic" w:hAnsi="Traditional Arabic" w:cs="Traditional Arabic"/>
                <w:rtl/>
              </w:rPr>
              <w:t xml:space="preserve">المستقل: الترميز / التابع: ROA </w:t>
            </w:r>
            <w:proofErr w:type="spellStart"/>
            <w:r>
              <w:rPr>
                <w:rFonts w:ascii="Traditional Arabic" w:hAnsi="Traditional Arabic" w:cs="Traditional Arabic"/>
                <w:rtl/>
              </w:rPr>
              <w:t>وROE</w:t>
            </w:r>
            <w:proofErr w:type="spellEnd"/>
            <w:r>
              <w:rPr>
                <w:rFonts w:ascii="Traditional Arabic" w:hAnsi="Traditional Arabic" w:cs="Traditional Arabic"/>
                <w:rtl/>
              </w:rPr>
              <w:t xml:space="preserve"> ووقت الضمانات</w:t>
            </w:r>
          </w:p>
        </w:tc>
        <w:tc>
          <w:tcPr>
            <w:tcW w:w="2100" w:type="dxa"/>
            <w:vAlign w:val="center"/>
          </w:tcPr>
          <w:p w14:paraId="58355570" w14:textId="77777777" w:rsidR="005D691F" w:rsidRDefault="00F4227D" w:rsidP="004F6AF4">
            <w:pPr>
              <w:bidi/>
              <w:spacing w:after="0" w:line="260" w:lineRule="auto"/>
              <w:jc w:val="center"/>
            </w:pPr>
            <w:r>
              <w:rPr>
                <w:rFonts w:ascii="Traditional Arabic" w:hAnsi="Traditional Arabic" w:cs="Traditional Arabic"/>
                <w:rtl/>
              </w:rPr>
              <w:t xml:space="preserve">تحسن ROA </w:t>
            </w:r>
            <w:proofErr w:type="spellStart"/>
            <w:r>
              <w:rPr>
                <w:rFonts w:ascii="Traditional Arabic" w:hAnsi="Traditional Arabic" w:cs="Traditional Arabic"/>
                <w:rtl/>
              </w:rPr>
              <w:t>وROE</w:t>
            </w:r>
            <w:proofErr w:type="spellEnd"/>
            <w:r>
              <w:rPr>
                <w:rFonts w:ascii="Traditional Arabic" w:hAnsi="Traditional Arabic" w:cs="Traditional Arabic"/>
                <w:rtl/>
              </w:rPr>
              <w:t xml:space="preserve"> وخفض وقت الضمانات</w:t>
            </w:r>
          </w:p>
        </w:tc>
        <w:tc>
          <w:tcPr>
            <w:tcW w:w="1900" w:type="dxa"/>
            <w:vAlign w:val="center"/>
          </w:tcPr>
          <w:p w14:paraId="111B9C8E" w14:textId="77777777" w:rsidR="005D691F" w:rsidRDefault="00F4227D" w:rsidP="004F6AF4">
            <w:pPr>
              <w:bidi/>
              <w:spacing w:after="0" w:line="260" w:lineRule="auto"/>
              <w:jc w:val="center"/>
            </w:pPr>
            <w:r>
              <w:rPr>
                <w:rFonts w:ascii="Traditional Arabic" w:hAnsi="Traditional Arabic" w:cs="Traditional Arabic"/>
                <w:rtl/>
              </w:rPr>
              <w:t>نقص ربط التقنية بالأداء بالسعودية</w:t>
            </w:r>
          </w:p>
        </w:tc>
        <w:tc>
          <w:tcPr>
            <w:tcW w:w="2000" w:type="dxa"/>
            <w:vAlign w:val="center"/>
          </w:tcPr>
          <w:p w14:paraId="6B51B885" w14:textId="77777777" w:rsidR="005D691F" w:rsidRDefault="00F4227D" w:rsidP="004F6AF4">
            <w:pPr>
              <w:bidi/>
              <w:spacing w:after="0" w:line="260" w:lineRule="auto"/>
              <w:jc w:val="center"/>
            </w:pPr>
            <w:r>
              <w:rPr>
                <w:rFonts w:ascii="Traditional Arabic" w:hAnsi="Traditional Arabic" w:cs="Traditional Arabic"/>
                <w:rtl/>
              </w:rPr>
              <w:t>دعم اختيار مؤشرات الكفاءة التشغيلية في الأداة</w:t>
            </w:r>
          </w:p>
        </w:tc>
      </w:tr>
      <w:tr w:rsidR="005D691F" w14:paraId="4A4DE8A1" w14:textId="77777777" w:rsidTr="004F6AF4">
        <w:tc>
          <w:tcPr>
            <w:tcW w:w="1600" w:type="dxa"/>
            <w:vAlign w:val="center"/>
          </w:tcPr>
          <w:p w14:paraId="344DE909" w14:textId="77777777" w:rsidR="005D691F" w:rsidRDefault="00F4227D" w:rsidP="004F6AF4">
            <w:pPr>
              <w:bidi/>
              <w:spacing w:after="0" w:line="260" w:lineRule="auto"/>
              <w:jc w:val="center"/>
            </w:pPr>
            <w:proofErr w:type="spellStart"/>
            <w:r>
              <w:rPr>
                <w:rFonts w:ascii="Traditional Arabic" w:hAnsi="Traditional Arabic" w:cs="Traditional Arabic"/>
                <w:rtl/>
              </w:rPr>
              <w:t>Lavayssière</w:t>
            </w:r>
            <w:proofErr w:type="spellEnd"/>
            <w:r>
              <w:rPr>
                <w:rFonts w:ascii="Traditional Arabic" w:hAnsi="Traditional Arabic" w:cs="Traditional Arabic"/>
                <w:rtl/>
              </w:rPr>
              <w:t xml:space="preserve"> &amp; </w:t>
            </w:r>
            <w:proofErr w:type="spellStart"/>
            <w:r>
              <w:rPr>
                <w:rFonts w:ascii="Traditional Arabic" w:hAnsi="Traditional Arabic" w:cs="Traditional Arabic"/>
                <w:rtl/>
              </w:rPr>
              <w:t>Zhang</w:t>
            </w:r>
            <w:proofErr w:type="spellEnd"/>
            <w:r>
              <w:rPr>
                <w:rFonts w:ascii="Traditional Arabic" w:hAnsi="Traditional Arabic" w:cs="Traditional Arabic"/>
                <w:rtl/>
              </w:rPr>
              <w:t xml:space="preserve"> (2025)</w:t>
            </w:r>
          </w:p>
        </w:tc>
        <w:tc>
          <w:tcPr>
            <w:tcW w:w="1700" w:type="dxa"/>
            <w:vAlign w:val="center"/>
          </w:tcPr>
          <w:p w14:paraId="2BF1DE08" w14:textId="77777777" w:rsidR="005D691F" w:rsidRDefault="00F4227D" w:rsidP="004F6AF4">
            <w:pPr>
              <w:bidi/>
              <w:spacing w:after="0" w:line="260" w:lineRule="auto"/>
              <w:jc w:val="center"/>
            </w:pPr>
            <w:r>
              <w:rPr>
                <w:rFonts w:ascii="Traditional Arabic" w:hAnsi="Traditional Arabic" w:cs="Traditional Arabic"/>
                <w:rtl/>
              </w:rPr>
              <w:t>كندا</w:t>
            </w:r>
          </w:p>
        </w:tc>
        <w:tc>
          <w:tcPr>
            <w:tcW w:w="1900" w:type="dxa"/>
            <w:vAlign w:val="center"/>
          </w:tcPr>
          <w:p w14:paraId="78DF91A0" w14:textId="77777777" w:rsidR="005D691F" w:rsidRDefault="00F4227D" w:rsidP="004F6AF4">
            <w:pPr>
              <w:bidi/>
              <w:spacing w:after="0" w:line="260" w:lineRule="auto"/>
              <w:jc w:val="center"/>
            </w:pPr>
            <w:r>
              <w:rPr>
                <w:rFonts w:ascii="Traditional Arabic" w:hAnsi="Traditional Arabic" w:cs="Traditional Arabic"/>
                <w:rtl/>
              </w:rPr>
              <w:t>نمذجة أثر الترميز على تكاليف الإصدار</w:t>
            </w:r>
          </w:p>
        </w:tc>
        <w:tc>
          <w:tcPr>
            <w:tcW w:w="1500" w:type="dxa"/>
            <w:vAlign w:val="center"/>
          </w:tcPr>
          <w:p w14:paraId="33E29439" w14:textId="77777777" w:rsidR="005D691F" w:rsidRDefault="00F4227D" w:rsidP="004F6AF4">
            <w:pPr>
              <w:bidi/>
              <w:spacing w:after="0" w:line="260" w:lineRule="auto"/>
              <w:jc w:val="center"/>
            </w:pPr>
            <w:r>
              <w:rPr>
                <w:rFonts w:ascii="Traditional Arabic" w:hAnsi="Traditional Arabic" w:cs="Traditional Arabic"/>
                <w:rtl/>
              </w:rPr>
              <w:t>نمذجة نظرية</w:t>
            </w:r>
          </w:p>
        </w:tc>
        <w:tc>
          <w:tcPr>
            <w:tcW w:w="2000" w:type="dxa"/>
            <w:vAlign w:val="center"/>
          </w:tcPr>
          <w:p w14:paraId="165D142B" w14:textId="77777777" w:rsidR="005D691F" w:rsidRDefault="00F4227D" w:rsidP="004F6AF4">
            <w:pPr>
              <w:bidi/>
              <w:spacing w:after="0" w:line="260" w:lineRule="auto"/>
              <w:jc w:val="center"/>
            </w:pPr>
            <w:r>
              <w:rPr>
                <w:rFonts w:ascii="Traditional Arabic" w:hAnsi="Traditional Arabic" w:cs="Traditional Arabic"/>
                <w:rtl/>
              </w:rPr>
              <w:t>المستقل: ترميز الأصول / التابع: تكاليف الإصدار</w:t>
            </w:r>
          </w:p>
        </w:tc>
        <w:tc>
          <w:tcPr>
            <w:tcW w:w="2100" w:type="dxa"/>
            <w:vAlign w:val="center"/>
          </w:tcPr>
          <w:p w14:paraId="0BDB77B6" w14:textId="77777777" w:rsidR="005D691F" w:rsidRDefault="00F4227D" w:rsidP="004F6AF4">
            <w:pPr>
              <w:bidi/>
              <w:spacing w:after="0" w:line="260" w:lineRule="auto"/>
              <w:jc w:val="center"/>
            </w:pPr>
            <w:r>
              <w:rPr>
                <w:rFonts w:ascii="Traditional Arabic" w:hAnsi="Traditional Arabic" w:cs="Traditional Arabic"/>
                <w:rtl/>
              </w:rPr>
              <w:t>خفض تكاليف الإصدار وتسهيل الرهن</w:t>
            </w:r>
          </w:p>
        </w:tc>
        <w:tc>
          <w:tcPr>
            <w:tcW w:w="1900" w:type="dxa"/>
            <w:vAlign w:val="center"/>
          </w:tcPr>
          <w:p w14:paraId="7D8C3C88" w14:textId="77777777" w:rsidR="005D691F" w:rsidRDefault="00F4227D" w:rsidP="004F6AF4">
            <w:pPr>
              <w:bidi/>
              <w:spacing w:after="0" w:line="260" w:lineRule="auto"/>
              <w:jc w:val="center"/>
            </w:pPr>
            <w:r>
              <w:rPr>
                <w:rFonts w:ascii="Traditional Arabic" w:hAnsi="Traditional Arabic" w:cs="Traditional Arabic"/>
                <w:rtl/>
              </w:rPr>
              <w:t>محدودية فهم التأثيرات طويلة المدى</w:t>
            </w:r>
          </w:p>
        </w:tc>
        <w:tc>
          <w:tcPr>
            <w:tcW w:w="2000" w:type="dxa"/>
            <w:vAlign w:val="center"/>
          </w:tcPr>
          <w:p w14:paraId="07FB2F30" w14:textId="77777777" w:rsidR="005D691F" w:rsidRDefault="00F4227D" w:rsidP="004F6AF4">
            <w:pPr>
              <w:bidi/>
              <w:spacing w:after="0" w:line="260" w:lineRule="auto"/>
              <w:jc w:val="center"/>
            </w:pPr>
            <w:r>
              <w:rPr>
                <w:rFonts w:ascii="Traditional Arabic" w:hAnsi="Traditional Arabic" w:cs="Traditional Arabic"/>
                <w:rtl/>
              </w:rPr>
              <w:t>تحديد حدود التعميم الزمني لنتائج الدراسة الحالية</w:t>
            </w:r>
          </w:p>
        </w:tc>
      </w:tr>
      <w:tr w:rsidR="005D691F" w14:paraId="5ECA60F3" w14:textId="77777777" w:rsidTr="004F6AF4">
        <w:tc>
          <w:tcPr>
            <w:tcW w:w="1600" w:type="dxa"/>
            <w:vAlign w:val="center"/>
          </w:tcPr>
          <w:p w14:paraId="29E23810" w14:textId="77777777" w:rsidR="005D691F" w:rsidRDefault="00F4227D" w:rsidP="004F6AF4">
            <w:pPr>
              <w:bidi/>
              <w:spacing w:after="0" w:line="260" w:lineRule="auto"/>
              <w:jc w:val="center"/>
            </w:pPr>
            <w:proofErr w:type="spellStart"/>
            <w:r>
              <w:rPr>
                <w:rFonts w:ascii="Traditional Arabic" w:hAnsi="Traditional Arabic" w:cs="Traditional Arabic"/>
                <w:rtl/>
              </w:rPr>
              <w:t>Udeh</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et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al</w:t>
            </w:r>
            <w:proofErr w:type="spellEnd"/>
            <w:r>
              <w:rPr>
                <w:rFonts w:ascii="Traditional Arabic" w:hAnsi="Traditional Arabic" w:cs="Traditional Arabic"/>
                <w:rtl/>
              </w:rPr>
              <w:t>. (2025)</w:t>
            </w:r>
          </w:p>
        </w:tc>
        <w:tc>
          <w:tcPr>
            <w:tcW w:w="1700" w:type="dxa"/>
            <w:vAlign w:val="center"/>
          </w:tcPr>
          <w:p w14:paraId="668D93E7" w14:textId="77777777" w:rsidR="005D691F" w:rsidRDefault="00F4227D" w:rsidP="004F6AF4">
            <w:pPr>
              <w:bidi/>
              <w:spacing w:after="0" w:line="260" w:lineRule="auto"/>
              <w:jc w:val="center"/>
            </w:pPr>
            <w:r>
              <w:rPr>
                <w:rFonts w:ascii="Traditional Arabic" w:hAnsi="Traditional Arabic" w:cs="Traditional Arabic"/>
                <w:rtl/>
              </w:rPr>
              <w:t>بيئات متعددة</w:t>
            </w:r>
          </w:p>
        </w:tc>
        <w:tc>
          <w:tcPr>
            <w:tcW w:w="1900" w:type="dxa"/>
            <w:vAlign w:val="center"/>
          </w:tcPr>
          <w:p w14:paraId="606FF9CE" w14:textId="77777777" w:rsidR="005D691F" w:rsidRDefault="00F4227D" w:rsidP="004F6AF4">
            <w:pPr>
              <w:bidi/>
              <w:spacing w:after="0" w:line="260" w:lineRule="auto"/>
              <w:jc w:val="center"/>
            </w:pPr>
            <w:r>
              <w:rPr>
                <w:rFonts w:ascii="Traditional Arabic" w:hAnsi="Traditional Arabic" w:cs="Traditional Arabic"/>
                <w:rtl/>
              </w:rPr>
              <w:t>دراسة أثر الترميز على الشفافية والثقة</w:t>
            </w:r>
          </w:p>
        </w:tc>
        <w:tc>
          <w:tcPr>
            <w:tcW w:w="1500" w:type="dxa"/>
            <w:vAlign w:val="center"/>
          </w:tcPr>
          <w:p w14:paraId="42CF3B76" w14:textId="77777777" w:rsidR="005D691F" w:rsidRDefault="00F4227D" w:rsidP="004F6AF4">
            <w:pPr>
              <w:bidi/>
              <w:spacing w:after="0" w:line="260" w:lineRule="auto"/>
              <w:jc w:val="center"/>
            </w:pPr>
            <w:r>
              <w:rPr>
                <w:rFonts w:ascii="Traditional Arabic" w:hAnsi="Traditional Arabic" w:cs="Traditional Arabic"/>
                <w:rtl/>
              </w:rPr>
              <w:t>مختلطة ودراسات حالة</w:t>
            </w:r>
          </w:p>
        </w:tc>
        <w:tc>
          <w:tcPr>
            <w:tcW w:w="2000" w:type="dxa"/>
            <w:vAlign w:val="center"/>
          </w:tcPr>
          <w:p w14:paraId="2328FFBA"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التكاليف والشفافية والأمن</w:t>
            </w:r>
          </w:p>
        </w:tc>
        <w:tc>
          <w:tcPr>
            <w:tcW w:w="2100" w:type="dxa"/>
            <w:vAlign w:val="center"/>
          </w:tcPr>
          <w:p w14:paraId="76E73E96" w14:textId="77777777" w:rsidR="005D691F" w:rsidRDefault="00F4227D" w:rsidP="004F6AF4">
            <w:pPr>
              <w:bidi/>
              <w:spacing w:after="0" w:line="260" w:lineRule="auto"/>
              <w:jc w:val="center"/>
            </w:pPr>
            <w:r>
              <w:rPr>
                <w:rFonts w:ascii="Traditional Arabic" w:hAnsi="Traditional Arabic" w:cs="Traditional Arabic"/>
                <w:rtl/>
              </w:rPr>
              <w:t>تقليل التكاليف وتعزيز الشفافية والأمن</w:t>
            </w:r>
          </w:p>
        </w:tc>
        <w:tc>
          <w:tcPr>
            <w:tcW w:w="1900" w:type="dxa"/>
            <w:vAlign w:val="center"/>
          </w:tcPr>
          <w:p w14:paraId="2058ED4A" w14:textId="77777777" w:rsidR="005D691F" w:rsidRDefault="00F4227D" w:rsidP="004F6AF4">
            <w:pPr>
              <w:bidi/>
              <w:spacing w:after="0" w:line="260" w:lineRule="auto"/>
              <w:jc w:val="center"/>
            </w:pPr>
            <w:r>
              <w:rPr>
                <w:rFonts w:ascii="Traditional Arabic" w:hAnsi="Traditional Arabic" w:cs="Traditional Arabic"/>
                <w:rtl/>
              </w:rPr>
              <w:t>نقص أبحاث بناء الثقة بأطر ثقافية مختلفة</w:t>
            </w:r>
          </w:p>
        </w:tc>
        <w:tc>
          <w:tcPr>
            <w:tcW w:w="2000" w:type="dxa"/>
            <w:vAlign w:val="center"/>
          </w:tcPr>
          <w:p w14:paraId="0E93FFD6" w14:textId="77777777" w:rsidR="005D691F" w:rsidRDefault="00F4227D" w:rsidP="004F6AF4">
            <w:pPr>
              <w:bidi/>
              <w:spacing w:after="0" w:line="260" w:lineRule="auto"/>
              <w:jc w:val="center"/>
            </w:pPr>
            <w:r>
              <w:rPr>
                <w:rFonts w:ascii="Traditional Arabic" w:hAnsi="Traditional Arabic" w:cs="Traditional Arabic"/>
                <w:rtl/>
              </w:rPr>
              <w:t>مبرر إضافي لدراسة السياق السعودي تحديداً</w:t>
            </w:r>
          </w:p>
        </w:tc>
      </w:tr>
      <w:tr w:rsidR="005D691F" w14:paraId="2AF3FDE8" w14:textId="77777777" w:rsidTr="004F6AF4">
        <w:tc>
          <w:tcPr>
            <w:tcW w:w="1600" w:type="dxa"/>
            <w:vAlign w:val="center"/>
          </w:tcPr>
          <w:p w14:paraId="14F62A90" w14:textId="77777777" w:rsidR="005D691F" w:rsidRDefault="00F4227D" w:rsidP="004F6AF4">
            <w:pPr>
              <w:bidi/>
              <w:spacing w:after="0" w:line="260" w:lineRule="auto"/>
              <w:jc w:val="center"/>
            </w:pPr>
            <w:proofErr w:type="spellStart"/>
            <w:r>
              <w:rPr>
                <w:rFonts w:ascii="Traditional Arabic" w:hAnsi="Traditional Arabic" w:cs="Traditional Arabic"/>
                <w:rtl/>
              </w:rPr>
              <w:t>Sakarneh</w:t>
            </w:r>
            <w:proofErr w:type="spellEnd"/>
            <w:r>
              <w:rPr>
                <w:rFonts w:ascii="Traditional Arabic" w:hAnsi="Traditional Arabic" w:cs="Traditional Arabic"/>
                <w:rtl/>
              </w:rPr>
              <w:t xml:space="preserve"> &amp; </w:t>
            </w:r>
            <w:proofErr w:type="spellStart"/>
            <w:r>
              <w:rPr>
                <w:rFonts w:ascii="Traditional Arabic" w:hAnsi="Traditional Arabic" w:cs="Traditional Arabic"/>
                <w:rtl/>
              </w:rPr>
              <w:t>Kilani</w:t>
            </w:r>
            <w:proofErr w:type="spellEnd"/>
            <w:r>
              <w:rPr>
                <w:rFonts w:ascii="Traditional Arabic" w:hAnsi="Traditional Arabic" w:cs="Traditional Arabic"/>
                <w:rtl/>
              </w:rPr>
              <w:t xml:space="preserve"> (2024)</w:t>
            </w:r>
          </w:p>
        </w:tc>
        <w:tc>
          <w:tcPr>
            <w:tcW w:w="1700" w:type="dxa"/>
            <w:vAlign w:val="center"/>
          </w:tcPr>
          <w:p w14:paraId="42CB9973" w14:textId="77777777" w:rsidR="005D691F" w:rsidRDefault="00F4227D" w:rsidP="004F6AF4">
            <w:pPr>
              <w:bidi/>
              <w:spacing w:after="0" w:line="260" w:lineRule="auto"/>
              <w:jc w:val="center"/>
            </w:pPr>
            <w:r>
              <w:rPr>
                <w:rFonts w:ascii="Traditional Arabic" w:hAnsi="Traditional Arabic" w:cs="Traditional Arabic"/>
                <w:rtl/>
              </w:rPr>
              <w:t>الأردن</w:t>
            </w:r>
          </w:p>
        </w:tc>
        <w:tc>
          <w:tcPr>
            <w:tcW w:w="1900" w:type="dxa"/>
            <w:vAlign w:val="center"/>
          </w:tcPr>
          <w:p w14:paraId="17CAA107"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الكفاءة ودور الدعم التنظيمي</w:t>
            </w:r>
          </w:p>
        </w:tc>
        <w:tc>
          <w:tcPr>
            <w:tcW w:w="1500" w:type="dxa"/>
            <w:vAlign w:val="center"/>
          </w:tcPr>
          <w:p w14:paraId="539051A0" w14:textId="77777777" w:rsidR="005D691F" w:rsidRDefault="00F4227D" w:rsidP="004F6AF4">
            <w:pPr>
              <w:bidi/>
              <w:spacing w:after="0" w:line="260" w:lineRule="auto"/>
              <w:jc w:val="center"/>
            </w:pPr>
            <w:r>
              <w:rPr>
                <w:rFonts w:ascii="Traditional Arabic" w:hAnsi="Traditional Arabic" w:cs="Traditional Arabic"/>
                <w:rtl/>
              </w:rPr>
              <w:t>مسحية</w:t>
            </w:r>
          </w:p>
        </w:tc>
        <w:tc>
          <w:tcPr>
            <w:tcW w:w="2000" w:type="dxa"/>
            <w:vAlign w:val="center"/>
          </w:tcPr>
          <w:p w14:paraId="629836EC" w14:textId="77777777" w:rsidR="005D691F" w:rsidRDefault="00F4227D" w:rsidP="004F6AF4">
            <w:pPr>
              <w:bidi/>
              <w:spacing w:after="0" w:line="260" w:lineRule="auto"/>
              <w:jc w:val="center"/>
            </w:pPr>
            <w:r>
              <w:rPr>
                <w:rFonts w:ascii="Traditional Arabic" w:hAnsi="Traditional Arabic" w:cs="Traditional Arabic"/>
                <w:rtl/>
              </w:rPr>
              <w:t>المستقل: الترميز / الضابط: الدعم التنظيمي / التابع: الكفاءة</w:t>
            </w:r>
          </w:p>
        </w:tc>
        <w:tc>
          <w:tcPr>
            <w:tcW w:w="2100" w:type="dxa"/>
            <w:vAlign w:val="center"/>
          </w:tcPr>
          <w:p w14:paraId="047FE6BC" w14:textId="77777777" w:rsidR="005D691F" w:rsidRDefault="00F4227D" w:rsidP="004F6AF4">
            <w:pPr>
              <w:bidi/>
              <w:spacing w:after="0" w:line="260" w:lineRule="auto"/>
              <w:jc w:val="center"/>
            </w:pPr>
            <w:r>
              <w:rPr>
                <w:rFonts w:ascii="Traditional Arabic" w:hAnsi="Traditional Arabic" w:cs="Traditional Arabic"/>
                <w:rtl/>
              </w:rPr>
              <w:t>تحسين الكفاءة وأهمية الدعم التنظيمي</w:t>
            </w:r>
          </w:p>
        </w:tc>
        <w:tc>
          <w:tcPr>
            <w:tcW w:w="1900" w:type="dxa"/>
            <w:vAlign w:val="center"/>
          </w:tcPr>
          <w:p w14:paraId="39C37C76" w14:textId="77777777" w:rsidR="005D691F" w:rsidRDefault="00F4227D" w:rsidP="004F6AF4">
            <w:pPr>
              <w:bidi/>
              <w:spacing w:after="0" w:line="260" w:lineRule="auto"/>
              <w:jc w:val="center"/>
            </w:pPr>
            <w:r>
              <w:rPr>
                <w:rFonts w:ascii="Traditional Arabic" w:hAnsi="Traditional Arabic" w:cs="Traditional Arabic"/>
                <w:rtl/>
              </w:rPr>
              <w:t>نقص دراسات سعودية للعوامل الثقافية</w:t>
            </w:r>
          </w:p>
        </w:tc>
        <w:tc>
          <w:tcPr>
            <w:tcW w:w="2000" w:type="dxa"/>
            <w:vAlign w:val="center"/>
          </w:tcPr>
          <w:p w14:paraId="1B8A7D42" w14:textId="77777777" w:rsidR="005D691F" w:rsidRDefault="00F4227D" w:rsidP="004F6AF4">
            <w:pPr>
              <w:bidi/>
              <w:spacing w:after="0" w:line="260" w:lineRule="auto"/>
              <w:jc w:val="center"/>
            </w:pPr>
            <w:r>
              <w:rPr>
                <w:rFonts w:ascii="Traditional Arabic" w:hAnsi="Traditional Arabic" w:cs="Traditional Arabic"/>
                <w:rtl/>
              </w:rPr>
              <w:t>سند لاعتماد خصائص المؤسسة متغيرات ضابطة</w:t>
            </w:r>
          </w:p>
        </w:tc>
      </w:tr>
      <w:tr w:rsidR="005D691F" w14:paraId="6F69E52D" w14:textId="77777777" w:rsidTr="004F6AF4">
        <w:tc>
          <w:tcPr>
            <w:tcW w:w="1600" w:type="dxa"/>
            <w:vAlign w:val="center"/>
          </w:tcPr>
          <w:p w14:paraId="6D607835" w14:textId="77777777" w:rsidR="005D691F" w:rsidRDefault="00F4227D" w:rsidP="004F6AF4">
            <w:pPr>
              <w:bidi/>
              <w:spacing w:after="0" w:line="260" w:lineRule="auto"/>
              <w:jc w:val="center"/>
            </w:pPr>
            <w:r>
              <w:rPr>
                <w:rFonts w:ascii="Traditional Arabic" w:hAnsi="Traditional Arabic" w:cs="Traditional Arabic"/>
                <w:rtl/>
              </w:rPr>
              <w:lastRenderedPageBreak/>
              <w:t xml:space="preserve">Islam &amp; </w:t>
            </w:r>
            <w:proofErr w:type="spellStart"/>
            <w:r>
              <w:rPr>
                <w:rFonts w:ascii="Traditional Arabic" w:hAnsi="Traditional Arabic" w:cs="Traditional Arabic"/>
                <w:rtl/>
              </w:rPr>
              <w:t>In</w:t>
            </w:r>
            <w:proofErr w:type="spellEnd"/>
            <w:r>
              <w:rPr>
                <w:rFonts w:ascii="Traditional Arabic" w:hAnsi="Traditional Arabic" w:cs="Traditional Arabic"/>
                <w:rtl/>
              </w:rPr>
              <w:t xml:space="preserve"> (2024)</w:t>
            </w:r>
          </w:p>
        </w:tc>
        <w:tc>
          <w:tcPr>
            <w:tcW w:w="1700" w:type="dxa"/>
            <w:vAlign w:val="center"/>
          </w:tcPr>
          <w:p w14:paraId="28F07BAC" w14:textId="77777777" w:rsidR="005D691F" w:rsidRDefault="00F4227D" w:rsidP="004F6AF4">
            <w:pPr>
              <w:bidi/>
              <w:spacing w:after="0" w:line="260" w:lineRule="auto"/>
              <w:jc w:val="center"/>
            </w:pPr>
            <w:r>
              <w:rPr>
                <w:rFonts w:ascii="Traditional Arabic" w:hAnsi="Traditional Arabic" w:cs="Traditional Arabic"/>
                <w:rtl/>
              </w:rPr>
              <w:t>مراجعة منهجية دولية</w:t>
            </w:r>
          </w:p>
        </w:tc>
        <w:tc>
          <w:tcPr>
            <w:tcW w:w="1900" w:type="dxa"/>
            <w:vAlign w:val="center"/>
          </w:tcPr>
          <w:p w14:paraId="2CC5370C" w14:textId="77777777" w:rsidR="005D691F" w:rsidRDefault="00F4227D" w:rsidP="004F6AF4">
            <w:pPr>
              <w:bidi/>
              <w:spacing w:after="0" w:line="260" w:lineRule="auto"/>
              <w:jc w:val="center"/>
            </w:pPr>
            <w:r>
              <w:rPr>
                <w:rFonts w:ascii="Traditional Arabic" w:hAnsi="Traditional Arabic" w:cs="Traditional Arabic"/>
                <w:rtl/>
              </w:rPr>
              <w:t>رصد اتجاهات الترميز واللامركزية</w:t>
            </w:r>
          </w:p>
        </w:tc>
        <w:tc>
          <w:tcPr>
            <w:tcW w:w="1500" w:type="dxa"/>
            <w:vAlign w:val="center"/>
          </w:tcPr>
          <w:p w14:paraId="24DD9EBA" w14:textId="77777777" w:rsidR="005D691F" w:rsidRDefault="00F4227D" w:rsidP="004F6AF4">
            <w:pPr>
              <w:bidi/>
              <w:spacing w:after="0" w:line="260" w:lineRule="auto"/>
              <w:jc w:val="center"/>
            </w:pPr>
            <w:proofErr w:type="spellStart"/>
            <w:r>
              <w:rPr>
                <w:rFonts w:ascii="Traditional Arabic" w:hAnsi="Traditional Arabic" w:cs="Traditional Arabic"/>
                <w:rtl/>
              </w:rPr>
              <w:t>IntelliSLR</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وPRISMA</w:t>
            </w:r>
            <w:proofErr w:type="spellEnd"/>
          </w:p>
        </w:tc>
        <w:tc>
          <w:tcPr>
            <w:tcW w:w="2000" w:type="dxa"/>
            <w:vAlign w:val="center"/>
          </w:tcPr>
          <w:p w14:paraId="651F1777" w14:textId="77777777" w:rsidR="005D691F" w:rsidRDefault="00F4227D" w:rsidP="004F6AF4">
            <w:pPr>
              <w:bidi/>
              <w:spacing w:after="0" w:line="260" w:lineRule="auto"/>
              <w:jc w:val="center"/>
            </w:pPr>
            <w:r>
              <w:rPr>
                <w:rFonts w:ascii="Traditional Arabic" w:hAnsi="Traditional Arabic" w:cs="Traditional Arabic"/>
                <w:rtl/>
              </w:rPr>
              <w:t xml:space="preserve">المستقل: الترميز / التابع: اتجاهات </w:t>
            </w:r>
            <w:proofErr w:type="spellStart"/>
            <w:r>
              <w:rPr>
                <w:rFonts w:ascii="Traditional Arabic" w:hAnsi="Traditional Arabic" w:cs="Traditional Arabic"/>
                <w:rtl/>
              </w:rPr>
              <w:t>CBDCs</w:t>
            </w:r>
            <w:proofErr w:type="spellEnd"/>
          </w:p>
        </w:tc>
        <w:tc>
          <w:tcPr>
            <w:tcW w:w="2100" w:type="dxa"/>
            <w:vAlign w:val="center"/>
          </w:tcPr>
          <w:p w14:paraId="74D41E86" w14:textId="77777777" w:rsidR="005D691F" w:rsidRDefault="00F4227D" w:rsidP="004F6AF4">
            <w:pPr>
              <w:bidi/>
              <w:spacing w:after="0" w:line="260" w:lineRule="auto"/>
              <w:jc w:val="center"/>
            </w:pPr>
            <w:r>
              <w:rPr>
                <w:rFonts w:ascii="Traditional Arabic" w:hAnsi="Traditional Arabic" w:cs="Traditional Arabic"/>
                <w:rtl/>
              </w:rPr>
              <w:t xml:space="preserve">تسهيل الانتقال للامركزية واتجاه نحو </w:t>
            </w:r>
            <w:proofErr w:type="spellStart"/>
            <w:r>
              <w:rPr>
                <w:rFonts w:ascii="Traditional Arabic" w:hAnsi="Traditional Arabic" w:cs="Traditional Arabic"/>
                <w:rtl/>
              </w:rPr>
              <w:t>CBDCs</w:t>
            </w:r>
            <w:proofErr w:type="spellEnd"/>
          </w:p>
        </w:tc>
        <w:tc>
          <w:tcPr>
            <w:tcW w:w="1900" w:type="dxa"/>
            <w:vAlign w:val="center"/>
          </w:tcPr>
          <w:p w14:paraId="08A3E2E9" w14:textId="77777777" w:rsidR="005D691F" w:rsidRDefault="00F4227D" w:rsidP="004F6AF4">
            <w:pPr>
              <w:bidi/>
              <w:spacing w:after="0" w:line="260" w:lineRule="auto"/>
              <w:jc w:val="center"/>
            </w:pPr>
            <w:r>
              <w:rPr>
                <w:rFonts w:ascii="Traditional Arabic" w:hAnsi="Traditional Arabic" w:cs="Traditional Arabic"/>
                <w:rtl/>
              </w:rPr>
              <w:t>محدودية ربط البنوك المركزية برؤية 2030</w:t>
            </w:r>
          </w:p>
        </w:tc>
        <w:tc>
          <w:tcPr>
            <w:tcW w:w="2000" w:type="dxa"/>
            <w:vAlign w:val="center"/>
          </w:tcPr>
          <w:p w14:paraId="1244AB3C" w14:textId="77777777" w:rsidR="005D691F" w:rsidRDefault="00F4227D" w:rsidP="004F6AF4">
            <w:pPr>
              <w:bidi/>
              <w:spacing w:after="0" w:line="260" w:lineRule="auto"/>
              <w:jc w:val="center"/>
            </w:pPr>
            <w:r>
              <w:rPr>
                <w:rFonts w:ascii="Traditional Arabic" w:hAnsi="Traditional Arabic" w:cs="Traditional Arabic"/>
                <w:rtl/>
              </w:rPr>
              <w:t>مبرر مباشر لبُعد التوافق مع رؤية 2030 في الأداة</w:t>
            </w:r>
          </w:p>
        </w:tc>
      </w:tr>
      <w:tr w:rsidR="005D691F" w14:paraId="73D6864E" w14:textId="77777777" w:rsidTr="004F6AF4">
        <w:tc>
          <w:tcPr>
            <w:tcW w:w="1600" w:type="dxa"/>
            <w:vAlign w:val="center"/>
          </w:tcPr>
          <w:p w14:paraId="4C89DB05" w14:textId="77777777" w:rsidR="005D691F" w:rsidRDefault="00F4227D" w:rsidP="004F6AF4">
            <w:pPr>
              <w:bidi/>
              <w:spacing w:after="0" w:line="260" w:lineRule="auto"/>
              <w:jc w:val="center"/>
            </w:pPr>
            <w:proofErr w:type="spellStart"/>
            <w:r>
              <w:rPr>
                <w:rFonts w:ascii="Traditional Arabic" w:hAnsi="Traditional Arabic" w:cs="Traditional Arabic"/>
                <w:rtl/>
              </w:rPr>
              <w:t>Multiple</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Authors</w:t>
            </w:r>
            <w:proofErr w:type="spellEnd"/>
            <w:r>
              <w:rPr>
                <w:rFonts w:ascii="Traditional Arabic" w:hAnsi="Traditional Arabic" w:cs="Traditional Arabic"/>
                <w:rtl/>
              </w:rPr>
              <w:t xml:space="preserve"> (2025)</w:t>
            </w:r>
          </w:p>
        </w:tc>
        <w:tc>
          <w:tcPr>
            <w:tcW w:w="1700" w:type="dxa"/>
            <w:vAlign w:val="center"/>
          </w:tcPr>
          <w:p w14:paraId="5FA42967" w14:textId="77777777" w:rsidR="005D691F" w:rsidRDefault="00F4227D" w:rsidP="004F6AF4">
            <w:pPr>
              <w:bidi/>
              <w:spacing w:after="0" w:line="260" w:lineRule="auto"/>
              <w:jc w:val="center"/>
            </w:pPr>
            <w:r>
              <w:rPr>
                <w:rFonts w:ascii="Traditional Arabic" w:hAnsi="Traditional Arabic" w:cs="Traditional Arabic"/>
                <w:rtl/>
              </w:rPr>
              <w:t>أوروبا — تحليل قانوني مقارن</w:t>
            </w:r>
          </w:p>
        </w:tc>
        <w:tc>
          <w:tcPr>
            <w:tcW w:w="1900" w:type="dxa"/>
            <w:vAlign w:val="center"/>
          </w:tcPr>
          <w:p w14:paraId="37D54569" w14:textId="77777777" w:rsidR="005D691F" w:rsidRDefault="00F4227D" w:rsidP="004F6AF4">
            <w:pPr>
              <w:bidi/>
              <w:spacing w:after="0" w:line="260" w:lineRule="auto"/>
              <w:jc w:val="center"/>
            </w:pPr>
            <w:r>
              <w:rPr>
                <w:rFonts w:ascii="Traditional Arabic" w:hAnsi="Traditional Arabic" w:cs="Traditional Arabic"/>
                <w:rtl/>
              </w:rPr>
              <w:t xml:space="preserve">تحليل الأطر القانونية للأصول </w:t>
            </w:r>
            <w:proofErr w:type="spellStart"/>
            <w:r>
              <w:rPr>
                <w:rFonts w:ascii="Traditional Arabic" w:hAnsi="Traditional Arabic" w:cs="Traditional Arabic"/>
                <w:rtl/>
              </w:rPr>
              <w:t>المرمّزة</w:t>
            </w:r>
            <w:proofErr w:type="spellEnd"/>
          </w:p>
        </w:tc>
        <w:tc>
          <w:tcPr>
            <w:tcW w:w="1500" w:type="dxa"/>
            <w:vAlign w:val="center"/>
          </w:tcPr>
          <w:p w14:paraId="0BD4A3B1" w14:textId="77777777" w:rsidR="005D691F" w:rsidRDefault="00F4227D" w:rsidP="004F6AF4">
            <w:pPr>
              <w:bidi/>
              <w:spacing w:after="0" w:line="260" w:lineRule="auto"/>
              <w:jc w:val="center"/>
            </w:pPr>
            <w:r>
              <w:rPr>
                <w:rFonts w:ascii="Traditional Arabic" w:hAnsi="Traditional Arabic" w:cs="Traditional Arabic"/>
                <w:rtl/>
              </w:rPr>
              <w:t>تحليل قانوني مقارن</w:t>
            </w:r>
          </w:p>
        </w:tc>
        <w:tc>
          <w:tcPr>
            <w:tcW w:w="2000" w:type="dxa"/>
            <w:vAlign w:val="center"/>
          </w:tcPr>
          <w:p w14:paraId="779868E8" w14:textId="77777777" w:rsidR="005D691F" w:rsidRDefault="00F4227D" w:rsidP="004F6AF4">
            <w:pPr>
              <w:bidi/>
              <w:spacing w:after="0" w:line="260" w:lineRule="auto"/>
              <w:jc w:val="center"/>
            </w:pPr>
            <w:r>
              <w:rPr>
                <w:rFonts w:ascii="Traditional Arabic" w:hAnsi="Traditional Arabic" w:cs="Traditional Arabic"/>
                <w:rtl/>
              </w:rPr>
              <w:t xml:space="preserve">المستقل: الأطر القانونية / التابع: حجم الأصول </w:t>
            </w:r>
            <w:proofErr w:type="spellStart"/>
            <w:r>
              <w:rPr>
                <w:rFonts w:ascii="Traditional Arabic" w:hAnsi="Traditional Arabic" w:cs="Traditional Arabic"/>
                <w:rtl/>
              </w:rPr>
              <w:t>المرمّزة</w:t>
            </w:r>
            <w:proofErr w:type="spellEnd"/>
          </w:p>
        </w:tc>
        <w:tc>
          <w:tcPr>
            <w:tcW w:w="2100" w:type="dxa"/>
            <w:vAlign w:val="center"/>
          </w:tcPr>
          <w:p w14:paraId="2CFD818C" w14:textId="77777777" w:rsidR="005D691F" w:rsidRDefault="00F4227D" w:rsidP="004F6AF4">
            <w:pPr>
              <w:bidi/>
              <w:spacing w:after="0" w:line="260" w:lineRule="auto"/>
              <w:jc w:val="center"/>
            </w:pPr>
            <w:r>
              <w:rPr>
                <w:rFonts w:ascii="Traditional Arabic" w:hAnsi="Traditional Arabic" w:cs="Traditional Arabic"/>
                <w:rtl/>
              </w:rPr>
              <w:t xml:space="preserve">225 مليار دولار أوراق </w:t>
            </w:r>
            <w:proofErr w:type="spellStart"/>
            <w:r>
              <w:rPr>
                <w:rFonts w:ascii="Traditional Arabic" w:hAnsi="Traditional Arabic" w:cs="Traditional Arabic"/>
                <w:rtl/>
              </w:rPr>
              <w:t>مرمّزة</w:t>
            </w:r>
            <w:proofErr w:type="spellEnd"/>
            <w:r>
              <w:rPr>
                <w:rFonts w:ascii="Traditional Arabic" w:hAnsi="Traditional Arabic" w:cs="Traditional Arabic"/>
                <w:rtl/>
              </w:rPr>
              <w:t xml:space="preserve"> بقيادة أوروبية</w:t>
            </w:r>
          </w:p>
        </w:tc>
        <w:tc>
          <w:tcPr>
            <w:tcW w:w="1900" w:type="dxa"/>
            <w:vAlign w:val="center"/>
          </w:tcPr>
          <w:p w14:paraId="145F95AE" w14:textId="77777777" w:rsidR="005D691F" w:rsidRDefault="00F4227D" w:rsidP="004F6AF4">
            <w:pPr>
              <w:bidi/>
              <w:spacing w:after="0" w:line="260" w:lineRule="auto"/>
              <w:jc w:val="center"/>
            </w:pPr>
            <w:r>
              <w:rPr>
                <w:rFonts w:ascii="Traditional Arabic" w:hAnsi="Traditional Arabic" w:cs="Traditional Arabic"/>
                <w:rtl/>
              </w:rPr>
              <w:t>نقص أبحاث الأطر القانونية الإسلامية</w:t>
            </w:r>
          </w:p>
        </w:tc>
        <w:tc>
          <w:tcPr>
            <w:tcW w:w="2000" w:type="dxa"/>
            <w:vAlign w:val="center"/>
          </w:tcPr>
          <w:p w14:paraId="31FDE211" w14:textId="77777777" w:rsidR="005D691F" w:rsidRDefault="00F4227D" w:rsidP="004F6AF4">
            <w:pPr>
              <w:bidi/>
              <w:spacing w:after="0" w:line="260" w:lineRule="auto"/>
              <w:jc w:val="center"/>
            </w:pPr>
            <w:r>
              <w:rPr>
                <w:rFonts w:ascii="Traditional Arabic" w:hAnsi="Traditional Arabic" w:cs="Traditional Arabic"/>
                <w:rtl/>
              </w:rPr>
              <w:t>دعم بُعد الامتثال للمعايير الدولية</w:t>
            </w:r>
          </w:p>
        </w:tc>
      </w:tr>
      <w:tr w:rsidR="005D691F" w14:paraId="6447BFAF" w14:textId="77777777" w:rsidTr="004F6AF4">
        <w:tc>
          <w:tcPr>
            <w:tcW w:w="1600" w:type="dxa"/>
            <w:vAlign w:val="center"/>
          </w:tcPr>
          <w:p w14:paraId="07EB6044" w14:textId="77777777" w:rsidR="005D691F" w:rsidRDefault="00F4227D" w:rsidP="004F6AF4">
            <w:pPr>
              <w:bidi/>
              <w:spacing w:after="0" w:line="260" w:lineRule="auto"/>
              <w:jc w:val="center"/>
            </w:pPr>
            <w:proofErr w:type="spellStart"/>
            <w:r>
              <w:rPr>
                <w:rFonts w:ascii="Traditional Arabic" w:hAnsi="Traditional Arabic" w:cs="Traditional Arabic"/>
                <w:rtl/>
              </w:rPr>
              <w:t>Adigwe</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et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al</w:t>
            </w:r>
            <w:proofErr w:type="spellEnd"/>
            <w:r>
              <w:rPr>
                <w:rFonts w:ascii="Traditional Arabic" w:hAnsi="Traditional Arabic" w:cs="Traditional Arabic"/>
                <w:rtl/>
              </w:rPr>
              <w:t>. (2024)</w:t>
            </w:r>
          </w:p>
        </w:tc>
        <w:tc>
          <w:tcPr>
            <w:tcW w:w="1700" w:type="dxa"/>
            <w:vAlign w:val="center"/>
          </w:tcPr>
          <w:p w14:paraId="6BD8C2FA" w14:textId="77777777" w:rsidR="005D691F" w:rsidRDefault="00F4227D" w:rsidP="004F6AF4">
            <w:pPr>
              <w:bidi/>
              <w:spacing w:after="0" w:line="260" w:lineRule="auto"/>
              <w:jc w:val="center"/>
            </w:pPr>
            <w:r>
              <w:rPr>
                <w:rFonts w:ascii="Traditional Arabic" w:hAnsi="Traditional Arabic" w:cs="Traditional Arabic"/>
                <w:rtl/>
              </w:rPr>
              <w:t>بيانات البنك الدولي</w:t>
            </w:r>
          </w:p>
        </w:tc>
        <w:tc>
          <w:tcPr>
            <w:tcW w:w="1900" w:type="dxa"/>
            <w:vAlign w:val="center"/>
          </w:tcPr>
          <w:p w14:paraId="75BCEC73"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زمن القروض وتكلفتها</w:t>
            </w:r>
          </w:p>
        </w:tc>
        <w:tc>
          <w:tcPr>
            <w:tcW w:w="1500" w:type="dxa"/>
            <w:vAlign w:val="center"/>
          </w:tcPr>
          <w:p w14:paraId="6BC7ECE3" w14:textId="77777777" w:rsidR="005D691F" w:rsidRDefault="00F4227D" w:rsidP="004F6AF4">
            <w:pPr>
              <w:bidi/>
              <w:spacing w:after="0" w:line="260" w:lineRule="auto"/>
              <w:jc w:val="center"/>
            </w:pPr>
            <w:r>
              <w:rPr>
                <w:rFonts w:ascii="Traditional Arabic" w:hAnsi="Traditional Arabic" w:cs="Traditional Arabic"/>
                <w:rtl/>
              </w:rPr>
              <w:t>تجريبية</w:t>
            </w:r>
          </w:p>
        </w:tc>
        <w:tc>
          <w:tcPr>
            <w:tcW w:w="2000" w:type="dxa"/>
            <w:vAlign w:val="center"/>
          </w:tcPr>
          <w:p w14:paraId="6FD7BD11"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زمن القروض والتكاليف</w:t>
            </w:r>
          </w:p>
        </w:tc>
        <w:tc>
          <w:tcPr>
            <w:tcW w:w="2100" w:type="dxa"/>
            <w:vAlign w:val="center"/>
          </w:tcPr>
          <w:p w14:paraId="427D3813" w14:textId="77777777" w:rsidR="005D691F" w:rsidRDefault="00F4227D" w:rsidP="004F6AF4">
            <w:pPr>
              <w:bidi/>
              <w:spacing w:after="0" w:line="260" w:lineRule="auto"/>
              <w:jc w:val="center"/>
            </w:pPr>
            <w:r>
              <w:rPr>
                <w:rFonts w:ascii="Traditional Arabic" w:hAnsi="Traditional Arabic" w:cs="Traditional Arabic"/>
                <w:rtl/>
              </w:rPr>
              <w:t>خفض وقت القروض 31% والتكاليف 37%</w:t>
            </w:r>
          </w:p>
        </w:tc>
        <w:tc>
          <w:tcPr>
            <w:tcW w:w="1900" w:type="dxa"/>
            <w:vAlign w:val="center"/>
          </w:tcPr>
          <w:p w14:paraId="58DD1754" w14:textId="77777777" w:rsidR="005D691F" w:rsidRDefault="00F4227D" w:rsidP="004F6AF4">
            <w:pPr>
              <w:bidi/>
              <w:spacing w:after="0" w:line="260" w:lineRule="auto"/>
              <w:jc w:val="center"/>
            </w:pPr>
            <w:r>
              <w:rPr>
                <w:rFonts w:ascii="Traditional Arabic" w:hAnsi="Traditional Arabic" w:cs="Traditional Arabic"/>
                <w:rtl/>
              </w:rPr>
              <w:t>محدودية دراسات ترميز أصول متنوعة</w:t>
            </w:r>
          </w:p>
        </w:tc>
        <w:tc>
          <w:tcPr>
            <w:tcW w:w="2000" w:type="dxa"/>
            <w:vAlign w:val="center"/>
          </w:tcPr>
          <w:p w14:paraId="34D4D6F8" w14:textId="77777777" w:rsidR="005D691F" w:rsidRDefault="00F4227D" w:rsidP="004F6AF4">
            <w:pPr>
              <w:bidi/>
              <w:spacing w:after="0" w:line="260" w:lineRule="auto"/>
              <w:jc w:val="center"/>
            </w:pPr>
            <w:r>
              <w:rPr>
                <w:rFonts w:ascii="Traditional Arabic" w:hAnsi="Traditional Arabic" w:cs="Traditional Arabic"/>
                <w:rtl/>
              </w:rPr>
              <w:t>مرجع مقارنة لنتائج الفرض H2</w:t>
            </w:r>
          </w:p>
        </w:tc>
      </w:tr>
      <w:tr w:rsidR="005D691F" w14:paraId="1CDD7DEE" w14:textId="77777777" w:rsidTr="004F6AF4">
        <w:tc>
          <w:tcPr>
            <w:tcW w:w="1600" w:type="dxa"/>
            <w:vAlign w:val="center"/>
          </w:tcPr>
          <w:p w14:paraId="2F918361" w14:textId="77777777" w:rsidR="005D691F" w:rsidRDefault="00F4227D" w:rsidP="004F6AF4">
            <w:pPr>
              <w:bidi/>
              <w:spacing w:after="0" w:line="260" w:lineRule="auto"/>
              <w:jc w:val="center"/>
            </w:pPr>
            <w:proofErr w:type="spellStart"/>
            <w:r>
              <w:rPr>
                <w:rFonts w:ascii="Traditional Arabic" w:hAnsi="Traditional Arabic" w:cs="Traditional Arabic"/>
                <w:rtl/>
              </w:rPr>
              <w:t>Karanovic</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et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al</w:t>
            </w:r>
            <w:proofErr w:type="spellEnd"/>
            <w:r>
              <w:rPr>
                <w:rFonts w:ascii="Traditional Arabic" w:hAnsi="Traditional Arabic" w:cs="Traditional Arabic"/>
                <w:rtl/>
              </w:rPr>
              <w:t>. (2024)</w:t>
            </w:r>
          </w:p>
        </w:tc>
        <w:tc>
          <w:tcPr>
            <w:tcW w:w="1700" w:type="dxa"/>
            <w:vAlign w:val="center"/>
          </w:tcPr>
          <w:p w14:paraId="7C69DBCE" w14:textId="77777777" w:rsidR="005D691F" w:rsidRDefault="00F4227D" w:rsidP="004F6AF4">
            <w:pPr>
              <w:bidi/>
              <w:spacing w:after="0" w:line="260" w:lineRule="auto"/>
              <w:jc w:val="center"/>
            </w:pPr>
            <w:r>
              <w:rPr>
                <w:rFonts w:ascii="Traditional Arabic" w:hAnsi="Traditional Arabic" w:cs="Traditional Arabic"/>
                <w:rtl/>
              </w:rPr>
              <w:t>500 مؤسسة — بيئات متعددة</w:t>
            </w:r>
          </w:p>
        </w:tc>
        <w:tc>
          <w:tcPr>
            <w:tcW w:w="1900" w:type="dxa"/>
            <w:vAlign w:val="center"/>
          </w:tcPr>
          <w:p w14:paraId="04225730" w14:textId="77777777" w:rsidR="005D691F" w:rsidRDefault="00F4227D" w:rsidP="004F6AF4">
            <w:pPr>
              <w:bidi/>
              <w:spacing w:after="0" w:line="260" w:lineRule="auto"/>
              <w:jc w:val="center"/>
            </w:pPr>
            <w:r>
              <w:rPr>
                <w:rFonts w:ascii="Traditional Arabic" w:hAnsi="Traditional Arabic" w:cs="Traditional Arabic"/>
                <w:rtl/>
              </w:rPr>
              <w:t>قياس أثر الترميز على التكاليف والأوقات</w:t>
            </w:r>
          </w:p>
        </w:tc>
        <w:tc>
          <w:tcPr>
            <w:tcW w:w="1500" w:type="dxa"/>
            <w:vAlign w:val="center"/>
          </w:tcPr>
          <w:p w14:paraId="34778EE6" w14:textId="77777777" w:rsidR="005D691F" w:rsidRDefault="00F4227D" w:rsidP="004F6AF4">
            <w:pPr>
              <w:bidi/>
              <w:spacing w:after="0" w:line="260" w:lineRule="auto"/>
              <w:jc w:val="center"/>
            </w:pPr>
            <w:r>
              <w:rPr>
                <w:rFonts w:ascii="Traditional Arabic" w:hAnsi="Traditional Arabic" w:cs="Traditional Arabic"/>
                <w:rtl/>
              </w:rPr>
              <w:t>مختلطة</w:t>
            </w:r>
          </w:p>
        </w:tc>
        <w:tc>
          <w:tcPr>
            <w:tcW w:w="2000" w:type="dxa"/>
            <w:vAlign w:val="center"/>
          </w:tcPr>
          <w:p w14:paraId="69B1EBD0" w14:textId="77777777" w:rsidR="005D691F" w:rsidRDefault="00F4227D" w:rsidP="004F6AF4">
            <w:pPr>
              <w:bidi/>
              <w:spacing w:after="0" w:line="260" w:lineRule="auto"/>
              <w:jc w:val="center"/>
            </w:pPr>
            <w:r>
              <w:rPr>
                <w:rFonts w:ascii="Traditional Arabic" w:hAnsi="Traditional Arabic" w:cs="Traditional Arabic"/>
                <w:rtl/>
              </w:rPr>
              <w:t>المستقل: الترميز / التابع: التكاليف والأوقات</w:t>
            </w:r>
          </w:p>
        </w:tc>
        <w:tc>
          <w:tcPr>
            <w:tcW w:w="2100" w:type="dxa"/>
            <w:vAlign w:val="center"/>
          </w:tcPr>
          <w:p w14:paraId="69B077BB" w14:textId="77777777" w:rsidR="005D691F" w:rsidRDefault="00F4227D" w:rsidP="004F6AF4">
            <w:pPr>
              <w:bidi/>
              <w:spacing w:after="0" w:line="260" w:lineRule="auto"/>
              <w:jc w:val="center"/>
            </w:pPr>
            <w:r>
              <w:rPr>
                <w:rFonts w:ascii="Traditional Arabic" w:hAnsi="Traditional Arabic" w:cs="Traditional Arabic"/>
                <w:rtl/>
              </w:rPr>
              <w:t>انخفاض التكاليف 43% والأوقات 78%</w:t>
            </w:r>
          </w:p>
        </w:tc>
        <w:tc>
          <w:tcPr>
            <w:tcW w:w="1900" w:type="dxa"/>
            <w:vAlign w:val="center"/>
          </w:tcPr>
          <w:p w14:paraId="31EE33BA" w14:textId="77777777" w:rsidR="005D691F" w:rsidRDefault="00F4227D" w:rsidP="004F6AF4">
            <w:pPr>
              <w:bidi/>
              <w:spacing w:after="0" w:line="260" w:lineRule="auto"/>
              <w:jc w:val="center"/>
            </w:pPr>
            <w:r>
              <w:rPr>
                <w:rFonts w:ascii="Traditional Arabic" w:hAnsi="Traditional Arabic" w:cs="Traditional Arabic"/>
                <w:rtl/>
              </w:rPr>
              <w:t>نقص دراسات مقارنة واسعة بالسعودية</w:t>
            </w:r>
          </w:p>
        </w:tc>
        <w:tc>
          <w:tcPr>
            <w:tcW w:w="2000" w:type="dxa"/>
            <w:vAlign w:val="center"/>
          </w:tcPr>
          <w:p w14:paraId="1A43248A" w14:textId="77777777" w:rsidR="005D691F" w:rsidRDefault="00F4227D" w:rsidP="004F6AF4">
            <w:pPr>
              <w:bidi/>
              <w:spacing w:after="0" w:line="260" w:lineRule="auto"/>
              <w:jc w:val="center"/>
            </w:pPr>
            <w:r>
              <w:rPr>
                <w:rFonts w:ascii="Traditional Arabic" w:hAnsi="Traditional Arabic" w:cs="Traditional Arabic"/>
                <w:rtl/>
              </w:rPr>
              <w:t>أساس مقارنة لحجم الأثر المرصود في الدراسة الحالية</w:t>
            </w:r>
          </w:p>
        </w:tc>
      </w:tr>
    </w:tbl>
    <w:p w14:paraId="7834C4FC" w14:textId="77777777" w:rsidR="005D691F" w:rsidRDefault="005D691F" w:rsidP="00E000FF">
      <w:pPr>
        <w:bidi/>
        <w:spacing w:after="0"/>
        <w:sectPr w:rsidR="005D691F" w:rsidSect="006E2853">
          <w:pgSz w:w="16838" w:h="11906" w:orient="landscape"/>
          <w:pgMar w:top="1080" w:right="1080" w:bottom="1080" w:left="1080" w:header="708" w:footer="144" w:gutter="0"/>
          <w:cols w:space="708"/>
          <w:titlePg/>
          <w:bidi/>
          <w:rtlGutter/>
          <w:docGrid w:linePitch="360"/>
        </w:sectPr>
      </w:pPr>
    </w:p>
    <w:p w14:paraId="017BD2C9" w14:textId="77777777" w:rsidR="00F00638" w:rsidRPr="00FB5EDA"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57" w:name="_Toc224563961"/>
      <w:bookmarkStart w:id="58" w:name="_Toc234424153"/>
      <w:r>
        <w:rPr>
          <w:rFonts w:ascii="Traditional Arabic" w:hAnsi="Traditional Arabic" w:cs="Traditional Arabic"/>
          <w:b/>
          <w:bCs/>
          <w:sz w:val="32"/>
          <w:szCs w:val="32"/>
          <w:u w:val="single"/>
          <w:rtl/>
        </w:rPr>
        <w:lastRenderedPageBreak/>
        <w:t>2.4 التعليق على الدراسات السابقة</w:t>
      </w:r>
      <w:bookmarkEnd w:id="57"/>
      <w:bookmarkEnd w:id="58"/>
    </w:p>
    <w:p w14:paraId="06521DD9"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من خلال عرض وتحليل الدراسات السابقة التي أجريت حول موضوع تأثير تقنية الترميز على الأمن السيبراني وكفاءة العمليات المالية في المؤسسات المالية، حيث تم استعراض عدد من الدراسات العربية والأجنبية الحديثة (</w:t>
      </w:r>
      <w:proofErr w:type="spellStart"/>
      <w:r w:rsidRPr="004F6AF4">
        <w:rPr>
          <w:rFonts w:ascii="Traditional Arabic" w:hAnsi="Traditional Arabic" w:cs="Traditional Arabic"/>
          <w:sz w:val="28"/>
          <w:szCs w:val="28"/>
          <w:rtl/>
        </w:rPr>
        <w:t>Goghie</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Ahammad</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2025; Al-</w:t>
      </w:r>
      <w:proofErr w:type="spellStart"/>
      <w:r w:rsidRPr="004F6AF4">
        <w:rPr>
          <w:rFonts w:ascii="Traditional Arabic" w:hAnsi="Traditional Arabic" w:cs="Traditional Arabic"/>
          <w:sz w:val="28"/>
          <w:szCs w:val="28"/>
          <w:rtl/>
        </w:rPr>
        <w:t>Qudah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Carapella</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2023; </w:t>
      </w:r>
      <w:proofErr w:type="spellStart"/>
      <w:r w:rsidRPr="004F6AF4">
        <w:rPr>
          <w:rFonts w:ascii="Traditional Arabic" w:hAnsi="Traditional Arabic" w:cs="Traditional Arabic"/>
          <w:sz w:val="28"/>
          <w:szCs w:val="28"/>
          <w:rtl/>
        </w:rPr>
        <w:t>Grossmann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Almadadha</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Lavayssière</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Zhang</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Udeh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xml:space="preserve">, 2024; Islam &amp; </w:t>
      </w:r>
      <w:proofErr w:type="spellStart"/>
      <w:r w:rsidRPr="004F6AF4">
        <w:rPr>
          <w:rFonts w:ascii="Traditional Arabic" w:hAnsi="Traditional Arabic" w:cs="Traditional Arabic"/>
          <w:sz w:val="28"/>
          <w:szCs w:val="28"/>
          <w:rtl/>
        </w:rPr>
        <w:t>In</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Multiple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Authors</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Adigwe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Karanovic</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2024) ورغم أن هذه الدراسات أجريت في بيئات وأنظمة مختلفة إلا أنها متشابهة في المتغيرات الرئيسية ومتقاربة في الاهتمامات البحثية، ومن خلال هذه الدراسات تم رصد أوجه الشبه وأوجه الاختلاف بين الدراسة الحالية والدراسات السابقة وأوجه استفادة الدراسة الحالية من الدراسات السابقة والتي كان لها أثر كبير في بناء الدراسة الحالية وتحديد منهجيتها وصياغة فرضياتها.</w:t>
      </w:r>
    </w:p>
    <w:p w14:paraId="174FC37C"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2.4.1 أوجه الشبه بين الدراسة الحالية والدراسات السابقة</w:t>
      </w:r>
    </w:p>
    <w:p w14:paraId="6A0B2D1D"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مع العديد من الدراسات السابقة في عدة جوانب رئيسية، حيث تتمثل أهم أوجه الشبه فيما يلي:</w:t>
      </w:r>
    </w:p>
    <w:p w14:paraId="49CEB3E4"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اتفقت الدراسة الحالية في الهدف العام والمتغيرات الرئيسية مع العديد من الدراسات السابقة مثل دراسة </w:t>
      </w:r>
      <w:proofErr w:type="spellStart"/>
      <w:r w:rsidRPr="004F6AF4">
        <w:rPr>
          <w:rFonts w:ascii="Traditional Arabic" w:hAnsi="Traditional Arabic" w:cs="Traditional Arabic"/>
          <w:sz w:val="28"/>
          <w:szCs w:val="28"/>
          <w:rtl/>
        </w:rPr>
        <w:t>Goghie</w:t>
      </w:r>
      <w:proofErr w:type="spellEnd"/>
      <w:r w:rsidRPr="004F6AF4">
        <w:rPr>
          <w:rFonts w:ascii="Traditional Arabic" w:hAnsi="Traditional Arabic" w:cs="Traditional Arabic"/>
          <w:sz w:val="28"/>
          <w:szCs w:val="28"/>
          <w:rtl/>
        </w:rPr>
        <w:t xml:space="preserve"> (2024) التي تناولت تأثير تقنية الترميز على النظام المصرفي، ودراسة </w:t>
      </w:r>
      <w:proofErr w:type="spellStart"/>
      <w:r w:rsidRPr="004F6AF4">
        <w:rPr>
          <w:rFonts w:ascii="Traditional Arabic" w:hAnsi="Traditional Arabic" w:cs="Traditional Arabic"/>
          <w:sz w:val="28"/>
          <w:szCs w:val="28"/>
          <w:rtl/>
        </w:rPr>
        <w:t>Ahammad</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التي تناولت تعزيز الأمن والكفاءة باستخدام </w:t>
      </w:r>
      <w:proofErr w:type="spellStart"/>
      <w:r w:rsidRPr="004F6AF4">
        <w:rPr>
          <w:rFonts w:ascii="Traditional Arabic" w:hAnsi="Traditional Arabic" w:cs="Traditional Arabic"/>
          <w:sz w:val="28"/>
          <w:szCs w:val="28"/>
          <w:rtl/>
        </w:rPr>
        <w:t>البلوكشين</w:t>
      </w:r>
      <w:proofErr w:type="spellEnd"/>
      <w:r w:rsidRPr="004F6AF4">
        <w:rPr>
          <w:rFonts w:ascii="Traditional Arabic" w:hAnsi="Traditional Arabic" w:cs="Traditional Arabic"/>
          <w:sz w:val="28"/>
          <w:szCs w:val="28"/>
          <w:rtl/>
        </w:rPr>
        <w:t xml:space="preserve"> في القطاع المصرفي، ودراسة </w:t>
      </w:r>
      <w:proofErr w:type="spellStart"/>
      <w:r w:rsidRPr="004F6AF4">
        <w:rPr>
          <w:rFonts w:ascii="Traditional Arabic" w:hAnsi="Traditional Arabic" w:cs="Traditional Arabic"/>
          <w:sz w:val="28"/>
          <w:szCs w:val="28"/>
          <w:rtl/>
        </w:rPr>
        <w:t>Grossmann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(2025) التي تناولت خفض تكاليف المعاملات من خلال الترميز، بحيث تشترك جميع هذه الدراسات في الاهتمام بتأثير التقنيات الرقمية الحديثة على أداء وكفاءة المؤسسات المالية.</w:t>
      </w:r>
    </w:p>
    <w:p w14:paraId="19D815A3"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اتفقت الدراسة الحالية في المتغير المستقل وهو تقنية الترميز مع العديد من الدراسات السابقة مثل دراسة </w:t>
      </w:r>
      <w:proofErr w:type="spellStart"/>
      <w:r w:rsidRPr="004F6AF4">
        <w:rPr>
          <w:rFonts w:ascii="Traditional Arabic" w:hAnsi="Traditional Arabic" w:cs="Traditional Arabic"/>
          <w:sz w:val="28"/>
          <w:szCs w:val="28"/>
          <w:rtl/>
        </w:rPr>
        <w:t>Carapella</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(2023) التي فحصت تأثير الترميز على الاستقرار المالي، ودراسة </w:t>
      </w:r>
      <w:proofErr w:type="spellStart"/>
      <w:r w:rsidRPr="004F6AF4">
        <w:rPr>
          <w:rFonts w:ascii="Traditional Arabic" w:hAnsi="Traditional Arabic" w:cs="Traditional Arabic"/>
          <w:sz w:val="28"/>
          <w:szCs w:val="28"/>
          <w:rtl/>
        </w:rPr>
        <w:t>Multiple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Authors</w:t>
      </w:r>
      <w:proofErr w:type="spellEnd"/>
      <w:r w:rsidRPr="004F6AF4">
        <w:rPr>
          <w:rFonts w:ascii="Traditional Arabic" w:hAnsi="Traditional Arabic" w:cs="Traditional Arabic"/>
          <w:sz w:val="28"/>
          <w:szCs w:val="28"/>
          <w:rtl/>
        </w:rPr>
        <w:t xml:space="preserve"> (2025) التي تناولت ترميز الأصول الواقعية، ودراسة </w:t>
      </w:r>
      <w:proofErr w:type="spellStart"/>
      <w:r w:rsidRPr="004F6AF4">
        <w:rPr>
          <w:rFonts w:ascii="Traditional Arabic" w:hAnsi="Traditional Arabic" w:cs="Traditional Arabic"/>
          <w:sz w:val="28"/>
          <w:szCs w:val="28"/>
          <w:rtl/>
        </w:rPr>
        <w:t>Adigwe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(2024) التي تناولت ترميز الأصول الزراعية، بحيث تشترك هذه الدراسات في تناول تقنية الترميز كمتغير مستقل أو محوري في التحليل رغم اختلاف المجالات التطبيقية.</w:t>
      </w:r>
    </w:p>
    <w:p w14:paraId="11C2BF99"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 xml:space="preserve">اتفقت الدراسة الحالية في أحد المتغيرات التابعة وهو الأمن السيبراني مع دراسة </w:t>
      </w:r>
      <w:proofErr w:type="spellStart"/>
      <w:r w:rsidRPr="004F6AF4">
        <w:rPr>
          <w:rFonts w:ascii="Traditional Arabic" w:hAnsi="Traditional Arabic" w:cs="Traditional Arabic"/>
          <w:sz w:val="28"/>
          <w:szCs w:val="28"/>
          <w:rtl/>
        </w:rPr>
        <w:t>Goghie</w:t>
      </w:r>
      <w:proofErr w:type="spellEnd"/>
      <w:r w:rsidRPr="004F6AF4">
        <w:rPr>
          <w:rFonts w:ascii="Traditional Arabic" w:hAnsi="Traditional Arabic" w:cs="Traditional Arabic"/>
          <w:sz w:val="28"/>
          <w:szCs w:val="28"/>
          <w:rtl/>
        </w:rPr>
        <w:t xml:space="preserve"> (2024) التي تناولت معايير الأمن والامتثال في أنظمة الترميز، ودراسة </w:t>
      </w:r>
      <w:proofErr w:type="spellStart"/>
      <w:r w:rsidRPr="004F6AF4">
        <w:rPr>
          <w:rFonts w:ascii="Traditional Arabic" w:hAnsi="Traditional Arabic" w:cs="Traditional Arabic"/>
          <w:sz w:val="28"/>
          <w:szCs w:val="28"/>
          <w:rtl/>
        </w:rPr>
        <w:t>Ahammad</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التي ركزت على تحسينات الأمن من خلال إلغاء الوسطاء وتقليل نقاط الضعف، ودراسة </w:t>
      </w:r>
      <w:proofErr w:type="spellStart"/>
      <w:r w:rsidRPr="004F6AF4">
        <w:rPr>
          <w:rFonts w:ascii="Traditional Arabic" w:hAnsi="Traditional Arabic" w:cs="Traditional Arabic"/>
          <w:sz w:val="28"/>
          <w:szCs w:val="28"/>
          <w:rtl/>
        </w:rPr>
        <w:t>Karanovic</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(2024) التي وثقت انخفاضاً بنسبة 56.2% في حوادث الأمن السيبراني بعد تبني </w:t>
      </w:r>
      <w:proofErr w:type="spellStart"/>
      <w:r w:rsidRPr="004F6AF4">
        <w:rPr>
          <w:rFonts w:ascii="Traditional Arabic" w:hAnsi="Traditional Arabic" w:cs="Traditional Arabic"/>
          <w:sz w:val="28"/>
          <w:szCs w:val="28"/>
          <w:rtl/>
        </w:rPr>
        <w:t>البلوكشين</w:t>
      </w:r>
      <w:proofErr w:type="spellEnd"/>
      <w:r w:rsidRPr="004F6AF4">
        <w:rPr>
          <w:rFonts w:ascii="Traditional Arabic" w:hAnsi="Traditional Arabic" w:cs="Traditional Arabic"/>
          <w:sz w:val="28"/>
          <w:szCs w:val="28"/>
          <w:rtl/>
        </w:rPr>
        <w:t>، بحيث تشترك هذه الدراسات في الاهتمام بالبعد الأمني لتقنية الترميز.</w:t>
      </w:r>
    </w:p>
    <w:p w14:paraId="773CF897"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المتغير التابع الآخر وهو كفاءة العمليات المالية مع دراسة Al-</w:t>
      </w:r>
      <w:proofErr w:type="spellStart"/>
      <w:r w:rsidRPr="004F6AF4">
        <w:rPr>
          <w:rFonts w:ascii="Traditional Arabic" w:hAnsi="Traditional Arabic" w:cs="Traditional Arabic"/>
          <w:sz w:val="28"/>
          <w:szCs w:val="28"/>
          <w:rtl/>
        </w:rPr>
        <w:t>Qudah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التي قاست تأثير </w:t>
      </w:r>
      <w:proofErr w:type="spellStart"/>
      <w:r w:rsidRPr="004F6AF4">
        <w:rPr>
          <w:rFonts w:ascii="Traditional Arabic" w:hAnsi="Traditional Arabic" w:cs="Traditional Arabic"/>
          <w:sz w:val="28"/>
          <w:szCs w:val="28"/>
          <w:rtl/>
        </w:rPr>
        <w:t>البلوكشين</w:t>
      </w:r>
      <w:proofErr w:type="spellEnd"/>
      <w:r w:rsidRPr="004F6AF4">
        <w:rPr>
          <w:rFonts w:ascii="Traditional Arabic" w:hAnsi="Traditional Arabic" w:cs="Traditional Arabic"/>
          <w:sz w:val="28"/>
          <w:szCs w:val="28"/>
          <w:rtl/>
        </w:rPr>
        <w:t xml:space="preserve"> على تكاليف المعاملات، ودراسة </w:t>
      </w:r>
      <w:proofErr w:type="spellStart"/>
      <w:r w:rsidRPr="004F6AF4">
        <w:rPr>
          <w:rFonts w:ascii="Traditional Arabic" w:hAnsi="Traditional Arabic" w:cs="Traditional Arabic"/>
          <w:sz w:val="28"/>
          <w:szCs w:val="28"/>
          <w:rtl/>
        </w:rPr>
        <w:t>Almadadha</w:t>
      </w:r>
      <w:proofErr w:type="spellEnd"/>
      <w:r w:rsidRPr="004F6AF4">
        <w:rPr>
          <w:rFonts w:ascii="Traditional Arabic" w:hAnsi="Traditional Arabic" w:cs="Traditional Arabic"/>
          <w:sz w:val="28"/>
          <w:szCs w:val="28"/>
          <w:rtl/>
        </w:rPr>
        <w:t xml:space="preserve"> (2025) التي ربطت تبني </w:t>
      </w:r>
      <w:proofErr w:type="spellStart"/>
      <w:r w:rsidRPr="004F6AF4">
        <w:rPr>
          <w:rFonts w:ascii="Traditional Arabic" w:hAnsi="Traditional Arabic" w:cs="Traditional Arabic"/>
          <w:sz w:val="28"/>
          <w:szCs w:val="28"/>
          <w:rtl/>
        </w:rPr>
        <w:t>البلوكشين</w:t>
      </w:r>
      <w:proofErr w:type="spellEnd"/>
      <w:r w:rsidRPr="004F6AF4">
        <w:rPr>
          <w:rFonts w:ascii="Traditional Arabic" w:hAnsi="Traditional Arabic" w:cs="Traditional Arabic"/>
          <w:sz w:val="28"/>
          <w:szCs w:val="28"/>
          <w:rtl/>
        </w:rPr>
        <w:t xml:space="preserve"> بتحسن الأداء المالي، ودراسة </w:t>
      </w:r>
      <w:proofErr w:type="spellStart"/>
      <w:r w:rsidRPr="004F6AF4">
        <w:rPr>
          <w:rFonts w:ascii="Traditional Arabic" w:hAnsi="Traditional Arabic" w:cs="Traditional Arabic"/>
          <w:sz w:val="28"/>
          <w:szCs w:val="28"/>
          <w:rtl/>
        </w:rPr>
        <w:t>Lavayssière</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Zhang</w:t>
      </w:r>
      <w:proofErr w:type="spellEnd"/>
      <w:r w:rsidRPr="004F6AF4">
        <w:rPr>
          <w:rFonts w:ascii="Traditional Arabic" w:hAnsi="Traditional Arabic" w:cs="Traditional Arabic"/>
          <w:sz w:val="28"/>
          <w:szCs w:val="28"/>
          <w:rtl/>
        </w:rPr>
        <w:t xml:space="preserve"> (2025) التي فحصت كيفية معالجة الترميز لأوجه القصور في الأسواق المالية، ودراسة </w:t>
      </w:r>
      <w:proofErr w:type="spellStart"/>
      <w:r w:rsidRPr="004F6AF4">
        <w:rPr>
          <w:rFonts w:ascii="Traditional Arabic" w:hAnsi="Traditional Arabic" w:cs="Traditional Arabic"/>
          <w:sz w:val="28"/>
          <w:szCs w:val="28"/>
          <w:rtl/>
        </w:rPr>
        <w:t>Udeh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(2025) التي تناولت تقليل تكاليف المعاملات من خلال إلغاء الوسطاء، بحيث تتفق جميع هذه الدراسات على أن التقنيات الرقمية الحديثة تحسن من كفاءة العمليات المالية بطرق متعددة.</w:t>
      </w:r>
    </w:p>
    <w:p w14:paraId="7919B8E8"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اتفقت الدراسة الحالية في الاهتمام بالسياق الإقليمي مع دراسة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xml:space="preserve"> (2024) التي تناولت القطاع المصرفي الأردني كسياق عربي إقليمي، حيث تشترك هذه الدراسة مع الدراسة الحالية في الاهتمام بالبيئة العربية والإقليمية المشابهة من حيث التحديات والفرص التنظيمية والثقافية.</w:t>
      </w:r>
    </w:p>
    <w:p w14:paraId="6AD78674"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اتفقت الدراسة الحالية في الاهتمام بالتحول الرقمي والأهداف الاستراتيجية الوطنية مع دراسة Islam &amp; </w:t>
      </w:r>
      <w:proofErr w:type="spellStart"/>
      <w:r w:rsidRPr="004F6AF4">
        <w:rPr>
          <w:rFonts w:ascii="Traditional Arabic" w:hAnsi="Traditional Arabic" w:cs="Traditional Arabic"/>
          <w:sz w:val="28"/>
          <w:szCs w:val="28"/>
          <w:rtl/>
        </w:rPr>
        <w:t>In</w:t>
      </w:r>
      <w:proofErr w:type="spellEnd"/>
      <w:r w:rsidRPr="004F6AF4">
        <w:rPr>
          <w:rFonts w:ascii="Traditional Arabic" w:hAnsi="Traditional Arabic" w:cs="Traditional Arabic"/>
          <w:sz w:val="28"/>
          <w:szCs w:val="28"/>
          <w:rtl/>
        </w:rPr>
        <w:t xml:space="preserve"> (2024) التي ربطت تطبيقات </w:t>
      </w:r>
      <w:proofErr w:type="spellStart"/>
      <w:r w:rsidRPr="004F6AF4">
        <w:rPr>
          <w:rFonts w:ascii="Traditional Arabic" w:hAnsi="Traditional Arabic" w:cs="Traditional Arabic"/>
          <w:sz w:val="28"/>
          <w:szCs w:val="28"/>
          <w:rtl/>
        </w:rPr>
        <w:t>البلوكشين</w:t>
      </w:r>
      <w:proofErr w:type="spellEnd"/>
      <w:r w:rsidRPr="004F6AF4">
        <w:rPr>
          <w:rFonts w:ascii="Traditional Arabic" w:hAnsi="Traditional Arabic" w:cs="Traditional Arabic"/>
          <w:sz w:val="28"/>
          <w:szCs w:val="28"/>
          <w:rtl/>
        </w:rPr>
        <w:t xml:space="preserve"> بالعملات الرقمية للبنوك المركزية كجزء من التحول الرقمي الوطني، ودراسة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xml:space="preserve"> (2024) التي أكدت على أهمية الدعم التنظيمي والتوعية المؤسسية، بحيث تعكس هذه الدراسات أهمية ربط التبني التقني بالرؤى والاستراتيجيات الوطنية.</w:t>
      </w:r>
    </w:p>
    <w:p w14:paraId="694DF8D0"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اتفقت الدراسة الحالية في استخدام منهجيات بحثية متقدمة مع دراسة Al-</w:t>
      </w:r>
      <w:proofErr w:type="spellStart"/>
      <w:r w:rsidRPr="004F6AF4">
        <w:rPr>
          <w:rFonts w:ascii="Traditional Arabic" w:hAnsi="Traditional Arabic" w:cs="Traditional Arabic"/>
          <w:sz w:val="28"/>
          <w:szCs w:val="28"/>
          <w:rtl/>
        </w:rPr>
        <w:t>Qudah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التي استخدمت تقنية </w:t>
      </w:r>
      <w:proofErr w:type="spellStart"/>
      <w:r w:rsidRPr="004F6AF4">
        <w:rPr>
          <w:rFonts w:ascii="Traditional Arabic" w:hAnsi="Traditional Arabic" w:cs="Traditional Arabic"/>
          <w:sz w:val="28"/>
          <w:szCs w:val="28"/>
          <w:rtl/>
        </w:rPr>
        <w:t>Random</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Forest</w:t>
      </w:r>
      <w:proofErr w:type="spellEnd"/>
      <w:r w:rsidRPr="004F6AF4">
        <w:rPr>
          <w:rFonts w:ascii="Traditional Arabic" w:hAnsi="Traditional Arabic" w:cs="Traditional Arabic"/>
          <w:sz w:val="28"/>
          <w:szCs w:val="28"/>
          <w:rtl/>
        </w:rPr>
        <w:t xml:space="preserve"> للتحليل الكمي، ودراسة </w:t>
      </w:r>
      <w:proofErr w:type="spellStart"/>
      <w:r w:rsidRPr="004F6AF4">
        <w:rPr>
          <w:rFonts w:ascii="Traditional Arabic" w:hAnsi="Traditional Arabic" w:cs="Traditional Arabic"/>
          <w:sz w:val="28"/>
          <w:szCs w:val="28"/>
          <w:rtl/>
        </w:rPr>
        <w:t>Karanovic</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(2024) التي استخدمت منهجية مختلطة واسعة النطاق، ودراسة </w:t>
      </w:r>
      <w:proofErr w:type="spellStart"/>
      <w:r w:rsidRPr="004F6AF4">
        <w:rPr>
          <w:rFonts w:ascii="Traditional Arabic" w:hAnsi="Traditional Arabic" w:cs="Traditional Arabic"/>
          <w:sz w:val="28"/>
          <w:szCs w:val="28"/>
          <w:rtl/>
        </w:rPr>
        <w:t>Grossmann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التي استخدمت </w:t>
      </w:r>
      <w:proofErr w:type="spellStart"/>
      <w:r w:rsidRPr="004F6AF4">
        <w:rPr>
          <w:rFonts w:ascii="Traditional Arabic" w:hAnsi="Traditional Arabic" w:cs="Traditional Arabic"/>
          <w:sz w:val="28"/>
          <w:szCs w:val="28"/>
          <w:rtl/>
        </w:rPr>
        <w:t>Design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Science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Research</w:t>
      </w:r>
      <w:proofErr w:type="spellEnd"/>
      <w:r w:rsidRPr="004F6AF4">
        <w:rPr>
          <w:rFonts w:ascii="Traditional Arabic" w:hAnsi="Traditional Arabic" w:cs="Traditional Arabic"/>
          <w:sz w:val="28"/>
          <w:szCs w:val="28"/>
          <w:rtl/>
        </w:rPr>
        <w:t>، بحيث تعكس هذه الدراسات التطور المنهجي في دراسة تأثير التقنيات الحديثة على القطاع المالي.</w:t>
      </w:r>
    </w:p>
    <w:p w14:paraId="6F4F3A5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2.4.2 أوجه الاختلاف بين الدراسة الحالية والدراسات السابقة</w:t>
      </w:r>
    </w:p>
    <w:p w14:paraId="4D7D582B"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تختلف الدراسة الحالية عن الدراسات السابقة في عدة جوانب جوهرية، حيث تتمثل أهم أوجه الاختلاف فيما يلي:</w:t>
      </w:r>
    </w:p>
    <w:p w14:paraId="5CAC578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السياق الجغرافي والمؤسسي بشكل جوهري عن جميع الدراسات السابقة المستعرضة (</w:t>
      </w:r>
      <w:proofErr w:type="spellStart"/>
      <w:r w:rsidRPr="004F6AF4">
        <w:rPr>
          <w:rFonts w:ascii="Traditional Arabic" w:hAnsi="Traditional Arabic" w:cs="Traditional Arabic"/>
          <w:sz w:val="28"/>
          <w:szCs w:val="28"/>
          <w:rtl/>
        </w:rPr>
        <w:t>Goghie</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Ahammad</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2025; Al-</w:t>
      </w:r>
      <w:proofErr w:type="spellStart"/>
      <w:r w:rsidRPr="004F6AF4">
        <w:rPr>
          <w:rFonts w:ascii="Traditional Arabic" w:hAnsi="Traditional Arabic" w:cs="Traditional Arabic"/>
          <w:sz w:val="28"/>
          <w:szCs w:val="28"/>
          <w:rtl/>
        </w:rPr>
        <w:t>Qudah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Carapella</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2023; </w:t>
      </w:r>
      <w:proofErr w:type="spellStart"/>
      <w:r w:rsidRPr="004F6AF4">
        <w:rPr>
          <w:rFonts w:ascii="Traditional Arabic" w:hAnsi="Traditional Arabic" w:cs="Traditional Arabic"/>
          <w:sz w:val="28"/>
          <w:szCs w:val="28"/>
          <w:rtl/>
        </w:rPr>
        <w:t>Grossmann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Almadadha</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Lavayssière</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Zhang</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Udeh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xml:space="preserve">, 2024; Islam &amp; </w:t>
      </w:r>
      <w:proofErr w:type="spellStart"/>
      <w:r w:rsidRPr="004F6AF4">
        <w:rPr>
          <w:rFonts w:ascii="Traditional Arabic" w:hAnsi="Traditional Arabic" w:cs="Traditional Arabic"/>
          <w:sz w:val="28"/>
          <w:szCs w:val="28"/>
          <w:rtl/>
        </w:rPr>
        <w:t>In</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Multiple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Authors</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Adigwe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Karanovic</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2024)، حيث أن الدراسة الحالية هي الأولى من نوعها التي تطبق على المؤسسات المالية السعودية بأنواعها المختلفة، بينما ركزت الدراسات السابقة على سياقات أوروبية (</w:t>
      </w:r>
      <w:proofErr w:type="spellStart"/>
      <w:r w:rsidRPr="004F6AF4">
        <w:rPr>
          <w:rFonts w:ascii="Traditional Arabic" w:hAnsi="Traditional Arabic" w:cs="Traditional Arabic"/>
          <w:sz w:val="28"/>
          <w:szCs w:val="28"/>
          <w:rtl/>
        </w:rPr>
        <w:t>Goghie</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Grossmann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Multiple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Authors</w:t>
      </w:r>
      <w:proofErr w:type="spellEnd"/>
      <w:r w:rsidRPr="004F6AF4">
        <w:rPr>
          <w:rFonts w:ascii="Traditional Arabic" w:hAnsi="Traditional Arabic" w:cs="Traditional Arabic"/>
          <w:sz w:val="28"/>
          <w:szCs w:val="28"/>
          <w:rtl/>
        </w:rPr>
        <w:t>, 2025)، أو آسيوية (</w:t>
      </w:r>
      <w:proofErr w:type="spellStart"/>
      <w:r w:rsidRPr="004F6AF4">
        <w:rPr>
          <w:rFonts w:ascii="Traditional Arabic" w:hAnsi="Traditional Arabic" w:cs="Traditional Arabic"/>
          <w:sz w:val="28"/>
          <w:szCs w:val="28"/>
          <w:rtl/>
        </w:rPr>
        <w:t>Ahammad</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Islam &amp; </w:t>
      </w:r>
      <w:proofErr w:type="spellStart"/>
      <w:r w:rsidRPr="004F6AF4">
        <w:rPr>
          <w:rFonts w:ascii="Traditional Arabic" w:hAnsi="Traditional Arabic" w:cs="Traditional Arabic"/>
          <w:sz w:val="28"/>
          <w:szCs w:val="28"/>
          <w:rtl/>
        </w:rPr>
        <w:t>In</w:t>
      </w:r>
      <w:proofErr w:type="spellEnd"/>
      <w:r w:rsidRPr="004F6AF4">
        <w:rPr>
          <w:rFonts w:ascii="Traditional Arabic" w:hAnsi="Traditional Arabic" w:cs="Traditional Arabic"/>
          <w:sz w:val="28"/>
          <w:szCs w:val="28"/>
          <w:rtl/>
        </w:rPr>
        <w:t>, 2024)، أو أمريكية (</w:t>
      </w:r>
      <w:proofErr w:type="spellStart"/>
      <w:r w:rsidRPr="004F6AF4">
        <w:rPr>
          <w:rFonts w:ascii="Traditional Arabic" w:hAnsi="Traditional Arabic" w:cs="Traditional Arabic"/>
          <w:sz w:val="28"/>
          <w:szCs w:val="28"/>
          <w:rtl/>
        </w:rPr>
        <w:t>Carapella</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2023; </w:t>
      </w:r>
      <w:proofErr w:type="spellStart"/>
      <w:r w:rsidRPr="004F6AF4">
        <w:rPr>
          <w:rFonts w:ascii="Traditional Arabic" w:hAnsi="Traditional Arabic" w:cs="Traditional Arabic"/>
          <w:sz w:val="28"/>
          <w:szCs w:val="28"/>
          <w:rtl/>
        </w:rPr>
        <w:t>Lavayssière</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Zhang</w:t>
      </w:r>
      <w:proofErr w:type="spellEnd"/>
      <w:r w:rsidRPr="004F6AF4">
        <w:rPr>
          <w:rFonts w:ascii="Traditional Arabic" w:hAnsi="Traditional Arabic" w:cs="Traditional Arabic"/>
          <w:sz w:val="28"/>
          <w:szCs w:val="28"/>
          <w:rtl/>
        </w:rPr>
        <w:t>, 2025)، أو إقليمية عربية غير سعودية (Al-</w:t>
      </w:r>
      <w:proofErr w:type="spellStart"/>
      <w:r w:rsidRPr="004F6AF4">
        <w:rPr>
          <w:rFonts w:ascii="Traditional Arabic" w:hAnsi="Traditional Arabic" w:cs="Traditional Arabic"/>
          <w:sz w:val="28"/>
          <w:szCs w:val="28"/>
          <w:rtl/>
        </w:rPr>
        <w:t>Qudah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2024)، أو أسترالية (</w:t>
      </w:r>
      <w:proofErr w:type="spellStart"/>
      <w:r w:rsidRPr="004F6AF4">
        <w:rPr>
          <w:rFonts w:ascii="Traditional Arabic" w:hAnsi="Traditional Arabic" w:cs="Traditional Arabic"/>
          <w:sz w:val="28"/>
          <w:szCs w:val="28"/>
          <w:rtl/>
        </w:rPr>
        <w:t>Almadadha</w:t>
      </w:r>
      <w:proofErr w:type="spellEnd"/>
      <w:r w:rsidRPr="004F6AF4">
        <w:rPr>
          <w:rFonts w:ascii="Traditional Arabic" w:hAnsi="Traditional Arabic" w:cs="Traditional Arabic"/>
          <w:sz w:val="28"/>
          <w:szCs w:val="28"/>
          <w:rtl/>
        </w:rPr>
        <w:t>, 2025)، مما يجعل الدراسة الحالية فريدة في تناولها للسياق السعودي المحدد بخصائصه التنظيمية والثقافية والاقتصادية المميزة.</w:t>
      </w:r>
    </w:p>
    <w:p w14:paraId="5AA734E1"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ربطها المباشر والصريح برؤية السعودية 2030 وأهداف التحول الرقمي الوطني (</w:t>
      </w:r>
      <w:proofErr w:type="spellStart"/>
      <w:r w:rsidRPr="004F6AF4">
        <w:rPr>
          <w:rFonts w:ascii="Traditional Arabic" w:hAnsi="Traditional Arabic" w:cs="Traditional Arabic"/>
          <w:sz w:val="28"/>
          <w:szCs w:val="28"/>
          <w:rtl/>
        </w:rPr>
        <w:t>Saudi</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Central</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Bank</w:t>
      </w:r>
      <w:proofErr w:type="spellEnd"/>
      <w:r w:rsidRPr="004F6AF4">
        <w:rPr>
          <w:rFonts w:ascii="Traditional Arabic" w:hAnsi="Traditional Arabic" w:cs="Traditional Arabic"/>
          <w:sz w:val="28"/>
          <w:szCs w:val="28"/>
          <w:rtl/>
        </w:rPr>
        <w:t xml:space="preserve">, 2024; IMF, 2024; </w:t>
      </w:r>
      <w:proofErr w:type="spellStart"/>
      <w:r w:rsidRPr="004F6AF4">
        <w:rPr>
          <w:rFonts w:ascii="Traditional Arabic" w:hAnsi="Traditional Arabic" w:cs="Traditional Arabic"/>
          <w:sz w:val="28"/>
          <w:szCs w:val="28"/>
          <w:rtl/>
        </w:rPr>
        <w:t>Thunes</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Research</w:t>
      </w:r>
      <w:proofErr w:type="spellEnd"/>
      <w:r w:rsidRPr="004F6AF4">
        <w:rPr>
          <w:rFonts w:ascii="Traditional Arabic" w:hAnsi="Traditional Arabic" w:cs="Traditional Arabic"/>
          <w:sz w:val="28"/>
          <w:szCs w:val="28"/>
          <w:rtl/>
        </w:rPr>
        <w:t>, 2025)، بينما لم تتطرق أي من الدراسات السابقة لهذا الربط الاستراتيجي مع رؤية وطنية محددة، حيث أن الدراسة الحالية تفحص كيف تساهم تقنية الترميز في تحقيق أهداف رؤية 2030 من حيث رفع معدل الشمول المالي وتحسين كفاءة القطاع المالي وتعزيز الأمن السيبراني وجذب الاستثمارات ودعم الابتكار المالي، وهذا يضيف بعداً استراتيجياً ووطنياً فريداً للدراسة الحالية لا يتوفر في الدراسات السابقة.</w:t>
      </w:r>
    </w:p>
    <w:p w14:paraId="5BA47D38"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تختلف الدراسة الحالية في المقارنة المباشرة بين ثلاثة أنواع من المؤسسات المالية وهي البنوك التقليدية والبنوك الرقمية وشركات </w:t>
      </w:r>
      <w:proofErr w:type="spellStart"/>
      <w:r w:rsidRPr="004F6AF4">
        <w:rPr>
          <w:rFonts w:ascii="Traditional Arabic" w:hAnsi="Traditional Arabic" w:cs="Traditional Arabic"/>
          <w:sz w:val="28"/>
          <w:szCs w:val="28"/>
          <w:rtl/>
        </w:rPr>
        <w:t>الفنتك</w:t>
      </w:r>
      <w:proofErr w:type="spellEnd"/>
      <w:r w:rsidRPr="004F6AF4">
        <w:rPr>
          <w:rFonts w:ascii="Traditional Arabic" w:hAnsi="Traditional Arabic" w:cs="Traditional Arabic"/>
          <w:sz w:val="28"/>
          <w:szCs w:val="28"/>
          <w:rtl/>
        </w:rPr>
        <w:t xml:space="preserve"> في نفس السياق (</w:t>
      </w:r>
      <w:proofErr w:type="spellStart"/>
      <w:r w:rsidRPr="004F6AF4">
        <w:rPr>
          <w:rFonts w:ascii="Traditional Arabic" w:hAnsi="Traditional Arabic" w:cs="Traditional Arabic"/>
          <w:sz w:val="28"/>
          <w:szCs w:val="28"/>
          <w:rtl/>
        </w:rPr>
        <w:t>Saudi</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Central</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Bank</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Thunes</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Research</w:t>
      </w:r>
      <w:proofErr w:type="spellEnd"/>
      <w:r w:rsidRPr="004F6AF4">
        <w:rPr>
          <w:rFonts w:ascii="Traditional Arabic" w:hAnsi="Traditional Arabic" w:cs="Traditional Arabic"/>
          <w:sz w:val="28"/>
          <w:szCs w:val="28"/>
          <w:rtl/>
        </w:rPr>
        <w:t>, 2025)، بينما ركزت معظم الدراسات السابقة على نوع واحد من المؤسسات فقط مثل البنوك التقليدية الكبرى (</w:t>
      </w:r>
      <w:proofErr w:type="spellStart"/>
      <w:r w:rsidRPr="004F6AF4">
        <w:rPr>
          <w:rFonts w:ascii="Traditional Arabic" w:hAnsi="Traditional Arabic" w:cs="Traditional Arabic"/>
          <w:sz w:val="28"/>
          <w:szCs w:val="28"/>
          <w:rtl/>
        </w:rPr>
        <w:t>Goghie</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Almadadha</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xml:space="preserve">, 2024) أو قدمت مقارنات عامة دون تركيز على أنواع </w:t>
      </w:r>
      <w:r w:rsidRPr="004F6AF4">
        <w:rPr>
          <w:rFonts w:ascii="Traditional Arabic" w:hAnsi="Traditional Arabic" w:cs="Traditional Arabic"/>
          <w:sz w:val="28"/>
          <w:szCs w:val="28"/>
          <w:rtl/>
        </w:rPr>
        <w:lastRenderedPageBreak/>
        <w:t>محددة (</w:t>
      </w:r>
      <w:proofErr w:type="spellStart"/>
      <w:r w:rsidRPr="004F6AF4">
        <w:rPr>
          <w:rFonts w:ascii="Traditional Arabic" w:hAnsi="Traditional Arabic" w:cs="Traditional Arabic"/>
          <w:sz w:val="28"/>
          <w:szCs w:val="28"/>
          <w:rtl/>
        </w:rPr>
        <w:t>Karanovic</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2024)، وهذه المقارنة الثلاثية تمكن من فهم أعمق لكيفية اختلاف تأثير تقنية الترميز باختلاف حجم ونوع وطبيعة المؤسسة المالية.</w:t>
      </w:r>
    </w:p>
    <w:p w14:paraId="5064B33F"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تختلف الدراسة الحالية في فحصها المتزامن والمتكامل لتأثير تقنية الترميز على كل من الأمن السيبراني وكفاءة العمليات المالية في نفس الوقت (ENISA, 2024; IBM </w:t>
      </w:r>
      <w:proofErr w:type="spellStart"/>
      <w:r w:rsidRPr="004F6AF4">
        <w:rPr>
          <w:rFonts w:ascii="Traditional Arabic" w:hAnsi="Traditional Arabic" w:cs="Traditional Arabic"/>
          <w:sz w:val="28"/>
          <w:szCs w:val="28"/>
          <w:rtl/>
        </w:rPr>
        <w:t>Security</w:t>
      </w:r>
      <w:proofErr w:type="spellEnd"/>
      <w:r w:rsidRPr="004F6AF4">
        <w:rPr>
          <w:rFonts w:ascii="Traditional Arabic" w:hAnsi="Traditional Arabic" w:cs="Traditional Arabic"/>
          <w:sz w:val="28"/>
          <w:szCs w:val="28"/>
          <w:rtl/>
        </w:rPr>
        <w:t>, 2024; Al-</w:t>
      </w:r>
      <w:proofErr w:type="spellStart"/>
      <w:r w:rsidRPr="004F6AF4">
        <w:rPr>
          <w:rFonts w:ascii="Traditional Arabic" w:hAnsi="Traditional Arabic" w:cs="Traditional Arabic"/>
          <w:sz w:val="28"/>
          <w:szCs w:val="28"/>
          <w:rtl/>
        </w:rPr>
        <w:t>Qudah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Karanovic</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2024)، بينما ركزت معظم الدراسات السابقة على أحد هذين البعدين دون الآخر، حيث اهتمت بعض الدراسات بالبعد الأمني بشكل أساسي (</w:t>
      </w:r>
      <w:proofErr w:type="spellStart"/>
      <w:r w:rsidRPr="004F6AF4">
        <w:rPr>
          <w:rFonts w:ascii="Traditional Arabic" w:hAnsi="Traditional Arabic" w:cs="Traditional Arabic"/>
          <w:sz w:val="28"/>
          <w:szCs w:val="28"/>
          <w:rtl/>
        </w:rPr>
        <w:t>Goghie</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Ahammad</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2025) بينما ركزت دراسات أخرى على بعد الكفاءة والتكاليف (</w:t>
      </w:r>
      <w:proofErr w:type="spellStart"/>
      <w:r w:rsidRPr="004F6AF4">
        <w:rPr>
          <w:rFonts w:ascii="Traditional Arabic" w:hAnsi="Traditional Arabic" w:cs="Traditional Arabic"/>
          <w:sz w:val="28"/>
          <w:szCs w:val="28"/>
          <w:rtl/>
        </w:rPr>
        <w:t>Grossmann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Lavayssière</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Zhang</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2024)، وهذا النهج المتكامل يمكن من فهم التأثيرات المتشابكة والمتبادلة بين البعدين.</w:t>
      </w:r>
    </w:p>
    <w:p w14:paraId="423D52ED"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تطبيقها للأطر التنظيمية السعودية المحددة التي تحكم القطاع المالي (</w:t>
      </w:r>
      <w:proofErr w:type="spellStart"/>
      <w:r w:rsidRPr="004F6AF4">
        <w:rPr>
          <w:rFonts w:ascii="Traditional Arabic" w:hAnsi="Traditional Arabic" w:cs="Traditional Arabic"/>
          <w:sz w:val="28"/>
          <w:szCs w:val="28"/>
          <w:rtl/>
        </w:rPr>
        <w:t>Saudi</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Central</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Bank</w:t>
      </w:r>
      <w:proofErr w:type="spellEnd"/>
      <w:r w:rsidRPr="004F6AF4">
        <w:rPr>
          <w:rFonts w:ascii="Traditional Arabic" w:hAnsi="Traditional Arabic" w:cs="Traditional Arabic"/>
          <w:sz w:val="28"/>
          <w:szCs w:val="28"/>
          <w:rtl/>
        </w:rPr>
        <w:t xml:space="preserve">, 2024; IMF, 2024)، بما في ذلك متطلبات مؤسسة النقد العربي السعودي (SAMA) ومتطلبات الهيئة الوطنية للأمن السيبراني (PCI </w:t>
      </w:r>
      <w:proofErr w:type="spellStart"/>
      <w:r w:rsidRPr="004F6AF4">
        <w:rPr>
          <w:rFonts w:ascii="Traditional Arabic" w:hAnsi="Traditional Arabic" w:cs="Traditional Arabic"/>
          <w:sz w:val="28"/>
          <w:szCs w:val="28"/>
          <w:rtl/>
        </w:rPr>
        <w:t>Security</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Standards</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Council</w:t>
      </w:r>
      <w:proofErr w:type="spellEnd"/>
      <w:r w:rsidRPr="004F6AF4">
        <w:rPr>
          <w:rFonts w:ascii="Traditional Arabic" w:hAnsi="Traditional Arabic" w:cs="Traditional Arabic"/>
          <w:sz w:val="28"/>
          <w:szCs w:val="28"/>
          <w:rtl/>
        </w:rPr>
        <w:t>, 2024; ENISA, 2024)، بينما طبقت الدراسات السابقة أطر تنظيمية مختلفة تتناسب مع سياقاتها الخاصة، وهذا الاختلاف التنظيمي مهم لأن الأطر التنظيمية تشكل عوامل تمكين أو إعاقة رئيسية لتبني التقنيات الجديدة في القطاع المالي.</w:t>
      </w:r>
    </w:p>
    <w:p w14:paraId="45A31C2C"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نطاقها الشامل الذي يغطي مختلف أنواع الخدمات المالية من المدفوعات والتحويلات إلى الإقراض والاستثمار وإدارة الأصول (</w:t>
      </w:r>
      <w:proofErr w:type="spellStart"/>
      <w:r w:rsidRPr="004F6AF4">
        <w:rPr>
          <w:rFonts w:ascii="Traditional Arabic" w:hAnsi="Traditional Arabic" w:cs="Traditional Arabic"/>
          <w:sz w:val="28"/>
          <w:szCs w:val="28"/>
          <w:rtl/>
        </w:rPr>
        <w:t>Financial</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Stability</w:t>
      </w:r>
      <w:proofErr w:type="spellEnd"/>
      <w:r w:rsidRPr="004F6AF4">
        <w:rPr>
          <w:rFonts w:ascii="Traditional Arabic" w:hAnsi="Traditional Arabic" w:cs="Traditional Arabic"/>
          <w:sz w:val="28"/>
          <w:szCs w:val="28"/>
          <w:rtl/>
        </w:rPr>
        <w:t xml:space="preserve"> Board, 2024; </w:t>
      </w:r>
      <w:proofErr w:type="spellStart"/>
      <w:r w:rsidRPr="004F6AF4">
        <w:rPr>
          <w:rFonts w:ascii="Traditional Arabic" w:hAnsi="Traditional Arabic" w:cs="Traditional Arabic"/>
          <w:sz w:val="28"/>
          <w:szCs w:val="28"/>
          <w:rtl/>
        </w:rPr>
        <w:t>McKinsey</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Company</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Thunes</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Research</w:t>
      </w:r>
      <w:proofErr w:type="spellEnd"/>
      <w:r w:rsidRPr="004F6AF4">
        <w:rPr>
          <w:rFonts w:ascii="Traditional Arabic" w:hAnsi="Traditional Arabic" w:cs="Traditional Arabic"/>
          <w:sz w:val="28"/>
          <w:szCs w:val="28"/>
          <w:rtl/>
        </w:rPr>
        <w:t>, 2025)، بينما ركزت بعض الدراسات السابقة على قطاعات أو تطبيقات محددة مثل أسواق السندات فقط (</w:t>
      </w:r>
      <w:proofErr w:type="spellStart"/>
      <w:r w:rsidRPr="004F6AF4">
        <w:rPr>
          <w:rFonts w:ascii="Traditional Arabic" w:hAnsi="Traditional Arabic" w:cs="Traditional Arabic"/>
          <w:sz w:val="28"/>
          <w:szCs w:val="28"/>
          <w:rtl/>
        </w:rPr>
        <w:t>Grossmann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Lavayssière</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Zhang</w:t>
      </w:r>
      <w:proofErr w:type="spellEnd"/>
      <w:r w:rsidRPr="004F6AF4">
        <w:rPr>
          <w:rFonts w:ascii="Traditional Arabic" w:hAnsi="Traditional Arabic" w:cs="Traditional Arabic"/>
          <w:sz w:val="28"/>
          <w:szCs w:val="28"/>
          <w:rtl/>
        </w:rPr>
        <w:t>, 2025) أو الأصول الزراعية (</w:t>
      </w:r>
      <w:proofErr w:type="spellStart"/>
      <w:r w:rsidRPr="004F6AF4">
        <w:rPr>
          <w:rFonts w:ascii="Traditional Arabic" w:hAnsi="Traditional Arabic" w:cs="Traditional Arabic"/>
          <w:sz w:val="28"/>
          <w:szCs w:val="28"/>
          <w:rtl/>
        </w:rPr>
        <w:t>Adigwe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2024) أو الضمانات المصرفية (</w:t>
      </w:r>
      <w:proofErr w:type="spellStart"/>
      <w:r w:rsidRPr="004F6AF4">
        <w:rPr>
          <w:rFonts w:ascii="Traditional Arabic" w:hAnsi="Traditional Arabic" w:cs="Traditional Arabic"/>
          <w:sz w:val="28"/>
          <w:szCs w:val="28"/>
          <w:rtl/>
        </w:rPr>
        <w:t>Almadadha</w:t>
      </w:r>
      <w:proofErr w:type="spellEnd"/>
      <w:r w:rsidRPr="004F6AF4">
        <w:rPr>
          <w:rFonts w:ascii="Traditional Arabic" w:hAnsi="Traditional Arabic" w:cs="Traditional Arabic"/>
          <w:sz w:val="28"/>
          <w:szCs w:val="28"/>
          <w:rtl/>
        </w:rPr>
        <w:t>, 2025)، مما يجعل الدراسة الحالية أكثر شمولية في تغطيتها لمختلف جوانب العمل المالي.</w:t>
      </w:r>
    </w:p>
    <w:p w14:paraId="1D7CA82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تختلف الدراسة الحالية في استخدامها لمنهجية مختلطة مصممة خصيصاً للسياق السعودي تجمع بين الاستبانات الإلكترونية والمقابلات شبه المنظمة مع أصحاب المصلحة المتعددين من مستويات إدارية مختلفة (من المديرين التنفيذيين إلى المستخدمين </w:t>
      </w:r>
      <w:r w:rsidRPr="004F6AF4">
        <w:rPr>
          <w:rFonts w:ascii="Traditional Arabic" w:hAnsi="Traditional Arabic" w:cs="Traditional Arabic"/>
          <w:sz w:val="28"/>
          <w:szCs w:val="28"/>
          <w:rtl/>
        </w:rPr>
        <w:lastRenderedPageBreak/>
        <w:t>النهائيين) في المؤسسات المالية السعودية، بينما استخدمت الدراسات السابقة منهجيات مختلفة تناسب سياقاتها، وهذا التصميم المنهجي المخصص يضمن الحصول على بيانات دقيقة وذات صلة بالواقع السعودي.</w:t>
      </w:r>
    </w:p>
    <w:p w14:paraId="524C277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تختلف الدراسة الحالية في توقيتها الحرج ضمن مسيرة التحول الرقمي في المملكة (</w:t>
      </w:r>
      <w:proofErr w:type="spellStart"/>
      <w:r w:rsidRPr="004F6AF4">
        <w:rPr>
          <w:rFonts w:ascii="Traditional Arabic" w:hAnsi="Traditional Arabic" w:cs="Traditional Arabic"/>
          <w:sz w:val="28"/>
          <w:szCs w:val="28"/>
          <w:rtl/>
        </w:rPr>
        <w:t>Saudi</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Central</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Bank</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Thunes</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Research</w:t>
      </w:r>
      <w:proofErr w:type="spellEnd"/>
      <w:r w:rsidRPr="004F6AF4">
        <w:rPr>
          <w:rFonts w:ascii="Traditional Arabic" w:hAnsi="Traditional Arabic" w:cs="Traditional Arabic"/>
          <w:sz w:val="28"/>
          <w:szCs w:val="28"/>
          <w:rtl/>
        </w:rPr>
        <w:t xml:space="preserve">, 2025; IMF, 2024)، حيث تأتي في وقت تشهد فيه المملكة تسارعاً كبيراً في التحول الرقمي للقطاع المالي مع وصول نسبة المدفوعات الإلكترونية إلى 79% ومعدل الشمول المالي إلى 94% ونمو قطاع </w:t>
      </w:r>
      <w:proofErr w:type="spellStart"/>
      <w:r w:rsidRPr="004F6AF4">
        <w:rPr>
          <w:rFonts w:ascii="Traditional Arabic" w:hAnsi="Traditional Arabic" w:cs="Traditional Arabic"/>
          <w:sz w:val="28"/>
          <w:szCs w:val="28"/>
          <w:rtl/>
        </w:rPr>
        <w:t>الفنتك</w:t>
      </w:r>
      <w:proofErr w:type="spellEnd"/>
      <w:r w:rsidRPr="004F6AF4">
        <w:rPr>
          <w:rFonts w:ascii="Traditional Arabic" w:hAnsi="Traditional Arabic" w:cs="Traditional Arabic"/>
          <w:sz w:val="28"/>
          <w:szCs w:val="28"/>
          <w:rtl/>
        </w:rPr>
        <w:t xml:space="preserve"> بشكل ملحوظ، مما يجعل نتائج الدراسة ذات قيمة عملية عالية لصناع القرار في المؤسسات المالية والجهات التنظيمية في توقيت حاسم من مسيرة التحول.</w:t>
      </w:r>
    </w:p>
    <w:p w14:paraId="4E935374"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2.4.3 أوجه استفادة الدراسة الحالية من الدراسات السابقة</w:t>
      </w:r>
    </w:p>
    <w:p w14:paraId="04F564B5"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استفادت الدراسة الحالية من الدراسات السابقة في عدة جوانب مهمة، حيث تتمثل أهم أوجه الاستفادة فيما يلي:</w:t>
      </w:r>
    </w:p>
    <w:p w14:paraId="552525E1"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بناء الإطار المفاهيمي والنظري للدراسة الحالية (</w:t>
      </w:r>
      <w:proofErr w:type="spellStart"/>
      <w:r w:rsidRPr="004F6AF4">
        <w:rPr>
          <w:rFonts w:ascii="Traditional Arabic" w:hAnsi="Traditional Arabic" w:cs="Traditional Arabic"/>
          <w:sz w:val="28"/>
          <w:szCs w:val="28"/>
          <w:rtl/>
        </w:rPr>
        <w:t>Goghie</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Ahammad</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Carapella</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2023; </w:t>
      </w:r>
      <w:proofErr w:type="spellStart"/>
      <w:r w:rsidRPr="004F6AF4">
        <w:rPr>
          <w:rFonts w:ascii="Traditional Arabic" w:hAnsi="Traditional Arabic" w:cs="Traditional Arabic"/>
          <w:sz w:val="28"/>
          <w:szCs w:val="28"/>
          <w:rtl/>
        </w:rPr>
        <w:t>Grossmann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Udeh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2025)، حيث استفادت الدراسة الحالية من التعريفات والمفاهيم والأطر النظرية التي طورتها تلك الدراسات حول تقنية الترميز والأمن السيبراني وكفاءة العمليات المالية، مما وفر أساساً علمياً قوياً لبناء فهم شامل ومتكامل للموضوع محل الدراسة.</w:t>
      </w:r>
    </w:p>
    <w:p w14:paraId="0D2B1670"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تحديد المتغيرات الرئيسية والعلاقات المفترضة بينها (Al-</w:t>
      </w:r>
      <w:proofErr w:type="spellStart"/>
      <w:r w:rsidRPr="004F6AF4">
        <w:rPr>
          <w:rFonts w:ascii="Traditional Arabic" w:hAnsi="Traditional Arabic" w:cs="Traditional Arabic"/>
          <w:sz w:val="28"/>
          <w:szCs w:val="28"/>
          <w:rtl/>
        </w:rPr>
        <w:t>Qudah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Almadadha</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Karanovic</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2024)، حيث استفادت الدراسة الحالية من النتائج التي توصلت إليها تلك الدراسات حول تأثير تقنية الترميز على متغيرات مثل تكاليف المعاملات وسرعة التنفيذ وحوادث الأمن السيبراني والأداء المالي، مما ساعد في صياغة فرضيات الدراسة الحالية بشكل مدروس ومبني على أدلة سابقة.</w:t>
      </w:r>
    </w:p>
    <w:p w14:paraId="4908772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اختيار المنهجية المناسبة وتصميم أدوات جمع البيانات (Al-</w:t>
      </w:r>
      <w:proofErr w:type="spellStart"/>
      <w:r w:rsidRPr="004F6AF4">
        <w:rPr>
          <w:rFonts w:ascii="Traditional Arabic" w:hAnsi="Traditional Arabic" w:cs="Traditional Arabic"/>
          <w:sz w:val="28"/>
          <w:szCs w:val="28"/>
          <w:rtl/>
        </w:rPr>
        <w:t>Qudah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Karanovic</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xml:space="preserve">, 2024; Islam &amp; </w:t>
      </w:r>
      <w:proofErr w:type="spellStart"/>
      <w:r w:rsidRPr="004F6AF4">
        <w:rPr>
          <w:rFonts w:ascii="Traditional Arabic" w:hAnsi="Traditional Arabic" w:cs="Traditional Arabic"/>
          <w:sz w:val="28"/>
          <w:szCs w:val="28"/>
          <w:rtl/>
        </w:rPr>
        <w:t>In</w:t>
      </w:r>
      <w:proofErr w:type="spellEnd"/>
      <w:r w:rsidRPr="004F6AF4">
        <w:rPr>
          <w:rFonts w:ascii="Traditional Arabic" w:hAnsi="Traditional Arabic" w:cs="Traditional Arabic"/>
          <w:sz w:val="28"/>
          <w:szCs w:val="28"/>
          <w:rtl/>
        </w:rPr>
        <w:t xml:space="preserve">, 2024)، حيث استفادت الدراسة الحالية من المنهجيات المتنوعة التي استخدمتها تلك الدراسات من حيث الأساليب الكمية </w:t>
      </w:r>
      <w:r w:rsidRPr="004F6AF4">
        <w:rPr>
          <w:rFonts w:ascii="Traditional Arabic" w:hAnsi="Traditional Arabic" w:cs="Traditional Arabic"/>
          <w:sz w:val="28"/>
          <w:szCs w:val="28"/>
          <w:rtl/>
        </w:rPr>
        <w:lastRenderedPageBreak/>
        <w:t>والنوعية والمختلطة، ومن تصميم الاستبانات والمقابلات وطرق التحليل الإحصائي، مما ساعد في تطوير منهجية شاملة ومناسبة للسياق السعودي.</w:t>
      </w:r>
    </w:p>
    <w:p w14:paraId="64D0741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تقدير حجم التأثيرات المتوقعة والمؤشرات الكمية المرجعية (Al-</w:t>
      </w:r>
      <w:proofErr w:type="spellStart"/>
      <w:r w:rsidRPr="004F6AF4">
        <w:rPr>
          <w:rFonts w:ascii="Traditional Arabic" w:hAnsi="Traditional Arabic" w:cs="Traditional Arabic"/>
          <w:sz w:val="28"/>
          <w:szCs w:val="28"/>
          <w:rtl/>
        </w:rPr>
        <w:t>Qudah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Grossmann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Karanovic</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Adigwe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2024)، حيث وفرت تلك الدراسات أرقاماً ونسباً محددة حول التحسينات المتوقعة في التكاليف والسرعة والأمن، مثل انخفاض تكاليف المعاملات بنسبة 42-52% وانخفاض أوقات المعالجة بنسبة 78% وانخفاض حوادث الأمن السيبراني بنسبة 56%، وهذه المؤشرات توفر معياراً للمقارنة ولتقييم النتائج في السياق السعودي.</w:t>
      </w:r>
    </w:p>
    <w:p w14:paraId="2C02EE3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فهم التحديات والعوائق المحتملة لتبني تقنية الترميز (</w:t>
      </w:r>
      <w:proofErr w:type="spellStart"/>
      <w:r w:rsidRPr="004F6AF4">
        <w:rPr>
          <w:rFonts w:ascii="Traditional Arabic" w:hAnsi="Traditional Arabic" w:cs="Traditional Arabic"/>
          <w:sz w:val="28"/>
          <w:szCs w:val="28"/>
          <w:rtl/>
        </w:rPr>
        <w:t>Carapella</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2023; </w:t>
      </w:r>
      <w:proofErr w:type="spellStart"/>
      <w:r w:rsidRPr="004F6AF4">
        <w:rPr>
          <w:rFonts w:ascii="Traditional Arabic" w:hAnsi="Traditional Arabic" w:cs="Traditional Arabic"/>
          <w:sz w:val="28"/>
          <w:szCs w:val="28"/>
          <w:rtl/>
        </w:rPr>
        <w:t>Goghie</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Multiple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Authors</w:t>
      </w:r>
      <w:proofErr w:type="spellEnd"/>
      <w:r w:rsidRPr="004F6AF4">
        <w:rPr>
          <w:rFonts w:ascii="Traditional Arabic" w:hAnsi="Traditional Arabic" w:cs="Traditional Arabic"/>
          <w:sz w:val="28"/>
          <w:szCs w:val="28"/>
          <w:rtl/>
        </w:rPr>
        <w:t>, 2025)، حيث حددت تلك الدراسات تحديات مثل التعقيدات التقنية والفجوات التنظيمية ومقاومة المؤسسات التقليدية وقيود القابلية للتوسع ومخاوف الأمن السيبراني الجديدة، مما ساعد الدراسة الحالية في تضمين هذه الجوانب في تصميم البحث وفي صياغة الأسئلة والتوصيات بشكل أكثر واقعية.</w:t>
      </w:r>
    </w:p>
    <w:p w14:paraId="0779E650"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إثراء الإطار النظري من خلال النظريات والنماذج المستخدمة (</w:t>
      </w:r>
      <w:proofErr w:type="spellStart"/>
      <w:r w:rsidRPr="004F6AF4">
        <w:rPr>
          <w:rFonts w:ascii="Traditional Arabic" w:hAnsi="Traditional Arabic" w:cs="Traditional Arabic"/>
          <w:sz w:val="28"/>
          <w:szCs w:val="28"/>
          <w:rtl/>
        </w:rPr>
        <w:t>Grossmann</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Udeh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xml:space="preserve">, 2024; Islam &amp; </w:t>
      </w:r>
      <w:proofErr w:type="spellStart"/>
      <w:r w:rsidRPr="004F6AF4">
        <w:rPr>
          <w:rFonts w:ascii="Traditional Arabic" w:hAnsi="Traditional Arabic" w:cs="Traditional Arabic"/>
          <w:sz w:val="28"/>
          <w:szCs w:val="28"/>
          <w:rtl/>
        </w:rPr>
        <w:t>In</w:t>
      </w:r>
      <w:proofErr w:type="spellEnd"/>
      <w:r w:rsidRPr="004F6AF4">
        <w:rPr>
          <w:rFonts w:ascii="Traditional Arabic" w:hAnsi="Traditional Arabic" w:cs="Traditional Arabic"/>
          <w:sz w:val="28"/>
          <w:szCs w:val="28"/>
          <w:rtl/>
        </w:rPr>
        <w:t>, 2024)، حيث استفادت الدراسة الحالية من النظريات مثل نظرية تكاليف المعاملات ونظرية أمن المعلومات ونموذج قبول التقنية ونظرية الانتشار والابتكار التي طبقتها تلك الدراسات، مما وفر عدسات نظرية متعددة الأبعاد لتفسير الظواهر المدروسة.</w:t>
      </w:r>
    </w:p>
    <w:p w14:paraId="6A854A3A"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ساعدت الدراسات السابقة في تحديد الفجوة البحثية بوضوح ودقة (</w:t>
      </w:r>
      <w:proofErr w:type="spellStart"/>
      <w:r w:rsidRPr="004F6AF4">
        <w:rPr>
          <w:rFonts w:ascii="Traditional Arabic" w:hAnsi="Traditional Arabic" w:cs="Traditional Arabic"/>
          <w:sz w:val="28"/>
          <w:szCs w:val="28"/>
          <w:rtl/>
        </w:rPr>
        <w:t>Goghie</w:t>
      </w:r>
      <w:proofErr w:type="spellEnd"/>
      <w:r w:rsidRPr="004F6AF4">
        <w:rPr>
          <w:rFonts w:ascii="Traditional Arabic" w:hAnsi="Traditional Arabic" w:cs="Traditional Arabic"/>
          <w:sz w:val="28"/>
          <w:szCs w:val="28"/>
          <w:rtl/>
        </w:rPr>
        <w:t>, 2024; Al-</w:t>
      </w:r>
      <w:proofErr w:type="spellStart"/>
      <w:r w:rsidRPr="004F6AF4">
        <w:rPr>
          <w:rFonts w:ascii="Traditional Arabic" w:hAnsi="Traditional Arabic" w:cs="Traditional Arabic"/>
          <w:sz w:val="28"/>
          <w:szCs w:val="28"/>
          <w:rtl/>
        </w:rPr>
        <w:t>Qudah</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xml:space="preserve">., 2025; </w:t>
      </w:r>
      <w:proofErr w:type="spellStart"/>
      <w:r w:rsidRPr="004F6AF4">
        <w:rPr>
          <w:rFonts w:ascii="Traditional Arabic" w:hAnsi="Traditional Arabic" w:cs="Traditional Arabic"/>
          <w:sz w:val="28"/>
          <w:szCs w:val="28"/>
          <w:rtl/>
        </w:rPr>
        <w:t>Sakarneh</w:t>
      </w:r>
      <w:proofErr w:type="spellEnd"/>
      <w:r w:rsidRPr="004F6AF4">
        <w:rPr>
          <w:rFonts w:ascii="Traditional Arabic" w:hAnsi="Traditional Arabic" w:cs="Traditional Arabic"/>
          <w:sz w:val="28"/>
          <w:szCs w:val="28"/>
          <w:rtl/>
        </w:rPr>
        <w:t xml:space="preserve"> &amp; </w:t>
      </w:r>
      <w:proofErr w:type="spellStart"/>
      <w:r w:rsidRPr="004F6AF4">
        <w:rPr>
          <w:rFonts w:ascii="Traditional Arabic" w:hAnsi="Traditional Arabic" w:cs="Traditional Arabic"/>
          <w:sz w:val="28"/>
          <w:szCs w:val="28"/>
          <w:rtl/>
        </w:rPr>
        <w:t>Kilani</w:t>
      </w:r>
      <w:proofErr w:type="spellEnd"/>
      <w:r w:rsidRPr="004F6AF4">
        <w:rPr>
          <w:rFonts w:ascii="Traditional Arabic" w:hAnsi="Traditional Arabic" w:cs="Traditional Arabic"/>
          <w:sz w:val="28"/>
          <w:szCs w:val="28"/>
          <w:rtl/>
        </w:rPr>
        <w:t xml:space="preserve">, 2024; </w:t>
      </w:r>
      <w:proofErr w:type="spellStart"/>
      <w:r w:rsidRPr="004F6AF4">
        <w:rPr>
          <w:rFonts w:ascii="Traditional Arabic" w:hAnsi="Traditional Arabic" w:cs="Traditional Arabic"/>
          <w:sz w:val="28"/>
          <w:szCs w:val="28"/>
          <w:rtl/>
        </w:rPr>
        <w:t>Karanovic</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et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al</w:t>
      </w:r>
      <w:proofErr w:type="spellEnd"/>
      <w:r w:rsidRPr="004F6AF4">
        <w:rPr>
          <w:rFonts w:ascii="Traditional Arabic" w:hAnsi="Traditional Arabic" w:cs="Traditional Arabic"/>
          <w:sz w:val="28"/>
          <w:szCs w:val="28"/>
          <w:rtl/>
        </w:rPr>
        <w:t>., 2024)، حيث أظهرت تلك الدراسات بوضوح النقص في الأبحاث التي تطبق على السياق السعودي أو التي تربط تقنية الترميز برؤية 2030 أو التي تقارن بين أنواع مختلفة من المؤسسات المالية في نفس السياق، مما أكد على أهمية إجراء الدراسة الحالية لسد هذه الفجوة البحثية الواضحة.</w:t>
      </w:r>
    </w:p>
    <w:p w14:paraId="167D71A2" w14:textId="77777777" w:rsidR="00F00638" w:rsidRPr="004F6AF4" w:rsidRDefault="00F00638"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2.4.4 ما يميز الدراسة الحالية عن الدراسات السابقة</w:t>
      </w:r>
    </w:p>
    <w:p w14:paraId="657D102B"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 xml:space="preserve">تتميز الدراسة الحالية عن الدراسات السابقة بمجموعة من الخصائص الفريدة التي تجعلها إضافة نوعية ومهمة للأدبيات المتاحة حول تقنية الترميز وتأثيرها على الأمن السيبراني وكفاءة العمليات المالية، حيث تمثل هذه الدراسة أول دراسة شاملة تطبق على المؤسسات المالية السعودية بأنواعها المختلفة وتفحص بشكل متزامن تأثير تقنية الترميز على كل من الأمن السيبراني وكفاءة العمليات المالية في سياق رؤية السعودية 2030 والتحول الرقمي الوطني. وتقدم الدراسة إسهاماً معرفياً فريداً من خلال المقارنة المباشرة بين ثلاثة أنواع من المؤسسات المالية وهي البنوك التقليدية والبنوك الرقمية وشركات </w:t>
      </w:r>
      <w:proofErr w:type="spellStart"/>
      <w:r w:rsidRPr="004F6AF4">
        <w:rPr>
          <w:rFonts w:ascii="Traditional Arabic" w:hAnsi="Traditional Arabic" w:cs="Traditional Arabic"/>
          <w:sz w:val="28"/>
          <w:szCs w:val="28"/>
          <w:rtl/>
        </w:rPr>
        <w:t>الفنتك</w:t>
      </w:r>
      <w:proofErr w:type="spellEnd"/>
      <w:r w:rsidRPr="004F6AF4">
        <w:rPr>
          <w:rFonts w:ascii="Traditional Arabic" w:hAnsi="Traditional Arabic" w:cs="Traditional Arabic"/>
          <w:sz w:val="28"/>
          <w:szCs w:val="28"/>
          <w:rtl/>
        </w:rPr>
        <w:t xml:space="preserve"> في نفس السياق التنظيمي والثقافي والاقتصادي، مما يمكن من فهم أعمق لكيفية اختلاف تأثير التقنية باختلاف حجم ونوع وطبيعة المؤسسة. كما تتميز الدراسة بتطبيقها المباشر للأطر التنظيمية السعودية المحددة بما في ذلك متطلبات مؤسسة النقد العربي السعودي والهيئة الوطنية للأمن السيبراني، مما يجعل نتائجها ذات قيمة عملية مباشرة لصناع القرار في القطاع المالي السعودي. وتضيف الدراسة بعداً استراتيجياً فريداً من خلال ربطها الصريح بأهداف رؤية السعودية 2030، حيث لا تقتصر على قياس التأثيرات التقنية والتشغيلية فحسب بل تفحص أيضاً كيف تساهم تقنية الترميز في تحقيق الأهداف الوطنية للتحول الرقمي والشمول المالي والتنافسية الاقتصادية. وتوفر الدراسة قيمة علمية وعملية كبيرة للقطاع المالي السعودي من خلال توليد معرفة جديدة حول واقع تطبيق تقنية الترميز في المملكة والتحديات والفرص المرتبطة بها والتوصيات المبنية على أدلة تجريبية لتعزيز فعالية التبني، مما يجعلها مرجعاً مهماً للباحثين والممارسين وصناع السياسات في المملكة والمنطقة.</w:t>
      </w:r>
    </w:p>
    <w:p w14:paraId="438920ED" w14:textId="77777777" w:rsidR="00F00638" w:rsidRPr="004F6AF4" w:rsidRDefault="00F00638" w:rsidP="00E000FF">
      <w:pPr>
        <w:bidi/>
        <w:spacing w:after="0" w:line="360" w:lineRule="auto"/>
        <w:jc w:val="both"/>
        <w:rPr>
          <w:rFonts w:ascii="Simplified Arabic" w:hAnsi="Simplified Arabic" w:cs="Simplified Arabic"/>
          <w:sz w:val="28"/>
          <w:szCs w:val="28"/>
        </w:rPr>
      </w:pPr>
    </w:p>
    <w:p w14:paraId="1B75FA39"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2.4.5 الاتجاهات العامة للدراسات السابقة</w:t>
      </w:r>
    </w:p>
    <w:p w14:paraId="180D2E28"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 xml:space="preserve">تكشف مراجعة الدراسات السابقة عن تركّز واضح في </w:t>
      </w:r>
      <w:proofErr w:type="gramStart"/>
      <w:r w:rsidRPr="004F6AF4">
        <w:rPr>
          <w:rFonts w:ascii="Traditional Arabic" w:hAnsi="Traditional Arabic" w:cs="Traditional Arabic"/>
          <w:b/>
          <w:bCs/>
          <w:color w:val="auto"/>
          <w:sz w:val="28"/>
          <w:szCs w:val="28"/>
          <w:rtl/>
        </w:rPr>
        <w:t>ثلاثة</w:t>
      </w:r>
      <w:proofErr w:type="gramEnd"/>
      <w:r w:rsidRPr="004F6AF4">
        <w:rPr>
          <w:rFonts w:ascii="Traditional Arabic" w:hAnsi="Traditional Arabic" w:cs="Traditional Arabic"/>
          <w:b/>
          <w:bCs/>
          <w:color w:val="auto"/>
          <w:sz w:val="28"/>
          <w:szCs w:val="28"/>
          <w:rtl/>
        </w:rPr>
        <w:t xml:space="preserve"> اتجاهات: الاتجاه الأول يتناول الأثر الأمني للترميز في حماية بيانات الدفع، وهو الأكثر تكراراً؛ والاتجاه الثاني يتناول الأثر التشغيلي على زمن المعاملة وكلفتها؛ والاتجاه الثالث يربط التقنية بالسياسات الوطنية للتحول الرقمي. ويلاحَظ ضعف حضور الاتجاه الذي يجمع بين الأثرين الأمني والتشغيلي في دراسة واحدة.</w:t>
      </w:r>
    </w:p>
    <w:p w14:paraId="4CB07904"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2.4.6 نقاط الاتفاق ونقاط الاختلاف</w:t>
      </w:r>
    </w:p>
    <w:p w14:paraId="291F690B"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lastRenderedPageBreak/>
        <w:t>تتفق غالبية الدراسات على وجود أثر إيجابي دال للترميز في خفض حوادث تسريب البيانات وفي تقليص نطاق الامتثال. وتختلف في تقدير حجم الأثر التشغيلي، إذ تُرجع بعض الدراسات التحسّن إلى الترميز ذاته بينما تُرجعه أخرى إلى إعادة هندسة العمليات المصاحبة لتطبيقه. ويعود جانب من هذا الاختلاف إلى تباين البيئات التنظيمية وإلى اختلاف مؤشرات القياس المستخدمة بين دراسة وأخرى.</w:t>
      </w:r>
    </w:p>
    <w:p w14:paraId="350D95A0"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2.4.7 القيود المنهجية في الدراسات السابقة</w:t>
      </w:r>
    </w:p>
    <w:p w14:paraId="6531F1AA"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تتمثل أبرز القيود المنهجية في صغر أحجام العينات في عدد من الدراسات، وغلبة المنهج الوصفي غير الاختباري، والاعتماد على بيانات معلنة من المؤسسات دون تحقق مستقل، وتركّز الدراسات في بيئات أوروبية وأمريكية تختلف أطرها التنظيمية عن البيئة السعودية. كما يغلب على أدوات القياس المستخدمة الطابع السببي في صياغة العبارات، وهو ما قد يوجّه استجابات المبحوثين.</w:t>
      </w:r>
    </w:p>
    <w:p w14:paraId="4810FF18" w14:textId="77777777" w:rsidR="00F00638" w:rsidRPr="004F6AF4" w:rsidRDefault="00F00638" w:rsidP="00E000FF">
      <w:pPr>
        <w:pStyle w:val="HeadingTOCEntry"/>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2.4.8 الفجوة البحثية ومساهمة الدراسة الحالية</w:t>
      </w:r>
    </w:p>
    <w:p w14:paraId="4F170A9E"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 xml:space="preserve">تتحدد الفجوة البحثية في غياب دراسة ميدانية كمية تختبر أثر تقنية الترميز على الأمن السيبراني وكفاءة العمليات المالية معاً داخل المؤسسات المالية السعودية، وتربط هذا الأثر بإطار نظري مفسّر وبمستهدفات رؤية 2030. وتسدّ الدراسة الحالية هذه الفجوة عبر أداة مطبّقة على عينة من العاملين في المؤسسات المالية السعودية، وبأساليب إحصائية </w:t>
      </w:r>
      <w:proofErr w:type="spellStart"/>
      <w:r w:rsidRPr="004F6AF4">
        <w:rPr>
          <w:rFonts w:ascii="Traditional Arabic" w:hAnsi="Traditional Arabic" w:cs="Traditional Arabic"/>
          <w:b/>
          <w:bCs/>
          <w:color w:val="auto"/>
          <w:sz w:val="28"/>
          <w:szCs w:val="28"/>
          <w:rtl/>
        </w:rPr>
        <w:t>لامعلمية</w:t>
      </w:r>
      <w:proofErr w:type="spellEnd"/>
      <w:r w:rsidRPr="004F6AF4">
        <w:rPr>
          <w:rFonts w:ascii="Traditional Arabic" w:hAnsi="Traditional Arabic" w:cs="Traditional Arabic"/>
          <w:b/>
          <w:bCs/>
          <w:color w:val="auto"/>
          <w:sz w:val="28"/>
          <w:szCs w:val="28"/>
          <w:rtl/>
        </w:rPr>
        <w:t xml:space="preserve"> تختبر الأثر والفروق معاً، وبإطار نظري مستمد من نظرية التقنية والتنظيم والبيئة يفسّر تفاوت الأثر باختلاف سياق المؤسسة.</w:t>
      </w:r>
    </w:p>
    <w:p w14:paraId="7EC0F82A" w14:textId="77777777" w:rsidR="00F00638" w:rsidRPr="004F6AF4" w:rsidRDefault="00F00638" w:rsidP="00E000FF">
      <w:pPr>
        <w:pStyle w:val="HeadingTOCEntry"/>
        <w:bidi/>
        <w:spacing w:after="0" w:line="360" w:lineRule="auto"/>
        <w:ind w:left="432" w:hanging="432"/>
        <w:rPr>
          <w:rFonts w:ascii="Simplified Arabic" w:hAnsi="Simplified Arabic" w:cs="Simplified Arabic"/>
          <w:b/>
          <w:bCs/>
          <w:sz w:val="28"/>
          <w:szCs w:val="28"/>
          <w:u w:val="single"/>
        </w:rPr>
      </w:pPr>
      <w:bookmarkStart w:id="59" w:name="_Toc224563962"/>
      <w:bookmarkStart w:id="60" w:name="_Toc234424154"/>
      <w:r w:rsidRPr="004F6AF4">
        <w:rPr>
          <w:rFonts w:ascii="Traditional Arabic" w:hAnsi="Traditional Arabic" w:cs="Traditional Arabic"/>
          <w:b/>
          <w:bCs/>
          <w:sz w:val="28"/>
          <w:szCs w:val="28"/>
          <w:u w:val="single"/>
          <w:rtl/>
        </w:rPr>
        <w:t>2.5 خلاصة الفصل</w:t>
      </w:r>
      <w:bookmarkEnd w:id="59"/>
      <w:bookmarkEnd w:id="60"/>
    </w:p>
    <w:p w14:paraId="4BFD5BD1"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تناول هذا الفصل الأسس النظرية والدراسات السابقة المرتبطة بموضوع تأثير تقنية الترميز على الأمن السيبراني وكفاءة العمليات المالية في المؤسسات السعودية في ضوء رؤية 2030، حيث قدم القسم الأول إطاراً نظرياً شاملاً غطى مفهوم تقنية الترميز وأهميتها وأنواعها وخصائصها، ومفهوم الأمن السيبراني وأهميته وأبعاده والتهديدات الرئيسية، ومفهوم كفاءة العمليات المالية وأبعادها ودور التحول الرقمي في تحسينها، ورؤية السعودية 2030 وأهدافها المرتبطة بالقطاع المالي الرقمي والإنجازات المحققة ودور تقنية الترميز في تحقيق هذه الأهداف، والأسس النظرية المفسرة للعلاقات بين المتغيرات. وقدم القسم الثاني استعراضاً شاملاً لثلاث عشرة دراسة حديثة من السياقات الجغرافية المتنوعة تم تصنيفها إلى أربع مجموعات </w:t>
      </w:r>
      <w:r w:rsidRPr="004F6AF4">
        <w:rPr>
          <w:rFonts w:ascii="Traditional Arabic" w:hAnsi="Traditional Arabic" w:cs="Traditional Arabic"/>
          <w:sz w:val="28"/>
          <w:szCs w:val="28"/>
          <w:rtl/>
        </w:rPr>
        <w:lastRenderedPageBreak/>
        <w:t>رئيسية تغطي الأمن السيبراني وكفاءة المعاملات والتحول الرقمي الإقليمي وتطبيقات الترميز المتنوعة، وخلص التحليل إلى أن جميع الدراسات السابقة أكدت على التأثيرات الإيجابية لتقنية الترميز على الأمن والكفاءة لكنها أظهرت فجوة واضحة في غياب الدراسات التي تطبق على السياق السعودي تحديداً.</w:t>
      </w:r>
    </w:p>
    <w:p w14:paraId="51B844CE" w14:textId="77777777" w:rsidR="00F00638" w:rsidRPr="004F6AF4" w:rsidRDefault="00F00638"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واستفادت الدراسة الحالية من الدراسات السابقة في بناء الإطار المفاهيمي وتحديد المتغيرات وتصميم المنهجية وتقدير التأثيرات المتوقعة وفهم التحديات وإثراء الإطار النظري وتحديد الفجوة البحثية، مما ساعد في تطوير تصميم بحثي شامل ومتين للدراسة الحالية. وتتميز الدراسة الحالية عن الدراسات السابقة بكونها أول دراسة شاملة تطبق على المؤسسات المالية السعودية بأنواعها الثلاثة وتفحص بشكل متزامن تأثير تقنية الترميز على كل من الأمن السيبراني وكفاءة العمليات المالية في سياق رؤية السعودية 2030، مع تطبيق الأطر التنظيمية السعودية المحددة واستخدام منهجية مختلطة مصممة خصيصاً للسياق المحلي، مما يوفر قيمة علمية وعملية كبيرة للقطاع المالي السعودي ويسد فجوة بحثية واضحة في الأدبيات المتاحة.</w:t>
      </w:r>
    </w:p>
    <w:p w14:paraId="426131F6" w14:textId="77777777" w:rsidR="00BC00FF" w:rsidRPr="00B21BA2" w:rsidRDefault="00BC00FF" w:rsidP="00E000FF">
      <w:pPr>
        <w:bidi/>
        <w:spacing w:after="0" w:line="360" w:lineRule="auto"/>
        <w:rPr>
          <w:rFonts w:ascii="Simplified Arabic" w:eastAsiaTheme="majorEastAsia" w:hAnsi="Simplified Arabic" w:cs="Simplified Arabic"/>
          <w:b/>
          <w:bCs/>
          <w:sz w:val="28"/>
          <w:szCs w:val="28"/>
          <w:u w:val="single"/>
          <w:rtl/>
        </w:rPr>
      </w:pPr>
    </w:p>
    <w:p w14:paraId="16AD0788" w14:textId="3330CFBB" w:rsidR="00BC00FF" w:rsidRPr="00B21BA2" w:rsidRDefault="00BC00FF" w:rsidP="00E000FF">
      <w:pPr>
        <w:bidi/>
        <w:spacing w:after="0" w:line="360" w:lineRule="auto"/>
        <w:rPr>
          <w:rFonts w:ascii="Simplified Arabic" w:eastAsiaTheme="majorEastAsia" w:hAnsi="Simplified Arabic" w:cs="Simplified Arabic"/>
          <w:b/>
          <w:bCs/>
          <w:sz w:val="28"/>
          <w:szCs w:val="28"/>
          <w:u w:val="single"/>
          <w:rtl/>
        </w:rPr>
        <w:sectPr w:rsidR="00BC00FF" w:rsidRPr="00B21BA2" w:rsidSect="006E2853">
          <w:pgSz w:w="11906" w:h="16838"/>
          <w:pgMar w:top="1440" w:right="1800" w:bottom="1440" w:left="1800" w:header="708" w:footer="144" w:gutter="0"/>
          <w:cols w:space="708"/>
          <w:titlePg/>
          <w:bidi/>
          <w:rtlGutter/>
          <w:docGrid w:linePitch="360"/>
        </w:sectPr>
      </w:pPr>
    </w:p>
    <w:p w14:paraId="4A9CBE78" w14:textId="77777777" w:rsidR="001C4FBE" w:rsidRDefault="001C4FBE" w:rsidP="00E000FF">
      <w:pPr>
        <w:bidi/>
        <w:spacing w:after="0" w:line="360" w:lineRule="auto"/>
        <w:jc w:val="center"/>
        <w:rPr>
          <w:rFonts w:ascii="Simplified Arabic" w:hAnsi="Simplified Arabic" w:cs="Simplified Arabic"/>
          <w:b/>
          <w:bCs/>
          <w:sz w:val="48"/>
          <w:szCs w:val="48"/>
          <w:rtl/>
        </w:rPr>
      </w:pPr>
    </w:p>
    <w:p w14:paraId="303D7E42" w14:textId="77777777" w:rsidR="001C4FBE" w:rsidRDefault="001C4FBE" w:rsidP="00E000FF">
      <w:pPr>
        <w:bidi/>
        <w:spacing w:after="0" w:line="360" w:lineRule="auto"/>
        <w:jc w:val="center"/>
        <w:rPr>
          <w:rFonts w:ascii="Simplified Arabic" w:hAnsi="Simplified Arabic" w:cs="Simplified Arabic"/>
          <w:b/>
          <w:bCs/>
          <w:sz w:val="48"/>
          <w:szCs w:val="48"/>
        </w:rPr>
      </w:pPr>
    </w:p>
    <w:p w14:paraId="7A43D73C" w14:textId="5353779B" w:rsidR="001C4FBE" w:rsidRPr="004F6AF4" w:rsidRDefault="001C4FBE" w:rsidP="00E000FF">
      <w:pPr>
        <w:pStyle w:val="HeadingTOCEntry"/>
        <w:bidi/>
        <w:spacing w:after="0" w:line="360" w:lineRule="auto"/>
        <w:ind w:left="432" w:hanging="432"/>
        <w:jc w:val="center"/>
        <w:rPr>
          <w:rFonts w:ascii="Traditional Arabic" w:hAnsi="Traditional Arabic" w:cs="Traditional Arabic"/>
          <w:b/>
          <w:bCs/>
          <w:sz w:val="92"/>
          <w:szCs w:val="92"/>
          <w:rtl/>
        </w:rPr>
      </w:pPr>
      <w:bookmarkStart w:id="61" w:name="_Toc234424155"/>
      <w:r w:rsidRPr="004F6AF4">
        <w:rPr>
          <w:rFonts w:ascii="Traditional Arabic" w:hAnsi="Traditional Arabic" w:cs="Traditional Arabic"/>
          <w:b/>
          <w:bCs/>
          <w:sz w:val="92"/>
          <w:szCs w:val="92"/>
          <w:rtl/>
        </w:rPr>
        <w:t xml:space="preserve">الفصل </w:t>
      </w:r>
      <w:r w:rsidRPr="004F6AF4">
        <w:rPr>
          <w:rFonts w:ascii="Traditional Arabic" w:hAnsi="Traditional Arabic" w:cs="Traditional Arabic" w:hint="cs"/>
          <w:b/>
          <w:bCs/>
          <w:sz w:val="92"/>
          <w:szCs w:val="92"/>
          <w:rtl/>
        </w:rPr>
        <w:t>الثالث</w:t>
      </w:r>
      <w:bookmarkEnd w:id="61"/>
    </w:p>
    <w:p w14:paraId="629CB31A" w14:textId="69A10412" w:rsidR="003A3893" w:rsidRPr="004F6AF4" w:rsidRDefault="003A3893" w:rsidP="004F6AF4">
      <w:pPr>
        <w:pStyle w:val="HeadingTOCEntry"/>
        <w:bidi/>
        <w:spacing w:after="0" w:line="360" w:lineRule="auto"/>
        <w:ind w:left="432" w:hanging="432"/>
        <w:jc w:val="center"/>
        <w:rPr>
          <w:rFonts w:ascii="Traditional Arabic" w:hAnsi="Traditional Arabic" w:cs="Traditional Arabic"/>
          <w:b/>
          <w:bCs/>
          <w:sz w:val="92"/>
          <w:szCs w:val="92"/>
          <w:rtl/>
        </w:rPr>
      </w:pPr>
      <w:r w:rsidRPr="004F6AF4">
        <w:rPr>
          <w:rFonts w:ascii="Traditional Arabic" w:hAnsi="Traditional Arabic" w:cs="Traditional Arabic" w:hint="cs"/>
          <w:b/>
          <w:bCs/>
          <w:sz w:val="92"/>
          <w:szCs w:val="92"/>
          <w:rtl/>
        </w:rPr>
        <w:t>منهجية الدراسة</w:t>
      </w:r>
    </w:p>
    <w:p w14:paraId="17A50A3E" w14:textId="77777777" w:rsidR="001C4FBE" w:rsidRDefault="001C4FBE" w:rsidP="00E000FF">
      <w:pPr>
        <w:bidi/>
        <w:spacing w:after="0" w:line="360" w:lineRule="auto"/>
        <w:jc w:val="center"/>
        <w:rPr>
          <w:b/>
          <w:bCs/>
          <w:sz w:val="96"/>
          <w:szCs w:val="96"/>
          <w:rtl/>
          <w:lang w:bidi="ar-EG"/>
        </w:rPr>
      </w:pPr>
    </w:p>
    <w:p w14:paraId="3186A04D" w14:textId="77777777" w:rsidR="001C4FBE" w:rsidRPr="00D370C1" w:rsidRDefault="001C4FBE" w:rsidP="00E000FF">
      <w:pPr>
        <w:bidi/>
        <w:spacing w:after="0" w:line="360" w:lineRule="auto"/>
        <w:jc w:val="center"/>
        <w:rPr>
          <w:b/>
          <w:bCs/>
          <w:sz w:val="96"/>
          <w:szCs w:val="96"/>
          <w:lang w:bidi="ar-EG"/>
        </w:rPr>
      </w:pPr>
    </w:p>
    <w:p w14:paraId="11B1E64C" w14:textId="357D76B3" w:rsidR="00B21BA2" w:rsidRDefault="00B21BA2" w:rsidP="00E000FF">
      <w:pPr>
        <w:bidi/>
        <w:spacing w:after="0" w:line="360" w:lineRule="auto"/>
        <w:jc w:val="center"/>
        <w:rPr>
          <w:b/>
          <w:bCs/>
          <w:sz w:val="96"/>
          <w:szCs w:val="96"/>
          <w:rtl/>
          <w:lang w:bidi="ar-EG"/>
        </w:rPr>
      </w:pPr>
    </w:p>
    <w:p w14:paraId="70DCB3B2" w14:textId="78515E23" w:rsidR="001C4FBE" w:rsidRDefault="001C4FBE" w:rsidP="00E000FF">
      <w:pPr>
        <w:bidi/>
        <w:spacing w:after="0" w:line="360" w:lineRule="auto"/>
        <w:rPr>
          <w:b/>
          <w:bCs/>
          <w:sz w:val="96"/>
          <w:szCs w:val="96"/>
          <w:rtl/>
          <w:lang w:bidi="ar-EG"/>
        </w:rPr>
      </w:pPr>
      <w:r>
        <w:rPr>
          <w:rFonts w:ascii="Traditional Arabic" w:hAnsi="Traditional Arabic" w:cs="Traditional Arabic"/>
          <w:b/>
          <w:bCs/>
          <w:sz w:val="24"/>
          <w:szCs w:val="24"/>
          <w:rtl/>
          <w:lang w:bidi="ar-EG"/>
        </w:rPr>
        <w:br w:type="page"/>
      </w:r>
    </w:p>
    <w:p w14:paraId="00AA934B" w14:textId="77777777" w:rsidR="00B35152" w:rsidRPr="004F6AF4" w:rsidRDefault="00B35152" w:rsidP="00E000FF">
      <w:pPr>
        <w:pStyle w:val="HeadingTOCEntry"/>
        <w:bidi/>
        <w:spacing w:after="0" w:line="360" w:lineRule="auto"/>
        <w:ind w:left="432" w:hanging="432"/>
        <w:rPr>
          <w:rFonts w:ascii="Simplified Arabic" w:hAnsi="Simplified Arabic" w:cs="Simplified Arabic"/>
          <w:b/>
          <w:bCs/>
          <w:sz w:val="28"/>
          <w:szCs w:val="28"/>
          <w:u w:val="single"/>
        </w:rPr>
      </w:pPr>
      <w:bookmarkStart w:id="62" w:name="_Toc234424156"/>
      <w:r w:rsidRPr="004F6AF4">
        <w:rPr>
          <w:rFonts w:ascii="Traditional Arabic" w:hAnsi="Traditional Arabic" w:cs="Traditional Arabic"/>
          <w:b/>
          <w:bCs/>
          <w:sz w:val="28"/>
          <w:szCs w:val="28"/>
          <w:u w:val="single"/>
          <w:rtl/>
        </w:rPr>
        <w:lastRenderedPageBreak/>
        <w:t>مقدمة</w:t>
      </w:r>
      <w:bookmarkEnd w:id="62"/>
    </w:p>
    <w:p w14:paraId="2AE15B05" w14:textId="77777777" w:rsidR="00B35152" w:rsidRPr="004F6AF4" w:rsidRDefault="00B35152" w:rsidP="00E000FF">
      <w:pPr>
        <w:bidi/>
        <w:spacing w:after="0" w:line="360" w:lineRule="auto"/>
        <w:jc w:val="both"/>
        <w:rPr>
          <w:rFonts w:ascii="Simplified Arabic" w:hAnsi="Simplified Arabic" w:cs="Simplified Arabic"/>
          <w:sz w:val="28"/>
          <w:szCs w:val="28"/>
          <w:rtl/>
        </w:rPr>
      </w:pPr>
      <w:r w:rsidRPr="004F6AF4">
        <w:rPr>
          <w:rFonts w:ascii="Traditional Arabic" w:hAnsi="Traditional Arabic" w:cs="Traditional Arabic"/>
          <w:sz w:val="28"/>
          <w:szCs w:val="28"/>
          <w:rtl/>
        </w:rPr>
        <w:t>يتناول هذا الفصل منهجية الدراسة التي اعتُمدت لتحقيق أهدافها والإجابة عن تساؤلاتها، ويشمل عرضاً تفصيلياً لمنهج البحث المتبع، ومجتمع الدراسة وعينتها، وأدوات جمع البيانات، فضلاً عن الأساليب الإحصائية التي ستُطبَّق في تحليل البيانات واختبار الفرضيات. تسعى هذه الدراسة إلى استيعاب أثر تقنية الترميز (</w:t>
      </w:r>
      <w:proofErr w:type="spellStart"/>
      <w:r w:rsidRPr="004F6AF4">
        <w:rPr>
          <w:rFonts w:ascii="Traditional Arabic" w:hAnsi="Traditional Arabic" w:cs="Traditional Arabic"/>
          <w:sz w:val="28"/>
          <w:szCs w:val="28"/>
          <w:rtl/>
        </w:rPr>
        <w:t>Tokenization</w:t>
      </w:r>
      <w:proofErr w:type="spellEnd"/>
      <w:r w:rsidRPr="004F6AF4">
        <w:rPr>
          <w:rFonts w:ascii="Traditional Arabic" w:hAnsi="Traditional Arabic" w:cs="Traditional Arabic"/>
          <w:sz w:val="28"/>
          <w:szCs w:val="28"/>
          <w:rtl/>
        </w:rPr>
        <w:t>) على الأمن السيبراني وكفاءة العمليات المالية في المؤسسات المالية السعودية، ضمن إطار أهداف رؤية المملكة العربية السعودية 2030 للتحول الرقمي في القطاع المالي.</w:t>
      </w:r>
    </w:p>
    <w:p w14:paraId="226DA031"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62A740D1"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63" w:name="_Toc234424157"/>
      <w:r w:rsidRPr="004F6AF4">
        <w:rPr>
          <w:rFonts w:ascii="Traditional Arabic" w:hAnsi="Traditional Arabic" w:cs="Traditional Arabic"/>
          <w:b/>
          <w:bCs/>
          <w:sz w:val="28"/>
          <w:szCs w:val="28"/>
          <w:u w:val="single"/>
          <w:rtl/>
        </w:rPr>
        <w:t>3.2 أهداف الدراسة وفرضياتها</w:t>
      </w:r>
      <w:bookmarkEnd w:id="63"/>
    </w:p>
    <w:p w14:paraId="456E7F49"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3.2.1 أهداف الدراسة</w:t>
      </w:r>
    </w:p>
    <w:p w14:paraId="3B15DE26"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تسعى هذه الدراسة إلى تحقيق الأهداف الآتية:</w:t>
      </w:r>
    </w:p>
    <w:p w14:paraId="50F82E59"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قياس أثر تطبيق تقنية الترميز على مستوى الأمن السيبراني في المؤسسات المالية السعودية.</w:t>
      </w:r>
    </w:p>
    <w:p w14:paraId="5C16DE4D"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تقييم أثر تطبيق تقنية الترميز على كفاءة العمليات المالية في المؤسسات المالية السعودية.</w:t>
      </w:r>
    </w:p>
    <w:p w14:paraId="745B253C"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تحليل الفروق في أثر تقنية الترميز على الأمن السيبراني بين أنواع المؤسسات المالية السعودية (البنوك التقليدية، البنوك الرقمية، شركات التقنية المالية).</w:t>
      </w:r>
    </w:p>
    <w:p w14:paraId="67B052E6"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Pr>
      </w:pPr>
      <w:r w:rsidRPr="004F6AF4">
        <w:rPr>
          <w:rFonts w:ascii="Traditional Arabic" w:hAnsi="Traditional Arabic" w:cs="Traditional Arabic"/>
          <w:sz w:val="28"/>
          <w:szCs w:val="28"/>
          <w:rtl/>
        </w:rPr>
        <w:t>دراسة العلاقة بين مستوى تطبيق تقنية الترميز ومستوى الامتثال للمتطلبات التنظيمية السعودية.</w:t>
      </w:r>
    </w:p>
    <w:p w14:paraId="7269352B" w14:textId="77777777" w:rsidR="00B35152" w:rsidRPr="004F6AF4" w:rsidRDefault="00B35152" w:rsidP="00E000FF">
      <w:pPr>
        <w:pStyle w:val="ListParagraph"/>
        <w:numPr>
          <w:ilvl w:val="2"/>
          <w:numId w:val="3"/>
        </w:numPr>
        <w:tabs>
          <w:tab w:val="clear" w:pos="2160"/>
        </w:tabs>
        <w:bidi/>
        <w:spacing w:after="0" w:line="360" w:lineRule="auto"/>
        <w:ind w:left="386"/>
        <w:jc w:val="both"/>
        <w:rPr>
          <w:rFonts w:ascii="Simplified Arabic" w:hAnsi="Simplified Arabic" w:cs="Simplified Arabic"/>
          <w:sz w:val="28"/>
          <w:szCs w:val="28"/>
          <w:rtl/>
        </w:rPr>
      </w:pPr>
      <w:r w:rsidRPr="004F6AF4">
        <w:rPr>
          <w:rFonts w:ascii="Traditional Arabic" w:hAnsi="Traditional Arabic" w:cs="Traditional Arabic"/>
          <w:sz w:val="28"/>
          <w:szCs w:val="28"/>
          <w:rtl/>
        </w:rPr>
        <w:t>الكشف عن الفروق في مستوى التوافق مع رؤية 2030 تبعاً لنوع المؤسسة المالية.</w:t>
      </w:r>
    </w:p>
    <w:p w14:paraId="492996E0"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5B8DEAB6"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3.2.2 فرضيات الدراسة</w:t>
      </w:r>
    </w:p>
    <w:p w14:paraId="6E723210" w14:textId="77777777" w:rsidR="00B35152" w:rsidRPr="004F6AF4" w:rsidRDefault="00B35152" w:rsidP="00E000FF">
      <w:pPr>
        <w:bidi/>
        <w:spacing w:after="0" w:line="360" w:lineRule="auto"/>
        <w:jc w:val="both"/>
        <w:rPr>
          <w:rFonts w:ascii="Simplified Arabic" w:hAnsi="Simplified Arabic" w:cs="Simplified Arabic"/>
          <w:sz w:val="28"/>
          <w:szCs w:val="28"/>
          <w:rtl/>
        </w:rPr>
      </w:pPr>
      <w:r w:rsidRPr="004F6AF4">
        <w:rPr>
          <w:rFonts w:ascii="Traditional Arabic" w:hAnsi="Traditional Arabic" w:cs="Traditional Arabic"/>
          <w:sz w:val="28"/>
          <w:szCs w:val="28"/>
          <w:rtl/>
        </w:rPr>
        <w:t>اشتُقَّت فرضيات الدراسة من مشكلة الدراسة وأسئلتها والإطار النظري، بحيث يقابل كل سؤال بحثي فرض رئيس تتفرع عنه فروض فرعية بعدد أبعاد المتغير المستقل، وذلك على النحو الآتي:</w:t>
      </w:r>
    </w:p>
    <w:p w14:paraId="2DF789DF" w14:textId="77777777" w:rsidR="00B35152" w:rsidRPr="004F6AF4" w:rsidRDefault="00B35152" w:rsidP="00E000FF">
      <w:pPr>
        <w:bidi/>
        <w:spacing w:after="0" w:line="360" w:lineRule="auto"/>
        <w:jc w:val="both"/>
        <w:rPr>
          <w:rFonts w:ascii="Simplified Arabic" w:hAnsi="Simplified Arabic" w:cs="Simplified Arabic"/>
          <w:sz w:val="28"/>
          <w:szCs w:val="28"/>
          <w:rtl/>
        </w:rPr>
      </w:pPr>
    </w:p>
    <w:p w14:paraId="0C7105CF"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H1: يوجد أثر ذو دلالة إحصائية لتطبيق تقنية الترميز على مستوى الأمن السيبراني المؤسسي في المؤسسات المالية السعودية.</w:t>
      </w:r>
    </w:p>
    <w:p w14:paraId="41FF3381"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H1a: يوجد أثر ذو دلالة إحصائية لبُعد الترميز الأمني للبيانات على الأمن السيبراني المؤسسي.</w:t>
      </w:r>
    </w:p>
    <w:p w14:paraId="7667A91D"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H1b: يوجد أثر ذو دلالة إحصائية لبُعد الامتثال للمعايير الدولية على الأمن السيبراني المؤسسي.</w:t>
      </w:r>
    </w:p>
    <w:p w14:paraId="66F888D9"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H2: يوجد أثر ذو دلالة إحصائية لتطبيق تقنية الترميز على الكفاءة التشغيلية المالية في المؤسسات المالية السعودية.</w:t>
      </w:r>
    </w:p>
    <w:p w14:paraId="01CFA1CB"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H2a: يوجد أثر ذو دلالة إحصائية لبُعد الترميز الأمني للبيانات على الكفاءة التشغيلية المالية.</w:t>
      </w:r>
    </w:p>
    <w:p w14:paraId="157E9DB9"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H2b: يوجد أثر ذو دلالة إحصائية لبُعد الامتثال للمعايير الدولية على الكفاءة التشغيلية المالية.</w:t>
      </w:r>
    </w:p>
    <w:p w14:paraId="67A6E4F1"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H3: توجد فروق ذات دلالة إحصائية في مستويات متغيرات الدراسة تُعزى إلى خصائص المؤسسة المالية.</w:t>
      </w:r>
    </w:p>
    <w:p w14:paraId="357585CC"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H3a: توجد فروق ذات دلالة إحصائية في مستوى الامتثال للمعايير الدولية والأمن السيبراني المؤسسي تُعزى إلى مستوى تبنّي المؤسسة لتقنية الترميز.</w:t>
      </w:r>
    </w:p>
    <w:p w14:paraId="789AA771" w14:textId="77777777" w:rsidR="00A35F9B" w:rsidRPr="004F6AF4" w:rsidRDefault="00E04048" w:rsidP="00E000FF">
      <w:pPr>
        <w:pStyle w:val="Heading2"/>
        <w:numPr>
          <w:ilvl w:val="0"/>
          <w:numId w:val="4"/>
        </w:numPr>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H3b: توجد فروق ذات دلالة إحصائية في مستوى التوافق مع رؤية 2030 تُعزى إلى نوع المؤسسة المالية.</w:t>
      </w:r>
    </w:p>
    <w:p w14:paraId="2BD80EE1"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1ABF9632"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64" w:name="_Toc234424158"/>
      <w:r w:rsidRPr="004F6AF4">
        <w:rPr>
          <w:rFonts w:ascii="Traditional Arabic" w:hAnsi="Traditional Arabic" w:cs="Traditional Arabic"/>
          <w:b/>
          <w:bCs/>
          <w:sz w:val="28"/>
          <w:szCs w:val="28"/>
          <w:u w:val="single"/>
          <w:rtl/>
        </w:rPr>
        <w:t>3.3 منهج الدراسة</w:t>
      </w:r>
      <w:bookmarkEnd w:id="64"/>
    </w:p>
    <w:p w14:paraId="42F1C871"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اعتمدت هذه الدراسة على المنهج الكمي الوصفي التحليلي، إذ يُتيح وصف ظاهرة تطبيق تقنية الترميز في المؤسسات المالية السعودية وتحليلها كمياً، واختبار فرضياتها بأساليب إحصائية دقيقة.</w:t>
      </w:r>
    </w:p>
    <w:p w14:paraId="50A36D71" w14:textId="77777777" w:rsidR="00B35152" w:rsidRPr="004F6AF4" w:rsidRDefault="00B35152" w:rsidP="00E000FF">
      <w:pPr>
        <w:bidi/>
        <w:spacing w:after="0" w:line="360" w:lineRule="auto"/>
        <w:jc w:val="both"/>
        <w:rPr>
          <w:rFonts w:ascii="Simplified Arabic" w:hAnsi="Simplified Arabic" w:cs="Simplified Arabic"/>
          <w:sz w:val="28"/>
          <w:szCs w:val="28"/>
          <w:rtl/>
        </w:rPr>
      </w:pPr>
      <w:r w:rsidRPr="004F6AF4">
        <w:rPr>
          <w:rFonts w:ascii="Traditional Arabic" w:hAnsi="Traditional Arabic" w:cs="Traditional Arabic"/>
          <w:sz w:val="28"/>
          <w:szCs w:val="28"/>
          <w:rtl/>
        </w:rPr>
        <w:t>استُخدم المنهج الوصفي التحليلي لوصف ظاهرة تطبيق تقنية الترميز في المؤسسات المالية السعودية وتشخيصها، في حين وُظِّف المنهج التحليلي لاختبار الفرضيات وقياس العلاقات بين المتغيرات باستخدام الأساليب الإحصائية المناسبة.</w:t>
      </w:r>
    </w:p>
    <w:p w14:paraId="28AA7273"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2DF57CEC"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lastRenderedPageBreak/>
        <w:t>3.3.1 مصادر البيانات</w:t>
      </w:r>
    </w:p>
    <w:p w14:paraId="3DC626BA"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أولاً: المصادر الثانوية</w:t>
      </w:r>
    </w:p>
    <w:p w14:paraId="75C881DD" w14:textId="77777777" w:rsidR="00B35152" w:rsidRPr="004F6AF4" w:rsidRDefault="00B35152" w:rsidP="00E000FF">
      <w:pPr>
        <w:bidi/>
        <w:spacing w:after="0" w:line="360" w:lineRule="auto"/>
        <w:jc w:val="both"/>
        <w:rPr>
          <w:rFonts w:ascii="Simplified Arabic" w:hAnsi="Simplified Arabic" w:cs="Simplified Arabic"/>
          <w:sz w:val="28"/>
          <w:szCs w:val="28"/>
          <w:rtl/>
        </w:rPr>
      </w:pPr>
      <w:r w:rsidRPr="004F6AF4">
        <w:rPr>
          <w:rFonts w:ascii="Traditional Arabic" w:hAnsi="Traditional Arabic" w:cs="Traditional Arabic"/>
          <w:sz w:val="28"/>
          <w:szCs w:val="28"/>
          <w:rtl/>
        </w:rPr>
        <w:t xml:space="preserve">تمثلت في الإطار النظري للدراسة، حيث اعتمد الباحث على مراجعة وتحليل المراجع العلمية العربية والأجنبية، والدوريات المحكّمة، والتقارير الصادرة عن الجهات التنظيمية كالبنك المركزي السعودي (ساما) والهيئة الوطنية للأمن السيبراني، والمعايير الدولية ذات الصلة كـ PCI DSS </w:t>
      </w:r>
      <w:proofErr w:type="spellStart"/>
      <w:r w:rsidRPr="004F6AF4">
        <w:rPr>
          <w:rFonts w:ascii="Traditional Arabic" w:hAnsi="Traditional Arabic" w:cs="Traditional Arabic"/>
          <w:sz w:val="28"/>
          <w:szCs w:val="28"/>
          <w:rtl/>
        </w:rPr>
        <w:t>وNIST</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وISO</w:t>
      </w:r>
      <w:proofErr w:type="spellEnd"/>
      <w:r w:rsidRPr="004F6AF4">
        <w:rPr>
          <w:rFonts w:ascii="Traditional Arabic" w:hAnsi="Traditional Arabic" w:cs="Traditional Arabic"/>
          <w:sz w:val="28"/>
          <w:szCs w:val="28"/>
          <w:rtl/>
        </w:rPr>
        <w:t>.</w:t>
      </w:r>
    </w:p>
    <w:p w14:paraId="282AE263"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أسهمت هذه المصادر في بناء الأساس النظري للدراسة وصياغة فرضياتها.</w:t>
      </w:r>
    </w:p>
    <w:p w14:paraId="103BC769" w14:textId="77777777" w:rsidR="00B35152" w:rsidRPr="004F6AF4" w:rsidRDefault="00B35152" w:rsidP="00E000FF">
      <w:pPr>
        <w:bidi/>
        <w:spacing w:after="0" w:line="360" w:lineRule="auto"/>
        <w:jc w:val="both"/>
        <w:rPr>
          <w:rFonts w:ascii="Simplified Arabic" w:hAnsi="Simplified Arabic" w:cs="Simplified Arabic"/>
          <w:sz w:val="28"/>
          <w:szCs w:val="28"/>
          <w:rtl/>
        </w:rPr>
      </w:pPr>
    </w:p>
    <w:p w14:paraId="605DB9A5"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ثانياً: المصادر الأولية</w:t>
      </w:r>
    </w:p>
    <w:p w14:paraId="06A7D91E"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تمثلت في البيانات الميدانية التي جُمعت من مجتمع الدراسة عبر الاستبانة الإلكترونية بوصفها الأداة الرئيسية لجمع البيانات الكمية في هذه الدراسة.</w:t>
      </w:r>
    </w:p>
    <w:p w14:paraId="70411622"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0BFB0613" w14:textId="77777777" w:rsidR="00B35152" w:rsidRPr="004F6AF4" w:rsidRDefault="00B35152" w:rsidP="00E000FF">
      <w:pPr>
        <w:pStyle w:val="HeadingTOCEntry"/>
        <w:bidi/>
        <w:spacing w:after="0" w:line="360" w:lineRule="auto"/>
        <w:rPr>
          <w:rFonts w:ascii="Simplified Arabic" w:hAnsi="Simplified Arabic" w:cs="Simplified Arabic"/>
          <w:b/>
          <w:bCs/>
          <w:sz w:val="28"/>
          <w:szCs w:val="28"/>
          <w:u w:val="single"/>
        </w:rPr>
      </w:pPr>
      <w:bookmarkStart w:id="65" w:name="_Toc234424159"/>
      <w:r w:rsidRPr="004F6AF4">
        <w:rPr>
          <w:rFonts w:ascii="Traditional Arabic" w:hAnsi="Traditional Arabic" w:cs="Traditional Arabic"/>
          <w:b/>
          <w:bCs/>
          <w:sz w:val="28"/>
          <w:szCs w:val="28"/>
          <w:u w:val="single"/>
          <w:rtl/>
        </w:rPr>
        <w:t>3.4 مجتمع الدراسة وعينتها</w:t>
      </w:r>
      <w:bookmarkEnd w:id="65"/>
    </w:p>
    <w:p w14:paraId="3824B3C9"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3.4.1 مجتمع الدراسة</w:t>
      </w:r>
    </w:p>
    <w:p w14:paraId="7311F84A"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يتكون مجتمع الدراسة من جميع المؤسسات المالية العاملة في المملكة العربية السعودية والخاضعة لإشراف البنك المركزي السعودي (ساما)، ويشمل ذلك:</w:t>
      </w:r>
    </w:p>
    <w:p w14:paraId="136F19A9"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البنوك التجارية التقليدية: 14 بنكاً مرخصاً.</w:t>
      </w:r>
    </w:p>
    <w:p w14:paraId="283815BA"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البنوك الرقمية: </w:t>
      </w:r>
      <w:r w:rsidRPr="004F6AF4">
        <w:rPr>
          <w:rFonts w:ascii="Traditional Arabic" w:hAnsi="Traditional Arabic" w:cs="Traditional Arabic" w:hint="cs"/>
          <w:sz w:val="28"/>
          <w:szCs w:val="28"/>
          <w:rtl/>
        </w:rPr>
        <w:t>2</w:t>
      </w:r>
      <w:r w:rsidRPr="004F6AF4">
        <w:rPr>
          <w:rFonts w:ascii="Traditional Arabic" w:hAnsi="Traditional Arabic" w:cs="Traditional Arabic"/>
          <w:sz w:val="28"/>
          <w:szCs w:val="28"/>
          <w:rtl/>
        </w:rPr>
        <w:t xml:space="preserve"> بنوك رقمية مرخصة وفق قائمة المرخصين الصادرة عن البنك المركزي السعودي (ساما، 2024)، وهي: بنك STC </w:t>
      </w:r>
      <w:proofErr w:type="spellStart"/>
      <w:r w:rsidRPr="004F6AF4">
        <w:rPr>
          <w:rFonts w:ascii="Traditional Arabic" w:hAnsi="Traditional Arabic" w:cs="Traditional Arabic"/>
          <w:sz w:val="28"/>
          <w:szCs w:val="28"/>
          <w:rtl/>
        </w:rPr>
        <w:t>Pay</w:t>
      </w:r>
      <w:proofErr w:type="spellEnd"/>
      <w:r w:rsidRPr="004F6AF4">
        <w:rPr>
          <w:rFonts w:ascii="Traditional Arabic" w:hAnsi="Traditional Arabic" w:cs="Traditional Arabic"/>
          <w:sz w:val="28"/>
          <w:szCs w:val="28"/>
          <w:rtl/>
        </w:rPr>
        <w:t>، وبنك D360.</w:t>
      </w:r>
    </w:p>
    <w:p w14:paraId="0AA6564B"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شركات التقنية المالية (</w:t>
      </w:r>
      <w:proofErr w:type="spellStart"/>
      <w:r w:rsidRPr="004F6AF4">
        <w:rPr>
          <w:rFonts w:ascii="Traditional Arabic" w:hAnsi="Traditional Arabic" w:cs="Traditional Arabic"/>
          <w:sz w:val="28"/>
          <w:szCs w:val="28"/>
          <w:rtl/>
        </w:rPr>
        <w:t>Fintech</w:t>
      </w:r>
      <w:proofErr w:type="spellEnd"/>
      <w:r w:rsidRPr="004F6AF4">
        <w:rPr>
          <w:rFonts w:ascii="Traditional Arabic" w:hAnsi="Traditional Arabic" w:cs="Traditional Arabic"/>
          <w:sz w:val="28"/>
          <w:szCs w:val="28"/>
          <w:rtl/>
        </w:rPr>
        <w:t>)</w:t>
      </w:r>
      <w:r w:rsidRPr="004F6AF4">
        <w:rPr>
          <w:rFonts w:ascii="Traditional Arabic" w:hAnsi="Traditional Arabic" w:cs="Traditional Arabic" w:hint="cs"/>
          <w:sz w:val="28"/>
          <w:szCs w:val="28"/>
          <w:rtl/>
        </w:rPr>
        <w:t xml:space="preserve">: </w:t>
      </w:r>
      <w:r w:rsidRPr="004F6AF4">
        <w:rPr>
          <w:rFonts w:ascii="Traditional Arabic" w:hAnsi="Traditional Arabic" w:cs="Traditional Arabic"/>
          <w:sz w:val="28"/>
          <w:szCs w:val="28"/>
          <w:rtl/>
        </w:rPr>
        <w:t>224 شركة مرخصة أو حاصلة على موافقة تنظيمية.</w:t>
      </w:r>
    </w:p>
    <w:p w14:paraId="2A4926EE"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وبذلك يبلغ إجمالي مجتمع الدراسة 23</w:t>
      </w:r>
      <w:r w:rsidRPr="004F6AF4">
        <w:rPr>
          <w:rFonts w:ascii="Traditional Arabic" w:hAnsi="Traditional Arabic" w:cs="Traditional Arabic" w:hint="cs"/>
          <w:sz w:val="28"/>
          <w:szCs w:val="28"/>
          <w:rtl/>
        </w:rPr>
        <w:t>7</w:t>
      </w:r>
      <w:r w:rsidRPr="004F6AF4">
        <w:rPr>
          <w:rFonts w:ascii="Traditional Arabic" w:hAnsi="Traditional Arabic" w:cs="Traditional Arabic"/>
          <w:sz w:val="28"/>
          <w:szCs w:val="28"/>
          <w:rtl/>
        </w:rPr>
        <w:t xml:space="preserve"> مؤسسة مالية تعمل في البيئة المالية الرقمية السعودية.</w:t>
      </w:r>
    </w:p>
    <w:p w14:paraId="53674E54"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3.4.2 عينة الدراسة</w:t>
      </w:r>
    </w:p>
    <w:p w14:paraId="3D34CC80"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lastRenderedPageBreak/>
        <w:t>نظراً لطبيعة الدراسة التي تستهدف تقييم أثر تقنية متخصصة في سياق تنظيمي محدد، اعتمد الباحث على أسلوب العينة القصدية (</w:t>
      </w:r>
      <w:proofErr w:type="spellStart"/>
      <w:r w:rsidRPr="004F6AF4">
        <w:rPr>
          <w:rFonts w:ascii="Traditional Arabic" w:hAnsi="Traditional Arabic" w:cs="Traditional Arabic"/>
          <w:sz w:val="28"/>
          <w:szCs w:val="28"/>
          <w:rtl/>
        </w:rPr>
        <w:t>Purposive</w:t>
      </w:r>
      <w:proofErr w:type="spellEnd"/>
      <w:r w:rsidRPr="004F6AF4">
        <w:rPr>
          <w:rFonts w:ascii="Traditional Arabic" w:hAnsi="Traditional Arabic" w:cs="Traditional Arabic"/>
          <w:sz w:val="28"/>
          <w:szCs w:val="28"/>
          <w:rtl/>
        </w:rPr>
        <w:t xml:space="preserve"> </w:t>
      </w:r>
      <w:proofErr w:type="spellStart"/>
      <w:r w:rsidRPr="004F6AF4">
        <w:rPr>
          <w:rFonts w:ascii="Traditional Arabic" w:hAnsi="Traditional Arabic" w:cs="Traditional Arabic"/>
          <w:sz w:val="28"/>
          <w:szCs w:val="28"/>
          <w:rtl/>
        </w:rPr>
        <w:t>Sampling</w:t>
      </w:r>
      <w:proofErr w:type="spellEnd"/>
      <w:r w:rsidRPr="004F6AF4">
        <w:rPr>
          <w:rFonts w:ascii="Traditional Arabic" w:hAnsi="Traditional Arabic" w:cs="Traditional Arabic"/>
          <w:sz w:val="28"/>
          <w:szCs w:val="28"/>
          <w:rtl/>
        </w:rPr>
        <w:t>). تُعدّ هذه الطريقة الأنسب لأن اختيار المؤسسات يستند إلى معايير محددة مسبقاً تضمن أن تكون العينة ممثِّلة للسياق الرقمي المالي المستهدف.</w:t>
      </w:r>
    </w:p>
    <w:p w14:paraId="2D961821"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معايير اختيار العينة:</w:t>
      </w:r>
    </w:p>
    <w:p w14:paraId="7228645B"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أن تكون المؤسسة مُرخَّصة من قِبَل البنك المركزي السعودي (ساما).</w:t>
      </w:r>
    </w:p>
    <w:p w14:paraId="129EE402"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أن تكون تقنية الترميز مطبَّقة أو في مرحلة دراسة التطبيق.</w:t>
      </w:r>
    </w:p>
    <w:p w14:paraId="749DD865"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تنوع حجم المؤسسة (كبيرة، متوسطة، صغيرة).</w:t>
      </w:r>
    </w:p>
    <w:p w14:paraId="66839951"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 xml:space="preserve">تنوع نوع المؤسسة (بنوك تقليدية، بنوك رقمية، شركات </w:t>
      </w:r>
      <w:proofErr w:type="spellStart"/>
      <w:r w:rsidRPr="004F6AF4">
        <w:rPr>
          <w:rFonts w:ascii="Traditional Arabic" w:hAnsi="Traditional Arabic" w:cs="Traditional Arabic"/>
          <w:sz w:val="28"/>
          <w:szCs w:val="28"/>
          <w:rtl/>
        </w:rPr>
        <w:t>Fintech</w:t>
      </w:r>
      <w:proofErr w:type="spellEnd"/>
      <w:r w:rsidRPr="004F6AF4">
        <w:rPr>
          <w:rFonts w:ascii="Traditional Arabic" w:hAnsi="Traditional Arabic" w:cs="Traditional Arabic"/>
          <w:sz w:val="28"/>
          <w:szCs w:val="28"/>
          <w:rtl/>
        </w:rPr>
        <w:t>).</w:t>
      </w:r>
    </w:p>
    <w:p w14:paraId="619DB7BA" w14:textId="77777777" w:rsidR="00B35152" w:rsidRPr="004F6AF4" w:rsidRDefault="00B35152" w:rsidP="00E000FF">
      <w:pPr>
        <w:bidi/>
        <w:spacing w:after="0" w:line="360" w:lineRule="auto"/>
        <w:jc w:val="both"/>
        <w:rPr>
          <w:rFonts w:ascii="Simplified Arabic" w:hAnsi="Simplified Arabic" w:cs="Simplified Arabic"/>
          <w:sz w:val="28"/>
          <w:szCs w:val="28"/>
        </w:rPr>
      </w:pPr>
      <w:r w:rsidRPr="004F6AF4">
        <w:rPr>
          <w:rFonts w:ascii="Traditional Arabic" w:hAnsi="Traditional Arabic" w:cs="Traditional Arabic"/>
          <w:sz w:val="28"/>
          <w:szCs w:val="28"/>
          <w:rtl/>
        </w:rPr>
        <w:t>وبناءً على هذه المعايير، وُزِّعت الاستبانة الإلكترونية على العاملين في وظائف تقنية المعلومات والأمن السيبراني والعمليات المالية والامتثال داخل المؤسسات المالية المستوفية لمعايير الاختيار، وبلغ عدد الاستجابات الصالحة للتحليل (196) استجابة، وهي العينة الفعلية المعتمدة في الفصل الرابع.</w:t>
      </w:r>
    </w:p>
    <w:p w14:paraId="7A9E4BB5" w14:textId="77777777" w:rsidR="00B35152" w:rsidRPr="004F6AF4" w:rsidRDefault="00B35152" w:rsidP="00E000FF">
      <w:pPr>
        <w:bidi/>
        <w:spacing w:after="0" w:line="360" w:lineRule="auto"/>
        <w:jc w:val="both"/>
        <w:rPr>
          <w:rFonts w:ascii="Simplified Arabic" w:hAnsi="Simplified Arabic" w:cs="Simplified Arabic"/>
          <w:sz w:val="28"/>
          <w:szCs w:val="28"/>
        </w:rPr>
      </w:pPr>
    </w:p>
    <w:p w14:paraId="25CB6999" w14:textId="77777777" w:rsidR="00B35152" w:rsidRPr="004F6AF4" w:rsidRDefault="00B35152" w:rsidP="00E000FF">
      <w:pPr>
        <w:bidi/>
        <w:spacing w:after="0" w:line="360" w:lineRule="auto"/>
        <w:jc w:val="both"/>
        <w:rPr>
          <w:rFonts w:ascii="Simplified Arabic" w:hAnsi="Simplified Arabic" w:cs="Simplified Arabic"/>
          <w:b/>
          <w:bCs/>
          <w:sz w:val="28"/>
          <w:szCs w:val="28"/>
        </w:rPr>
      </w:pPr>
      <w:r w:rsidRPr="004F6AF4">
        <w:rPr>
          <w:rFonts w:ascii="Traditional Arabic" w:hAnsi="Traditional Arabic" w:cs="Traditional Arabic"/>
          <w:b/>
          <w:bCs/>
          <w:sz w:val="28"/>
          <w:szCs w:val="28"/>
          <w:rtl/>
        </w:rPr>
        <w:t>3.4.3 حجم العينة وتوزيعها</w:t>
      </w:r>
    </w:p>
    <w:p w14:paraId="60168D10" w14:textId="77777777" w:rsidR="00E62032" w:rsidRPr="004F6AF4" w:rsidRDefault="00E62032" w:rsidP="00E000FF">
      <w:pPr>
        <w:pStyle w:val="Heading2"/>
        <w:bidi/>
        <w:spacing w:before="0" w:line="360" w:lineRule="auto"/>
        <w:jc w:val="both"/>
        <w:rPr>
          <w:rFonts w:ascii="Simplified Arabic" w:hAnsi="Simplified Arabic" w:cs="Simplified Arabic"/>
          <w:color w:val="auto"/>
          <w:sz w:val="28"/>
          <w:szCs w:val="28"/>
        </w:rPr>
      </w:pPr>
      <w:r w:rsidRPr="004F6AF4">
        <w:rPr>
          <w:rFonts w:ascii="Traditional Arabic" w:hAnsi="Traditional Arabic" w:cs="Traditional Arabic"/>
          <w:b/>
          <w:bCs/>
          <w:color w:val="auto"/>
          <w:sz w:val="28"/>
          <w:szCs w:val="28"/>
          <w:rtl/>
        </w:rPr>
        <w:t>اعتمدت الدراسة وحدة معاينة فردية تتمثل في الموظف العامل في وظائف تقنية المعلومات والأمن السيبراني والعمليات المالية والامتثال داخل المؤسسات المالية السعودية المستوفية لمعايير الاختيار. وقد بلغ عدد الاستجابات الصالحة للتحليل الإحصائي (196) استجابة، وهي العينة الفعلية التي أُجري عليها التحليل الوارد في الفصل الرابع.</w:t>
      </w:r>
    </w:p>
    <w:p w14:paraId="5C2E981F" w14:textId="77777777" w:rsidR="00E62032" w:rsidRDefault="00E62032" w:rsidP="00E000FF">
      <w:pPr>
        <w:pStyle w:val="Heading2"/>
        <w:bidi/>
        <w:spacing w:before="0" w:line="360" w:lineRule="auto"/>
        <w:jc w:val="both"/>
        <w:rPr>
          <w:rFonts w:ascii="Traditional Arabic" w:hAnsi="Traditional Arabic" w:cs="Traditional Arabic"/>
          <w:b/>
          <w:bCs/>
          <w:color w:val="auto"/>
          <w:sz w:val="28"/>
          <w:szCs w:val="28"/>
          <w:rtl/>
        </w:rPr>
      </w:pPr>
      <w:r w:rsidRPr="004F6AF4">
        <w:rPr>
          <w:rFonts w:ascii="Traditional Arabic" w:hAnsi="Traditional Arabic" w:cs="Traditional Arabic"/>
          <w:b/>
          <w:bCs/>
          <w:color w:val="auto"/>
          <w:sz w:val="28"/>
          <w:szCs w:val="28"/>
          <w:rtl/>
        </w:rPr>
        <w:t xml:space="preserve">ويُعدّ هذا الحجم كافياً من الناحية الإحصائية، إذ يتجاوز القاعدة المتعارف عليها التي تشترط ما لا يقل عن عشر استجابات لكل متغير متنبئ في نماذج الانحدار، كما يتجاوز الحد الأدنى اللازم لتطبيق الاختبارات </w:t>
      </w:r>
      <w:proofErr w:type="spellStart"/>
      <w:r w:rsidRPr="004F6AF4">
        <w:rPr>
          <w:rFonts w:ascii="Traditional Arabic" w:hAnsi="Traditional Arabic" w:cs="Traditional Arabic"/>
          <w:b/>
          <w:bCs/>
          <w:color w:val="auto"/>
          <w:sz w:val="28"/>
          <w:szCs w:val="28"/>
          <w:rtl/>
        </w:rPr>
        <w:t>اللامعلمية</w:t>
      </w:r>
      <w:proofErr w:type="spellEnd"/>
      <w:r w:rsidRPr="004F6AF4">
        <w:rPr>
          <w:rFonts w:ascii="Traditional Arabic" w:hAnsi="Traditional Arabic" w:cs="Traditional Arabic"/>
          <w:b/>
          <w:bCs/>
          <w:color w:val="auto"/>
          <w:sz w:val="28"/>
          <w:szCs w:val="28"/>
          <w:rtl/>
        </w:rPr>
        <w:t xml:space="preserve"> المستخدمة في الدراسة. ويوضح الجدول الآتي التوزيع الفعلي للعينة وفق نوع المؤسسة.</w:t>
      </w:r>
    </w:p>
    <w:p w14:paraId="5B652810" w14:textId="77777777" w:rsidR="004F6AF4" w:rsidRDefault="004F6AF4" w:rsidP="004F6AF4">
      <w:pPr>
        <w:bidi/>
        <w:rPr>
          <w:rtl/>
        </w:rPr>
      </w:pPr>
    </w:p>
    <w:p w14:paraId="7C881D21" w14:textId="77777777" w:rsidR="004F6AF4" w:rsidRPr="004F6AF4" w:rsidRDefault="004F6AF4" w:rsidP="004F6AF4">
      <w:pPr>
        <w:bidi/>
      </w:pPr>
    </w:p>
    <w:tbl>
      <w:tblPr>
        <w:bidiVisual/>
        <w:tblW w:w="8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4316"/>
        <w:gridCol w:w="1992"/>
        <w:gridCol w:w="1992"/>
      </w:tblGrid>
      <w:tr w:rsidR="005D691F" w:rsidRPr="004F6AF4" w14:paraId="05116E06" w14:textId="77777777" w:rsidTr="004F6AF4">
        <w:tc>
          <w:tcPr>
            <w:tcW w:w="4316" w:type="dxa"/>
            <w:shd w:val="clear" w:color="auto" w:fill="DCE9F5"/>
            <w:vAlign w:val="center"/>
          </w:tcPr>
          <w:p w14:paraId="028EBA07"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lastRenderedPageBreak/>
              <w:t>نوع المؤسسة</w:t>
            </w:r>
          </w:p>
        </w:tc>
        <w:tc>
          <w:tcPr>
            <w:tcW w:w="1992" w:type="dxa"/>
            <w:shd w:val="clear" w:color="auto" w:fill="DCE9F5"/>
            <w:vAlign w:val="center"/>
          </w:tcPr>
          <w:p w14:paraId="38834D13"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التكرار</w:t>
            </w:r>
          </w:p>
        </w:tc>
        <w:tc>
          <w:tcPr>
            <w:tcW w:w="1992" w:type="dxa"/>
            <w:shd w:val="clear" w:color="auto" w:fill="DCE9F5"/>
            <w:vAlign w:val="center"/>
          </w:tcPr>
          <w:p w14:paraId="2030A407"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b/>
                <w:bCs/>
                <w:sz w:val="24"/>
                <w:szCs w:val="24"/>
                <w:rtl/>
              </w:rPr>
              <w:t>النسبة المئوية</w:t>
            </w:r>
          </w:p>
        </w:tc>
      </w:tr>
      <w:tr w:rsidR="005D691F" w:rsidRPr="004F6AF4" w14:paraId="336BD6D3" w14:textId="77777777" w:rsidTr="004F6AF4">
        <w:tc>
          <w:tcPr>
            <w:tcW w:w="4316" w:type="dxa"/>
            <w:vAlign w:val="center"/>
          </w:tcPr>
          <w:p w14:paraId="08B6889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البنوك التجارية</w:t>
            </w:r>
          </w:p>
        </w:tc>
        <w:tc>
          <w:tcPr>
            <w:tcW w:w="1992" w:type="dxa"/>
            <w:vAlign w:val="center"/>
          </w:tcPr>
          <w:p w14:paraId="5DA3BDDC"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87</w:t>
            </w:r>
          </w:p>
        </w:tc>
        <w:tc>
          <w:tcPr>
            <w:tcW w:w="1992" w:type="dxa"/>
            <w:vAlign w:val="center"/>
          </w:tcPr>
          <w:p w14:paraId="6DB77E0E"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44.4%</w:t>
            </w:r>
          </w:p>
        </w:tc>
      </w:tr>
      <w:tr w:rsidR="005D691F" w:rsidRPr="004F6AF4" w14:paraId="1A15EFD3" w14:textId="77777777" w:rsidTr="004F6AF4">
        <w:tc>
          <w:tcPr>
            <w:tcW w:w="4316" w:type="dxa"/>
            <w:vAlign w:val="center"/>
          </w:tcPr>
          <w:p w14:paraId="4B1D1A51"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مؤسسات مالية أخرى</w:t>
            </w:r>
          </w:p>
        </w:tc>
        <w:tc>
          <w:tcPr>
            <w:tcW w:w="1992" w:type="dxa"/>
            <w:vAlign w:val="center"/>
          </w:tcPr>
          <w:p w14:paraId="36878213"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36</w:t>
            </w:r>
          </w:p>
        </w:tc>
        <w:tc>
          <w:tcPr>
            <w:tcW w:w="1992" w:type="dxa"/>
            <w:vAlign w:val="center"/>
          </w:tcPr>
          <w:p w14:paraId="0795D4EB"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18.4%</w:t>
            </w:r>
          </w:p>
        </w:tc>
      </w:tr>
      <w:tr w:rsidR="005D691F" w:rsidRPr="004F6AF4" w14:paraId="35208CA8" w14:textId="77777777" w:rsidTr="004F6AF4">
        <w:tc>
          <w:tcPr>
            <w:tcW w:w="4316" w:type="dxa"/>
            <w:vAlign w:val="center"/>
          </w:tcPr>
          <w:p w14:paraId="569E2AD2"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شركات الدفع الإلكتروني</w:t>
            </w:r>
          </w:p>
        </w:tc>
        <w:tc>
          <w:tcPr>
            <w:tcW w:w="1992" w:type="dxa"/>
            <w:vAlign w:val="center"/>
          </w:tcPr>
          <w:p w14:paraId="0CDDAAD6"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29</w:t>
            </w:r>
          </w:p>
        </w:tc>
        <w:tc>
          <w:tcPr>
            <w:tcW w:w="1992" w:type="dxa"/>
            <w:vAlign w:val="center"/>
          </w:tcPr>
          <w:p w14:paraId="2EEF807A"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14.8%</w:t>
            </w:r>
          </w:p>
        </w:tc>
      </w:tr>
      <w:tr w:rsidR="005D691F" w:rsidRPr="004F6AF4" w14:paraId="6485BE44" w14:textId="77777777" w:rsidTr="004F6AF4">
        <w:tc>
          <w:tcPr>
            <w:tcW w:w="4316" w:type="dxa"/>
            <w:vAlign w:val="center"/>
          </w:tcPr>
          <w:p w14:paraId="3CC0D5A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شركات التأمين</w:t>
            </w:r>
          </w:p>
        </w:tc>
        <w:tc>
          <w:tcPr>
            <w:tcW w:w="1992" w:type="dxa"/>
            <w:vAlign w:val="center"/>
          </w:tcPr>
          <w:p w14:paraId="4CD26D72"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26</w:t>
            </w:r>
          </w:p>
        </w:tc>
        <w:tc>
          <w:tcPr>
            <w:tcW w:w="1992" w:type="dxa"/>
            <w:vAlign w:val="center"/>
          </w:tcPr>
          <w:p w14:paraId="3FBD8435"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13.3%</w:t>
            </w:r>
          </w:p>
        </w:tc>
      </w:tr>
      <w:tr w:rsidR="005D691F" w:rsidRPr="004F6AF4" w14:paraId="678477F9" w14:textId="77777777" w:rsidTr="004F6AF4">
        <w:tc>
          <w:tcPr>
            <w:tcW w:w="4316" w:type="dxa"/>
            <w:vAlign w:val="center"/>
          </w:tcPr>
          <w:p w14:paraId="79E12ECF"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شركات التقنية المالية (</w:t>
            </w:r>
            <w:proofErr w:type="spellStart"/>
            <w:r w:rsidRPr="004F6AF4">
              <w:rPr>
                <w:rFonts w:ascii="Traditional Arabic" w:hAnsi="Traditional Arabic" w:cs="Traditional Arabic"/>
                <w:sz w:val="24"/>
                <w:szCs w:val="24"/>
                <w:rtl/>
              </w:rPr>
              <w:t>Fintech</w:t>
            </w:r>
            <w:proofErr w:type="spellEnd"/>
            <w:r w:rsidRPr="004F6AF4">
              <w:rPr>
                <w:rFonts w:ascii="Traditional Arabic" w:hAnsi="Traditional Arabic" w:cs="Traditional Arabic"/>
                <w:sz w:val="24"/>
                <w:szCs w:val="24"/>
                <w:rtl/>
              </w:rPr>
              <w:t>)</w:t>
            </w:r>
          </w:p>
        </w:tc>
        <w:tc>
          <w:tcPr>
            <w:tcW w:w="1992" w:type="dxa"/>
            <w:vAlign w:val="center"/>
          </w:tcPr>
          <w:p w14:paraId="4ECDC1EB"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18</w:t>
            </w:r>
          </w:p>
        </w:tc>
        <w:tc>
          <w:tcPr>
            <w:tcW w:w="1992" w:type="dxa"/>
            <w:vAlign w:val="center"/>
          </w:tcPr>
          <w:p w14:paraId="469544FD"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9.2%</w:t>
            </w:r>
          </w:p>
        </w:tc>
      </w:tr>
      <w:tr w:rsidR="005D691F" w:rsidRPr="004F6AF4" w14:paraId="5B8AD88E" w14:textId="77777777" w:rsidTr="004F6AF4">
        <w:tc>
          <w:tcPr>
            <w:tcW w:w="4316" w:type="dxa"/>
            <w:vAlign w:val="center"/>
          </w:tcPr>
          <w:p w14:paraId="5FFB7208"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الإجمالي</w:t>
            </w:r>
          </w:p>
        </w:tc>
        <w:tc>
          <w:tcPr>
            <w:tcW w:w="1992" w:type="dxa"/>
            <w:vAlign w:val="center"/>
          </w:tcPr>
          <w:p w14:paraId="4C52904C"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196</w:t>
            </w:r>
          </w:p>
        </w:tc>
        <w:tc>
          <w:tcPr>
            <w:tcW w:w="1992" w:type="dxa"/>
            <w:vAlign w:val="center"/>
          </w:tcPr>
          <w:p w14:paraId="167682F6" w14:textId="77777777" w:rsidR="005D691F" w:rsidRPr="004F6AF4" w:rsidRDefault="00F4227D" w:rsidP="004F6AF4">
            <w:pPr>
              <w:bidi/>
              <w:spacing w:after="0" w:line="260" w:lineRule="auto"/>
              <w:jc w:val="center"/>
              <w:rPr>
                <w:sz w:val="24"/>
                <w:szCs w:val="24"/>
              </w:rPr>
            </w:pPr>
            <w:r w:rsidRPr="004F6AF4">
              <w:rPr>
                <w:rFonts w:ascii="Traditional Arabic" w:hAnsi="Traditional Arabic" w:cs="Traditional Arabic"/>
                <w:sz w:val="24"/>
                <w:szCs w:val="24"/>
                <w:rtl/>
              </w:rPr>
              <w:t>100%</w:t>
            </w:r>
          </w:p>
        </w:tc>
      </w:tr>
    </w:tbl>
    <w:p w14:paraId="78A29A79" w14:textId="77777777" w:rsidR="00B35152" w:rsidRDefault="00B35152" w:rsidP="004F6AF4">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(3.1): التوزيع الفعلي لعينة الدراسة وفق نوع المؤسسة (ن = 196)</w:t>
      </w:r>
    </w:p>
    <w:p w14:paraId="110CFA76"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 xml:space="preserve">ويتضح من الجدول أن البنوك التجارية شكّلت النسبة الأكبر من العينة، وهو ما يتسق مع كونها الأوسع تطبيقاً لتقنية الترميز في القطاع المالي السعودي. ولأغراض اختبار الفرض الفرعي H3b، أُعيد تصنيف هذه الفئات إلى ثلاث مجموعات متجانسة نسبياً هي: البنوك (87)، ومؤسسات </w:t>
      </w:r>
      <w:proofErr w:type="spellStart"/>
      <w:r>
        <w:rPr>
          <w:rFonts w:ascii="Traditional Arabic" w:hAnsi="Traditional Arabic" w:cs="Traditional Arabic"/>
          <w:b/>
          <w:bCs/>
          <w:color w:val="auto"/>
          <w:sz w:val="28"/>
          <w:szCs w:val="28"/>
          <w:rtl/>
        </w:rPr>
        <w:t>الفنتك</w:t>
      </w:r>
      <w:proofErr w:type="spellEnd"/>
      <w:r>
        <w:rPr>
          <w:rFonts w:ascii="Traditional Arabic" w:hAnsi="Traditional Arabic" w:cs="Traditional Arabic"/>
          <w:b/>
          <w:bCs/>
          <w:color w:val="auto"/>
          <w:sz w:val="28"/>
          <w:szCs w:val="28"/>
          <w:rtl/>
        </w:rPr>
        <w:t xml:space="preserve"> والدفع الإلكتروني (47)، والمؤسسات المالية الأخرى (62).</w:t>
      </w:r>
    </w:p>
    <w:p w14:paraId="400953D2"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40E16C64"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66" w:name="_Toc234424160"/>
      <w:r>
        <w:rPr>
          <w:rFonts w:ascii="Traditional Arabic" w:hAnsi="Traditional Arabic" w:cs="Traditional Arabic"/>
          <w:b/>
          <w:bCs/>
          <w:sz w:val="32"/>
          <w:szCs w:val="32"/>
          <w:u w:val="single"/>
          <w:rtl/>
        </w:rPr>
        <w:t>3.5 أدوات جمع البيانات</w:t>
      </w:r>
      <w:bookmarkEnd w:id="66"/>
    </w:p>
    <w:p w14:paraId="23080EA6" w14:textId="77777777" w:rsidR="00B35152" w:rsidRPr="007F40DD" w:rsidRDefault="00B35152" w:rsidP="00E000FF">
      <w:pPr>
        <w:bidi/>
        <w:spacing w:after="0" w:line="360" w:lineRule="auto"/>
        <w:jc w:val="both"/>
        <w:rPr>
          <w:rFonts w:ascii="Simplified Arabic" w:hAnsi="Simplified Arabic" w:cs="Simplified Arabic"/>
          <w:b/>
          <w:bCs/>
          <w:sz w:val="28"/>
          <w:szCs w:val="28"/>
        </w:rPr>
      </w:pPr>
      <w:r w:rsidRPr="007F40DD">
        <w:rPr>
          <w:rFonts w:ascii="Traditional Arabic" w:hAnsi="Traditional Arabic" w:cs="Traditional Arabic"/>
          <w:b/>
          <w:bCs/>
          <w:sz w:val="28"/>
          <w:szCs w:val="28"/>
          <w:rtl/>
        </w:rPr>
        <w:t>3.5.1 الاستبانة الإلكترونية</w:t>
      </w:r>
    </w:p>
    <w:p w14:paraId="0726B360" w14:textId="77777777" w:rsidR="00B35152" w:rsidRPr="007F40DD" w:rsidRDefault="00B35152" w:rsidP="00E000FF">
      <w:pPr>
        <w:bidi/>
        <w:spacing w:after="0" w:line="360" w:lineRule="auto"/>
        <w:jc w:val="both"/>
        <w:rPr>
          <w:rFonts w:ascii="Simplified Arabic" w:hAnsi="Simplified Arabic" w:cs="Simplified Arabic"/>
          <w:sz w:val="28"/>
          <w:szCs w:val="28"/>
          <w:rtl/>
        </w:rPr>
      </w:pPr>
      <w:r w:rsidRPr="007F40DD">
        <w:rPr>
          <w:rFonts w:ascii="Traditional Arabic" w:hAnsi="Traditional Arabic" w:cs="Traditional Arabic"/>
          <w:sz w:val="28"/>
          <w:szCs w:val="28"/>
          <w:rtl/>
        </w:rPr>
        <w:t xml:space="preserve">تُعدّ الاستبانة الأداة الرئيسية لجمع البيانات الكمية في هذه الدراسة. صُمِّمت وفق مراجعة شاملة للأدبيات العلمية ذات الصلة، وتتضمن مجموعتين رئيسيتين: بيانات ديموغرافية ووصفية، ومتغيرات الدراسة الرئيسية المقاسة بمقياس </w:t>
      </w:r>
      <w:proofErr w:type="spellStart"/>
      <w:r w:rsidRPr="007F40DD">
        <w:rPr>
          <w:rFonts w:ascii="Traditional Arabic" w:hAnsi="Traditional Arabic" w:cs="Traditional Arabic"/>
          <w:sz w:val="28"/>
          <w:szCs w:val="28"/>
          <w:rtl/>
        </w:rPr>
        <w:t>ليكرت</w:t>
      </w:r>
      <w:proofErr w:type="spellEnd"/>
      <w:r w:rsidRPr="007F40DD">
        <w:rPr>
          <w:rFonts w:ascii="Traditional Arabic" w:hAnsi="Traditional Arabic" w:cs="Traditional Arabic"/>
          <w:sz w:val="28"/>
          <w:szCs w:val="28"/>
          <w:rtl/>
        </w:rPr>
        <w:t xml:space="preserve"> الخماسي (1 = لا أوافق بشدة، 5 = أوافق بشدة). والجدول التالي يوضح أوزان الاستجابات ومستويات الموافقة المعتمدة في تفسير النتائج:</w:t>
      </w:r>
    </w:p>
    <w:tbl>
      <w:tblPr>
        <w:tblStyle w:val="TableGrid"/>
        <w:bidiVisual/>
        <w:tblW w:w="8297" w:type="dxa"/>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Look w:val="0000" w:firstRow="0" w:lastRow="0" w:firstColumn="0" w:lastColumn="0" w:noHBand="0" w:noVBand="0"/>
      </w:tblPr>
      <w:tblGrid>
        <w:gridCol w:w="1655"/>
        <w:gridCol w:w="2298"/>
        <w:gridCol w:w="2172"/>
        <w:gridCol w:w="2172"/>
      </w:tblGrid>
      <w:tr w:rsidR="00B35152" w:rsidRPr="007F40DD" w14:paraId="302DE114" w14:textId="77777777" w:rsidTr="007F40DD">
        <w:tc>
          <w:tcPr>
            <w:tcW w:w="1655" w:type="dxa"/>
            <w:shd w:val="clear" w:color="auto" w:fill="1F4E79"/>
            <w:vAlign w:val="center"/>
          </w:tcPr>
          <w:p w14:paraId="72BC1EC6"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الوزن</w:t>
            </w:r>
          </w:p>
        </w:tc>
        <w:tc>
          <w:tcPr>
            <w:tcW w:w="2298" w:type="dxa"/>
            <w:shd w:val="clear" w:color="auto" w:fill="1F4E79"/>
            <w:vAlign w:val="center"/>
          </w:tcPr>
          <w:p w14:paraId="35F574E9"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مستوى الموافقة</w:t>
            </w:r>
          </w:p>
        </w:tc>
        <w:tc>
          <w:tcPr>
            <w:tcW w:w="2172" w:type="dxa"/>
            <w:shd w:val="clear" w:color="auto" w:fill="1F4E79"/>
            <w:vAlign w:val="center"/>
          </w:tcPr>
          <w:p w14:paraId="2492E68A"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المدى</w:t>
            </w:r>
          </w:p>
        </w:tc>
        <w:tc>
          <w:tcPr>
            <w:tcW w:w="2172" w:type="dxa"/>
            <w:shd w:val="clear" w:color="auto" w:fill="1F4E79"/>
            <w:vAlign w:val="center"/>
          </w:tcPr>
          <w:p w14:paraId="32A2F215" w14:textId="77777777" w:rsidR="00B35152" w:rsidRPr="007F40DD" w:rsidRDefault="00B35152" w:rsidP="007F40DD">
            <w:pPr>
              <w:bidi/>
              <w:spacing w:after="0" w:line="260" w:lineRule="auto"/>
              <w:jc w:val="center"/>
              <w:rPr>
                <w:rFonts w:ascii="Simplified Arabic" w:hAnsi="Simplified Arabic" w:cs="Simplified Arabic"/>
                <w:b/>
                <w:color w:val="FFFFFF"/>
                <w:sz w:val="24"/>
                <w:szCs w:val="24"/>
              </w:rPr>
            </w:pPr>
            <w:r w:rsidRPr="007F40DD">
              <w:rPr>
                <w:rFonts w:ascii="Traditional Arabic" w:hAnsi="Traditional Arabic" w:cs="Traditional Arabic"/>
                <w:b/>
                <w:color w:val="FFFFFF"/>
                <w:sz w:val="24"/>
                <w:szCs w:val="24"/>
                <w:rtl/>
              </w:rPr>
              <w:t>درجة الموافقة</w:t>
            </w:r>
          </w:p>
        </w:tc>
      </w:tr>
      <w:tr w:rsidR="00B35152" w:rsidRPr="007F40DD" w14:paraId="186A5D78" w14:textId="77777777" w:rsidTr="007F40DD">
        <w:tc>
          <w:tcPr>
            <w:tcW w:w="1655" w:type="dxa"/>
            <w:vAlign w:val="center"/>
          </w:tcPr>
          <w:p w14:paraId="6B2080BF"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5</w:t>
            </w:r>
          </w:p>
        </w:tc>
        <w:tc>
          <w:tcPr>
            <w:tcW w:w="2298" w:type="dxa"/>
            <w:vAlign w:val="center"/>
          </w:tcPr>
          <w:p w14:paraId="58F82056"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مرتفع جداً</w:t>
            </w:r>
          </w:p>
        </w:tc>
        <w:tc>
          <w:tcPr>
            <w:tcW w:w="2172" w:type="dxa"/>
            <w:vAlign w:val="center"/>
          </w:tcPr>
          <w:p w14:paraId="41FD744F"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4.21 - 5.00</w:t>
            </w:r>
          </w:p>
        </w:tc>
        <w:tc>
          <w:tcPr>
            <w:tcW w:w="2172" w:type="dxa"/>
            <w:vAlign w:val="center"/>
          </w:tcPr>
          <w:p w14:paraId="3363D836"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أوافق بشدة</w:t>
            </w:r>
          </w:p>
        </w:tc>
      </w:tr>
      <w:tr w:rsidR="00B35152" w:rsidRPr="007F40DD" w14:paraId="3FEDB14A" w14:textId="77777777" w:rsidTr="007F40DD">
        <w:tc>
          <w:tcPr>
            <w:tcW w:w="1655" w:type="dxa"/>
            <w:shd w:val="clear" w:color="auto" w:fill="E8F0F7"/>
            <w:vAlign w:val="center"/>
          </w:tcPr>
          <w:p w14:paraId="439093DE"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4</w:t>
            </w:r>
          </w:p>
        </w:tc>
        <w:tc>
          <w:tcPr>
            <w:tcW w:w="2298" w:type="dxa"/>
            <w:shd w:val="clear" w:color="auto" w:fill="E8F0F7"/>
            <w:vAlign w:val="center"/>
          </w:tcPr>
          <w:p w14:paraId="1C858C3C"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مرتفع</w:t>
            </w:r>
          </w:p>
        </w:tc>
        <w:tc>
          <w:tcPr>
            <w:tcW w:w="2172" w:type="dxa"/>
            <w:shd w:val="clear" w:color="auto" w:fill="E8F0F7"/>
            <w:vAlign w:val="center"/>
          </w:tcPr>
          <w:p w14:paraId="4A619271"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3.41 - 4.20</w:t>
            </w:r>
          </w:p>
        </w:tc>
        <w:tc>
          <w:tcPr>
            <w:tcW w:w="2172" w:type="dxa"/>
            <w:shd w:val="clear" w:color="auto" w:fill="E8F0F7"/>
            <w:vAlign w:val="center"/>
          </w:tcPr>
          <w:p w14:paraId="1C3BDF2E"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أوافق</w:t>
            </w:r>
          </w:p>
        </w:tc>
      </w:tr>
      <w:tr w:rsidR="00B35152" w:rsidRPr="007F40DD" w14:paraId="22C2F9D8" w14:textId="77777777" w:rsidTr="007F40DD">
        <w:tc>
          <w:tcPr>
            <w:tcW w:w="1655" w:type="dxa"/>
            <w:vAlign w:val="center"/>
          </w:tcPr>
          <w:p w14:paraId="1CB74BF6"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3</w:t>
            </w:r>
          </w:p>
        </w:tc>
        <w:tc>
          <w:tcPr>
            <w:tcW w:w="2298" w:type="dxa"/>
            <w:vAlign w:val="center"/>
          </w:tcPr>
          <w:p w14:paraId="3EE9DB4F"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متوسط</w:t>
            </w:r>
          </w:p>
        </w:tc>
        <w:tc>
          <w:tcPr>
            <w:tcW w:w="2172" w:type="dxa"/>
            <w:vAlign w:val="center"/>
          </w:tcPr>
          <w:p w14:paraId="2C8F2F5B"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2.61 - 3.40</w:t>
            </w:r>
          </w:p>
        </w:tc>
        <w:tc>
          <w:tcPr>
            <w:tcW w:w="2172" w:type="dxa"/>
            <w:vAlign w:val="center"/>
          </w:tcPr>
          <w:p w14:paraId="0C187EBE"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محايد</w:t>
            </w:r>
          </w:p>
        </w:tc>
      </w:tr>
      <w:tr w:rsidR="00B35152" w:rsidRPr="007F40DD" w14:paraId="40121269" w14:textId="77777777" w:rsidTr="007F40DD">
        <w:tc>
          <w:tcPr>
            <w:tcW w:w="1655" w:type="dxa"/>
            <w:shd w:val="clear" w:color="auto" w:fill="E8F0F7"/>
            <w:vAlign w:val="center"/>
          </w:tcPr>
          <w:p w14:paraId="2CF79D80"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2</w:t>
            </w:r>
          </w:p>
        </w:tc>
        <w:tc>
          <w:tcPr>
            <w:tcW w:w="2298" w:type="dxa"/>
            <w:shd w:val="clear" w:color="auto" w:fill="E8F0F7"/>
            <w:vAlign w:val="center"/>
          </w:tcPr>
          <w:p w14:paraId="3261FCA9"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منخفض</w:t>
            </w:r>
          </w:p>
        </w:tc>
        <w:tc>
          <w:tcPr>
            <w:tcW w:w="2172" w:type="dxa"/>
            <w:shd w:val="clear" w:color="auto" w:fill="E8F0F7"/>
            <w:vAlign w:val="center"/>
          </w:tcPr>
          <w:p w14:paraId="7426ABF8"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1.81 - 2.60</w:t>
            </w:r>
          </w:p>
        </w:tc>
        <w:tc>
          <w:tcPr>
            <w:tcW w:w="2172" w:type="dxa"/>
            <w:shd w:val="clear" w:color="auto" w:fill="E8F0F7"/>
            <w:vAlign w:val="center"/>
          </w:tcPr>
          <w:p w14:paraId="0AA03B5D"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لا أوافق</w:t>
            </w:r>
          </w:p>
        </w:tc>
      </w:tr>
      <w:tr w:rsidR="00B35152" w:rsidRPr="007F40DD" w14:paraId="70D696EB" w14:textId="77777777" w:rsidTr="007F40DD">
        <w:tc>
          <w:tcPr>
            <w:tcW w:w="1655" w:type="dxa"/>
            <w:vAlign w:val="center"/>
          </w:tcPr>
          <w:p w14:paraId="105925C2"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1</w:t>
            </w:r>
          </w:p>
        </w:tc>
        <w:tc>
          <w:tcPr>
            <w:tcW w:w="2298" w:type="dxa"/>
            <w:vAlign w:val="center"/>
          </w:tcPr>
          <w:p w14:paraId="470A2E43"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منخفض جداً</w:t>
            </w:r>
          </w:p>
        </w:tc>
        <w:tc>
          <w:tcPr>
            <w:tcW w:w="2172" w:type="dxa"/>
            <w:vAlign w:val="center"/>
          </w:tcPr>
          <w:p w14:paraId="6C9D8F50" w14:textId="77777777" w:rsidR="00B35152" w:rsidRPr="007F40DD" w:rsidRDefault="00B35152" w:rsidP="007F40DD">
            <w:pPr>
              <w:bidi/>
              <w:spacing w:after="0" w:line="260" w:lineRule="auto"/>
              <w:jc w:val="center"/>
              <w:rPr>
                <w:rFonts w:ascii="Simplified Arabic" w:hAnsi="Simplified Arabic" w:cs="Simplified Arabic"/>
                <w:sz w:val="24"/>
                <w:szCs w:val="24"/>
              </w:rPr>
            </w:pPr>
            <w:r w:rsidRPr="007F40DD">
              <w:rPr>
                <w:rFonts w:ascii="Traditional Arabic" w:hAnsi="Traditional Arabic" w:cs="Traditional Arabic"/>
                <w:sz w:val="24"/>
                <w:szCs w:val="24"/>
                <w:rtl/>
              </w:rPr>
              <w:t>1.00 - 1.80</w:t>
            </w:r>
          </w:p>
        </w:tc>
        <w:tc>
          <w:tcPr>
            <w:tcW w:w="2172" w:type="dxa"/>
            <w:vAlign w:val="center"/>
          </w:tcPr>
          <w:p w14:paraId="738FDB22" w14:textId="77777777" w:rsidR="00B35152" w:rsidRPr="007F40DD" w:rsidRDefault="00B35152" w:rsidP="007F40DD">
            <w:pPr>
              <w:bidi/>
              <w:spacing w:after="0" w:line="260" w:lineRule="auto"/>
              <w:jc w:val="center"/>
              <w:rPr>
                <w:rFonts w:ascii="Simplified Arabic" w:hAnsi="Simplified Arabic" w:cs="Simplified Arabic"/>
                <w:sz w:val="24"/>
                <w:szCs w:val="24"/>
                <w:rtl/>
              </w:rPr>
            </w:pPr>
            <w:r w:rsidRPr="007F40DD">
              <w:rPr>
                <w:rFonts w:ascii="Traditional Arabic" w:hAnsi="Traditional Arabic" w:cs="Traditional Arabic"/>
                <w:sz w:val="24"/>
                <w:szCs w:val="24"/>
                <w:rtl/>
              </w:rPr>
              <w:t>لا أوافق بشدة</w:t>
            </w:r>
          </w:p>
        </w:tc>
      </w:tr>
    </w:tbl>
    <w:p w14:paraId="7368A10A" w14:textId="77777777" w:rsidR="00B35152" w:rsidRDefault="00B35152" w:rsidP="00E000FF">
      <w:pPr>
        <w:pStyle w:val="TableCaption"/>
        <w:bidi/>
        <w:spacing w:after="0" w:line="300" w:lineRule="auto"/>
        <w:jc w:val="center"/>
        <w:rPr>
          <w:rFonts w:ascii="Simplified Arabic" w:hAnsi="Simplified Arabic" w:cs="Simplified Arabic"/>
          <w:sz w:val="24"/>
          <w:szCs w:val="24"/>
          <w:rtl/>
        </w:rPr>
      </w:pPr>
      <w:r>
        <w:rPr>
          <w:rFonts w:ascii="Traditional Arabic" w:hAnsi="Traditional Arabic" w:cs="Traditional Arabic"/>
          <w:b/>
          <w:bCs/>
          <w:sz w:val="24"/>
          <w:szCs w:val="24"/>
          <w:rtl/>
        </w:rPr>
        <w:t xml:space="preserve">جدول (3.2-ب): أوزان مقياس </w:t>
      </w:r>
      <w:proofErr w:type="spellStart"/>
      <w:r>
        <w:rPr>
          <w:rFonts w:ascii="Traditional Arabic" w:hAnsi="Traditional Arabic" w:cs="Traditional Arabic"/>
          <w:b/>
          <w:bCs/>
          <w:sz w:val="24"/>
          <w:szCs w:val="24"/>
          <w:rtl/>
        </w:rPr>
        <w:t>ليكرت</w:t>
      </w:r>
      <w:proofErr w:type="spellEnd"/>
      <w:r>
        <w:rPr>
          <w:rFonts w:ascii="Traditional Arabic" w:hAnsi="Traditional Arabic" w:cs="Traditional Arabic"/>
          <w:b/>
          <w:bCs/>
          <w:sz w:val="24"/>
          <w:szCs w:val="24"/>
          <w:rtl/>
        </w:rPr>
        <w:t xml:space="preserve"> الخماسي ومستويات الموافقة</w:t>
      </w:r>
    </w:p>
    <w:p w14:paraId="0FF6FD96" w14:textId="77777777" w:rsidR="00B35152" w:rsidRPr="007F40DD" w:rsidRDefault="00B35152" w:rsidP="00E000FF">
      <w:pPr>
        <w:bidi/>
        <w:spacing w:after="0" w:line="360" w:lineRule="auto"/>
        <w:jc w:val="both"/>
        <w:rPr>
          <w:rFonts w:ascii="Simplified Arabic" w:hAnsi="Simplified Arabic" w:cs="Simplified Arabic"/>
          <w:sz w:val="32"/>
          <w:szCs w:val="32"/>
          <w:rtl/>
        </w:rPr>
      </w:pPr>
      <w:r w:rsidRPr="007F40DD">
        <w:rPr>
          <w:rFonts w:ascii="Traditional Arabic" w:hAnsi="Traditional Arabic" w:cs="Traditional Arabic"/>
          <w:sz w:val="28"/>
          <w:szCs w:val="28"/>
          <w:rtl/>
        </w:rPr>
        <w:lastRenderedPageBreak/>
        <w:t xml:space="preserve">استُند في بناء فقرات الاستبانة إلى أدبيات علمية محكّمة ودراسات تطبيقية في مجال الأمن السيبراني والتقنية المالية، وتشمل هذه المصادر: الأدبيات العلمية المحكّمة المتخصصة في تقنية الترميز، والدراسات السابقة التي وظّفت مقاييس مماثلة في سياقات مشابهة، إضافةً إلى الوثائق الرسمية الصادرة عن المنظمات التنظيمية (ساما، الهيئة الوطنية للأمن السيبراني، PCI </w:t>
      </w:r>
      <w:proofErr w:type="spellStart"/>
      <w:r w:rsidRPr="007F40DD">
        <w:rPr>
          <w:rFonts w:ascii="Traditional Arabic" w:hAnsi="Traditional Arabic" w:cs="Traditional Arabic"/>
          <w:sz w:val="28"/>
          <w:szCs w:val="28"/>
          <w:rtl/>
        </w:rPr>
        <w:t>Security</w:t>
      </w:r>
      <w:proofErr w:type="spellEnd"/>
      <w:r w:rsidRPr="007F40DD">
        <w:rPr>
          <w:rFonts w:ascii="Traditional Arabic" w:hAnsi="Traditional Arabic" w:cs="Traditional Arabic"/>
          <w:sz w:val="28"/>
          <w:szCs w:val="28"/>
          <w:rtl/>
        </w:rPr>
        <w:t xml:space="preserve"> </w:t>
      </w:r>
      <w:proofErr w:type="spellStart"/>
      <w:r w:rsidRPr="007F40DD">
        <w:rPr>
          <w:rFonts w:ascii="Traditional Arabic" w:hAnsi="Traditional Arabic" w:cs="Traditional Arabic"/>
          <w:sz w:val="28"/>
          <w:szCs w:val="28"/>
          <w:rtl/>
        </w:rPr>
        <w:t>Standards</w:t>
      </w:r>
      <w:proofErr w:type="spellEnd"/>
      <w:r w:rsidRPr="007F40DD">
        <w:rPr>
          <w:rFonts w:ascii="Traditional Arabic" w:hAnsi="Traditional Arabic" w:cs="Traditional Arabic"/>
          <w:sz w:val="28"/>
          <w:szCs w:val="28"/>
          <w:rtl/>
        </w:rPr>
        <w:t xml:space="preserve"> </w:t>
      </w:r>
      <w:proofErr w:type="spellStart"/>
      <w:r w:rsidRPr="007F40DD">
        <w:rPr>
          <w:rFonts w:ascii="Traditional Arabic" w:hAnsi="Traditional Arabic" w:cs="Traditional Arabic"/>
          <w:sz w:val="28"/>
          <w:szCs w:val="28"/>
          <w:rtl/>
        </w:rPr>
        <w:t>Council</w:t>
      </w:r>
      <w:proofErr w:type="spellEnd"/>
      <w:r w:rsidRPr="007F40DD">
        <w:rPr>
          <w:rFonts w:ascii="Traditional Arabic" w:hAnsi="Traditional Arabic" w:cs="Traditional Arabic"/>
          <w:sz w:val="28"/>
          <w:szCs w:val="28"/>
          <w:rtl/>
        </w:rPr>
        <w:t xml:space="preserve">). كما خضعت الفقرات لتعديلات أثناء التطوير استجابةً لملاحظات المشرف، وستخضع لمراجعة إضافية بناءً على مرئيات المحكّمين من جامعة </w:t>
      </w:r>
      <w:proofErr w:type="spellStart"/>
      <w:r w:rsidRPr="007F40DD">
        <w:rPr>
          <w:rFonts w:ascii="Traditional Arabic" w:hAnsi="Traditional Arabic" w:cs="Traditional Arabic"/>
          <w:sz w:val="28"/>
          <w:szCs w:val="28"/>
          <w:rtl/>
        </w:rPr>
        <w:t>Midocean</w:t>
      </w:r>
      <w:proofErr w:type="spellEnd"/>
      <w:r w:rsidRPr="007F40DD">
        <w:rPr>
          <w:rFonts w:ascii="Traditional Arabic" w:hAnsi="Traditional Arabic" w:cs="Traditional Arabic"/>
          <w:sz w:val="28"/>
          <w:szCs w:val="28"/>
          <w:rtl/>
        </w:rPr>
        <w:t xml:space="preserve"> قبل التوزيع النهائي.</w:t>
      </w:r>
    </w:p>
    <w:p w14:paraId="116B2E33"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GridTable4-Accent1"/>
        <w:tblW w:w="8298" w:type="dxa"/>
        <w:jc w:val="center"/>
        <w:tblLook w:val="04A0" w:firstRow="1" w:lastRow="0" w:firstColumn="1" w:lastColumn="0" w:noHBand="0" w:noVBand="1"/>
      </w:tblPr>
      <w:tblGrid>
        <w:gridCol w:w="1960"/>
        <w:gridCol w:w="1280"/>
        <w:gridCol w:w="1957"/>
        <w:gridCol w:w="1176"/>
        <w:gridCol w:w="1925"/>
      </w:tblGrid>
      <w:tr w:rsidR="00B35152" w:rsidRPr="00DD4597" w14:paraId="7BEA7658" w14:textId="77777777" w:rsidTr="00FD6BA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57D811AC" w14:textId="77777777" w:rsidR="00B35152" w:rsidRPr="00FB1CD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المرجع الرئيسي</w:t>
            </w:r>
          </w:p>
        </w:tc>
        <w:tc>
          <w:tcPr>
            <w:tcW w:w="1280" w:type="dxa"/>
            <w:vAlign w:val="center"/>
          </w:tcPr>
          <w:p w14:paraId="172AE7B3" w14:textId="77777777" w:rsidR="00B35152" w:rsidRPr="00FB1CD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عدد العبارات</w:t>
            </w:r>
          </w:p>
        </w:tc>
        <w:tc>
          <w:tcPr>
            <w:tcW w:w="1957" w:type="dxa"/>
            <w:vAlign w:val="center"/>
          </w:tcPr>
          <w:p w14:paraId="64078D4D" w14:textId="77777777" w:rsidR="00B35152" w:rsidRPr="00FB1CD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الأبعاد الفرعية</w:t>
            </w:r>
          </w:p>
        </w:tc>
        <w:tc>
          <w:tcPr>
            <w:tcW w:w="1176" w:type="dxa"/>
            <w:vAlign w:val="center"/>
          </w:tcPr>
          <w:p w14:paraId="10C4A38F" w14:textId="77777777" w:rsidR="00B35152" w:rsidRPr="00FB1CD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نوع المتغير</w:t>
            </w:r>
          </w:p>
        </w:tc>
        <w:tc>
          <w:tcPr>
            <w:tcW w:w="1925" w:type="dxa"/>
            <w:vAlign w:val="center"/>
          </w:tcPr>
          <w:p w14:paraId="62C35D98" w14:textId="77777777" w:rsidR="00B35152" w:rsidRPr="00FB1CD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المتغير</w:t>
            </w:r>
          </w:p>
        </w:tc>
      </w:tr>
      <w:tr w:rsidR="00B35152" w:rsidRPr="00DD4597" w14:paraId="3387ABFC" w14:textId="77777777" w:rsidTr="00FD6B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6CCAFDE9" w14:textId="77777777" w:rsidR="00B35152" w:rsidRPr="00FB1CD1" w:rsidRDefault="00B35152" w:rsidP="00E000FF">
            <w:pPr>
              <w:bidi/>
              <w:spacing w:after="0" w:line="260" w:lineRule="auto"/>
              <w:jc w:val="center"/>
              <w:rPr>
                <w:rFonts w:ascii="Simplified Arabic" w:hAnsi="Simplified Arabic" w:cs="Simplified Arabic"/>
                <w:sz w:val="24"/>
                <w:szCs w:val="24"/>
              </w:rPr>
            </w:pPr>
            <w:proofErr w:type="spellStart"/>
            <w:r>
              <w:rPr>
                <w:rFonts w:ascii="Traditional Arabic" w:hAnsi="Traditional Arabic" w:cs="Traditional Arabic"/>
                <w:rtl/>
              </w:rPr>
              <w:t>EMVCo</w:t>
            </w:r>
            <w:proofErr w:type="spellEnd"/>
            <w:r>
              <w:rPr>
                <w:rFonts w:ascii="Traditional Arabic" w:hAnsi="Traditional Arabic" w:cs="Traditional Arabic"/>
                <w:rtl/>
              </w:rPr>
              <w:t>, 2023; PCI DSS</w:t>
            </w:r>
          </w:p>
        </w:tc>
        <w:tc>
          <w:tcPr>
            <w:tcW w:w="1280" w:type="dxa"/>
            <w:vAlign w:val="center"/>
          </w:tcPr>
          <w:p w14:paraId="427BBBDF"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 عبارات</w:t>
            </w:r>
          </w:p>
        </w:tc>
        <w:tc>
          <w:tcPr>
            <w:tcW w:w="1957" w:type="dxa"/>
            <w:vAlign w:val="center"/>
          </w:tcPr>
          <w:p w14:paraId="1FE326F7"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أمان البيانات، الحماية من الاحتيال</w:t>
            </w:r>
          </w:p>
        </w:tc>
        <w:tc>
          <w:tcPr>
            <w:tcW w:w="1176" w:type="dxa"/>
            <w:vAlign w:val="center"/>
          </w:tcPr>
          <w:p w14:paraId="685A9A1C"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مستقل</w:t>
            </w:r>
          </w:p>
        </w:tc>
        <w:tc>
          <w:tcPr>
            <w:tcW w:w="1925" w:type="dxa"/>
            <w:vAlign w:val="center"/>
          </w:tcPr>
          <w:p w14:paraId="76D70FD7"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DD4597" w14:paraId="3DA154D5" w14:textId="77777777" w:rsidTr="00FD6BAF">
        <w:trPr>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76DDA634" w14:textId="77777777" w:rsidR="00B35152" w:rsidRPr="00FB1CD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NCA, 2023; NIST</w:t>
            </w:r>
          </w:p>
        </w:tc>
        <w:tc>
          <w:tcPr>
            <w:tcW w:w="1280" w:type="dxa"/>
            <w:vAlign w:val="center"/>
          </w:tcPr>
          <w:p w14:paraId="303E19EB"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7 عبارات</w:t>
            </w:r>
          </w:p>
        </w:tc>
        <w:tc>
          <w:tcPr>
            <w:tcW w:w="1957" w:type="dxa"/>
            <w:vAlign w:val="center"/>
          </w:tcPr>
          <w:p w14:paraId="59751E1E"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الوقاية، الاستجابة، الامتثال</w:t>
            </w:r>
          </w:p>
        </w:tc>
        <w:tc>
          <w:tcPr>
            <w:tcW w:w="1176" w:type="dxa"/>
            <w:vAlign w:val="center"/>
          </w:tcPr>
          <w:p w14:paraId="7D114541"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تابع</w:t>
            </w:r>
          </w:p>
        </w:tc>
        <w:tc>
          <w:tcPr>
            <w:tcW w:w="1925" w:type="dxa"/>
            <w:vAlign w:val="center"/>
          </w:tcPr>
          <w:p w14:paraId="1A9ABF15"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DD4597" w14:paraId="1B7ADA22" w14:textId="77777777" w:rsidTr="00FD6B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71403ECD" w14:textId="77777777" w:rsidR="00B35152" w:rsidRPr="00FB1CD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SAMA, 2023; BIS</w:t>
            </w:r>
          </w:p>
        </w:tc>
        <w:tc>
          <w:tcPr>
            <w:tcW w:w="1280" w:type="dxa"/>
            <w:vAlign w:val="center"/>
          </w:tcPr>
          <w:p w14:paraId="48B62CFE"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 عبارات</w:t>
            </w:r>
          </w:p>
        </w:tc>
        <w:tc>
          <w:tcPr>
            <w:tcW w:w="1957" w:type="dxa"/>
            <w:vAlign w:val="center"/>
          </w:tcPr>
          <w:p w14:paraId="0FE8E31E"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سرعة المعالجة، التكلفة، الدقة</w:t>
            </w:r>
          </w:p>
        </w:tc>
        <w:tc>
          <w:tcPr>
            <w:tcW w:w="1176" w:type="dxa"/>
            <w:vAlign w:val="center"/>
          </w:tcPr>
          <w:p w14:paraId="745DBD61"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تابع</w:t>
            </w:r>
          </w:p>
        </w:tc>
        <w:tc>
          <w:tcPr>
            <w:tcW w:w="1925" w:type="dxa"/>
            <w:vAlign w:val="center"/>
          </w:tcPr>
          <w:p w14:paraId="4B371704"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DD4597" w14:paraId="0A33B5FA" w14:textId="77777777" w:rsidTr="00FD6BAF">
        <w:trPr>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530F107C" w14:textId="77777777" w:rsidR="00B35152" w:rsidRPr="00FB1CD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ساما، 2022</w:t>
            </w:r>
          </w:p>
        </w:tc>
        <w:tc>
          <w:tcPr>
            <w:tcW w:w="1280" w:type="dxa"/>
            <w:vAlign w:val="center"/>
          </w:tcPr>
          <w:p w14:paraId="03F83F7D"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5 عبارات</w:t>
            </w:r>
          </w:p>
        </w:tc>
        <w:tc>
          <w:tcPr>
            <w:tcW w:w="1957" w:type="dxa"/>
            <w:vAlign w:val="center"/>
          </w:tcPr>
          <w:p w14:paraId="65A85B1A"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c>
          <w:tcPr>
            <w:tcW w:w="1176" w:type="dxa"/>
            <w:vAlign w:val="center"/>
          </w:tcPr>
          <w:p w14:paraId="06BBD33C"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تابع</w:t>
            </w:r>
          </w:p>
        </w:tc>
        <w:tc>
          <w:tcPr>
            <w:tcW w:w="1925" w:type="dxa"/>
            <w:vAlign w:val="center"/>
          </w:tcPr>
          <w:p w14:paraId="6EA34FA7" w14:textId="77777777" w:rsidR="00B35152" w:rsidRPr="00FB1CD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r>
      <w:tr w:rsidR="00B35152" w:rsidRPr="00DD4597" w14:paraId="45883A4E" w14:textId="77777777" w:rsidTr="00FD6BA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0" w:type="dxa"/>
            <w:vAlign w:val="center"/>
          </w:tcPr>
          <w:p w14:paraId="7CD8F87B" w14:textId="77777777" w:rsidR="00B35152" w:rsidRPr="00FB1CD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الأدبيات المتخصصة</w:t>
            </w:r>
          </w:p>
        </w:tc>
        <w:tc>
          <w:tcPr>
            <w:tcW w:w="1280" w:type="dxa"/>
            <w:vAlign w:val="center"/>
          </w:tcPr>
          <w:p w14:paraId="2AC17D86"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 عبارات</w:t>
            </w:r>
          </w:p>
        </w:tc>
        <w:tc>
          <w:tcPr>
            <w:tcW w:w="1957" w:type="dxa"/>
            <w:vAlign w:val="center"/>
          </w:tcPr>
          <w:p w14:paraId="5BF93473"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التحديات التقنية والتنظيمية</w:t>
            </w:r>
          </w:p>
        </w:tc>
        <w:tc>
          <w:tcPr>
            <w:tcW w:w="1176" w:type="dxa"/>
            <w:vAlign w:val="center"/>
          </w:tcPr>
          <w:p w14:paraId="025E1784"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معدِّل</w:t>
            </w:r>
          </w:p>
        </w:tc>
        <w:tc>
          <w:tcPr>
            <w:tcW w:w="1925" w:type="dxa"/>
            <w:vAlign w:val="center"/>
          </w:tcPr>
          <w:p w14:paraId="6EB8E077" w14:textId="77777777" w:rsidR="00B35152" w:rsidRPr="00FB1CD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p>
        </w:tc>
      </w:tr>
    </w:tbl>
    <w:p w14:paraId="1631A3AC" w14:textId="77777777" w:rsidR="00B35152" w:rsidRPr="00085CAB"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(3.2): متغيرات الدراسة ومقاييسها</w:t>
      </w:r>
    </w:p>
    <w:p w14:paraId="0960AF17" w14:textId="77777777" w:rsidR="00B35152" w:rsidRDefault="00B35152" w:rsidP="00E000FF">
      <w:pPr>
        <w:bidi/>
        <w:spacing w:after="0" w:line="360" w:lineRule="auto"/>
        <w:jc w:val="both"/>
        <w:rPr>
          <w:rFonts w:ascii="Simplified Arabic" w:hAnsi="Simplified Arabic" w:cs="Simplified Arabic"/>
          <w:sz w:val="28"/>
          <w:szCs w:val="28"/>
        </w:rPr>
      </w:pPr>
    </w:p>
    <w:p w14:paraId="5D29C245" w14:textId="77777777" w:rsidR="00B35152" w:rsidRPr="0050606C"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hint="cs"/>
          <w:b/>
          <w:bCs/>
          <w:sz w:val="24"/>
          <w:szCs w:val="24"/>
          <w:rtl/>
        </w:rPr>
        <w:t>جدول</w:t>
      </w:r>
      <w:r>
        <w:rPr>
          <w:rFonts w:ascii="Traditional Arabic" w:hAnsi="Traditional Arabic" w:cs="Traditional Arabic"/>
          <w:b/>
          <w:bCs/>
          <w:sz w:val="24"/>
          <w:szCs w:val="24"/>
          <w:rtl/>
        </w:rPr>
        <w:t xml:space="preserve"> (3.2-</w:t>
      </w:r>
      <w:r>
        <w:rPr>
          <w:rFonts w:ascii="Traditional Arabic" w:hAnsi="Traditional Arabic" w:cs="Traditional Arabic" w:hint="cs"/>
          <w:b/>
          <w:bCs/>
          <w:sz w:val="24"/>
          <w:szCs w:val="24"/>
          <w:rtl/>
        </w:rPr>
        <w:t>أ</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المصادر</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العلمية</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لبناء</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محاور</w:t>
      </w:r>
      <w:r>
        <w:rPr>
          <w:rFonts w:ascii="Traditional Arabic" w:hAnsi="Traditional Arabic" w:cs="Traditional Arabic"/>
          <w:b/>
          <w:bCs/>
          <w:sz w:val="24"/>
          <w:szCs w:val="24"/>
          <w:rtl/>
        </w:rPr>
        <w:t xml:space="preserve"> </w:t>
      </w:r>
      <w:r>
        <w:rPr>
          <w:rFonts w:ascii="Traditional Arabic" w:hAnsi="Traditional Arabic" w:cs="Traditional Arabic" w:hint="cs"/>
          <w:b/>
          <w:bCs/>
          <w:sz w:val="24"/>
          <w:szCs w:val="24"/>
          <w:rtl/>
        </w:rPr>
        <w:t>الاستبانة</w:t>
      </w:r>
    </w:p>
    <w:tbl>
      <w:tblPr>
        <w:tblStyle w:val="GridTable4-Accent1"/>
        <w:tblW w:w="8298" w:type="dxa"/>
        <w:tblLook w:val="04A0" w:firstRow="1" w:lastRow="0" w:firstColumn="1" w:lastColumn="0" w:noHBand="0" w:noVBand="1"/>
      </w:tblPr>
      <w:tblGrid>
        <w:gridCol w:w="3218"/>
        <w:gridCol w:w="3154"/>
        <w:gridCol w:w="1926"/>
      </w:tblGrid>
      <w:tr w:rsidR="00B35152" w:rsidRPr="00DB43FD" w14:paraId="390BE81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260EC4C2"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المرجع الرئيسي المعتمد</w:t>
            </w:r>
          </w:p>
        </w:tc>
        <w:tc>
          <w:tcPr>
            <w:tcW w:w="3154" w:type="dxa"/>
            <w:vAlign w:val="center"/>
          </w:tcPr>
          <w:p w14:paraId="1F9F0B57" w14:textId="77777777" w:rsidR="00B35152" w:rsidRPr="00DB43F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المصادر العلمية</w:t>
            </w:r>
          </w:p>
        </w:tc>
        <w:tc>
          <w:tcPr>
            <w:tcW w:w="1926" w:type="dxa"/>
            <w:vAlign w:val="center"/>
          </w:tcPr>
          <w:p w14:paraId="3382B94F" w14:textId="77777777" w:rsidR="00B35152" w:rsidRPr="00DB43F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المحور</w:t>
            </w:r>
          </w:p>
        </w:tc>
      </w:tr>
      <w:tr w:rsidR="00B35152" w:rsidRPr="00DB43FD" w14:paraId="4401D4E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18D36C69" w14:textId="77777777" w:rsidR="00B35152" w:rsidRPr="00DB43FD" w:rsidRDefault="00B35152" w:rsidP="00E000FF">
            <w:pPr>
              <w:bidi/>
              <w:spacing w:after="0" w:line="260" w:lineRule="auto"/>
              <w:jc w:val="center"/>
              <w:rPr>
                <w:rFonts w:ascii="Simplified Arabic" w:hAnsi="Simplified Arabic" w:cs="Simplified Arabic"/>
                <w:sz w:val="24"/>
                <w:szCs w:val="24"/>
              </w:rPr>
            </w:pPr>
            <w:proofErr w:type="spellStart"/>
            <w:r>
              <w:rPr>
                <w:rFonts w:ascii="Traditional Arabic" w:hAnsi="Traditional Arabic" w:cs="Traditional Arabic"/>
                <w:rtl/>
              </w:rPr>
              <w:t>EMVCo</w:t>
            </w:r>
            <w:proofErr w:type="spellEnd"/>
            <w:r>
              <w:rPr>
                <w:rFonts w:ascii="Traditional Arabic" w:hAnsi="Traditional Arabic" w:cs="Traditional Arabic"/>
                <w:rtl/>
              </w:rPr>
              <w:t xml:space="preserve"> (2023); PCI DSS (2022); Al-</w:t>
            </w:r>
            <w:proofErr w:type="spellStart"/>
            <w:r>
              <w:rPr>
                <w:rFonts w:ascii="Traditional Arabic" w:hAnsi="Traditional Arabic" w:cs="Traditional Arabic"/>
                <w:rtl/>
              </w:rPr>
              <w:t>Otaibi</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et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al</w:t>
            </w:r>
            <w:proofErr w:type="spellEnd"/>
            <w:r>
              <w:rPr>
                <w:rFonts w:ascii="Traditional Arabic" w:hAnsi="Traditional Arabic" w:cs="Traditional Arabic"/>
                <w:rtl/>
              </w:rPr>
              <w:t>. (2023)</w:t>
            </w:r>
          </w:p>
        </w:tc>
        <w:tc>
          <w:tcPr>
            <w:tcW w:w="3154" w:type="dxa"/>
            <w:vAlign w:val="center"/>
          </w:tcPr>
          <w:p w14:paraId="01F2B883"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معايير دولية + دراسات تطبيقية في الترميز المالي</w:t>
            </w:r>
          </w:p>
        </w:tc>
        <w:tc>
          <w:tcPr>
            <w:tcW w:w="1926" w:type="dxa"/>
            <w:vAlign w:val="center"/>
          </w:tcPr>
          <w:p w14:paraId="579D2E30"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DB43FD" w14:paraId="0C0743AB" w14:textId="77777777" w:rsidTr="00B943E6">
        <w:tc>
          <w:tcPr>
            <w:cnfStyle w:val="001000000000" w:firstRow="0" w:lastRow="0" w:firstColumn="1" w:lastColumn="0" w:oddVBand="0" w:evenVBand="0" w:oddHBand="0" w:evenHBand="0" w:firstRowFirstColumn="0" w:firstRowLastColumn="0" w:lastRowFirstColumn="0" w:lastRowLastColumn="0"/>
            <w:tcW w:w="3218" w:type="dxa"/>
            <w:vAlign w:val="center"/>
          </w:tcPr>
          <w:p w14:paraId="1551C796"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NCA (2022); NIST (2021); Al-Ghamdi &amp; Hassan (2022)</w:t>
            </w:r>
          </w:p>
        </w:tc>
        <w:tc>
          <w:tcPr>
            <w:tcW w:w="3154" w:type="dxa"/>
            <w:vAlign w:val="center"/>
          </w:tcPr>
          <w:p w14:paraId="7D629044"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إطار الأمن السيبراني الوطني + دراسات أمن المعلومات</w:t>
            </w:r>
          </w:p>
        </w:tc>
        <w:tc>
          <w:tcPr>
            <w:tcW w:w="1926" w:type="dxa"/>
            <w:vAlign w:val="center"/>
          </w:tcPr>
          <w:p w14:paraId="49458B8C"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DB43FD" w14:paraId="7268A00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0DBBA761" w14:textId="77777777" w:rsidR="00B35152" w:rsidRPr="00DB43F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 xml:space="preserve">BIS (2022); </w:t>
            </w:r>
            <w:proofErr w:type="spellStart"/>
            <w:r>
              <w:rPr>
                <w:rFonts w:ascii="Traditional Arabic" w:hAnsi="Traditional Arabic" w:cs="Traditional Arabic"/>
                <w:rtl/>
              </w:rPr>
              <w:t>Arner</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et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al</w:t>
            </w:r>
            <w:proofErr w:type="spellEnd"/>
            <w:r>
              <w:rPr>
                <w:rFonts w:ascii="Traditional Arabic" w:hAnsi="Traditional Arabic" w:cs="Traditional Arabic"/>
                <w:rtl/>
              </w:rPr>
              <w:t>. (2023); Al-</w:t>
            </w:r>
            <w:proofErr w:type="spellStart"/>
            <w:r>
              <w:rPr>
                <w:rFonts w:ascii="Traditional Arabic" w:hAnsi="Traditional Arabic" w:cs="Traditional Arabic"/>
                <w:rtl/>
              </w:rPr>
              <w:t>Zahrani</w:t>
            </w:r>
            <w:proofErr w:type="spellEnd"/>
            <w:r>
              <w:rPr>
                <w:rFonts w:ascii="Traditional Arabic" w:hAnsi="Traditional Arabic" w:cs="Traditional Arabic"/>
                <w:rtl/>
              </w:rPr>
              <w:t xml:space="preserve"> (2023)</w:t>
            </w:r>
          </w:p>
        </w:tc>
        <w:tc>
          <w:tcPr>
            <w:tcW w:w="3154" w:type="dxa"/>
            <w:vAlign w:val="center"/>
          </w:tcPr>
          <w:p w14:paraId="7310E6D0"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تقارير دولية + دراسات كفاءة العمليات المالية</w:t>
            </w:r>
          </w:p>
        </w:tc>
        <w:tc>
          <w:tcPr>
            <w:tcW w:w="1926" w:type="dxa"/>
            <w:vAlign w:val="center"/>
          </w:tcPr>
          <w:p w14:paraId="6A73AAB4"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DB43FD" w14:paraId="7FA6D9C7" w14:textId="77777777" w:rsidTr="00B943E6">
        <w:tc>
          <w:tcPr>
            <w:cnfStyle w:val="001000000000" w:firstRow="0" w:lastRow="0" w:firstColumn="1" w:lastColumn="0" w:oddVBand="0" w:evenVBand="0" w:oddHBand="0" w:evenHBand="0" w:firstRowFirstColumn="0" w:firstRowLastColumn="0" w:lastRowFirstColumn="0" w:lastRowLastColumn="0"/>
            <w:tcW w:w="3218" w:type="dxa"/>
            <w:vAlign w:val="center"/>
          </w:tcPr>
          <w:p w14:paraId="32CFB77C" w14:textId="77777777" w:rsidR="00B35152" w:rsidRPr="00DB43FD" w:rsidRDefault="00B35152" w:rsidP="00E000FF">
            <w:pPr>
              <w:bidi/>
              <w:spacing w:after="0" w:line="260" w:lineRule="auto"/>
              <w:jc w:val="center"/>
              <w:rPr>
                <w:rFonts w:ascii="Simplified Arabic" w:hAnsi="Simplified Arabic" w:cs="Simplified Arabic"/>
                <w:sz w:val="24"/>
                <w:szCs w:val="24"/>
                <w:lang w:val="pt-BR"/>
              </w:rPr>
            </w:pPr>
            <w:r>
              <w:rPr>
                <w:rFonts w:ascii="Traditional Arabic" w:hAnsi="Traditional Arabic" w:cs="Traditional Arabic"/>
                <w:rtl/>
                <w:lang w:val="pt-BR"/>
              </w:rPr>
              <w:t xml:space="preserve">SAMA (2023); </w:t>
            </w:r>
            <w:proofErr w:type="spellStart"/>
            <w:r>
              <w:rPr>
                <w:rFonts w:ascii="Traditional Arabic" w:hAnsi="Traditional Arabic" w:cs="Traditional Arabic"/>
                <w:rtl/>
                <w:lang w:val="pt-BR"/>
              </w:rPr>
              <w:t>Basel</w:t>
            </w:r>
            <w:proofErr w:type="spellEnd"/>
            <w:r>
              <w:rPr>
                <w:rFonts w:ascii="Traditional Arabic" w:hAnsi="Traditional Arabic" w:cs="Traditional Arabic"/>
                <w:rtl/>
                <w:lang w:val="pt-BR"/>
              </w:rPr>
              <w:t xml:space="preserve"> III; Al-</w:t>
            </w:r>
            <w:proofErr w:type="spellStart"/>
            <w:r>
              <w:rPr>
                <w:rFonts w:ascii="Traditional Arabic" w:hAnsi="Traditional Arabic" w:cs="Traditional Arabic"/>
                <w:rtl/>
                <w:lang w:val="pt-BR"/>
              </w:rPr>
              <w:t>Malki</w:t>
            </w:r>
            <w:proofErr w:type="spellEnd"/>
            <w:r>
              <w:rPr>
                <w:rFonts w:ascii="Traditional Arabic" w:hAnsi="Traditional Arabic" w:cs="Traditional Arabic"/>
                <w:rtl/>
                <w:lang w:val="pt-BR"/>
              </w:rPr>
              <w:t xml:space="preserve"> (2022)</w:t>
            </w:r>
          </w:p>
        </w:tc>
        <w:tc>
          <w:tcPr>
            <w:tcW w:w="3154" w:type="dxa"/>
            <w:vAlign w:val="center"/>
          </w:tcPr>
          <w:p w14:paraId="65BED79A"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لوائح ساما + إطار بازل + دراسات الامتثال</w:t>
            </w:r>
          </w:p>
        </w:tc>
        <w:tc>
          <w:tcPr>
            <w:tcW w:w="1926" w:type="dxa"/>
            <w:vAlign w:val="center"/>
          </w:tcPr>
          <w:p w14:paraId="65621AB1" w14:textId="77777777" w:rsidR="00B35152" w:rsidRPr="00DB43F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r>
      <w:tr w:rsidR="00B35152" w:rsidRPr="00DB43FD" w14:paraId="50A829B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8" w:type="dxa"/>
            <w:vAlign w:val="center"/>
          </w:tcPr>
          <w:p w14:paraId="3EFDB38F" w14:textId="77777777" w:rsidR="00B35152" w:rsidRPr="00DB43FD" w:rsidRDefault="00B35152" w:rsidP="00E000FF">
            <w:pPr>
              <w:bidi/>
              <w:spacing w:after="0" w:line="260" w:lineRule="auto"/>
              <w:jc w:val="center"/>
              <w:rPr>
                <w:rFonts w:ascii="Simplified Arabic" w:hAnsi="Simplified Arabic" w:cs="Simplified Arabic"/>
                <w:sz w:val="24"/>
                <w:szCs w:val="24"/>
              </w:rPr>
            </w:pPr>
            <w:proofErr w:type="spellStart"/>
            <w:r>
              <w:rPr>
                <w:rFonts w:ascii="Traditional Arabic" w:hAnsi="Traditional Arabic" w:cs="Traditional Arabic"/>
                <w:rtl/>
              </w:rPr>
              <w:t>Rogers</w:t>
            </w:r>
            <w:proofErr w:type="spellEnd"/>
            <w:r>
              <w:rPr>
                <w:rFonts w:ascii="Traditional Arabic" w:hAnsi="Traditional Arabic" w:cs="Traditional Arabic"/>
                <w:rtl/>
              </w:rPr>
              <w:t xml:space="preserve"> (2003); </w:t>
            </w:r>
            <w:proofErr w:type="spellStart"/>
            <w:r>
              <w:rPr>
                <w:rFonts w:ascii="Traditional Arabic" w:hAnsi="Traditional Arabic" w:cs="Traditional Arabic"/>
                <w:rtl/>
              </w:rPr>
              <w:t>Venkatesh</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et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al</w:t>
            </w:r>
            <w:proofErr w:type="spellEnd"/>
            <w:r>
              <w:rPr>
                <w:rFonts w:ascii="Traditional Arabic" w:hAnsi="Traditional Arabic" w:cs="Traditional Arabic"/>
                <w:rtl/>
              </w:rPr>
              <w:t>. (2021); Al-Shehri (2022)</w:t>
            </w:r>
          </w:p>
        </w:tc>
        <w:tc>
          <w:tcPr>
            <w:tcW w:w="3154" w:type="dxa"/>
            <w:vAlign w:val="center"/>
          </w:tcPr>
          <w:p w14:paraId="25DE4FFD"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نظرية الابتكار + UTAUT + دراسات التبني التقني</w:t>
            </w:r>
          </w:p>
        </w:tc>
        <w:tc>
          <w:tcPr>
            <w:tcW w:w="1926" w:type="dxa"/>
            <w:vAlign w:val="center"/>
          </w:tcPr>
          <w:p w14:paraId="5CAF6AFC" w14:textId="77777777" w:rsidR="00B35152" w:rsidRPr="00DB43F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p>
        </w:tc>
      </w:tr>
    </w:tbl>
    <w:p w14:paraId="5E5598CA" w14:textId="77777777" w:rsidR="00B35152" w:rsidRDefault="00B35152" w:rsidP="00E000FF">
      <w:pPr>
        <w:bidi/>
        <w:spacing w:after="0" w:line="360" w:lineRule="auto"/>
        <w:jc w:val="both"/>
        <w:rPr>
          <w:rFonts w:ascii="Simplified Arabic" w:hAnsi="Simplified Arabic" w:cs="Simplified Arabic"/>
          <w:sz w:val="28"/>
          <w:szCs w:val="28"/>
          <w:rtl/>
        </w:rPr>
      </w:pPr>
    </w:p>
    <w:p w14:paraId="531CA0C8" w14:textId="77777777" w:rsidR="00FD6BAF" w:rsidRPr="00085CAB" w:rsidRDefault="00FD6BAF" w:rsidP="00FD6BAF">
      <w:pPr>
        <w:bidi/>
        <w:spacing w:after="0" w:line="360" w:lineRule="auto"/>
        <w:jc w:val="both"/>
        <w:rPr>
          <w:rFonts w:ascii="Simplified Arabic" w:hAnsi="Simplified Arabic" w:cs="Simplified Arabic"/>
          <w:sz w:val="28"/>
          <w:szCs w:val="28"/>
        </w:rPr>
      </w:pPr>
    </w:p>
    <w:p w14:paraId="14D35D85"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67" w:name="_Toc234424161"/>
      <w:r>
        <w:rPr>
          <w:rFonts w:ascii="Traditional Arabic" w:hAnsi="Traditional Arabic" w:cs="Traditional Arabic"/>
          <w:b/>
          <w:bCs/>
          <w:sz w:val="32"/>
          <w:szCs w:val="32"/>
          <w:u w:val="single"/>
          <w:rtl/>
        </w:rPr>
        <w:lastRenderedPageBreak/>
        <w:t>3.6 صدق أداة القياس</w:t>
      </w:r>
      <w:bookmarkEnd w:id="67"/>
    </w:p>
    <w:p w14:paraId="0BB76C85" w14:textId="77777777" w:rsidR="00B35152" w:rsidRPr="00DD4597"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3.6.1 صدق المحكّمين</w:t>
      </w:r>
    </w:p>
    <w:p w14:paraId="16CADC72"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عُرضت الاستبانة في صورتها الأولية على مجموعة من الأساتذة المتخصصين في مجالات الأمن السيبراني والتقنية المالية والمناهج البحثية، بهدف تقييم: مدى ملاءمة العبارات للمتغيرات التي صُمِّمت لقياسها، ووضوح الصياغة اللغوية وسلامتها، وشمولية المحاور وتغطية أهداف الدراسة. وبناءً على ملاحظاتهم، عُدِّلت العبارات التي استدعت التعديل أو الحذف أو الإضافة قبل التطبيق الفعلي.</w:t>
      </w:r>
    </w:p>
    <w:p w14:paraId="7F77C8BE" w14:textId="77777777" w:rsidR="00B35152" w:rsidRPr="00DD4597"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t>3.6.2 صدق الاتساق الداخلي</w:t>
      </w:r>
    </w:p>
    <w:p w14:paraId="315D1E3B" w14:textId="77777777" w:rsidR="00B35152" w:rsidRPr="00FD6BAF" w:rsidRDefault="00B35152" w:rsidP="00E000FF">
      <w:pPr>
        <w:bidi/>
        <w:spacing w:after="0" w:line="360" w:lineRule="auto"/>
        <w:jc w:val="both"/>
        <w:rPr>
          <w:rFonts w:ascii="Simplified Arabic" w:hAnsi="Simplified Arabic" w:cs="Simplified Arabic"/>
          <w:sz w:val="32"/>
          <w:szCs w:val="32"/>
          <w:rtl/>
        </w:rPr>
      </w:pPr>
      <w:r w:rsidRPr="00FD6BAF">
        <w:rPr>
          <w:rFonts w:ascii="Traditional Arabic" w:hAnsi="Traditional Arabic" w:cs="Traditional Arabic"/>
          <w:sz w:val="28"/>
          <w:szCs w:val="28"/>
          <w:rtl/>
        </w:rPr>
        <w:t xml:space="preserve">حُسِبَ معامل ارتباط </w:t>
      </w:r>
      <w:proofErr w:type="spellStart"/>
      <w:r w:rsidRPr="00FD6BAF">
        <w:rPr>
          <w:rFonts w:ascii="Traditional Arabic" w:hAnsi="Traditional Arabic" w:cs="Traditional Arabic"/>
          <w:sz w:val="28"/>
          <w:szCs w:val="28"/>
          <w:rtl/>
        </w:rPr>
        <w:t>سبيرمان</w:t>
      </w:r>
      <w:proofErr w:type="spellEnd"/>
      <w:r w:rsidRPr="00FD6BAF">
        <w:rPr>
          <w:rFonts w:ascii="Traditional Arabic" w:hAnsi="Traditional Arabic" w:cs="Traditional Arabic"/>
          <w:sz w:val="28"/>
          <w:szCs w:val="28"/>
          <w:rtl/>
        </w:rPr>
        <w:t xml:space="preserve"> بين درجة كل عبارة والدرجة الكلية للبُعد الذي تنتمي إليه، للتحقق من اتساق العبارات داخلياً. وقد جاءت جميع معاملات الارتباط دالة إحصائياً عند مستوى (0.01)، وتفصيل النتائج معروض في الفصل الرابع.</w:t>
      </w:r>
    </w:p>
    <w:p w14:paraId="5C5D84FD"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1660"/>
        <w:gridCol w:w="1659"/>
        <w:gridCol w:w="1659"/>
        <w:gridCol w:w="1659"/>
        <w:gridCol w:w="1659"/>
      </w:tblGrid>
      <w:tr w:rsidR="00B35152" w:rsidRPr="00FD6BAF" w14:paraId="4B76888B"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0AC3C9A9"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القيمة الاحتمالية</w:t>
            </w:r>
          </w:p>
        </w:tc>
        <w:tc>
          <w:tcPr>
            <w:tcW w:w="1000" w:type="pct"/>
            <w:vAlign w:val="center"/>
          </w:tcPr>
          <w:p w14:paraId="141C1384"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معامل الارتباط مع الدرجة الكلية</w:t>
            </w:r>
          </w:p>
        </w:tc>
        <w:tc>
          <w:tcPr>
            <w:tcW w:w="1000" w:type="pct"/>
            <w:vAlign w:val="center"/>
          </w:tcPr>
          <w:p w14:paraId="14256E7F"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القيمة الاحتمالية</w:t>
            </w:r>
          </w:p>
        </w:tc>
        <w:tc>
          <w:tcPr>
            <w:tcW w:w="1000" w:type="pct"/>
            <w:vAlign w:val="center"/>
          </w:tcPr>
          <w:p w14:paraId="7B0CB2CF"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معامل الارتباط مع البُعد</w:t>
            </w:r>
          </w:p>
        </w:tc>
        <w:tc>
          <w:tcPr>
            <w:tcW w:w="1000" w:type="pct"/>
            <w:vAlign w:val="center"/>
          </w:tcPr>
          <w:p w14:paraId="3134A3A4"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رقم العبارة</w:t>
            </w:r>
          </w:p>
        </w:tc>
      </w:tr>
      <w:tr w:rsidR="00B35152" w:rsidRPr="00FD6BAF" w14:paraId="456FCD3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1D611EA8"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31E1C48F"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3D3E7E43"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217EA1C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121186DF"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1</w:t>
            </w:r>
          </w:p>
        </w:tc>
      </w:tr>
      <w:tr w:rsidR="00B35152" w:rsidRPr="00FD6BAF" w14:paraId="74F06232" w14:textId="77777777" w:rsidTr="00B943E6">
        <w:tc>
          <w:tcPr>
            <w:cnfStyle w:val="001000000000" w:firstRow="0" w:lastRow="0" w:firstColumn="1" w:lastColumn="0" w:oddVBand="0" w:evenVBand="0" w:oddHBand="0" w:evenHBand="0" w:firstRowFirstColumn="0" w:firstRowLastColumn="0" w:lastRowFirstColumn="0" w:lastRowLastColumn="0"/>
            <w:tcW w:w="1000" w:type="pct"/>
            <w:vAlign w:val="center"/>
          </w:tcPr>
          <w:p w14:paraId="6D2167C9"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359786ED"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11200426"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144BD550"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3C4317AF"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2</w:t>
            </w:r>
          </w:p>
        </w:tc>
      </w:tr>
      <w:tr w:rsidR="00B35152" w:rsidRPr="00FD6BAF" w14:paraId="6E806EC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44F41F43"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646013FF"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54EC027D"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w:t>
            </w:r>
          </w:p>
        </w:tc>
        <w:tc>
          <w:tcPr>
            <w:tcW w:w="1000" w:type="pct"/>
            <w:vAlign w:val="center"/>
          </w:tcPr>
          <w:p w14:paraId="7D2861FA"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سيُحسَب بعد جمع البيانات</w:t>
            </w:r>
          </w:p>
        </w:tc>
        <w:tc>
          <w:tcPr>
            <w:tcW w:w="1000" w:type="pct"/>
            <w:vAlign w:val="center"/>
          </w:tcPr>
          <w:p w14:paraId="1143BB98"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3</w:t>
            </w:r>
          </w:p>
        </w:tc>
      </w:tr>
    </w:tbl>
    <w:p w14:paraId="50271A8B" w14:textId="77777777" w:rsidR="00B35152" w:rsidRDefault="00B35152" w:rsidP="00FD6BAF">
      <w:pPr>
        <w:pStyle w:val="TableCaption"/>
        <w:bidi/>
        <w:spacing w:after="0" w:line="300" w:lineRule="auto"/>
        <w:jc w:val="center"/>
        <w:rPr>
          <w:rFonts w:ascii="Simplified Arabic" w:hAnsi="Simplified Arabic" w:cs="Simplified Arabic"/>
          <w:sz w:val="28"/>
          <w:szCs w:val="28"/>
          <w:rtl/>
        </w:rPr>
      </w:pPr>
      <w:r>
        <w:rPr>
          <w:rFonts w:ascii="Traditional Arabic" w:hAnsi="Traditional Arabic" w:cs="Traditional Arabic"/>
          <w:b/>
          <w:bCs/>
          <w:sz w:val="24"/>
          <w:szCs w:val="24"/>
          <w:rtl/>
        </w:rPr>
        <w:t>جدول (3.3): نموذج عرض نتائج صدق الاتساق الداخلي</w:t>
      </w:r>
    </w:p>
    <w:p w14:paraId="0732145A" w14:textId="77777777" w:rsidR="00B35152" w:rsidRDefault="00B35152" w:rsidP="00E000FF">
      <w:pPr>
        <w:bidi/>
        <w:spacing w:after="0" w:line="360" w:lineRule="auto"/>
        <w:jc w:val="both"/>
        <w:rPr>
          <w:rFonts w:ascii="Simplified Arabic" w:hAnsi="Simplified Arabic" w:cs="Simplified Arabic"/>
          <w:sz w:val="28"/>
          <w:szCs w:val="28"/>
          <w:rtl/>
        </w:rPr>
      </w:pPr>
    </w:p>
    <w:p w14:paraId="2743699C" w14:textId="77777777" w:rsidR="00B35152" w:rsidRDefault="00B35152" w:rsidP="00E000FF">
      <w:pPr>
        <w:bidi/>
        <w:spacing w:after="0" w:line="360" w:lineRule="auto"/>
        <w:jc w:val="both"/>
        <w:rPr>
          <w:rFonts w:ascii="Simplified Arabic" w:hAnsi="Simplified Arabic" w:cs="Simplified Arabic"/>
          <w:sz w:val="28"/>
          <w:szCs w:val="28"/>
          <w:rtl/>
        </w:rPr>
      </w:pPr>
    </w:p>
    <w:p w14:paraId="1C5EF6AD" w14:textId="77777777" w:rsidR="00FD6BAF" w:rsidRDefault="00FD6BAF" w:rsidP="00FD6BAF">
      <w:pPr>
        <w:bidi/>
        <w:spacing w:after="0" w:line="360" w:lineRule="auto"/>
        <w:jc w:val="both"/>
        <w:rPr>
          <w:rFonts w:ascii="Simplified Arabic" w:hAnsi="Simplified Arabic" w:cs="Simplified Arabic"/>
          <w:sz w:val="28"/>
          <w:szCs w:val="28"/>
          <w:rtl/>
        </w:rPr>
      </w:pPr>
    </w:p>
    <w:p w14:paraId="22EB86D9" w14:textId="77777777" w:rsidR="00FD6BAF" w:rsidRDefault="00FD6BAF" w:rsidP="00FD6BAF">
      <w:pPr>
        <w:bidi/>
        <w:spacing w:after="0" w:line="360" w:lineRule="auto"/>
        <w:jc w:val="both"/>
        <w:rPr>
          <w:rFonts w:ascii="Simplified Arabic" w:hAnsi="Simplified Arabic" w:cs="Simplified Arabic"/>
          <w:sz w:val="28"/>
          <w:szCs w:val="28"/>
          <w:rtl/>
        </w:rPr>
      </w:pPr>
    </w:p>
    <w:p w14:paraId="60373FE4" w14:textId="77777777" w:rsidR="00B35152" w:rsidRPr="00682DDF" w:rsidRDefault="00B35152" w:rsidP="00E000FF">
      <w:pPr>
        <w:bidi/>
        <w:spacing w:after="0" w:line="360" w:lineRule="auto"/>
        <w:jc w:val="both"/>
        <w:rPr>
          <w:rFonts w:ascii="Simplified Arabic" w:hAnsi="Simplified Arabic" w:cs="Simplified Arabic"/>
          <w:b/>
          <w:bCs/>
          <w:sz w:val="28"/>
          <w:szCs w:val="28"/>
        </w:rPr>
      </w:pPr>
      <w:r>
        <w:rPr>
          <w:rFonts w:ascii="Traditional Arabic" w:hAnsi="Traditional Arabic" w:cs="Traditional Arabic"/>
          <w:b/>
          <w:bCs/>
          <w:sz w:val="28"/>
          <w:szCs w:val="28"/>
          <w:rtl/>
        </w:rPr>
        <w:lastRenderedPageBreak/>
        <w:t>3.6.3</w:t>
      </w:r>
      <w:r>
        <w:rPr>
          <w:rFonts w:ascii="Traditional Arabic" w:hAnsi="Traditional Arabic" w:cs="Traditional Arabic" w:hint="cs"/>
          <w:b/>
          <w:bCs/>
          <w:sz w:val="28"/>
          <w:szCs w:val="28"/>
          <w:rtl/>
        </w:rPr>
        <w:t xml:space="preserve"> صدق</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المحتوى</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وإجراءات</w:t>
      </w:r>
      <w:r>
        <w:rPr>
          <w:rFonts w:ascii="Traditional Arabic" w:hAnsi="Traditional Arabic" w:cs="Traditional Arabic"/>
          <w:b/>
          <w:bCs/>
          <w:sz w:val="28"/>
          <w:szCs w:val="28"/>
          <w:rtl/>
        </w:rPr>
        <w:t xml:space="preserve"> </w:t>
      </w:r>
      <w:r>
        <w:rPr>
          <w:rFonts w:ascii="Traditional Arabic" w:hAnsi="Traditional Arabic" w:cs="Traditional Arabic" w:hint="cs"/>
          <w:b/>
          <w:bCs/>
          <w:sz w:val="28"/>
          <w:szCs w:val="28"/>
          <w:rtl/>
        </w:rPr>
        <w:t>التحكيم</w:t>
      </w:r>
    </w:p>
    <w:p w14:paraId="429AECD6"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يُعدّ صدق المحتوى (</w:t>
      </w:r>
      <w:proofErr w:type="spellStart"/>
      <w:r w:rsidRPr="00FD6BAF">
        <w:rPr>
          <w:rFonts w:ascii="Traditional Arabic" w:hAnsi="Traditional Arabic" w:cs="Traditional Arabic"/>
          <w:sz w:val="28"/>
          <w:szCs w:val="28"/>
          <w:rtl/>
        </w:rPr>
        <w:t>Content</w:t>
      </w:r>
      <w:proofErr w:type="spellEnd"/>
      <w:r w:rsidRPr="00FD6BAF">
        <w:rPr>
          <w:rFonts w:ascii="Traditional Arabic" w:hAnsi="Traditional Arabic" w:cs="Traditional Arabic"/>
          <w:sz w:val="28"/>
          <w:szCs w:val="28"/>
          <w:rtl/>
        </w:rPr>
        <w:t xml:space="preserve"> </w:t>
      </w:r>
      <w:proofErr w:type="spellStart"/>
      <w:r w:rsidRPr="00FD6BAF">
        <w:rPr>
          <w:rFonts w:ascii="Traditional Arabic" w:hAnsi="Traditional Arabic" w:cs="Traditional Arabic"/>
          <w:sz w:val="28"/>
          <w:szCs w:val="28"/>
          <w:rtl/>
        </w:rPr>
        <w:t>Validity</w:t>
      </w:r>
      <w:proofErr w:type="spellEnd"/>
      <w:r w:rsidRPr="00FD6BAF">
        <w:rPr>
          <w:rFonts w:ascii="Traditional Arabic" w:hAnsi="Traditional Arabic" w:cs="Traditional Arabic"/>
          <w:sz w:val="28"/>
          <w:szCs w:val="28"/>
          <w:rtl/>
        </w:rPr>
        <w:t xml:space="preserve">) ركيزةً أساسية في التحقق من قدرة الاستبانة على قياس المفاهيم التي صُمِّمت لأجلها. ولإثبات هذا الصدق، عُرضت الاستبانة في صورتها الأولية على مجموعة من المحكّمين المتخصصين من جامعة </w:t>
      </w:r>
      <w:proofErr w:type="spellStart"/>
      <w:r w:rsidRPr="00FD6BAF">
        <w:rPr>
          <w:rFonts w:ascii="Traditional Arabic" w:hAnsi="Traditional Arabic" w:cs="Traditional Arabic"/>
          <w:sz w:val="28"/>
          <w:szCs w:val="28"/>
          <w:rtl/>
        </w:rPr>
        <w:t>Midocean</w:t>
      </w:r>
      <w:proofErr w:type="spellEnd"/>
      <w:r w:rsidRPr="00FD6BAF">
        <w:rPr>
          <w:rFonts w:ascii="Traditional Arabic" w:hAnsi="Traditional Arabic" w:cs="Traditional Arabic"/>
          <w:sz w:val="28"/>
          <w:szCs w:val="28"/>
          <w:rtl/>
        </w:rPr>
        <w:t xml:space="preserve"> قبل تطبيقها الفعلي.</w:t>
      </w:r>
    </w:p>
    <w:p w14:paraId="4C7CB3DE"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أولاً: المحكّمون وتخصصاتهم</w:t>
      </w:r>
    </w:p>
    <w:p w14:paraId="670D3B97"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 xml:space="preserve">سيُستعان بمجموعة من الأساتذة المتخصصين من جامعة </w:t>
      </w:r>
      <w:proofErr w:type="spellStart"/>
      <w:r w:rsidRPr="00FD6BAF">
        <w:rPr>
          <w:rFonts w:ascii="Traditional Arabic" w:hAnsi="Traditional Arabic" w:cs="Traditional Arabic"/>
          <w:sz w:val="28"/>
          <w:szCs w:val="28"/>
          <w:rtl/>
        </w:rPr>
        <w:t>Midocean</w:t>
      </w:r>
      <w:proofErr w:type="spellEnd"/>
      <w:r w:rsidRPr="00FD6BAF">
        <w:rPr>
          <w:rFonts w:ascii="Traditional Arabic" w:hAnsi="Traditional Arabic" w:cs="Traditional Arabic"/>
          <w:sz w:val="28"/>
          <w:szCs w:val="28"/>
          <w:rtl/>
        </w:rPr>
        <w:t>، وذلك قبل الشروع في توزيع الاستبانة على عينة الدراسة الأساسية. ويُختار المحكّمون من ذوي الخبرة الأكاديمية في مجالات: الأمن السيبراني، وتقنية المعلومات المالية، والمناهج البحثية الكمية. وسيُوثَّق لكل محكّم: الاسم والتخصص الأكاديمي، وجهة العمل، والمؤهل العلمي.</w:t>
      </w:r>
    </w:p>
    <w:p w14:paraId="01B3F7EF"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ثانياً: إجراءات التحكيم</w:t>
      </w:r>
    </w:p>
    <w:p w14:paraId="703B4AC3"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 xml:space="preserve">ستُرسَل الاستبانة في صورتها الأولية إلى المحكّمين من أعضاء هيئة التدريس في جامعة </w:t>
      </w:r>
      <w:proofErr w:type="spellStart"/>
      <w:r w:rsidRPr="00FD6BAF">
        <w:rPr>
          <w:rFonts w:ascii="Traditional Arabic" w:hAnsi="Traditional Arabic" w:cs="Traditional Arabic"/>
          <w:sz w:val="28"/>
          <w:szCs w:val="28"/>
          <w:rtl/>
        </w:rPr>
        <w:t>Midocean</w:t>
      </w:r>
      <w:proofErr w:type="spellEnd"/>
      <w:r w:rsidRPr="00FD6BAF">
        <w:rPr>
          <w:rFonts w:ascii="Traditional Arabic" w:hAnsi="Traditional Arabic" w:cs="Traditional Arabic"/>
          <w:sz w:val="28"/>
          <w:szCs w:val="28"/>
          <w:rtl/>
        </w:rPr>
        <w:t>، وسيُطلَب من كل محكّم تقييمها من حيث: مدى ملاءمة العبارات للمتغيرات التي تقيسها، ووضوح الصياغة اللغوية، وشمولية المحاور، ومناسبة التدرج الخماسي للسياق التطبيقي. وستُلخَّص ملاحظات المحكّمين في جدول يبيّن كل ملاحظة والإجراء المتخذ حيالها: (تعديل / حذف / إبقاء / إضافة). ولن تُوزَّع الاستبانة على عينة الدراسة الأساسية إلا بعد الأخذ بمرئيات المحكّمين وإجراء التعديلات اللازمة.</w:t>
      </w:r>
    </w:p>
    <w:p w14:paraId="2DB00ADD" w14:textId="77777777" w:rsidR="00B35152" w:rsidRPr="00FD6BAF" w:rsidRDefault="00B35152" w:rsidP="00E000FF">
      <w:p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ثالثاً: معيار قبول التحكيم</w:t>
      </w:r>
    </w:p>
    <w:p w14:paraId="559D799B" w14:textId="77777777" w:rsidR="00B35152" w:rsidRPr="00FD6BAF" w:rsidRDefault="00B35152" w:rsidP="00E000FF">
      <w:pPr>
        <w:bidi/>
        <w:spacing w:after="0" w:line="360" w:lineRule="auto"/>
        <w:jc w:val="both"/>
        <w:rPr>
          <w:rFonts w:ascii="Simplified Arabic" w:hAnsi="Simplified Arabic" w:cs="Simplified Arabic"/>
          <w:sz w:val="28"/>
          <w:szCs w:val="28"/>
          <w:rtl/>
        </w:rPr>
      </w:pPr>
      <w:r w:rsidRPr="00FD6BAF">
        <w:rPr>
          <w:rFonts w:ascii="Traditional Arabic" w:hAnsi="Traditional Arabic" w:cs="Traditional Arabic"/>
          <w:sz w:val="28"/>
          <w:szCs w:val="28"/>
          <w:rtl/>
        </w:rPr>
        <w:t>تُعدّ الفقرة مقبولة إذا حصلت على موافقة ما لا يقل عن (80%) من المحكّمين. أما الفقرات التي تقل نسبة موافقتها عن ذلك فتُعرَض للمراجعة والتعديل أو الحذف وفق طبيعة الملاحظات الواردة.</w:t>
      </w:r>
    </w:p>
    <w:p w14:paraId="154F076D" w14:textId="77777777" w:rsidR="00B35152" w:rsidRPr="00FD6BAF" w:rsidRDefault="00B35152" w:rsidP="00E000FF">
      <w:pPr>
        <w:bidi/>
        <w:spacing w:after="0" w:line="360" w:lineRule="auto"/>
        <w:jc w:val="both"/>
        <w:rPr>
          <w:rFonts w:ascii="Simplified Arabic" w:hAnsi="Simplified Arabic" w:cs="Simplified Arabic"/>
          <w:b/>
          <w:bCs/>
          <w:sz w:val="28"/>
          <w:szCs w:val="28"/>
          <w:rtl/>
        </w:rPr>
      </w:pPr>
      <w:r w:rsidRPr="00FD6BAF">
        <w:rPr>
          <w:rFonts w:ascii="Traditional Arabic" w:hAnsi="Traditional Arabic" w:cs="Traditional Arabic"/>
          <w:b/>
          <w:bCs/>
          <w:sz w:val="28"/>
          <w:szCs w:val="28"/>
          <w:rtl/>
        </w:rPr>
        <w:t>رابعاً: نتائج التحكيم</w:t>
      </w:r>
    </w:p>
    <w:p w14:paraId="13DCAB74" w14:textId="77777777" w:rsidR="00B35152" w:rsidRPr="00FD6BAF" w:rsidRDefault="00B35152" w:rsidP="00E000FF">
      <w:pPr>
        <w:bidi/>
        <w:spacing w:after="0" w:line="360" w:lineRule="auto"/>
        <w:jc w:val="both"/>
        <w:rPr>
          <w:rFonts w:ascii="Simplified Arabic" w:hAnsi="Simplified Arabic" w:cs="Simplified Arabic"/>
          <w:sz w:val="28"/>
          <w:szCs w:val="28"/>
          <w:rtl/>
        </w:rPr>
      </w:pPr>
      <w:r w:rsidRPr="00FD6BAF">
        <w:rPr>
          <w:rFonts w:ascii="Traditional Arabic" w:hAnsi="Traditional Arabic" w:cs="Traditional Arabic"/>
          <w:sz w:val="28"/>
          <w:szCs w:val="28"/>
          <w:rtl/>
        </w:rPr>
        <w:t>بناءً على ملاحظات المحكّمين، أُعيدت صياغة عدد من الفقرات التي كانت تفترض علاقة سببية مباشرة إلى صيغة إدراكية تقيس تصوّر المستجيب، وحُذفت فقرات مكررة، وعُدِّلت صياغة أخرى لغوياً. وقد أُجريت جميع التعديلات المطلوبة قبل التطبيق النهائي للأداة. وتُرفَق قائمة المحكّمين وصورة الاستبانة في صورتها النهائية ضمن ملاحق الدراسة.</w:t>
      </w:r>
    </w:p>
    <w:p w14:paraId="0C165CAD"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50EE2234"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68" w:name="_Toc234424162"/>
      <w:r>
        <w:rPr>
          <w:rFonts w:ascii="Traditional Arabic" w:hAnsi="Traditional Arabic" w:cs="Traditional Arabic"/>
          <w:b/>
          <w:bCs/>
          <w:sz w:val="32"/>
          <w:szCs w:val="32"/>
          <w:u w:val="single"/>
          <w:rtl/>
        </w:rPr>
        <w:lastRenderedPageBreak/>
        <w:t>3.7 ثبات أداة القياس</w:t>
      </w:r>
      <w:bookmarkEnd w:id="68"/>
    </w:p>
    <w:p w14:paraId="5AA2F80F" w14:textId="77777777" w:rsidR="00B35152" w:rsidRPr="00FD6BAF" w:rsidRDefault="00B35152" w:rsidP="00E000FF">
      <w:pPr>
        <w:bidi/>
        <w:spacing w:after="0" w:line="360" w:lineRule="auto"/>
        <w:jc w:val="both"/>
        <w:rPr>
          <w:rFonts w:ascii="Simplified Arabic" w:hAnsi="Simplified Arabic" w:cs="Simplified Arabic"/>
          <w:sz w:val="32"/>
          <w:szCs w:val="32"/>
          <w:rtl/>
        </w:rPr>
      </w:pPr>
      <w:r w:rsidRPr="00FD6BAF">
        <w:rPr>
          <w:rFonts w:ascii="Traditional Arabic" w:hAnsi="Traditional Arabic" w:cs="Traditional Arabic"/>
          <w:sz w:val="28"/>
          <w:szCs w:val="28"/>
          <w:rtl/>
        </w:rPr>
        <w:t xml:space="preserve">استُخدم معامل ألفا </w:t>
      </w:r>
      <w:proofErr w:type="spellStart"/>
      <w:r w:rsidRPr="00FD6BAF">
        <w:rPr>
          <w:rFonts w:ascii="Traditional Arabic" w:hAnsi="Traditional Arabic" w:cs="Traditional Arabic"/>
          <w:sz w:val="28"/>
          <w:szCs w:val="28"/>
          <w:rtl/>
        </w:rPr>
        <w:t>كرونباخ</w:t>
      </w:r>
      <w:proofErr w:type="spellEnd"/>
      <w:r w:rsidRPr="00FD6BAF">
        <w:rPr>
          <w:rFonts w:ascii="Traditional Arabic" w:hAnsi="Traditional Arabic" w:cs="Traditional Arabic"/>
          <w:sz w:val="28"/>
          <w:szCs w:val="28"/>
          <w:rtl/>
        </w:rPr>
        <w:t xml:space="preserve"> (</w:t>
      </w:r>
      <w:proofErr w:type="spellStart"/>
      <w:r w:rsidRPr="00FD6BAF">
        <w:rPr>
          <w:rFonts w:ascii="Traditional Arabic" w:hAnsi="Traditional Arabic" w:cs="Traditional Arabic"/>
          <w:sz w:val="28"/>
          <w:szCs w:val="28"/>
          <w:rtl/>
        </w:rPr>
        <w:t>Cronbach's</w:t>
      </w:r>
      <w:proofErr w:type="spellEnd"/>
      <w:r w:rsidRPr="00FD6BAF">
        <w:rPr>
          <w:rFonts w:ascii="Traditional Arabic" w:hAnsi="Traditional Arabic" w:cs="Traditional Arabic"/>
          <w:sz w:val="28"/>
          <w:szCs w:val="28"/>
          <w:rtl/>
        </w:rPr>
        <w:t xml:space="preserve"> </w:t>
      </w:r>
      <w:proofErr w:type="spellStart"/>
      <w:r w:rsidRPr="00FD6BAF">
        <w:rPr>
          <w:rFonts w:ascii="Traditional Arabic" w:hAnsi="Traditional Arabic" w:cs="Traditional Arabic"/>
          <w:sz w:val="28"/>
          <w:szCs w:val="28"/>
          <w:rtl/>
        </w:rPr>
        <w:t>Alpha</w:t>
      </w:r>
      <w:proofErr w:type="spellEnd"/>
      <w:r w:rsidRPr="00FD6BAF">
        <w:rPr>
          <w:rFonts w:ascii="Traditional Arabic" w:hAnsi="Traditional Arabic" w:cs="Traditional Arabic"/>
          <w:sz w:val="28"/>
          <w:szCs w:val="28"/>
          <w:rtl/>
        </w:rPr>
        <w:t>) لقياس ثبات الاستبانة لكل بُعد على حدة وللأداة ككل، وتُعدّ القيمة (0.70) فأكثر مؤشراً مقبولاً على الثبات. وقد تجاوزت جميع القيم المحسوبة هذا الحد، وبلغ معامل الثبات الكلي للأداة (0.980)، وتفصيل النتائج معروض في الفصل الرابع.</w:t>
      </w:r>
    </w:p>
    <w:p w14:paraId="3913491E"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3481"/>
        <w:gridCol w:w="1923"/>
        <w:gridCol w:w="2892"/>
      </w:tblGrid>
      <w:tr w:rsidR="00B35152" w:rsidRPr="00CA7275" w14:paraId="6BDFD973" w14:textId="77777777" w:rsidTr="00FD6B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33E8CC6E"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 xml:space="preserve">معامل ألفا </w:t>
            </w:r>
            <w:proofErr w:type="spellStart"/>
            <w:r>
              <w:rPr>
                <w:rFonts w:ascii="Traditional Arabic" w:hAnsi="Traditional Arabic" w:cs="Traditional Arabic"/>
                <w:rtl/>
              </w:rPr>
              <w:t>كرونباخ</w:t>
            </w:r>
            <w:proofErr w:type="spellEnd"/>
          </w:p>
        </w:tc>
        <w:tc>
          <w:tcPr>
            <w:tcW w:w="1159" w:type="pct"/>
            <w:vAlign w:val="center"/>
          </w:tcPr>
          <w:p w14:paraId="04F76B36" w14:textId="77777777" w:rsidR="00B35152" w:rsidRPr="00C919A0" w:rsidRDefault="00B35152" w:rsidP="00FD6BA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عدد العبارات</w:t>
            </w:r>
          </w:p>
        </w:tc>
        <w:tc>
          <w:tcPr>
            <w:tcW w:w="1743" w:type="pct"/>
            <w:vAlign w:val="center"/>
          </w:tcPr>
          <w:p w14:paraId="22D8A287" w14:textId="77777777" w:rsidR="00B35152" w:rsidRPr="00C919A0" w:rsidRDefault="00B35152" w:rsidP="00FD6BA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المتغير</w:t>
            </w:r>
          </w:p>
        </w:tc>
      </w:tr>
      <w:tr w:rsidR="00B35152" w:rsidRPr="00CA7275" w14:paraId="60D2A7AC"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05A60AC4"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4DF7A997"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3131DC06"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تطبيق تقنية الترميز</w:t>
            </w:r>
          </w:p>
        </w:tc>
      </w:tr>
      <w:tr w:rsidR="00B35152" w:rsidRPr="00CA7275" w14:paraId="6A37F660"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0C7754FE"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59045024"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7</w:t>
            </w:r>
          </w:p>
        </w:tc>
        <w:tc>
          <w:tcPr>
            <w:tcW w:w="1743" w:type="pct"/>
            <w:vAlign w:val="center"/>
          </w:tcPr>
          <w:p w14:paraId="158353F1"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الأمن السيبراني</w:t>
            </w:r>
          </w:p>
        </w:tc>
      </w:tr>
      <w:tr w:rsidR="00B35152" w:rsidRPr="00CA7275" w14:paraId="7760FB2A"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7FF3B90E"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440F5BC7"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1C40A75A"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كفاءة العمليات المالية</w:t>
            </w:r>
          </w:p>
        </w:tc>
      </w:tr>
      <w:tr w:rsidR="00B35152" w:rsidRPr="00CA7275" w14:paraId="26A39613"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5E90616F"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63F6BDCF"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5</w:t>
            </w:r>
          </w:p>
        </w:tc>
        <w:tc>
          <w:tcPr>
            <w:tcW w:w="1743" w:type="pct"/>
            <w:vAlign w:val="center"/>
          </w:tcPr>
          <w:p w14:paraId="0BDC89EA"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الامتثال التنظيمي</w:t>
            </w:r>
          </w:p>
        </w:tc>
      </w:tr>
      <w:tr w:rsidR="00B35152" w:rsidRPr="00CA7275" w14:paraId="5F38A6CB" w14:textId="77777777" w:rsidTr="00FD6B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Align w:val="center"/>
          </w:tcPr>
          <w:p w14:paraId="6CC115FD"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467588DD"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6</w:t>
            </w:r>
          </w:p>
        </w:tc>
        <w:tc>
          <w:tcPr>
            <w:tcW w:w="1743" w:type="pct"/>
            <w:vAlign w:val="center"/>
          </w:tcPr>
          <w:p w14:paraId="26106D2A" w14:textId="77777777" w:rsidR="00B35152" w:rsidRPr="00C919A0" w:rsidRDefault="00B35152" w:rsidP="00FD6BA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تحديات التطبيق</w:t>
            </w:r>
          </w:p>
        </w:tc>
      </w:tr>
      <w:tr w:rsidR="00B35152" w:rsidRPr="00CA7275" w14:paraId="4C5DEC5A" w14:textId="77777777" w:rsidTr="00FD6BAF">
        <w:tc>
          <w:tcPr>
            <w:cnfStyle w:val="001000000000" w:firstRow="0" w:lastRow="0" w:firstColumn="1" w:lastColumn="0" w:oddVBand="0" w:evenVBand="0" w:oddHBand="0" w:evenHBand="0" w:firstRowFirstColumn="0" w:firstRowLastColumn="0" w:lastRowFirstColumn="0" w:lastRowLastColumn="0"/>
            <w:tcW w:w="2098" w:type="pct"/>
            <w:vAlign w:val="center"/>
          </w:tcPr>
          <w:p w14:paraId="1B639EFA" w14:textId="77777777" w:rsidR="00B35152" w:rsidRPr="00C919A0" w:rsidRDefault="00B35152" w:rsidP="00FD6BA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سيُحسَب بعد جمع البيانات</w:t>
            </w:r>
          </w:p>
        </w:tc>
        <w:tc>
          <w:tcPr>
            <w:tcW w:w="1159" w:type="pct"/>
            <w:vAlign w:val="center"/>
          </w:tcPr>
          <w:p w14:paraId="57D69F81"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30</w:t>
            </w:r>
          </w:p>
        </w:tc>
        <w:tc>
          <w:tcPr>
            <w:tcW w:w="1743" w:type="pct"/>
            <w:vAlign w:val="center"/>
          </w:tcPr>
          <w:p w14:paraId="5FB20B07" w14:textId="77777777" w:rsidR="00B35152" w:rsidRPr="00C919A0" w:rsidRDefault="00B35152" w:rsidP="00FD6BA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الاستبانة ككل</w:t>
            </w:r>
          </w:p>
        </w:tc>
      </w:tr>
    </w:tbl>
    <w:p w14:paraId="4A41063F" w14:textId="77777777" w:rsidR="00B35152" w:rsidRPr="00CA7275"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 xml:space="preserve">جدول (3.4): نموذج عرض قيم معامل ألفا </w:t>
      </w:r>
      <w:proofErr w:type="spellStart"/>
      <w:r>
        <w:rPr>
          <w:rFonts w:ascii="Traditional Arabic" w:hAnsi="Traditional Arabic" w:cs="Traditional Arabic"/>
          <w:b/>
          <w:bCs/>
          <w:sz w:val="24"/>
          <w:szCs w:val="24"/>
          <w:rtl/>
        </w:rPr>
        <w:t>كرونباخ</w:t>
      </w:r>
      <w:proofErr w:type="spellEnd"/>
    </w:p>
    <w:p w14:paraId="3B9978A7" w14:textId="77777777" w:rsidR="00B35152" w:rsidRDefault="00B35152" w:rsidP="00E000FF">
      <w:pPr>
        <w:bidi/>
        <w:spacing w:after="0" w:line="360" w:lineRule="auto"/>
        <w:jc w:val="both"/>
        <w:rPr>
          <w:rFonts w:ascii="Simplified Arabic" w:hAnsi="Simplified Arabic" w:cs="Simplified Arabic"/>
          <w:sz w:val="28"/>
          <w:szCs w:val="28"/>
          <w:rtl/>
        </w:rPr>
      </w:pPr>
    </w:p>
    <w:p w14:paraId="09B66960" w14:textId="77777777" w:rsidR="00B35152" w:rsidRPr="009A42B9" w:rsidRDefault="00B35152" w:rsidP="00E000FF">
      <w:pPr>
        <w:pStyle w:val="HeadingTOCEntry"/>
        <w:bidi/>
        <w:spacing w:after="0" w:line="360" w:lineRule="auto"/>
        <w:rPr>
          <w:rFonts w:ascii="Simplified Arabic" w:hAnsi="Simplified Arabic" w:cs="Simplified Arabic"/>
          <w:b/>
          <w:bCs/>
          <w:sz w:val="28"/>
          <w:szCs w:val="28"/>
          <w:u w:val="single"/>
        </w:rPr>
      </w:pPr>
      <w:bookmarkStart w:id="69" w:name="_Toc234424163"/>
      <w:r>
        <w:rPr>
          <w:rFonts w:ascii="Traditional Arabic" w:hAnsi="Traditional Arabic" w:cs="Traditional Arabic"/>
          <w:b/>
          <w:bCs/>
          <w:sz w:val="32"/>
          <w:szCs w:val="32"/>
          <w:u w:val="single"/>
          <w:rtl/>
        </w:rPr>
        <w:t>3.7.1</w:t>
      </w:r>
      <w:r>
        <w:rPr>
          <w:rFonts w:ascii="Traditional Arabic" w:hAnsi="Traditional Arabic" w:cs="Traditional Arabic" w:hint="cs"/>
          <w:b/>
          <w:bCs/>
          <w:sz w:val="32"/>
          <w:szCs w:val="32"/>
          <w:u w:val="single"/>
          <w:rtl/>
        </w:rPr>
        <w:t xml:space="preserve"> نتائج</w:t>
      </w:r>
      <w:r>
        <w:rPr>
          <w:rFonts w:ascii="Traditional Arabic" w:hAnsi="Traditional Arabic" w:cs="Traditional Arabic"/>
          <w:b/>
          <w:bCs/>
          <w:sz w:val="32"/>
          <w:szCs w:val="32"/>
          <w:u w:val="single"/>
          <w:rtl/>
        </w:rPr>
        <w:t xml:space="preserve"> </w:t>
      </w:r>
      <w:r>
        <w:rPr>
          <w:rFonts w:ascii="Traditional Arabic" w:hAnsi="Traditional Arabic" w:cs="Traditional Arabic" w:hint="cs"/>
          <w:b/>
          <w:bCs/>
          <w:sz w:val="32"/>
          <w:szCs w:val="32"/>
          <w:u w:val="single"/>
          <w:rtl/>
        </w:rPr>
        <w:t>التطبيق</w:t>
      </w:r>
      <w:r>
        <w:rPr>
          <w:rFonts w:ascii="Traditional Arabic" w:hAnsi="Traditional Arabic" w:cs="Traditional Arabic"/>
          <w:b/>
          <w:bCs/>
          <w:sz w:val="32"/>
          <w:szCs w:val="32"/>
          <w:u w:val="single"/>
          <w:rtl/>
        </w:rPr>
        <w:t xml:space="preserve"> </w:t>
      </w:r>
      <w:r>
        <w:rPr>
          <w:rFonts w:ascii="Traditional Arabic" w:hAnsi="Traditional Arabic" w:cs="Traditional Arabic" w:hint="cs"/>
          <w:b/>
          <w:bCs/>
          <w:sz w:val="32"/>
          <w:szCs w:val="32"/>
          <w:u w:val="single"/>
          <w:rtl/>
        </w:rPr>
        <w:t>الاستطلاعي</w:t>
      </w:r>
      <w:r>
        <w:rPr>
          <w:rFonts w:ascii="Traditional Arabic" w:hAnsi="Traditional Arabic" w:cs="Traditional Arabic"/>
          <w:b/>
          <w:bCs/>
          <w:sz w:val="32"/>
          <w:szCs w:val="32"/>
          <w:u w:val="single"/>
          <w:rtl/>
        </w:rPr>
        <w:t xml:space="preserve"> (</w:t>
      </w:r>
      <w:proofErr w:type="spellStart"/>
      <w:r>
        <w:rPr>
          <w:rFonts w:ascii="Traditional Arabic" w:hAnsi="Traditional Arabic" w:cs="Traditional Arabic"/>
          <w:b/>
          <w:bCs/>
          <w:sz w:val="32"/>
          <w:szCs w:val="32"/>
          <w:u w:val="single"/>
          <w:rtl/>
        </w:rPr>
        <w:t>Prototype</w:t>
      </w:r>
      <w:proofErr w:type="spellEnd"/>
      <w:r>
        <w:rPr>
          <w:rFonts w:ascii="Traditional Arabic" w:hAnsi="Traditional Arabic" w:cs="Traditional Arabic"/>
          <w:b/>
          <w:bCs/>
          <w:sz w:val="32"/>
          <w:szCs w:val="32"/>
          <w:u w:val="single"/>
          <w:rtl/>
        </w:rPr>
        <w:t>)</w:t>
      </w:r>
      <w:bookmarkEnd w:id="69"/>
    </w:p>
    <w:p w14:paraId="35F53F06"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قبل الشروع في التطبيق الفعلي للاستبانة، سيُجرَى تطبيق استطلاعي (</w:t>
      </w:r>
      <w:proofErr w:type="spellStart"/>
      <w:r w:rsidRPr="00FD6BAF">
        <w:rPr>
          <w:rFonts w:ascii="Traditional Arabic" w:hAnsi="Traditional Arabic" w:cs="Traditional Arabic"/>
          <w:sz w:val="28"/>
          <w:szCs w:val="28"/>
          <w:rtl/>
        </w:rPr>
        <w:t>Prototype</w:t>
      </w:r>
      <w:proofErr w:type="spellEnd"/>
      <w:r w:rsidRPr="00FD6BAF">
        <w:rPr>
          <w:rFonts w:ascii="Traditional Arabic" w:hAnsi="Traditional Arabic" w:cs="Traditional Arabic"/>
          <w:sz w:val="28"/>
          <w:szCs w:val="28"/>
          <w:rtl/>
        </w:rPr>
        <w:t>) يهدف إلى التحقق من جاهزية الأداة وصلاحيتها للتطبيق على عينة الدراسة الأساسية.</w:t>
      </w:r>
    </w:p>
    <w:p w14:paraId="1C7F9708"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أولاً: حجم العينة الاستطلاعية وأسلوب اختيارها</w:t>
      </w:r>
    </w:p>
    <w:p w14:paraId="65D1DD2E"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ستتكون العينة الاستطلاعية من (30) مشاركاً على الأقل، يُختارون من مؤسسات مالية سعودية من خارج عينة الدراسة الأساسية، مع مراعاة التنوع في نوع المؤسسة وحجمها والمسمى الوظيفي للمشاركين.</w:t>
      </w:r>
    </w:p>
    <w:p w14:paraId="3F1F0E4B"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ثانياً: أهداف التطبيق الاستطلاعي</w:t>
      </w:r>
    </w:p>
    <w:p w14:paraId="25743242"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يهدف التطبيق الاستطلاعي إلى تحقيق الأغراض الآتية:</w:t>
      </w:r>
    </w:p>
    <w:p w14:paraId="75B8CDBD"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التحقق من وضوح العبارات وفهمها بالشكل المقصود دون لبس.</w:t>
      </w:r>
    </w:p>
    <w:p w14:paraId="4DB9BB9A"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تقدير الزمن المناسب للإجابة على الاستبانة كاملةً.</w:t>
      </w:r>
    </w:p>
    <w:p w14:paraId="695EEB2B"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 xml:space="preserve">تقييم تسلسل الفقرات </w:t>
      </w:r>
      <w:proofErr w:type="spellStart"/>
      <w:r w:rsidRPr="00FD6BAF">
        <w:rPr>
          <w:rFonts w:ascii="Traditional Arabic" w:hAnsi="Traditional Arabic" w:cs="Traditional Arabic"/>
          <w:sz w:val="28"/>
          <w:szCs w:val="28"/>
          <w:rtl/>
        </w:rPr>
        <w:t>ومنطقيتها</w:t>
      </w:r>
      <w:proofErr w:type="spellEnd"/>
      <w:r w:rsidRPr="00FD6BAF">
        <w:rPr>
          <w:rFonts w:ascii="Traditional Arabic" w:hAnsi="Traditional Arabic" w:cs="Traditional Arabic"/>
          <w:sz w:val="28"/>
          <w:szCs w:val="28"/>
          <w:rtl/>
        </w:rPr>
        <w:t xml:space="preserve"> من منظور المستجيب.</w:t>
      </w:r>
    </w:p>
    <w:p w14:paraId="7970C3DC"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lastRenderedPageBreak/>
        <w:t>رصد أي عبارات إشكالية تحتاج إعادة صياغة.</w:t>
      </w:r>
    </w:p>
    <w:p w14:paraId="7616B6B2" w14:textId="77777777" w:rsidR="00B35152" w:rsidRPr="00FD6BAF" w:rsidRDefault="00B35152" w:rsidP="00E000FF">
      <w:pPr>
        <w:pStyle w:val="ListParagraph"/>
        <w:numPr>
          <w:ilvl w:val="0"/>
          <w:numId w:val="34"/>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حساب مؤشرات الصدق والثبات الأولية قبل التطبيق النهائي.</w:t>
      </w:r>
    </w:p>
    <w:p w14:paraId="606BBA88"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ثالثاً: التعديلات المتوقعة</w:t>
      </w:r>
    </w:p>
    <w:p w14:paraId="1FDFD497"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بناءً على نتائج التطبيق الاستطلاعي، ستُوثَّق جميع التعديلات التي أُجريت على الاستبانة قبل التطبيق الفعلي، مع بيان طبيعة كل تعديل (إعادة صياغة / حذف / إضافة) وسببه، للتدليل على جاهزية الأداة ومراحل تطويرها.</w:t>
      </w:r>
    </w:p>
    <w:p w14:paraId="68EB6EE2" w14:textId="77777777" w:rsidR="00B35152" w:rsidRPr="009A42B9" w:rsidRDefault="00B35152" w:rsidP="00E000FF">
      <w:pPr>
        <w:bidi/>
        <w:spacing w:after="0" w:line="360" w:lineRule="auto"/>
        <w:jc w:val="both"/>
        <w:rPr>
          <w:rFonts w:ascii="Simplified Arabic" w:hAnsi="Simplified Arabic" w:cs="Simplified Arabic"/>
          <w:sz w:val="28"/>
          <w:szCs w:val="28"/>
        </w:rPr>
      </w:pPr>
    </w:p>
    <w:p w14:paraId="2B09BFA0"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70" w:name="_Toc234424164"/>
      <w:r>
        <w:rPr>
          <w:rFonts w:ascii="Traditional Arabic" w:hAnsi="Traditional Arabic" w:cs="Traditional Arabic"/>
          <w:b/>
          <w:bCs/>
          <w:sz w:val="32"/>
          <w:szCs w:val="32"/>
          <w:u w:val="single"/>
          <w:rtl/>
        </w:rPr>
        <w:t>3.8 الأساليب الإحصائية</w:t>
      </w:r>
      <w:bookmarkEnd w:id="70"/>
    </w:p>
    <w:p w14:paraId="300929B4" w14:textId="77777777" w:rsidR="00B35152" w:rsidRPr="00FD6BAF" w:rsidRDefault="00B35152" w:rsidP="00E000FF">
      <w:pPr>
        <w:bidi/>
        <w:spacing w:after="0" w:line="360" w:lineRule="auto"/>
        <w:jc w:val="both"/>
        <w:rPr>
          <w:rFonts w:ascii="Simplified Arabic" w:hAnsi="Simplified Arabic" w:cs="Simplified Arabic"/>
          <w:sz w:val="32"/>
          <w:szCs w:val="32"/>
          <w:rtl/>
        </w:rPr>
      </w:pPr>
      <w:r w:rsidRPr="00FD6BAF">
        <w:rPr>
          <w:rFonts w:ascii="Traditional Arabic" w:hAnsi="Traditional Arabic" w:cs="Traditional Arabic"/>
          <w:sz w:val="28"/>
          <w:szCs w:val="28"/>
          <w:rtl/>
        </w:rPr>
        <w:t xml:space="preserve">نظراً لاعتماد الدراسة على العينة القصدية (غير الاحتمالية)، فإن الأساليب الإحصائية </w:t>
      </w:r>
      <w:proofErr w:type="spellStart"/>
      <w:r w:rsidRPr="00FD6BAF">
        <w:rPr>
          <w:rFonts w:ascii="Traditional Arabic" w:hAnsi="Traditional Arabic" w:cs="Traditional Arabic"/>
          <w:sz w:val="28"/>
          <w:szCs w:val="28"/>
          <w:rtl/>
        </w:rPr>
        <w:t>اللابارامترية</w:t>
      </w:r>
      <w:proofErr w:type="spellEnd"/>
      <w:r w:rsidRPr="00FD6BAF">
        <w:rPr>
          <w:rFonts w:ascii="Traditional Arabic" w:hAnsi="Traditional Arabic" w:cs="Traditional Arabic"/>
          <w:sz w:val="28"/>
          <w:szCs w:val="28"/>
          <w:rtl/>
        </w:rPr>
        <w:t xml:space="preserve"> (</w:t>
      </w:r>
      <w:proofErr w:type="spellStart"/>
      <w:r w:rsidRPr="00FD6BAF">
        <w:rPr>
          <w:rFonts w:ascii="Traditional Arabic" w:hAnsi="Traditional Arabic" w:cs="Traditional Arabic"/>
          <w:sz w:val="28"/>
          <w:szCs w:val="28"/>
          <w:rtl/>
        </w:rPr>
        <w:t>Non-parametric</w:t>
      </w:r>
      <w:proofErr w:type="spellEnd"/>
      <w:r w:rsidRPr="00FD6BAF">
        <w:rPr>
          <w:rFonts w:ascii="Traditional Arabic" w:hAnsi="Traditional Arabic" w:cs="Traditional Arabic"/>
          <w:sz w:val="28"/>
          <w:szCs w:val="28"/>
          <w:rtl/>
        </w:rPr>
        <w:t>) هي الأنسب لتحليل البيانات. وستُستخدَم الأساليب الآتية:</w:t>
      </w:r>
    </w:p>
    <w:p w14:paraId="131DD28A" w14:textId="77777777" w:rsidR="00B35152" w:rsidRPr="00D329C2" w:rsidRDefault="00B35152" w:rsidP="00E000FF">
      <w:pPr>
        <w:bidi/>
        <w:spacing w:after="0" w:line="360" w:lineRule="auto"/>
        <w:jc w:val="both"/>
        <w:rPr>
          <w:rFonts w:ascii="Simplified Arabic" w:hAnsi="Simplified Arabic" w:cs="Simplified Arabic"/>
          <w:sz w:val="28"/>
          <w:szCs w:val="28"/>
        </w:rPr>
      </w:pPr>
    </w:p>
    <w:tbl>
      <w:tblPr>
        <w:tblStyle w:val="GridTable4-Accent1"/>
        <w:tblpPr w:leftFromText="180" w:rightFromText="180" w:vertAnchor="text" w:tblpXSpec="center" w:tblpY="1"/>
        <w:tblOverlap w:val="never"/>
        <w:bidiVisual/>
        <w:tblW w:w="4994" w:type="pct"/>
        <w:tblLook w:val="04A0" w:firstRow="1" w:lastRow="0" w:firstColumn="1" w:lastColumn="0" w:noHBand="0" w:noVBand="1"/>
      </w:tblPr>
      <w:tblGrid>
        <w:gridCol w:w="1630"/>
        <w:gridCol w:w="3154"/>
        <w:gridCol w:w="3502"/>
      </w:tblGrid>
      <w:tr w:rsidR="00B35152" w:rsidRPr="00FD6BAF" w14:paraId="4AA36939"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22A71C"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الفرضية المرتبطة</w:t>
            </w:r>
          </w:p>
        </w:tc>
        <w:tc>
          <w:tcPr>
            <w:tcW w:w="1903" w:type="pct"/>
          </w:tcPr>
          <w:p w14:paraId="1E71D91B"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الهدف من الاستخدام</w:t>
            </w:r>
          </w:p>
        </w:tc>
        <w:tc>
          <w:tcPr>
            <w:tcW w:w="2113" w:type="pct"/>
          </w:tcPr>
          <w:p w14:paraId="10A2A512" w14:textId="77777777" w:rsidR="00B35152" w:rsidRPr="00FD6BAF"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الأسلوب الإحصائي</w:t>
            </w:r>
          </w:p>
        </w:tc>
      </w:tr>
      <w:tr w:rsidR="00B35152" w:rsidRPr="00FD6BAF" w14:paraId="54DD63A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7A0886B2"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وصف العينة</w:t>
            </w:r>
          </w:p>
        </w:tc>
        <w:tc>
          <w:tcPr>
            <w:tcW w:w="1903" w:type="pct"/>
          </w:tcPr>
          <w:p w14:paraId="34245672"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وصف خصائص عينة الدراسة والمتغيرات</w:t>
            </w:r>
          </w:p>
        </w:tc>
        <w:tc>
          <w:tcPr>
            <w:tcW w:w="2113" w:type="pct"/>
          </w:tcPr>
          <w:p w14:paraId="71152FF3"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الإحصاء الوصفي (</w:t>
            </w:r>
            <w:proofErr w:type="spellStart"/>
            <w:r w:rsidRPr="00FD6BAF">
              <w:rPr>
                <w:rFonts w:ascii="Traditional Arabic" w:hAnsi="Traditional Arabic" w:cs="Traditional Arabic"/>
                <w:sz w:val="24"/>
                <w:szCs w:val="24"/>
                <w:rtl/>
              </w:rPr>
              <w:t>Mean</w:t>
            </w:r>
            <w:proofErr w:type="spellEnd"/>
            <w:r w:rsidRPr="00FD6BAF">
              <w:rPr>
                <w:rFonts w:ascii="Traditional Arabic" w:hAnsi="Traditional Arabic" w:cs="Traditional Arabic"/>
                <w:sz w:val="24"/>
                <w:szCs w:val="24"/>
                <w:rtl/>
              </w:rPr>
              <w:t>, SD)</w:t>
            </w:r>
          </w:p>
        </w:tc>
      </w:tr>
      <w:tr w:rsidR="00B35152" w:rsidRPr="00FD6BAF" w14:paraId="135A9F39"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4C43F61F"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H1, H2</w:t>
            </w:r>
          </w:p>
        </w:tc>
        <w:tc>
          <w:tcPr>
            <w:tcW w:w="1903" w:type="pct"/>
          </w:tcPr>
          <w:p w14:paraId="6645ECE9"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قياس قوة العلاقة بين المتغيرات الكمية</w:t>
            </w:r>
          </w:p>
        </w:tc>
        <w:tc>
          <w:tcPr>
            <w:tcW w:w="2113" w:type="pct"/>
          </w:tcPr>
          <w:p w14:paraId="239E84D5"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 xml:space="preserve">معامل ارتباط </w:t>
            </w:r>
            <w:proofErr w:type="spellStart"/>
            <w:r w:rsidRPr="00FD6BAF">
              <w:rPr>
                <w:rFonts w:ascii="Traditional Arabic" w:hAnsi="Traditional Arabic" w:cs="Traditional Arabic"/>
                <w:sz w:val="24"/>
                <w:szCs w:val="24"/>
                <w:rtl/>
              </w:rPr>
              <w:t>سبيرمان</w:t>
            </w:r>
            <w:proofErr w:type="spellEnd"/>
          </w:p>
        </w:tc>
      </w:tr>
      <w:tr w:rsidR="00B35152" w:rsidRPr="00FD6BAF" w14:paraId="74E7205F"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169AF7E5"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H3</w:t>
            </w:r>
          </w:p>
        </w:tc>
        <w:tc>
          <w:tcPr>
            <w:tcW w:w="1903" w:type="pct"/>
          </w:tcPr>
          <w:p w14:paraId="5224C9C8"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المقارنة بين نوعين من المؤسسات</w:t>
            </w:r>
          </w:p>
        </w:tc>
        <w:tc>
          <w:tcPr>
            <w:tcW w:w="2113" w:type="pct"/>
          </w:tcPr>
          <w:p w14:paraId="685DE355"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اختبار مان-ويتني (</w:t>
            </w:r>
            <w:proofErr w:type="spellStart"/>
            <w:r w:rsidRPr="00FD6BAF">
              <w:rPr>
                <w:rFonts w:ascii="Traditional Arabic" w:hAnsi="Traditional Arabic" w:cs="Traditional Arabic"/>
                <w:sz w:val="24"/>
                <w:szCs w:val="24"/>
                <w:rtl/>
              </w:rPr>
              <w:t>Mann-Whitney</w:t>
            </w:r>
            <w:proofErr w:type="spellEnd"/>
            <w:r w:rsidRPr="00FD6BAF">
              <w:rPr>
                <w:rFonts w:ascii="Traditional Arabic" w:hAnsi="Traditional Arabic" w:cs="Traditional Arabic"/>
                <w:sz w:val="24"/>
                <w:szCs w:val="24"/>
                <w:rtl/>
              </w:rPr>
              <w:t xml:space="preserve"> U)</w:t>
            </w:r>
          </w:p>
        </w:tc>
      </w:tr>
      <w:tr w:rsidR="00B35152" w:rsidRPr="00FD6BAF" w14:paraId="3B336EB0"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61D1DD50"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H3</w:t>
            </w:r>
          </w:p>
        </w:tc>
        <w:tc>
          <w:tcPr>
            <w:tcW w:w="1903" w:type="pct"/>
          </w:tcPr>
          <w:p w14:paraId="4B242931"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المقارنة بين أكثر من مجموعتين</w:t>
            </w:r>
          </w:p>
        </w:tc>
        <w:tc>
          <w:tcPr>
            <w:tcW w:w="2113" w:type="pct"/>
          </w:tcPr>
          <w:p w14:paraId="454D228E"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 xml:space="preserve">اختبار </w:t>
            </w:r>
            <w:proofErr w:type="spellStart"/>
            <w:r w:rsidRPr="00FD6BAF">
              <w:rPr>
                <w:rFonts w:ascii="Traditional Arabic" w:hAnsi="Traditional Arabic" w:cs="Traditional Arabic"/>
                <w:sz w:val="24"/>
                <w:szCs w:val="24"/>
                <w:rtl/>
              </w:rPr>
              <w:t>كروسكال</w:t>
            </w:r>
            <w:proofErr w:type="spellEnd"/>
            <w:r w:rsidRPr="00FD6BAF">
              <w:rPr>
                <w:rFonts w:ascii="Traditional Arabic" w:hAnsi="Traditional Arabic" w:cs="Traditional Arabic"/>
                <w:sz w:val="24"/>
                <w:szCs w:val="24"/>
                <w:rtl/>
              </w:rPr>
              <w:t>-واليس (</w:t>
            </w:r>
            <w:proofErr w:type="spellStart"/>
            <w:r w:rsidRPr="00FD6BAF">
              <w:rPr>
                <w:rFonts w:ascii="Traditional Arabic" w:hAnsi="Traditional Arabic" w:cs="Traditional Arabic"/>
                <w:sz w:val="24"/>
                <w:szCs w:val="24"/>
                <w:rtl/>
              </w:rPr>
              <w:t>Kruskal-Wallis</w:t>
            </w:r>
            <w:proofErr w:type="spellEnd"/>
            <w:r w:rsidRPr="00FD6BAF">
              <w:rPr>
                <w:rFonts w:ascii="Traditional Arabic" w:hAnsi="Traditional Arabic" w:cs="Traditional Arabic"/>
                <w:sz w:val="24"/>
                <w:szCs w:val="24"/>
                <w:rtl/>
              </w:rPr>
              <w:t>)</w:t>
            </w:r>
          </w:p>
        </w:tc>
      </w:tr>
      <w:tr w:rsidR="00B35152" w:rsidRPr="00FD6BAF" w14:paraId="2155E8F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3F2A2C41"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H4</w:t>
            </w:r>
          </w:p>
        </w:tc>
        <w:tc>
          <w:tcPr>
            <w:tcW w:w="1903" w:type="pct"/>
          </w:tcPr>
          <w:p w14:paraId="4FF09D0B"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قياس العلاقة بين الامتثال وتقنية الترميز</w:t>
            </w:r>
          </w:p>
        </w:tc>
        <w:tc>
          <w:tcPr>
            <w:tcW w:w="2113" w:type="pct"/>
          </w:tcPr>
          <w:p w14:paraId="5CC58A42"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 xml:space="preserve">انحدار </w:t>
            </w:r>
            <w:proofErr w:type="spellStart"/>
            <w:r w:rsidRPr="00FD6BAF">
              <w:rPr>
                <w:rFonts w:ascii="Traditional Arabic" w:hAnsi="Traditional Arabic" w:cs="Traditional Arabic"/>
                <w:sz w:val="24"/>
                <w:szCs w:val="24"/>
                <w:rtl/>
              </w:rPr>
              <w:t>روبست</w:t>
            </w:r>
            <w:proofErr w:type="spellEnd"/>
            <w:r w:rsidRPr="00FD6BAF">
              <w:rPr>
                <w:rFonts w:ascii="Traditional Arabic" w:hAnsi="Traditional Arabic" w:cs="Traditional Arabic"/>
                <w:sz w:val="24"/>
                <w:szCs w:val="24"/>
                <w:rtl/>
              </w:rPr>
              <w:t xml:space="preserve"> (</w:t>
            </w:r>
            <w:proofErr w:type="spellStart"/>
            <w:r w:rsidRPr="00FD6BAF">
              <w:rPr>
                <w:rFonts w:ascii="Traditional Arabic" w:hAnsi="Traditional Arabic" w:cs="Traditional Arabic"/>
                <w:sz w:val="24"/>
                <w:szCs w:val="24"/>
                <w:rtl/>
              </w:rPr>
              <w:t>Robust</w:t>
            </w:r>
            <w:proofErr w:type="spellEnd"/>
            <w:r w:rsidRPr="00FD6BAF">
              <w:rPr>
                <w:rFonts w:ascii="Traditional Arabic" w:hAnsi="Traditional Arabic" w:cs="Traditional Arabic"/>
                <w:sz w:val="24"/>
                <w:szCs w:val="24"/>
                <w:rtl/>
              </w:rPr>
              <w:t xml:space="preserve"> </w:t>
            </w:r>
            <w:proofErr w:type="spellStart"/>
            <w:r w:rsidRPr="00FD6BAF">
              <w:rPr>
                <w:rFonts w:ascii="Traditional Arabic" w:hAnsi="Traditional Arabic" w:cs="Traditional Arabic"/>
                <w:sz w:val="24"/>
                <w:szCs w:val="24"/>
                <w:rtl/>
              </w:rPr>
              <w:t>Regression</w:t>
            </w:r>
            <w:proofErr w:type="spellEnd"/>
            <w:r w:rsidRPr="00FD6BAF">
              <w:rPr>
                <w:rFonts w:ascii="Traditional Arabic" w:hAnsi="Traditional Arabic" w:cs="Traditional Arabic"/>
                <w:sz w:val="24"/>
                <w:szCs w:val="24"/>
                <w:rtl/>
              </w:rPr>
              <w:t>)</w:t>
            </w:r>
          </w:p>
        </w:tc>
      </w:tr>
      <w:tr w:rsidR="00B35152" w:rsidRPr="00FD6BAF" w14:paraId="07C6A238" w14:textId="77777777" w:rsidTr="00B943E6">
        <w:tc>
          <w:tcPr>
            <w:cnfStyle w:val="001000000000" w:firstRow="0" w:lastRow="0" w:firstColumn="1" w:lastColumn="0" w:oddVBand="0" w:evenVBand="0" w:oddHBand="0" w:evenHBand="0" w:firstRowFirstColumn="0" w:firstRowLastColumn="0" w:lastRowFirstColumn="0" w:lastRowLastColumn="0"/>
            <w:tcW w:w="984" w:type="pct"/>
          </w:tcPr>
          <w:p w14:paraId="77D6D6D1"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H5</w:t>
            </w:r>
          </w:p>
        </w:tc>
        <w:tc>
          <w:tcPr>
            <w:tcW w:w="1903" w:type="pct"/>
          </w:tcPr>
          <w:p w14:paraId="07FC0BA3"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تأثير التحديات على التبني التنظيمي</w:t>
            </w:r>
          </w:p>
        </w:tc>
        <w:tc>
          <w:tcPr>
            <w:tcW w:w="2113" w:type="pct"/>
          </w:tcPr>
          <w:p w14:paraId="6B571B7E" w14:textId="77777777" w:rsidR="00B35152" w:rsidRPr="00FD6BAF"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 xml:space="preserve">معامل ارتباط </w:t>
            </w:r>
            <w:proofErr w:type="spellStart"/>
            <w:r w:rsidRPr="00FD6BAF">
              <w:rPr>
                <w:rFonts w:ascii="Traditional Arabic" w:hAnsi="Traditional Arabic" w:cs="Traditional Arabic"/>
                <w:sz w:val="24"/>
                <w:szCs w:val="24"/>
                <w:rtl/>
              </w:rPr>
              <w:t>سبيرمان</w:t>
            </w:r>
            <w:proofErr w:type="spellEnd"/>
          </w:p>
        </w:tc>
      </w:tr>
      <w:tr w:rsidR="00B35152" w:rsidRPr="00FD6BAF" w14:paraId="63D2458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4" w:type="pct"/>
          </w:tcPr>
          <w:p w14:paraId="6A49F21E" w14:textId="77777777" w:rsidR="00B35152" w:rsidRPr="00FD6BAF" w:rsidRDefault="00B35152" w:rsidP="00E000FF">
            <w:pPr>
              <w:bidi/>
              <w:spacing w:after="0" w:line="260" w:lineRule="auto"/>
              <w:jc w:val="center"/>
              <w:rPr>
                <w:rFonts w:ascii="Simplified Arabic" w:hAnsi="Simplified Arabic" w:cs="Simplified Arabic"/>
                <w:sz w:val="24"/>
                <w:szCs w:val="24"/>
              </w:rPr>
            </w:pPr>
            <w:r w:rsidRPr="00FD6BAF">
              <w:rPr>
                <w:rFonts w:ascii="Traditional Arabic" w:hAnsi="Traditional Arabic" w:cs="Traditional Arabic"/>
                <w:sz w:val="24"/>
                <w:szCs w:val="24"/>
                <w:rtl/>
              </w:rPr>
              <w:t>الفرضية المرتبطة</w:t>
            </w:r>
          </w:p>
        </w:tc>
        <w:tc>
          <w:tcPr>
            <w:tcW w:w="1903" w:type="pct"/>
          </w:tcPr>
          <w:p w14:paraId="31DA5672"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الهدف من الاستخدام</w:t>
            </w:r>
          </w:p>
        </w:tc>
        <w:tc>
          <w:tcPr>
            <w:tcW w:w="2113" w:type="pct"/>
          </w:tcPr>
          <w:p w14:paraId="20331C52" w14:textId="77777777" w:rsidR="00B35152" w:rsidRPr="00FD6BAF"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D6BAF">
              <w:rPr>
                <w:rFonts w:ascii="Traditional Arabic" w:hAnsi="Traditional Arabic" w:cs="Traditional Arabic"/>
                <w:sz w:val="24"/>
                <w:szCs w:val="24"/>
                <w:rtl/>
              </w:rPr>
              <w:t>الأسلوب الإحصائي</w:t>
            </w:r>
          </w:p>
        </w:tc>
      </w:tr>
    </w:tbl>
    <w:p w14:paraId="14C1969F" w14:textId="77777777" w:rsidR="00B35152" w:rsidRPr="0087261A" w:rsidRDefault="00B35152" w:rsidP="00FD6BAF">
      <w:pPr>
        <w:pStyle w:val="TableCaption"/>
        <w:bidi/>
        <w:spacing w:after="0" w:line="300" w:lineRule="auto"/>
        <w:jc w:val="center"/>
        <w:rPr>
          <w:rFonts w:ascii="Simplified Arabic" w:hAnsi="Simplified Arabic" w:cs="Simplified Arabic"/>
          <w:sz w:val="28"/>
          <w:szCs w:val="28"/>
        </w:rPr>
      </w:pPr>
      <w:r>
        <w:rPr>
          <w:rFonts w:ascii="Traditional Arabic" w:hAnsi="Traditional Arabic" w:cs="Traditional Arabic"/>
          <w:b/>
          <w:bCs/>
          <w:sz w:val="24"/>
          <w:szCs w:val="24"/>
          <w:rtl/>
        </w:rPr>
        <w:t>جدول (3.5): الأساليب الإحصائية وارتباطها بفرضيات الدراسة</w:t>
      </w:r>
    </w:p>
    <w:p w14:paraId="61BC180B" w14:textId="77777777" w:rsidR="00B35152" w:rsidRPr="00DF2AA7" w:rsidRDefault="00B35152" w:rsidP="00E000FF">
      <w:pPr>
        <w:bidi/>
        <w:spacing w:after="0" w:line="360" w:lineRule="auto"/>
        <w:jc w:val="both"/>
        <w:rPr>
          <w:rFonts w:ascii="Simplified Arabic" w:hAnsi="Simplified Arabic" w:cs="Simplified Arabic"/>
          <w:sz w:val="28"/>
          <w:szCs w:val="28"/>
          <w:rtl/>
        </w:rPr>
      </w:pPr>
    </w:p>
    <w:p w14:paraId="07F34660"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ستُحلَّل جميع البيانات الكمية باستخدام برنامج الحزم الإحصائية للعلوم الاجتماعية (SPSS).</w:t>
      </w:r>
    </w:p>
    <w:p w14:paraId="1ADF8554" w14:textId="77777777" w:rsidR="00B35152" w:rsidRDefault="00B35152" w:rsidP="00E000FF">
      <w:pPr>
        <w:bidi/>
        <w:spacing w:after="0" w:line="360" w:lineRule="auto"/>
        <w:jc w:val="both"/>
        <w:rPr>
          <w:rFonts w:ascii="Simplified Arabic" w:hAnsi="Simplified Arabic" w:cs="Simplified Arabic"/>
          <w:sz w:val="28"/>
          <w:szCs w:val="28"/>
          <w:rtl/>
        </w:rPr>
      </w:pPr>
    </w:p>
    <w:p w14:paraId="0530638B" w14:textId="77777777" w:rsidR="00FD6BAF" w:rsidRDefault="00FD6BAF" w:rsidP="00FD6BAF">
      <w:pPr>
        <w:bidi/>
        <w:spacing w:after="0" w:line="360" w:lineRule="auto"/>
        <w:jc w:val="both"/>
        <w:rPr>
          <w:rFonts w:ascii="Simplified Arabic" w:hAnsi="Simplified Arabic" w:cs="Simplified Arabic"/>
          <w:sz w:val="28"/>
          <w:szCs w:val="28"/>
          <w:rtl/>
        </w:rPr>
      </w:pPr>
    </w:p>
    <w:p w14:paraId="1A5C3E2C" w14:textId="77777777" w:rsidR="00FD6BAF" w:rsidRPr="0087261A" w:rsidRDefault="00FD6BAF" w:rsidP="00FD6BAF">
      <w:pPr>
        <w:bidi/>
        <w:spacing w:after="0" w:line="360" w:lineRule="auto"/>
        <w:jc w:val="both"/>
        <w:rPr>
          <w:rFonts w:ascii="Simplified Arabic" w:hAnsi="Simplified Arabic" w:cs="Simplified Arabic"/>
          <w:sz w:val="28"/>
          <w:szCs w:val="28"/>
        </w:rPr>
      </w:pPr>
    </w:p>
    <w:p w14:paraId="0C0AA0B0" w14:textId="77777777" w:rsidR="00B35152" w:rsidRPr="00310DA8" w:rsidRDefault="00B35152" w:rsidP="00E000FF">
      <w:pPr>
        <w:pStyle w:val="HeadingTOCEntry"/>
        <w:bidi/>
        <w:spacing w:after="0" w:line="360" w:lineRule="auto"/>
        <w:rPr>
          <w:rFonts w:ascii="Simplified Arabic" w:hAnsi="Simplified Arabic" w:cs="Simplified Arabic"/>
          <w:b/>
          <w:bCs/>
          <w:sz w:val="28"/>
          <w:szCs w:val="28"/>
          <w:u w:val="single"/>
        </w:rPr>
      </w:pPr>
      <w:bookmarkStart w:id="71" w:name="_Toc234424165"/>
      <w:r>
        <w:rPr>
          <w:rFonts w:ascii="Traditional Arabic" w:hAnsi="Traditional Arabic" w:cs="Traditional Arabic"/>
          <w:b/>
          <w:bCs/>
          <w:sz w:val="32"/>
          <w:szCs w:val="32"/>
          <w:u w:val="single"/>
          <w:rtl/>
        </w:rPr>
        <w:lastRenderedPageBreak/>
        <w:t>3.9 الاعتبارات الأخلاقية</w:t>
      </w:r>
      <w:bookmarkEnd w:id="71"/>
    </w:p>
    <w:p w14:paraId="0EC34A1F" w14:textId="77777777" w:rsidR="00B35152" w:rsidRPr="00FD6BAF" w:rsidRDefault="00B35152" w:rsidP="00E000FF">
      <w:p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ستُراعَى في هذه الدراسة جميع الاعتبارات الأخلاقية المتعلقة بالبحث العلمي، وتشمل:</w:t>
      </w:r>
    </w:p>
    <w:p w14:paraId="74FF33FE" w14:textId="77777777" w:rsidR="00B35152" w:rsidRPr="00FD6BAF" w:rsidRDefault="00B35152" w:rsidP="00E000FF">
      <w:pPr>
        <w:pStyle w:val="ListParagraph"/>
        <w:numPr>
          <w:ilvl w:val="0"/>
          <w:numId w:val="59"/>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الحصول على الموافقة المُستنيرة (</w:t>
      </w:r>
      <w:proofErr w:type="spellStart"/>
      <w:r w:rsidRPr="00FD6BAF">
        <w:rPr>
          <w:rFonts w:ascii="Traditional Arabic" w:hAnsi="Traditional Arabic" w:cs="Traditional Arabic"/>
          <w:sz w:val="28"/>
          <w:szCs w:val="28"/>
          <w:rtl/>
        </w:rPr>
        <w:t>Informed</w:t>
      </w:r>
      <w:proofErr w:type="spellEnd"/>
      <w:r w:rsidRPr="00FD6BAF">
        <w:rPr>
          <w:rFonts w:ascii="Traditional Arabic" w:hAnsi="Traditional Arabic" w:cs="Traditional Arabic"/>
          <w:sz w:val="28"/>
          <w:szCs w:val="28"/>
          <w:rtl/>
        </w:rPr>
        <w:t xml:space="preserve"> </w:t>
      </w:r>
      <w:proofErr w:type="spellStart"/>
      <w:r w:rsidRPr="00FD6BAF">
        <w:rPr>
          <w:rFonts w:ascii="Traditional Arabic" w:hAnsi="Traditional Arabic" w:cs="Traditional Arabic"/>
          <w:sz w:val="28"/>
          <w:szCs w:val="28"/>
          <w:rtl/>
        </w:rPr>
        <w:t>Consent</w:t>
      </w:r>
      <w:proofErr w:type="spellEnd"/>
      <w:r w:rsidRPr="00FD6BAF">
        <w:rPr>
          <w:rFonts w:ascii="Traditional Arabic" w:hAnsi="Traditional Arabic" w:cs="Traditional Arabic"/>
          <w:sz w:val="28"/>
          <w:szCs w:val="28"/>
          <w:rtl/>
        </w:rPr>
        <w:t>) من جميع المشاركين قبل جمع البيانات.</w:t>
      </w:r>
    </w:p>
    <w:p w14:paraId="7D7A81F8" w14:textId="77777777" w:rsidR="00B35152" w:rsidRPr="00FD6BAF" w:rsidRDefault="00B35152" w:rsidP="00E000FF">
      <w:pPr>
        <w:pStyle w:val="ListParagraph"/>
        <w:numPr>
          <w:ilvl w:val="0"/>
          <w:numId w:val="59"/>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ضمان سرية هوية المشاركين وعدم الكشف عن المعلومات الخاصة بهم.</w:t>
      </w:r>
    </w:p>
    <w:p w14:paraId="5FD8FA1B" w14:textId="77777777" w:rsidR="00B35152" w:rsidRPr="00FD6BAF" w:rsidRDefault="00B35152" w:rsidP="00E000FF">
      <w:pPr>
        <w:pStyle w:val="ListParagraph"/>
        <w:numPr>
          <w:ilvl w:val="0"/>
          <w:numId w:val="59"/>
        </w:numPr>
        <w:bidi/>
        <w:spacing w:after="0" w:line="360" w:lineRule="auto"/>
        <w:jc w:val="both"/>
        <w:rPr>
          <w:rFonts w:ascii="Simplified Arabic" w:hAnsi="Simplified Arabic" w:cs="Simplified Arabic"/>
          <w:sz w:val="32"/>
          <w:szCs w:val="32"/>
        </w:rPr>
      </w:pPr>
      <w:r w:rsidRPr="00FD6BAF">
        <w:rPr>
          <w:rFonts w:ascii="Traditional Arabic" w:hAnsi="Traditional Arabic" w:cs="Traditional Arabic"/>
          <w:sz w:val="28"/>
          <w:szCs w:val="28"/>
          <w:rtl/>
        </w:rPr>
        <w:t>توضيح أن المشاركة طوعية وأن للمشارك الحق في الانسحاب في أي وقت.</w:t>
      </w:r>
    </w:p>
    <w:p w14:paraId="21FFD71F" w14:textId="77777777" w:rsidR="00B35152" w:rsidRPr="0087261A" w:rsidRDefault="00B35152" w:rsidP="00E000FF">
      <w:pPr>
        <w:pStyle w:val="ListParagraph"/>
        <w:numPr>
          <w:ilvl w:val="0"/>
          <w:numId w:val="59"/>
        </w:numPr>
        <w:bidi/>
        <w:spacing w:after="0" w:line="360" w:lineRule="auto"/>
        <w:jc w:val="both"/>
        <w:rPr>
          <w:rFonts w:ascii="Simplified Arabic" w:hAnsi="Simplified Arabic" w:cs="Simplified Arabic"/>
          <w:sz w:val="28"/>
          <w:szCs w:val="28"/>
        </w:rPr>
      </w:pPr>
      <w:r w:rsidRPr="00FD6BAF">
        <w:rPr>
          <w:rFonts w:ascii="Traditional Arabic" w:hAnsi="Traditional Arabic" w:cs="Traditional Arabic"/>
          <w:sz w:val="28"/>
          <w:szCs w:val="28"/>
          <w:rtl/>
        </w:rPr>
        <w:t>استخدام البيانات لأغراض البحث العلمي فقط.</w:t>
      </w:r>
    </w:p>
    <w:p w14:paraId="6EEC76A8"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br w:type="page"/>
      </w:r>
    </w:p>
    <w:p w14:paraId="1A7D9A91" w14:textId="77777777" w:rsidR="00FD201E" w:rsidRDefault="00FD201E" w:rsidP="00E000FF">
      <w:pPr>
        <w:bidi/>
        <w:spacing w:after="0" w:line="360" w:lineRule="auto"/>
        <w:jc w:val="both"/>
        <w:rPr>
          <w:rFonts w:ascii="Simplified Arabic" w:hAnsi="Simplified Arabic" w:cs="Simplified Arabic"/>
          <w:sz w:val="28"/>
          <w:szCs w:val="28"/>
          <w:rtl/>
        </w:rPr>
      </w:pPr>
    </w:p>
    <w:p w14:paraId="04577A62" w14:textId="77777777" w:rsidR="00FD201E" w:rsidRDefault="00FD201E" w:rsidP="00E000FF">
      <w:pPr>
        <w:bidi/>
        <w:spacing w:after="0" w:line="360" w:lineRule="auto"/>
        <w:jc w:val="both"/>
        <w:rPr>
          <w:rFonts w:ascii="Simplified Arabic" w:hAnsi="Simplified Arabic" w:cs="Simplified Arabic"/>
          <w:sz w:val="28"/>
          <w:szCs w:val="28"/>
          <w:rtl/>
        </w:rPr>
      </w:pPr>
    </w:p>
    <w:p w14:paraId="05F48EC8" w14:textId="77777777" w:rsidR="00FD201E" w:rsidRDefault="00FD201E" w:rsidP="00E000FF">
      <w:pPr>
        <w:bidi/>
        <w:spacing w:after="0" w:line="360" w:lineRule="auto"/>
        <w:jc w:val="both"/>
        <w:rPr>
          <w:rFonts w:ascii="Simplified Arabic" w:hAnsi="Simplified Arabic" w:cs="Simplified Arabic"/>
          <w:sz w:val="28"/>
          <w:szCs w:val="28"/>
          <w:rtl/>
        </w:rPr>
      </w:pPr>
    </w:p>
    <w:p w14:paraId="7AA087C5" w14:textId="77777777" w:rsidR="00FD201E" w:rsidRDefault="00FD201E" w:rsidP="00E000FF">
      <w:pPr>
        <w:bidi/>
        <w:spacing w:after="0" w:line="360" w:lineRule="auto"/>
        <w:jc w:val="both"/>
        <w:rPr>
          <w:rFonts w:ascii="Simplified Arabic" w:hAnsi="Simplified Arabic" w:cs="Simplified Arabic"/>
          <w:sz w:val="28"/>
          <w:szCs w:val="28"/>
          <w:rtl/>
        </w:rPr>
      </w:pPr>
    </w:p>
    <w:p w14:paraId="4EA80062" w14:textId="77777777" w:rsidR="00FD201E" w:rsidRDefault="00FD201E" w:rsidP="00E000FF">
      <w:pPr>
        <w:bidi/>
        <w:spacing w:after="0" w:line="360" w:lineRule="auto"/>
        <w:jc w:val="both"/>
        <w:rPr>
          <w:rFonts w:ascii="Simplified Arabic" w:hAnsi="Simplified Arabic" w:cs="Simplified Arabic"/>
          <w:sz w:val="28"/>
          <w:szCs w:val="28"/>
          <w:rtl/>
        </w:rPr>
      </w:pPr>
    </w:p>
    <w:p w14:paraId="56117210" w14:textId="77777777" w:rsidR="00FD201E" w:rsidRDefault="00FD201E" w:rsidP="00E000FF">
      <w:pPr>
        <w:bidi/>
        <w:spacing w:after="0" w:line="360" w:lineRule="auto"/>
        <w:jc w:val="both"/>
        <w:rPr>
          <w:rFonts w:ascii="Simplified Arabic" w:hAnsi="Simplified Arabic" w:cs="Simplified Arabic"/>
          <w:sz w:val="28"/>
          <w:szCs w:val="28"/>
          <w:rtl/>
        </w:rPr>
      </w:pPr>
    </w:p>
    <w:p w14:paraId="39B1D1A1" w14:textId="77777777" w:rsidR="00FD201E" w:rsidRDefault="00FD201E" w:rsidP="00E000FF">
      <w:pPr>
        <w:bidi/>
        <w:spacing w:after="0" w:line="360" w:lineRule="auto"/>
        <w:jc w:val="both"/>
        <w:rPr>
          <w:rFonts w:ascii="Simplified Arabic" w:hAnsi="Simplified Arabic" w:cs="Simplified Arabic"/>
          <w:sz w:val="28"/>
          <w:szCs w:val="28"/>
          <w:rtl/>
        </w:rPr>
      </w:pPr>
    </w:p>
    <w:p w14:paraId="75B6E865" w14:textId="77777777" w:rsidR="00FD201E" w:rsidRDefault="00FD201E" w:rsidP="00E000FF">
      <w:pPr>
        <w:bidi/>
        <w:spacing w:after="0" w:line="360" w:lineRule="auto"/>
        <w:jc w:val="both"/>
        <w:rPr>
          <w:rFonts w:ascii="Simplified Arabic" w:hAnsi="Simplified Arabic" w:cs="Simplified Arabic"/>
          <w:sz w:val="28"/>
          <w:szCs w:val="28"/>
          <w:rtl/>
        </w:rPr>
      </w:pPr>
    </w:p>
    <w:p w14:paraId="2D18BECE" w14:textId="77777777" w:rsidR="00FD201E" w:rsidRDefault="00FD201E" w:rsidP="00E000FF">
      <w:pPr>
        <w:bidi/>
        <w:spacing w:after="0" w:line="360" w:lineRule="auto"/>
        <w:jc w:val="both"/>
        <w:rPr>
          <w:rFonts w:ascii="Simplified Arabic" w:hAnsi="Simplified Arabic" w:cs="Simplified Arabic"/>
          <w:sz w:val="28"/>
          <w:szCs w:val="28"/>
          <w:rtl/>
        </w:rPr>
      </w:pPr>
    </w:p>
    <w:p w14:paraId="640EFB69" w14:textId="77777777" w:rsidR="00FD201E" w:rsidRPr="00D329C2" w:rsidRDefault="00FD201E" w:rsidP="00E000FF">
      <w:pPr>
        <w:bidi/>
        <w:spacing w:after="0" w:line="360" w:lineRule="auto"/>
        <w:jc w:val="both"/>
        <w:rPr>
          <w:rFonts w:ascii="Simplified Arabic" w:hAnsi="Simplified Arabic" w:cs="Simplified Arabic"/>
          <w:sz w:val="28"/>
          <w:szCs w:val="28"/>
        </w:rPr>
      </w:pPr>
    </w:p>
    <w:p w14:paraId="17A443B1" w14:textId="7C1DCC3B" w:rsidR="00481285" w:rsidRPr="00FD6BAF" w:rsidRDefault="00481285" w:rsidP="00E000FF">
      <w:pPr>
        <w:pStyle w:val="HeadingTOCEntry"/>
        <w:bidi/>
        <w:spacing w:after="0" w:line="360" w:lineRule="auto"/>
        <w:ind w:left="432" w:hanging="432"/>
        <w:jc w:val="center"/>
        <w:rPr>
          <w:rFonts w:ascii="Traditional Arabic" w:hAnsi="Traditional Arabic" w:cs="Traditional Arabic"/>
          <w:b/>
          <w:bCs/>
          <w:sz w:val="92"/>
          <w:szCs w:val="92"/>
          <w:rtl/>
        </w:rPr>
      </w:pPr>
      <w:bookmarkStart w:id="72" w:name="_Toc234424166"/>
      <w:r w:rsidRPr="00FD6BAF">
        <w:rPr>
          <w:rFonts w:ascii="Traditional Arabic" w:hAnsi="Traditional Arabic" w:cs="Traditional Arabic"/>
          <w:b/>
          <w:bCs/>
          <w:sz w:val="92"/>
          <w:szCs w:val="92"/>
          <w:rtl/>
        </w:rPr>
        <w:t xml:space="preserve">الفصل </w:t>
      </w:r>
      <w:r w:rsidRPr="00FD6BAF">
        <w:rPr>
          <w:rFonts w:ascii="Traditional Arabic" w:hAnsi="Traditional Arabic" w:cs="Traditional Arabic" w:hint="cs"/>
          <w:b/>
          <w:bCs/>
          <w:sz w:val="92"/>
          <w:szCs w:val="92"/>
          <w:rtl/>
        </w:rPr>
        <w:t>الرابع</w:t>
      </w:r>
      <w:bookmarkEnd w:id="72"/>
    </w:p>
    <w:p w14:paraId="5D7B27B1" w14:textId="77777777" w:rsidR="007C5A80" w:rsidRPr="007C5A80" w:rsidRDefault="007C5A80" w:rsidP="00E000FF">
      <w:pPr>
        <w:pStyle w:val="HeadingTOCEntry"/>
        <w:bidi/>
        <w:spacing w:after="0" w:line="360" w:lineRule="auto"/>
        <w:ind w:left="432" w:hanging="432"/>
        <w:jc w:val="center"/>
        <w:rPr>
          <w:rFonts w:ascii="Simplified Arabic" w:hAnsi="Simplified Arabic" w:cs="Simplified Arabic"/>
          <w:b/>
          <w:bCs/>
          <w:sz w:val="96"/>
          <w:szCs w:val="96"/>
        </w:rPr>
      </w:pPr>
      <w:bookmarkStart w:id="73" w:name="_Toc234424167"/>
      <w:r w:rsidRPr="00FD6BAF">
        <w:rPr>
          <w:rFonts w:ascii="Traditional Arabic" w:hAnsi="Traditional Arabic" w:cs="Traditional Arabic"/>
          <w:b/>
          <w:bCs/>
          <w:sz w:val="92"/>
          <w:szCs w:val="92"/>
          <w:rtl/>
        </w:rPr>
        <w:t>عرض وتحليل نتائج الدراسة</w:t>
      </w:r>
      <w:bookmarkEnd w:id="73"/>
    </w:p>
    <w:p w14:paraId="5364CF8D" w14:textId="74BF93E8" w:rsidR="00E07760" w:rsidRDefault="00E07760" w:rsidP="00E000FF">
      <w:pPr>
        <w:bidi/>
        <w:spacing w:after="0" w:line="360" w:lineRule="auto"/>
        <w:rPr>
          <w:rtl/>
        </w:rPr>
      </w:pPr>
      <w:r>
        <w:rPr>
          <w:rFonts w:ascii="Traditional Arabic" w:hAnsi="Traditional Arabic" w:cs="Traditional Arabic"/>
          <w:sz w:val="24"/>
          <w:szCs w:val="24"/>
          <w:rtl/>
        </w:rPr>
        <w:br w:type="page"/>
      </w:r>
    </w:p>
    <w:p w14:paraId="5BE7B6FB"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74" w:name="_Toc234424168"/>
      <w:r>
        <w:rPr>
          <w:rFonts w:ascii="Traditional Arabic" w:hAnsi="Traditional Arabic" w:cs="Traditional Arabic"/>
          <w:b/>
          <w:bCs/>
          <w:sz w:val="32"/>
          <w:szCs w:val="32"/>
          <w:u w:val="single"/>
          <w:rtl/>
        </w:rPr>
        <w:lastRenderedPageBreak/>
        <w:t>مقدمة</w:t>
      </w:r>
      <w:bookmarkEnd w:id="74"/>
    </w:p>
    <w:p w14:paraId="6363AD99"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 xml:space="preserve">يُعَدّ هذا الفصل من الفصول الجوهرية في هذه الأطروحة، إذ يمثّل الجانب التطبيقي للإطارين النظري والمنهجي اللذين تم عرضهما في الفصلين الثاني والثالث، ويعكس قدرة الباحث على تحليل البيانات الميدانية وتفسيرها تفسيراً علمياً دقيقاً ومنهجياً. ويهدف هذا الفصل إلى عرض نتائج الدراسة الميدانية وتحليلها باستخدام مجموعة من الأساليب الإحصائية الوصفية والاستدلالية غير </w:t>
      </w:r>
      <w:proofErr w:type="spellStart"/>
      <w:r w:rsidRPr="00FD6BAF">
        <w:rPr>
          <w:rFonts w:ascii="Traditional Arabic" w:eastAsia="Simplified Arabic" w:hAnsi="Traditional Arabic" w:cs="Traditional Arabic"/>
          <w:sz w:val="28"/>
          <w:szCs w:val="28"/>
          <w:rtl/>
        </w:rPr>
        <w:t>المعلمية</w:t>
      </w:r>
      <w:proofErr w:type="spellEnd"/>
      <w:r w:rsidRPr="00FD6BAF">
        <w:rPr>
          <w:rFonts w:ascii="Traditional Arabic" w:eastAsia="Simplified Arabic" w:hAnsi="Traditional Arabic" w:cs="Traditional Arabic"/>
          <w:sz w:val="28"/>
          <w:szCs w:val="28"/>
          <w:rtl/>
        </w:rPr>
        <w:t>، بما يتلاءم مع طبيعة البيانات ومستوى القياس وحجم العينة القصدية المعتمدة، وذلك بغرض اختبار فرضيات الدراسة الخمس والإجابة عن أسئلتها البحثية، تمهيداً لمناقشة هذه النتائج وتفسيرها في الفصل الخامس.</w:t>
      </w:r>
    </w:p>
    <w:p w14:paraId="0207AE70"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 xml:space="preserve">طُبِّقت الاستبانة الإلكترونية على عينة قصدية بلغ حجمها 196 استجابة صحيحة ومكتملة من العاملين في المؤسسات المالية السعودية موضع الدراسة، بعد استبعاد الاستجابات غير المكتملة أو التي لم تتضمن موافقة صريحة على المشاركة. ويرتبط هذا الفصل ارتباطاً مباشراً بالفصل الثالث، حيث يعتمد في تحليلاته على أداة الدراسة المكوّنة من خمسة أبعاد رئيسية (الترميز الأمني للبيانات، الامتثال للمعايير الدولية، الكفاءة التشغيلية المالية، الأمن السيبراني المؤسسي، التوافق مع رؤية 2030)، وعلى المنهج الإحصائي غير </w:t>
      </w:r>
      <w:proofErr w:type="spellStart"/>
      <w:r w:rsidRPr="00FD6BAF">
        <w:rPr>
          <w:rFonts w:ascii="Traditional Arabic" w:eastAsia="Simplified Arabic" w:hAnsi="Traditional Arabic" w:cs="Traditional Arabic"/>
          <w:sz w:val="28"/>
          <w:szCs w:val="28"/>
          <w:rtl/>
        </w:rPr>
        <w:t>المعلمي</w:t>
      </w:r>
      <w:proofErr w:type="spellEnd"/>
      <w:r w:rsidRPr="00FD6BAF">
        <w:rPr>
          <w:rFonts w:ascii="Traditional Arabic" w:eastAsia="Simplified Arabic" w:hAnsi="Traditional Arabic" w:cs="Traditional Arabic"/>
          <w:sz w:val="28"/>
          <w:szCs w:val="28"/>
          <w:rtl/>
        </w:rPr>
        <w:t xml:space="preserve"> الذي تحدد اعتماده بناءً على نتائج اختبار افتراضات التوزيع الطبيعي الواردة في هذا الفصل.</w:t>
      </w:r>
    </w:p>
    <w:p w14:paraId="7BBBA8B8"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وقد تم تنظيم هذا الفصل وفق تسلسل منطقي يبدأ بوصف الخصائص الديموغرافية لأفراد العينة، ثم الانتقال إلى التحليل الوصفي لمتغيرات الدراسة، يلي ذلك اختبار صدق وثبات أداة الدراسة، ثم التحقق من افتراضات التحليل الإحصائي، وصولاً إلى اختبار فرضيات الدراسة وبناء نماذج الانحدار المنقّح، وينتهي الفصل بتلخيص أبرز النتائج التي تم التوصل إليها.</w:t>
      </w:r>
    </w:p>
    <w:p w14:paraId="6944973A"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75" w:name="_Toc234424169"/>
      <w:r>
        <w:rPr>
          <w:rFonts w:ascii="Traditional Arabic" w:hAnsi="Traditional Arabic" w:cs="Traditional Arabic"/>
          <w:b/>
          <w:bCs/>
          <w:sz w:val="32"/>
          <w:szCs w:val="32"/>
          <w:u w:val="single"/>
          <w:rtl/>
        </w:rPr>
        <w:t>أولاً: الخصائص الديموغرافية لأفراد العينة</w:t>
      </w:r>
      <w:bookmarkEnd w:id="75"/>
    </w:p>
    <w:p w14:paraId="076A6AB5" w14:textId="77777777" w:rsidR="007608E1" w:rsidRPr="00FD6BAF" w:rsidRDefault="007608E1" w:rsidP="00E000FF">
      <w:pPr>
        <w:bidi/>
        <w:spacing w:after="0" w:line="360" w:lineRule="auto"/>
        <w:jc w:val="both"/>
        <w:rPr>
          <w:sz w:val="28"/>
          <w:szCs w:val="28"/>
        </w:rPr>
      </w:pPr>
      <w:r w:rsidRPr="00FD6BAF">
        <w:rPr>
          <w:rFonts w:ascii="Traditional Arabic" w:eastAsia="Simplified Arabic" w:hAnsi="Traditional Arabic" w:cs="Traditional Arabic"/>
          <w:sz w:val="28"/>
          <w:szCs w:val="28"/>
          <w:rtl/>
        </w:rPr>
        <w:t>يتناول هذا الجزء عرضاً وصفياً لخصائص مفردات عينة الدراسة البالغ عددها (196) مستجيباً، من حيث نوع المؤسسة وحجمها وعمرها في السوق، والمنصب الوظيفي للمستجيب وسنوات خبرته، فضلاً عن مدى اعتماد المؤسسة لتقنية الترميز حالياً، وذلك باستخدام التكرارات والنسب المئوية.</w:t>
      </w:r>
    </w:p>
    <w:p w14:paraId="188C650B" w14:textId="77777777" w:rsidR="007608E1" w:rsidRDefault="007608E1" w:rsidP="00E000FF">
      <w:pPr>
        <w:bidi/>
        <w:spacing w:after="0" w:line="360" w:lineRule="auto"/>
        <w:jc w:val="both"/>
      </w:pPr>
      <w:r w:rsidRPr="00FD6BAF">
        <w:rPr>
          <w:rFonts w:ascii="Traditional Arabic" w:eastAsia="Simplified Arabic" w:hAnsi="Traditional Arabic" w:cs="Traditional Arabic"/>
          <w:b/>
          <w:bCs/>
          <w:sz w:val="28"/>
          <w:szCs w:val="28"/>
          <w:rtl/>
        </w:rPr>
        <w:t>1. نوع المؤسسة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FD6BAF" w14:paraId="64A223B9" w14:textId="77777777" w:rsidTr="00036983">
        <w:trPr>
          <w:tblHeader/>
          <w:jc w:val="center"/>
        </w:trPr>
        <w:tc>
          <w:tcPr>
            <w:tcW w:w="3022" w:type="pct"/>
            <w:shd w:val="clear" w:color="auto" w:fill="2E5395"/>
            <w:tcMar>
              <w:top w:w="60" w:type="dxa"/>
              <w:left w:w="100" w:type="dxa"/>
              <w:bottom w:w="60" w:type="dxa"/>
              <w:right w:w="100" w:type="dxa"/>
            </w:tcMar>
            <w:vAlign w:val="center"/>
          </w:tcPr>
          <w:p w14:paraId="5D0D0ED1"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lastRenderedPageBreak/>
              <w:t>نوع المؤسسة</w:t>
            </w:r>
          </w:p>
        </w:tc>
        <w:tc>
          <w:tcPr>
            <w:tcW w:w="989" w:type="pct"/>
            <w:shd w:val="clear" w:color="auto" w:fill="2E5395"/>
            <w:tcMar>
              <w:top w:w="60" w:type="dxa"/>
              <w:left w:w="100" w:type="dxa"/>
              <w:bottom w:w="60" w:type="dxa"/>
              <w:right w:w="100" w:type="dxa"/>
            </w:tcMar>
            <w:vAlign w:val="center"/>
          </w:tcPr>
          <w:p w14:paraId="58FE4E20"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2F08188A"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النسبة المئوية</w:t>
            </w:r>
          </w:p>
        </w:tc>
      </w:tr>
      <w:tr w:rsidR="007608E1" w:rsidRPr="00FD6BAF" w14:paraId="214A8DE0" w14:textId="77777777" w:rsidTr="00036983">
        <w:trPr>
          <w:jc w:val="center"/>
        </w:trPr>
        <w:tc>
          <w:tcPr>
            <w:tcW w:w="3022" w:type="pct"/>
            <w:tcMar>
              <w:top w:w="60" w:type="dxa"/>
              <w:left w:w="100" w:type="dxa"/>
              <w:bottom w:w="60" w:type="dxa"/>
              <w:right w:w="100" w:type="dxa"/>
            </w:tcMar>
            <w:vAlign w:val="center"/>
          </w:tcPr>
          <w:p w14:paraId="3B4155E3"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بنك تجاري</w:t>
            </w:r>
          </w:p>
        </w:tc>
        <w:tc>
          <w:tcPr>
            <w:tcW w:w="989" w:type="pct"/>
            <w:tcMar>
              <w:top w:w="60" w:type="dxa"/>
              <w:left w:w="100" w:type="dxa"/>
              <w:bottom w:w="60" w:type="dxa"/>
              <w:right w:w="100" w:type="dxa"/>
            </w:tcMar>
            <w:vAlign w:val="center"/>
          </w:tcPr>
          <w:p w14:paraId="5488AB99"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87</w:t>
            </w:r>
          </w:p>
        </w:tc>
        <w:tc>
          <w:tcPr>
            <w:tcW w:w="989" w:type="pct"/>
            <w:tcMar>
              <w:top w:w="60" w:type="dxa"/>
              <w:left w:w="100" w:type="dxa"/>
              <w:bottom w:w="60" w:type="dxa"/>
              <w:right w:w="100" w:type="dxa"/>
            </w:tcMar>
            <w:vAlign w:val="center"/>
          </w:tcPr>
          <w:p w14:paraId="1A2BE706"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44.4%</w:t>
            </w:r>
          </w:p>
        </w:tc>
      </w:tr>
      <w:tr w:rsidR="007608E1" w:rsidRPr="00FD6BAF" w14:paraId="21D1AE3E" w14:textId="77777777" w:rsidTr="00036983">
        <w:trPr>
          <w:jc w:val="center"/>
        </w:trPr>
        <w:tc>
          <w:tcPr>
            <w:tcW w:w="3022" w:type="pct"/>
            <w:shd w:val="clear" w:color="auto" w:fill="F2F2F2"/>
            <w:tcMar>
              <w:top w:w="60" w:type="dxa"/>
              <w:left w:w="100" w:type="dxa"/>
              <w:bottom w:w="60" w:type="dxa"/>
              <w:right w:w="100" w:type="dxa"/>
            </w:tcMar>
            <w:vAlign w:val="center"/>
          </w:tcPr>
          <w:p w14:paraId="443182CC"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مؤسسة مالية أخرى</w:t>
            </w:r>
          </w:p>
        </w:tc>
        <w:tc>
          <w:tcPr>
            <w:tcW w:w="989" w:type="pct"/>
            <w:shd w:val="clear" w:color="auto" w:fill="F2F2F2"/>
            <w:tcMar>
              <w:top w:w="60" w:type="dxa"/>
              <w:left w:w="100" w:type="dxa"/>
              <w:bottom w:w="60" w:type="dxa"/>
              <w:right w:w="100" w:type="dxa"/>
            </w:tcMar>
            <w:vAlign w:val="center"/>
          </w:tcPr>
          <w:p w14:paraId="3A739D55"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36</w:t>
            </w:r>
          </w:p>
        </w:tc>
        <w:tc>
          <w:tcPr>
            <w:tcW w:w="989" w:type="pct"/>
            <w:shd w:val="clear" w:color="auto" w:fill="F2F2F2"/>
            <w:tcMar>
              <w:top w:w="60" w:type="dxa"/>
              <w:left w:w="100" w:type="dxa"/>
              <w:bottom w:w="60" w:type="dxa"/>
              <w:right w:w="100" w:type="dxa"/>
            </w:tcMar>
            <w:vAlign w:val="center"/>
          </w:tcPr>
          <w:p w14:paraId="00679BD3"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18.4%</w:t>
            </w:r>
          </w:p>
        </w:tc>
      </w:tr>
      <w:tr w:rsidR="007608E1" w:rsidRPr="00FD6BAF" w14:paraId="1DAFC639" w14:textId="77777777" w:rsidTr="00036983">
        <w:trPr>
          <w:jc w:val="center"/>
        </w:trPr>
        <w:tc>
          <w:tcPr>
            <w:tcW w:w="3022" w:type="pct"/>
            <w:tcMar>
              <w:top w:w="60" w:type="dxa"/>
              <w:left w:w="100" w:type="dxa"/>
              <w:bottom w:w="60" w:type="dxa"/>
              <w:right w:w="100" w:type="dxa"/>
            </w:tcMar>
            <w:vAlign w:val="center"/>
          </w:tcPr>
          <w:p w14:paraId="04164A09"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شركة دفع إلكتروني</w:t>
            </w:r>
          </w:p>
        </w:tc>
        <w:tc>
          <w:tcPr>
            <w:tcW w:w="989" w:type="pct"/>
            <w:tcMar>
              <w:top w:w="60" w:type="dxa"/>
              <w:left w:w="100" w:type="dxa"/>
              <w:bottom w:w="60" w:type="dxa"/>
              <w:right w:w="100" w:type="dxa"/>
            </w:tcMar>
            <w:vAlign w:val="center"/>
          </w:tcPr>
          <w:p w14:paraId="6622DE09"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29</w:t>
            </w:r>
          </w:p>
        </w:tc>
        <w:tc>
          <w:tcPr>
            <w:tcW w:w="989" w:type="pct"/>
            <w:tcMar>
              <w:top w:w="60" w:type="dxa"/>
              <w:left w:w="100" w:type="dxa"/>
              <w:bottom w:w="60" w:type="dxa"/>
              <w:right w:w="100" w:type="dxa"/>
            </w:tcMar>
            <w:vAlign w:val="center"/>
          </w:tcPr>
          <w:p w14:paraId="62ACE3E5"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14.8%</w:t>
            </w:r>
          </w:p>
        </w:tc>
      </w:tr>
      <w:tr w:rsidR="007608E1" w:rsidRPr="00FD6BAF" w14:paraId="0D5F2675" w14:textId="77777777" w:rsidTr="00036983">
        <w:trPr>
          <w:jc w:val="center"/>
        </w:trPr>
        <w:tc>
          <w:tcPr>
            <w:tcW w:w="3022" w:type="pct"/>
            <w:shd w:val="clear" w:color="auto" w:fill="F2F2F2"/>
            <w:tcMar>
              <w:top w:w="60" w:type="dxa"/>
              <w:left w:w="100" w:type="dxa"/>
              <w:bottom w:w="60" w:type="dxa"/>
              <w:right w:w="100" w:type="dxa"/>
            </w:tcMar>
            <w:vAlign w:val="center"/>
          </w:tcPr>
          <w:p w14:paraId="7B54401C"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شركة تأمين</w:t>
            </w:r>
          </w:p>
        </w:tc>
        <w:tc>
          <w:tcPr>
            <w:tcW w:w="989" w:type="pct"/>
            <w:shd w:val="clear" w:color="auto" w:fill="F2F2F2"/>
            <w:tcMar>
              <w:top w:w="60" w:type="dxa"/>
              <w:left w:w="100" w:type="dxa"/>
              <w:bottom w:w="60" w:type="dxa"/>
              <w:right w:w="100" w:type="dxa"/>
            </w:tcMar>
            <w:vAlign w:val="center"/>
          </w:tcPr>
          <w:p w14:paraId="6A2C7658"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26</w:t>
            </w:r>
          </w:p>
        </w:tc>
        <w:tc>
          <w:tcPr>
            <w:tcW w:w="989" w:type="pct"/>
            <w:shd w:val="clear" w:color="auto" w:fill="F2F2F2"/>
            <w:tcMar>
              <w:top w:w="60" w:type="dxa"/>
              <w:left w:w="100" w:type="dxa"/>
              <w:bottom w:w="60" w:type="dxa"/>
              <w:right w:w="100" w:type="dxa"/>
            </w:tcMar>
            <w:vAlign w:val="center"/>
          </w:tcPr>
          <w:p w14:paraId="46C4F7B1"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13.3%</w:t>
            </w:r>
          </w:p>
        </w:tc>
      </w:tr>
      <w:tr w:rsidR="007608E1" w:rsidRPr="00FD6BAF" w14:paraId="0E43FBCF" w14:textId="77777777" w:rsidTr="00036983">
        <w:trPr>
          <w:jc w:val="center"/>
        </w:trPr>
        <w:tc>
          <w:tcPr>
            <w:tcW w:w="3022" w:type="pct"/>
            <w:tcMar>
              <w:top w:w="60" w:type="dxa"/>
              <w:left w:w="100" w:type="dxa"/>
              <w:bottom w:w="60" w:type="dxa"/>
              <w:right w:w="100" w:type="dxa"/>
            </w:tcMar>
            <w:vAlign w:val="center"/>
          </w:tcPr>
          <w:p w14:paraId="1653123A"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شركة فنتك (</w:t>
            </w:r>
            <w:proofErr w:type="spellStart"/>
            <w:r w:rsidRPr="00FD6BAF">
              <w:rPr>
                <w:rFonts w:ascii="Traditional Arabic" w:eastAsia="Simplified Arabic" w:hAnsi="Traditional Arabic" w:cs="Traditional Arabic"/>
                <w:color w:val="000000"/>
                <w:sz w:val="24"/>
                <w:szCs w:val="24"/>
                <w:rtl/>
              </w:rPr>
              <w:t>FinTech</w:t>
            </w:r>
            <w:proofErr w:type="spellEnd"/>
            <w:r w:rsidRPr="00FD6BAF">
              <w:rPr>
                <w:rFonts w:ascii="Traditional Arabic" w:eastAsia="Simplified Arabic" w:hAnsi="Traditional Arabic" w:cs="Traditional Arabic"/>
                <w:color w:val="000000"/>
                <w:sz w:val="24"/>
                <w:szCs w:val="24"/>
                <w:rtl/>
              </w:rPr>
              <w:t>)</w:t>
            </w:r>
          </w:p>
        </w:tc>
        <w:tc>
          <w:tcPr>
            <w:tcW w:w="989" w:type="pct"/>
            <w:tcMar>
              <w:top w:w="60" w:type="dxa"/>
              <w:left w:w="100" w:type="dxa"/>
              <w:bottom w:w="60" w:type="dxa"/>
              <w:right w:w="100" w:type="dxa"/>
            </w:tcMar>
            <w:vAlign w:val="center"/>
          </w:tcPr>
          <w:p w14:paraId="0BEEE5A2"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18</w:t>
            </w:r>
          </w:p>
        </w:tc>
        <w:tc>
          <w:tcPr>
            <w:tcW w:w="989" w:type="pct"/>
            <w:tcMar>
              <w:top w:w="60" w:type="dxa"/>
              <w:left w:w="100" w:type="dxa"/>
              <w:bottom w:w="60" w:type="dxa"/>
              <w:right w:w="100" w:type="dxa"/>
            </w:tcMar>
            <w:vAlign w:val="center"/>
          </w:tcPr>
          <w:p w14:paraId="66EC31EB"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9.2%</w:t>
            </w:r>
          </w:p>
        </w:tc>
      </w:tr>
    </w:tbl>
    <w:p w14:paraId="611FFC34"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(4.1): توزيع أفراد العينة وفق نوع المؤسسة</w:t>
      </w:r>
    </w:p>
    <w:p w14:paraId="231B4616" w14:textId="77777777" w:rsidR="007608E1" w:rsidRPr="00FD6BAF" w:rsidRDefault="007608E1" w:rsidP="00E000FF">
      <w:pPr>
        <w:bidi/>
        <w:spacing w:after="0" w:line="360" w:lineRule="auto"/>
        <w:jc w:val="both"/>
        <w:rPr>
          <w:sz w:val="26"/>
          <w:szCs w:val="26"/>
        </w:rPr>
      </w:pPr>
      <w:r w:rsidRPr="00FD6BAF">
        <w:rPr>
          <w:rFonts w:ascii="Traditional Arabic" w:eastAsia="Simplified Arabic" w:hAnsi="Traditional Arabic" w:cs="Traditional Arabic"/>
          <w:sz w:val="28"/>
          <w:szCs w:val="28"/>
          <w:rtl/>
        </w:rPr>
        <w:t>يتبيّن من الجدول أعلاه أن البنوك التجارية استحوذت على النسبة الأكبر من أفراد العينة بنسبة 44.4%، تلتها المؤسسات المالية الأخرى بنسبة 18.4%، ثم شركات الدفع الإلكتروني بنسبة 14.8%، فشركات التأمين بنسبة 13.3%، وأخيراً شركات التقنية المالية (</w:t>
      </w:r>
      <w:proofErr w:type="spellStart"/>
      <w:r w:rsidRPr="00FD6BAF">
        <w:rPr>
          <w:rFonts w:ascii="Traditional Arabic" w:eastAsia="Simplified Arabic" w:hAnsi="Traditional Arabic" w:cs="Traditional Arabic"/>
          <w:sz w:val="28"/>
          <w:szCs w:val="28"/>
          <w:rtl/>
        </w:rPr>
        <w:t>Fintech</w:t>
      </w:r>
      <w:proofErr w:type="spellEnd"/>
      <w:r w:rsidRPr="00FD6BAF">
        <w:rPr>
          <w:rFonts w:ascii="Traditional Arabic" w:eastAsia="Simplified Arabic" w:hAnsi="Traditional Arabic" w:cs="Traditional Arabic"/>
          <w:sz w:val="28"/>
          <w:szCs w:val="28"/>
          <w:rtl/>
        </w:rPr>
        <w:t xml:space="preserve">) بنسبة 9.2%. ولأغراض اختبار الفرضية الخامسة المتعلقة بالفروق حسب نوع المؤسسة، أُعيد تصنيف هذه الفئات إلى ثلاث مجموعات متجانسة نسبياً من حيث طبيعة النشاط ومستوى </w:t>
      </w:r>
      <w:proofErr w:type="spellStart"/>
      <w:r w:rsidRPr="00FD6BAF">
        <w:rPr>
          <w:rFonts w:ascii="Traditional Arabic" w:eastAsia="Simplified Arabic" w:hAnsi="Traditional Arabic" w:cs="Traditional Arabic"/>
          <w:sz w:val="28"/>
          <w:szCs w:val="28"/>
          <w:rtl/>
        </w:rPr>
        <w:t>الرقمنة</w:t>
      </w:r>
      <w:proofErr w:type="spellEnd"/>
      <w:r w:rsidRPr="00FD6BAF">
        <w:rPr>
          <w:rFonts w:ascii="Traditional Arabic" w:eastAsia="Simplified Arabic" w:hAnsi="Traditional Arabic" w:cs="Traditional Arabic"/>
          <w:sz w:val="28"/>
          <w:szCs w:val="28"/>
          <w:rtl/>
        </w:rPr>
        <w:t>، على النحو التالي: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FD6BAF" w14:paraId="18121888" w14:textId="77777777" w:rsidTr="00036983">
        <w:trPr>
          <w:tblHeader/>
          <w:jc w:val="center"/>
        </w:trPr>
        <w:tc>
          <w:tcPr>
            <w:tcW w:w="3022" w:type="pct"/>
            <w:shd w:val="clear" w:color="auto" w:fill="2E5395"/>
            <w:tcMar>
              <w:top w:w="60" w:type="dxa"/>
              <w:left w:w="100" w:type="dxa"/>
              <w:bottom w:w="60" w:type="dxa"/>
              <w:right w:w="100" w:type="dxa"/>
            </w:tcMar>
            <w:vAlign w:val="center"/>
          </w:tcPr>
          <w:p w14:paraId="685C82BF"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المجموعة المدمجة</w:t>
            </w:r>
          </w:p>
        </w:tc>
        <w:tc>
          <w:tcPr>
            <w:tcW w:w="989" w:type="pct"/>
            <w:shd w:val="clear" w:color="auto" w:fill="2E5395"/>
            <w:tcMar>
              <w:top w:w="60" w:type="dxa"/>
              <w:left w:w="100" w:type="dxa"/>
              <w:bottom w:w="60" w:type="dxa"/>
              <w:right w:w="100" w:type="dxa"/>
            </w:tcMar>
            <w:vAlign w:val="center"/>
          </w:tcPr>
          <w:p w14:paraId="4010C18A"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5DDD910A"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b/>
                <w:bCs/>
                <w:color w:val="FFFFFF"/>
                <w:sz w:val="24"/>
                <w:szCs w:val="24"/>
                <w:rtl/>
              </w:rPr>
              <w:t>النسبة المئوية</w:t>
            </w:r>
          </w:p>
        </w:tc>
      </w:tr>
      <w:tr w:rsidR="007608E1" w:rsidRPr="00FD6BAF" w14:paraId="28B1066A" w14:textId="77777777" w:rsidTr="00036983">
        <w:trPr>
          <w:jc w:val="center"/>
        </w:trPr>
        <w:tc>
          <w:tcPr>
            <w:tcW w:w="3022" w:type="pct"/>
            <w:tcMar>
              <w:top w:w="60" w:type="dxa"/>
              <w:left w:w="100" w:type="dxa"/>
              <w:bottom w:w="60" w:type="dxa"/>
              <w:right w:w="100" w:type="dxa"/>
            </w:tcMar>
            <w:vAlign w:val="center"/>
          </w:tcPr>
          <w:p w14:paraId="0943E277"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بنوك</w:t>
            </w:r>
          </w:p>
        </w:tc>
        <w:tc>
          <w:tcPr>
            <w:tcW w:w="989" w:type="pct"/>
            <w:tcMar>
              <w:top w:w="60" w:type="dxa"/>
              <w:left w:w="100" w:type="dxa"/>
              <w:bottom w:w="60" w:type="dxa"/>
              <w:right w:w="100" w:type="dxa"/>
            </w:tcMar>
            <w:vAlign w:val="center"/>
          </w:tcPr>
          <w:p w14:paraId="0C53A688"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87</w:t>
            </w:r>
          </w:p>
        </w:tc>
        <w:tc>
          <w:tcPr>
            <w:tcW w:w="989" w:type="pct"/>
            <w:tcMar>
              <w:top w:w="60" w:type="dxa"/>
              <w:left w:w="100" w:type="dxa"/>
              <w:bottom w:w="60" w:type="dxa"/>
              <w:right w:w="100" w:type="dxa"/>
            </w:tcMar>
            <w:vAlign w:val="center"/>
          </w:tcPr>
          <w:p w14:paraId="002864D6"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44.4%</w:t>
            </w:r>
          </w:p>
        </w:tc>
      </w:tr>
      <w:tr w:rsidR="007608E1" w:rsidRPr="00FD6BAF" w14:paraId="522BAECE" w14:textId="77777777" w:rsidTr="00036983">
        <w:trPr>
          <w:jc w:val="center"/>
        </w:trPr>
        <w:tc>
          <w:tcPr>
            <w:tcW w:w="3022" w:type="pct"/>
            <w:shd w:val="clear" w:color="auto" w:fill="F2F2F2"/>
            <w:tcMar>
              <w:top w:w="60" w:type="dxa"/>
              <w:left w:w="100" w:type="dxa"/>
              <w:bottom w:w="60" w:type="dxa"/>
              <w:right w:w="100" w:type="dxa"/>
            </w:tcMar>
            <w:vAlign w:val="center"/>
          </w:tcPr>
          <w:p w14:paraId="2A4FCB7B"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مؤسسات أخرى</w:t>
            </w:r>
          </w:p>
        </w:tc>
        <w:tc>
          <w:tcPr>
            <w:tcW w:w="989" w:type="pct"/>
            <w:shd w:val="clear" w:color="auto" w:fill="F2F2F2"/>
            <w:tcMar>
              <w:top w:w="60" w:type="dxa"/>
              <w:left w:w="100" w:type="dxa"/>
              <w:bottom w:w="60" w:type="dxa"/>
              <w:right w:w="100" w:type="dxa"/>
            </w:tcMar>
            <w:vAlign w:val="center"/>
          </w:tcPr>
          <w:p w14:paraId="523DEDAC"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62</w:t>
            </w:r>
          </w:p>
        </w:tc>
        <w:tc>
          <w:tcPr>
            <w:tcW w:w="989" w:type="pct"/>
            <w:shd w:val="clear" w:color="auto" w:fill="F2F2F2"/>
            <w:tcMar>
              <w:top w:w="60" w:type="dxa"/>
              <w:left w:w="100" w:type="dxa"/>
              <w:bottom w:w="60" w:type="dxa"/>
              <w:right w:w="100" w:type="dxa"/>
            </w:tcMar>
            <w:vAlign w:val="center"/>
          </w:tcPr>
          <w:p w14:paraId="2CD3BDF8"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31.6%</w:t>
            </w:r>
          </w:p>
        </w:tc>
      </w:tr>
      <w:tr w:rsidR="007608E1" w:rsidRPr="00FD6BAF" w14:paraId="6BAB6EC8" w14:textId="77777777" w:rsidTr="00036983">
        <w:trPr>
          <w:jc w:val="center"/>
        </w:trPr>
        <w:tc>
          <w:tcPr>
            <w:tcW w:w="3022" w:type="pct"/>
            <w:tcMar>
              <w:top w:w="60" w:type="dxa"/>
              <w:left w:w="100" w:type="dxa"/>
              <w:bottom w:w="60" w:type="dxa"/>
              <w:right w:w="100" w:type="dxa"/>
            </w:tcMar>
            <w:vAlign w:val="center"/>
          </w:tcPr>
          <w:p w14:paraId="70DDFB43"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فنتك ودفع إلكتروني</w:t>
            </w:r>
          </w:p>
        </w:tc>
        <w:tc>
          <w:tcPr>
            <w:tcW w:w="989" w:type="pct"/>
            <w:tcMar>
              <w:top w:w="60" w:type="dxa"/>
              <w:left w:w="100" w:type="dxa"/>
              <w:bottom w:w="60" w:type="dxa"/>
              <w:right w:w="100" w:type="dxa"/>
            </w:tcMar>
            <w:vAlign w:val="center"/>
          </w:tcPr>
          <w:p w14:paraId="0EFD1ECC"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47</w:t>
            </w:r>
          </w:p>
        </w:tc>
        <w:tc>
          <w:tcPr>
            <w:tcW w:w="989" w:type="pct"/>
            <w:tcMar>
              <w:top w:w="60" w:type="dxa"/>
              <w:left w:w="100" w:type="dxa"/>
              <w:bottom w:w="60" w:type="dxa"/>
              <w:right w:w="100" w:type="dxa"/>
            </w:tcMar>
            <w:vAlign w:val="center"/>
          </w:tcPr>
          <w:p w14:paraId="1F93297D" w14:textId="77777777" w:rsidR="007608E1" w:rsidRPr="00FD6BAF" w:rsidRDefault="007608E1" w:rsidP="00E000FF">
            <w:pPr>
              <w:bidi/>
              <w:spacing w:after="0" w:line="260" w:lineRule="auto"/>
              <w:jc w:val="center"/>
              <w:rPr>
                <w:sz w:val="24"/>
                <w:szCs w:val="24"/>
              </w:rPr>
            </w:pPr>
            <w:r w:rsidRPr="00FD6BAF">
              <w:rPr>
                <w:rFonts w:ascii="Traditional Arabic" w:eastAsia="Simplified Arabic" w:hAnsi="Traditional Arabic" w:cs="Traditional Arabic"/>
                <w:color w:val="000000"/>
                <w:sz w:val="24"/>
                <w:szCs w:val="24"/>
                <w:rtl/>
              </w:rPr>
              <w:t>24%</w:t>
            </w:r>
          </w:p>
        </w:tc>
      </w:tr>
    </w:tbl>
    <w:p w14:paraId="2AC5EEB6"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(4.2): إعادة تصنيف نوع المؤسسة إلى ثلاث مجموعات لأغراض اختبار الفرض الفرعي (H3b)</w:t>
      </w:r>
    </w:p>
    <w:p w14:paraId="06637FEE" w14:textId="77777777" w:rsidR="007608E1" w:rsidRDefault="007608E1" w:rsidP="00E000FF">
      <w:pPr>
        <w:bidi/>
        <w:spacing w:after="0" w:line="360" w:lineRule="auto"/>
        <w:jc w:val="both"/>
      </w:pPr>
      <w:r>
        <w:rPr>
          <w:rFonts w:ascii="Traditional Arabic" w:eastAsia="Simplified Arabic" w:hAnsi="Traditional Arabic" w:cs="Traditional Arabic"/>
          <w:i/>
          <w:iCs/>
          <w:sz w:val="24"/>
          <w:szCs w:val="24"/>
          <w:rtl/>
        </w:rPr>
        <w:t>ملاحظة: ضمّت مجموعة "بنوك" فئة البنوك التجارية، وضمّت مجموعة "فنتك ودفع إلكتروني" شركات التقنية المالية وشركات الدفع الإلكتروني معاً لتشابه طبيعة نشاطها الرقمي، بينما ضمّت مجموعة "مؤسسات أخرى" شركات التأمين والمؤسسات المالية الأخرى.</w:t>
      </w:r>
    </w:p>
    <w:p w14:paraId="322F8FB3"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2. حجم المؤسسة (عدد الموظفين)</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65C2DE53" w14:textId="77777777" w:rsidTr="00036983">
        <w:trPr>
          <w:tblHeader/>
          <w:jc w:val="center"/>
        </w:trPr>
        <w:tc>
          <w:tcPr>
            <w:tcW w:w="3022" w:type="pct"/>
            <w:shd w:val="clear" w:color="auto" w:fill="2E5395"/>
            <w:tcMar>
              <w:top w:w="60" w:type="dxa"/>
              <w:left w:w="100" w:type="dxa"/>
              <w:bottom w:w="60" w:type="dxa"/>
              <w:right w:w="100" w:type="dxa"/>
            </w:tcMar>
            <w:vAlign w:val="center"/>
          </w:tcPr>
          <w:p w14:paraId="65A88F6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حجم المؤسسة</w:t>
            </w:r>
          </w:p>
        </w:tc>
        <w:tc>
          <w:tcPr>
            <w:tcW w:w="989" w:type="pct"/>
            <w:shd w:val="clear" w:color="auto" w:fill="2E5395"/>
            <w:tcMar>
              <w:top w:w="60" w:type="dxa"/>
              <w:left w:w="100" w:type="dxa"/>
              <w:bottom w:w="60" w:type="dxa"/>
              <w:right w:w="100" w:type="dxa"/>
            </w:tcMar>
            <w:vAlign w:val="center"/>
          </w:tcPr>
          <w:p w14:paraId="0E9175C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7D5FF83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35A7F147" w14:textId="77777777" w:rsidTr="00036983">
        <w:trPr>
          <w:jc w:val="center"/>
        </w:trPr>
        <w:tc>
          <w:tcPr>
            <w:tcW w:w="3022" w:type="pct"/>
            <w:tcMar>
              <w:top w:w="60" w:type="dxa"/>
              <w:left w:w="100" w:type="dxa"/>
              <w:bottom w:w="60" w:type="dxa"/>
              <w:right w:w="100" w:type="dxa"/>
            </w:tcMar>
            <w:vAlign w:val="center"/>
          </w:tcPr>
          <w:p w14:paraId="7FD80FC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أكثر من 250 موظفاً</w:t>
            </w:r>
          </w:p>
        </w:tc>
        <w:tc>
          <w:tcPr>
            <w:tcW w:w="989" w:type="pct"/>
            <w:tcMar>
              <w:top w:w="60" w:type="dxa"/>
              <w:left w:w="100" w:type="dxa"/>
              <w:bottom w:w="60" w:type="dxa"/>
              <w:right w:w="100" w:type="dxa"/>
            </w:tcMar>
            <w:vAlign w:val="center"/>
          </w:tcPr>
          <w:p w14:paraId="1EE17E1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130</w:t>
            </w:r>
          </w:p>
        </w:tc>
        <w:tc>
          <w:tcPr>
            <w:tcW w:w="989" w:type="pct"/>
            <w:tcMar>
              <w:top w:w="60" w:type="dxa"/>
              <w:left w:w="100" w:type="dxa"/>
              <w:bottom w:w="60" w:type="dxa"/>
              <w:right w:w="100" w:type="dxa"/>
            </w:tcMar>
            <w:vAlign w:val="center"/>
          </w:tcPr>
          <w:p w14:paraId="4BAFE318"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66.3%</w:t>
            </w:r>
          </w:p>
        </w:tc>
      </w:tr>
      <w:tr w:rsidR="007608E1" w:rsidRPr="00DB70A4" w14:paraId="09792C74" w14:textId="77777777" w:rsidTr="00036983">
        <w:trPr>
          <w:jc w:val="center"/>
        </w:trPr>
        <w:tc>
          <w:tcPr>
            <w:tcW w:w="3022" w:type="pct"/>
            <w:shd w:val="clear" w:color="auto" w:fill="F2F2F2"/>
            <w:tcMar>
              <w:top w:w="60" w:type="dxa"/>
              <w:left w:w="100" w:type="dxa"/>
              <w:bottom w:w="60" w:type="dxa"/>
              <w:right w:w="100" w:type="dxa"/>
            </w:tcMar>
            <w:vAlign w:val="center"/>
          </w:tcPr>
          <w:p w14:paraId="06DFF74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أقل من 50 موظفاً</w:t>
            </w:r>
          </w:p>
        </w:tc>
        <w:tc>
          <w:tcPr>
            <w:tcW w:w="989" w:type="pct"/>
            <w:shd w:val="clear" w:color="auto" w:fill="F2F2F2"/>
            <w:tcMar>
              <w:top w:w="60" w:type="dxa"/>
              <w:left w:w="100" w:type="dxa"/>
              <w:bottom w:w="60" w:type="dxa"/>
              <w:right w:w="100" w:type="dxa"/>
            </w:tcMar>
            <w:vAlign w:val="center"/>
          </w:tcPr>
          <w:p w14:paraId="591F1BE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37</w:t>
            </w:r>
          </w:p>
        </w:tc>
        <w:tc>
          <w:tcPr>
            <w:tcW w:w="989" w:type="pct"/>
            <w:shd w:val="clear" w:color="auto" w:fill="F2F2F2"/>
            <w:tcMar>
              <w:top w:w="60" w:type="dxa"/>
              <w:left w:w="100" w:type="dxa"/>
              <w:bottom w:w="60" w:type="dxa"/>
              <w:right w:w="100" w:type="dxa"/>
            </w:tcMar>
            <w:vAlign w:val="center"/>
          </w:tcPr>
          <w:p w14:paraId="197DC848"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18.9%</w:t>
            </w:r>
          </w:p>
        </w:tc>
      </w:tr>
      <w:tr w:rsidR="007608E1" w:rsidRPr="00DB70A4" w14:paraId="2ACCC489" w14:textId="77777777" w:rsidTr="00036983">
        <w:trPr>
          <w:jc w:val="center"/>
        </w:trPr>
        <w:tc>
          <w:tcPr>
            <w:tcW w:w="3022" w:type="pct"/>
            <w:tcMar>
              <w:top w:w="60" w:type="dxa"/>
              <w:left w:w="100" w:type="dxa"/>
              <w:bottom w:w="60" w:type="dxa"/>
              <w:right w:w="100" w:type="dxa"/>
            </w:tcMar>
            <w:vAlign w:val="center"/>
          </w:tcPr>
          <w:p w14:paraId="08AB1DC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50 إلى 250 موظفاً</w:t>
            </w:r>
          </w:p>
        </w:tc>
        <w:tc>
          <w:tcPr>
            <w:tcW w:w="989" w:type="pct"/>
            <w:tcMar>
              <w:top w:w="60" w:type="dxa"/>
              <w:left w:w="100" w:type="dxa"/>
              <w:bottom w:w="60" w:type="dxa"/>
              <w:right w:w="100" w:type="dxa"/>
            </w:tcMar>
            <w:vAlign w:val="center"/>
          </w:tcPr>
          <w:p w14:paraId="27A1571F"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29</w:t>
            </w:r>
          </w:p>
        </w:tc>
        <w:tc>
          <w:tcPr>
            <w:tcW w:w="989" w:type="pct"/>
            <w:tcMar>
              <w:top w:w="60" w:type="dxa"/>
              <w:left w:w="100" w:type="dxa"/>
              <w:bottom w:w="60" w:type="dxa"/>
              <w:right w:w="100" w:type="dxa"/>
            </w:tcMar>
            <w:vAlign w:val="center"/>
          </w:tcPr>
          <w:p w14:paraId="73980A37"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14.8%</w:t>
            </w:r>
          </w:p>
        </w:tc>
      </w:tr>
    </w:tbl>
    <w:p w14:paraId="0C9C8C9F"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(4.3): توزيع أفراد العينة وفق حجم المؤسسة</w:t>
      </w:r>
    </w:p>
    <w:p w14:paraId="6CCB62DC"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lastRenderedPageBreak/>
        <w:t>تشير النتائج إلى أن غالبية أفراد العينة (66.3%) ينتمون إلى مؤسسات كبيرة يزيد عدد موظفيها عن 250 موظفاً، في حين مثّلت المؤسسات الصغيرة (أقل من 50 موظفاً) نسبة 18.9%، والمؤسسات المتوسطة نسبة 14.8%، وهو ما يعكس تركّز عينة الدراسة في المؤسسات الكبيرة الأكثر قدرة على تبني التقنيات المالية المتقدمة كتقنية الترميز.</w:t>
      </w:r>
    </w:p>
    <w:p w14:paraId="519C8D7A"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3. عمر المؤسسة في السوق</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7C4AA238" w14:textId="77777777" w:rsidTr="00036983">
        <w:trPr>
          <w:tblHeader/>
          <w:jc w:val="center"/>
        </w:trPr>
        <w:tc>
          <w:tcPr>
            <w:tcW w:w="3022" w:type="pct"/>
            <w:shd w:val="clear" w:color="auto" w:fill="2E5395"/>
            <w:tcMar>
              <w:top w:w="60" w:type="dxa"/>
              <w:left w:w="100" w:type="dxa"/>
              <w:bottom w:w="60" w:type="dxa"/>
              <w:right w:w="100" w:type="dxa"/>
            </w:tcMar>
            <w:vAlign w:val="center"/>
          </w:tcPr>
          <w:p w14:paraId="7DEC6F6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عمر المؤسسة</w:t>
            </w:r>
          </w:p>
        </w:tc>
        <w:tc>
          <w:tcPr>
            <w:tcW w:w="989" w:type="pct"/>
            <w:shd w:val="clear" w:color="auto" w:fill="2E5395"/>
            <w:tcMar>
              <w:top w:w="60" w:type="dxa"/>
              <w:left w:w="100" w:type="dxa"/>
              <w:bottom w:w="60" w:type="dxa"/>
              <w:right w:w="100" w:type="dxa"/>
            </w:tcMar>
            <w:vAlign w:val="center"/>
          </w:tcPr>
          <w:p w14:paraId="727A22A5"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5290138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51AB5B28" w14:textId="77777777" w:rsidTr="00036983">
        <w:trPr>
          <w:jc w:val="center"/>
        </w:trPr>
        <w:tc>
          <w:tcPr>
            <w:tcW w:w="3022" w:type="pct"/>
            <w:tcMar>
              <w:top w:w="60" w:type="dxa"/>
              <w:left w:w="100" w:type="dxa"/>
              <w:bottom w:w="60" w:type="dxa"/>
              <w:right w:w="100" w:type="dxa"/>
            </w:tcMar>
            <w:vAlign w:val="center"/>
          </w:tcPr>
          <w:p w14:paraId="563E3FA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أكثر من 20 سنة</w:t>
            </w:r>
          </w:p>
        </w:tc>
        <w:tc>
          <w:tcPr>
            <w:tcW w:w="989" w:type="pct"/>
            <w:tcMar>
              <w:top w:w="60" w:type="dxa"/>
              <w:left w:w="100" w:type="dxa"/>
              <w:bottom w:w="60" w:type="dxa"/>
              <w:right w:w="100" w:type="dxa"/>
            </w:tcMar>
            <w:vAlign w:val="center"/>
          </w:tcPr>
          <w:p w14:paraId="2D1D70B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124</w:t>
            </w:r>
          </w:p>
        </w:tc>
        <w:tc>
          <w:tcPr>
            <w:tcW w:w="989" w:type="pct"/>
            <w:tcMar>
              <w:top w:w="60" w:type="dxa"/>
              <w:left w:w="100" w:type="dxa"/>
              <w:bottom w:w="60" w:type="dxa"/>
              <w:right w:w="100" w:type="dxa"/>
            </w:tcMar>
            <w:vAlign w:val="center"/>
          </w:tcPr>
          <w:p w14:paraId="5D7AF8E5"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63.3%</w:t>
            </w:r>
          </w:p>
        </w:tc>
      </w:tr>
      <w:tr w:rsidR="007608E1" w:rsidRPr="00DB70A4" w14:paraId="306D250C" w14:textId="77777777" w:rsidTr="00036983">
        <w:trPr>
          <w:jc w:val="center"/>
        </w:trPr>
        <w:tc>
          <w:tcPr>
            <w:tcW w:w="3022" w:type="pct"/>
            <w:shd w:val="clear" w:color="auto" w:fill="F2F2F2"/>
            <w:tcMar>
              <w:top w:w="60" w:type="dxa"/>
              <w:left w:w="100" w:type="dxa"/>
              <w:bottom w:w="60" w:type="dxa"/>
              <w:right w:w="100" w:type="dxa"/>
            </w:tcMar>
            <w:vAlign w:val="center"/>
          </w:tcPr>
          <w:p w14:paraId="35D4F1F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أقل من 5 سنوات</w:t>
            </w:r>
          </w:p>
        </w:tc>
        <w:tc>
          <w:tcPr>
            <w:tcW w:w="989" w:type="pct"/>
            <w:shd w:val="clear" w:color="auto" w:fill="F2F2F2"/>
            <w:tcMar>
              <w:top w:w="60" w:type="dxa"/>
              <w:left w:w="100" w:type="dxa"/>
              <w:bottom w:w="60" w:type="dxa"/>
              <w:right w:w="100" w:type="dxa"/>
            </w:tcMar>
            <w:vAlign w:val="center"/>
          </w:tcPr>
          <w:p w14:paraId="455246F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35</w:t>
            </w:r>
          </w:p>
        </w:tc>
        <w:tc>
          <w:tcPr>
            <w:tcW w:w="989" w:type="pct"/>
            <w:shd w:val="clear" w:color="auto" w:fill="F2F2F2"/>
            <w:tcMar>
              <w:top w:w="60" w:type="dxa"/>
              <w:left w:w="100" w:type="dxa"/>
              <w:bottom w:w="60" w:type="dxa"/>
              <w:right w:w="100" w:type="dxa"/>
            </w:tcMar>
            <w:vAlign w:val="center"/>
          </w:tcPr>
          <w:p w14:paraId="0078AC0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17.9%</w:t>
            </w:r>
          </w:p>
        </w:tc>
      </w:tr>
      <w:tr w:rsidR="007608E1" w:rsidRPr="00DB70A4" w14:paraId="5529A582" w14:textId="77777777" w:rsidTr="00036983">
        <w:trPr>
          <w:jc w:val="center"/>
        </w:trPr>
        <w:tc>
          <w:tcPr>
            <w:tcW w:w="3022" w:type="pct"/>
            <w:tcMar>
              <w:top w:w="60" w:type="dxa"/>
              <w:left w:w="100" w:type="dxa"/>
              <w:bottom w:w="60" w:type="dxa"/>
              <w:right w:w="100" w:type="dxa"/>
            </w:tcMar>
            <w:vAlign w:val="center"/>
          </w:tcPr>
          <w:p w14:paraId="66330B49"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5 إلى 10 سنوات</w:t>
            </w:r>
          </w:p>
        </w:tc>
        <w:tc>
          <w:tcPr>
            <w:tcW w:w="989" w:type="pct"/>
            <w:tcMar>
              <w:top w:w="60" w:type="dxa"/>
              <w:left w:w="100" w:type="dxa"/>
              <w:bottom w:w="60" w:type="dxa"/>
              <w:right w:w="100" w:type="dxa"/>
            </w:tcMar>
            <w:vAlign w:val="center"/>
          </w:tcPr>
          <w:p w14:paraId="4F44D14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22</w:t>
            </w:r>
          </w:p>
        </w:tc>
        <w:tc>
          <w:tcPr>
            <w:tcW w:w="989" w:type="pct"/>
            <w:tcMar>
              <w:top w:w="60" w:type="dxa"/>
              <w:left w:w="100" w:type="dxa"/>
              <w:bottom w:w="60" w:type="dxa"/>
              <w:right w:w="100" w:type="dxa"/>
            </w:tcMar>
            <w:vAlign w:val="center"/>
          </w:tcPr>
          <w:p w14:paraId="1E1CE27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11.2%</w:t>
            </w:r>
          </w:p>
        </w:tc>
      </w:tr>
      <w:tr w:rsidR="007608E1" w:rsidRPr="00DB70A4" w14:paraId="1731C422" w14:textId="77777777" w:rsidTr="00036983">
        <w:trPr>
          <w:jc w:val="center"/>
        </w:trPr>
        <w:tc>
          <w:tcPr>
            <w:tcW w:w="3022" w:type="pct"/>
            <w:shd w:val="clear" w:color="auto" w:fill="F2F2F2"/>
            <w:tcMar>
              <w:top w:w="60" w:type="dxa"/>
              <w:left w:w="100" w:type="dxa"/>
              <w:bottom w:w="60" w:type="dxa"/>
              <w:right w:w="100" w:type="dxa"/>
            </w:tcMar>
            <w:vAlign w:val="center"/>
          </w:tcPr>
          <w:p w14:paraId="39BF4CB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10 إلى 20 سنة</w:t>
            </w:r>
          </w:p>
        </w:tc>
        <w:tc>
          <w:tcPr>
            <w:tcW w:w="989" w:type="pct"/>
            <w:shd w:val="clear" w:color="auto" w:fill="F2F2F2"/>
            <w:tcMar>
              <w:top w:w="60" w:type="dxa"/>
              <w:left w:w="100" w:type="dxa"/>
              <w:bottom w:w="60" w:type="dxa"/>
              <w:right w:w="100" w:type="dxa"/>
            </w:tcMar>
            <w:vAlign w:val="center"/>
          </w:tcPr>
          <w:p w14:paraId="7AEFA05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15</w:t>
            </w:r>
          </w:p>
        </w:tc>
        <w:tc>
          <w:tcPr>
            <w:tcW w:w="989" w:type="pct"/>
            <w:shd w:val="clear" w:color="auto" w:fill="F2F2F2"/>
            <w:tcMar>
              <w:top w:w="60" w:type="dxa"/>
              <w:left w:w="100" w:type="dxa"/>
              <w:bottom w:w="60" w:type="dxa"/>
              <w:right w:w="100" w:type="dxa"/>
            </w:tcMar>
            <w:vAlign w:val="center"/>
          </w:tcPr>
          <w:p w14:paraId="55E6ED7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7.7%</w:t>
            </w:r>
          </w:p>
        </w:tc>
      </w:tr>
    </w:tbl>
    <w:p w14:paraId="6B3DF928"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(4.4): توزيع أفراد العينة وفق عمر المؤسسة في السوق</w:t>
      </w:r>
    </w:p>
    <w:p w14:paraId="438C6533"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يتضح أن نسبة 63.3% من أفراد العينة ينتمون إلى مؤسسات راسخة يزيد عمرها عن 20 عاماً في السوق، بينما مثّلت المؤسسات الناشئة (أقل من 5 سنوات) نسبة 17.9%، وهو ما يشير إلى أن معظم المؤسسات المشمولة بالدراسة تتمتع بخبرة تشغيلية طويلة قد تنعكس على نضج بنيتها التقنية والتنظيمية.</w:t>
      </w:r>
    </w:p>
    <w:p w14:paraId="7C131E21"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4. المنصب الوظيفي للمستجيب</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1A4B4D93" w14:textId="77777777" w:rsidTr="00036983">
        <w:trPr>
          <w:tblHeader/>
          <w:jc w:val="center"/>
        </w:trPr>
        <w:tc>
          <w:tcPr>
            <w:tcW w:w="3022" w:type="pct"/>
            <w:shd w:val="clear" w:color="auto" w:fill="2E5395"/>
            <w:tcMar>
              <w:top w:w="60" w:type="dxa"/>
              <w:left w:w="100" w:type="dxa"/>
              <w:bottom w:w="60" w:type="dxa"/>
              <w:right w:w="100" w:type="dxa"/>
            </w:tcMar>
            <w:vAlign w:val="center"/>
          </w:tcPr>
          <w:p w14:paraId="0477D89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المنصب الوظيفي</w:t>
            </w:r>
          </w:p>
        </w:tc>
        <w:tc>
          <w:tcPr>
            <w:tcW w:w="989" w:type="pct"/>
            <w:shd w:val="clear" w:color="auto" w:fill="2E5395"/>
            <w:tcMar>
              <w:top w:w="60" w:type="dxa"/>
              <w:left w:w="100" w:type="dxa"/>
              <w:bottom w:w="60" w:type="dxa"/>
              <w:right w:w="100" w:type="dxa"/>
            </w:tcMar>
            <w:vAlign w:val="center"/>
          </w:tcPr>
          <w:p w14:paraId="04BC00D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3B7889C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1C4A690B" w14:textId="77777777" w:rsidTr="00036983">
        <w:trPr>
          <w:jc w:val="center"/>
        </w:trPr>
        <w:tc>
          <w:tcPr>
            <w:tcW w:w="3022" w:type="pct"/>
            <w:tcMar>
              <w:top w:w="60" w:type="dxa"/>
              <w:left w:w="100" w:type="dxa"/>
              <w:bottom w:w="60" w:type="dxa"/>
              <w:right w:w="100" w:type="dxa"/>
            </w:tcMar>
            <w:vAlign w:val="center"/>
          </w:tcPr>
          <w:p w14:paraId="55EBBA8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مدير تقنية المعلومات / الأمن السيبراني</w:t>
            </w:r>
          </w:p>
        </w:tc>
        <w:tc>
          <w:tcPr>
            <w:tcW w:w="989" w:type="pct"/>
            <w:tcMar>
              <w:top w:w="60" w:type="dxa"/>
              <w:left w:w="100" w:type="dxa"/>
              <w:bottom w:w="60" w:type="dxa"/>
              <w:right w:w="100" w:type="dxa"/>
            </w:tcMar>
            <w:vAlign w:val="center"/>
          </w:tcPr>
          <w:p w14:paraId="4F6064E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70</w:t>
            </w:r>
          </w:p>
        </w:tc>
        <w:tc>
          <w:tcPr>
            <w:tcW w:w="989" w:type="pct"/>
            <w:tcMar>
              <w:top w:w="60" w:type="dxa"/>
              <w:left w:w="100" w:type="dxa"/>
              <w:bottom w:w="60" w:type="dxa"/>
              <w:right w:w="100" w:type="dxa"/>
            </w:tcMar>
            <w:vAlign w:val="center"/>
          </w:tcPr>
          <w:p w14:paraId="400BB5C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35.7%</w:t>
            </w:r>
          </w:p>
        </w:tc>
      </w:tr>
      <w:tr w:rsidR="007608E1" w:rsidRPr="00DB70A4" w14:paraId="34BE5BE4" w14:textId="77777777" w:rsidTr="00036983">
        <w:trPr>
          <w:jc w:val="center"/>
        </w:trPr>
        <w:tc>
          <w:tcPr>
            <w:tcW w:w="3022" w:type="pct"/>
            <w:shd w:val="clear" w:color="auto" w:fill="F2F2F2"/>
            <w:tcMar>
              <w:top w:w="60" w:type="dxa"/>
              <w:left w:w="100" w:type="dxa"/>
              <w:bottom w:w="60" w:type="dxa"/>
              <w:right w:w="100" w:type="dxa"/>
            </w:tcMar>
            <w:vAlign w:val="center"/>
          </w:tcPr>
          <w:p w14:paraId="6DAC903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مدير تنفيذي / قيادي</w:t>
            </w:r>
          </w:p>
        </w:tc>
        <w:tc>
          <w:tcPr>
            <w:tcW w:w="989" w:type="pct"/>
            <w:shd w:val="clear" w:color="auto" w:fill="F2F2F2"/>
            <w:tcMar>
              <w:top w:w="60" w:type="dxa"/>
              <w:left w:w="100" w:type="dxa"/>
              <w:bottom w:w="60" w:type="dxa"/>
              <w:right w:w="100" w:type="dxa"/>
            </w:tcMar>
            <w:vAlign w:val="center"/>
          </w:tcPr>
          <w:p w14:paraId="1025FAF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36</w:t>
            </w:r>
          </w:p>
        </w:tc>
        <w:tc>
          <w:tcPr>
            <w:tcW w:w="989" w:type="pct"/>
            <w:shd w:val="clear" w:color="auto" w:fill="F2F2F2"/>
            <w:tcMar>
              <w:top w:w="60" w:type="dxa"/>
              <w:left w:w="100" w:type="dxa"/>
              <w:bottom w:w="60" w:type="dxa"/>
              <w:right w:w="100" w:type="dxa"/>
            </w:tcMar>
            <w:vAlign w:val="center"/>
          </w:tcPr>
          <w:p w14:paraId="1C1A370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18.4%</w:t>
            </w:r>
          </w:p>
        </w:tc>
      </w:tr>
      <w:tr w:rsidR="007608E1" w:rsidRPr="00DB70A4" w14:paraId="77873E03" w14:textId="77777777" w:rsidTr="00036983">
        <w:trPr>
          <w:jc w:val="center"/>
        </w:trPr>
        <w:tc>
          <w:tcPr>
            <w:tcW w:w="3022" w:type="pct"/>
            <w:tcMar>
              <w:top w:w="60" w:type="dxa"/>
              <w:left w:w="100" w:type="dxa"/>
              <w:bottom w:w="60" w:type="dxa"/>
              <w:right w:w="100" w:type="dxa"/>
            </w:tcMar>
            <w:vAlign w:val="center"/>
          </w:tcPr>
          <w:p w14:paraId="05D80AD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مدير العمليات المالية</w:t>
            </w:r>
          </w:p>
        </w:tc>
        <w:tc>
          <w:tcPr>
            <w:tcW w:w="989" w:type="pct"/>
            <w:tcMar>
              <w:top w:w="60" w:type="dxa"/>
              <w:left w:w="100" w:type="dxa"/>
              <w:bottom w:w="60" w:type="dxa"/>
              <w:right w:w="100" w:type="dxa"/>
            </w:tcMar>
            <w:vAlign w:val="center"/>
          </w:tcPr>
          <w:p w14:paraId="4C24280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32</w:t>
            </w:r>
          </w:p>
        </w:tc>
        <w:tc>
          <w:tcPr>
            <w:tcW w:w="989" w:type="pct"/>
            <w:tcMar>
              <w:top w:w="60" w:type="dxa"/>
              <w:left w:w="100" w:type="dxa"/>
              <w:bottom w:w="60" w:type="dxa"/>
              <w:right w:w="100" w:type="dxa"/>
            </w:tcMar>
            <w:vAlign w:val="center"/>
          </w:tcPr>
          <w:p w14:paraId="22216E0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16.3%</w:t>
            </w:r>
          </w:p>
        </w:tc>
      </w:tr>
      <w:tr w:rsidR="007608E1" w:rsidRPr="00DB70A4" w14:paraId="10484467" w14:textId="77777777" w:rsidTr="00036983">
        <w:trPr>
          <w:jc w:val="center"/>
        </w:trPr>
        <w:tc>
          <w:tcPr>
            <w:tcW w:w="3022" w:type="pct"/>
            <w:shd w:val="clear" w:color="auto" w:fill="F2F2F2"/>
            <w:tcMar>
              <w:top w:w="60" w:type="dxa"/>
              <w:left w:w="100" w:type="dxa"/>
              <w:bottom w:w="60" w:type="dxa"/>
              <w:right w:w="100" w:type="dxa"/>
            </w:tcMar>
            <w:vAlign w:val="center"/>
          </w:tcPr>
          <w:p w14:paraId="1A62E4C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مسؤول الامتثال والمخاطر</w:t>
            </w:r>
          </w:p>
        </w:tc>
        <w:tc>
          <w:tcPr>
            <w:tcW w:w="989" w:type="pct"/>
            <w:shd w:val="clear" w:color="auto" w:fill="F2F2F2"/>
            <w:tcMar>
              <w:top w:w="60" w:type="dxa"/>
              <w:left w:w="100" w:type="dxa"/>
              <w:bottom w:w="60" w:type="dxa"/>
              <w:right w:w="100" w:type="dxa"/>
            </w:tcMar>
            <w:vAlign w:val="center"/>
          </w:tcPr>
          <w:p w14:paraId="5EEEE76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30</w:t>
            </w:r>
          </w:p>
        </w:tc>
        <w:tc>
          <w:tcPr>
            <w:tcW w:w="989" w:type="pct"/>
            <w:shd w:val="clear" w:color="auto" w:fill="F2F2F2"/>
            <w:tcMar>
              <w:top w:w="60" w:type="dxa"/>
              <w:left w:w="100" w:type="dxa"/>
              <w:bottom w:w="60" w:type="dxa"/>
              <w:right w:w="100" w:type="dxa"/>
            </w:tcMar>
            <w:vAlign w:val="center"/>
          </w:tcPr>
          <w:p w14:paraId="0E313198"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15.3%</w:t>
            </w:r>
          </w:p>
        </w:tc>
      </w:tr>
      <w:tr w:rsidR="007608E1" w:rsidRPr="00DB70A4" w14:paraId="5BCA70C8" w14:textId="77777777" w:rsidTr="00036983">
        <w:trPr>
          <w:jc w:val="center"/>
        </w:trPr>
        <w:tc>
          <w:tcPr>
            <w:tcW w:w="3022" w:type="pct"/>
            <w:tcMar>
              <w:top w:w="60" w:type="dxa"/>
              <w:left w:w="100" w:type="dxa"/>
              <w:bottom w:w="60" w:type="dxa"/>
              <w:right w:w="100" w:type="dxa"/>
            </w:tcMar>
            <w:vAlign w:val="center"/>
          </w:tcPr>
          <w:p w14:paraId="3F74CF07"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محلل مالي أو تقني</w:t>
            </w:r>
          </w:p>
        </w:tc>
        <w:tc>
          <w:tcPr>
            <w:tcW w:w="989" w:type="pct"/>
            <w:tcMar>
              <w:top w:w="60" w:type="dxa"/>
              <w:left w:w="100" w:type="dxa"/>
              <w:bottom w:w="60" w:type="dxa"/>
              <w:right w:w="100" w:type="dxa"/>
            </w:tcMar>
            <w:vAlign w:val="center"/>
          </w:tcPr>
          <w:p w14:paraId="7F370E7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28</w:t>
            </w:r>
          </w:p>
        </w:tc>
        <w:tc>
          <w:tcPr>
            <w:tcW w:w="989" w:type="pct"/>
            <w:tcMar>
              <w:top w:w="60" w:type="dxa"/>
              <w:left w:w="100" w:type="dxa"/>
              <w:bottom w:w="60" w:type="dxa"/>
              <w:right w:w="100" w:type="dxa"/>
            </w:tcMar>
            <w:vAlign w:val="center"/>
          </w:tcPr>
          <w:p w14:paraId="7E31E927"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14.3%</w:t>
            </w:r>
          </w:p>
        </w:tc>
      </w:tr>
    </w:tbl>
    <w:p w14:paraId="00558CFD"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(4.5): توزيع أفراد العينة وفق المنصب الوظيفي</w:t>
      </w:r>
    </w:p>
    <w:p w14:paraId="6D0E81B3"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 xml:space="preserve">شكّل مديرو تقنية المعلومات والأمن السيبراني أعلى نسبة من المستجيبين (35.7%)، وهو ما يتسق مع طبيعة موضوع الدراسة المرتبط بالترميز والأمن السيبراني، تلاهم المديرون التنفيذيون بنسبة 18.4%، فمديرو العمليات المالية بنسبة 16.3%، ومسؤولو الامتثال والمخاطر بنسبة 15.3%، وأخيراً المحللون الماليون والتقنيون بنسبة 14.3%. ويعكس </w:t>
      </w:r>
      <w:r w:rsidRPr="00DB70A4">
        <w:rPr>
          <w:rFonts w:ascii="Traditional Arabic" w:eastAsia="Simplified Arabic" w:hAnsi="Traditional Arabic" w:cs="Traditional Arabic"/>
          <w:sz w:val="28"/>
          <w:szCs w:val="28"/>
          <w:rtl/>
        </w:rPr>
        <w:lastRenderedPageBreak/>
        <w:t>هذا التوزيع تنوعاً وظيفياً يعزز من مصداقية الإجابات، إذ شمل المستجيبون فئات مسؤولة مباشرة عن قرارات تبني التقنية وتقييم أثرها.</w:t>
      </w:r>
    </w:p>
    <w:p w14:paraId="6092AE48"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5. سنوات الخبرة في القطاع المالي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7A108367" w14:textId="77777777" w:rsidTr="00036983">
        <w:trPr>
          <w:tblHeader/>
          <w:jc w:val="center"/>
        </w:trPr>
        <w:tc>
          <w:tcPr>
            <w:tcW w:w="3022" w:type="pct"/>
            <w:shd w:val="clear" w:color="auto" w:fill="2E5395"/>
            <w:tcMar>
              <w:top w:w="60" w:type="dxa"/>
              <w:left w:w="100" w:type="dxa"/>
              <w:bottom w:w="60" w:type="dxa"/>
              <w:right w:w="100" w:type="dxa"/>
            </w:tcMar>
            <w:vAlign w:val="center"/>
          </w:tcPr>
          <w:p w14:paraId="7634EAE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سنوات الخبرة</w:t>
            </w:r>
          </w:p>
        </w:tc>
        <w:tc>
          <w:tcPr>
            <w:tcW w:w="989" w:type="pct"/>
            <w:shd w:val="clear" w:color="auto" w:fill="2E5395"/>
            <w:tcMar>
              <w:top w:w="60" w:type="dxa"/>
              <w:left w:w="100" w:type="dxa"/>
              <w:bottom w:w="60" w:type="dxa"/>
              <w:right w:w="100" w:type="dxa"/>
            </w:tcMar>
            <w:vAlign w:val="center"/>
          </w:tcPr>
          <w:p w14:paraId="6725801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24AF746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6428D2D5" w14:textId="77777777" w:rsidTr="00036983">
        <w:trPr>
          <w:jc w:val="center"/>
        </w:trPr>
        <w:tc>
          <w:tcPr>
            <w:tcW w:w="3022" w:type="pct"/>
            <w:tcMar>
              <w:top w:w="60" w:type="dxa"/>
              <w:left w:w="100" w:type="dxa"/>
              <w:bottom w:w="60" w:type="dxa"/>
              <w:right w:w="100" w:type="dxa"/>
            </w:tcMar>
            <w:vAlign w:val="center"/>
          </w:tcPr>
          <w:p w14:paraId="668E0246"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أكثر من 10 سنوات</w:t>
            </w:r>
          </w:p>
        </w:tc>
        <w:tc>
          <w:tcPr>
            <w:tcW w:w="989" w:type="pct"/>
            <w:tcMar>
              <w:top w:w="60" w:type="dxa"/>
              <w:left w:w="100" w:type="dxa"/>
              <w:bottom w:w="60" w:type="dxa"/>
              <w:right w:w="100" w:type="dxa"/>
            </w:tcMar>
            <w:vAlign w:val="center"/>
          </w:tcPr>
          <w:p w14:paraId="70FA1B0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76</w:t>
            </w:r>
          </w:p>
        </w:tc>
        <w:tc>
          <w:tcPr>
            <w:tcW w:w="989" w:type="pct"/>
            <w:tcMar>
              <w:top w:w="60" w:type="dxa"/>
              <w:left w:w="100" w:type="dxa"/>
              <w:bottom w:w="60" w:type="dxa"/>
              <w:right w:w="100" w:type="dxa"/>
            </w:tcMar>
            <w:vAlign w:val="center"/>
          </w:tcPr>
          <w:p w14:paraId="45EB04E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38.8%</w:t>
            </w:r>
          </w:p>
        </w:tc>
      </w:tr>
      <w:tr w:rsidR="007608E1" w:rsidRPr="00DB70A4" w14:paraId="57A95C10" w14:textId="77777777" w:rsidTr="00036983">
        <w:trPr>
          <w:jc w:val="center"/>
        </w:trPr>
        <w:tc>
          <w:tcPr>
            <w:tcW w:w="3022" w:type="pct"/>
            <w:shd w:val="clear" w:color="auto" w:fill="F2F2F2"/>
            <w:tcMar>
              <w:top w:w="60" w:type="dxa"/>
              <w:left w:w="100" w:type="dxa"/>
              <w:bottom w:w="60" w:type="dxa"/>
              <w:right w:w="100" w:type="dxa"/>
            </w:tcMar>
            <w:vAlign w:val="center"/>
          </w:tcPr>
          <w:p w14:paraId="0D2D345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7 إلى 10 سنوات</w:t>
            </w:r>
          </w:p>
        </w:tc>
        <w:tc>
          <w:tcPr>
            <w:tcW w:w="989" w:type="pct"/>
            <w:shd w:val="clear" w:color="auto" w:fill="F2F2F2"/>
            <w:tcMar>
              <w:top w:w="60" w:type="dxa"/>
              <w:left w:w="100" w:type="dxa"/>
              <w:bottom w:w="60" w:type="dxa"/>
              <w:right w:w="100" w:type="dxa"/>
            </w:tcMar>
            <w:vAlign w:val="center"/>
          </w:tcPr>
          <w:p w14:paraId="1A3C8900"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59</w:t>
            </w:r>
          </w:p>
        </w:tc>
        <w:tc>
          <w:tcPr>
            <w:tcW w:w="989" w:type="pct"/>
            <w:shd w:val="clear" w:color="auto" w:fill="F2F2F2"/>
            <w:tcMar>
              <w:top w:w="60" w:type="dxa"/>
              <w:left w:w="100" w:type="dxa"/>
              <w:bottom w:w="60" w:type="dxa"/>
              <w:right w:w="100" w:type="dxa"/>
            </w:tcMar>
            <w:vAlign w:val="center"/>
          </w:tcPr>
          <w:p w14:paraId="1F6097B9"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30.1%</w:t>
            </w:r>
          </w:p>
        </w:tc>
      </w:tr>
      <w:tr w:rsidR="007608E1" w:rsidRPr="00DB70A4" w14:paraId="0DA411F0" w14:textId="77777777" w:rsidTr="00036983">
        <w:trPr>
          <w:jc w:val="center"/>
        </w:trPr>
        <w:tc>
          <w:tcPr>
            <w:tcW w:w="3022" w:type="pct"/>
            <w:tcMar>
              <w:top w:w="60" w:type="dxa"/>
              <w:left w:w="100" w:type="dxa"/>
              <w:bottom w:w="60" w:type="dxa"/>
              <w:right w:w="100" w:type="dxa"/>
            </w:tcMar>
            <w:vAlign w:val="center"/>
          </w:tcPr>
          <w:p w14:paraId="173DB31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من 3 إلى 6 سنوات</w:t>
            </w:r>
          </w:p>
        </w:tc>
        <w:tc>
          <w:tcPr>
            <w:tcW w:w="989" w:type="pct"/>
            <w:tcMar>
              <w:top w:w="60" w:type="dxa"/>
              <w:left w:w="100" w:type="dxa"/>
              <w:bottom w:w="60" w:type="dxa"/>
              <w:right w:w="100" w:type="dxa"/>
            </w:tcMar>
            <w:vAlign w:val="center"/>
          </w:tcPr>
          <w:p w14:paraId="350B8A8A"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51</w:t>
            </w:r>
          </w:p>
        </w:tc>
        <w:tc>
          <w:tcPr>
            <w:tcW w:w="989" w:type="pct"/>
            <w:tcMar>
              <w:top w:w="60" w:type="dxa"/>
              <w:left w:w="100" w:type="dxa"/>
              <w:bottom w:w="60" w:type="dxa"/>
              <w:right w:w="100" w:type="dxa"/>
            </w:tcMar>
            <w:vAlign w:val="center"/>
          </w:tcPr>
          <w:p w14:paraId="16CE912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26%</w:t>
            </w:r>
          </w:p>
        </w:tc>
      </w:tr>
      <w:tr w:rsidR="007608E1" w:rsidRPr="00DB70A4" w14:paraId="6387AA7E" w14:textId="77777777" w:rsidTr="00036983">
        <w:trPr>
          <w:jc w:val="center"/>
        </w:trPr>
        <w:tc>
          <w:tcPr>
            <w:tcW w:w="3022" w:type="pct"/>
            <w:shd w:val="clear" w:color="auto" w:fill="F2F2F2"/>
            <w:tcMar>
              <w:top w:w="60" w:type="dxa"/>
              <w:left w:w="100" w:type="dxa"/>
              <w:bottom w:w="60" w:type="dxa"/>
              <w:right w:w="100" w:type="dxa"/>
            </w:tcMar>
            <w:vAlign w:val="center"/>
          </w:tcPr>
          <w:p w14:paraId="6A50EC9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أقل من 3 سنوات</w:t>
            </w:r>
          </w:p>
        </w:tc>
        <w:tc>
          <w:tcPr>
            <w:tcW w:w="989" w:type="pct"/>
            <w:shd w:val="clear" w:color="auto" w:fill="F2F2F2"/>
            <w:tcMar>
              <w:top w:w="60" w:type="dxa"/>
              <w:left w:w="100" w:type="dxa"/>
              <w:bottom w:w="60" w:type="dxa"/>
              <w:right w:w="100" w:type="dxa"/>
            </w:tcMar>
            <w:vAlign w:val="center"/>
          </w:tcPr>
          <w:p w14:paraId="3D906259"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10</w:t>
            </w:r>
          </w:p>
        </w:tc>
        <w:tc>
          <w:tcPr>
            <w:tcW w:w="989" w:type="pct"/>
            <w:shd w:val="clear" w:color="auto" w:fill="F2F2F2"/>
            <w:tcMar>
              <w:top w:w="60" w:type="dxa"/>
              <w:left w:w="100" w:type="dxa"/>
              <w:bottom w:w="60" w:type="dxa"/>
              <w:right w:w="100" w:type="dxa"/>
            </w:tcMar>
            <w:vAlign w:val="center"/>
          </w:tcPr>
          <w:p w14:paraId="6719CAD8"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5.1%</w:t>
            </w:r>
          </w:p>
        </w:tc>
      </w:tr>
    </w:tbl>
    <w:p w14:paraId="66A47E6F"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(4.6): توزيع أفراد العينة وفق سنوات الخبرة في القطاع المالي</w:t>
      </w:r>
    </w:p>
    <w:p w14:paraId="4F936049"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يلاحظ أن نسبة 68.9% من أفراد العينة (مجموع فئتي أكثر من 10 سنوات ومن 7 إلى 10 سنوات) يمتلكون خبرة مهنية تزيد عن 7 سنوات في القطاع المالي، مما يعزز من موثوقية إجاباتهم بوصفهم أفراداً ذوي دراية كافية بطبيعة العمليات المالية والتحديات السيبرانية التي تواجه مؤسساتهم.</w:t>
      </w:r>
    </w:p>
    <w:p w14:paraId="63E1A2F0"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6. مدى اعتماد المؤسسة لتقنية الترميز حالياً</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DB70A4" w14:paraId="00681E48" w14:textId="77777777" w:rsidTr="00036983">
        <w:trPr>
          <w:tblHeader/>
          <w:jc w:val="center"/>
        </w:trPr>
        <w:tc>
          <w:tcPr>
            <w:tcW w:w="3022" w:type="pct"/>
            <w:shd w:val="clear" w:color="auto" w:fill="2E5395"/>
            <w:tcMar>
              <w:top w:w="60" w:type="dxa"/>
              <w:left w:w="100" w:type="dxa"/>
              <w:bottom w:w="60" w:type="dxa"/>
              <w:right w:w="100" w:type="dxa"/>
            </w:tcMar>
            <w:vAlign w:val="center"/>
          </w:tcPr>
          <w:p w14:paraId="6234C9E5"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مستوى اعتماد الترميز</w:t>
            </w:r>
          </w:p>
        </w:tc>
        <w:tc>
          <w:tcPr>
            <w:tcW w:w="989" w:type="pct"/>
            <w:shd w:val="clear" w:color="auto" w:fill="2E5395"/>
            <w:tcMar>
              <w:top w:w="60" w:type="dxa"/>
              <w:left w:w="100" w:type="dxa"/>
              <w:bottom w:w="60" w:type="dxa"/>
              <w:right w:w="100" w:type="dxa"/>
            </w:tcMar>
            <w:vAlign w:val="center"/>
          </w:tcPr>
          <w:p w14:paraId="1E3247EF"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09FE6B5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b/>
                <w:bCs/>
                <w:color w:val="FFFFFF"/>
                <w:sz w:val="24"/>
                <w:szCs w:val="24"/>
                <w:rtl/>
              </w:rPr>
              <w:t>النسبة المئوية</w:t>
            </w:r>
          </w:p>
        </w:tc>
      </w:tr>
      <w:tr w:rsidR="007608E1" w:rsidRPr="00DB70A4" w14:paraId="1AEB9179" w14:textId="77777777" w:rsidTr="00036983">
        <w:trPr>
          <w:jc w:val="center"/>
        </w:trPr>
        <w:tc>
          <w:tcPr>
            <w:tcW w:w="3022" w:type="pct"/>
            <w:tcMar>
              <w:top w:w="60" w:type="dxa"/>
              <w:left w:w="100" w:type="dxa"/>
              <w:bottom w:w="60" w:type="dxa"/>
              <w:right w:w="100" w:type="dxa"/>
            </w:tcMar>
            <w:vAlign w:val="center"/>
          </w:tcPr>
          <w:p w14:paraId="355E5C7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نعم، بشكل كامل</w:t>
            </w:r>
          </w:p>
        </w:tc>
        <w:tc>
          <w:tcPr>
            <w:tcW w:w="989" w:type="pct"/>
            <w:tcMar>
              <w:top w:w="60" w:type="dxa"/>
              <w:left w:w="100" w:type="dxa"/>
              <w:bottom w:w="60" w:type="dxa"/>
              <w:right w:w="100" w:type="dxa"/>
            </w:tcMar>
            <w:vAlign w:val="center"/>
          </w:tcPr>
          <w:p w14:paraId="000D1BF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118</w:t>
            </w:r>
          </w:p>
        </w:tc>
        <w:tc>
          <w:tcPr>
            <w:tcW w:w="989" w:type="pct"/>
            <w:tcMar>
              <w:top w:w="60" w:type="dxa"/>
              <w:left w:w="100" w:type="dxa"/>
              <w:bottom w:w="60" w:type="dxa"/>
              <w:right w:w="100" w:type="dxa"/>
            </w:tcMar>
            <w:vAlign w:val="center"/>
          </w:tcPr>
          <w:p w14:paraId="11F5B9F4"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60.2%</w:t>
            </w:r>
          </w:p>
        </w:tc>
      </w:tr>
      <w:tr w:rsidR="007608E1" w:rsidRPr="00DB70A4" w14:paraId="22C12B99" w14:textId="77777777" w:rsidTr="00036983">
        <w:trPr>
          <w:jc w:val="center"/>
        </w:trPr>
        <w:tc>
          <w:tcPr>
            <w:tcW w:w="3022" w:type="pct"/>
            <w:shd w:val="clear" w:color="auto" w:fill="F2F2F2"/>
            <w:tcMar>
              <w:top w:w="60" w:type="dxa"/>
              <w:left w:w="100" w:type="dxa"/>
              <w:bottom w:w="60" w:type="dxa"/>
              <w:right w:w="100" w:type="dxa"/>
            </w:tcMar>
            <w:vAlign w:val="center"/>
          </w:tcPr>
          <w:p w14:paraId="5A388932"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نعم، بشكل جزئي (في مرحلة التطبيق)</w:t>
            </w:r>
          </w:p>
        </w:tc>
        <w:tc>
          <w:tcPr>
            <w:tcW w:w="989" w:type="pct"/>
            <w:shd w:val="clear" w:color="auto" w:fill="F2F2F2"/>
            <w:tcMar>
              <w:top w:w="60" w:type="dxa"/>
              <w:left w:w="100" w:type="dxa"/>
              <w:bottom w:w="60" w:type="dxa"/>
              <w:right w:w="100" w:type="dxa"/>
            </w:tcMar>
            <w:vAlign w:val="center"/>
          </w:tcPr>
          <w:p w14:paraId="45F41A4E"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44</w:t>
            </w:r>
          </w:p>
        </w:tc>
        <w:tc>
          <w:tcPr>
            <w:tcW w:w="989" w:type="pct"/>
            <w:shd w:val="clear" w:color="auto" w:fill="F2F2F2"/>
            <w:tcMar>
              <w:top w:w="60" w:type="dxa"/>
              <w:left w:w="100" w:type="dxa"/>
              <w:bottom w:w="60" w:type="dxa"/>
              <w:right w:w="100" w:type="dxa"/>
            </w:tcMar>
            <w:vAlign w:val="center"/>
          </w:tcPr>
          <w:p w14:paraId="40A205B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22.4%</w:t>
            </w:r>
          </w:p>
        </w:tc>
      </w:tr>
      <w:tr w:rsidR="007608E1" w:rsidRPr="00DB70A4" w14:paraId="66D4A7C8" w14:textId="77777777" w:rsidTr="00036983">
        <w:trPr>
          <w:jc w:val="center"/>
        </w:trPr>
        <w:tc>
          <w:tcPr>
            <w:tcW w:w="3022" w:type="pct"/>
            <w:tcMar>
              <w:top w:w="60" w:type="dxa"/>
              <w:left w:w="100" w:type="dxa"/>
              <w:bottom w:w="60" w:type="dxa"/>
              <w:right w:w="100" w:type="dxa"/>
            </w:tcMar>
            <w:vAlign w:val="center"/>
          </w:tcPr>
          <w:p w14:paraId="67B24D51"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لا، لكن مخطط لذلك</w:t>
            </w:r>
          </w:p>
        </w:tc>
        <w:tc>
          <w:tcPr>
            <w:tcW w:w="989" w:type="pct"/>
            <w:tcMar>
              <w:top w:w="60" w:type="dxa"/>
              <w:left w:w="100" w:type="dxa"/>
              <w:bottom w:w="60" w:type="dxa"/>
              <w:right w:w="100" w:type="dxa"/>
            </w:tcMar>
            <w:vAlign w:val="center"/>
          </w:tcPr>
          <w:p w14:paraId="3E4D1A3B"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27</w:t>
            </w:r>
          </w:p>
        </w:tc>
        <w:tc>
          <w:tcPr>
            <w:tcW w:w="989" w:type="pct"/>
            <w:tcMar>
              <w:top w:w="60" w:type="dxa"/>
              <w:left w:w="100" w:type="dxa"/>
              <w:bottom w:w="60" w:type="dxa"/>
              <w:right w:w="100" w:type="dxa"/>
            </w:tcMar>
            <w:vAlign w:val="center"/>
          </w:tcPr>
          <w:p w14:paraId="2EF4224D"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13.8%</w:t>
            </w:r>
          </w:p>
        </w:tc>
      </w:tr>
      <w:tr w:rsidR="007608E1" w:rsidRPr="00DB70A4" w14:paraId="31AA9F07" w14:textId="77777777" w:rsidTr="00036983">
        <w:trPr>
          <w:jc w:val="center"/>
        </w:trPr>
        <w:tc>
          <w:tcPr>
            <w:tcW w:w="3022" w:type="pct"/>
            <w:shd w:val="clear" w:color="auto" w:fill="F2F2F2"/>
            <w:tcMar>
              <w:top w:w="60" w:type="dxa"/>
              <w:left w:w="100" w:type="dxa"/>
              <w:bottom w:w="60" w:type="dxa"/>
              <w:right w:w="100" w:type="dxa"/>
            </w:tcMar>
            <w:vAlign w:val="center"/>
          </w:tcPr>
          <w:p w14:paraId="07358C43"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لا، ولا توجد خطط</w:t>
            </w:r>
          </w:p>
        </w:tc>
        <w:tc>
          <w:tcPr>
            <w:tcW w:w="989" w:type="pct"/>
            <w:shd w:val="clear" w:color="auto" w:fill="F2F2F2"/>
            <w:tcMar>
              <w:top w:w="60" w:type="dxa"/>
              <w:left w:w="100" w:type="dxa"/>
              <w:bottom w:w="60" w:type="dxa"/>
              <w:right w:w="100" w:type="dxa"/>
            </w:tcMar>
            <w:vAlign w:val="center"/>
          </w:tcPr>
          <w:p w14:paraId="2C528955"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7</w:t>
            </w:r>
          </w:p>
        </w:tc>
        <w:tc>
          <w:tcPr>
            <w:tcW w:w="989" w:type="pct"/>
            <w:shd w:val="clear" w:color="auto" w:fill="F2F2F2"/>
            <w:tcMar>
              <w:top w:w="60" w:type="dxa"/>
              <w:left w:w="100" w:type="dxa"/>
              <w:bottom w:w="60" w:type="dxa"/>
              <w:right w:w="100" w:type="dxa"/>
            </w:tcMar>
            <w:vAlign w:val="center"/>
          </w:tcPr>
          <w:p w14:paraId="756B550C" w14:textId="77777777" w:rsidR="007608E1" w:rsidRPr="00DB70A4" w:rsidRDefault="007608E1" w:rsidP="00E000FF">
            <w:pPr>
              <w:bidi/>
              <w:spacing w:after="0" w:line="260" w:lineRule="auto"/>
              <w:jc w:val="center"/>
              <w:rPr>
                <w:sz w:val="24"/>
                <w:szCs w:val="24"/>
              </w:rPr>
            </w:pPr>
            <w:r w:rsidRPr="00DB70A4">
              <w:rPr>
                <w:rFonts w:ascii="Traditional Arabic" w:eastAsia="Simplified Arabic" w:hAnsi="Traditional Arabic" w:cs="Traditional Arabic"/>
                <w:color w:val="000000"/>
                <w:sz w:val="24"/>
                <w:szCs w:val="24"/>
                <w:rtl/>
              </w:rPr>
              <w:t>3.6%</w:t>
            </w:r>
          </w:p>
        </w:tc>
      </w:tr>
    </w:tbl>
    <w:p w14:paraId="79A39825" w14:textId="77777777" w:rsidR="007608E1" w:rsidRDefault="007608E1" w:rsidP="00E000FF">
      <w:pPr>
        <w:pStyle w:val="TableCaption"/>
        <w:bidi/>
        <w:spacing w:after="0" w:line="300" w:lineRule="auto"/>
        <w:jc w:val="center"/>
      </w:pPr>
      <w:r>
        <w:rPr>
          <w:rFonts w:ascii="Traditional Arabic" w:eastAsia="Simplified Arabic" w:hAnsi="Traditional Arabic" w:cs="Traditional Arabic"/>
          <w:b/>
          <w:bCs/>
          <w:sz w:val="24"/>
          <w:szCs w:val="24"/>
          <w:rtl/>
        </w:rPr>
        <w:t>جدول (4.7): توزيع أفراد العينة وفق مستوى اعتماد المؤسسة لتقنية الترميز</w:t>
      </w:r>
    </w:p>
    <w:p w14:paraId="1410C405" w14:textId="77777777" w:rsidR="007608E1" w:rsidRPr="00DB70A4" w:rsidRDefault="007608E1" w:rsidP="00E000FF">
      <w:pPr>
        <w:bidi/>
        <w:spacing w:after="0" w:line="360" w:lineRule="auto"/>
        <w:jc w:val="both"/>
        <w:rPr>
          <w:sz w:val="26"/>
          <w:szCs w:val="26"/>
        </w:rPr>
      </w:pPr>
      <w:r w:rsidRPr="00DB70A4">
        <w:rPr>
          <w:rFonts w:ascii="Traditional Arabic" w:eastAsia="Simplified Arabic" w:hAnsi="Traditional Arabic" w:cs="Traditional Arabic"/>
          <w:sz w:val="28"/>
          <w:szCs w:val="28"/>
          <w:rtl/>
        </w:rPr>
        <w:t xml:space="preserve">تكشف النتائج أن نسبة 82.7% من المؤسسات المشمولة بالدراسة تعتمد تقنية الترميز حالياً بشكل كامل أو جزئي (60.2% بشكل كامل، و22.4% بشكل جزئي في مرحلة التطبيق)، في حين لا تزال نسبة 17.3% من المؤسسات خارج نطاق التطبيق الفعلي (13.8% تخطط لذلك مستقبلاً، و3.6% لا توجد لديها خطط حالية). ويعكس هذا التوزيع مستوى نضج مرتفعاً نسبياً في تبني تقنية الترميز داخل القطاع المالي السعودي، بما يتسق مع توجهات رؤية 2030 </w:t>
      </w:r>
      <w:r w:rsidRPr="00DB70A4">
        <w:rPr>
          <w:rFonts w:ascii="Traditional Arabic" w:eastAsia="Simplified Arabic" w:hAnsi="Traditional Arabic" w:cs="Traditional Arabic"/>
          <w:sz w:val="28"/>
          <w:szCs w:val="28"/>
          <w:rtl/>
        </w:rPr>
        <w:lastRenderedPageBreak/>
        <w:t>نحو التحول الرقمي الآمن. وقد استُخدم هذا التصنيف (معتمِدة/غير معتمِدة) لاحقاً كأساس لتجميع فئتين متمايزتين عند اختبار الفرضية الثالثة.</w:t>
      </w:r>
    </w:p>
    <w:p w14:paraId="623CC1F7"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76" w:name="_Toc234424170"/>
      <w:r>
        <w:rPr>
          <w:rFonts w:ascii="Traditional Arabic" w:hAnsi="Traditional Arabic" w:cs="Traditional Arabic"/>
          <w:b/>
          <w:bCs/>
          <w:sz w:val="32"/>
          <w:szCs w:val="32"/>
          <w:u w:val="single"/>
          <w:rtl/>
        </w:rPr>
        <w:t>ثانياً: التحليل الوصفي لمتغيرات الدراسة</w:t>
      </w:r>
      <w:bookmarkEnd w:id="76"/>
    </w:p>
    <w:p w14:paraId="4FEA0BE1"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 xml:space="preserve">يهدف هذا الجزء إلى وصف استجابات أفراد العينة تجاه متغيرات الدراسة الأساسية الخمسة، وذلك من خلال استخدام المتوسطات الحسابية والانحرافات المعيارية لكل عبارة من عبارات الاستبانة ولكل بُعد من أبعادها الخمسة، وفقاً لمقياس </w:t>
      </w:r>
      <w:proofErr w:type="spellStart"/>
      <w:r w:rsidRPr="00B5019C">
        <w:rPr>
          <w:rFonts w:ascii="Traditional Arabic" w:eastAsia="Simplified Arabic" w:hAnsi="Traditional Arabic" w:cs="Traditional Arabic"/>
          <w:sz w:val="28"/>
          <w:szCs w:val="28"/>
          <w:rtl/>
        </w:rPr>
        <w:t>ليكرت</w:t>
      </w:r>
      <w:proofErr w:type="spellEnd"/>
      <w:r w:rsidRPr="00B5019C">
        <w:rPr>
          <w:rFonts w:ascii="Traditional Arabic" w:eastAsia="Simplified Arabic" w:hAnsi="Traditional Arabic" w:cs="Traditional Arabic"/>
          <w:sz w:val="28"/>
          <w:szCs w:val="28"/>
          <w:rtl/>
        </w:rPr>
        <w:t xml:space="preserve"> الخماسي ومستويات الموافقة المعتمدة في الفصل الثالث (جدول 3.2-ب)، بما يتيح تكوين صورة واضحة عن اتجاهات آراء المبحوثين.</w:t>
      </w:r>
    </w:p>
    <w:p w14:paraId="60D686D6"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البُعد الأول: الترميز الأمني للبيانات</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0299D2A0" w14:textId="77777777" w:rsidTr="00036983">
        <w:trPr>
          <w:tblHeader/>
          <w:jc w:val="center"/>
        </w:trPr>
        <w:tc>
          <w:tcPr>
            <w:tcW w:w="238" w:type="pct"/>
            <w:shd w:val="clear" w:color="auto" w:fill="2E5395"/>
            <w:tcMar>
              <w:top w:w="60" w:type="dxa"/>
              <w:left w:w="100" w:type="dxa"/>
              <w:bottom w:w="60" w:type="dxa"/>
              <w:right w:w="100" w:type="dxa"/>
            </w:tcMar>
            <w:vAlign w:val="center"/>
          </w:tcPr>
          <w:p w14:paraId="20FFA04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09B38F4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488CF42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627E858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2AD6842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285E7873" w14:textId="77777777" w:rsidTr="00036983">
        <w:trPr>
          <w:jc w:val="center"/>
        </w:trPr>
        <w:tc>
          <w:tcPr>
            <w:tcW w:w="238" w:type="pct"/>
            <w:tcMar>
              <w:top w:w="60" w:type="dxa"/>
              <w:left w:w="100" w:type="dxa"/>
              <w:bottom w:w="60" w:type="dxa"/>
              <w:right w:w="100" w:type="dxa"/>
            </w:tcMar>
            <w:vAlign w:val="center"/>
          </w:tcPr>
          <w:p w14:paraId="6231E58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7</w:t>
            </w:r>
          </w:p>
        </w:tc>
        <w:tc>
          <w:tcPr>
            <w:tcW w:w="2762" w:type="pct"/>
            <w:tcMar>
              <w:top w:w="60" w:type="dxa"/>
              <w:left w:w="100" w:type="dxa"/>
              <w:bottom w:w="60" w:type="dxa"/>
              <w:right w:w="100" w:type="dxa"/>
            </w:tcMar>
            <w:vAlign w:val="center"/>
          </w:tcPr>
          <w:p w14:paraId="2F3FDFC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تعتمد المؤسسة تقنية الترميز لحماية بيانات الدفع الحساسة وفق معيار PCI DSS</w:t>
            </w:r>
          </w:p>
        </w:tc>
        <w:tc>
          <w:tcPr>
            <w:tcW w:w="619" w:type="pct"/>
            <w:tcMar>
              <w:top w:w="60" w:type="dxa"/>
              <w:left w:w="100" w:type="dxa"/>
              <w:bottom w:w="60" w:type="dxa"/>
              <w:right w:w="100" w:type="dxa"/>
            </w:tcMar>
            <w:vAlign w:val="center"/>
          </w:tcPr>
          <w:p w14:paraId="40790E2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4.276</w:t>
            </w:r>
          </w:p>
        </w:tc>
        <w:tc>
          <w:tcPr>
            <w:tcW w:w="714" w:type="pct"/>
            <w:tcMar>
              <w:top w:w="60" w:type="dxa"/>
              <w:left w:w="100" w:type="dxa"/>
              <w:bottom w:w="60" w:type="dxa"/>
              <w:right w:w="100" w:type="dxa"/>
            </w:tcMar>
            <w:vAlign w:val="center"/>
          </w:tcPr>
          <w:p w14:paraId="7F20590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1.166</w:t>
            </w:r>
          </w:p>
        </w:tc>
        <w:tc>
          <w:tcPr>
            <w:tcW w:w="667" w:type="pct"/>
            <w:tcMar>
              <w:top w:w="60" w:type="dxa"/>
              <w:left w:w="100" w:type="dxa"/>
              <w:bottom w:w="60" w:type="dxa"/>
              <w:right w:w="100" w:type="dxa"/>
            </w:tcMar>
            <w:vAlign w:val="center"/>
          </w:tcPr>
          <w:p w14:paraId="1704A5E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AC39340" w14:textId="77777777" w:rsidTr="00036983">
        <w:trPr>
          <w:jc w:val="center"/>
        </w:trPr>
        <w:tc>
          <w:tcPr>
            <w:tcW w:w="238" w:type="pct"/>
            <w:shd w:val="clear" w:color="auto" w:fill="F2F2F2"/>
            <w:tcMar>
              <w:top w:w="60" w:type="dxa"/>
              <w:left w:w="100" w:type="dxa"/>
              <w:bottom w:w="60" w:type="dxa"/>
              <w:right w:w="100" w:type="dxa"/>
            </w:tcMar>
            <w:vAlign w:val="center"/>
          </w:tcPr>
          <w:p w14:paraId="4B3F973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8</w:t>
            </w:r>
          </w:p>
        </w:tc>
        <w:tc>
          <w:tcPr>
            <w:tcW w:w="2762" w:type="pct"/>
            <w:shd w:val="clear" w:color="auto" w:fill="F2F2F2"/>
            <w:tcMar>
              <w:top w:w="60" w:type="dxa"/>
              <w:left w:w="100" w:type="dxa"/>
              <w:bottom w:w="60" w:type="dxa"/>
              <w:right w:w="100" w:type="dxa"/>
            </w:tcMar>
            <w:vAlign w:val="center"/>
          </w:tcPr>
          <w:p w14:paraId="6198DEB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تقليص نسبة اختراق البيانات المالية بشكل ملحوظ خلال السنتين الماضيتين</w:t>
            </w:r>
          </w:p>
        </w:tc>
        <w:tc>
          <w:tcPr>
            <w:tcW w:w="619" w:type="pct"/>
            <w:shd w:val="clear" w:color="auto" w:fill="F2F2F2"/>
            <w:tcMar>
              <w:top w:w="60" w:type="dxa"/>
              <w:left w:w="100" w:type="dxa"/>
              <w:bottom w:w="60" w:type="dxa"/>
              <w:right w:w="100" w:type="dxa"/>
            </w:tcMar>
            <w:vAlign w:val="center"/>
          </w:tcPr>
          <w:p w14:paraId="40A5D69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4.332</w:t>
            </w:r>
          </w:p>
        </w:tc>
        <w:tc>
          <w:tcPr>
            <w:tcW w:w="714" w:type="pct"/>
            <w:shd w:val="clear" w:color="auto" w:fill="F2F2F2"/>
            <w:tcMar>
              <w:top w:w="60" w:type="dxa"/>
              <w:left w:w="100" w:type="dxa"/>
              <w:bottom w:w="60" w:type="dxa"/>
              <w:right w:w="100" w:type="dxa"/>
            </w:tcMar>
            <w:vAlign w:val="center"/>
          </w:tcPr>
          <w:p w14:paraId="3527630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0.965</w:t>
            </w:r>
          </w:p>
        </w:tc>
        <w:tc>
          <w:tcPr>
            <w:tcW w:w="667" w:type="pct"/>
            <w:shd w:val="clear" w:color="auto" w:fill="F2F2F2"/>
            <w:tcMar>
              <w:top w:w="60" w:type="dxa"/>
              <w:left w:w="100" w:type="dxa"/>
              <w:bottom w:w="60" w:type="dxa"/>
              <w:right w:w="100" w:type="dxa"/>
            </w:tcMar>
            <w:vAlign w:val="center"/>
          </w:tcPr>
          <w:p w14:paraId="4310135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3CB0B53" w14:textId="77777777" w:rsidTr="00036983">
        <w:trPr>
          <w:jc w:val="center"/>
        </w:trPr>
        <w:tc>
          <w:tcPr>
            <w:tcW w:w="238" w:type="pct"/>
            <w:tcMar>
              <w:top w:w="60" w:type="dxa"/>
              <w:left w:w="100" w:type="dxa"/>
              <w:bottom w:w="60" w:type="dxa"/>
              <w:right w:w="100" w:type="dxa"/>
            </w:tcMar>
            <w:vAlign w:val="center"/>
          </w:tcPr>
          <w:p w14:paraId="1BF4EE7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9</w:t>
            </w:r>
          </w:p>
        </w:tc>
        <w:tc>
          <w:tcPr>
            <w:tcW w:w="2762" w:type="pct"/>
            <w:tcMar>
              <w:top w:w="60" w:type="dxa"/>
              <w:left w:w="100" w:type="dxa"/>
              <w:bottom w:w="60" w:type="dxa"/>
              <w:right w:w="100" w:type="dxa"/>
            </w:tcMar>
            <w:vAlign w:val="center"/>
          </w:tcPr>
          <w:p w14:paraId="1E6E355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يُعزّز الترميز مستوى حماية هوية العملاء وبياناتهم المصرفية من التهديدات السيبرانية</w:t>
            </w:r>
          </w:p>
        </w:tc>
        <w:tc>
          <w:tcPr>
            <w:tcW w:w="619" w:type="pct"/>
            <w:tcMar>
              <w:top w:w="60" w:type="dxa"/>
              <w:left w:w="100" w:type="dxa"/>
              <w:bottom w:w="60" w:type="dxa"/>
              <w:right w:w="100" w:type="dxa"/>
            </w:tcMar>
            <w:vAlign w:val="center"/>
          </w:tcPr>
          <w:p w14:paraId="0501DF3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4.551</w:t>
            </w:r>
          </w:p>
        </w:tc>
        <w:tc>
          <w:tcPr>
            <w:tcW w:w="714" w:type="pct"/>
            <w:tcMar>
              <w:top w:w="60" w:type="dxa"/>
              <w:left w:w="100" w:type="dxa"/>
              <w:bottom w:w="60" w:type="dxa"/>
              <w:right w:w="100" w:type="dxa"/>
            </w:tcMar>
            <w:vAlign w:val="center"/>
          </w:tcPr>
          <w:p w14:paraId="33DE18A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0.773</w:t>
            </w:r>
          </w:p>
        </w:tc>
        <w:tc>
          <w:tcPr>
            <w:tcW w:w="667" w:type="pct"/>
            <w:tcMar>
              <w:top w:w="60" w:type="dxa"/>
              <w:left w:w="100" w:type="dxa"/>
              <w:bottom w:w="60" w:type="dxa"/>
              <w:right w:w="100" w:type="dxa"/>
            </w:tcMar>
            <w:vAlign w:val="center"/>
          </w:tcPr>
          <w:p w14:paraId="6A6585C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492FED69" w14:textId="77777777" w:rsidTr="00036983">
        <w:trPr>
          <w:jc w:val="center"/>
        </w:trPr>
        <w:tc>
          <w:tcPr>
            <w:tcW w:w="238" w:type="pct"/>
            <w:shd w:val="clear" w:color="auto" w:fill="F2F2F2"/>
            <w:tcMar>
              <w:top w:w="60" w:type="dxa"/>
              <w:left w:w="100" w:type="dxa"/>
              <w:bottom w:w="60" w:type="dxa"/>
              <w:right w:w="100" w:type="dxa"/>
            </w:tcMar>
            <w:vAlign w:val="center"/>
          </w:tcPr>
          <w:p w14:paraId="2F7E40A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10</w:t>
            </w:r>
          </w:p>
        </w:tc>
        <w:tc>
          <w:tcPr>
            <w:tcW w:w="2762" w:type="pct"/>
            <w:shd w:val="clear" w:color="auto" w:fill="F2F2F2"/>
            <w:tcMar>
              <w:top w:w="60" w:type="dxa"/>
              <w:left w:w="100" w:type="dxa"/>
              <w:bottom w:w="60" w:type="dxa"/>
              <w:right w:w="100" w:type="dxa"/>
            </w:tcMar>
            <w:vAlign w:val="center"/>
          </w:tcPr>
          <w:p w14:paraId="1983F84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تُطبّق المؤسسة آليات ترميز ديناميكي (</w:t>
            </w:r>
            <w:proofErr w:type="spellStart"/>
            <w:r w:rsidRPr="00B5019C">
              <w:rPr>
                <w:rFonts w:ascii="Traditional Arabic" w:eastAsia="Simplified Arabic" w:hAnsi="Traditional Arabic" w:cs="Traditional Arabic"/>
                <w:color w:val="000000"/>
                <w:sz w:val="24"/>
                <w:szCs w:val="24"/>
                <w:rtl/>
              </w:rPr>
              <w:t>Dynamic</w:t>
            </w:r>
            <w:proofErr w:type="spellEnd"/>
            <w:r w:rsidRPr="00B5019C">
              <w:rPr>
                <w:rFonts w:ascii="Traditional Arabic" w:eastAsia="Simplified Arabic" w:hAnsi="Traditional Arabic" w:cs="Traditional Arabic"/>
                <w:color w:val="000000"/>
                <w:sz w:val="24"/>
                <w:szCs w:val="24"/>
                <w:rtl/>
              </w:rPr>
              <w:t xml:space="preserve"> </w:t>
            </w:r>
            <w:proofErr w:type="spellStart"/>
            <w:r w:rsidRPr="00B5019C">
              <w:rPr>
                <w:rFonts w:ascii="Traditional Arabic" w:eastAsia="Simplified Arabic" w:hAnsi="Traditional Arabic" w:cs="Traditional Arabic"/>
                <w:color w:val="000000"/>
                <w:sz w:val="24"/>
                <w:szCs w:val="24"/>
                <w:rtl/>
              </w:rPr>
              <w:t>Tokenization</w:t>
            </w:r>
            <w:proofErr w:type="spellEnd"/>
            <w:r w:rsidRPr="00B5019C">
              <w:rPr>
                <w:rFonts w:ascii="Traditional Arabic" w:eastAsia="Simplified Arabic" w:hAnsi="Traditional Arabic" w:cs="Traditional Arabic"/>
                <w:color w:val="000000"/>
                <w:sz w:val="24"/>
                <w:szCs w:val="24"/>
                <w:rtl/>
              </w:rPr>
              <w:t>) لتعزيز الأمن في المعاملات الآنية</w:t>
            </w:r>
          </w:p>
        </w:tc>
        <w:tc>
          <w:tcPr>
            <w:tcW w:w="619" w:type="pct"/>
            <w:shd w:val="clear" w:color="auto" w:fill="F2F2F2"/>
            <w:tcMar>
              <w:top w:w="60" w:type="dxa"/>
              <w:left w:w="100" w:type="dxa"/>
              <w:bottom w:w="60" w:type="dxa"/>
              <w:right w:w="100" w:type="dxa"/>
            </w:tcMar>
            <w:vAlign w:val="center"/>
          </w:tcPr>
          <w:p w14:paraId="76D9787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4.107</w:t>
            </w:r>
          </w:p>
        </w:tc>
        <w:tc>
          <w:tcPr>
            <w:tcW w:w="714" w:type="pct"/>
            <w:shd w:val="clear" w:color="auto" w:fill="F2F2F2"/>
            <w:tcMar>
              <w:top w:w="60" w:type="dxa"/>
              <w:left w:w="100" w:type="dxa"/>
              <w:bottom w:w="60" w:type="dxa"/>
              <w:right w:w="100" w:type="dxa"/>
            </w:tcMar>
            <w:vAlign w:val="center"/>
          </w:tcPr>
          <w:p w14:paraId="0FEE520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1.225</w:t>
            </w:r>
          </w:p>
        </w:tc>
        <w:tc>
          <w:tcPr>
            <w:tcW w:w="667" w:type="pct"/>
            <w:shd w:val="clear" w:color="auto" w:fill="F2F2F2"/>
            <w:tcMar>
              <w:top w:w="60" w:type="dxa"/>
              <w:left w:w="100" w:type="dxa"/>
              <w:bottom w:w="60" w:type="dxa"/>
              <w:right w:w="100" w:type="dxa"/>
            </w:tcMar>
            <w:vAlign w:val="center"/>
          </w:tcPr>
          <w:p w14:paraId="44CEB62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533004C4" w14:textId="77777777" w:rsidTr="00036983">
        <w:trPr>
          <w:jc w:val="center"/>
        </w:trPr>
        <w:tc>
          <w:tcPr>
            <w:tcW w:w="238" w:type="pct"/>
            <w:tcMar>
              <w:top w:w="60" w:type="dxa"/>
              <w:left w:w="100" w:type="dxa"/>
              <w:bottom w:w="60" w:type="dxa"/>
              <w:right w:w="100" w:type="dxa"/>
            </w:tcMar>
            <w:vAlign w:val="center"/>
          </w:tcPr>
          <w:p w14:paraId="4EB3A1C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w:t>
            </w:r>
          </w:p>
        </w:tc>
        <w:tc>
          <w:tcPr>
            <w:tcW w:w="2762" w:type="pct"/>
            <w:tcMar>
              <w:top w:w="60" w:type="dxa"/>
              <w:left w:w="100" w:type="dxa"/>
              <w:bottom w:w="60" w:type="dxa"/>
              <w:right w:w="100" w:type="dxa"/>
            </w:tcMar>
            <w:vAlign w:val="center"/>
          </w:tcPr>
          <w:p w14:paraId="5C52E1F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أدّى الترميز إلى خفض تكاليف الاستجابة للحوادث السيبرانية وعمليات الاستعادة</w:t>
            </w:r>
          </w:p>
        </w:tc>
        <w:tc>
          <w:tcPr>
            <w:tcW w:w="619" w:type="pct"/>
            <w:tcMar>
              <w:top w:w="60" w:type="dxa"/>
              <w:left w:w="100" w:type="dxa"/>
              <w:bottom w:w="60" w:type="dxa"/>
              <w:right w:w="100" w:type="dxa"/>
            </w:tcMar>
            <w:vAlign w:val="center"/>
          </w:tcPr>
          <w:p w14:paraId="72B42FF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4.163</w:t>
            </w:r>
          </w:p>
        </w:tc>
        <w:tc>
          <w:tcPr>
            <w:tcW w:w="714" w:type="pct"/>
            <w:tcMar>
              <w:top w:w="60" w:type="dxa"/>
              <w:left w:w="100" w:type="dxa"/>
              <w:bottom w:w="60" w:type="dxa"/>
              <w:right w:w="100" w:type="dxa"/>
            </w:tcMar>
            <w:vAlign w:val="center"/>
          </w:tcPr>
          <w:p w14:paraId="05A162D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0.994</w:t>
            </w:r>
          </w:p>
        </w:tc>
        <w:tc>
          <w:tcPr>
            <w:tcW w:w="667" w:type="pct"/>
            <w:tcMar>
              <w:top w:w="60" w:type="dxa"/>
              <w:left w:w="100" w:type="dxa"/>
              <w:bottom w:w="60" w:type="dxa"/>
              <w:right w:w="100" w:type="dxa"/>
            </w:tcMar>
            <w:vAlign w:val="center"/>
          </w:tcPr>
          <w:p w14:paraId="1B597D7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371D6616" w14:textId="77777777" w:rsidTr="00036983">
        <w:trPr>
          <w:jc w:val="center"/>
        </w:trPr>
        <w:tc>
          <w:tcPr>
            <w:tcW w:w="238" w:type="pct"/>
            <w:shd w:val="clear" w:color="auto" w:fill="F2F2F2"/>
            <w:tcMar>
              <w:top w:w="60" w:type="dxa"/>
              <w:left w:w="100" w:type="dxa"/>
              <w:bottom w:w="60" w:type="dxa"/>
              <w:right w:w="100" w:type="dxa"/>
            </w:tcMar>
            <w:vAlign w:val="center"/>
          </w:tcPr>
          <w:p w14:paraId="7433C3A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12</w:t>
            </w:r>
          </w:p>
        </w:tc>
        <w:tc>
          <w:tcPr>
            <w:tcW w:w="2762" w:type="pct"/>
            <w:shd w:val="clear" w:color="auto" w:fill="F2F2F2"/>
            <w:tcMar>
              <w:top w:w="60" w:type="dxa"/>
              <w:left w:w="100" w:type="dxa"/>
              <w:bottom w:w="60" w:type="dxa"/>
              <w:right w:w="100" w:type="dxa"/>
            </w:tcMar>
            <w:vAlign w:val="center"/>
          </w:tcPr>
          <w:p w14:paraId="00E6699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يُتيح الترميز الامتثال الكامل لمتطلبات الهيئة الوطنية للأمن السيبراني (NCA)</w:t>
            </w:r>
          </w:p>
        </w:tc>
        <w:tc>
          <w:tcPr>
            <w:tcW w:w="619" w:type="pct"/>
            <w:shd w:val="clear" w:color="auto" w:fill="F2F2F2"/>
            <w:tcMar>
              <w:top w:w="60" w:type="dxa"/>
              <w:left w:w="100" w:type="dxa"/>
              <w:bottom w:w="60" w:type="dxa"/>
              <w:right w:w="100" w:type="dxa"/>
            </w:tcMar>
            <w:vAlign w:val="center"/>
          </w:tcPr>
          <w:p w14:paraId="226E747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4.546</w:t>
            </w:r>
          </w:p>
        </w:tc>
        <w:tc>
          <w:tcPr>
            <w:tcW w:w="714" w:type="pct"/>
            <w:shd w:val="clear" w:color="auto" w:fill="F2F2F2"/>
            <w:tcMar>
              <w:top w:w="60" w:type="dxa"/>
              <w:left w:w="100" w:type="dxa"/>
              <w:bottom w:w="60" w:type="dxa"/>
              <w:right w:w="100" w:type="dxa"/>
            </w:tcMar>
            <w:vAlign w:val="center"/>
          </w:tcPr>
          <w:p w14:paraId="0277D20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0.718</w:t>
            </w:r>
          </w:p>
        </w:tc>
        <w:tc>
          <w:tcPr>
            <w:tcW w:w="667" w:type="pct"/>
            <w:shd w:val="clear" w:color="auto" w:fill="F2F2F2"/>
            <w:tcMar>
              <w:top w:w="60" w:type="dxa"/>
              <w:left w:w="100" w:type="dxa"/>
              <w:bottom w:w="60" w:type="dxa"/>
              <w:right w:w="100" w:type="dxa"/>
            </w:tcMar>
            <w:vAlign w:val="center"/>
          </w:tcPr>
          <w:p w14:paraId="49C21E9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DEF4FAF" w14:textId="77777777" w:rsidTr="00036983">
        <w:trPr>
          <w:jc w:val="center"/>
        </w:trPr>
        <w:tc>
          <w:tcPr>
            <w:tcW w:w="238" w:type="pct"/>
            <w:tcMar>
              <w:top w:w="60" w:type="dxa"/>
              <w:left w:w="100" w:type="dxa"/>
              <w:bottom w:w="60" w:type="dxa"/>
              <w:right w:w="100" w:type="dxa"/>
            </w:tcMar>
            <w:vAlign w:val="center"/>
          </w:tcPr>
          <w:p w14:paraId="7DE2222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6744E29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58B4E21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4.329</w:t>
            </w:r>
          </w:p>
        </w:tc>
        <w:tc>
          <w:tcPr>
            <w:tcW w:w="714" w:type="pct"/>
            <w:tcMar>
              <w:top w:w="60" w:type="dxa"/>
              <w:left w:w="100" w:type="dxa"/>
              <w:bottom w:w="60" w:type="dxa"/>
              <w:right w:w="100" w:type="dxa"/>
            </w:tcMar>
            <w:vAlign w:val="center"/>
          </w:tcPr>
          <w:p w14:paraId="2E5176A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0.847</w:t>
            </w:r>
          </w:p>
        </w:tc>
        <w:tc>
          <w:tcPr>
            <w:tcW w:w="667" w:type="pct"/>
            <w:tcMar>
              <w:top w:w="60" w:type="dxa"/>
              <w:left w:w="100" w:type="dxa"/>
              <w:bottom w:w="60" w:type="dxa"/>
              <w:right w:w="100" w:type="dxa"/>
            </w:tcMar>
            <w:vAlign w:val="center"/>
          </w:tcPr>
          <w:p w14:paraId="06419B4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00D0B256"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(4.8): المتوسطات الحسابية والانحرافات المعيارية لعبارات الترميز الأمني للبيانات</w:t>
      </w:r>
    </w:p>
    <w:p w14:paraId="074A3195" w14:textId="77777777" w:rsidR="00B5019C" w:rsidRDefault="00B5019C" w:rsidP="00E000FF">
      <w:pPr>
        <w:bidi/>
        <w:spacing w:after="0" w:line="360" w:lineRule="auto"/>
        <w:jc w:val="both"/>
        <w:rPr>
          <w:rFonts w:ascii="Traditional Arabic" w:eastAsia="Simplified Arabic" w:hAnsi="Traditional Arabic" w:cs="Traditional Arabic"/>
          <w:b/>
          <w:bCs/>
          <w:sz w:val="28"/>
          <w:szCs w:val="28"/>
          <w:rtl/>
        </w:rPr>
      </w:pPr>
    </w:p>
    <w:p w14:paraId="396EC34F" w14:textId="77777777" w:rsidR="00B5019C" w:rsidRDefault="00B5019C" w:rsidP="00B5019C">
      <w:pPr>
        <w:bidi/>
        <w:spacing w:after="0" w:line="360" w:lineRule="auto"/>
        <w:jc w:val="both"/>
        <w:rPr>
          <w:rFonts w:ascii="Traditional Arabic" w:eastAsia="Simplified Arabic" w:hAnsi="Traditional Arabic" w:cs="Traditional Arabic"/>
          <w:b/>
          <w:bCs/>
          <w:sz w:val="28"/>
          <w:szCs w:val="28"/>
          <w:rtl/>
        </w:rPr>
      </w:pPr>
    </w:p>
    <w:p w14:paraId="615644D6" w14:textId="445CDBF3" w:rsidR="007608E1" w:rsidRDefault="007608E1" w:rsidP="00B5019C">
      <w:pPr>
        <w:bidi/>
        <w:spacing w:after="0" w:line="360" w:lineRule="auto"/>
        <w:jc w:val="both"/>
      </w:pPr>
      <w:r>
        <w:rPr>
          <w:rFonts w:ascii="Traditional Arabic" w:eastAsia="Simplified Arabic" w:hAnsi="Traditional Arabic" w:cs="Traditional Arabic"/>
          <w:b/>
          <w:bCs/>
          <w:sz w:val="28"/>
          <w:szCs w:val="28"/>
          <w:rtl/>
        </w:rPr>
        <w:lastRenderedPageBreak/>
        <w:t>البُعد الثاني: الامتثال للمعايير الدولية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6C755276" w14:textId="77777777" w:rsidTr="00036983">
        <w:trPr>
          <w:tblHeader/>
          <w:jc w:val="center"/>
        </w:trPr>
        <w:tc>
          <w:tcPr>
            <w:tcW w:w="238" w:type="pct"/>
            <w:shd w:val="clear" w:color="auto" w:fill="2E5395"/>
            <w:tcMar>
              <w:top w:w="60" w:type="dxa"/>
              <w:left w:w="100" w:type="dxa"/>
              <w:bottom w:w="60" w:type="dxa"/>
              <w:right w:w="100" w:type="dxa"/>
            </w:tcMar>
            <w:vAlign w:val="center"/>
          </w:tcPr>
          <w:p w14:paraId="459BBD6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02BE00C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4E31468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536CBB7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0D61653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7F99B1F3" w14:textId="77777777" w:rsidTr="00036983">
        <w:trPr>
          <w:jc w:val="center"/>
        </w:trPr>
        <w:tc>
          <w:tcPr>
            <w:tcW w:w="238" w:type="pct"/>
            <w:tcMar>
              <w:top w:w="60" w:type="dxa"/>
              <w:left w:w="100" w:type="dxa"/>
              <w:bottom w:w="60" w:type="dxa"/>
              <w:right w:w="100" w:type="dxa"/>
            </w:tcMar>
            <w:vAlign w:val="center"/>
          </w:tcPr>
          <w:p w14:paraId="6BE9646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13</w:t>
            </w:r>
          </w:p>
        </w:tc>
        <w:tc>
          <w:tcPr>
            <w:tcW w:w="2762" w:type="pct"/>
            <w:tcMar>
              <w:top w:w="60" w:type="dxa"/>
              <w:left w:w="100" w:type="dxa"/>
              <w:bottom w:w="60" w:type="dxa"/>
              <w:right w:w="100" w:type="dxa"/>
            </w:tcMar>
            <w:vAlign w:val="center"/>
          </w:tcPr>
          <w:p w14:paraId="73BD1CF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ساعد تطبيق الترميز المؤسسة على استيفاء متطلبات معيار ISO 27001 لأمن المعلومات</w:t>
            </w:r>
          </w:p>
        </w:tc>
        <w:tc>
          <w:tcPr>
            <w:tcW w:w="619" w:type="pct"/>
            <w:tcMar>
              <w:top w:w="60" w:type="dxa"/>
              <w:left w:w="100" w:type="dxa"/>
              <w:bottom w:w="60" w:type="dxa"/>
              <w:right w:w="100" w:type="dxa"/>
            </w:tcMar>
            <w:vAlign w:val="center"/>
          </w:tcPr>
          <w:p w14:paraId="390D9C2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4.255</w:t>
            </w:r>
          </w:p>
        </w:tc>
        <w:tc>
          <w:tcPr>
            <w:tcW w:w="714" w:type="pct"/>
            <w:tcMar>
              <w:top w:w="60" w:type="dxa"/>
              <w:left w:w="100" w:type="dxa"/>
              <w:bottom w:w="60" w:type="dxa"/>
              <w:right w:w="100" w:type="dxa"/>
            </w:tcMar>
            <w:vAlign w:val="center"/>
          </w:tcPr>
          <w:p w14:paraId="5A2B7AD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0.909</w:t>
            </w:r>
          </w:p>
        </w:tc>
        <w:tc>
          <w:tcPr>
            <w:tcW w:w="667" w:type="pct"/>
            <w:tcMar>
              <w:top w:w="60" w:type="dxa"/>
              <w:left w:w="100" w:type="dxa"/>
              <w:bottom w:w="60" w:type="dxa"/>
              <w:right w:w="100" w:type="dxa"/>
            </w:tcMar>
            <w:vAlign w:val="center"/>
          </w:tcPr>
          <w:p w14:paraId="5113CC8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3B3E8AA" w14:textId="77777777" w:rsidTr="00036983">
        <w:trPr>
          <w:jc w:val="center"/>
        </w:trPr>
        <w:tc>
          <w:tcPr>
            <w:tcW w:w="238" w:type="pct"/>
            <w:shd w:val="clear" w:color="auto" w:fill="F2F2F2"/>
            <w:tcMar>
              <w:top w:w="60" w:type="dxa"/>
              <w:left w:w="100" w:type="dxa"/>
              <w:bottom w:w="60" w:type="dxa"/>
              <w:right w:w="100" w:type="dxa"/>
            </w:tcMar>
            <w:vAlign w:val="center"/>
          </w:tcPr>
          <w:p w14:paraId="464CBAD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14</w:t>
            </w:r>
          </w:p>
        </w:tc>
        <w:tc>
          <w:tcPr>
            <w:tcW w:w="2762" w:type="pct"/>
            <w:shd w:val="clear" w:color="auto" w:fill="F2F2F2"/>
            <w:tcMar>
              <w:top w:w="60" w:type="dxa"/>
              <w:left w:w="100" w:type="dxa"/>
              <w:bottom w:w="60" w:type="dxa"/>
              <w:right w:w="100" w:type="dxa"/>
            </w:tcMar>
            <w:vAlign w:val="center"/>
          </w:tcPr>
          <w:p w14:paraId="08A9158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يدعم الترميز الامتثال لأطر حماية البيانات الصادرة عن البنك المركزي السعودي (SAMA)</w:t>
            </w:r>
          </w:p>
        </w:tc>
        <w:tc>
          <w:tcPr>
            <w:tcW w:w="619" w:type="pct"/>
            <w:shd w:val="clear" w:color="auto" w:fill="F2F2F2"/>
            <w:tcMar>
              <w:top w:w="60" w:type="dxa"/>
              <w:left w:w="100" w:type="dxa"/>
              <w:bottom w:w="60" w:type="dxa"/>
              <w:right w:w="100" w:type="dxa"/>
            </w:tcMar>
            <w:vAlign w:val="center"/>
          </w:tcPr>
          <w:p w14:paraId="59AC088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4.622</w:t>
            </w:r>
          </w:p>
        </w:tc>
        <w:tc>
          <w:tcPr>
            <w:tcW w:w="714" w:type="pct"/>
            <w:shd w:val="clear" w:color="auto" w:fill="F2F2F2"/>
            <w:tcMar>
              <w:top w:w="60" w:type="dxa"/>
              <w:left w:w="100" w:type="dxa"/>
              <w:bottom w:w="60" w:type="dxa"/>
              <w:right w:w="100" w:type="dxa"/>
            </w:tcMar>
            <w:vAlign w:val="center"/>
          </w:tcPr>
          <w:p w14:paraId="37D0022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0.680</w:t>
            </w:r>
          </w:p>
        </w:tc>
        <w:tc>
          <w:tcPr>
            <w:tcW w:w="667" w:type="pct"/>
            <w:shd w:val="clear" w:color="auto" w:fill="F2F2F2"/>
            <w:tcMar>
              <w:top w:w="60" w:type="dxa"/>
              <w:left w:w="100" w:type="dxa"/>
              <w:bottom w:w="60" w:type="dxa"/>
              <w:right w:w="100" w:type="dxa"/>
            </w:tcMar>
            <w:vAlign w:val="center"/>
          </w:tcPr>
          <w:p w14:paraId="41EE72B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0FED6EC" w14:textId="77777777" w:rsidTr="00036983">
        <w:trPr>
          <w:jc w:val="center"/>
        </w:trPr>
        <w:tc>
          <w:tcPr>
            <w:tcW w:w="238" w:type="pct"/>
            <w:tcMar>
              <w:top w:w="60" w:type="dxa"/>
              <w:left w:w="100" w:type="dxa"/>
              <w:bottom w:w="60" w:type="dxa"/>
              <w:right w:w="100" w:type="dxa"/>
            </w:tcMar>
            <w:vAlign w:val="center"/>
          </w:tcPr>
          <w:p w14:paraId="57F1AA3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15</w:t>
            </w:r>
          </w:p>
        </w:tc>
        <w:tc>
          <w:tcPr>
            <w:tcW w:w="2762" w:type="pct"/>
            <w:tcMar>
              <w:top w:w="60" w:type="dxa"/>
              <w:left w:w="100" w:type="dxa"/>
              <w:bottom w:w="60" w:type="dxa"/>
              <w:right w:w="100" w:type="dxa"/>
            </w:tcMar>
            <w:vAlign w:val="center"/>
          </w:tcPr>
          <w:p w14:paraId="6D1B952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تيسير عمليات التدقيق الخارجي وتقليص وقتها وتكاليفها</w:t>
            </w:r>
          </w:p>
        </w:tc>
        <w:tc>
          <w:tcPr>
            <w:tcW w:w="619" w:type="pct"/>
            <w:tcMar>
              <w:top w:w="60" w:type="dxa"/>
              <w:left w:w="100" w:type="dxa"/>
              <w:bottom w:w="60" w:type="dxa"/>
              <w:right w:w="100" w:type="dxa"/>
            </w:tcMar>
            <w:vAlign w:val="center"/>
          </w:tcPr>
          <w:p w14:paraId="5637156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4.311</w:t>
            </w:r>
          </w:p>
        </w:tc>
        <w:tc>
          <w:tcPr>
            <w:tcW w:w="714" w:type="pct"/>
            <w:tcMar>
              <w:top w:w="60" w:type="dxa"/>
              <w:left w:w="100" w:type="dxa"/>
              <w:bottom w:w="60" w:type="dxa"/>
              <w:right w:w="100" w:type="dxa"/>
            </w:tcMar>
            <w:vAlign w:val="center"/>
          </w:tcPr>
          <w:p w14:paraId="1A3DB91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0.758</w:t>
            </w:r>
          </w:p>
        </w:tc>
        <w:tc>
          <w:tcPr>
            <w:tcW w:w="667" w:type="pct"/>
            <w:tcMar>
              <w:top w:w="60" w:type="dxa"/>
              <w:left w:w="100" w:type="dxa"/>
              <w:bottom w:w="60" w:type="dxa"/>
              <w:right w:w="100" w:type="dxa"/>
            </w:tcMar>
            <w:vAlign w:val="center"/>
          </w:tcPr>
          <w:p w14:paraId="4CF152B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C8429E2" w14:textId="77777777" w:rsidTr="00036983">
        <w:trPr>
          <w:jc w:val="center"/>
        </w:trPr>
        <w:tc>
          <w:tcPr>
            <w:tcW w:w="238" w:type="pct"/>
            <w:shd w:val="clear" w:color="auto" w:fill="F2F2F2"/>
            <w:tcMar>
              <w:top w:w="60" w:type="dxa"/>
              <w:left w:w="100" w:type="dxa"/>
              <w:bottom w:w="60" w:type="dxa"/>
              <w:right w:w="100" w:type="dxa"/>
            </w:tcMar>
            <w:vAlign w:val="center"/>
          </w:tcPr>
          <w:p w14:paraId="2B880E8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16</w:t>
            </w:r>
          </w:p>
        </w:tc>
        <w:tc>
          <w:tcPr>
            <w:tcW w:w="2762" w:type="pct"/>
            <w:shd w:val="clear" w:color="auto" w:fill="F2F2F2"/>
            <w:tcMar>
              <w:top w:w="60" w:type="dxa"/>
              <w:left w:w="100" w:type="dxa"/>
              <w:bottom w:w="60" w:type="dxa"/>
              <w:right w:w="100" w:type="dxa"/>
            </w:tcMar>
            <w:vAlign w:val="center"/>
          </w:tcPr>
          <w:p w14:paraId="1DA20F0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تُوظّف المؤسسة الترميز كأداة للامتثال لأنظمة حماية البيانات المحلية والدولية</w:t>
            </w:r>
          </w:p>
        </w:tc>
        <w:tc>
          <w:tcPr>
            <w:tcW w:w="619" w:type="pct"/>
            <w:shd w:val="clear" w:color="auto" w:fill="F2F2F2"/>
            <w:tcMar>
              <w:top w:w="60" w:type="dxa"/>
              <w:left w:w="100" w:type="dxa"/>
              <w:bottom w:w="60" w:type="dxa"/>
              <w:right w:w="100" w:type="dxa"/>
            </w:tcMar>
            <w:vAlign w:val="center"/>
          </w:tcPr>
          <w:p w14:paraId="6D26A1E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4.311</w:t>
            </w:r>
          </w:p>
        </w:tc>
        <w:tc>
          <w:tcPr>
            <w:tcW w:w="714" w:type="pct"/>
            <w:shd w:val="clear" w:color="auto" w:fill="F2F2F2"/>
            <w:tcMar>
              <w:top w:w="60" w:type="dxa"/>
              <w:left w:w="100" w:type="dxa"/>
              <w:bottom w:w="60" w:type="dxa"/>
              <w:right w:w="100" w:type="dxa"/>
            </w:tcMar>
            <w:vAlign w:val="center"/>
          </w:tcPr>
          <w:p w14:paraId="7E1D32F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0.997</w:t>
            </w:r>
          </w:p>
        </w:tc>
        <w:tc>
          <w:tcPr>
            <w:tcW w:w="667" w:type="pct"/>
            <w:shd w:val="clear" w:color="auto" w:fill="F2F2F2"/>
            <w:tcMar>
              <w:top w:w="60" w:type="dxa"/>
              <w:left w:w="100" w:type="dxa"/>
              <w:bottom w:w="60" w:type="dxa"/>
              <w:right w:w="100" w:type="dxa"/>
            </w:tcMar>
            <w:vAlign w:val="center"/>
          </w:tcPr>
          <w:p w14:paraId="413A16A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46955E32" w14:textId="77777777" w:rsidTr="00036983">
        <w:trPr>
          <w:jc w:val="center"/>
        </w:trPr>
        <w:tc>
          <w:tcPr>
            <w:tcW w:w="238" w:type="pct"/>
            <w:tcMar>
              <w:top w:w="60" w:type="dxa"/>
              <w:left w:w="100" w:type="dxa"/>
              <w:bottom w:w="60" w:type="dxa"/>
              <w:right w:w="100" w:type="dxa"/>
            </w:tcMar>
            <w:vAlign w:val="center"/>
          </w:tcPr>
          <w:p w14:paraId="2547B0C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17</w:t>
            </w:r>
          </w:p>
        </w:tc>
        <w:tc>
          <w:tcPr>
            <w:tcW w:w="2762" w:type="pct"/>
            <w:tcMar>
              <w:top w:w="60" w:type="dxa"/>
              <w:left w:w="100" w:type="dxa"/>
              <w:bottom w:w="60" w:type="dxa"/>
              <w:right w:w="100" w:type="dxa"/>
            </w:tcMar>
            <w:vAlign w:val="center"/>
          </w:tcPr>
          <w:p w14:paraId="4A5658F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يُيسّر الترميز تطبيق سياسات حوكمة البيانات المؤسسية بشكل فعّال</w:t>
            </w:r>
          </w:p>
        </w:tc>
        <w:tc>
          <w:tcPr>
            <w:tcW w:w="619" w:type="pct"/>
            <w:tcMar>
              <w:top w:w="60" w:type="dxa"/>
              <w:left w:w="100" w:type="dxa"/>
              <w:bottom w:w="60" w:type="dxa"/>
              <w:right w:w="100" w:type="dxa"/>
            </w:tcMar>
            <w:vAlign w:val="center"/>
          </w:tcPr>
          <w:p w14:paraId="6D9F501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4.393</w:t>
            </w:r>
          </w:p>
        </w:tc>
        <w:tc>
          <w:tcPr>
            <w:tcW w:w="714" w:type="pct"/>
            <w:tcMar>
              <w:top w:w="60" w:type="dxa"/>
              <w:left w:w="100" w:type="dxa"/>
              <w:bottom w:w="60" w:type="dxa"/>
              <w:right w:w="100" w:type="dxa"/>
            </w:tcMar>
            <w:vAlign w:val="center"/>
          </w:tcPr>
          <w:p w14:paraId="13D19A0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0.800</w:t>
            </w:r>
          </w:p>
        </w:tc>
        <w:tc>
          <w:tcPr>
            <w:tcW w:w="667" w:type="pct"/>
            <w:tcMar>
              <w:top w:w="60" w:type="dxa"/>
              <w:left w:w="100" w:type="dxa"/>
              <w:bottom w:w="60" w:type="dxa"/>
              <w:right w:w="100" w:type="dxa"/>
            </w:tcMar>
            <w:vAlign w:val="center"/>
          </w:tcPr>
          <w:p w14:paraId="6B0F574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2410F96" w14:textId="77777777" w:rsidTr="00036983">
        <w:trPr>
          <w:jc w:val="center"/>
        </w:trPr>
        <w:tc>
          <w:tcPr>
            <w:tcW w:w="238" w:type="pct"/>
            <w:shd w:val="clear" w:color="auto" w:fill="F2F2F2"/>
            <w:tcMar>
              <w:top w:w="60" w:type="dxa"/>
              <w:left w:w="100" w:type="dxa"/>
              <w:bottom w:w="60" w:type="dxa"/>
              <w:right w:w="100" w:type="dxa"/>
            </w:tcMar>
            <w:vAlign w:val="center"/>
          </w:tcPr>
          <w:p w14:paraId="6B4B7E9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18</w:t>
            </w:r>
          </w:p>
        </w:tc>
        <w:tc>
          <w:tcPr>
            <w:tcW w:w="2762" w:type="pct"/>
            <w:shd w:val="clear" w:color="auto" w:fill="F2F2F2"/>
            <w:tcMar>
              <w:top w:w="60" w:type="dxa"/>
              <w:left w:w="100" w:type="dxa"/>
              <w:bottom w:w="60" w:type="dxa"/>
              <w:right w:w="100" w:type="dxa"/>
            </w:tcMar>
            <w:vAlign w:val="center"/>
          </w:tcPr>
          <w:p w14:paraId="4A44BD0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تُقلّص تقنية الترميز المخاطر القانونية والتنظيمية المترتبة على تسريب البيانات</w:t>
            </w:r>
          </w:p>
        </w:tc>
        <w:tc>
          <w:tcPr>
            <w:tcW w:w="619" w:type="pct"/>
            <w:shd w:val="clear" w:color="auto" w:fill="F2F2F2"/>
            <w:tcMar>
              <w:top w:w="60" w:type="dxa"/>
              <w:left w:w="100" w:type="dxa"/>
              <w:bottom w:w="60" w:type="dxa"/>
              <w:right w:w="100" w:type="dxa"/>
            </w:tcMar>
            <w:vAlign w:val="center"/>
          </w:tcPr>
          <w:p w14:paraId="4A1387E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4.490</w:t>
            </w:r>
          </w:p>
        </w:tc>
        <w:tc>
          <w:tcPr>
            <w:tcW w:w="714" w:type="pct"/>
            <w:shd w:val="clear" w:color="auto" w:fill="F2F2F2"/>
            <w:tcMar>
              <w:top w:w="60" w:type="dxa"/>
              <w:left w:w="100" w:type="dxa"/>
              <w:bottom w:w="60" w:type="dxa"/>
              <w:right w:w="100" w:type="dxa"/>
            </w:tcMar>
            <w:vAlign w:val="center"/>
          </w:tcPr>
          <w:p w14:paraId="6A52BAF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0.775</w:t>
            </w:r>
          </w:p>
        </w:tc>
        <w:tc>
          <w:tcPr>
            <w:tcW w:w="667" w:type="pct"/>
            <w:shd w:val="clear" w:color="auto" w:fill="F2F2F2"/>
            <w:tcMar>
              <w:top w:w="60" w:type="dxa"/>
              <w:left w:w="100" w:type="dxa"/>
              <w:bottom w:w="60" w:type="dxa"/>
              <w:right w:w="100" w:type="dxa"/>
            </w:tcMar>
            <w:vAlign w:val="center"/>
          </w:tcPr>
          <w:p w14:paraId="02DC234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0816766B" w14:textId="77777777" w:rsidTr="00036983">
        <w:trPr>
          <w:jc w:val="center"/>
        </w:trPr>
        <w:tc>
          <w:tcPr>
            <w:tcW w:w="238" w:type="pct"/>
            <w:tcMar>
              <w:top w:w="60" w:type="dxa"/>
              <w:left w:w="100" w:type="dxa"/>
              <w:bottom w:w="60" w:type="dxa"/>
              <w:right w:w="100" w:type="dxa"/>
            </w:tcMar>
            <w:vAlign w:val="center"/>
          </w:tcPr>
          <w:p w14:paraId="24FFD65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19</w:t>
            </w:r>
          </w:p>
        </w:tc>
        <w:tc>
          <w:tcPr>
            <w:tcW w:w="2762" w:type="pct"/>
            <w:tcMar>
              <w:top w:w="60" w:type="dxa"/>
              <w:left w:w="100" w:type="dxa"/>
              <w:bottom w:w="60" w:type="dxa"/>
              <w:right w:w="100" w:type="dxa"/>
            </w:tcMar>
            <w:vAlign w:val="center"/>
          </w:tcPr>
          <w:p w14:paraId="05CDD6B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تمتلك المؤسسة سياسة واضحة وموثقة لتطبيق معايير الترميز المعتمدة دولياً</w:t>
            </w:r>
          </w:p>
        </w:tc>
        <w:tc>
          <w:tcPr>
            <w:tcW w:w="619" w:type="pct"/>
            <w:tcMar>
              <w:top w:w="60" w:type="dxa"/>
              <w:left w:w="100" w:type="dxa"/>
              <w:bottom w:w="60" w:type="dxa"/>
              <w:right w:w="100" w:type="dxa"/>
            </w:tcMar>
            <w:vAlign w:val="center"/>
          </w:tcPr>
          <w:p w14:paraId="44B2020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4.265</w:t>
            </w:r>
          </w:p>
        </w:tc>
        <w:tc>
          <w:tcPr>
            <w:tcW w:w="714" w:type="pct"/>
            <w:tcMar>
              <w:top w:w="60" w:type="dxa"/>
              <w:left w:w="100" w:type="dxa"/>
              <w:bottom w:w="60" w:type="dxa"/>
              <w:right w:w="100" w:type="dxa"/>
            </w:tcMar>
            <w:vAlign w:val="center"/>
          </w:tcPr>
          <w:p w14:paraId="7C052D3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1.164</w:t>
            </w:r>
          </w:p>
        </w:tc>
        <w:tc>
          <w:tcPr>
            <w:tcW w:w="667" w:type="pct"/>
            <w:tcMar>
              <w:top w:w="60" w:type="dxa"/>
              <w:left w:w="100" w:type="dxa"/>
              <w:bottom w:w="60" w:type="dxa"/>
              <w:right w:w="100" w:type="dxa"/>
            </w:tcMar>
            <w:vAlign w:val="center"/>
          </w:tcPr>
          <w:p w14:paraId="6DA5AE2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D1FA931" w14:textId="77777777" w:rsidTr="00036983">
        <w:trPr>
          <w:jc w:val="center"/>
        </w:trPr>
        <w:tc>
          <w:tcPr>
            <w:tcW w:w="238" w:type="pct"/>
            <w:shd w:val="clear" w:color="auto" w:fill="F2F2F2"/>
            <w:tcMar>
              <w:top w:w="60" w:type="dxa"/>
              <w:left w:w="100" w:type="dxa"/>
              <w:bottom w:w="60" w:type="dxa"/>
              <w:right w:w="100" w:type="dxa"/>
            </w:tcMar>
            <w:vAlign w:val="center"/>
          </w:tcPr>
          <w:p w14:paraId="60C9AA8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shd w:val="clear" w:color="auto" w:fill="F2F2F2"/>
            <w:tcMar>
              <w:top w:w="60" w:type="dxa"/>
              <w:left w:w="100" w:type="dxa"/>
              <w:bottom w:w="60" w:type="dxa"/>
              <w:right w:w="100" w:type="dxa"/>
            </w:tcMar>
            <w:vAlign w:val="center"/>
          </w:tcPr>
          <w:p w14:paraId="339FFE1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shd w:val="clear" w:color="auto" w:fill="F2F2F2"/>
            <w:tcMar>
              <w:top w:w="60" w:type="dxa"/>
              <w:left w:w="100" w:type="dxa"/>
              <w:bottom w:w="60" w:type="dxa"/>
              <w:right w:w="100" w:type="dxa"/>
            </w:tcMar>
            <w:vAlign w:val="center"/>
          </w:tcPr>
          <w:p w14:paraId="1BE2CA2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4.378</w:t>
            </w:r>
          </w:p>
        </w:tc>
        <w:tc>
          <w:tcPr>
            <w:tcW w:w="714" w:type="pct"/>
            <w:shd w:val="clear" w:color="auto" w:fill="F2F2F2"/>
            <w:tcMar>
              <w:top w:w="60" w:type="dxa"/>
              <w:left w:w="100" w:type="dxa"/>
              <w:bottom w:w="60" w:type="dxa"/>
              <w:right w:w="100" w:type="dxa"/>
            </w:tcMar>
            <w:vAlign w:val="center"/>
          </w:tcPr>
          <w:p w14:paraId="6671732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0.743</w:t>
            </w:r>
          </w:p>
        </w:tc>
        <w:tc>
          <w:tcPr>
            <w:tcW w:w="667" w:type="pct"/>
            <w:shd w:val="clear" w:color="auto" w:fill="F2F2F2"/>
            <w:tcMar>
              <w:top w:w="60" w:type="dxa"/>
              <w:left w:w="100" w:type="dxa"/>
              <w:bottom w:w="60" w:type="dxa"/>
              <w:right w:w="100" w:type="dxa"/>
            </w:tcMar>
            <w:vAlign w:val="center"/>
          </w:tcPr>
          <w:p w14:paraId="295AD81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62AA8C4C"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(4.9): المتوسطات الحسابية والانحرافات المعيارية لعبارات الامتثال للمعايير الدولية</w:t>
      </w:r>
    </w:p>
    <w:p w14:paraId="43D53519"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البُعد الثالث: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35F7ED8C" w14:textId="77777777" w:rsidTr="00036983">
        <w:trPr>
          <w:tblHeader/>
          <w:jc w:val="center"/>
        </w:trPr>
        <w:tc>
          <w:tcPr>
            <w:tcW w:w="238" w:type="pct"/>
            <w:shd w:val="clear" w:color="auto" w:fill="2E5395"/>
            <w:tcMar>
              <w:top w:w="60" w:type="dxa"/>
              <w:left w:w="100" w:type="dxa"/>
              <w:bottom w:w="60" w:type="dxa"/>
              <w:right w:w="100" w:type="dxa"/>
            </w:tcMar>
            <w:vAlign w:val="center"/>
          </w:tcPr>
          <w:p w14:paraId="6562D2B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1B3B10D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44012DA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7C41C9B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02E568F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784A9E6F" w14:textId="77777777" w:rsidTr="00036983">
        <w:trPr>
          <w:jc w:val="center"/>
        </w:trPr>
        <w:tc>
          <w:tcPr>
            <w:tcW w:w="238" w:type="pct"/>
            <w:tcMar>
              <w:top w:w="60" w:type="dxa"/>
              <w:left w:w="100" w:type="dxa"/>
              <w:bottom w:w="60" w:type="dxa"/>
              <w:right w:w="100" w:type="dxa"/>
            </w:tcMar>
            <w:vAlign w:val="center"/>
          </w:tcPr>
          <w:p w14:paraId="0360E15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20</w:t>
            </w:r>
          </w:p>
        </w:tc>
        <w:tc>
          <w:tcPr>
            <w:tcW w:w="2762" w:type="pct"/>
            <w:tcMar>
              <w:top w:w="60" w:type="dxa"/>
              <w:left w:w="100" w:type="dxa"/>
              <w:bottom w:w="60" w:type="dxa"/>
              <w:right w:w="100" w:type="dxa"/>
            </w:tcMar>
            <w:vAlign w:val="center"/>
          </w:tcPr>
          <w:p w14:paraId="36B18A0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تقليص وقت معالجة المعاملات المالية بنسبة ملحوظة</w:t>
            </w:r>
          </w:p>
        </w:tc>
        <w:tc>
          <w:tcPr>
            <w:tcW w:w="619" w:type="pct"/>
            <w:tcMar>
              <w:top w:w="60" w:type="dxa"/>
              <w:left w:w="100" w:type="dxa"/>
              <w:bottom w:w="60" w:type="dxa"/>
              <w:right w:w="100" w:type="dxa"/>
            </w:tcMar>
            <w:vAlign w:val="center"/>
          </w:tcPr>
          <w:p w14:paraId="54098DC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4.209</w:t>
            </w:r>
          </w:p>
        </w:tc>
        <w:tc>
          <w:tcPr>
            <w:tcW w:w="714" w:type="pct"/>
            <w:tcMar>
              <w:top w:w="60" w:type="dxa"/>
              <w:left w:w="100" w:type="dxa"/>
              <w:bottom w:w="60" w:type="dxa"/>
              <w:right w:w="100" w:type="dxa"/>
            </w:tcMar>
            <w:vAlign w:val="center"/>
          </w:tcPr>
          <w:p w14:paraId="0D90031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0.940</w:t>
            </w:r>
          </w:p>
        </w:tc>
        <w:tc>
          <w:tcPr>
            <w:tcW w:w="667" w:type="pct"/>
            <w:tcMar>
              <w:top w:w="60" w:type="dxa"/>
              <w:left w:w="100" w:type="dxa"/>
              <w:bottom w:w="60" w:type="dxa"/>
              <w:right w:w="100" w:type="dxa"/>
            </w:tcMar>
            <w:vAlign w:val="center"/>
          </w:tcPr>
          <w:p w14:paraId="68D2C13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662511FF" w14:textId="77777777" w:rsidTr="00036983">
        <w:trPr>
          <w:jc w:val="center"/>
        </w:trPr>
        <w:tc>
          <w:tcPr>
            <w:tcW w:w="238" w:type="pct"/>
            <w:shd w:val="clear" w:color="auto" w:fill="F2F2F2"/>
            <w:tcMar>
              <w:top w:w="60" w:type="dxa"/>
              <w:left w:w="100" w:type="dxa"/>
              <w:bottom w:w="60" w:type="dxa"/>
              <w:right w:w="100" w:type="dxa"/>
            </w:tcMar>
            <w:vAlign w:val="center"/>
          </w:tcPr>
          <w:p w14:paraId="61AD118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21</w:t>
            </w:r>
          </w:p>
        </w:tc>
        <w:tc>
          <w:tcPr>
            <w:tcW w:w="2762" w:type="pct"/>
            <w:shd w:val="clear" w:color="auto" w:fill="F2F2F2"/>
            <w:tcMar>
              <w:top w:w="60" w:type="dxa"/>
              <w:left w:w="100" w:type="dxa"/>
              <w:bottom w:w="60" w:type="dxa"/>
              <w:right w:w="100" w:type="dxa"/>
            </w:tcMar>
            <w:vAlign w:val="center"/>
          </w:tcPr>
          <w:p w14:paraId="4785E54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خفّض الترميز تكاليف التشغيل المرتبطة بأمن المدفوعات الإلكترونية</w:t>
            </w:r>
          </w:p>
        </w:tc>
        <w:tc>
          <w:tcPr>
            <w:tcW w:w="619" w:type="pct"/>
            <w:shd w:val="clear" w:color="auto" w:fill="F2F2F2"/>
            <w:tcMar>
              <w:top w:w="60" w:type="dxa"/>
              <w:left w:w="100" w:type="dxa"/>
              <w:bottom w:w="60" w:type="dxa"/>
              <w:right w:w="100" w:type="dxa"/>
            </w:tcMar>
            <w:vAlign w:val="center"/>
          </w:tcPr>
          <w:p w14:paraId="76B96C9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4.056</w:t>
            </w:r>
          </w:p>
        </w:tc>
        <w:tc>
          <w:tcPr>
            <w:tcW w:w="714" w:type="pct"/>
            <w:shd w:val="clear" w:color="auto" w:fill="F2F2F2"/>
            <w:tcMar>
              <w:top w:w="60" w:type="dxa"/>
              <w:left w:w="100" w:type="dxa"/>
              <w:bottom w:w="60" w:type="dxa"/>
              <w:right w:w="100" w:type="dxa"/>
            </w:tcMar>
            <w:vAlign w:val="center"/>
          </w:tcPr>
          <w:p w14:paraId="4288E07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1.063</w:t>
            </w:r>
          </w:p>
        </w:tc>
        <w:tc>
          <w:tcPr>
            <w:tcW w:w="667" w:type="pct"/>
            <w:shd w:val="clear" w:color="auto" w:fill="F2F2F2"/>
            <w:tcMar>
              <w:top w:w="60" w:type="dxa"/>
              <w:left w:w="100" w:type="dxa"/>
              <w:bottom w:w="60" w:type="dxa"/>
              <w:right w:w="100" w:type="dxa"/>
            </w:tcMar>
            <w:vAlign w:val="center"/>
          </w:tcPr>
          <w:p w14:paraId="1817DA7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5693C7DD" w14:textId="77777777" w:rsidTr="00036983">
        <w:trPr>
          <w:jc w:val="center"/>
        </w:trPr>
        <w:tc>
          <w:tcPr>
            <w:tcW w:w="238" w:type="pct"/>
            <w:tcMar>
              <w:top w:w="60" w:type="dxa"/>
              <w:left w:w="100" w:type="dxa"/>
              <w:bottom w:w="60" w:type="dxa"/>
              <w:right w:w="100" w:type="dxa"/>
            </w:tcMar>
            <w:vAlign w:val="center"/>
          </w:tcPr>
          <w:p w14:paraId="37304CC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22</w:t>
            </w:r>
          </w:p>
        </w:tc>
        <w:tc>
          <w:tcPr>
            <w:tcW w:w="2762" w:type="pct"/>
            <w:tcMar>
              <w:top w:w="60" w:type="dxa"/>
              <w:left w:w="100" w:type="dxa"/>
              <w:bottom w:w="60" w:type="dxa"/>
              <w:right w:w="100" w:type="dxa"/>
            </w:tcMar>
            <w:vAlign w:val="center"/>
          </w:tcPr>
          <w:p w14:paraId="52FDA89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عزّز تطبيق الترميز مستوى ثقة العملاء في المنصات المالية الرقمية للمؤسسة</w:t>
            </w:r>
          </w:p>
        </w:tc>
        <w:tc>
          <w:tcPr>
            <w:tcW w:w="619" w:type="pct"/>
            <w:tcMar>
              <w:top w:w="60" w:type="dxa"/>
              <w:left w:w="100" w:type="dxa"/>
              <w:bottom w:w="60" w:type="dxa"/>
              <w:right w:w="100" w:type="dxa"/>
            </w:tcMar>
            <w:vAlign w:val="center"/>
          </w:tcPr>
          <w:p w14:paraId="683A455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4.520</w:t>
            </w:r>
          </w:p>
        </w:tc>
        <w:tc>
          <w:tcPr>
            <w:tcW w:w="714" w:type="pct"/>
            <w:tcMar>
              <w:top w:w="60" w:type="dxa"/>
              <w:left w:w="100" w:type="dxa"/>
              <w:bottom w:w="60" w:type="dxa"/>
              <w:right w:w="100" w:type="dxa"/>
            </w:tcMar>
            <w:vAlign w:val="center"/>
          </w:tcPr>
          <w:p w14:paraId="1E83A85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0.761</w:t>
            </w:r>
          </w:p>
        </w:tc>
        <w:tc>
          <w:tcPr>
            <w:tcW w:w="667" w:type="pct"/>
            <w:tcMar>
              <w:top w:w="60" w:type="dxa"/>
              <w:left w:w="100" w:type="dxa"/>
              <w:bottom w:w="60" w:type="dxa"/>
              <w:right w:w="100" w:type="dxa"/>
            </w:tcMar>
            <w:vAlign w:val="center"/>
          </w:tcPr>
          <w:p w14:paraId="3BDE349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58FF0B4" w14:textId="77777777" w:rsidTr="00036983">
        <w:trPr>
          <w:jc w:val="center"/>
        </w:trPr>
        <w:tc>
          <w:tcPr>
            <w:tcW w:w="238" w:type="pct"/>
            <w:shd w:val="clear" w:color="auto" w:fill="F2F2F2"/>
            <w:tcMar>
              <w:top w:w="60" w:type="dxa"/>
              <w:left w:w="100" w:type="dxa"/>
              <w:bottom w:w="60" w:type="dxa"/>
              <w:right w:w="100" w:type="dxa"/>
            </w:tcMar>
            <w:vAlign w:val="center"/>
          </w:tcPr>
          <w:p w14:paraId="7E6748A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23</w:t>
            </w:r>
          </w:p>
        </w:tc>
        <w:tc>
          <w:tcPr>
            <w:tcW w:w="2762" w:type="pct"/>
            <w:shd w:val="clear" w:color="auto" w:fill="F2F2F2"/>
            <w:tcMar>
              <w:top w:w="60" w:type="dxa"/>
              <w:left w:w="100" w:type="dxa"/>
              <w:bottom w:w="60" w:type="dxa"/>
              <w:right w:w="100" w:type="dxa"/>
            </w:tcMar>
            <w:vAlign w:val="center"/>
          </w:tcPr>
          <w:p w14:paraId="5B5BAAB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 xml:space="preserve">تُعالَج المعاملات المالية </w:t>
            </w:r>
            <w:proofErr w:type="spellStart"/>
            <w:r w:rsidRPr="00B5019C">
              <w:rPr>
                <w:rFonts w:ascii="Traditional Arabic" w:eastAsia="Simplified Arabic" w:hAnsi="Traditional Arabic" w:cs="Traditional Arabic"/>
                <w:color w:val="000000"/>
                <w:sz w:val="24"/>
                <w:szCs w:val="24"/>
                <w:rtl/>
              </w:rPr>
              <w:t>المُرمَّزة</w:t>
            </w:r>
            <w:proofErr w:type="spellEnd"/>
            <w:r w:rsidRPr="00B5019C">
              <w:rPr>
                <w:rFonts w:ascii="Traditional Arabic" w:eastAsia="Simplified Arabic" w:hAnsi="Traditional Arabic" w:cs="Traditional Arabic"/>
                <w:color w:val="000000"/>
                <w:sz w:val="24"/>
                <w:szCs w:val="24"/>
                <w:rtl/>
              </w:rPr>
              <w:t xml:space="preserve"> بسرعة ودقة أعلى مقارنةً بالأنظمة التقليدية</w:t>
            </w:r>
          </w:p>
        </w:tc>
        <w:tc>
          <w:tcPr>
            <w:tcW w:w="619" w:type="pct"/>
            <w:shd w:val="clear" w:color="auto" w:fill="F2F2F2"/>
            <w:tcMar>
              <w:top w:w="60" w:type="dxa"/>
              <w:left w:w="100" w:type="dxa"/>
              <w:bottom w:w="60" w:type="dxa"/>
              <w:right w:w="100" w:type="dxa"/>
            </w:tcMar>
            <w:vAlign w:val="center"/>
          </w:tcPr>
          <w:p w14:paraId="66B17CE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4.418</w:t>
            </w:r>
          </w:p>
        </w:tc>
        <w:tc>
          <w:tcPr>
            <w:tcW w:w="714" w:type="pct"/>
            <w:shd w:val="clear" w:color="auto" w:fill="F2F2F2"/>
            <w:tcMar>
              <w:top w:w="60" w:type="dxa"/>
              <w:left w:w="100" w:type="dxa"/>
              <w:bottom w:w="60" w:type="dxa"/>
              <w:right w:w="100" w:type="dxa"/>
            </w:tcMar>
            <w:vAlign w:val="center"/>
          </w:tcPr>
          <w:p w14:paraId="4211BA3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0.858</w:t>
            </w:r>
          </w:p>
        </w:tc>
        <w:tc>
          <w:tcPr>
            <w:tcW w:w="667" w:type="pct"/>
            <w:shd w:val="clear" w:color="auto" w:fill="F2F2F2"/>
            <w:tcMar>
              <w:top w:w="60" w:type="dxa"/>
              <w:left w:w="100" w:type="dxa"/>
              <w:bottom w:w="60" w:type="dxa"/>
              <w:right w:w="100" w:type="dxa"/>
            </w:tcMar>
            <w:vAlign w:val="center"/>
          </w:tcPr>
          <w:p w14:paraId="3D223D2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CC35259" w14:textId="77777777" w:rsidTr="00036983">
        <w:trPr>
          <w:jc w:val="center"/>
        </w:trPr>
        <w:tc>
          <w:tcPr>
            <w:tcW w:w="238" w:type="pct"/>
            <w:tcMar>
              <w:top w:w="60" w:type="dxa"/>
              <w:left w:w="100" w:type="dxa"/>
              <w:bottom w:w="60" w:type="dxa"/>
              <w:right w:w="100" w:type="dxa"/>
            </w:tcMar>
            <w:vAlign w:val="center"/>
          </w:tcPr>
          <w:p w14:paraId="5E1221C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24</w:t>
            </w:r>
          </w:p>
        </w:tc>
        <w:tc>
          <w:tcPr>
            <w:tcW w:w="2762" w:type="pct"/>
            <w:tcMar>
              <w:top w:w="60" w:type="dxa"/>
              <w:left w:w="100" w:type="dxa"/>
              <w:bottom w:w="60" w:type="dxa"/>
              <w:right w:w="100" w:type="dxa"/>
            </w:tcMar>
            <w:vAlign w:val="center"/>
          </w:tcPr>
          <w:p w14:paraId="78A78B5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 الترميز في تقليص معدلات الاحتيال المالي (</w:t>
            </w:r>
            <w:proofErr w:type="spellStart"/>
            <w:r w:rsidRPr="00B5019C">
              <w:rPr>
                <w:rFonts w:ascii="Traditional Arabic" w:eastAsia="Simplified Arabic" w:hAnsi="Traditional Arabic" w:cs="Traditional Arabic"/>
                <w:color w:val="000000"/>
                <w:sz w:val="24"/>
                <w:szCs w:val="24"/>
                <w:rtl/>
              </w:rPr>
              <w:t>Fraud</w:t>
            </w:r>
            <w:proofErr w:type="spellEnd"/>
            <w:r w:rsidRPr="00B5019C">
              <w:rPr>
                <w:rFonts w:ascii="Traditional Arabic" w:eastAsia="Simplified Arabic" w:hAnsi="Traditional Arabic" w:cs="Traditional Arabic"/>
                <w:color w:val="000000"/>
                <w:sz w:val="24"/>
                <w:szCs w:val="24"/>
                <w:rtl/>
              </w:rPr>
              <w:t>) والمعاملات المزيفة</w:t>
            </w:r>
          </w:p>
        </w:tc>
        <w:tc>
          <w:tcPr>
            <w:tcW w:w="619" w:type="pct"/>
            <w:tcMar>
              <w:top w:w="60" w:type="dxa"/>
              <w:left w:w="100" w:type="dxa"/>
              <w:bottom w:w="60" w:type="dxa"/>
              <w:right w:w="100" w:type="dxa"/>
            </w:tcMar>
            <w:vAlign w:val="center"/>
          </w:tcPr>
          <w:p w14:paraId="4E99689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4.515</w:t>
            </w:r>
          </w:p>
        </w:tc>
        <w:tc>
          <w:tcPr>
            <w:tcW w:w="714" w:type="pct"/>
            <w:tcMar>
              <w:top w:w="60" w:type="dxa"/>
              <w:left w:w="100" w:type="dxa"/>
              <w:bottom w:w="60" w:type="dxa"/>
              <w:right w:w="100" w:type="dxa"/>
            </w:tcMar>
            <w:vAlign w:val="center"/>
          </w:tcPr>
          <w:p w14:paraId="6E4E368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0.788</w:t>
            </w:r>
          </w:p>
        </w:tc>
        <w:tc>
          <w:tcPr>
            <w:tcW w:w="667" w:type="pct"/>
            <w:tcMar>
              <w:top w:w="60" w:type="dxa"/>
              <w:left w:w="100" w:type="dxa"/>
              <w:bottom w:w="60" w:type="dxa"/>
              <w:right w:w="100" w:type="dxa"/>
            </w:tcMar>
            <w:vAlign w:val="center"/>
          </w:tcPr>
          <w:p w14:paraId="498FCD4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8A17B20" w14:textId="77777777" w:rsidTr="00036983">
        <w:trPr>
          <w:jc w:val="center"/>
        </w:trPr>
        <w:tc>
          <w:tcPr>
            <w:tcW w:w="238" w:type="pct"/>
            <w:shd w:val="clear" w:color="auto" w:fill="F2F2F2"/>
            <w:tcMar>
              <w:top w:w="60" w:type="dxa"/>
              <w:left w:w="100" w:type="dxa"/>
              <w:bottom w:w="60" w:type="dxa"/>
              <w:right w:w="100" w:type="dxa"/>
            </w:tcMar>
            <w:vAlign w:val="center"/>
          </w:tcPr>
          <w:p w14:paraId="5C3AD83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25</w:t>
            </w:r>
          </w:p>
        </w:tc>
        <w:tc>
          <w:tcPr>
            <w:tcW w:w="2762" w:type="pct"/>
            <w:shd w:val="clear" w:color="auto" w:fill="F2F2F2"/>
            <w:tcMar>
              <w:top w:w="60" w:type="dxa"/>
              <w:left w:w="100" w:type="dxa"/>
              <w:bottom w:w="60" w:type="dxa"/>
              <w:right w:w="100" w:type="dxa"/>
            </w:tcMar>
            <w:vAlign w:val="center"/>
          </w:tcPr>
          <w:p w14:paraId="5886163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أتاح الترميز توسيع نطاق الخدمات المالية الرقمية دون المساس بمستوى الأمان</w:t>
            </w:r>
          </w:p>
        </w:tc>
        <w:tc>
          <w:tcPr>
            <w:tcW w:w="619" w:type="pct"/>
            <w:shd w:val="clear" w:color="auto" w:fill="F2F2F2"/>
            <w:tcMar>
              <w:top w:w="60" w:type="dxa"/>
              <w:left w:w="100" w:type="dxa"/>
              <w:bottom w:w="60" w:type="dxa"/>
              <w:right w:w="100" w:type="dxa"/>
            </w:tcMar>
            <w:vAlign w:val="center"/>
          </w:tcPr>
          <w:p w14:paraId="2B1014F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4.495</w:t>
            </w:r>
          </w:p>
        </w:tc>
        <w:tc>
          <w:tcPr>
            <w:tcW w:w="714" w:type="pct"/>
            <w:shd w:val="clear" w:color="auto" w:fill="F2F2F2"/>
            <w:tcMar>
              <w:top w:w="60" w:type="dxa"/>
              <w:left w:w="100" w:type="dxa"/>
              <w:bottom w:w="60" w:type="dxa"/>
              <w:right w:w="100" w:type="dxa"/>
            </w:tcMar>
            <w:vAlign w:val="center"/>
          </w:tcPr>
          <w:p w14:paraId="2300929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0.748</w:t>
            </w:r>
          </w:p>
        </w:tc>
        <w:tc>
          <w:tcPr>
            <w:tcW w:w="667" w:type="pct"/>
            <w:shd w:val="clear" w:color="auto" w:fill="F2F2F2"/>
            <w:tcMar>
              <w:top w:w="60" w:type="dxa"/>
              <w:left w:w="100" w:type="dxa"/>
              <w:bottom w:w="60" w:type="dxa"/>
              <w:right w:w="100" w:type="dxa"/>
            </w:tcMar>
            <w:vAlign w:val="center"/>
          </w:tcPr>
          <w:p w14:paraId="6805267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08022EEC" w14:textId="77777777" w:rsidTr="00036983">
        <w:trPr>
          <w:jc w:val="center"/>
        </w:trPr>
        <w:tc>
          <w:tcPr>
            <w:tcW w:w="238" w:type="pct"/>
            <w:tcMar>
              <w:top w:w="60" w:type="dxa"/>
              <w:left w:w="100" w:type="dxa"/>
              <w:bottom w:w="60" w:type="dxa"/>
              <w:right w:w="100" w:type="dxa"/>
            </w:tcMar>
            <w:vAlign w:val="center"/>
          </w:tcPr>
          <w:p w14:paraId="55FD309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6D3D48D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632097A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4.369</w:t>
            </w:r>
          </w:p>
        </w:tc>
        <w:tc>
          <w:tcPr>
            <w:tcW w:w="714" w:type="pct"/>
            <w:tcMar>
              <w:top w:w="60" w:type="dxa"/>
              <w:left w:w="100" w:type="dxa"/>
              <w:bottom w:w="60" w:type="dxa"/>
              <w:right w:w="100" w:type="dxa"/>
            </w:tcMar>
            <w:vAlign w:val="center"/>
          </w:tcPr>
          <w:p w14:paraId="7467C8F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0.730</w:t>
            </w:r>
          </w:p>
        </w:tc>
        <w:tc>
          <w:tcPr>
            <w:tcW w:w="667" w:type="pct"/>
            <w:tcMar>
              <w:top w:w="60" w:type="dxa"/>
              <w:left w:w="100" w:type="dxa"/>
              <w:bottom w:w="60" w:type="dxa"/>
              <w:right w:w="100" w:type="dxa"/>
            </w:tcMar>
            <w:vAlign w:val="center"/>
          </w:tcPr>
          <w:p w14:paraId="4C94EAD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56CECE07"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(4.10): المتوسطات الحسابية والانحرافات المعيارية لعبارات الكفاءة التشغيلية المالية</w:t>
      </w:r>
    </w:p>
    <w:p w14:paraId="56C2C885"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البُعد الرابع: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147F7AC6" w14:textId="77777777" w:rsidTr="00036983">
        <w:trPr>
          <w:tblHeader/>
          <w:jc w:val="center"/>
        </w:trPr>
        <w:tc>
          <w:tcPr>
            <w:tcW w:w="238" w:type="pct"/>
            <w:shd w:val="clear" w:color="auto" w:fill="2E5395"/>
            <w:tcMar>
              <w:top w:w="60" w:type="dxa"/>
              <w:left w:w="100" w:type="dxa"/>
              <w:bottom w:w="60" w:type="dxa"/>
              <w:right w:w="100" w:type="dxa"/>
            </w:tcMar>
            <w:vAlign w:val="center"/>
          </w:tcPr>
          <w:p w14:paraId="0993785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797BD21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1E383A5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6E23D2A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6F546A5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7669F9D2" w14:textId="77777777" w:rsidTr="00036983">
        <w:trPr>
          <w:jc w:val="center"/>
        </w:trPr>
        <w:tc>
          <w:tcPr>
            <w:tcW w:w="238" w:type="pct"/>
            <w:tcMar>
              <w:top w:w="60" w:type="dxa"/>
              <w:left w:w="100" w:type="dxa"/>
              <w:bottom w:w="60" w:type="dxa"/>
              <w:right w:w="100" w:type="dxa"/>
            </w:tcMar>
            <w:vAlign w:val="center"/>
          </w:tcPr>
          <w:p w14:paraId="7995AD3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26</w:t>
            </w:r>
          </w:p>
        </w:tc>
        <w:tc>
          <w:tcPr>
            <w:tcW w:w="2762" w:type="pct"/>
            <w:tcMar>
              <w:top w:w="60" w:type="dxa"/>
              <w:left w:w="100" w:type="dxa"/>
              <w:bottom w:w="60" w:type="dxa"/>
              <w:right w:w="100" w:type="dxa"/>
            </w:tcMar>
            <w:vAlign w:val="center"/>
          </w:tcPr>
          <w:p w14:paraId="7E22BBB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يُقلّص الترميز مساحة الهجوم السيبراني (</w:t>
            </w:r>
            <w:proofErr w:type="spellStart"/>
            <w:r w:rsidRPr="00B5019C">
              <w:rPr>
                <w:rFonts w:ascii="Traditional Arabic" w:eastAsia="Simplified Arabic" w:hAnsi="Traditional Arabic" w:cs="Traditional Arabic"/>
                <w:color w:val="000000"/>
                <w:sz w:val="24"/>
                <w:szCs w:val="24"/>
                <w:rtl/>
              </w:rPr>
              <w:t>Attack</w:t>
            </w:r>
            <w:proofErr w:type="spellEnd"/>
            <w:r w:rsidRPr="00B5019C">
              <w:rPr>
                <w:rFonts w:ascii="Traditional Arabic" w:eastAsia="Simplified Arabic" w:hAnsi="Traditional Arabic" w:cs="Traditional Arabic"/>
                <w:color w:val="000000"/>
                <w:sz w:val="24"/>
                <w:szCs w:val="24"/>
                <w:rtl/>
              </w:rPr>
              <w:t xml:space="preserve"> </w:t>
            </w:r>
            <w:proofErr w:type="spellStart"/>
            <w:r w:rsidRPr="00B5019C">
              <w:rPr>
                <w:rFonts w:ascii="Traditional Arabic" w:eastAsia="Simplified Arabic" w:hAnsi="Traditional Arabic" w:cs="Traditional Arabic"/>
                <w:color w:val="000000"/>
                <w:sz w:val="24"/>
                <w:szCs w:val="24"/>
                <w:rtl/>
              </w:rPr>
              <w:t>Surface</w:t>
            </w:r>
            <w:proofErr w:type="spellEnd"/>
            <w:r w:rsidRPr="00B5019C">
              <w:rPr>
                <w:rFonts w:ascii="Traditional Arabic" w:eastAsia="Simplified Arabic" w:hAnsi="Traditional Arabic" w:cs="Traditional Arabic"/>
                <w:color w:val="000000"/>
                <w:sz w:val="24"/>
                <w:szCs w:val="24"/>
                <w:rtl/>
              </w:rPr>
              <w:t>) على البنية التحتية المالية للمؤسسة</w:t>
            </w:r>
          </w:p>
        </w:tc>
        <w:tc>
          <w:tcPr>
            <w:tcW w:w="619" w:type="pct"/>
            <w:tcMar>
              <w:top w:w="60" w:type="dxa"/>
              <w:left w:w="100" w:type="dxa"/>
              <w:bottom w:w="60" w:type="dxa"/>
              <w:right w:w="100" w:type="dxa"/>
            </w:tcMar>
            <w:vAlign w:val="center"/>
          </w:tcPr>
          <w:p w14:paraId="158775C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4.418</w:t>
            </w:r>
          </w:p>
        </w:tc>
        <w:tc>
          <w:tcPr>
            <w:tcW w:w="714" w:type="pct"/>
            <w:tcMar>
              <w:top w:w="60" w:type="dxa"/>
              <w:left w:w="100" w:type="dxa"/>
              <w:bottom w:w="60" w:type="dxa"/>
              <w:right w:w="100" w:type="dxa"/>
            </w:tcMar>
            <w:vAlign w:val="center"/>
          </w:tcPr>
          <w:p w14:paraId="08BF271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0.757</w:t>
            </w:r>
          </w:p>
        </w:tc>
        <w:tc>
          <w:tcPr>
            <w:tcW w:w="667" w:type="pct"/>
            <w:tcMar>
              <w:top w:w="60" w:type="dxa"/>
              <w:left w:w="100" w:type="dxa"/>
              <w:bottom w:w="60" w:type="dxa"/>
              <w:right w:w="100" w:type="dxa"/>
            </w:tcMar>
            <w:vAlign w:val="center"/>
          </w:tcPr>
          <w:p w14:paraId="284B939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D1E645D" w14:textId="77777777" w:rsidTr="00036983">
        <w:trPr>
          <w:jc w:val="center"/>
        </w:trPr>
        <w:tc>
          <w:tcPr>
            <w:tcW w:w="238" w:type="pct"/>
            <w:shd w:val="clear" w:color="auto" w:fill="F2F2F2"/>
            <w:tcMar>
              <w:top w:w="60" w:type="dxa"/>
              <w:left w:w="100" w:type="dxa"/>
              <w:bottom w:w="60" w:type="dxa"/>
              <w:right w:w="100" w:type="dxa"/>
            </w:tcMar>
            <w:vAlign w:val="center"/>
          </w:tcPr>
          <w:p w14:paraId="5AA1D1B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27</w:t>
            </w:r>
          </w:p>
        </w:tc>
        <w:tc>
          <w:tcPr>
            <w:tcW w:w="2762" w:type="pct"/>
            <w:shd w:val="clear" w:color="auto" w:fill="F2F2F2"/>
            <w:tcMar>
              <w:top w:w="60" w:type="dxa"/>
              <w:left w:w="100" w:type="dxa"/>
              <w:bottom w:w="60" w:type="dxa"/>
              <w:right w:w="100" w:type="dxa"/>
            </w:tcMar>
            <w:vAlign w:val="center"/>
          </w:tcPr>
          <w:p w14:paraId="0CF65C6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خفّض اعتماد الترميز من تداعيات اختراق البيانات حتى في حالات نجاح الهجمات</w:t>
            </w:r>
          </w:p>
        </w:tc>
        <w:tc>
          <w:tcPr>
            <w:tcW w:w="619" w:type="pct"/>
            <w:shd w:val="clear" w:color="auto" w:fill="F2F2F2"/>
            <w:tcMar>
              <w:top w:w="60" w:type="dxa"/>
              <w:left w:w="100" w:type="dxa"/>
              <w:bottom w:w="60" w:type="dxa"/>
              <w:right w:w="100" w:type="dxa"/>
            </w:tcMar>
            <w:vAlign w:val="center"/>
          </w:tcPr>
          <w:p w14:paraId="6244955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4.423</w:t>
            </w:r>
          </w:p>
        </w:tc>
        <w:tc>
          <w:tcPr>
            <w:tcW w:w="714" w:type="pct"/>
            <w:shd w:val="clear" w:color="auto" w:fill="F2F2F2"/>
            <w:tcMar>
              <w:top w:w="60" w:type="dxa"/>
              <w:left w:w="100" w:type="dxa"/>
              <w:bottom w:w="60" w:type="dxa"/>
              <w:right w:w="100" w:type="dxa"/>
            </w:tcMar>
            <w:vAlign w:val="center"/>
          </w:tcPr>
          <w:p w14:paraId="7C2313D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0.723</w:t>
            </w:r>
          </w:p>
        </w:tc>
        <w:tc>
          <w:tcPr>
            <w:tcW w:w="667" w:type="pct"/>
            <w:shd w:val="clear" w:color="auto" w:fill="F2F2F2"/>
            <w:tcMar>
              <w:top w:w="60" w:type="dxa"/>
              <w:left w:w="100" w:type="dxa"/>
              <w:bottom w:w="60" w:type="dxa"/>
              <w:right w:w="100" w:type="dxa"/>
            </w:tcMar>
            <w:vAlign w:val="center"/>
          </w:tcPr>
          <w:p w14:paraId="68BCC6A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D9E045C" w14:textId="77777777" w:rsidTr="00036983">
        <w:trPr>
          <w:jc w:val="center"/>
        </w:trPr>
        <w:tc>
          <w:tcPr>
            <w:tcW w:w="238" w:type="pct"/>
            <w:tcMar>
              <w:top w:w="60" w:type="dxa"/>
              <w:left w:w="100" w:type="dxa"/>
              <w:bottom w:w="60" w:type="dxa"/>
              <w:right w:w="100" w:type="dxa"/>
            </w:tcMar>
            <w:vAlign w:val="center"/>
          </w:tcPr>
          <w:p w14:paraId="01FD204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28</w:t>
            </w:r>
          </w:p>
        </w:tc>
        <w:tc>
          <w:tcPr>
            <w:tcW w:w="2762" w:type="pct"/>
            <w:tcMar>
              <w:top w:w="60" w:type="dxa"/>
              <w:left w:w="100" w:type="dxa"/>
              <w:bottom w:w="60" w:type="dxa"/>
              <w:right w:w="100" w:type="dxa"/>
            </w:tcMar>
            <w:vAlign w:val="center"/>
          </w:tcPr>
          <w:p w14:paraId="66CAF04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عزّزت تقنية الترميز قدرة المؤسسة على الكشف المبكر عن التهديدات السيبرانية والاستجابة لها</w:t>
            </w:r>
          </w:p>
        </w:tc>
        <w:tc>
          <w:tcPr>
            <w:tcW w:w="619" w:type="pct"/>
            <w:tcMar>
              <w:top w:w="60" w:type="dxa"/>
              <w:left w:w="100" w:type="dxa"/>
              <w:bottom w:w="60" w:type="dxa"/>
              <w:right w:w="100" w:type="dxa"/>
            </w:tcMar>
            <w:vAlign w:val="center"/>
          </w:tcPr>
          <w:p w14:paraId="127069A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4.245</w:t>
            </w:r>
          </w:p>
        </w:tc>
        <w:tc>
          <w:tcPr>
            <w:tcW w:w="714" w:type="pct"/>
            <w:tcMar>
              <w:top w:w="60" w:type="dxa"/>
              <w:left w:w="100" w:type="dxa"/>
              <w:bottom w:w="60" w:type="dxa"/>
              <w:right w:w="100" w:type="dxa"/>
            </w:tcMar>
            <w:vAlign w:val="center"/>
          </w:tcPr>
          <w:p w14:paraId="7D92DDD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0.956</w:t>
            </w:r>
          </w:p>
        </w:tc>
        <w:tc>
          <w:tcPr>
            <w:tcW w:w="667" w:type="pct"/>
            <w:tcMar>
              <w:top w:w="60" w:type="dxa"/>
              <w:left w:w="100" w:type="dxa"/>
              <w:bottom w:w="60" w:type="dxa"/>
              <w:right w:w="100" w:type="dxa"/>
            </w:tcMar>
            <w:vAlign w:val="center"/>
          </w:tcPr>
          <w:p w14:paraId="0654C88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E702DAA" w14:textId="77777777" w:rsidTr="00036983">
        <w:trPr>
          <w:jc w:val="center"/>
        </w:trPr>
        <w:tc>
          <w:tcPr>
            <w:tcW w:w="238" w:type="pct"/>
            <w:shd w:val="clear" w:color="auto" w:fill="F2F2F2"/>
            <w:tcMar>
              <w:top w:w="60" w:type="dxa"/>
              <w:left w:w="100" w:type="dxa"/>
              <w:bottom w:w="60" w:type="dxa"/>
              <w:right w:w="100" w:type="dxa"/>
            </w:tcMar>
            <w:vAlign w:val="center"/>
          </w:tcPr>
          <w:p w14:paraId="321A406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29</w:t>
            </w:r>
          </w:p>
        </w:tc>
        <w:tc>
          <w:tcPr>
            <w:tcW w:w="2762" w:type="pct"/>
            <w:shd w:val="clear" w:color="auto" w:fill="F2F2F2"/>
            <w:tcMar>
              <w:top w:w="60" w:type="dxa"/>
              <w:left w:w="100" w:type="dxa"/>
              <w:bottom w:w="60" w:type="dxa"/>
              <w:right w:w="100" w:type="dxa"/>
            </w:tcMar>
            <w:vAlign w:val="center"/>
          </w:tcPr>
          <w:p w14:paraId="3425500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يُساهم الترميز في الحفاظ على استمرارية الأعمال وتقليص وقت التوقف الناجم عن الحوادث</w:t>
            </w:r>
          </w:p>
        </w:tc>
        <w:tc>
          <w:tcPr>
            <w:tcW w:w="619" w:type="pct"/>
            <w:shd w:val="clear" w:color="auto" w:fill="F2F2F2"/>
            <w:tcMar>
              <w:top w:w="60" w:type="dxa"/>
              <w:left w:w="100" w:type="dxa"/>
              <w:bottom w:w="60" w:type="dxa"/>
              <w:right w:w="100" w:type="dxa"/>
            </w:tcMar>
            <w:vAlign w:val="center"/>
          </w:tcPr>
          <w:p w14:paraId="167B5D7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4.388</w:t>
            </w:r>
          </w:p>
        </w:tc>
        <w:tc>
          <w:tcPr>
            <w:tcW w:w="714" w:type="pct"/>
            <w:shd w:val="clear" w:color="auto" w:fill="F2F2F2"/>
            <w:tcMar>
              <w:top w:w="60" w:type="dxa"/>
              <w:left w:w="100" w:type="dxa"/>
              <w:bottom w:w="60" w:type="dxa"/>
              <w:right w:w="100" w:type="dxa"/>
            </w:tcMar>
            <w:vAlign w:val="center"/>
          </w:tcPr>
          <w:p w14:paraId="15BD073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0.824</w:t>
            </w:r>
          </w:p>
        </w:tc>
        <w:tc>
          <w:tcPr>
            <w:tcW w:w="667" w:type="pct"/>
            <w:shd w:val="clear" w:color="auto" w:fill="F2F2F2"/>
            <w:tcMar>
              <w:top w:w="60" w:type="dxa"/>
              <w:left w:w="100" w:type="dxa"/>
              <w:bottom w:w="60" w:type="dxa"/>
              <w:right w:w="100" w:type="dxa"/>
            </w:tcMar>
            <w:vAlign w:val="center"/>
          </w:tcPr>
          <w:p w14:paraId="0FCB1EF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E864AF4" w14:textId="77777777" w:rsidTr="00036983">
        <w:trPr>
          <w:jc w:val="center"/>
        </w:trPr>
        <w:tc>
          <w:tcPr>
            <w:tcW w:w="238" w:type="pct"/>
            <w:tcMar>
              <w:top w:w="60" w:type="dxa"/>
              <w:left w:w="100" w:type="dxa"/>
              <w:bottom w:w="60" w:type="dxa"/>
              <w:right w:w="100" w:type="dxa"/>
            </w:tcMar>
            <w:vAlign w:val="center"/>
          </w:tcPr>
          <w:p w14:paraId="3094D29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30</w:t>
            </w:r>
          </w:p>
        </w:tc>
        <w:tc>
          <w:tcPr>
            <w:tcW w:w="2762" w:type="pct"/>
            <w:tcMar>
              <w:top w:w="60" w:type="dxa"/>
              <w:left w:w="100" w:type="dxa"/>
              <w:bottom w:w="60" w:type="dxa"/>
              <w:right w:w="100" w:type="dxa"/>
            </w:tcMar>
            <w:vAlign w:val="center"/>
          </w:tcPr>
          <w:p w14:paraId="585F99D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ارتفع مستوى الوعي الأمني لدى الموظفين بفضل اعتماد ثقافة الترميز المؤسسي</w:t>
            </w:r>
          </w:p>
        </w:tc>
        <w:tc>
          <w:tcPr>
            <w:tcW w:w="619" w:type="pct"/>
            <w:tcMar>
              <w:top w:w="60" w:type="dxa"/>
              <w:left w:w="100" w:type="dxa"/>
              <w:bottom w:w="60" w:type="dxa"/>
              <w:right w:w="100" w:type="dxa"/>
            </w:tcMar>
            <w:vAlign w:val="center"/>
          </w:tcPr>
          <w:p w14:paraId="669D7C4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4.148</w:t>
            </w:r>
          </w:p>
        </w:tc>
        <w:tc>
          <w:tcPr>
            <w:tcW w:w="714" w:type="pct"/>
            <w:tcMar>
              <w:top w:w="60" w:type="dxa"/>
              <w:left w:w="100" w:type="dxa"/>
              <w:bottom w:w="60" w:type="dxa"/>
              <w:right w:w="100" w:type="dxa"/>
            </w:tcMar>
            <w:vAlign w:val="center"/>
          </w:tcPr>
          <w:p w14:paraId="42B6CD2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0.984</w:t>
            </w:r>
          </w:p>
        </w:tc>
        <w:tc>
          <w:tcPr>
            <w:tcW w:w="667" w:type="pct"/>
            <w:tcMar>
              <w:top w:w="60" w:type="dxa"/>
              <w:left w:w="100" w:type="dxa"/>
              <w:bottom w:w="60" w:type="dxa"/>
              <w:right w:w="100" w:type="dxa"/>
            </w:tcMar>
            <w:vAlign w:val="center"/>
          </w:tcPr>
          <w:p w14:paraId="79E9EF1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w:t>
            </w:r>
          </w:p>
        </w:tc>
      </w:tr>
      <w:tr w:rsidR="007608E1" w:rsidRPr="00B5019C" w14:paraId="3CFB513D" w14:textId="77777777" w:rsidTr="00036983">
        <w:trPr>
          <w:jc w:val="center"/>
        </w:trPr>
        <w:tc>
          <w:tcPr>
            <w:tcW w:w="238" w:type="pct"/>
            <w:shd w:val="clear" w:color="auto" w:fill="F2F2F2"/>
            <w:tcMar>
              <w:top w:w="60" w:type="dxa"/>
              <w:left w:w="100" w:type="dxa"/>
              <w:bottom w:w="60" w:type="dxa"/>
              <w:right w:w="100" w:type="dxa"/>
            </w:tcMar>
            <w:vAlign w:val="center"/>
          </w:tcPr>
          <w:p w14:paraId="20F6476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31</w:t>
            </w:r>
          </w:p>
        </w:tc>
        <w:tc>
          <w:tcPr>
            <w:tcW w:w="2762" w:type="pct"/>
            <w:shd w:val="clear" w:color="auto" w:fill="F2F2F2"/>
            <w:tcMar>
              <w:top w:w="60" w:type="dxa"/>
              <w:left w:w="100" w:type="dxa"/>
              <w:bottom w:w="60" w:type="dxa"/>
              <w:right w:w="100" w:type="dxa"/>
            </w:tcMar>
            <w:vAlign w:val="center"/>
          </w:tcPr>
          <w:p w14:paraId="231D652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تُقيّم المؤسسة بصورة دورية فاعلية حلول الترميز وتُحدّثها وفق أحدث التهديدات</w:t>
            </w:r>
          </w:p>
        </w:tc>
        <w:tc>
          <w:tcPr>
            <w:tcW w:w="619" w:type="pct"/>
            <w:shd w:val="clear" w:color="auto" w:fill="F2F2F2"/>
            <w:tcMar>
              <w:top w:w="60" w:type="dxa"/>
              <w:left w:w="100" w:type="dxa"/>
              <w:bottom w:w="60" w:type="dxa"/>
              <w:right w:w="100" w:type="dxa"/>
            </w:tcMar>
            <w:vAlign w:val="center"/>
          </w:tcPr>
          <w:p w14:paraId="39BE47E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4.260</w:t>
            </w:r>
          </w:p>
        </w:tc>
        <w:tc>
          <w:tcPr>
            <w:tcW w:w="714" w:type="pct"/>
            <w:shd w:val="clear" w:color="auto" w:fill="F2F2F2"/>
            <w:tcMar>
              <w:top w:w="60" w:type="dxa"/>
              <w:left w:w="100" w:type="dxa"/>
              <w:bottom w:w="60" w:type="dxa"/>
              <w:right w:w="100" w:type="dxa"/>
            </w:tcMar>
            <w:vAlign w:val="center"/>
          </w:tcPr>
          <w:p w14:paraId="53D8843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1.198</w:t>
            </w:r>
          </w:p>
        </w:tc>
        <w:tc>
          <w:tcPr>
            <w:tcW w:w="667" w:type="pct"/>
            <w:shd w:val="clear" w:color="auto" w:fill="F2F2F2"/>
            <w:tcMar>
              <w:top w:w="60" w:type="dxa"/>
              <w:left w:w="100" w:type="dxa"/>
              <w:bottom w:w="60" w:type="dxa"/>
              <w:right w:w="100" w:type="dxa"/>
            </w:tcMar>
            <w:vAlign w:val="center"/>
          </w:tcPr>
          <w:p w14:paraId="3455070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2AAA784C" w14:textId="77777777" w:rsidTr="00036983">
        <w:trPr>
          <w:jc w:val="center"/>
        </w:trPr>
        <w:tc>
          <w:tcPr>
            <w:tcW w:w="238" w:type="pct"/>
            <w:tcMar>
              <w:top w:w="60" w:type="dxa"/>
              <w:left w:w="100" w:type="dxa"/>
              <w:bottom w:w="60" w:type="dxa"/>
              <w:right w:w="100" w:type="dxa"/>
            </w:tcMar>
            <w:vAlign w:val="center"/>
          </w:tcPr>
          <w:p w14:paraId="106865C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101479B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7C8E9B8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4.314</w:t>
            </w:r>
          </w:p>
        </w:tc>
        <w:tc>
          <w:tcPr>
            <w:tcW w:w="714" w:type="pct"/>
            <w:tcMar>
              <w:top w:w="60" w:type="dxa"/>
              <w:left w:w="100" w:type="dxa"/>
              <w:bottom w:w="60" w:type="dxa"/>
              <w:right w:w="100" w:type="dxa"/>
            </w:tcMar>
            <w:vAlign w:val="center"/>
          </w:tcPr>
          <w:p w14:paraId="05F1646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0.755</w:t>
            </w:r>
          </w:p>
        </w:tc>
        <w:tc>
          <w:tcPr>
            <w:tcW w:w="667" w:type="pct"/>
            <w:tcMar>
              <w:top w:w="60" w:type="dxa"/>
              <w:left w:w="100" w:type="dxa"/>
              <w:bottom w:w="60" w:type="dxa"/>
              <w:right w:w="100" w:type="dxa"/>
            </w:tcMar>
            <w:vAlign w:val="center"/>
          </w:tcPr>
          <w:p w14:paraId="18A5C60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68D5C436"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(4.11): المتوسطات الحسابية والانحرافات المعيارية لعبارات الأمن السيبراني المؤسسي</w:t>
      </w:r>
    </w:p>
    <w:p w14:paraId="6BD54C31"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البُعد الخامس: التوافق مع رؤية 2030 والتحول الرقمي المالي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440"/>
        <w:gridCol w:w="4571"/>
        <w:gridCol w:w="1015"/>
        <w:gridCol w:w="1174"/>
        <w:gridCol w:w="1096"/>
      </w:tblGrid>
      <w:tr w:rsidR="007608E1" w:rsidRPr="00B5019C" w14:paraId="2EB6B7D7" w14:textId="77777777" w:rsidTr="00036983">
        <w:trPr>
          <w:tblHeader/>
          <w:jc w:val="center"/>
        </w:trPr>
        <w:tc>
          <w:tcPr>
            <w:tcW w:w="238" w:type="pct"/>
            <w:shd w:val="clear" w:color="auto" w:fill="2E5395"/>
            <w:tcMar>
              <w:top w:w="60" w:type="dxa"/>
              <w:left w:w="100" w:type="dxa"/>
              <w:bottom w:w="60" w:type="dxa"/>
              <w:right w:w="100" w:type="dxa"/>
            </w:tcMar>
            <w:vAlign w:val="center"/>
          </w:tcPr>
          <w:p w14:paraId="70D8E85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w:t>
            </w:r>
          </w:p>
        </w:tc>
        <w:tc>
          <w:tcPr>
            <w:tcW w:w="2762" w:type="pct"/>
            <w:shd w:val="clear" w:color="auto" w:fill="2E5395"/>
            <w:tcMar>
              <w:top w:w="60" w:type="dxa"/>
              <w:left w:w="100" w:type="dxa"/>
              <w:bottom w:w="60" w:type="dxa"/>
              <w:right w:w="100" w:type="dxa"/>
            </w:tcMar>
            <w:vAlign w:val="center"/>
          </w:tcPr>
          <w:p w14:paraId="4C55304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العبارة</w:t>
            </w:r>
          </w:p>
        </w:tc>
        <w:tc>
          <w:tcPr>
            <w:tcW w:w="619" w:type="pct"/>
            <w:shd w:val="clear" w:color="auto" w:fill="2E5395"/>
            <w:tcMar>
              <w:top w:w="60" w:type="dxa"/>
              <w:left w:w="100" w:type="dxa"/>
              <w:bottom w:w="60" w:type="dxa"/>
              <w:right w:w="100" w:type="dxa"/>
            </w:tcMar>
            <w:vAlign w:val="center"/>
          </w:tcPr>
          <w:p w14:paraId="7B2A37A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المتوسط</w:t>
            </w:r>
          </w:p>
        </w:tc>
        <w:tc>
          <w:tcPr>
            <w:tcW w:w="714" w:type="pct"/>
            <w:shd w:val="clear" w:color="auto" w:fill="2E5395"/>
            <w:tcMar>
              <w:top w:w="60" w:type="dxa"/>
              <w:left w:w="100" w:type="dxa"/>
              <w:bottom w:w="60" w:type="dxa"/>
              <w:right w:w="100" w:type="dxa"/>
            </w:tcMar>
            <w:vAlign w:val="center"/>
          </w:tcPr>
          <w:p w14:paraId="1DA631C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الانحراف المعياري</w:t>
            </w:r>
          </w:p>
        </w:tc>
        <w:tc>
          <w:tcPr>
            <w:tcW w:w="667" w:type="pct"/>
            <w:shd w:val="clear" w:color="auto" w:fill="2E5395"/>
            <w:tcMar>
              <w:top w:w="60" w:type="dxa"/>
              <w:left w:w="100" w:type="dxa"/>
              <w:bottom w:w="60" w:type="dxa"/>
              <w:right w:w="100" w:type="dxa"/>
            </w:tcMar>
            <w:vAlign w:val="center"/>
          </w:tcPr>
          <w:p w14:paraId="0BCF673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درجة الموافقة</w:t>
            </w:r>
          </w:p>
        </w:tc>
      </w:tr>
      <w:tr w:rsidR="007608E1" w:rsidRPr="00B5019C" w14:paraId="328E0C55" w14:textId="77777777" w:rsidTr="00036983">
        <w:trPr>
          <w:jc w:val="center"/>
        </w:trPr>
        <w:tc>
          <w:tcPr>
            <w:tcW w:w="238" w:type="pct"/>
            <w:tcMar>
              <w:top w:w="60" w:type="dxa"/>
              <w:left w:w="100" w:type="dxa"/>
              <w:bottom w:w="60" w:type="dxa"/>
              <w:right w:w="100" w:type="dxa"/>
            </w:tcMar>
            <w:vAlign w:val="center"/>
          </w:tcPr>
          <w:p w14:paraId="32B7824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32</w:t>
            </w:r>
          </w:p>
        </w:tc>
        <w:tc>
          <w:tcPr>
            <w:tcW w:w="2762" w:type="pct"/>
            <w:tcMar>
              <w:top w:w="60" w:type="dxa"/>
              <w:left w:w="100" w:type="dxa"/>
              <w:bottom w:w="60" w:type="dxa"/>
              <w:right w:w="100" w:type="dxa"/>
            </w:tcMar>
            <w:vAlign w:val="center"/>
          </w:tcPr>
          <w:p w14:paraId="450EC3F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يُسهم الترميز في تحقيق أهداف التحول الرقمي المالي ضمن إطار رؤية المملكة 2030</w:t>
            </w:r>
          </w:p>
        </w:tc>
        <w:tc>
          <w:tcPr>
            <w:tcW w:w="619" w:type="pct"/>
            <w:tcMar>
              <w:top w:w="60" w:type="dxa"/>
              <w:left w:w="100" w:type="dxa"/>
              <w:bottom w:w="60" w:type="dxa"/>
              <w:right w:w="100" w:type="dxa"/>
            </w:tcMar>
            <w:vAlign w:val="center"/>
          </w:tcPr>
          <w:p w14:paraId="6280246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4.612</w:t>
            </w:r>
          </w:p>
        </w:tc>
        <w:tc>
          <w:tcPr>
            <w:tcW w:w="714" w:type="pct"/>
            <w:tcMar>
              <w:top w:w="60" w:type="dxa"/>
              <w:left w:w="100" w:type="dxa"/>
              <w:bottom w:w="60" w:type="dxa"/>
              <w:right w:w="100" w:type="dxa"/>
            </w:tcMar>
            <w:vAlign w:val="center"/>
          </w:tcPr>
          <w:p w14:paraId="69018F8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0.704</w:t>
            </w:r>
          </w:p>
        </w:tc>
        <w:tc>
          <w:tcPr>
            <w:tcW w:w="667" w:type="pct"/>
            <w:tcMar>
              <w:top w:w="60" w:type="dxa"/>
              <w:left w:w="100" w:type="dxa"/>
              <w:bottom w:w="60" w:type="dxa"/>
              <w:right w:w="100" w:type="dxa"/>
            </w:tcMar>
            <w:vAlign w:val="center"/>
          </w:tcPr>
          <w:p w14:paraId="7BEC47D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4066D46" w14:textId="77777777" w:rsidTr="00036983">
        <w:trPr>
          <w:jc w:val="center"/>
        </w:trPr>
        <w:tc>
          <w:tcPr>
            <w:tcW w:w="238" w:type="pct"/>
            <w:shd w:val="clear" w:color="auto" w:fill="F2F2F2"/>
            <w:tcMar>
              <w:top w:w="60" w:type="dxa"/>
              <w:left w:w="100" w:type="dxa"/>
              <w:bottom w:w="60" w:type="dxa"/>
              <w:right w:w="100" w:type="dxa"/>
            </w:tcMar>
            <w:vAlign w:val="center"/>
          </w:tcPr>
          <w:p w14:paraId="0E7BD5F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33</w:t>
            </w:r>
          </w:p>
        </w:tc>
        <w:tc>
          <w:tcPr>
            <w:tcW w:w="2762" w:type="pct"/>
            <w:shd w:val="clear" w:color="auto" w:fill="F2F2F2"/>
            <w:tcMar>
              <w:top w:w="60" w:type="dxa"/>
              <w:left w:w="100" w:type="dxa"/>
              <w:bottom w:w="60" w:type="dxa"/>
              <w:right w:w="100" w:type="dxa"/>
            </w:tcMar>
            <w:vAlign w:val="center"/>
          </w:tcPr>
          <w:p w14:paraId="3FCB802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يدعم الترميز توجه المملكة نحو بناء منظومة مالية رقمية متكاملة وآمنة</w:t>
            </w:r>
          </w:p>
        </w:tc>
        <w:tc>
          <w:tcPr>
            <w:tcW w:w="619" w:type="pct"/>
            <w:shd w:val="clear" w:color="auto" w:fill="F2F2F2"/>
            <w:tcMar>
              <w:top w:w="60" w:type="dxa"/>
              <w:left w:w="100" w:type="dxa"/>
              <w:bottom w:w="60" w:type="dxa"/>
              <w:right w:w="100" w:type="dxa"/>
            </w:tcMar>
            <w:vAlign w:val="center"/>
          </w:tcPr>
          <w:p w14:paraId="7D01215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4.643</w:t>
            </w:r>
          </w:p>
        </w:tc>
        <w:tc>
          <w:tcPr>
            <w:tcW w:w="714" w:type="pct"/>
            <w:shd w:val="clear" w:color="auto" w:fill="F2F2F2"/>
            <w:tcMar>
              <w:top w:w="60" w:type="dxa"/>
              <w:left w:w="100" w:type="dxa"/>
              <w:bottom w:w="60" w:type="dxa"/>
              <w:right w:w="100" w:type="dxa"/>
            </w:tcMar>
            <w:vAlign w:val="center"/>
          </w:tcPr>
          <w:p w14:paraId="2F686B5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0.636</w:t>
            </w:r>
          </w:p>
        </w:tc>
        <w:tc>
          <w:tcPr>
            <w:tcW w:w="667" w:type="pct"/>
            <w:shd w:val="clear" w:color="auto" w:fill="F2F2F2"/>
            <w:tcMar>
              <w:top w:w="60" w:type="dxa"/>
              <w:left w:w="100" w:type="dxa"/>
              <w:bottom w:w="60" w:type="dxa"/>
              <w:right w:w="100" w:type="dxa"/>
            </w:tcMar>
            <w:vAlign w:val="center"/>
          </w:tcPr>
          <w:p w14:paraId="53EA713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2D31630" w14:textId="77777777" w:rsidTr="00036983">
        <w:trPr>
          <w:jc w:val="center"/>
        </w:trPr>
        <w:tc>
          <w:tcPr>
            <w:tcW w:w="238" w:type="pct"/>
            <w:tcMar>
              <w:top w:w="60" w:type="dxa"/>
              <w:left w:w="100" w:type="dxa"/>
              <w:bottom w:w="60" w:type="dxa"/>
              <w:right w:w="100" w:type="dxa"/>
            </w:tcMar>
            <w:vAlign w:val="center"/>
          </w:tcPr>
          <w:p w14:paraId="659B00E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34</w:t>
            </w:r>
          </w:p>
        </w:tc>
        <w:tc>
          <w:tcPr>
            <w:tcW w:w="2762" w:type="pct"/>
            <w:tcMar>
              <w:top w:w="60" w:type="dxa"/>
              <w:left w:w="100" w:type="dxa"/>
              <w:bottom w:w="60" w:type="dxa"/>
              <w:right w:w="100" w:type="dxa"/>
            </w:tcMar>
            <w:vAlign w:val="center"/>
          </w:tcPr>
          <w:p w14:paraId="067E7C0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أسهمت تقنية الترميز في تعزيز تنافسية المؤسسة المالية إقليمياً ودولياً</w:t>
            </w:r>
          </w:p>
        </w:tc>
        <w:tc>
          <w:tcPr>
            <w:tcW w:w="619" w:type="pct"/>
            <w:tcMar>
              <w:top w:w="60" w:type="dxa"/>
              <w:left w:w="100" w:type="dxa"/>
              <w:bottom w:w="60" w:type="dxa"/>
              <w:right w:w="100" w:type="dxa"/>
            </w:tcMar>
            <w:vAlign w:val="center"/>
          </w:tcPr>
          <w:p w14:paraId="3D68F7C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4.372</w:t>
            </w:r>
          </w:p>
        </w:tc>
        <w:tc>
          <w:tcPr>
            <w:tcW w:w="714" w:type="pct"/>
            <w:tcMar>
              <w:top w:w="60" w:type="dxa"/>
              <w:left w:w="100" w:type="dxa"/>
              <w:bottom w:w="60" w:type="dxa"/>
              <w:right w:w="100" w:type="dxa"/>
            </w:tcMar>
            <w:vAlign w:val="center"/>
          </w:tcPr>
          <w:p w14:paraId="7EF661F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0.790</w:t>
            </w:r>
          </w:p>
        </w:tc>
        <w:tc>
          <w:tcPr>
            <w:tcW w:w="667" w:type="pct"/>
            <w:tcMar>
              <w:top w:w="60" w:type="dxa"/>
              <w:left w:w="100" w:type="dxa"/>
              <w:bottom w:w="60" w:type="dxa"/>
              <w:right w:w="100" w:type="dxa"/>
            </w:tcMar>
            <w:vAlign w:val="center"/>
          </w:tcPr>
          <w:p w14:paraId="4D18FDF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0E320EA" w14:textId="77777777" w:rsidTr="00036983">
        <w:trPr>
          <w:jc w:val="center"/>
        </w:trPr>
        <w:tc>
          <w:tcPr>
            <w:tcW w:w="238" w:type="pct"/>
            <w:shd w:val="clear" w:color="auto" w:fill="F2F2F2"/>
            <w:tcMar>
              <w:top w:w="60" w:type="dxa"/>
              <w:left w:w="100" w:type="dxa"/>
              <w:bottom w:w="60" w:type="dxa"/>
              <w:right w:w="100" w:type="dxa"/>
            </w:tcMar>
            <w:vAlign w:val="center"/>
          </w:tcPr>
          <w:p w14:paraId="0707112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35</w:t>
            </w:r>
          </w:p>
        </w:tc>
        <w:tc>
          <w:tcPr>
            <w:tcW w:w="2762" w:type="pct"/>
            <w:shd w:val="clear" w:color="auto" w:fill="F2F2F2"/>
            <w:tcMar>
              <w:top w:w="60" w:type="dxa"/>
              <w:left w:w="100" w:type="dxa"/>
              <w:bottom w:w="60" w:type="dxa"/>
              <w:right w:w="100" w:type="dxa"/>
            </w:tcMar>
            <w:vAlign w:val="center"/>
          </w:tcPr>
          <w:p w14:paraId="35298CE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 xml:space="preserve">تتوافق استراتيجية الترميز في مؤسستك مع التوجيهات التنظيمية لمبادرة </w:t>
            </w:r>
            <w:proofErr w:type="spellStart"/>
            <w:r w:rsidRPr="00B5019C">
              <w:rPr>
                <w:rFonts w:ascii="Traditional Arabic" w:eastAsia="Simplified Arabic" w:hAnsi="Traditional Arabic" w:cs="Traditional Arabic"/>
                <w:color w:val="000000"/>
                <w:sz w:val="24"/>
                <w:szCs w:val="24"/>
                <w:rtl/>
              </w:rPr>
              <w:t>الفنتك</w:t>
            </w:r>
            <w:proofErr w:type="spellEnd"/>
            <w:r w:rsidRPr="00B5019C">
              <w:rPr>
                <w:rFonts w:ascii="Traditional Arabic" w:eastAsia="Simplified Arabic" w:hAnsi="Traditional Arabic" w:cs="Traditional Arabic"/>
                <w:color w:val="000000"/>
                <w:sz w:val="24"/>
                <w:szCs w:val="24"/>
                <w:rtl/>
              </w:rPr>
              <w:t xml:space="preserve"> السعودية</w:t>
            </w:r>
          </w:p>
        </w:tc>
        <w:tc>
          <w:tcPr>
            <w:tcW w:w="619" w:type="pct"/>
            <w:shd w:val="clear" w:color="auto" w:fill="F2F2F2"/>
            <w:tcMar>
              <w:top w:w="60" w:type="dxa"/>
              <w:left w:w="100" w:type="dxa"/>
              <w:bottom w:w="60" w:type="dxa"/>
              <w:right w:w="100" w:type="dxa"/>
            </w:tcMar>
            <w:vAlign w:val="center"/>
          </w:tcPr>
          <w:p w14:paraId="160EAF2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4.398</w:t>
            </w:r>
          </w:p>
        </w:tc>
        <w:tc>
          <w:tcPr>
            <w:tcW w:w="714" w:type="pct"/>
            <w:shd w:val="clear" w:color="auto" w:fill="F2F2F2"/>
            <w:tcMar>
              <w:top w:w="60" w:type="dxa"/>
              <w:left w:w="100" w:type="dxa"/>
              <w:bottom w:w="60" w:type="dxa"/>
              <w:right w:w="100" w:type="dxa"/>
            </w:tcMar>
            <w:vAlign w:val="center"/>
          </w:tcPr>
          <w:p w14:paraId="4C61C74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0.788</w:t>
            </w:r>
          </w:p>
        </w:tc>
        <w:tc>
          <w:tcPr>
            <w:tcW w:w="667" w:type="pct"/>
            <w:shd w:val="clear" w:color="auto" w:fill="F2F2F2"/>
            <w:tcMar>
              <w:top w:w="60" w:type="dxa"/>
              <w:left w:w="100" w:type="dxa"/>
              <w:bottom w:w="60" w:type="dxa"/>
              <w:right w:w="100" w:type="dxa"/>
            </w:tcMar>
            <w:vAlign w:val="center"/>
          </w:tcPr>
          <w:p w14:paraId="5E26C86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025EA20" w14:textId="77777777" w:rsidTr="00036983">
        <w:trPr>
          <w:jc w:val="center"/>
        </w:trPr>
        <w:tc>
          <w:tcPr>
            <w:tcW w:w="238" w:type="pct"/>
            <w:tcMar>
              <w:top w:w="60" w:type="dxa"/>
              <w:left w:w="100" w:type="dxa"/>
              <w:bottom w:w="60" w:type="dxa"/>
              <w:right w:w="100" w:type="dxa"/>
            </w:tcMar>
            <w:vAlign w:val="center"/>
          </w:tcPr>
          <w:p w14:paraId="7472706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36</w:t>
            </w:r>
          </w:p>
        </w:tc>
        <w:tc>
          <w:tcPr>
            <w:tcW w:w="2762" w:type="pct"/>
            <w:tcMar>
              <w:top w:w="60" w:type="dxa"/>
              <w:left w:w="100" w:type="dxa"/>
              <w:bottom w:w="60" w:type="dxa"/>
              <w:right w:w="100" w:type="dxa"/>
            </w:tcMar>
            <w:vAlign w:val="center"/>
          </w:tcPr>
          <w:p w14:paraId="654EC62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يُعزّز تطبيق الترميز ثقة المستثمرين والشركاء في البنية التحتية الرقمية للمؤسسة</w:t>
            </w:r>
          </w:p>
        </w:tc>
        <w:tc>
          <w:tcPr>
            <w:tcW w:w="619" w:type="pct"/>
            <w:tcMar>
              <w:top w:w="60" w:type="dxa"/>
              <w:left w:w="100" w:type="dxa"/>
              <w:bottom w:w="60" w:type="dxa"/>
              <w:right w:w="100" w:type="dxa"/>
            </w:tcMar>
            <w:vAlign w:val="center"/>
          </w:tcPr>
          <w:p w14:paraId="1A14C2E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4.459</w:t>
            </w:r>
          </w:p>
        </w:tc>
        <w:tc>
          <w:tcPr>
            <w:tcW w:w="714" w:type="pct"/>
            <w:tcMar>
              <w:top w:w="60" w:type="dxa"/>
              <w:left w:w="100" w:type="dxa"/>
              <w:bottom w:w="60" w:type="dxa"/>
              <w:right w:w="100" w:type="dxa"/>
            </w:tcMar>
            <w:vAlign w:val="center"/>
          </w:tcPr>
          <w:p w14:paraId="2986C22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0.733</w:t>
            </w:r>
          </w:p>
        </w:tc>
        <w:tc>
          <w:tcPr>
            <w:tcW w:w="667" w:type="pct"/>
            <w:tcMar>
              <w:top w:w="60" w:type="dxa"/>
              <w:left w:w="100" w:type="dxa"/>
              <w:bottom w:w="60" w:type="dxa"/>
              <w:right w:w="100" w:type="dxa"/>
            </w:tcMar>
            <w:vAlign w:val="center"/>
          </w:tcPr>
          <w:p w14:paraId="31D2697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4CCF02C4" w14:textId="77777777" w:rsidTr="00036983">
        <w:trPr>
          <w:jc w:val="center"/>
        </w:trPr>
        <w:tc>
          <w:tcPr>
            <w:tcW w:w="238" w:type="pct"/>
            <w:shd w:val="clear" w:color="auto" w:fill="F2F2F2"/>
            <w:tcMar>
              <w:top w:w="60" w:type="dxa"/>
              <w:left w:w="100" w:type="dxa"/>
              <w:bottom w:w="60" w:type="dxa"/>
              <w:right w:w="100" w:type="dxa"/>
            </w:tcMar>
            <w:vAlign w:val="center"/>
          </w:tcPr>
          <w:p w14:paraId="7993C84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37</w:t>
            </w:r>
          </w:p>
        </w:tc>
        <w:tc>
          <w:tcPr>
            <w:tcW w:w="2762" w:type="pct"/>
            <w:shd w:val="clear" w:color="auto" w:fill="F2F2F2"/>
            <w:tcMar>
              <w:top w:w="60" w:type="dxa"/>
              <w:left w:w="100" w:type="dxa"/>
              <w:bottom w:w="60" w:type="dxa"/>
              <w:right w:w="100" w:type="dxa"/>
            </w:tcMar>
            <w:vAlign w:val="center"/>
          </w:tcPr>
          <w:p w14:paraId="3577595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تُشكّل تقنية الترميز ركيزة أساسية في خارطة طريق التحول الرقمي لمؤسستك</w:t>
            </w:r>
          </w:p>
        </w:tc>
        <w:tc>
          <w:tcPr>
            <w:tcW w:w="619" w:type="pct"/>
            <w:shd w:val="clear" w:color="auto" w:fill="F2F2F2"/>
            <w:tcMar>
              <w:top w:w="60" w:type="dxa"/>
              <w:left w:w="100" w:type="dxa"/>
              <w:bottom w:w="60" w:type="dxa"/>
              <w:right w:w="100" w:type="dxa"/>
            </w:tcMar>
            <w:vAlign w:val="center"/>
          </w:tcPr>
          <w:p w14:paraId="3EAAF05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4.398</w:t>
            </w:r>
          </w:p>
        </w:tc>
        <w:tc>
          <w:tcPr>
            <w:tcW w:w="714" w:type="pct"/>
            <w:shd w:val="clear" w:color="auto" w:fill="F2F2F2"/>
            <w:tcMar>
              <w:top w:w="60" w:type="dxa"/>
              <w:left w:w="100" w:type="dxa"/>
              <w:bottom w:w="60" w:type="dxa"/>
              <w:right w:w="100" w:type="dxa"/>
            </w:tcMar>
            <w:vAlign w:val="center"/>
          </w:tcPr>
          <w:p w14:paraId="3ED3FB7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0.963</w:t>
            </w:r>
          </w:p>
        </w:tc>
        <w:tc>
          <w:tcPr>
            <w:tcW w:w="667" w:type="pct"/>
            <w:shd w:val="clear" w:color="auto" w:fill="F2F2F2"/>
            <w:tcMar>
              <w:top w:w="60" w:type="dxa"/>
              <w:left w:w="100" w:type="dxa"/>
              <w:bottom w:w="60" w:type="dxa"/>
              <w:right w:w="100" w:type="dxa"/>
            </w:tcMar>
            <w:vAlign w:val="center"/>
          </w:tcPr>
          <w:p w14:paraId="65641D9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5AC32FE" w14:textId="77777777" w:rsidTr="00036983">
        <w:trPr>
          <w:jc w:val="center"/>
        </w:trPr>
        <w:tc>
          <w:tcPr>
            <w:tcW w:w="238" w:type="pct"/>
            <w:tcMar>
              <w:top w:w="60" w:type="dxa"/>
              <w:left w:w="100" w:type="dxa"/>
              <w:bottom w:w="60" w:type="dxa"/>
              <w:right w:w="100" w:type="dxa"/>
            </w:tcMar>
            <w:vAlign w:val="center"/>
          </w:tcPr>
          <w:p w14:paraId="3CA9F0C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w:t>
            </w:r>
          </w:p>
        </w:tc>
        <w:tc>
          <w:tcPr>
            <w:tcW w:w="2762" w:type="pct"/>
            <w:tcMar>
              <w:top w:w="60" w:type="dxa"/>
              <w:left w:w="100" w:type="dxa"/>
              <w:bottom w:w="60" w:type="dxa"/>
              <w:right w:w="100" w:type="dxa"/>
            </w:tcMar>
            <w:vAlign w:val="center"/>
          </w:tcPr>
          <w:p w14:paraId="5E87828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المتوسط العام للبُعد</w:t>
            </w:r>
          </w:p>
        </w:tc>
        <w:tc>
          <w:tcPr>
            <w:tcW w:w="619" w:type="pct"/>
            <w:tcMar>
              <w:top w:w="60" w:type="dxa"/>
              <w:left w:w="100" w:type="dxa"/>
              <w:bottom w:w="60" w:type="dxa"/>
              <w:right w:w="100" w:type="dxa"/>
            </w:tcMar>
            <w:vAlign w:val="center"/>
          </w:tcPr>
          <w:p w14:paraId="0FA816C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4.480</w:t>
            </w:r>
          </w:p>
        </w:tc>
        <w:tc>
          <w:tcPr>
            <w:tcW w:w="714" w:type="pct"/>
            <w:tcMar>
              <w:top w:w="60" w:type="dxa"/>
              <w:left w:w="100" w:type="dxa"/>
              <w:bottom w:w="60" w:type="dxa"/>
              <w:right w:w="100" w:type="dxa"/>
            </w:tcMar>
            <w:vAlign w:val="center"/>
          </w:tcPr>
          <w:p w14:paraId="3E7F2CB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0.668</w:t>
            </w:r>
          </w:p>
        </w:tc>
        <w:tc>
          <w:tcPr>
            <w:tcW w:w="667" w:type="pct"/>
            <w:tcMar>
              <w:top w:w="60" w:type="dxa"/>
              <w:left w:w="100" w:type="dxa"/>
              <w:bottom w:w="60" w:type="dxa"/>
              <w:right w:w="100" w:type="dxa"/>
            </w:tcMar>
            <w:vAlign w:val="center"/>
          </w:tcPr>
          <w:p w14:paraId="2FE3EA9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4A2D2FB0"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(4.12): المتوسطات الحسابية والانحرافات المعيارية لعبارات التوافق مع رؤية 2030 والتحول الرقمي المالي</w:t>
      </w:r>
    </w:p>
    <w:p w14:paraId="428B3E9E"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يتضح من الجداول السابقة أن جميع أبعاد الدراسة الخمسة حصلت على درجة موافقة "مرتفعة جداً" وفقاً لمقياس التصنيف المعتمد، إذ تراوحت المتوسطات الحسابية العامة للأبعاد بين (4.314) لبُعد الأمن السيبراني المؤسسي و(4.480) لبُعد التوافق مع رؤية 2030، مما يعكس اتجاهاً إيجابياً واضحاً لدى أفراد العينة نحو إدراك الأثر الإيجابي لتقنية الترميز على الأمن السيبراني وكفاءة العمليات المالية والامتثال التنظيمي وتحقيق مستهدفات رؤية المملكة 2030. وبلغ المتوسط الحسابي العام لمحور تطبيق تقنية الترميز مجتمعاً (الجمع بين بُعدي الترميز الأمني والامتثال للمعايير الدولية) (4.356) بانحراف معياري (0.775)، وهو ما يؤكد اتساق استجابات أفراد العينة حول محاور الدراسة الرئيسية.</w:t>
      </w:r>
    </w:p>
    <w:p w14:paraId="72EDF868" w14:textId="7777777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77" w:name="_Toc234424171"/>
      <w:r>
        <w:rPr>
          <w:rFonts w:ascii="Traditional Arabic" w:hAnsi="Traditional Arabic" w:cs="Traditional Arabic"/>
          <w:b/>
          <w:bCs/>
          <w:sz w:val="32"/>
          <w:szCs w:val="32"/>
          <w:u w:val="single"/>
          <w:rtl/>
        </w:rPr>
        <w:t>السؤال الختامي: التقييم العام لأثر تقنية الترميز</w:t>
      </w:r>
      <w:bookmarkEnd w:id="77"/>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014"/>
        <w:gridCol w:w="1641"/>
        <w:gridCol w:w="1641"/>
      </w:tblGrid>
      <w:tr w:rsidR="007608E1" w:rsidRPr="00B5019C" w14:paraId="0776C7EC" w14:textId="77777777" w:rsidTr="00036983">
        <w:trPr>
          <w:tblHeader/>
          <w:jc w:val="center"/>
        </w:trPr>
        <w:tc>
          <w:tcPr>
            <w:tcW w:w="3022" w:type="pct"/>
            <w:shd w:val="clear" w:color="auto" w:fill="2E5395"/>
            <w:tcMar>
              <w:top w:w="60" w:type="dxa"/>
              <w:left w:w="100" w:type="dxa"/>
              <w:bottom w:w="60" w:type="dxa"/>
              <w:right w:w="100" w:type="dxa"/>
            </w:tcMar>
            <w:vAlign w:val="center"/>
          </w:tcPr>
          <w:p w14:paraId="2E5F92C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مستوى التأثير العام المُدرَك</w:t>
            </w:r>
          </w:p>
        </w:tc>
        <w:tc>
          <w:tcPr>
            <w:tcW w:w="989" w:type="pct"/>
            <w:shd w:val="clear" w:color="auto" w:fill="2E5395"/>
            <w:tcMar>
              <w:top w:w="60" w:type="dxa"/>
              <w:left w:w="100" w:type="dxa"/>
              <w:bottom w:w="60" w:type="dxa"/>
              <w:right w:w="100" w:type="dxa"/>
            </w:tcMar>
            <w:vAlign w:val="center"/>
          </w:tcPr>
          <w:p w14:paraId="238EFD2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التكرار</w:t>
            </w:r>
          </w:p>
        </w:tc>
        <w:tc>
          <w:tcPr>
            <w:tcW w:w="989" w:type="pct"/>
            <w:shd w:val="clear" w:color="auto" w:fill="2E5395"/>
            <w:tcMar>
              <w:top w:w="60" w:type="dxa"/>
              <w:left w:w="100" w:type="dxa"/>
              <w:bottom w:w="60" w:type="dxa"/>
              <w:right w:w="100" w:type="dxa"/>
            </w:tcMar>
            <w:vAlign w:val="center"/>
          </w:tcPr>
          <w:p w14:paraId="3F930D6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النسبة المئوية</w:t>
            </w:r>
          </w:p>
        </w:tc>
      </w:tr>
      <w:tr w:rsidR="007608E1" w:rsidRPr="00B5019C" w14:paraId="1942E3DD" w14:textId="77777777" w:rsidTr="00036983">
        <w:trPr>
          <w:jc w:val="center"/>
        </w:trPr>
        <w:tc>
          <w:tcPr>
            <w:tcW w:w="3022" w:type="pct"/>
            <w:tcMar>
              <w:top w:w="60" w:type="dxa"/>
              <w:left w:w="100" w:type="dxa"/>
              <w:bottom w:w="60" w:type="dxa"/>
              <w:right w:w="100" w:type="dxa"/>
            </w:tcMar>
            <w:vAlign w:val="center"/>
          </w:tcPr>
          <w:p w14:paraId="72E05A7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تأثير إيجابي استراتيجي بالغ الأهمية</w:t>
            </w:r>
          </w:p>
        </w:tc>
        <w:tc>
          <w:tcPr>
            <w:tcW w:w="989" w:type="pct"/>
            <w:tcMar>
              <w:top w:w="60" w:type="dxa"/>
              <w:left w:w="100" w:type="dxa"/>
              <w:bottom w:w="60" w:type="dxa"/>
              <w:right w:w="100" w:type="dxa"/>
            </w:tcMar>
            <w:vAlign w:val="center"/>
          </w:tcPr>
          <w:p w14:paraId="23FC384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106</w:t>
            </w:r>
          </w:p>
        </w:tc>
        <w:tc>
          <w:tcPr>
            <w:tcW w:w="989" w:type="pct"/>
            <w:tcMar>
              <w:top w:w="60" w:type="dxa"/>
              <w:left w:w="100" w:type="dxa"/>
              <w:bottom w:w="60" w:type="dxa"/>
              <w:right w:w="100" w:type="dxa"/>
            </w:tcMar>
            <w:vAlign w:val="center"/>
          </w:tcPr>
          <w:p w14:paraId="1E074DD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54.1%</w:t>
            </w:r>
          </w:p>
        </w:tc>
      </w:tr>
      <w:tr w:rsidR="007608E1" w:rsidRPr="00B5019C" w14:paraId="4DCA2183" w14:textId="77777777" w:rsidTr="00036983">
        <w:trPr>
          <w:jc w:val="center"/>
        </w:trPr>
        <w:tc>
          <w:tcPr>
            <w:tcW w:w="3022" w:type="pct"/>
            <w:shd w:val="clear" w:color="auto" w:fill="F2F2F2"/>
            <w:tcMar>
              <w:top w:w="60" w:type="dxa"/>
              <w:left w:w="100" w:type="dxa"/>
              <w:bottom w:w="60" w:type="dxa"/>
              <w:right w:w="100" w:type="dxa"/>
            </w:tcMar>
            <w:vAlign w:val="center"/>
          </w:tcPr>
          <w:p w14:paraId="362C613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تأثير إيجابي واضح</w:t>
            </w:r>
          </w:p>
        </w:tc>
        <w:tc>
          <w:tcPr>
            <w:tcW w:w="989" w:type="pct"/>
            <w:shd w:val="clear" w:color="auto" w:fill="F2F2F2"/>
            <w:tcMar>
              <w:top w:w="60" w:type="dxa"/>
              <w:left w:w="100" w:type="dxa"/>
              <w:bottom w:w="60" w:type="dxa"/>
              <w:right w:w="100" w:type="dxa"/>
            </w:tcMar>
            <w:vAlign w:val="center"/>
          </w:tcPr>
          <w:p w14:paraId="5F99485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54</w:t>
            </w:r>
          </w:p>
        </w:tc>
        <w:tc>
          <w:tcPr>
            <w:tcW w:w="989" w:type="pct"/>
            <w:shd w:val="clear" w:color="auto" w:fill="F2F2F2"/>
            <w:tcMar>
              <w:top w:w="60" w:type="dxa"/>
              <w:left w:w="100" w:type="dxa"/>
              <w:bottom w:w="60" w:type="dxa"/>
              <w:right w:w="100" w:type="dxa"/>
            </w:tcMar>
            <w:vAlign w:val="center"/>
          </w:tcPr>
          <w:p w14:paraId="16797D5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27.6%</w:t>
            </w:r>
          </w:p>
        </w:tc>
      </w:tr>
      <w:tr w:rsidR="007608E1" w:rsidRPr="00B5019C" w14:paraId="287C8756" w14:textId="77777777" w:rsidTr="00036983">
        <w:trPr>
          <w:jc w:val="center"/>
        </w:trPr>
        <w:tc>
          <w:tcPr>
            <w:tcW w:w="3022" w:type="pct"/>
            <w:tcMar>
              <w:top w:w="60" w:type="dxa"/>
              <w:left w:w="100" w:type="dxa"/>
              <w:bottom w:w="60" w:type="dxa"/>
              <w:right w:w="100" w:type="dxa"/>
            </w:tcMar>
            <w:vAlign w:val="center"/>
          </w:tcPr>
          <w:p w14:paraId="5E746D3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لا يوجد تأثير ملحوظ</w:t>
            </w:r>
          </w:p>
        </w:tc>
        <w:tc>
          <w:tcPr>
            <w:tcW w:w="989" w:type="pct"/>
            <w:tcMar>
              <w:top w:w="60" w:type="dxa"/>
              <w:left w:w="100" w:type="dxa"/>
              <w:bottom w:w="60" w:type="dxa"/>
              <w:right w:w="100" w:type="dxa"/>
            </w:tcMar>
            <w:vAlign w:val="center"/>
          </w:tcPr>
          <w:p w14:paraId="338DB90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19</w:t>
            </w:r>
          </w:p>
        </w:tc>
        <w:tc>
          <w:tcPr>
            <w:tcW w:w="989" w:type="pct"/>
            <w:tcMar>
              <w:top w:w="60" w:type="dxa"/>
              <w:left w:w="100" w:type="dxa"/>
              <w:bottom w:w="60" w:type="dxa"/>
              <w:right w:w="100" w:type="dxa"/>
            </w:tcMar>
            <w:vAlign w:val="center"/>
          </w:tcPr>
          <w:p w14:paraId="5F0045A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9.7%</w:t>
            </w:r>
          </w:p>
        </w:tc>
      </w:tr>
      <w:tr w:rsidR="007608E1" w:rsidRPr="00B5019C" w14:paraId="6478ADF6" w14:textId="77777777" w:rsidTr="00036983">
        <w:trPr>
          <w:jc w:val="center"/>
        </w:trPr>
        <w:tc>
          <w:tcPr>
            <w:tcW w:w="3022" w:type="pct"/>
            <w:shd w:val="clear" w:color="auto" w:fill="F2F2F2"/>
            <w:tcMar>
              <w:top w:w="60" w:type="dxa"/>
              <w:left w:w="100" w:type="dxa"/>
              <w:bottom w:w="60" w:type="dxa"/>
              <w:right w:w="100" w:type="dxa"/>
            </w:tcMar>
            <w:vAlign w:val="center"/>
          </w:tcPr>
          <w:p w14:paraId="4C60B127"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تأثير إيجابي محدود</w:t>
            </w:r>
          </w:p>
        </w:tc>
        <w:tc>
          <w:tcPr>
            <w:tcW w:w="989" w:type="pct"/>
            <w:shd w:val="clear" w:color="auto" w:fill="F2F2F2"/>
            <w:tcMar>
              <w:top w:w="60" w:type="dxa"/>
              <w:left w:w="100" w:type="dxa"/>
              <w:bottom w:w="60" w:type="dxa"/>
              <w:right w:w="100" w:type="dxa"/>
            </w:tcMar>
            <w:vAlign w:val="center"/>
          </w:tcPr>
          <w:p w14:paraId="347906E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17</w:t>
            </w:r>
          </w:p>
        </w:tc>
        <w:tc>
          <w:tcPr>
            <w:tcW w:w="989" w:type="pct"/>
            <w:shd w:val="clear" w:color="auto" w:fill="F2F2F2"/>
            <w:tcMar>
              <w:top w:w="60" w:type="dxa"/>
              <w:left w:w="100" w:type="dxa"/>
              <w:bottom w:w="60" w:type="dxa"/>
              <w:right w:w="100" w:type="dxa"/>
            </w:tcMar>
            <w:vAlign w:val="center"/>
          </w:tcPr>
          <w:p w14:paraId="220993D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8.7%</w:t>
            </w:r>
          </w:p>
        </w:tc>
      </w:tr>
    </w:tbl>
    <w:p w14:paraId="04B6ABEF"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(4.13): توزيع تقييم أفراد العينة لمستوى تأثير تقنية الترميز على الأداء المؤسسي الشامل</w:t>
      </w:r>
    </w:p>
    <w:p w14:paraId="6EEEA313"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 xml:space="preserve">يؤكد هذا التقييم العام النتائج التفصيلية السابقة، إذ أفاد ما نسبته 81.7% من أفراد العينة (54.1% تأثير إيجابي استراتيجي بالغ الأهمية، و27.6% تأثير إيجابي واضح) بوجود أثر إيجابي ملموس لتقنية الترميز على الأداء المؤسسي </w:t>
      </w:r>
      <w:r w:rsidRPr="00B5019C">
        <w:rPr>
          <w:rFonts w:ascii="Traditional Arabic" w:eastAsia="Simplified Arabic" w:hAnsi="Traditional Arabic" w:cs="Traditional Arabic"/>
          <w:sz w:val="28"/>
          <w:szCs w:val="28"/>
          <w:rtl/>
        </w:rPr>
        <w:lastRenderedPageBreak/>
        <w:t>الشامل، في مقابل 8.7% أشاروا إلى تأثير إيجابي محدود، و9.7% لم يلحظوا تأثيراً واضحاً، ولم يُسجَّل أي تقييم بوجود تأثير سلبي. ويُعدّ هذا الاتساق بين التقييم العام والمتوسطات التفصيلية للأبعاد الخمسة مؤشراً على الصدق الظاهري لأداة الدراسة.</w:t>
      </w:r>
    </w:p>
    <w:p w14:paraId="53F2F308"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أما فيما يتعلق بحقل الملاحظات والمقترحات المفتوح (السؤال 39)، فقد بلغت نسبة الاستجابة الاختيارية له 26.0% (51 من أصل 196 مستجيباً)، ونظراً لاعتماد الدراسة الحالية على المنهج الكمي بشكل كامل دون توظيف أدوات التحليل النوعي، فقد اقتُصر التعامل مع هذا الحقل على بيان نسبة الاستجابة له دون إخضاع مضمونه لتحليل موضوعاتي.</w:t>
      </w:r>
    </w:p>
    <w:p w14:paraId="1471B420" w14:textId="77777777" w:rsidR="008B1684" w:rsidRDefault="008B1684" w:rsidP="00E000FF">
      <w:pPr>
        <w:bidi/>
        <w:spacing w:after="0" w:line="360" w:lineRule="auto"/>
        <w:rPr>
          <w:rFonts w:ascii="Simplified Arabic" w:eastAsiaTheme="majorEastAsia" w:hAnsi="Simplified Arabic" w:cs="Simplified Arabic"/>
          <w:b/>
          <w:bCs/>
          <w:sz w:val="28"/>
          <w:szCs w:val="28"/>
          <w:u w:val="single"/>
          <w:rtl/>
        </w:rPr>
      </w:pPr>
      <w:r>
        <w:rPr>
          <w:rFonts w:ascii="Traditional Arabic" w:hAnsi="Traditional Arabic" w:cs="Traditional Arabic"/>
          <w:b/>
          <w:bCs/>
          <w:sz w:val="24"/>
          <w:szCs w:val="24"/>
          <w:u w:val="single"/>
          <w:rtl/>
        </w:rPr>
        <w:br w:type="page"/>
      </w:r>
    </w:p>
    <w:p w14:paraId="2A625FBC" w14:textId="7E3D65A7" w:rsidR="007608E1" w:rsidRPr="004F7D3F" w:rsidRDefault="007608E1" w:rsidP="00E000FF">
      <w:pPr>
        <w:pStyle w:val="HeadingTOCEntry"/>
        <w:bidi/>
        <w:spacing w:after="0" w:line="360" w:lineRule="auto"/>
        <w:ind w:left="432" w:hanging="432"/>
        <w:rPr>
          <w:rFonts w:ascii="Simplified Arabic" w:hAnsi="Simplified Arabic" w:cs="Simplified Arabic"/>
          <w:b/>
          <w:bCs/>
          <w:sz w:val="28"/>
          <w:szCs w:val="28"/>
          <w:u w:val="single"/>
        </w:rPr>
      </w:pPr>
      <w:bookmarkStart w:id="78" w:name="_Toc234424172"/>
      <w:r>
        <w:rPr>
          <w:rFonts w:ascii="Traditional Arabic" w:hAnsi="Traditional Arabic" w:cs="Traditional Arabic"/>
          <w:b/>
          <w:bCs/>
          <w:sz w:val="32"/>
          <w:szCs w:val="32"/>
          <w:u w:val="single"/>
          <w:rtl/>
        </w:rPr>
        <w:lastRenderedPageBreak/>
        <w:t>ثالثاً: اختبار صدق وثبات أداة الدراسة</w:t>
      </w:r>
      <w:bookmarkEnd w:id="78"/>
    </w:p>
    <w:p w14:paraId="1AFF835E" w14:textId="77777777" w:rsidR="007608E1" w:rsidRPr="00B5019C" w:rsidRDefault="007608E1" w:rsidP="00E000FF">
      <w:pPr>
        <w:bidi/>
        <w:spacing w:after="0" w:line="360" w:lineRule="auto"/>
        <w:jc w:val="both"/>
        <w:rPr>
          <w:rFonts w:ascii="Simplified Arabic" w:eastAsia="Simplified Arabic" w:hAnsi="Simplified Arabic" w:cs="Simplified Arabic"/>
          <w:sz w:val="28"/>
          <w:szCs w:val="28"/>
          <w:rtl/>
        </w:rPr>
      </w:pPr>
      <w:r w:rsidRPr="00B5019C">
        <w:rPr>
          <w:rFonts w:ascii="Traditional Arabic" w:eastAsia="Simplified Arabic" w:hAnsi="Traditional Arabic" w:cs="Traditional Arabic"/>
          <w:sz w:val="28"/>
          <w:szCs w:val="28"/>
          <w:rtl/>
        </w:rPr>
        <w:t xml:space="preserve">يتناول هذا الجزء التحقق من صدق وثبات أداة الدراسة (الاستبانة)، من خلال عرض نتائج الصدق الظاهري وصدق الاتساق الداخلي بين الفقرات والأبعاد، بالإضافة إلى حساب معامل ألفا </w:t>
      </w:r>
      <w:proofErr w:type="spellStart"/>
      <w:r w:rsidRPr="00B5019C">
        <w:rPr>
          <w:rFonts w:ascii="Traditional Arabic" w:eastAsia="Simplified Arabic" w:hAnsi="Traditional Arabic" w:cs="Traditional Arabic"/>
          <w:sz w:val="28"/>
          <w:szCs w:val="28"/>
          <w:rtl/>
        </w:rPr>
        <w:t>كرونباخ</w:t>
      </w:r>
      <w:proofErr w:type="spellEnd"/>
      <w:r w:rsidRPr="00B5019C">
        <w:rPr>
          <w:rFonts w:ascii="Traditional Arabic" w:eastAsia="Simplified Arabic" w:hAnsi="Traditional Arabic" w:cs="Traditional Arabic"/>
          <w:sz w:val="28"/>
          <w:szCs w:val="28"/>
          <w:rtl/>
        </w:rPr>
        <w:t xml:space="preserve"> لقياس الثبات، مع تفسير القيم الإحصائية وبيان مدى قبولها علمياً.</w:t>
      </w:r>
    </w:p>
    <w:p w14:paraId="56D3E86D" w14:textId="77777777" w:rsidR="00036983" w:rsidRPr="00B5019C" w:rsidRDefault="00036983" w:rsidP="00E000FF">
      <w:pPr>
        <w:bidi/>
        <w:spacing w:after="0" w:line="360" w:lineRule="auto"/>
        <w:jc w:val="both"/>
        <w:rPr>
          <w:sz w:val="28"/>
          <w:szCs w:val="28"/>
        </w:rPr>
      </w:pPr>
    </w:p>
    <w:p w14:paraId="575F7F58" w14:textId="77777777" w:rsidR="007608E1" w:rsidRPr="00B5019C" w:rsidRDefault="007608E1" w:rsidP="00E000FF">
      <w:pPr>
        <w:bidi/>
        <w:spacing w:after="0" w:line="360" w:lineRule="auto"/>
        <w:jc w:val="both"/>
        <w:rPr>
          <w:sz w:val="28"/>
          <w:szCs w:val="28"/>
        </w:rPr>
      </w:pPr>
      <w:r w:rsidRPr="00B5019C">
        <w:rPr>
          <w:rFonts w:ascii="Traditional Arabic" w:eastAsia="Simplified Arabic" w:hAnsi="Traditional Arabic" w:cs="Traditional Arabic"/>
          <w:b/>
          <w:bCs/>
          <w:sz w:val="28"/>
          <w:szCs w:val="28"/>
          <w:rtl/>
        </w:rPr>
        <w:t>1. الصدق الظاهري</w:t>
      </w:r>
    </w:p>
    <w:p w14:paraId="05A536C7" w14:textId="77777777" w:rsidR="007608E1" w:rsidRPr="00B5019C" w:rsidRDefault="007608E1" w:rsidP="00E000FF">
      <w:pPr>
        <w:bidi/>
        <w:spacing w:after="0" w:line="360" w:lineRule="auto"/>
        <w:jc w:val="both"/>
        <w:rPr>
          <w:sz w:val="28"/>
          <w:szCs w:val="28"/>
        </w:rPr>
      </w:pPr>
      <w:r w:rsidRPr="00B5019C">
        <w:rPr>
          <w:rFonts w:ascii="Traditional Arabic" w:eastAsia="Simplified Arabic" w:hAnsi="Traditional Arabic" w:cs="Traditional Arabic"/>
          <w:sz w:val="28"/>
          <w:szCs w:val="28"/>
          <w:rtl/>
        </w:rPr>
        <w:t xml:space="preserve">عُرضت الاستبانة في صورتها الأولية على مجموعة من الأساتذة المحكّمين المتخصصين في مجالات الأمن السيبراني والتقنية المالية والمناهج البحثية بجامعة </w:t>
      </w:r>
      <w:proofErr w:type="spellStart"/>
      <w:r w:rsidRPr="00B5019C">
        <w:rPr>
          <w:rFonts w:ascii="Traditional Arabic" w:eastAsia="Simplified Arabic" w:hAnsi="Traditional Arabic" w:cs="Traditional Arabic"/>
          <w:sz w:val="28"/>
          <w:szCs w:val="28"/>
          <w:rtl/>
        </w:rPr>
        <w:t>Midocean</w:t>
      </w:r>
      <w:proofErr w:type="spellEnd"/>
      <w:r w:rsidRPr="00B5019C">
        <w:rPr>
          <w:rFonts w:ascii="Traditional Arabic" w:eastAsia="Simplified Arabic" w:hAnsi="Traditional Arabic" w:cs="Traditional Arabic"/>
          <w:sz w:val="28"/>
          <w:szCs w:val="28"/>
          <w:rtl/>
        </w:rPr>
        <w:t>، حيث أبدوا آراءهم وملاحظاتهم حول مدى ملاءمة العبارات للأبعاد التي صُممت لقياسها، ووضوح صياغتها اللغوية، وشمولية الأبعاد الخمسة لأهداف الدراسة. وفي ضوء تلك الآراء، عُدِّلت صياغة بعض العبارات دون المساس بجوهر المتغيرات المقاسة، بما يؤكد توافر الصدق الظاهري للأداة.</w:t>
      </w:r>
    </w:p>
    <w:p w14:paraId="2E3321AC" w14:textId="77777777" w:rsidR="007608E1" w:rsidRPr="00B5019C" w:rsidRDefault="007608E1" w:rsidP="00E000FF">
      <w:pPr>
        <w:bidi/>
        <w:spacing w:after="0" w:line="360" w:lineRule="auto"/>
        <w:jc w:val="both"/>
        <w:rPr>
          <w:sz w:val="28"/>
          <w:szCs w:val="28"/>
        </w:rPr>
      </w:pPr>
      <w:r w:rsidRPr="00B5019C">
        <w:rPr>
          <w:rFonts w:ascii="Traditional Arabic" w:eastAsia="Simplified Arabic" w:hAnsi="Traditional Arabic" w:cs="Traditional Arabic"/>
          <w:b/>
          <w:bCs/>
          <w:sz w:val="28"/>
          <w:szCs w:val="28"/>
          <w:rtl/>
        </w:rPr>
        <w:t>2. صدق الاتساق الداخلي</w:t>
      </w:r>
    </w:p>
    <w:p w14:paraId="7A9F91DB" w14:textId="77777777" w:rsidR="007608E1" w:rsidRDefault="007608E1" w:rsidP="00E000FF">
      <w:pPr>
        <w:bidi/>
        <w:spacing w:after="0" w:line="360" w:lineRule="auto"/>
        <w:jc w:val="both"/>
      </w:pPr>
      <w:r w:rsidRPr="00B5019C">
        <w:rPr>
          <w:rFonts w:ascii="Traditional Arabic" w:eastAsia="Simplified Arabic" w:hAnsi="Traditional Arabic" w:cs="Traditional Arabic"/>
          <w:sz w:val="28"/>
          <w:szCs w:val="28"/>
          <w:rtl/>
        </w:rPr>
        <w:t xml:space="preserve">تحقق الباحث من صدق الاتساق الداخلي لفقرات الاستبانة من خلال حساب معامل ارتباط </w:t>
      </w:r>
      <w:proofErr w:type="spellStart"/>
      <w:r w:rsidRPr="00B5019C">
        <w:rPr>
          <w:rFonts w:ascii="Traditional Arabic" w:eastAsia="Simplified Arabic" w:hAnsi="Traditional Arabic" w:cs="Traditional Arabic"/>
          <w:sz w:val="28"/>
          <w:szCs w:val="28"/>
          <w:rtl/>
        </w:rPr>
        <w:t>سبيرمان</w:t>
      </w:r>
      <w:proofErr w:type="spellEnd"/>
      <w:r w:rsidRPr="00B5019C">
        <w:rPr>
          <w:rFonts w:ascii="Traditional Arabic" w:eastAsia="Simplified Arabic" w:hAnsi="Traditional Arabic" w:cs="Traditional Arabic"/>
          <w:sz w:val="28"/>
          <w:szCs w:val="28"/>
          <w:rtl/>
        </w:rPr>
        <w:t xml:space="preserve"> (</w:t>
      </w:r>
      <w:proofErr w:type="spellStart"/>
      <w:r w:rsidRPr="00B5019C">
        <w:rPr>
          <w:rFonts w:ascii="Traditional Arabic" w:eastAsia="Simplified Arabic" w:hAnsi="Traditional Arabic" w:cs="Traditional Arabic"/>
          <w:sz w:val="28"/>
          <w:szCs w:val="28"/>
          <w:rtl/>
        </w:rPr>
        <w:t>Spearman</w:t>
      </w:r>
      <w:proofErr w:type="spellEnd"/>
      <w:r w:rsidRPr="00B5019C">
        <w:rPr>
          <w:rFonts w:ascii="Traditional Arabic" w:eastAsia="Simplified Arabic" w:hAnsi="Traditional Arabic" w:cs="Traditional Arabic"/>
          <w:sz w:val="28"/>
          <w:szCs w:val="28"/>
          <w:rtl/>
        </w:rPr>
        <w:t xml:space="preserve">) — تماشياً مع الطبيعة غير </w:t>
      </w:r>
      <w:proofErr w:type="spellStart"/>
      <w:r w:rsidRPr="00B5019C">
        <w:rPr>
          <w:rFonts w:ascii="Traditional Arabic" w:eastAsia="Simplified Arabic" w:hAnsi="Traditional Arabic" w:cs="Traditional Arabic"/>
          <w:sz w:val="28"/>
          <w:szCs w:val="28"/>
          <w:rtl/>
        </w:rPr>
        <w:t>المعلمية</w:t>
      </w:r>
      <w:proofErr w:type="spellEnd"/>
      <w:r w:rsidRPr="00B5019C">
        <w:rPr>
          <w:rFonts w:ascii="Traditional Arabic" w:eastAsia="Simplified Arabic" w:hAnsi="Traditional Arabic" w:cs="Traditional Arabic"/>
          <w:sz w:val="28"/>
          <w:szCs w:val="28"/>
          <w:rtl/>
        </w:rPr>
        <w:t xml:space="preserve"> للبيانات كما سيرد بيانه في اختبار افتراضات التحليل الإحصائي — بين درجة كل عبارة والدرجة الكلية للبُعد الذي تنتمي إليه. وتُعدّ العبارة صادقة داخلياً إذا كان معامل ارتباطها موجباً ودالاً إحصائياً عند مستوى (0.01 أو 0.05)، وتراوحت معاملات الارتباط لجميع عبارات الأبعاد الخمسة بين (0.635) و(0.848)، وجاءت جميعها دالة إحصائياً عند مستوى دلالة (0.01&gt;)، مما يؤكد اتساقها الداخلي وصلاحيتها لقياس ما وُضعت لأجله.</w:t>
      </w:r>
    </w:p>
    <w:p w14:paraId="5880BF4D"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1D686483"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2139C202" w14:textId="77777777" w:rsidR="00B5019C" w:rsidRDefault="00B5019C" w:rsidP="00B5019C">
      <w:pPr>
        <w:bidi/>
        <w:spacing w:after="0" w:line="360" w:lineRule="auto"/>
        <w:jc w:val="both"/>
        <w:rPr>
          <w:rFonts w:ascii="Simplified Arabic" w:eastAsia="Simplified Arabic" w:hAnsi="Simplified Arabic" w:cs="Simplified Arabic"/>
          <w:b/>
          <w:bCs/>
          <w:sz w:val="28"/>
          <w:szCs w:val="28"/>
          <w:rtl/>
        </w:rPr>
      </w:pPr>
    </w:p>
    <w:p w14:paraId="5A2F3736" w14:textId="77777777" w:rsidR="00B5019C" w:rsidRDefault="00B5019C" w:rsidP="00B5019C">
      <w:pPr>
        <w:bidi/>
        <w:spacing w:after="0" w:line="360" w:lineRule="auto"/>
        <w:jc w:val="both"/>
        <w:rPr>
          <w:rFonts w:ascii="Simplified Arabic" w:eastAsia="Simplified Arabic" w:hAnsi="Simplified Arabic" w:cs="Simplified Arabic"/>
          <w:b/>
          <w:bCs/>
          <w:sz w:val="28"/>
          <w:szCs w:val="28"/>
          <w:rtl/>
        </w:rPr>
      </w:pPr>
    </w:p>
    <w:p w14:paraId="413E5566" w14:textId="77777777" w:rsidR="00B5019C" w:rsidRDefault="00B5019C" w:rsidP="00B5019C">
      <w:pPr>
        <w:bidi/>
        <w:spacing w:after="0" w:line="360" w:lineRule="auto"/>
        <w:jc w:val="both"/>
        <w:rPr>
          <w:rFonts w:ascii="Simplified Arabic" w:eastAsia="Simplified Arabic" w:hAnsi="Simplified Arabic" w:cs="Simplified Arabic"/>
          <w:b/>
          <w:bCs/>
          <w:sz w:val="28"/>
          <w:szCs w:val="28"/>
          <w:rtl/>
        </w:rPr>
      </w:pPr>
    </w:p>
    <w:p w14:paraId="56AB7E9C" w14:textId="5E37CAB5"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lastRenderedPageBreak/>
        <w:t>صدق الاتساق الداخلي لبُعد: الترميز الأمني للبيانات</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1"/>
        <w:gridCol w:w="4082"/>
        <w:gridCol w:w="1488"/>
        <w:gridCol w:w="1243"/>
        <w:gridCol w:w="934"/>
      </w:tblGrid>
      <w:tr w:rsidR="007608E1" w14:paraId="2C95D517" w14:textId="77777777" w:rsidTr="00B5019C">
        <w:trPr>
          <w:tblHeader/>
          <w:jc w:val="center"/>
        </w:trPr>
        <w:tc>
          <w:tcPr>
            <w:tcW w:w="499" w:type="dxa"/>
            <w:shd w:val="clear" w:color="auto" w:fill="2E5395"/>
            <w:tcMar>
              <w:top w:w="60" w:type="dxa"/>
              <w:left w:w="100" w:type="dxa"/>
              <w:bottom w:w="60" w:type="dxa"/>
              <w:right w:w="100" w:type="dxa"/>
            </w:tcMar>
            <w:vAlign w:val="center"/>
          </w:tcPr>
          <w:p w14:paraId="0C2510D9"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39F146ED"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05041713"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w:t>
            </w:r>
            <w:proofErr w:type="spellStart"/>
            <w:r>
              <w:rPr>
                <w:rFonts w:ascii="Traditional Arabic" w:eastAsia="Simplified Arabic" w:hAnsi="Traditional Arabic" w:cs="Traditional Arabic"/>
                <w:b/>
                <w:bCs/>
                <w:color w:val="FFFFFF"/>
                <w:rtl/>
              </w:rPr>
              <w:t>سبيرمان</w:t>
            </w:r>
            <w:proofErr w:type="spellEnd"/>
            <w:r>
              <w:rPr>
                <w:rFonts w:ascii="Traditional Arabic" w:eastAsia="Simplified Arabic" w:hAnsi="Traditional Arabic" w:cs="Traditional Arabic"/>
                <w:b/>
                <w:bCs/>
                <w:color w:val="FFFFFF"/>
                <w:rtl/>
              </w:rPr>
              <w:t>)</w:t>
            </w:r>
          </w:p>
        </w:tc>
        <w:tc>
          <w:tcPr>
            <w:tcW w:w="1248" w:type="dxa"/>
            <w:shd w:val="clear" w:color="auto" w:fill="2E5395"/>
            <w:tcMar>
              <w:top w:w="60" w:type="dxa"/>
              <w:left w:w="100" w:type="dxa"/>
              <w:bottom w:w="60" w:type="dxa"/>
              <w:right w:w="100" w:type="dxa"/>
            </w:tcMar>
            <w:vAlign w:val="center"/>
          </w:tcPr>
          <w:p w14:paraId="08F5D6E6"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5A41E25C"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308A7C5B" w14:textId="77777777" w:rsidTr="00B5019C">
        <w:trPr>
          <w:jc w:val="center"/>
        </w:trPr>
        <w:tc>
          <w:tcPr>
            <w:tcW w:w="499" w:type="dxa"/>
            <w:tcMar>
              <w:top w:w="60" w:type="dxa"/>
              <w:left w:w="100" w:type="dxa"/>
              <w:bottom w:w="60" w:type="dxa"/>
              <w:right w:w="100" w:type="dxa"/>
            </w:tcMar>
            <w:vAlign w:val="center"/>
          </w:tcPr>
          <w:p w14:paraId="0B1C9BE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7</w:t>
            </w:r>
          </w:p>
        </w:tc>
        <w:tc>
          <w:tcPr>
            <w:tcW w:w="4118" w:type="dxa"/>
            <w:vAlign w:val="center"/>
          </w:tcPr>
          <w:p w14:paraId="783AC591" w14:textId="77777777" w:rsidR="005D691F" w:rsidRDefault="00F4227D" w:rsidP="00B5019C">
            <w:pPr>
              <w:bidi/>
              <w:spacing w:after="0" w:line="260" w:lineRule="auto"/>
              <w:jc w:val="center"/>
            </w:pPr>
            <w:r>
              <w:rPr>
                <w:rFonts w:ascii="Traditional Arabic" w:hAnsi="Traditional Arabic" w:cs="Traditional Arabic"/>
                <w:rtl/>
              </w:rPr>
              <w:t>تعتمد المؤسسة تقنية الترميز لحماية بيانات الدفع الحساسة وفق معيار PCI DSS</w:t>
            </w:r>
          </w:p>
        </w:tc>
        <w:tc>
          <w:tcPr>
            <w:tcW w:w="1497" w:type="dxa"/>
            <w:tcMar>
              <w:top w:w="60" w:type="dxa"/>
              <w:left w:w="100" w:type="dxa"/>
              <w:bottom w:w="60" w:type="dxa"/>
              <w:right w:w="100" w:type="dxa"/>
            </w:tcMar>
            <w:vAlign w:val="center"/>
          </w:tcPr>
          <w:p w14:paraId="639526B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0.720</w:t>
            </w:r>
          </w:p>
        </w:tc>
        <w:tc>
          <w:tcPr>
            <w:tcW w:w="1248" w:type="dxa"/>
            <w:tcMar>
              <w:top w:w="60" w:type="dxa"/>
              <w:left w:w="100" w:type="dxa"/>
              <w:bottom w:w="60" w:type="dxa"/>
              <w:right w:w="100" w:type="dxa"/>
            </w:tcMar>
            <w:vAlign w:val="center"/>
          </w:tcPr>
          <w:p w14:paraId="6BFAE66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13654EB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07AB5741" w14:textId="77777777" w:rsidTr="00B5019C">
        <w:trPr>
          <w:jc w:val="center"/>
        </w:trPr>
        <w:tc>
          <w:tcPr>
            <w:tcW w:w="499" w:type="dxa"/>
            <w:shd w:val="clear" w:color="auto" w:fill="F2F2F2"/>
            <w:tcMar>
              <w:top w:w="60" w:type="dxa"/>
              <w:left w:w="100" w:type="dxa"/>
              <w:bottom w:w="60" w:type="dxa"/>
              <w:right w:w="100" w:type="dxa"/>
            </w:tcMar>
            <w:vAlign w:val="center"/>
          </w:tcPr>
          <w:p w14:paraId="4BD184C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8</w:t>
            </w:r>
          </w:p>
        </w:tc>
        <w:tc>
          <w:tcPr>
            <w:tcW w:w="4118" w:type="dxa"/>
            <w:vAlign w:val="center"/>
          </w:tcPr>
          <w:p w14:paraId="01BA32DB" w14:textId="77777777" w:rsidR="005D691F" w:rsidRDefault="00F4227D" w:rsidP="00B5019C">
            <w:pPr>
              <w:bidi/>
              <w:spacing w:after="0" w:line="260" w:lineRule="auto"/>
              <w:jc w:val="center"/>
            </w:pPr>
            <w:r>
              <w:rPr>
                <w:rFonts w:ascii="Traditional Arabic" w:hAnsi="Traditional Arabic" w:cs="Traditional Arabic"/>
                <w:rtl/>
              </w:rPr>
              <w:t>أسهم الترميز في تقليص نسبة اختراق البيانات المالية بشكل ملحوظ خلال السنتين الماضيتين</w:t>
            </w:r>
          </w:p>
        </w:tc>
        <w:tc>
          <w:tcPr>
            <w:tcW w:w="1497" w:type="dxa"/>
            <w:shd w:val="clear" w:color="auto" w:fill="F2F2F2"/>
            <w:tcMar>
              <w:top w:w="60" w:type="dxa"/>
              <w:left w:w="100" w:type="dxa"/>
              <w:bottom w:w="60" w:type="dxa"/>
              <w:right w:w="100" w:type="dxa"/>
            </w:tcMar>
            <w:vAlign w:val="center"/>
          </w:tcPr>
          <w:p w14:paraId="3FDF985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0.705</w:t>
            </w:r>
          </w:p>
        </w:tc>
        <w:tc>
          <w:tcPr>
            <w:tcW w:w="1248" w:type="dxa"/>
            <w:shd w:val="clear" w:color="auto" w:fill="F2F2F2"/>
            <w:tcMar>
              <w:top w:w="60" w:type="dxa"/>
              <w:left w:w="100" w:type="dxa"/>
              <w:bottom w:w="60" w:type="dxa"/>
              <w:right w:w="100" w:type="dxa"/>
            </w:tcMar>
            <w:vAlign w:val="center"/>
          </w:tcPr>
          <w:p w14:paraId="7FE4177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6C655CF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7BE6E91B" w14:textId="77777777" w:rsidTr="00B5019C">
        <w:trPr>
          <w:jc w:val="center"/>
        </w:trPr>
        <w:tc>
          <w:tcPr>
            <w:tcW w:w="499" w:type="dxa"/>
            <w:tcMar>
              <w:top w:w="60" w:type="dxa"/>
              <w:left w:w="100" w:type="dxa"/>
              <w:bottom w:w="60" w:type="dxa"/>
              <w:right w:w="100" w:type="dxa"/>
            </w:tcMar>
            <w:vAlign w:val="center"/>
          </w:tcPr>
          <w:p w14:paraId="533F1A0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9</w:t>
            </w:r>
          </w:p>
        </w:tc>
        <w:tc>
          <w:tcPr>
            <w:tcW w:w="4118" w:type="dxa"/>
            <w:vAlign w:val="center"/>
          </w:tcPr>
          <w:p w14:paraId="5F3DB3AE" w14:textId="77777777" w:rsidR="005D691F" w:rsidRDefault="00F4227D" w:rsidP="00B5019C">
            <w:pPr>
              <w:bidi/>
              <w:spacing w:after="0" w:line="260" w:lineRule="auto"/>
              <w:jc w:val="center"/>
            </w:pPr>
            <w:r>
              <w:rPr>
                <w:rFonts w:ascii="Traditional Arabic" w:hAnsi="Traditional Arabic" w:cs="Traditional Arabic"/>
                <w:rtl/>
              </w:rPr>
              <w:t>يُعزّز الترميز مستوى حماية هوية العملاء وبياناتهم المصرفية من التهديدات السيبرانية</w:t>
            </w:r>
          </w:p>
        </w:tc>
        <w:tc>
          <w:tcPr>
            <w:tcW w:w="1497" w:type="dxa"/>
            <w:tcMar>
              <w:top w:w="60" w:type="dxa"/>
              <w:left w:w="100" w:type="dxa"/>
              <w:bottom w:w="60" w:type="dxa"/>
              <w:right w:w="100" w:type="dxa"/>
            </w:tcMar>
            <w:vAlign w:val="center"/>
          </w:tcPr>
          <w:p w14:paraId="36D647F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0.700</w:t>
            </w:r>
          </w:p>
        </w:tc>
        <w:tc>
          <w:tcPr>
            <w:tcW w:w="1248" w:type="dxa"/>
            <w:tcMar>
              <w:top w:w="60" w:type="dxa"/>
              <w:left w:w="100" w:type="dxa"/>
              <w:bottom w:w="60" w:type="dxa"/>
              <w:right w:w="100" w:type="dxa"/>
            </w:tcMar>
            <w:vAlign w:val="center"/>
          </w:tcPr>
          <w:p w14:paraId="5593F59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2841B5C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06047456" w14:textId="77777777" w:rsidTr="00B5019C">
        <w:trPr>
          <w:jc w:val="center"/>
        </w:trPr>
        <w:tc>
          <w:tcPr>
            <w:tcW w:w="499" w:type="dxa"/>
            <w:shd w:val="clear" w:color="auto" w:fill="F2F2F2"/>
            <w:tcMar>
              <w:top w:w="60" w:type="dxa"/>
              <w:left w:w="100" w:type="dxa"/>
              <w:bottom w:w="60" w:type="dxa"/>
              <w:right w:w="100" w:type="dxa"/>
            </w:tcMar>
            <w:vAlign w:val="center"/>
          </w:tcPr>
          <w:p w14:paraId="6489A6E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10</w:t>
            </w:r>
          </w:p>
        </w:tc>
        <w:tc>
          <w:tcPr>
            <w:tcW w:w="4118" w:type="dxa"/>
            <w:vAlign w:val="center"/>
          </w:tcPr>
          <w:p w14:paraId="5D22F5ED" w14:textId="77777777" w:rsidR="005D691F" w:rsidRDefault="00F4227D" w:rsidP="00B5019C">
            <w:pPr>
              <w:bidi/>
              <w:spacing w:after="0" w:line="260" w:lineRule="auto"/>
              <w:jc w:val="center"/>
            </w:pPr>
            <w:r>
              <w:rPr>
                <w:rFonts w:ascii="Traditional Arabic" w:hAnsi="Traditional Arabic" w:cs="Traditional Arabic"/>
                <w:rtl/>
              </w:rPr>
              <w:t>تُطبّق المؤسسة آليات ترميز ديناميكي (</w:t>
            </w:r>
            <w:proofErr w:type="spellStart"/>
            <w:r>
              <w:rPr>
                <w:rFonts w:ascii="Traditional Arabic" w:hAnsi="Traditional Arabic" w:cs="Traditional Arabic"/>
                <w:rtl/>
              </w:rPr>
              <w:t>Dynamic</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Tokenization</w:t>
            </w:r>
            <w:proofErr w:type="spellEnd"/>
            <w:r>
              <w:rPr>
                <w:rFonts w:ascii="Traditional Arabic" w:hAnsi="Traditional Arabic" w:cs="Traditional Arabic"/>
                <w:rtl/>
              </w:rPr>
              <w:t>) لتعزيز الأمن في المعاملات الآنية</w:t>
            </w:r>
          </w:p>
        </w:tc>
        <w:tc>
          <w:tcPr>
            <w:tcW w:w="1497" w:type="dxa"/>
            <w:shd w:val="clear" w:color="auto" w:fill="F2F2F2"/>
            <w:tcMar>
              <w:top w:w="60" w:type="dxa"/>
              <w:left w:w="100" w:type="dxa"/>
              <w:bottom w:w="60" w:type="dxa"/>
              <w:right w:w="100" w:type="dxa"/>
            </w:tcMar>
            <w:vAlign w:val="center"/>
          </w:tcPr>
          <w:p w14:paraId="0FD4833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0.785</w:t>
            </w:r>
          </w:p>
        </w:tc>
        <w:tc>
          <w:tcPr>
            <w:tcW w:w="1248" w:type="dxa"/>
            <w:shd w:val="clear" w:color="auto" w:fill="F2F2F2"/>
            <w:tcMar>
              <w:top w:w="60" w:type="dxa"/>
              <w:left w:w="100" w:type="dxa"/>
              <w:bottom w:w="60" w:type="dxa"/>
              <w:right w:w="100" w:type="dxa"/>
            </w:tcMar>
            <w:vAlign w:val="center"/>
          </w:tcPr>
          <w:p w14:paraId="66BAE7F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2B62BD4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02788AE5" w14:textId="77777777" w:rsidTr="00B5019C">
        <w:trPr>
          <w:jc w:val="center"/>
        </w:trPr>
        <w:tc>
          <w:tcPr>
            <w:tcW w:w="499" w:type="dxa"/>
            <w:tcMar>
              <w:top w:w="60" w:type="dxa"/>
              <w:left w:w="100" w:type="dxa"/>
              <w:bottom w:w="60" w:type="dxa"/>
              <w:right w:w="100" w:type="dxa"/>
            </w:tcMar>
            <w:vAlign w:val="center"/>
          </w:tcPr>
          <w:p w14:paraId="73EFC06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11</w:t>
            </w:r>
          </w:p>
        </w:tc>
        <w:tc>
          <w:tcPr>
            <w:tcW w:w="4118" w:type="dxa"/>
            <w:vAlign w:val="center"/>
          </w:tcPr>
          <w:p w14:paraId="21415C2B" w14:textId="77777777" w:rsidR="005D691F" w:rsidRDefault="00F4227D" w:rsidP="00B5019C">
            <w:pPr>
              <w:bidi/>
              <w:spacing w:after="0" w:line="260" w:lineRule="auto"/>
              <w:jc w:val="center"/>
            </w:pPr>
            <w:r>
              <w:rPr>
                <w:rFonts w:ascii="Traditional Arabic" w:hAnsi="Traditional Arabic" w:cs="Traditional Arabic"/>
                <w:rtl/>
              </w:rPr>
              <w:t>أدّى الترميز إلى خفض تكاليف الاستجابة للحوادث السيبرانية وعمليات الاستعادة</w:t>
            </w:r>
          </w:p>
        </w:tc>
        <w:tc>
          <w:tcPr>
            <w:tcW w:w="1497" w:type="dxa"/>
            <w:tcMar>
              <w:top w:w="60" w:type="dxa"/>
              <w:left w:w="100" w:type="dxa"/>
              <w:bottom w:w="60" w:type="dxa"/>
              <w:right w:w="100" w:type="dxa"/>
            </w:tcMar>
            <w:vAlign w:val="center"/>
          </w:tcPr>
          <w:p w14:paraId="4FB56CB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0.807</w:t>
            </w:r>
          </w:p>
        </w:tc>
        <w:tc>
          <w:tcPr>
            <w:tcW w:w="1248" w:type="dxa"/>
            <w:tcMar>
              <w:top w:w="60" w:type="dxa"/>
              <w:left w:w="100" w:type="dxa"/>
              <w:bottom w:w="60" w:type="dxa"/>
              <w:right w:w="100" w:type="dxa"/>
            </w:tcMar>
            <w:vAlign w:val="center"/>
          </w:tcPr>
          <w:p w14:paraId="7E176F2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6411305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338F50BF" w14:textId="77777777" w:rsidTr="00B5019C">
        <w:trPr>
          <w:jc w:val="center"/>
        </w:trPr>
        <w:tc>
          <w:tcPr>
            <w:tcW w:w="499" w:type="dxa"/>
            <w:shd w:val="clear" w:color="auto" w:fill="F2F2F2"/>
            <w:tcMar>
              <w:top w:w="60" w:type="dxa"/>
              <w:left w:w="100" w:type="dxa"/>
              <w:bottom w:w="60" w:type="dxa"/>
              <w:right w:w="100" w:type="dxa"/>
            </w:tcMar>
            <w:vAlign w:val="center"/>
          </w:tcPr>
          <w:p w14:paraId="65752E62"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12</w:t>
            </w:r>
          </w:p>
        </w:tc>
        <w:tc>
          <w:tcPr>
            <w:tcW w:w="4118" w:type="dxa"/>
            <w:vAlign w:val="center"/>
          </w:tcPr>
          <w:p w14:paraId="637993A4" w14:textId="77777777" w:rsidR="005D691F" w:rsidRDefault="00F4227D" w:rsidP="00B5019C">
            <w:pPr>
              <w:bidi/>
              <w:spacing w:after="0" w:line="260" w:lineRule="auto"/>
              <w:jc w:val="center"/>
            </w:pPr>
            <w:r>
              <w:rPr>
                <w:rFonts w:ascii="Traditional Arabic" w:hAnsi="Traditional Arabic" w:cs="Traditional Arabic"/>
                <w:rtl/>
              </w:rPr>
              <w:t>يُتيح الترميز الامتثال الكامل لمتطلبات الهيئة الوطنية للأمن السيبراني (NCA)</w:t>
            </w:r>
          </w:p>
        </w:tc>
        <w:tc>
          <w:tcPr>
            <w:tcW w:w="1497" w:type="dxa"/>
            <w:shd w:val="clear" w:color="auto" w:fill="F2F2F2"/>
            <w:tcMar>
              <w:top w:w="60" w:type="dxa"/>
              <w:left w:w="100" w:type="dxa"/>
              <w:bottom w:w="60" w:type="dxa"/>
              <w:right w:w="100" w:type="dxa"/>
            </w:tcMar>
            <w:vAlign w:val="center"/>
          </w:tcPr>
          <w:p w14:paraId="5B81527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0.692</w:t>
            </w:r>
          </w:p>
        </w:tc>
        <w:tc>
          <w:tcPr>
            <w:tcW w:w="1248" w:type="dxa"/>
            <w:shd w:val="clear" w:color="auto" w:fill="F2F2F2"/>
            <w:tcMar>
              <w:top w:w="60" w:type="dxa"/>
              <w:left w:w="100" w:type="dxa"/>
              <w:bottom w:w="60" w:type="dxa"/>
              <w:right w:w="100" w:type="dxa"/>
            </w:tcMar>
            <w:vAlign w:val="center"/>
          </w:tcPr>
          <w:p w14:paraId="0B45D9E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11C4522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4A21F95B"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0986E836"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1C196EEE" w14:textId="48E4B880"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صدق الاتساق الداخلي لبُعد: الامتثال للمعايير الدولية</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2"/>
        <w:gridCol w:w="4080"/>
        <w:gridCol w:w="1489"/>
        <w:gridCol w:w="1243"/>
        <w:gridCol w:w="934"/>
      </w:tblGrid>
      <w:tr w:rsidR="007608E1" w14:paraId="5CFCDB8A" w14:textId="77777777" w:rsidTr="00B5019C">
        <w:trPr>
          <w:tblHeader/>
          <w:jc w:val="center"/>
        </w:trPr>
        <w:tc>
          <w:tcPr>
            <w:tcW w:w="499" w:type="dxa"/>
            <w:shd w:val="clear" w:color="auto" w:fill="2E5395"/>
            <w:tcMar>
              <w:top w:w="60" w:type="dxa"/>
              <w:left w:w="100" w:type="dxa"/>
              <w:bottom w:w="60" w:type="dxa"/>
              <w:right w:w="100" w:type="dxa"/>
            </w:tcMar>
            <w:vAlign w:val="center"/>
          </w:tcPr>
          <w:p w14:paraId="16C15523"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1467FECA"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11EBEDCB"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w:t>
            </w:r>
            <w:proofErr w:type="spellStart"/>
            <w:r>
              <w:rPr>
                <w:rFonts w:ascii="Traditional Arabic" w:eastAsia="Simplified Arabic" w:hAnsi="Traditional Arabic" w:cs="Traditional Arabic"/>
                <w:b/>
                <w:bCs/>
                <w:color w:val="FFFFFF"/>
                <w:rtl/>
              </w:rPr>
              <w:t>سبيرمان</w:t>
            </w:r>
            <w:proofErr w:type="spellEnd"/>
            <w:r>
              <w:rPr>
                <w:rFonts w:ascii="Traditional Arabic" w:eastAsia="Simplified Arabic" w:hAnsi="Traditional Arabic" w:cs="Traditional Arabic"/>
                <w:b/>
                <w:bCs/>
                <w:color w:val="FFFFFF"/>
                <w:rtl/>
              </w:rPr>
              <w:t>)</w:t>
            </w:r>
          </w:p>
        </w:tc>
        <w:tc>
          <w:tcPr>
            <w:tcW w:w="1248" w:type="dxa"/>
            <w:shd w:val="clear" w:color="auto" w:fill="2E5395"/>
            <w:tcMar>
              <w:top w:w="60" w:type="dxa"/>
              <w:left w:w="100" w:type="dxa"/>
              <w:bottom w:w="60" w:type="dxa"/>
              <w:right w:w="100" w:type="dxa"/>
            </w:tcMar>
            <w:vAlign w:val="center"/>
          </w:tcPr>
          <w:p w14:paraId="230E4290"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751C6287"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3495439F" w14:textId="77777777" w:rsidTr="00B5019C">
        <w:trPr>
          <w:jc w:val="center"/>
        </w:trPr>
        <w:tc>
          <w:tcPr>
            <w:tcW w:w="499" w:type="dxa"/>
            <w:tcMar>
              <w:top w:w="60" w:type="dxa"/>
              <w:left w:w="100" w:type="dxa"/>
              <w:bottom w:w="60" w:type="dxa"/>
              <w:right w:w="100" w:type="dxa"/>
            </w:tcMar>
            <w:vAlign w:val="center"/>
          </w:tcPr>
          <w:p w14:paraId="6B7F18C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13</w:t>
            </w:r>
          </w:p>
        </w:tc>
        <w:tc>
          <w:tcPr>
            <w:tcW w:w="4118" w:type="dxa"/>
            <w:vAlign w:val="center"/>
          </w:tcPr>
          <w:p w14:paraId="74A63FFB" w14:textId="77777777" w:rsidR="005D691F" w:rsidRDefault="00F4227D" w:rsidP="00B5019C">
            <w:pPr>
              <w:bidi/>
              <w:spacing w:after="0" w:line="260" w:lineRule="auto"/>
              <w:jc w:val="center"/>
            </w:pPr>
            <w:r>
              <w:rPr>
                <w:rFonts w:ascii="Traditional Arabic" w:hAnsi="Traditional Arabic" w:cs="Traditional Arabic"/>
                <w:rtl/>
              </w:rPr>
              <w:t>ساعد تطبيق الترميز المؤسسة على استيفاء متطلبات معيار ISO 27001 لأمن المعلومات</w:t>
            </w:r>
          </w:p>
        </w:tc>
        <w:tc>
          <w:tcPr>
            <w:tcW w:w="1497" w:type="dxa"/>
            <w:tcMar>
              <w:top w:w="60" w:type="dxa"/>
              <w:left w:w="100" w:type="dxa"/>
              <w:bottom w:w="60" w:type="dxa"/>
              <w:right w:w="100" w:type="dxa"/>
            </w:tcMar>
            <w:vAlign w:val="center"/>
          </w:tcPr>
          <w:p w14:paraId="05E61D0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0.694</w:t>
            </w:r>
          </w:p>
        </w:tc>
        <w:tc>
          <w:tcPr>
            <w:tcW w:w="1248" w:type="dxa"/>
            <w:tcMar>
              <w:top w:w="60" w:type="dxa"/>
              <w:left w:w="100" w:type="dxa"/>
              <w:bottom w:w="60" w:type="dxa"/>
              <w:right w:w="100" w:type="dxa"/>
            </w:tcMar>
            <w:vAlign w:val="center"/>
          </w:tcPr>
          <w:p w14:paraId="67F458E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24037B1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3BFDE984" w14:textId="77777777" w:rsidTr="00B5019C">
        <w:trPr>
          <w:jc w:val="center"/>
        </w:trPr>
        <w:tc>
          <w:tcPr>
            <w:tcW w:w="499" w:type="dxa"/>
            <w:shd w:val="clear" w:color="auto" w:fill="F2F2F2"/>
            <w:tcMar>
              <w:top w:w="60" w:type="dxa"/>
              <w:left w:w="100" w:type="dxa"/>
              <w:bottom w:w="60" w:type="dxa"/>
              <w:right w:w="100" w:type="dxa"/>
            </w:tcMar>
            <w:vAlign w:val="center"/>
          </w:tcPr>
          <w:p w14:paraId="5D4FFBA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14</w:t>
            </w:r>
          </w:p>
        </w:tc>
        <w:tc>
          <w:tcPr>
            <w:tcW w:w="4118" w:type="dxa"/>
            <w:vAlign w:val="center"/>
          </w:tcPr>
          <w:p w14:paraId="28F16DA8" w14:textId="77777777" w:rsidR="005D691F" w:rsidRDefault="00F4227D" w:rsidP="00B5019C">
            <w:pPr>
              <w:bidi/>
              <w:spacing w:after="0" w:line="260" w:lineRule="auto"/>
              <w:jc w:val="center"/>
            </w:pPr>
            <w:r>
              <w:rPr>
                <w:rFonts w:ascii="Traditional Arabic" w:hAnsi="Traditional Arabic" w:cs="Traditional Arabic"/>
                <w:rtl/>
              </w:rPr>
              <w:t>يدعم الترميز الامتثال لأطر حماية البيانات الصادرة عن البنك المركزي السعودي (SAMA)</w:t>
            </w:r>
          </w:p>
        </w:tc>
        <w:tc>
          <w:tcPr>
            <w:tcW w:w="1497" w:type="dxa"/>
            <w:shd w:val="clear" w:color="auto" w:fill="F2F2F2"/>
            <w:tcMar>
              <w:top w:w="60" w:type="dxa"/>
              <w:left w:w="100" w:type="dxa"/>
              <w:bottom w:w="60" w:type="dxa"/>
              <w:right w:w="100" w:type="dxa"/>
            </w:tcMar>
            <w:vAlign w:val="center"/>
          </w:tcPr>
          <w:p w14:paraId="6077490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0.635</w:t>
            </w:r>
          </w:p>
        </w:tc>
        <w:tc>
          <w:tcPr>
            <w:tcW w:w="1248" w:type="dxa"/>
            <w:shd w:val="clear" w:color="auto" w:fill="F2F2F2"/>
            <w:tcMar>
              <w:top w:w="60" w:type="dxa"/>
              <w:left w:w="100" w:type="dxa"/>
              <w:bottom w:w="60" w:type="dxa"/>
              <w:right w:w="100" w:type="dxa"/>
            </w:tcMar>
            <w:vAlign w:val="center"/>
          </w:tcPr>
          <w:p w14:paraId="5B38A2C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26CA5A7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05DDF74D" w14:textId="77777777" w:rsidTr="00B5019C">
        <w:trPr>
          <w:jc w:val="center"/>
        </w:trPr>
        <w:tc>
          <w:tcPr>
            <w:tcW w:w="499" w:type="dxa"/>
            <w:tcMar>
              <w:top w:w="60" w:type="dxa"/>
              <w:left w:w="100" w:type="dxa"/>
              <w:bottom w:w="60" w:type="dxa"/>
              <w:right w:w="100" w:type="dxa"/>
            </w:tcMar>
            <w:vAlign w:val="center"/>
          </w:tcPr>
          <w:p w14:paraId="16F435B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15</w:t>
            </w:r>
          </w:p>
        </w:tc>
        <w:tc>
          <w:tcPr>
            <w:tcW w:w="4118" w:type="dxa"/>
            <w:vAlign w:val="center"/>
          </w:tcPr>
          <w:p w14:paraId="5108880B" w14:textId="77777777" w:rsidR="005D691F" w:rsidRDefault="00F4227D" w:rsidP="00B5019C">
            <w:pPr>
              <w:bidi/>
              <w:spacing w:after="0" w:line="260" w:lineRule="auto"/>
              <w:jc w:val="center"/>
            </w:pPr>
            <w:r>
              <w:rPr>
                <w:rFonts w:ascii="Traditional Arabic" w:hAnsi="Traditional Arabic" w:cs="Traditional Arabic"/>
                <w:rtl/>
              </w:rPr>
              <w:t>أسهم الترميز في تيسير عمليات التدقيق الخارجي وتقليص وقتها وتكاليفها</w:t>
            </w:r>
          </w:p>
        </w:tc>
        <w:tc>
          <w:tcPr>
            <w:tcW w:w="1497" w:type="dxa"/>
            <w:tcMar>
              <w:top w:w="60" w:type="dxa"/>
              <w:left w:w="100" w:type="dxa"/>
              <w:bottom w:w="60" w:type="dxa"/>
              <w:right w:w="100" w:type="dxa"/>
            </w:tcMar>
            <w:vAlign w:val="center"/>
          </w:tcPr>
          <w:p w14:paraId="31BD48E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0.764</w:t>
            </w:r>
          </w:p>
        </w:tc>
        <w:tc>
          <w:tcPr>
            <w:tcW w:w="1248" w:type="dxa"/>
            <w:tcMar>
              <w:top w:w="60" w:type="dxa"/>
              <w:left w:w="100" w:type="dxa"/>
              <w:bottom w:w="60" w:type="dxa"/>
              <w:right w:w="100" w:type="dxa"/>
            </w:tcMar>
            <w:vAlign w:val="center"/>
          </w:tcPr>
          <w:p w14:paraId="45A2B23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0D9AC75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53A45167" w14:textId="77777777" w:rsidTr="00B5019C">
        <w:trPr>
          <w:jc w:val="center"/>
        </w:trPr>
        <w:tc>
          <w:tcPr>
            <w:tcW w:w="499" w:type="dxa"/>
            <w:shd w:val="clear" w:color="auto" w:fill="F2F2F2"/>
            <w:tcMar>
              <w:top w:w="60" w:type="dxa"/>
              <w:left w:w="100" w:type="dxa"/>
              <w:bottom w:w="60" w:type="dxa"/>
              <w:right w:w="100" w:type="dxa"/>
            </w:tcMar>
            <w:vAlign w:val="center"/>
          </w:tcPr>
          <w:p w14:paraId="2F64FC4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lastRenderedPageBreak/>
              <w:t>16</w:t>
            </w:r>
          </w:p>
        </w:tc>
        <w:tc>
          <w:tcPr>
            <w:tcW w:w="4118" w:type="dxa"/>
            <w:vAlign w:val="center"/>
          </w:tcPr>
          <w:p w14:paraId="4F57E8CF" w14:textId="77777777" w:rsidR="005D691F" w:rsidRDefault="00F4227D" w:rsidP="00B5019C">
            <w:pPr>
              <w:bidi/>
              <w:spacing w:after="0" w:line="260" w:lineRule="auto"/>
              <w:jc w:val="center"/>
            </w:pPr>
            <w:r>
              <w:rPr>
                <w:rFonts w:ascii="Traditional Arabic" w:hAnsi="Traditional Arabic" w:cs="Traditional Arabic"/>
                <w:rtl/>
              </w:rPr>
              <w:t>تُوظّف المؤسسة الترميز كأداة للامتثال لأنظمة حماية البيانات المحلية والدولية</w:t>
            </w:r>
          </w:p>
        </w:tc>
        <w:tc>
          <w:tcPr>
            <w:tcW w:w="1497" w:type="dxa"/>
            <w:shd w:val="clear" w:color="auto" w:fill="F2F2F2"/>
            <w:tcMar>
              <w:top w:w="60" w:type="dxa"/>
              <w:left w:w="100" w:type="dxa"/>
              <w:bottom w:w="60" w:type="dxa"/>
              <w:right w:w="100" w:type="dxa"/>
            </w:tcMar>
            <w:vAlign w:val="center"/>
          </w:tcPr>
          <w:p w14:paraId="502EBEDA"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0.756</w:t>
            </w:r>
          </w:p>
        </w:tc>
        <w:tc>
          <w:tcPr>
            <w:tcW w:w="1248" w:type="dxa"/>
            <w:shd w:val="clear" w:color="auto" w:fill="F2F2F2"/>
            <w:tcMar>
              <w:top w:w="60" w:type="dxa"/>
              <w:left w:w="100" w:type="dxa"/>
              <w:bottom w:w="60" w:type="dxa"/>
              <w:right w:w="100" w:type="dxa"/>
            </w:tcMar>
            <w:vAlign w:val="center"/>
          </w:tcPr>
          <w:p w14:paraId="2C5C9E9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783CE82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162C57D1" w14:textId="77777777" w:rsidTr="00B5019C">
        <w:trPr>
          <w:jc w:val="center"/>
        </w:trPr>
        <w:tc>
          <w:tcPr>
            <w:tcW w:w="499" w:type="dxa"/>
            <w:tcMar>
              <w:top w:w="60" w:type="dxa"/>
              <w:left w:w="100" w:type="dxa"/>
              <w:bottom w:w="60" w:type="dxa"/>
              <w:right w:w="100" w:type="dxa"/>
            </w:tcMar>
            <w:vAlign w:val="center"/>
          </w:tcPr>
          <w:p w14:paraId="61D3BFD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17</w:t>
            </w:r>
          </w:p>
        </w:tc>
        <w:tc>
          <w:tcPr>
            <w:tcW w:w="4118" w:type="dxa"/>
            <w:vAlign w:val="center"/>
          </w:tcPr>
          <w:p w14:paraId="7A8B2CBB" w14:textId="77777777" w:rsidR="005D691F" w:rsidRDefault="00F4227D" w:rsidP="00B5019C">
            <w:pPr>
              <w:bidi/>
              <w:spacing w:after="0" w:line="260" w:lineRule="auto"/>
              <w:jc w:val="center"/>
            </w:pPr>
            <w:r>
              <w:rPr>
                <w:rFonts w:ascii="Traditional Arabic" w:hAnsi="Traditional Arabic" w:cs="Traditional Arabic"/>
                <w:rtl/>
              </w:rPr>
              <w:t>يُيسّر الترميز تطبيق سياسات حوكمة البيانات المؤسسية بشكل فعّال</w:t>
            </w:r>
          </w:p>
        </w:tc>
        <w:tc>
          <w:tcPr>
            <w:tcW w:w="1497" w:type="dxa"/>
            <w:tcMar>
              <w:top w:w="60" w:type="dxa"/>
              <w:left w:w="100" w:type="dxa"/>
              <w:bottom w:w="60" w:type="dxa"/>
              <w:right w:w="100" w:type="dxa"/>
            </w:tcMar>
            <w:vAlign w:val="center"/>
          </w:tcPr>
          <w:p w14:paraId="1373C31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0.769</w:t>
            </w:r>
          </w:p>
        </w:tc>
        <w:tc>
          <w:tcPr>
            <w:tcW w:w="1248" w:type="dxa"/>
            <w:tcMar>
              <w:top w:w="60" w:type="dxa"/>
              <w:left w:w="100" w:type="dxa"/>
              <w:bottom w:w="60" w:type="dxa"/>
              <w:right w:w="100" w:type="dxa"/>
            </w:tcMar>
            <w:vAlign w:val="center"/>
          </w:tcPr>
          <w:p w14:paraId="5B1052B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1C4174D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CF1BFD4" w14:textId="77777777" w:rsidTr="00B5019C">
        <w:trPr>
          <w:jc w:val="center"/>
        </w:trPr>
        <w:tc>
          <w:tcPr>
            <w:tcW w:w="499" w:type="dxa"/>
            <w:shd w:val="clear" w:color="auto" w:fill="F2F2F2"/>
            <w:tcMar>
              <w:top w:w="60" w:type="dxa"/>
              <w:left w:w="100" w:type="dxa"/>
              <w:bottom w:w="60" w:type="dxa"/>
              <w:right w:w="100" w:type="dxa"/>
            </w:tcMar>
            <w:vAlign w:val="center"/>
          </w:tcPr>
          <w:p w14:paraId="3E319C22"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18</w:t>
            </w:r>
          </w:p>
        </w:tc>
        <w:tc>
          <w:tcPr>
            <w:tcW w:w="4118" w:type="dxa"/>
            <w:vAlign w:val="center"/>
          </w:tcPr>
          <w:p w14:paraId="483FF27A" w14:textId="77777777" w:rsidR="005D691F" w:rsidRDefault="00F4227D" w:rsidP="00B5019C">
            <w:pPr>
              <w:bidi/>
              <w:spacing w:after="0" w:line="260" w:lineRule="auto"/>
              <w:jc w:val="center"/>
            </w:pPr>
            <w:r>
              <w:rPr>
                <w:rFonts w:ascii="Traditional Arabic" w:hAnsi="Traditional Arabic" w:cs="Traditional Arabic"/>
                <w:rtl/>
              </w:rPr>
              <w:t>تُقلّص تقنية الترميز المخاطر القانونية والتنظيمية المترتبة على تسريب البيانات</w:t>
            </w:r>
          </w:p>
        </w:tc>
        <w:tc>
          <w:tcPr>
            <w:tcW w:w="1497" w:type="dxa"/>
            <w:shd w:val="clear" w:color="auto" w:fill="F2F2F2"/>
            <w:tcMar>
              <w:top w:w="60" w:type="dxa"/>
              <w:left w:w="100" w:type="dxa"/>
              <w:bottom w:w="60" w:type="dxa"/>
              <w:right w:w="100" w:type="dxa"/>
            </w:tcMar>
            <w:vAlign w:val="center"/>
          </w:tcPr>
          <w:p w14:paraId="103F887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0.741</w:t>
            </w:r>
          </w:p>
        </w:tc>
        <w:tc>
          <w:tcPr>
            <w:tcW w:w="1248" w:type="dxa"/>
            <w:shd w:val="clear" w:color="auto" w:fill="F2F2F2"/>
            <w:tcMar>
              <w:top w:w="60" w:type="dxa"/>
              <w:left w:w="100" w:type="dxa"/>
              <w:bottom w:w="60" w:type="dxa"/>
              <w:right w:w="100" w:type="dxa"/>
            </w:tcMar>
            <w:vAlign w:val="center"/>
          </w:tcPr>
          <w:p w14:paraId="7062F4F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1F5CFA0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5F000021" w14:textId="77777777" w:rsidTr="00B5019C">
        <w:trPr>
          <w:jc w:val="center"/>
        </w:trPr>
        <w:tc>
          <w:tcPr>
            <w:tcW w:w="499" w:type="dxa"/>
            <w:tcMar>
              <w:top w:w="60" w:type="dxa"/>
              <w:left w:w="100" w:type="dxa"/>
              <w:bottom w:w="60" w:type="dxa"/>
              <w:right w:w="100" w:type="dxa"/>
            </w:tcMar>
            <w:vAlign w:val="center"/>
          </w:tcPr>
          <w:p w14:paraId="7159129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19</w:t>
            </w:r>
          </w:p>
        </w:tc>
        <w:tc>
          <w:tcPr>
            <w:tcW w:w="4118" w:type="dxa"/>
            <w:vAlign w:val="center"/>
          </w:tcPr>
          <w:p w14:paraId="58460591" w14:textId="77777777" w:rsidR="005D691F" w:rsidRDefault="00F4227D" w:rsidP="00B5019C">
            <w:pPr>
              <w:bidi/>
              <w:spacing w:after="0" w:line="260" w:lineRule="auto"/>
              <w:jc w:val="center"/>
            </w:pPr>
            <w:r>
              <w:rPr>
                <w:rFonts w:ascii="Traditional Arabic" w:hAnsi="Traditional Arabic" w:cs="Traditional Arabic"/>
                <w:rtl/>
              </w:rPr>
              <w:t>تمتلك المؤسسة سياسة واضحة وموثقة لتطبيق معايير الترميز المعتمدة دولياً</w:t>
            </w:r>
          </w:p>
        </w:tc>
        <w:tc>
          <w:tcPr>
            <w:tcW w:w="1497" w:type="dxa"/>
            <w:tcMar>
              <w:top w:w="60" w:type="dxa"/>
              <w:left w:w="100" w:type="dxa"/>
              <w:bottom w:w="60" w:type="dxa"/>
              <w:right w:w="100" w:type="dxa"/>
            </w:tcMar>
            <w:vAlign w:val="center"/>
          </w:tcPr>
          <w:p w14:paraId="012A036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0.773</w:t>
            </w:r>
          </w:p>
        </w:tc>
        <w:tc>
          <w:tcPr>
            <w:tcW w:w="1248" w:type="dxa"/>
            <w:tcMar>
              <w:top w:w="60" w:type="dxa"/>
              <w:left w:w="100" w:type="dxa"/>
              <w:bottom w:w="60" w:type="dxa"/>
              <w:right w:w="100" w:type="dxa"/>
            </w:tcMar>
            <w:vAlign w:val="center"/>
          </w:tcPr>
          <w:p w14:paraId="43D0EE8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415B19F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11505DF3"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1E11E54E"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صدق الاتساق الداخلي لبُعد: الكفاءة التشغيلية المالية</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1"/>
        <w:gridCol w:w="4080"/>
        <w:gridCol w:w="1489"/>
        <w:gridCol w:w="1244"/>
        <w:gridCol w:w="934"/>
      </w:tblGrid>
      <w:tr w:rsidR="007608E1" w14:paraId="4B6E3476" w14:textId="77777777" w:rsidTr="00B5019C">
        <w:trPr>
          <w:tblHeader/>
          <w:jc w:val="center"/>
        </w:trPr>
        <w:tc>
          <w:tcPr>
            <w:tcW w:w="499" w:type="dxa"/>
            <w:shd w:val="clear" w:color="auto" w:fill="2E5395"/>
            <w:tcMar>
              <w:top w:w="60" w:type="dxa"/>
              <w:left w:w="100" w:type="dxa"/>
              <w:bottom w:w="60" w:type="dxa"/>
              <w:right w:w="100" w:type="dxa"/>
            </w:tcMar>
            <w:vAlign w:val="center"/>
          </w:tcPr>
          <w:p w14:paraId="2F96A9B8"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5330F7B0"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41F9BD27"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w:t>
            </w:r>
            <w:proofErr w:type="spellStart"/>
            <w:r>
              <w:rPr>
                <w:rFonts w:ascii="Traditional Arabic" w:eastAsia="Simplified Arabic" w:hAnsi="Traditional Arabic" w:cs="Traditional Arabic"/>
                <w:b/>
                <w:bCs/>
                <w:color w:val="FFFFFF"/>
                <w:rtl/>
              </w:rPr>
              <w:t>سبيرمان</w:t>
            </w:r>
            <w:proofErr w:type="spellEnd"/>
            <w:r>
              <w:rPr>
                <w:rFonts w:ascii="Traditional Arabic" w:eastAsia="Simplified Arabic" w:hAnsi="Traditional Arabic" w:cs="Traditional Arabic"/>
                <w:b/>
                <w:bCs/>
                <w:color w:val="FFFFFF"/>
                <w:rtl/>
              </w:rPr>
              <w:t>)</w:t>
            </w:r>
          </w:p>
        </w:tc>
        <w:tc>
          <w:tcPr>
            <w:tcW w:w="1248" w:type="dxa"/>
            <w:shd w:val="clear" w:color="auto" w:fill="2E5395"/>
            <w:tcMar>
              <w:top w:w="60" w:type="dxa"/>
              <w:left w:w="100" w:type="dxa"/>
              <w:bottom w:w="60" w:type="dxa"/>
              <w:right w:w="100" w:type="dxa"/>
            </w:tcMar>
            <w:vAlign w:val="center"/>
          </w:tcPr>
          <w:p w14:paraId="24DA5BAF"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67FC0C3B"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387C56E1" w14:textId="77777777" w:rsidTr="00B5019C">
        <w:trPr>
          <w:jc w:val="center"/>
        </w:trPr>
        <w:tc>
          <w:tcPr>
            <w:tcW w:w="499" w:type="dxa"/>
            <w:tcMar>
              <w:top w:w="60" w:type="dxa"/>
              <w:left w:w="100" w:type="dxa"/>
              <w:bottom w:w="60" w:type="dxa"/>
              <w:right w:w="100" w:type="dxa"/>
            </w:tcMar>
            <w:vAlign w:val="center"/>
          </w:tcPr>
          <w:p w14:paraId="5DDF647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20</w:t>
            </w:r>
          </w:p>
        </w:tc>
        <w:tc>
          <w:tcPr>
            <w:tcW w:w="4118" w:type="dxa"/>
            <w:vAlign w:val="center"/>
          </w:tcPr>
          <w:p w14:paraId="189AEE8F" w14:textId="77777777" w:rsidR="005D691F" w:rsidRDefault="00F4227D" w:rsidP="00B5019C">
            <w:pPr>
              <w:bidi/>
              <w:spacing w:after="0" w:line="260" w:lineRule="auto"/>
              <w:jc w:val="center"/>
            </w:pPr>
            <w:r>
              <w:rPr>
                <w:rFonts w:ascii="Traditional Arabic" w:hAnsi="Traditional Arabic" w:cs="Traditional Arabic"/>
                <w:rtl/>
              </w:rPr>
              <w:t>أسهم الترميز في تقليص وقت معالجة المعاملات المالية بنسبة ملحوظة</w:t>
            </w:r>
          </w:p>
        </w:tc>
        <w:tc>
          <w:tcPr>
            <w:tcW w:w="1497" w:type="dxa"/>
            <w:tcMar>
              <w:top w:w="60" w:type="dxa"/>
              <w:left w:w="100" w:type="dxa"/>
              <w:bottom w:w="60" w:type="dxa"/>
              <w:right w:w="100" w:type="dxa"/>
            </w:tcMar>
            <w:vAlign w:val="center"/>
          </w:tcPr>
          <w:p w14:paraId="5E1DFBA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0.848</w:t>
            </w:r>
          </w:p>
        </w:tc>
        <w:tc>
          <w:tcPr>
            <w:tcW w:w="1248" w:type="dxa"/>
            <w:tcMar>
              <w:top w:w="60" w:type="dxa"/>
              <w:left w:w="100" w:type="dxa"/>
              <w:bottom w:w="60" w:type="dxa"/>
              <w:right w:w="100" w:type="dxa"/>
            </w:tcMar>
            <w:vAlign w:val="center"/>
          </w:tcPr>
          <w:p w14:paraId="3F4C080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62DC4CD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4D704C2" w14:textId="77777777" w:rsidTr="00B5019C">
        <w:trPr>
          <w:jc w:val="center"/>
        </w:trPr>
        <w:tc>
          <w:tcPr>
            <w:tcW w:w="499" w:type="dxa"/>
            <w:shd w:val="clear" w:color="auto" w:fill="F2F2F2"/>
            <w:tcMar>
              <w:top w:w="60" w:type="dxa"/>
              <w:left w:w="100" w:type="dxa"/>
              <w:bottom w:w="60" w:type="dxa"/>
              <w:right w:w="100" w:type="dxa"/>
            </w:tcMar>
            <w:vAlign w:val="center"/>
          </w:tcPr>
          <w:p w14:paraId="151DC4D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21</w:t>
            </w:r>
          </w:p>
        </w:tc>
        <w:tc>
          <w:tcPr>
            <w:tcW w:w="4118" w:type="dxa"/>
            <w:vAlign w:val="center"/>
          </w:tcPr>
          <w:p w14:paraId="0ABEB2B4" w14:textId="77777777" w:rsidR="005D691F" w:rsidRDefault="00F4227D" w:rsidP="00B5019C">
            <w:pPr>
              <w:bidi/>
              <w:spacing w:after="0" w:line="260" w:lineRule="auto"/>
              <w:jc w:val="center"/>
            </w:pPr>
            <w:r>
              <w:rPr>
                <w:rFonts w:ascii="Traditional Arabic" w:hAnsi="Traditional Arabic" w:cs="Traditional Arabic"/>
                <w:rtl/>
              </w:rPr>
              <w:t>خفّض الترميز تكاليف التشغيل المرتبطة بأمن المدفوعات الإلكترونية</w:t>
            </w:r>
          </w:p>
        </w:tc>
        <w:tc>
          <w:tcPr>
            <w:tcW w:w="1497" w:type="dxa"/>
            <w:shd w:val="clear" w:color="auto" w:fill="F2F2F2"/>
            <w:tcMar>
              <w:top w:w="60" w:type="dxa"/>
              <w:left w:w="100" w:type="dxa"/>
              <w:bottom w:w="60" w:type="dxa"/>
              <w:right w:w="100" w:type="dxa"/>
            </w:tcMar>
            <w:vAlign w:val="center"/>
          </w:tcPr>
          <w:p w14:paraId="321624E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0.833</w:t>
            </w:r>
          </w:p>
        </w:tc>
        <w:tc>
          <w:tcPr>
            <w:tcW w:w="1248" w:type="dxa"/>
            <w:shd w:val="clear" w:color="auto" w:fill="F2F2F2"/>
            <w:tcMar>
              <w:top w:w="60" w:type="dxa"/>
              <w:left w:w="100" w:type="dxa"/>
              <w:bottom w:w="60" w:type="dxa"/>
              <w:right w:w="100" w:type="dxa"/>
            </w:tcMar>
            <w:vAlign w:val="center"/>
          </w:tcPr>
          <w:p w14:paraId="1693A5B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39491C7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378437D4" w14:textId="77777777" w:rsidTr="00B5019C">
        <w:trPr>
          <w:jc w:val="center"/>
        </w:trPr>
        <w:tc>
          <w:tcPr>
            <w:tcW w:w="499" w:type="dxa"/>
            <w:tcMar>
              <w:top w:w="60" w:type="dxa"/>
              <w:left w:w="100" w:type="dxa"/>
              <w:bottom w:w="60" w:type="dxa"/>
              <w:right w:w="100" w:type="dxa"/>
            </w:tcMar>
            <w:vAlign w:val="center"/>
          </w:tcPr>
          <w:p w14:paraId="07DE716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22</w:t>
            </w:r>
          </w:p>
        </w:tc>
        <w:tc>
          <w:tcPr>
            <w:tcW w:w="4118" w:type="dxa"/>
            <w:vAlign w:val="center"/>
          </w:tcPr>
          <w:p w14:paraId="50DA5332" w14:textId="77777777" w:rsidR="005D691F" w:rsidRDefault="00F4227D" w:rsidP="00B5019C">
            <w:pPr>
              <w:bidi/>
              <w:spacing w:after="0" w:line="260" w:lineRule="auto"/>
              <w:jc w:val="center"/>
            </w:pPr>
            <w:r>
              <w:rPr>
                <w:rFonts w:ascii="Traditional Arabic" w:hAnsi="Traditional Arabic" w:cs="Traditional Arabic"/>
                <w:rtl/>
              </w:rPr>
              <w:t>عزّز تطبيق الترميز مستوى ثقة العملاء في المنصات المالية الرقمية للمؤسسة</w:t>
            </w:r>
          </w:p>
        </w:tc>
        <w:tc>
          <w:tcPr>
            <w:tcW w:w="1497" w:type="dxa"/>
            <w:tcMar>
              <w:top w:w="60" w:type="dxa"/>
              <w:left w:w="100" w:type="dxa"/>
              <w:bottom w:w="60" w:type="dxa"/>
              <w:right w:w="100" w:type="dxa"/>
            </w:tcMar>
            <w:vAlign w:val="center"/>
          </w:tcPr>
          <w:p w14:paraId="7BB1379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0.707</w:t>
            </w:r>
          </w:p>
        </w:tc>
        <w:tc>
          <w:tcPr>
            <w:tcW w:w="1248" w:type="dxa"/>
            <w:tcMar>
              <w:top w:w="60" w:type="dxa"/>
              <w:left w:w="100" w:type="dxa"/>
              <w:bottom w:w="60" w:type="dxa"/>
              <w:right w:w="100" w:type="dxa"/>
            </w:tcMar>
            <w:vAlign w:val="center"/>
          </w:tcPr>
          <w:p w14:paraId="58AF488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577ED37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62F550C6" w14:textId="77777777" w:rsidTr="00B5019C">
        <w:trPr>
          <w:jc w:val="center"/>
        </w:trPr>
        <w:tc>
          <w:tcPr>
            <w:tcW w:w="499" w:type="dxa"/>
            <w:shd w:val="clear" w:color="auto" w:fill="F2F2F2"/>
            <w:tcMar>
              <w:top w:w="60" w:type="dxa"/>
              <w:left w:w="100" w:type="dxa"/>
              <w:bottom w:w="60" w:type="dxa"/>
              <w:right w:w="100" w:type="dxa"/>
            </w:tcMar>
            <w:vAlign w:val="center"/>
          </w:tcPr>
          <w:p w14:paraId="665E9C8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23</w:t>
            </w:r>
          </w:p>
        </w:tc>
        <w:tc>
          <w:tcPr>
            <w:tcW w:w="4118" w:type="dxa"/>
            <w:vAlign w:val="center"/>
          </w:tcPr>
          <w:p w14:paraId="62B67AA8" w14:textId="77777777" w:rsidR="005D691F" w:rsidRDefault="00F4227D" w:rsidP="00B5019C">
            <w:pPr>
              <w:bidi/>
              <w:spacing w:after="0" w:line="260" w:lineRule="auto"/>
              <w:jc w:val="center"/>
            </w:pPr>
            <w:r>
              <w:rPr>
                <w:rFonts w:ascii="Traditional Arabic" w:hAnsi="Traditional Arabic" w:cs="Traditional Arabic"/>
                <w:rtl/>
              </w:rPr>
              <w:t xml:space="preserve">تُعالَج المعاملات المالية </w:t>
            </w:r>
            <w:proofErr w:type="spellStart"/>
            <w:r>
              <w:rPr>
                <w:rFonts w:ascii="Traditional Arabic" w:hAnsi="Traditional Arabic" w:cs="Traditional Arabic"/>
                <w:rtl/>
              </w:rPr>
              <w:t>المُرمَّزة</w:t>
            </w:r>
            <w:proofErr w:type="spellEnd"/>
            <w:r>
              <w:rPr>
                <w:rFonts w:ascii="Traditional Arabic" w:hAnsi="Traditional Arabic" w:cs="Traditional Arabic"/>
                <w:rtl/>
              </w:rPr>
              <w:t xml:space="preserve"> بسرعة ودقة أعلى مقارنةً بالأنظمة التقليدية</w:t>
            </w:r>
          </w:p>
        </w:tc>
        <w:tc>
          <w:tcPr>
            <w:tcW w:w="1497" w:type="dxa"/>
            <w:shd w:val="clear" w:color="auto" w:fill="F2F2F2"/>
            <w:tcMar>
              <w:top w:w="60" w:type="dxa"/>
              <w:left w:w="100" w:type="dxa"/>
              <w:bottom w:w="60" w:type="dxa"/>
              <w:right w:w="100" w:type="dxa"/>
            </w:tcMar>
            <w:vAlign w:val="center"/>
          </w:tcPr>
          <w:p w14:paraId="56A8B39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0.803</w:t>
            </w:r>
          </w:p>
        </w:tc>
        <w:tc>
          <w:tcPr>
            <w:tcW w:w="1248" w:type="dxa"/>
            <w:shd w:val="clear" w:color="auto" w:fill="F2F2F2"/>
            <w:tcMar>
              <w:top w:w="60" w:type="dxa"/>
              <w:left w:w="100" w:type="dxa"/>
              <w:bottom w:w="60" w:type="dxa"/>
              <w:right w:w="100" w:type="dxa"/>
            </w:tcMar>
            <w:vAlign w:val="center"/>
          </w:tcPr>
          <w:p w14:paraId="20FDECE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48759C2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1281A79E" w14:textId="77777777" w:rsidTr="00B5019C">
        <w:trPr>
          <w:jc w:val="center"/>
        </w:trPr>
        <w:tc>
          <w:tcPr>
            <w:tcW w:w="499" w:type="dxa"/>
            <w:tcMar>
              <w:top w:w="60" w:type="dxa"/>
              <w:left w:w="100" w:type="dxa"/>
              <w:bottom w:w="60" w:type="dxa"/>
              <w:right w:w="100" w:type="dxa"/>
            </w:tcMar>
            <w:vAlign w:val="center"/>
          </w:tcPr>
          <w:p w14:paraId="7828A16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24</w:t>
            </w:r>
          </w:p>
        </w:tc>
        <w:tc>
          <w:tcPr>
            <w:tcW w:w="4118" w:type="dxa"/>
            <w:vAlign w:val="center"/>
          </w:tcPr>
          <w:p w14:paraId="0D8C628A" w14:textId="77777777" w:rsidR="005D691F" w:rsidRDefault="00F4227D" w:rsidP="00B5019C">
            <w:pPr>
              <w:bidi/>
              <w:spacing w:after="0" w:line="260" w:lineRule="auto"/>
              <w:jc w:val="center"/>
            </w:pPr>
            <w:r>
              <w:rPr>
                <w:rFonts w:ascii="Traditional Arabic" w:hAnsi="Traditional Arabic" w:cs="Traditional Arabic"/>
                <w:rtl/>
              </w:rPr>
              <w:t>أسهم الترميز في تقليص معدلات الاحتيال المالي (</w:t>
            </w:r>
            <w:proofErr w:type="spellStart"/>
            <w:r>
              <w:rPr>
                <w:rFonts w:ascii="Traditional Arabic" w:hAnsi="Traditional Arabic" w:cs="Traditional Arabic"/>
                <w:rtl/>
              </w:rPr>
              <w:t>Fraud</w:t>
            </w:r>
            <w:proofErr w:type="spellEnd"/>
            <w:r>
              <w:rPr>
                <w:rFonts w:ascii="Traditional Arabic" w:hAnsi="Traditional Arabic" w:cs="Traditional Arabic"/>
                <w:rtl/>
              </w:rPr>
              <w:t>) والمعاملات المزيفة</w:t>
            </w:r>
          </w:p>
        </w:tc>
        <w:tc>
          <w:tcPr>
            <w:tcW w:w="1497" w:type="dxa"/>
            <w:tcMar>
              <w:top w:w="60" w:type="dxa"/>
              <w:left w:w="100" w:type="dxa"/>
              <w:bottom w:w="60" w:type="dxa"/>
              <w:right w:w="100" w:type="dxa"/>
            </w:tcMar>
            <w:vAlign w:val="center"/>
          </w:tcPr>
          <w:p w14:paraId="49C4043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0.717</w:t>
            </w:r>
          </w:p>
        </w:tc>
        <w:tc>
          <w:tcPr>
            <w:tcW w:w="1248" w:type="dxa"/>
            <w:tcMar>
              <w:top w:w="60" w:type="dxa"/>
              <w:left w:w="100" w:type="dxa"/>
              <w:bottom w:w="60" w:type="dxa"/>
              <w:right w:w="100" w:type="dxa"/>
            </w:tcMar>
            <w:vAlign w:val="center"/>
          </w:tcPr>
          <w:p w14:paraId="7FE1B2A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10907FC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1437E87B" w14:textId="77777777" w:rsidTr="00B5019C">
        <w:trPr>
          <w:jc w:val="center"/>
        </w:trPr>
        <w:tc>
          <w:tcPr>
            <w:tcW w:w="499" w:type="dxa"/>
            <w:shd w:val="clear" w:color="auto" w:fill="F2F2F2"/>
            <w:tcMar>
              <w:top w:w="60" w:type="dxa"/>
              <w:left w:w="100" w:type="dxa"/>
              <w:bottom w:w="60" w:type="dxa"/>
              <w:right w:w="100" w:type="dxa"/>
            </w:tcMar>
            <w:vAlign w:val="center"/>
          </w:tcPr>
          <w:p w14:paraId="13081B1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25</w:t>
            </w:r>
          </w:p>
        </w:tc>
        <w:tc>
          <w:tcPr>
            <w:tcW w:w="4118" w:type="dxa"/>
            <w:vAlign w:val="center"/>
          </w:tcPr>
          <w:p w14:paraId="5DAD0400" w14:textId="77777777" w:rsidR="005D691F" w:rsidRDefault="00F4227D" w:rsidP="00B5019C">
            <w:pPr>
              <w:bidi/>
              <w:spacing w:after="0" w:line="260" w:lineRule="auto"/>
              <w:jc w:val="center"/>
            </w:pPr>
            <w:r>
              <w:rPr>
                <w:rFonts w:ascii="Traditional Arabic" w:hAnsi="Traditional Arabic" w:cs="Traditional Arabic"/>
                <w:rtl/>
              </w:rPr>
              <w:t>أتاح الترميز توسيع نطاق الخدمات المالية الرقمية دون المساس بمستوى الأمان</w:t>
            </w:r>
          </w:p>
        </w:tc>
        <w:tc>
          <w:tcPr>
            <w:tcW w:w="1497" w:type="dxa"/>
            <w:shd w:val="clear" w:color="auto" w:fill="F2F2F2"/>
            <w:tcMar>
              <w:top w:w="60" w:type="dxa"/>
              <w:left w:w="100" w:type="dxa"/>
              <w:bottom w:w="60" w:type="dxa"/>
              <w:right w:w="100" w:type="dxa"/>
            </w:tcMar>
            <w:vAlign w:val="center"/>
          </w:tcPr>
          <w:p w14:paraId="3903E7C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0.684</w:t>
            </w:r>
          </w:p>
        </w:tc>
        <w:tc>
          <w:tcPr>
            <w:tcW w:w="1248" w:type="dxa"/>
            <w:shd w:val="clear" w:color="auto" w:fill="F2F2F2"/>
            <w:tcMar>
              <w:top w:w="60" w:type="dxa"/>
              <w:left w:w="100" w:type="dxa"/>
              <w:bottom w:w="60" w:type="dxa"/>
              <w:right w:w="100" w:type="dxa"/>
            </w:tcMar>
            <w:vAlign w:val="center"/>
          </w:tcPr>
          <w:p w14:paraId="65E0378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65C01022"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517F52DC"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33255AB4"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3FDE8163" w14:textId="17870DB3"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lastRenderedPageBreak/>
        <w:t>صدق الاتساق الداخلي لبُعد: الأمن السيبراني المؤسسي</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52"/>
        <w:gridCol w:w="4080"/>
        <w:gridCol w:w="1489"/>
        <w:gridCol w:w="1243"/>
        <w:gridCol w:w="934"/>
      </w:tblGrid>
      <w:tr w:rsidR="007608E1" w14:paraId="10ED5DF6" w14:textId="77777777" w:rsidTr="00B5019C">
        <w:trPr>
          <w:tblHeader/>
          <w:jc w:val="center"/>
        </w:trPr>
        <w:tc>
          <w:tcPr>
            <w:tcW w:w="499" w:type="dxa"/>
            <w:shd w:val="clear" w:color="auto" w:fill="2E5395"/>
            <w:tcMar>
              <w:top w:w="60" w:type="dxa"/>
              <w:left w:w="100" w:type="dxa"/>
              <w:bottom w:w="60" w:type="dxa"/>
              <w:right w:w="100" w:type="dxa"/>
            </w:tcMar>
            <w:vAlign w:val="center"/>
          </w:tcPr>
          <w:p w14:paraId="56169079"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رقم العبارة</w:t>
            </w:r>
          </w:p>
        </w:tc>
        <w:tc>
          <w:tcPr>
            <w:tcW w:w="4118" w:type="dxa"/>
            <w:shd w:val="clear" w:color="auto" w:fill="DCE9F5"/>
            <w:vAlign w:val="center"/>
          </w:tcPr>
          <w:p w14:paraId="1C9A9A1D" w14:textId="77777777" w:rsidR="005D691F" w:rsidRDefault="00F4227D" w:rsidP="00B5019C">
            <w:pPr>
              <w:bidi/>
              <w:spacing w:after="0" w:line="260" w:lineRule="auto"/>
              <w:jc w:val="center"/>
            </w:pPr>
            <w:r>
              <w:rPr>
                <w:rFonts w:ascii="Traditional Arabic" w:hAnsi="Traditional Arabic" w:cs="Traditional Arabic"/>
                <w:b/>
                <w:bCs/>
                <w:rtl/>
              </w:rPr>
              <w:t>نص العبارة</w:t>
            </w:r>
          </w:p>
        </w:tc>
        <w:tc>
          <w:tcPr>
            <w:tcW w:w="1497" w:type="dxa"/>
            <w:shd w:val="clear" w:color="auto" w:fill="2E5395"/>
            <w:tcMar>
              <w:top w:w="60" w:type="dxa"/>
              <w:left w:w="100" w:type="dxa"/>
              <w:bottom w:w="60" w:type="dxa"/>
              <w:right w:w="100" w:type="dxa"/>
            </w:tcMar>
            <w:vAlign w:val="center"/>
          </w:tcPr>
          <w:p w14:paraId="3AB1662C"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معامل الارتباط بالدرجة الكلية للبُعد (</w:t>
            </w:r>
            <w:proofErr w:type="spellStart"/>
            <w:r>
              <w:rPr>
                <w:rFonts w:ascii="Traditional Arabic" w:eastAsia="Simplified Arabic" w:hAnsi="Traditional Arabic" w:cs="Traditional Arabic"/>
                <w:b/>
                <w:bCs/>
                <w:color w:val="FFFFFF"/>
                <w:rtl/>
              </w:rPr>
              <w:t>سبيرمان</w:t>
            </w:r>
            <w:proofErr w:type="spellEnd"/>
            <w:r>
              <w:rPr>
                <w:rFonts w:ascii="Traditional Arabic" w:eastAsia="Simplified Arabic" w:hAnsi="Traditional Arabic" w:cs="Traditional Arabic"/>
                <w:b/>
                <w:bCs/>
                <w:color w:val="FFFFFF"/>
                <w:rtl/>
              </w:rPr>
              <w:t>)</w:t>
            </w:r>
          </w:p>
        </w:tc>
        <w:tc>
          <w:tcPr>
            <w:tcW w:w="1248" w:type="dxa"/>
            <w:shd w:val="clear" w:color="auto" w:fill="2E5395"/>
            <w:tcMar>
              <w:top w:w="60" w:type="dxa"/>
              <w:left w:w="100" w:type="dxa"/>
              <w:bottom w:w="60" w:type="dxa"/>
              <w:right w:w="100" w:type="dxa"/>
            </w:tcMar>
            <w:vAlign w:val="center"/>
          </w:tcPr>
          <w:p w14:paraId="42A97542"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36" w:type="dxa"/>
            <w:shd w:val="clear" w:color="auto" w:fill="2E5395"/>
            <w:tcMar>
              <w:top w:w="60" w:type="dxa"/>
              <w:left w:w="100" w:type="dxa"/>
              <w:bottom w:w="60" w:type="dxa"/>
              <w:right w:w="100" w:type="dxa"/>
            </w:tcMar>
            <w:vAlign w:val="center"/>
          </w:tcPr>
          <w:p w14:paraId="7A04458E" w14:textId="77777777" w:rsidR="007608E1" w:rsidRDefault="007608E1" w:rsidP="00B5019C">
            <w:pPr>
              <w:bidi/>
              <w:spacing w:after="0" w:line="260" w:lineRule="auto"/>
              <w:jc w:val="center"/>
            </w:pPr>
            <w:r>
              <w:rPr>
                <w:rFonts w:ascii="Traditional Arabic" w:eastAsia="Simplified Arabic" w:hAnsi="Traditional Arabic" w:cs="Traditional Arabic"/>
                <w:b/>
                <w:bCs/>
                <w:color w:val="FFFFFF"/>
                <w:rtl/>
              </w:rPr>
              <w:t>الدلالة الإحصائية</w:t>
            </w:r>
          </w:p>
        </w:tc>
      </w:tr>
      <w:tr w:rsidR="007608E1" w14:paraId="59B45C56" w14:textId="77777777" w:rsidTr="00B5019C">
        <w:trPr>
          <w:jc w:val="center"/>
        </w:trPr>
        <w:tc>
          <w:tcPr>
            <w:tcW w:w="499" w:type="dxa"/>
            <w:tcMar>
              <w:top w:w="60" w:type="dxa"/>
              <w:left w:w="100" w:type="dxa"/>
              <w:bottom w:w="60" w:type="dxa"/>
              <w:right w:w="100" w:type="dxa"/>
            </w:tcMar>
            <w:vAlign w:val="center"/>
          </w:tcPr>
          <w:p w14:paraId="7D3A662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26</w:t>
            </w:r>
          </w:p>
        </w:tc>
        <w:tc>
          <w:tcPr>
            <w:tcW w:w="4118" w:type="dxa"/>
            <w:vAlign w:val="center"/>
          </w:tcPr>
          <w:p w14:paraId="72171C5B" w14:textId="77777777" w:rsidR="005D691F" w:rsidRDefault="00F4227D" w:rsidP="00B5019C">
            <w:pPr>
              <w:bidi/>
              <w:spacing w:after="0" w:line="260" w:lineRule="auto"/>
              <w:jc w:val="center"/>
            </w:pPr>
            <w:r>
              <w:rPr>
                <w:rFonts w:ascii="Traditional Arabic" w:hAnsi="Traditional Arabic" w:cs="Traditional Arabic"/>
                <w:rtl/>
              </w:rPr>
              <w:t>يُقلّص الترميز مساحة الهجوم السيبراني (</w:t>
            </w:r>
            <w:proofErr w:type="spellStart"/>
            <w:r>
              <w:rPr>
                <w:rFonts w:ascii="Traditional Arabic" w:hAnsi="Traditional Arabic" w:cs="Traditional Arabic"/>
                <w:rtl/>
              </w:rPr>
              <w:t>Attack</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Surface</w:t>
            </w:r>
            <w:proofErr w:type="spellEnd"/>
            <w:r>
              <w:rPr>
                <w:rFonts w:ascii="Traditional Arabic" w:hAnsi="Traditional Arabic" w:cs="Traditional Arabic"/>
                <w:rtl/>
              </w:rPr>
              <w:t>) على البنية التحتية المالية للمؤسسة</w:t>
            </w:r>
          </w:p>
        </w:tc>
        <w:tc>
          <w:tcPr>
            <w:tcW w:w="1497" w:type="dxa"/>
            <w:tcMar>
              <w:top w:w="60" w:type="dxa"/>
              <w:left w:w="100" w:type="dxa"/>
              <w:bottom w:w="60" w:type="dxa"/>
              <w:right w:w="100" w:type="dxa"/>
            </w:tcMar>
            <w:vAlign w:val="center"/>
          </w:tcPr>
          <w:p w14:paraId="446CEFEE"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0.730</w:t>
            </w:r>
          </w:p>
        </w:tc>
        <w:tc>
          <w:tcPr>
            <w:tcW w:w="1248" w:type="dxa"/>
            <w:tcMar>
              <w:top w:w="60" w:type="dxa"/>
              <w:left w:w="100" w:type="dxa"/>
              <w:bottom w:w="60" w:type="dxa"/>
              <w:right w:w="100" w:type="dxa"/>
            </w:tcMar>
            <w:vAlign w:val="center"/>
          </w:tcPr>
          <w:p w14:paraId="223D65B0"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2872DDD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C714BDA" w14:textId="77777777" w:rsidTr="00B5019C">
        <w:trPr>
          <w:jc w:val="center"/>
        </w:trPr>
        <w:tc>
          <w:tcPr>
            <w:tcW w:w="499" w:type="dxa"/>
            <w:shd w:val="clear" w:color="auto" w:fill="F2F2F2"/>
            <w:tcMar>
              <w:top w:w="60" w:type="dxa"/>
              <w:left w:w="100" w:type="dxa"/>
              <w:bottom w:w="60" w:type="dxa"/>
              <w:right w:w="100" w:type="dxa"/>
            </w:tcMar>
            <w:vAlign w:val="center"/>
          </w:tcPr>
          <w:p w14:paraId="77473F08"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27</w:t>
            </w:r>
          </w:p>
        </w:tc>
        <w:tc>
          <w:tcPr>
            <w:tcW w:w="4118" w:type="dxa"/>
            <w:vAlign w:val="center"/>
          </w:tcPr>
          <w:p w14:paraId="7BA7B662" w14:textId="77777777" w:rsidR="005D691F" w:rsidRDefault="00F4227D" w:rsidP="00B5019C">
            <w:pPr>
              <w:bidi/>
              <w:spacing w:after="0" w:line="260" w:lineRule="auto"/>
              <w:jc w:val="center"/>
            </w:pPr>
            <w:r>
              <w:rPr>
                <w:rFonts w:ascii="Traditional Arabic" w:hAnsi="Traditional Arabic" w:cs="Traditional Arabic"/>
                <w:rtl/>
              </w:rPr>
              <w:t>خفّض اعتماد الترميز من تداعيات اختراق البيانات حتى في حالات نجاح الهجمات</w:t>
            </w:r>
          </w:p>
        </w:tc>
        <w:tc>
          <w:tcPr>
            <w:tcW w:w="1497" w:type="dxa"/>
            <w:shd w:val="clear" w:color="auto" w:fill="F2F2F2"/>
            <w:tcMar>
              <w:top w:w="60" w:type="dxa"/>
              <w:left w:w="100" w:type="dxa"/>
              <w:bottom w:w="60" w:type="dxa"/>
              <w:right w:w="100" w:type="dxa"/>
            </w:tcMar>
            <w:vAlign w:val="center"/>
          </w:tcPr>
          <w:p w14:paraId="034A166A"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0.680</w:t>
            </w:r>
          </w:p>
        </w:tc>
        <w:tc>
          <w:tcPr>
            <w:tcW w:w="1248" w:type="dxa"/>
            <w:shd w:val="clear" w:color="auto" w:fill="F2F2F2"/>
            <w:tcMar>
              <w:top w:w="60" w:type="dxa"/>
              <w:left w:w="100" w:type="dxa"/>
              <w:bottom w:w="60" w:type="dxa"/>
              <w:right w:w="100" w:type="dxa"/>
            </w:tcMar>
            <w:vAlign w:val="center"/>
          </w:tcPr>
          <w:p w14:paraId="4C4A816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61531C4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152BCC6E" w14:textId="77777777" w:rsidTr="00B5019C">
        <w:trPr>
          <w:jc w:val="center"/>
        </w:trPr>
        <w:tc>
          <w:tcPr>
            <w:tcW w:w="499" w:type="dxa"/>
            <w:tcMar>
              <w:top w:w="60" w:type="dxa"/>
              <w:left w:w="100" w:type="dxa"/>
              <w:bottom w:w="60" w:type="dxa"/>
              <w:right w:w="100" w:type="dxa"/>
            </w:tcMar>
            <w:vAlign w:val="center"/>
          </w:tcPr>
          <w:p w14:paraId="3177C58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28</w:t>
            </w:r>
          </w:p>
        </w:tc>
        <w:tc>
          <w:tcPr>
            <w:tcW w:w="4118" w:type="dxa"/>
            <w:vAlign w:val="center"/>
          </w:tcPr>
          <w:p w14:paraId="6C0CBA05" w14:textId="77777777" w:rsidR="005D691F" w:rsidRDefault="00F4227D" w:rsidP="00B5019C">
            <w:pPr>
              <w:bidi/>
              <w:spacing w:after="0" w:line="260" w:lineRule="auto"/>
              <w:jc w:val="center"/>
            </w:pPr>
            <w:r>
              <w:rPr>
                <w:rFonts w:ascii="Traditional Arabic" w:hAnsi="Traditional Arabic" w:cs="Traditional Arabic"/>
                <w:rtl/>
              </w:rPr>
              <w:t>عزّزت تقنية الترميز قدرة المؤسسة على الكشف المبكر عن التهديدات السيبرانية والاستجابة لها</w:t>
            </w:r>
          </w:p>
        </w:tc>
        <w:tc>
          <w:tcPr>
            <w:tcW w:w="1497" w:type="dxa"/>
            <w:tcMar>
              <w:top w:w="60" w:type="dxa"/>
              <w:left w:w="100" w:type="dxa"/>
              <w:bottom w:w="60" w:type="dxa"/>
              <w:right w:w="100" w:type="dxa"/>
            </w:tcMar>
            <w:vAlign w:val="center"/>
          </w:tcPr>
          <w:p w14:paraId="5AE1DC5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0.769</w:t>
            </w:r>
          </w:p>
        </w:tc>
        <w:tc>
          <w:tcPr>
            <w:tcW w:w="1248" w:type="dxa"/>
            <w:tcMar>
              <w:top w:w="60" w:type="dxa"/>
              <w:left w:w="100" w:type="dxa"/>
              <w:bottom w:w="60" w:type="dxa"/>
              <w:right w:w="100" w:type="dxa"/>
            </w:tcMar>
            <w:vAlign w:val="center"/>
          </w:tcPr>
          <w:p w14:paraId="25CF62C1"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200C5BD5"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334D5E94" w14:textId="77777777" w:rsidTr="00B5019C">
        <w:trPr>
          <w:jc w:val="center"/>
        </w:trPr>
        <w:tc>
          <w:tcPr>
            <w:tcW w:w="499" w:type="dxa"/>
            <w:shd w:val="clear" w:color="auto" w:fill="F2F2F2"/>
            <w:tcMar>
              <w:top w:w="60" w:type="dxa"/>
              <w:left w:w="100" w:type="dxa"/>
              <w:bottom w:w="60" w:type="dxa"/>
              <w:right w:w="100" w:type="dxa"/>
            </w:tcMar>
            <w:vAlign w:val="center"/>
          </w:tcPr>
          <w:p w14:paraId="4C4E477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29</w:t>
            </w:r>
          </w:p>
        </w:tc>
        <w:tc>
          <w:tcPr>
            <w:tcW w:w="4118" w:type="dxa"/>
            <w:vAlign w:val="center"/>
          </w:tcPr>
          <w:p w14:paraId="3F494BBA" w14:textId="77777777" w:rsidR="005D691F" w:rsidRDefault="00F4227D" w:rsidP="00B5019C">
            <w:pPr>
              <w:bidi/>
              <w:spacing w:after="0" w:line="260" w:lineRule="auto"/>
              <w:jc w:val="center"/>
            </w:pPr>
            <w:r>
              <w:rPr>
                <w:rFonts w:ascii="Traditional Arabic" w:hAnsi="Traditional Arabic" w:cs="Traditional Arabic"/>
                <w:rtl/>
              </w:rPr>
              <w:t>يُساهم الترميز في الحفاظ على استمرارية الأعمال وتقليص وقت التوقف الناجم عن الحوادث</w:t>
            </w:r>
          </w:p>
        </w:tc>
        <w:tc>
          <w:tcPr>
            <w:tcW w:w="1497" w:type="dxa"/>
            <w:shd w:val="clear" w:color="auto" w:fill="F2F2F2"/>
            <w:tcMar>
              <w:top w:w="60" w:type="dxa"/>
              <w:left w:w="100" w:type="dxa"/>
              <w:bottom w:w="60" w:type="dxa"/>
              <w:right w:w="100" w:type="dxa"/>
            </w:tcMar>
            <w:vAlign w:val="center"/>
          </w:tcPr>
          <w:p w14:paraId="72188036"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0.746</w:t>
            </w:r>
          </w:p>
        </w:tc>
        <w:tc>
          <w:tcPr>
            <w:tcW w:w="1248" w:type="dxa"/>
            <w:shd w:val="clear" w:color="auto" w:fill="F2F2F2"/>
            <w:tcMar>
              <w:top w:w="60" w:type="dxa"/>
              <w:left w:w="100" w:type="dxa"/>
              <w:bottom w:w="60" w:type="dxa"/>
              <w:right w:w="100" w:type="dxa"/>
            </w:tcMar>
            <w:vAlign w:val="center"/>
          </w:tcPr>
          <w:p w14:paraId="30FB8B9C"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3D279A0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4272552B" w14:textId="77777777" w:rsidTr="00B5019C">
        <w:trPr>
          <w:jc w:val="center"/>
        </w:trPr>
        <w:tc>
          <w:tcPr>
            <w:tcW w:w="499" w:type="dxa"/>
            <w:tcMar>
              <w:top w:w="60" w:type="dxa"/>
              <w:left w:w="100" w:type="dxa"/>
              <w:bottom w:w="60" w:type="dxa"/>
              <w:right w:w="100" w:type="dxa"/>
            </w:tcMar>
            <w:vAlign w:val="center"/>
          </w:tcPr>
          <w:p w14:paraId="3A3231A7"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30</w:t>
            </w:r>
          </w:p>
        </w:tc>
        <w:tc>
          <w:tcPr>
            <w:tcW w:w="4118" w:type="dxa"/>
            <w:vAlign w:val="center"/>
          </w:tcPr>
          <w:p w14:paraId="79EAE66C" w14:textId="77777777" w:rsidR="005D691F" w:rsidRDefault="00F4227D" w:rsidP="00B5019C">
            <w:pPr>
              <w:bidi/>
              <w:spacing w:after="0" w:line="260" w:lineRule="auto"/>
              <w:jc w:val="center"/>
            </w:pPr>
            <w:r>
              <w:rPr>
                <w:rFonts w:ascii="Traditional Arabic" w:hAnsi="Traditional Arabic" w:cs="Traditional Arabic"/>
                <w:rtl/>
              </w:rPr>
              <w:t>ارتفع مستوى الوعي الأمني لدى الموظفين بفضل اعتماد ثقافة الترميز المؤسسي</w:t>
            </w:r>
          </w:p>
        </w:tc>
        <w:tc>
          <w:tcPr>
            <w:tcW w:w="1497" w:type="dxa"/>
            <w:tcMar>
              <w:top w:w="60" w:type="dxa"/>
              <w:left w:w="100" w:type="dxa"/>
              <w:bottom w:w="60" w:type="dxa"/>
              <w:right w:w="100" w:type="dxa"/>
            </w:tcMar>
            <w:vAlign w:val="center"/>
          </w:tcPr>
          <w:p w14:paraId="32A79DFF"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0.816</w:t>
            </w:r>
          </w:p>
        </w:tc>
        <w:tc>
          <w:tcPr>
            <w:tcW w:w="1248" w:type="dxa"/>
            <w:tcMar>
              <w:top w:w="60" w:type="dxa"/>
              <w:left w:w="100" w:type="dxa"/>
              <w:bottom w:w="60" w:type="dxa"/>
              <w:right w:w="100" w:type="dxa"/>
            </w:tcMar>
            <w:vAlign w:val="center"/>
          </w:tcPr>
          <w:p w14:paraId="636520AB"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tcMar>
              <w:top w:w="60" w:type="dxa"/>
              <w:left w:w="100" w:type="dxa"/>
              <w:bottom w:w="60" w:type="dxa"/>
              <w:right w:w="100" w:type="dxa"/>
            </w:tcMar>
            <w:vAlign w:val="center"/>
          </w:tcPr>
          <w:p w14:paraId="39A32294"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r w:rsidR="007608E1" w14:paraId="20F8C309" w14:textId="77777777" w:rsidTr="00B5019C">
        <w:trPr>
          <w:jc w:val="center"/>
        </w:trPr>
        <w:tc>
          <w:tcPr>
            <w:tcW w:w="499" w:type="dxa"/>
            <w:shd w:val="clear" w:color="auto" w:fill="F2F2F2"/>
            <w:tcMar>
              <w:top w:w="60" w:type="dxa"/>
              <w:left w:w="100" w:type="dxa"/>
              <w:bottom w:w="60" w:type="dxa"/>
              <w:right w:w="100" w:type="dxa"/>
            </w:tcMar>
            <w:vAlign w:val="center"/>
          </w:tcPr>
          <w:p w14:paraId="373A1E73"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31</w:t>
            </w:r>
          </w:p>
        </w:tc>
        <w:tc>
          <w:tcPr>
            <w:tcW w:w="4118" w:type="dxa"/>
            <w:vAlign w:val="center"/>
          </w:tcPr>
          <w:p w14:paraId="4396C4DB" w14:textId="77777777" w:rsidR="005D691F" w:rsidRDefault="00F4227D" w:rsidP="00B5019C">
            <w:pPr>
              <w:bidi/>
              <w:spacing w:after="0" w:line="260" w:lineRule="auto"/>
              <w:jc w:val="center"/>
            </w:pPr>
            <w:r>
              <w:rPr>
                <w:rFonts w:ascii="Traditional Arabic" w:hAnsi="Traditional Arabic" w:cs="Traditional Arabic"/>
                <w:rtl/>
              </w:rPr>
              <w:t>تُقيّم المؤسسة بصورة دورية فاعلية حلول الترميز وتُحدّثها وفق أحدث التهديدات</w:t>
            </w:r>
          </w:p>
        </w:tc>
        <w:tc>
          <w:tcPr>
            <w:tcW w:w="1497" w:type="dxa"/>
            <w:shd w:val="clear" w:color="auto" w:fill="F2F2F2"/>
            <w:tcMar>
              <w:top w:w="60" w:type="dxa"/>
              <w:left w:w="100" w:type="dxa"/>
              <w:bottom w:w="60" w:type="dxa"/>
              <w:right w:w="100" w:type="dxa"/>
            </w:tcMar>
            <w:vAlign w:val="center"/>
          </w:tcPr>
          <w:p w14:paraId="4BAEF4B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0.751</w:t>
            </w:r>
          </w:p>
        </w:tc>
        <w:tc>
          <w:tcPr>
            <w:tcW w:w="1248" w:type="dxa"/>
            <w:shd w:val="clear" w:color="auto" w:fill="F2F2F2"/>
            <w:tcMar>
              <w:top w:w="60" w:type="dxa"/>
              <w:left w:w="100" w:type="dxa"/>
              <w:bottom w:w="60" w:type="dxa"/>
              <w:right w:w="100" w:type="dxa"/>
            </w:tcMar>
            <w:vAlign w:val="center"/>
          </w:tcPr>
          <w:p w14:paraId="11EF39F9"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0.001&gt;</w:t>
            </w:r>
          </w:p>
        </w:tc>
        <w:tc>
          <w:tcPr>
            <w:tcW w:w="936" w:type="dxa"/>
            <w:shd w:val="clear" w:color="auto" w:fill="F2F2F2"/>
            <w:tcMar>
              <w:top w:w="60" w:type="dxa"/>
              <w:left w:w="100" w:type="dxa"/>
              <w:bottom w:w="60" w:type="dxa"/>
              <w:right w:w="100" w:type="dxa"/>
            </w:tcMar>
            <w:vAlign w:val="center"/>
          </w:tcPr>
          <w:p w14:paraId="218FB3FD" w14:textId="77777777" w:rsidR="007608E1" w:rsidRDefault="007608E1" w:rsidP="00B5019C">
            <w:pPr>
              <w:bidi/>
              <w:spacing w:after="0" w:line="260" w:lineRule="auto"/>
              <w:jc w:val="center"/>
            </w:pPr>
            <w:r>
              <w:rPr>
                <w:rFonts w:ascii="Traditional Arabic" w:eastAsia="Simplified Arabic" w:hAnsi="Traditional Arabic" w:cs="Traditional Arabic"/>
                <w:color w:val="000000"/>
                <w:rtl/>
              </w:rPr>
              <w:t>دالة</w:t>
            </w:r>
          </w:p>
        </w:tc>
      </w:tr>
    </w:tbl>
    <w:p w14:paraId="0A0AD6B6"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420CCC78" w14:textId="77777777" w:rsidR="008B1684" w:rsidRDefault="008B1684" w:rsidP="00E000FF">
      <w:pPr>
        <w:bidi/>
        <w:spacing w:after="0" w:line="360" w:lineRule="auto"/>
        <w:jc w:val="both"/>
        <w:rPr>
          <w:rFonts w:ascii="Simplified Arabic" w:eastAsia="Simplified Arabic" w:hAnsi="Simplified Arabic" w:cs="Simplified Arabic"/>
          <w:b/>
          <w:bCs/>
          <w:sz w:val="28"/>
          <w:szCs w:val="28"/>
          <w:rtl/>
        </w:rPr>
      </w:pPr>
    </w:p>
    <w:p w14:paraId="025EE6BF" w14:textId="3B157A9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صدق الاتساق الداخلي لبُعد: التوافق مع رؤية 2030</w:t>
      </w:r>
    </w:p>
    <w:tbl>
      <w:tblPr>
        <w:bidiVisual/>
        <w:tblW w:w="8298" w:type="dxa"/>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583"/>
        <w:gridCol w:w="4054"/>
        <w:gridCol w:w="1485"/>
        <w:gridCol w:w="1242"/>
        <w:gridCol w:w="934"/>
      </w:tblGrid>
      <w:tr w:rsidR="007608E1" w:rsidRPr="00B5019C" w14:paraId="17B28186" w14:textId="77777777" w:rsidTr="00B5019C">
        <w:trPr>
          <w:tblHeader/>
          <w:jc w:val="center"/>
        </w:trPr>
        <w:tc>
          <w:tcPr>
            <w:tcW w:w="499" w:type="dxa"/>
            <w:shd w:val="clear" w:color="auto" w:fill="2E5395"/>
            <w:tcMar>
              <w:top w:w="60" w:type="dxa"/>
              <w:left w:w="100" w:type="dxa"/>
              <w:bottom w:w="60" w:type="dxa"/>
              <w:right w:w="100" w:type="dxa"/>
            </w:tcMar>
            <w:vAlign w:val="center"/>
          </w:tcPr>
          <w:p w14:paraId="0DC6E2E4"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رقم العبارة</w:t>
            </w:r>
          </w:p>
        </w:tc>
        <w:tc>
          <w:tcPr>
            <w:tcW w:w="4118" w:type="dxa"/>
            <w:shd w:val="clear" w:color="auto" w:fill="DCE9F5"/>
            <w:vAlign w:val="center"/>
          </w:tcPr>
          <w:p w14:paraId="5CDBACBA"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b/>
                <w:bCs/>
                <w:sz w:val="24"/>
                <w:szCs w:val="24"/>
                <w:rtl/>
              </w:rPr>
              <w:t>نص العبارة</w:t>
            </w:r>
          </w:p>
        </w:tc>
        <w:tc>
          <w:tcPr>
            <w:tcW w:w="1497" w:type="dxa"/>
            <w:shd w:val="clear" w:color="auto" w:fill="2E5395"/>
            <w:tcMar>
              <w:top w:w="60" w:type="dxa"/>
              <w:left w:w="100" w:type="dxa"/>
              <w:bottom w:w="60" w:type="dxa"/>
              <w:right w:w="100" w:type="dxa"/>
            </w:tcMar>
            <w:vAlign w:val="center"/>
          </w:tcPr>
          <w:p w14:paraId="21FAEC78"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معامل الارتباط بالدرجة الكلية للبُعد (</w:t>
            </w:r>
            <w:proofErr w:type="spellStart"/>
            <w:r w:rsidRPr="00B5019C">
              <w:rPr>
                <w:rFonts w:ascii="Traditional Arabic" w:eastAsia="Simplified Arabic" w:hAnsi="Traditional Arabic" w:cs="Traditional Arabic"/>
                <w:b/>
                <w:bCs/>
                <w:color w:val="FFFFFF"/>
                <w:sz w:val="24"/>
                <w:szCs w:val="24"/>
                <w:rtl/>
              </w:rPr>
              <w:t>سبيرمان</w:t>
            </w:r>
            <w:proofErr w:type="spellEnd"/>
            <w:r w:rsidRPr="00B5019C">
              <w:rPr>
                <w:rFonts w:ascii="Traditional Arabic" w:eastAsia="Simplified Arabic" w:hAnsi="Traditional Arabic" w:cs="Traditional Arabic"/>
                <w:b/>
                <w:bCs/>
                <w:color w:val="FFFFFF"/>
                <w:sz w:val="24"/>
                <w:szCs w:val="24"/>
                <w:rtl/>
              </w:rPr>
              <w:t>)</w:t>
            </w:r>
          </w:p>
        </w:tc>
        <w:tc>
          <w:tcPr>
            <w:tcW w:w="1248" w:type="dxa"/>
            <w:shd w:val="clear" w:color="auto" w:fill="2E5395"/>
            <w:tcMar>
              <w:top w:w="60" w:type="dxa"/>
              <w:left w:w="100" w:type="dxa"/>
              <w:bottom w:w="60" w:type="dxa"/>
              <w:right w:w="100" w:type="dxa"/>
            </w:tcMar>
            <w:vAlign w:val="center"/>
          </w:tcPr>
          <w:p w14:paraId="324E8572"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القيمة الاحتمالية (p)</w:t>
            </w:r>
          </w:p>
        </w:tc>
        <w:tc>
          <w:tcPr>
            <w:tcW w:w="936" w:type="dxa"/>
            <w:shd w:val="clear" w:color="auto" w:fill="2E5395"/>
            <w:tcMar>
              <w:top w:w="60" w:type="dxa"/>
              <w:left w:w="100" w:type="dxa"/>
              <w:bottom w:w="60" w:type="dxa"/>
              <w:right w:w="100" w:type="dxa"/>
            </w:tcMar>
            <w:vAlign w:val="center"/>
          </w:tcPr>
          <w:p w14:paraId="096235B1"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الدلالة الإحصائية</w:t>
            </w:r>
          </w:p>
        </w:tc>
      </w:tr>
      <w:tr w:rsidR="007608E1" w:rsidRPr="00B5019C" w14:paraId="4DFD08A1" w14:textId="77777777" w:rsidTr="00B5019C">
        <w:trPr>
          <w:jc w:val="center"/>
        </w:trPr>
        <w:tc>
          <w:tcPr>
            <w:tcW w:w="499" w:type="dxa"/>
            <w:tcMar>
              <w:top w:w="60" w:type="dxa"/>
              <w:left w:w="100" w:type="dxa"/>
              <w:bottom w:w="60" w:type="dxa"/>
              <w:right w:w="100" w:type="dxa"/>
            </w:tcMar>
            <w:vAlign w:val="center"/>
          </w:tcPr>
          <w:p w14:paraId="361FAA54"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32</w:t>
            </w:r>
          </w:p>
        </w:tc>
        <w:tc>
          <w:tcPr>
            <w:tcW w:w="4118" w:type="dxa"/>
            <w:vAlign w:val="center"/>
          </w:tcPr>
          <w:p w14:paraId="727E46A4"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يُسهم الترميز في تحقيق أهداف التحول الرقمي المالي ضمن إطار رؤية المملكة 2030</w:t>
            </w:r>
          </w:p>
        </w:tc>
        <w:tc>
          <w:tcPr>
            <w:tcW w:w="1497" w:type="dxa"/>
            <w:tcMar>
              <w:top w:w="60" w:type="dxa"/>
              <w:left w:w="100" w:type="dxa"/>
              <w:bottom w:w="60" w:type="dxa"/>
              <w:right w:w="100" w:type="dxa"/>
            </w:tcMar>
            <w:vAlign w:val="center"/>
          </w:tcPr>
          <w:p w14:paraId="77D61847"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0.761</w:t>
            </w:r>
          </w:p>
        </w:tc>
        <w:tc>
          <w:tcPr>
            <w:tcW w:w="1248" w:type="dxa"/>
            <w:tcMar>
              <w:top w:w="60" w:type="dxa"/>
              <w:left w:w="100" w:type="dxa"/>
              <w:bottom w:w="60" w:type="dxa"/>
              <w:right w:w="100" w:type="dxa"/>
            </w:tcMar>
            <w:vAlign w:val="center"/>
          </w:tcPr>
          <w:p w14:paraId="6B6E4BBC"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tcMar>
              <w:top w:w="60" w:type="dxa"/>
              <w:left w:w="100" w:type="dxa"/>
              <w:bottom w:w="60" w:type="dxa"/>
              <w:right w:w="100" w:type="dxa"/>
            </w:tcMar>
            <w:vAlign w:val="center"/>
          </w:tcPr>
          <w:p w14:paraId="015C5387"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02533BE8" w14:textId="77777777" w:rsidTr="00B5019C">
        <w:trPr>
          <w:jc w:val="center"/>
        </w:trPr>
        <w:tc>
          <w:tcPr>
            <w:tcW w:w="499" w:type="dxa"/>
            <w:shd w:val="clear" w:color="auto" w:fill="F2F2F2"/>
            <w:tcMar>
              <w:top w:w="60" w:type="dxa"/>
              <w:left w:w="100" w:type="dxa"/>
              <w:bottom w:w="60" w:type="dxa"/>
              <w:right w:w="100" w:type="dxa"/>
            </w:tcMar>
            <w:vAlign w:val="center"/>
          </w:tcPr>
          <w:p w14:paraId="7F40F73B"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33</w:t>
            </w:r>
          </w:p>
        </w:tc>
        <w:tc>
          <w:tcPr>
            <w:tcW w:w="4118" w:type="dxa"/>
            <w:vAlign w:val="center"/>
          </w:tcPr>
          <w:p w14:paraId="7168F112"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يدعم الترميز توجه المملكة نحو بناء منظومة مالية رقمية متكاملة وآمنة</w:t>
            </w:r>
          </w:p>
        </w:tc>
        <w:tc>
          <w:tcPr>
            <w:tcW w:w="1497" w:type="dxa"/>
            <w:shd w:val="clear" w:color="auto" w:fill="F2F2F2"/>
            <w:tcMar>
              <w:top w:w="60" w:type="dxa"/>
              <w:left w:w="100" w:type="dxa"/>
              <w:bottom w:w="60" w:type="dxa"/>
              <w:right w:w="100" w:type="dxa"/>
            </w:tcMar>
            <w:vAlign w:val="center"/>
          </w:tcPr>
          <w:p w14:paraId="7A598991"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0.726</w:t>
            </w:r>
          </w:p>
        </w:tc>
        <w:tc>
          <w:tcPr>
            <w:tcW w:w="1248" w:type="dxa"/>
            <w:shd w:val="clear" w:color="auto" w:fill="F2F2F2"/>
            <w:tcMar>
              <w:top w:w="60" w:type="dxa"/>
              <w:left w:w="100" w:type="dxa"/>
              <w:bottom w:w="60" w:type="dxa"/>
              <w:right w:w="100" w:type="dxa"/>
            </w:tcMar>
            <w:vAlign w:val="center"/>
          </w:tcPr>
          <w:p w14:paraId="57FF78AF"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shd w:val="clear" w:color="auto" w:fill="F2F2F2"/>
            <w:tcMar>
              <w:top w:w="60" w:type="dxa"/>
              <w:left w:w="100" w:type="dxa"/>
              <w:bottom w:w="60" w:type="dxa"/>
              <w:right w:w="100" w:type="dxa"/>
            </w:tcMar>
            <w:vAlign w:val="center"/>
          </w:tcPr>
          <w:p w14:paraId="7EC5B8E6"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04C2AC93" w14:textId="77777777" w:rsidTr="00B5019C">
        <w:trPr>
          <w:jc w:val="center"/>
        </w:trPr>
        <w:tc>
          <w:tcPr>
            <w:tcW w:w="499" w:type="dxa"/>
            <w:tcMar>
              <w:top w:w="60" w:type="dxa"/>
              <w:left w:w="100" w:type="dxa"/>
              <w:bottom w:w="60" w:type="dxa"/>
              <w:right w:w="100" w:type="dxa"/>
            </w:tcMar>
            <w:vAlign w:val="center"/>
          </w:tcPr>
          <w:p w14:paraId="4E2DD992"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34</w:t>
            </w:r>
          </w:p>
        </w:tc>
        <w:tc>
          <w:tcPr>
            <w:tcW w:w="4118" w:type="dxa"/>
            <w:vAlign w:val="center"/>
          </w:tcPr>
          <w:p w14:paraId="61F5242B"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أسهمت تقنية الترميز في تعزيز تنافسية المؤسسة المالية إقليمياً ودولياً</w:t>
            </w:r>
          </w:p>
        </w:tc>
        <w:tc>
          <w:tcPr>
            <w:tcW w:w="1497" w:type="dxa"/>
            <w:tcMar>
              <w:top w:w="60" w:type="dxa"/>
              <w:left w:w="100" w:type="dxa"/>
              <w:bottom w:w="60" w:type="dxa"/>
              <w:right w:w="100" w:type="dxa"/>
            </w:tcMar>
            <w:vAlign w:val="center"/>
          </w:tcPr>
          <w:p w14:paraId="500088E9"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0.819</w:t>
            </w:r>
          </w:p>
        </w:tc>
        <w:tc>
          <w:tcPr>
            <w:tcW w:w="1248" w:type="dxa"/>
            <w:tcMar>
              <w:top w:w="60" w:type="dxa"/>
              <w:left w:w="100" w:type="dxa"/>
              <w:bottom w:w="60" w:type="dxa"/>
              <w:right w:w="100" w:type="dxa"/>
            </w:tcMar>
            <w:vAlign w:val="center"/>
          </w:tcPr>
          <w:p w14:paraId="3F913F71"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tcMar>
              <w:top w:w="60" w:type="dxa"/>
              <w:left w:w="100" w:type="dxa"/>
              <w:bottom w:w="60" w:type="dxa"/>
              <w:right w:w="100" w:type="dxa"/>
            </w:tcMar>
            <w:vAlign w:val="center"/>
          </w:tcPr>
          <w:p w14:paraId="423BA200"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2610FD20" w14:textId="77777777" w:rsidTr="00B5019C">
        <w:trPr>
          <w:jc w:val="center"/>
        </w:trPr>
        <w:tc>
          <w:tcPr>
            <w:tcW w:w="499" w:type="dxa"/>
            <w:shd w:val="clear" w:color="auto" w:fill="F2F2F2"/>
            <w:tcMar>
              <w:top w:w="60" w:type="dxa"/>
              <w:left w:w="100" w:type="dxa"/>
              <w:bottom w:w="60" w:type="dxa"/>
              <w:right w:w="100" w:type="dxa"/>
            </w:tcMar>
            <w:vAlign w:val="center"/>
          </w:tcPr>
          <w:p w14:paraId="3B633D53"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35</w:t>
            </w:r>
          </w:p>
        </w:tc>
        <w:tc>
          <w:tcPr>
            <w:tcW w:w="4118" w:type="dxa"/>
            <w:vAlign w:val="center"/>
          </w:tcPr>
          <w:p w14:paraId="14795D5D"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 xml:space="preserve">تتوافق استراتيجية الترميز في مؤسستك مع التوجيهات التنظيمية لمبادرة </w:t>
            </w:r>
            <w:proofErr w:type="spellStart"/>
            <w:r w:rsidRPr="00B5019C">
              <w:rPr>
                <w:rFonts w:ascii="Traditional Arabic" w:hAnsi="Traditional Arabic" w:cs="Traditional Arabic"/>
                <w:sz w:val="24"/>
                <w:szCs w:val="24"/>
                <w:rtl/>
              </w:rPr>
              <w:t>الفنتك</w:t>
            </w:r>
            <w:proofErr w:type="spellEnd"/>
            <w:r w:rsidRPr="00B5019C">
              <w:rPr>
                <w:rFonts w:ascii="Traditional Arabic" w:hAnsi="Traditional Arabic" w:cs="Traditional Arabic"/>
                <w:sz w:val="24"/>
                <w:szCs w:val="24"/>
                <w:rtl/>
              </w:rPr>
              <w:t xml:space="preserve"> السعودية</w:t>
            </w:r>
          </w:p>
        </w:tc>
        <w:tc>
          <w:tcPr>
            <w:tcW w:w="1497" w:type="dxa"/>
            <w:shd w:val="clear" w:color="auto" w:fill="F2F2F2"/>
            <w:tcMar>
              <w:top w:w="60" w:type="dxa"/>
              <w:left w:w="100" w:type="dxa"/>
              <w:bottom w:w="60" w:type="dxa"/>
              <w:right w:w="100" w:type="dxa"/>
            </w:tcMar>
            <w:vAlign w:val="center"/>
          </w:tcPr>
          <w:p w14:paraId="69345C49"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0.796</w:t>
            </w:r>
          </w:p>
        </w:tc>
        <w:tc>
          <w:tcPr>
            <w:tcW w:w="1248" w:type="dxa"/>
            <w:shd w:val="clear" w:color="auto" w:fill="F2F2F2"/>
            <w:tcMar>
              <w:top w:w="60" w:type="dxa"/>
              <w:left w:w="100" w:type="dxa"/>
              <w:bottom w:w="60" w:type="dxa"/>
              <w:right w:w="100" w:type="dxa"/>
            </w:tcMar>
            <w:vAlign w:val="center"/>
          </w:tcPr>
          <w:p w14:paraId="18C55322"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shd w:val="clear" w:color="auto" w:fill="F2F2F2"/>
            <w:tcMar>
              <w:top w:w="60" w:type="dxa"/>
              <w:left w:w="100" w:type="dxa"/>
              <w:bottom w:w="60" w:type="dxa"/>
              <w:right w:w="100" w:type="dxa"/>
            </w:tcMar>
            <w:vAlign w:val="center"/>
          </w:tcPr>
          <w:p w14:paraId="6513076E"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2DADD351" w14:textId="77777777" w:rsidTr="00B5019C">
        <w:trPr>
          <w:jc w:val="center"/>
        </w:trPr>
        <w:tc>
          <w:tcPr>
            <w:tcW w:w="499" w:type="dxa"/>
            <w:tcMar>
              <w:top w:w="60" w:type="dxa"/>
              <w:left w:w="100" w:type="dxa"/>
              <w:bottom w:w="60" w:type="dxa"/>
              <w:right w:w="100" w:type="dxa"/>
            </w:tcMar>
            <w:vAlign w:val="center"/>
          </w:tcPr>
          <w:p w14:paraId="74CB7942"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36</w:t>
            </w:r>
          </w:p>
        </w:tc>
        <w:tc>
          <w:tcPr>
            <w:tcW w:w="4118" w:type="dxa"/>
            <w:vAlign w:val="center"/>
          </w:tcPr>
          <w:p w14:paraId="0EFF872A"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يُعزّز تطبيق الترميز ثقة المستثمرين والشركاء في البنية التحتية الرقمية للمؤسسة</w:t>
            </w:r>
          </w:p>
        </w:tc>
        <w:tc>
          <w:tcPr>
            <w:tcW w:w="1497" w:type="dxa"/>
            <w:tcMar>
              <w:top w:w="60" w:type="dxa"/>
              <w:left w:w="100" w:type="dxa"/>
              <w:bottom w:w="60" w:type="dxa"/>
              <w:right w:w="100" w:type="dxa"/>
            </w:tcMar>
            <w:vAlign w:val="center"/>
          </w:tcPr>
          <w:p w14:paraId="3CF7C181"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0.789</w:t>
            </w:r>
          </w:p>
        </w:tc>
        <w:tc>
          <w:tcPr>
            <w:tcW w:w="1248" w:type="dxa"/>
            <w:tcMar>
              <w:top w:w="60" w:type="dxa"/>
              <w:left w:w="100" w:type="dxa"/>
              <w:bottom w:w="60" w:type="dxa"/>
              <w:right w:w="100" w:type="dxa"/>
            </w:tcMar>
            <w:vAlign w:val="center"/>
          </w:tcPr>
          <w:p w14:paraId="07C73454"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tcMar>
              <w:top w:w="60" w:type="dxa"/>
              <w:left w:w="100" w:type="dxa"/>
              <w:bottom w:w="60" w:type="dxa"/>
              <w:right w:w="100" w:type="dxa"/>
            </w:tcMar>
            <w:vAlign w:val="center"/>
          </w:tcPr>
          <w:p w14:paraId="002F326B"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r w:rsidR="007608E1" w:rsidRPr="00B5019C" w14:paraId="2B7F224F" w14:textId="77777777" w:rsidTr="00B5019C">
        <w:trPr>
          <w:jc w:val="center"/>
        </w:trPr>
        <w:tc>
          <w:tcPr>
            <w:tcW w:w="499" w:type="dxa"/>
            <w:shd w:val="clear" w:color="auto" w:fill="F2F2F2"/>
            <w:tcMar>
              <w:top w:w="60" w:type="dxa"/>
              <w:left w:w="100" w:type="dxa"/>
              <w:bottom w:w="60" w:type="dxa"/>
              <w:right w:w="100" w:type="dxa"/>
            </w:tcMar>
            <w:vAlign w:val="center"/>
          </w:tcPr>
          <w:p w14:paraId="009096DC"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37</w:t>
            </w:r>
          </w:p>
        </w:tc>
        <w:tc>
          <w:tcPr>
            <w:tcW w:w="4118" w:type="dxa"/>
            <w:vAlign w:val="center"/>
          </w:tcPr>
          <w:p w14:paraId="7BF10995" w14:textId="77777777" w:rsidR="005D691F" w:rsidRPr="00B5019C" w:rsidRDefault="00F4227D" w:rsidP="00B5019C">
            <w:pPr>
              <w:bidi/>
              <w:spacing w:after="0" w:line="260" w:lineRule="auto"/>
              <w:jc w:val="center"/>
              <w:rPr>
                <w:sz w:val="24"/>
                <w:szCs w:val="24"/>
              </w:rPr>
            </w:pPr>
            <w:r w:rsidRPr="00B5019C">
              <w:rPr>
                <w:rFonts w:ascii="Traditional Arabic" w:hAnsi="Traditional Arabic" w:cs="Traditional Arabic"/>
                <w:sz w:val="24"/>
                <w:szCs w:val="24"/>
                <w:rtl/>
              </w:rPr>
              <w:t>تُشكّل تقنية الترميز ركيزة أساسية في خارطة طريق التحول الرقمي لمؤسستك</w:t>
            </w:r>
          </w:p>
        </w:tc>
        <w:tc>
          <w:tcPr>
            <w:tcW w:w="1497" w:type="dxa"/>
            <w:shd w:val="clear" w:color="auto" w:fill="F2F2F2"/>
            <w:tcMar>
              <w:top w:w="60" w:type="dxa"/>
              <w:left w:w="100" w:type="dxa"/>
              <w:bottom w:w="60" w:type="dxa"/>
              <w:right w:w="100" w:type="dxa"/>
            </w:tcMar>
            <w:vAlign w:val="center"/>
          </w:tcPr>
          <w:p w14:paraId="45F81BE9"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0.755</w:t>
            </w:r>
          </w:p>
        </w:tc>
        <w:tc>
          <w:tcPr>
            <w:tcW w:w="1248" w:type="dxa"/>
            <w:shd w:val="clear" w:color="auto" w:fill="F2F2F2"/>
            <w:tcMar>
              <w:top w:w="60" w:type="dxa"/>
              <w:left w:w="100" w:type="dxa"/>
              <w:bottom w:w="60" w:type="dxa"/>
              <w:right w:w="100" w:type="dxa"/>
            </w:tcMar>
            <w:vAlign w:val="center"/>
          </w:tcPr>
          <w:p w14:paraId="5A539701"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936" w:type="dxa"/>
            <w:shd w:val="clear" w:color="auto" w:fill="F2F2F2"/>
            <w:tcMar>
              <w:top w:w="60" w:type="dxa"/>
              <w:left w:w="100" w:type="dxa"/>
              <w:bottom w:w="60" w:type="dxa"/>
              <w:right w:w="100" w:type="dxa"/>
            </w:tcMar>
            <w:vAlign w:val="center"/>
          </w:tcPr>
          <w:p w14:paraId="53D4F31B" w14:textId="77777777" w:rsidR="007608E1" w:rsidRPr="00B5019C" w:rsidRDefault="007608E1" w:rsidP="00B5019C">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دالة</w:t>
            </w:r>
          </w:p>
        </w:tc>
      </w:tr>
    </w:tbl>
    <w:p w14:paraId="6909833A"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وتشير النتائج إلى أن جميع معاملات الارتباط بين درجة كل عبارة والدرجة الكلية للبُعد جاءت موجبة ودالة إحصائياً عند مستوى (0.01)، وهو ما يؤكد تمتع عبارات هذا البُعد بصدق اتساق داخلي مقبول، ويسوّغ الإبقاء عليها جميعاً دون حذف.</w:t>
      </w:r>
    </w:p>
    <w:p w14:paraId="4753FFD3"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 xml:space="preserve">جداول (4.14 - 4.18): معاملات ارتباط </w:t>
      </w:r>
      <w:proofErr w:type="spellStart"/>
      <w:r>
        <w:rPr>
          <w:rFonts w:ascii="Traditional Arabic" w:eastAsia="Simplified Arabic" w:hAnsi="Traditional Arabic" w:cs="Traditional Arabic"/>
          <w:b/>
          <w:bCs/>
          <w:sz w:val="28"/>
          <w:szCs w:val="28"/>
          <w:rtl/>
        </w:rPr>
        <w:t>سبيرمان</w:t>
      </w:r>
      <w:proofErr w:type="spellEnd"/>
      <w:r>
        <w:rPr>
          <w:rFonts w:ascii="Traditional Arabic" w:eastAsia="Simplified Arabic" w:hAnsi="Traditional Arabic" w:cs="Traditional Arabic"/>
          <w:b/>
          <w:bCs/>
          <w:sz w:val="28"/>
          <w:szCs w:val="28"/>
          <w:rtl/>
        </w:rPr>
        <w:t xml:space="preserve"> بين عبارات كل بُعد والدرجة الكلية للبُعد</w:t>
      </w:r>
    </w:p>
    <w:p w14:paraId="77D1291F" w14:textId="77777777" w:rsidR="00DC02DC" w:rsidRDefault="00DC02DC" w:rsidP="00E000FF">
      <w:pPr>
        <w:bidi/>
        <w:spacing w:after="0" w:line="360" w:lineRule="auto"/>
        <w:jc w:val="both"/>
        <w:rPr>
          <w:rFonts w:ascii="Simplified Arabic" w:eastAsia="Simplified Arabic" w:hAnsi="Simplified Arabic" w:cs="Simplified Arabic"/>
          <w:b/>
          <w:bCs/>
          <w:sz w:val="28"/>
          <w:szCs w:val="28"/>
        </w:rPr>
      </w:pPr>
    </w:p>
    <w:p w14:paraId="7C8A144B" w14:textId="6AC08C3E"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 xml:space="preserve">3. ثبات الأداة (معامل ألفا </w:t>
      </w:r>
      <w:proofErr w:type="spellStart"/>
      <w:r>
        <w:rPr>
          <w:rFonts w:ascii="Traditional Arabic" w:eastAsia="Simplified Arabic" w:hAnsi="Traditional Arabic" w:cs="Traditional Arabic"/>
          <w:b/>
          <w:bCs/>
          <w:sz w:val="28"/>
          <w:szCs w:val="28"/>
          <w:rtl/>
        </w:rPr>
        <w:t>كرونباخ</w:t>
      </w:r>
      <w:proofErr w:type="spellEnd"/>
      <w:r>
        <w:rPr>
          <w:rFonts w:ascii="Traditional Arabic" w:eastAsia="Simplified Arabic" w:hAnsi="Traditional Arabic" w:cs="Traditional Arabic"/>
          <w:b/>
          <w:bCs/>
          <w:sz w:val="28"/>
          <w:szCs w:val="28"/>
          <w:rtl/>
        </w:rPr>
        <w:t>)</w:t>
      </w:r>
    </w:p>
    <w:p w14:paraId="58398EDC"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 xml:space="preserve">استُخدمت طريقة ألفا </w:t>
      </w:r>
      <w:proofErr w:type="spellStart"/>
      <w:r w:rsidRPr="00B5019C">
        <w:rPr>
          <w:rFonts w:ascii="Traditional Arabic" w:eastAsia="Simplified Arabic" w:hAnsi="Traditional Arabic" w:cs="Traditional Arabic"/>
          <w:sz w:val="28"/>
          <w:szCs w:val="28"/>
          <w:rtl/>
        </w:rPr>
        <w:t>كرونباخ</w:t>
      </w:r>
      <w:proofErr w:type="spellEnd"/>
      <w:r w:rsidRPr="00B5019C">
        <w:rPr>
          <w:rFonts w:ascii="Traditional Arabic" w:eastAsia="Simplified Arabic" w:hAnsi="Traditional Arabic" w:cs="Traditional Arabic"/>
          <w:sz w:val="28"/>
          <w:szCs w:val="28"/>
          <w:rtl/>
        </w:rPr>
        <w:t xml:space="preserve"> (</w:t>
      </w:r>
      <w:proofErr w:type="spellStart"/>
      <w:r w:rsidRPr="00B5019C">
        <w:rPr>
          <w:rFonts w:ascii="Traditional Arabic" w:eastAsia="Simplified Arabic" w:hAnsi="Traditional Arabic" w:cs="Traditional Arabic"/>
          <w:sz w:val="28"/>
          <w:szCs w:val="28"/>
          <w:rtl/>
        </w:rPr>
        <w:t>Cronbach's</w:t>
      </w:r>
      <w:proofErr w:type="spellEnd"/>
      <w:r w:rsidRPr="00B5019C">
        <w:rPr>
          <w:rFonts w:ascii="Traditional Arabic" w:eastAsia="Simplified Arabic" w:hAnsi="Traditional Arabic" w:cs="Traditional Arabic"/>
          <w:sz w:val="28"/>
          <w:szCs w:val="28"/>
          <w:rtl/>
        </w:rPr>
        <w:t xml:space="preserve"> </w:t>
      </w:r>
      <w:proofErr w:type="spellStart"/>
      <w:r w:rsidRPr="00B5019C">
        <w:rPr>
          <w:rFonts w:ascii="Traditional Arabic" w:eastAsia="Simplified Arabic" w:hAnsi="Traditional Arabic" w:cs="Traditional Arabic"/>
          <w:sz w:val="28"/>
          <w:szCs w:val="28"/>
          <w:rtl/>
        </w:rPr>
        <w:t>Alpha</w:t>
      </w:r>
      <w:proofErr w:type="spellEnd"/>
      <w:r w:rsidRPr="00B5019C">
        <w:rPr>
          <w:rFonts w:ascii="Traditional Arabic" w:eastAsia="Simplified Arabic" w:hAnsi="Traditional Arabic" w:cs="Traditional Arabic"/>
          <w:sz w:val="28"/>
          <w:szCs w:val="28"/>
          <w:rtl/>
        </w:rPr>
        <w:t xml:space="preserve">) للتحقق من ثبات أداة الدراسة، إذ تُعدّ القيم التي تتجاوز (0.70) مقبولة إحصائياً، بينما تعكس القيم التي تفوق (0.90) ثباتاً مرتفعاً جداً. ويوضح الجدول التالي قيم معامل ألفا </w:t>
      </w:r>
      <w:proofErr w:type="spellStart"/>
      <w:r w:rsidRPr="00B5019C">
        <w:rPr>
          <w:rFonts w:ascii="Traditional Arabic" w:eastAsia="Simplified Arabic" w:hAnsi="Traditional Arabic" w:cs="Traditional Arabic"/>
          <w:sz w:val="28"/>
          <w:szCs w:val="28"/>
          <w:rtl/>
        </w:rPr>
        <w:t>كرونباخ</w:t>
      </w:r>
      <w:proofErr w:type="spellEnd"/>
      <w:r w:rsidRPr="00B5019C">
        <w:rPr>
          <w:rFonts w:ascii="Traditional Arabic" w:eastAsia="Simplified Arabic" w:hAnsi="Traditional Arabic" w:cs="Traditional Arabic"/>
          <w:sz w:val="28"/>
          <w:szCs w:val="28"/>
          <w:rtl/>
        </w:rPr>
        <w:t xml:space="preserve"> لكل بُعد من أبعاد الدراسة وللأداة ككل.</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30"/>
        <w:gridCol w:w="1382"/>
        <w:gridCol w:w="1643"/>
        <w:gridCol w:w="1641"/>
      </w:tblGrid>
      <w:tr w:rsidR="007608E1" w:rsidRPr="00B5019C" w14:paraId="21989755" w14:textId="77777777" w:rsidTr="00036983">
        <w:trPr>
          <w:tblHeader/>
          <w:jc w:val="center"/>
        </w:trPr>
        <w:tc>
          <w:tcPr>
            <w:tcW w:w="2188" w:type="pct"/>
            <w:shd w:val="clear" w:color="auto" w:fill="2E5395"/>
            <w:tcMar>
              <w:top w:w="60" w:type="dxa"/>
              <w:left w:w="100" w:type="dxa"/>
              <w:bottom w:w="60" w:type="dxa"/>
              <w:right w:w="100" w:type="dxa"/>
            </w:tcMar>
            <w:vAlign w:val="center"/>
          </w:tcPr>
          <w:p w14:paraId="332A737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البُعد / المحور</w:t>
            </w:r>
          </w:p>
        </w:tc>
        <w:tc>
          <w:tcPr>
            <w:tcW w:w="833" w:type="pct"/>
            <w:shd w:val="clear" w:color="auto" w:fill="2E5395"/>
            <w:tcMar>
              <w:top w:w="60" w:type="dxa"/>
              <w:left w:w="100" w:type="dxa"/>
              <w:bottom w:w="60" w:type="dxa"/>
              <w:right w:w="100" w:type="dxa"/>
            </w:tcMar>
            <w:vAlign w:val="center"/>
          </w:tcPr>
          <w:p w14:paraId="7E9BE15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عدد العبارات</w:t>
            </w:r>
          </w:p>
        </w:tc>
        <w:tc>
          <w:tcPr>
            <w:tcW w:w="990" w:type="pct"/>
            <w:shd w:val="clear" w:color="auto" w:fill="2E5395"/>
            <w:tcMar>
              <w:top w:w="60" w:type="dxa"/>
              <w:left w:w="100" w:type="dxa"/>
              <w:bottom w:w="60" w:type="dxa"/>
              <w:right w:w="100" w:type="dxa"/>
            </w:tcMar>
            <w:vAlign w:val="center"/>
          </w:tcPr>
          <w:p w14:paraId="3D2082E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 xml:space="preserve">معامل ألفا </w:t>
            </w:r>
            <w:proofErr w:type="spellStart"/>
            <w:r w:rsidRPr="00B5019C">
              <w:rPr>
                <w:rFonts w:ascii="Traditional Arabic" w:eastAsia="Simplified Arabic" w:hAnsi="Traditional Arabic" w:cs="Traditional Arabic"/>
                <w:b/>
                <w:bCs/>
                <w:color w:val="FFFFFF"/>
                <w:sz w:val="24"/>
                <w:szCs w:val="24"/>
                <w:rtl/>
              </w:rPr>
              <w:t>كرونباخ</w:t>
            </w:r>
            <w:proofErr w:type="spellEnd"/>
          </w:p>
        </w:tc>
        <w:tc>
          <w:tcPr>
            <w:tcW w:w="990" w:type="pct"/>
            <w:shd w:val="clear" w:color="auto" w:fill="2E5395"/>
            <w:tcMar>
              <w:top w:w="60" w:type="dxa"/>
              <w:left w:w="100" w:type="dxa"/>
              <w:bottom w:w="60" w:type="dxa"/>
              <w:right w:w="100" w:type="dxa"/>
            </w:tcMar>
            <w:vAlign w:val="center"/>
          </w:tcPr>
          <w:p w14:paraId="234B7A1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مستوى الثبات</w:t>
            </w:r>
          </w:p>
        </w:tc>
      </w:tr>
      <w:tr w:rsidR="007608E1" w:rsidRPr="00B5019C" w14:paraId="3BA4D4DD" w14:textId="77777777" w:rsidTr="00036983">
        <w:trPr>
          <w:jc w:val="center"/>
        </w:trPr>
        <w:tc>
          <w:tcPr>
            <w:tcW w:w="2188" w:type="pct"/>
            <w:tcMar>
              <w:top w:w="60" w:type="dxa"/>
              <w:left w:w="100" w:type="dxa"/>
              <w:bottom w:w="60" w:type="dxa"/>
              <w:right w:w="100" w:type="dxa"/>
            </w:tcMar>
            <w:vAlign w:val="center"/>
          </w:tcPr>
          <w:p w14:paraId="75F267D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الترميز الأمني للبيانات</w:t>
            </w:r>
          </w:p>
        </w:tc>
        <w:tc>
          <w:tcPr>
            <w:tcW w:w="833" w:type="pct"/>
            <w:tcMar>
              <w:top w:w="60" w:type="dxa"/>
              <w:left w:w="100" w:type="dxa"/>
              <w:bottom w:w="60" w:type="dxa"/>
              <w:right w:w="100" w:type="dxa"/>
            </w:tcMar>
            <w:vAlign w:val="center"/>
          </w:tcPr>
          <w:p w14:paraId="6F86029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tcMar>
              <w:top w:w="60" w:type="dxa"/>
              <w:left w:w="100" w:type="dxa"/>
              <w:bottom w:w="60" w:type="dxa"/>
              <w:right w:w="100" w:type="dxa"/>
            </w:tcMar>
            <w:vAlign w:val="center"/>
          </w:tcPr>
          <w:p w14:paraId="031E14E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0.926</w:t>
            </w:r>
          </w:p>
        </w:tc>
        <w:tc>
          <w:tcPr>
            <w:tcW w:w="990" w:type="pct"/>
            <w:tcMar>
              <w:top w:w="60" w:type="dxa"/>
              <w:left w:w="100" w:type="dxa"/>
              <w:bottom w:w="60" w:type="dxa"/>
              <w:right w:w="100" w:type="dxa"/>
            </w:tcMar>
            <w:vAlign w:val="center"/>
          </w:tcPr>
          <w:p w14:paraId="3415993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4B3CCCA" w14:textId="77777777" w:rsidTr="00036983">
        <w:trPr>
          <w:jc w:val="center"/>
        </w:trPr>
        <w:tc>
          <w:tcPr>
            <w:tcW w:w="2188" w:type="pct"/>
            <w:shd w:val="clear" w:color="auto" w:fill="F2F2F2"/>
            <w:tcMar>
              <w:top w:w="60" w:type="dxa"/>
              <w:left w:w="100" w:type="dxa"/>
              <w:bottom w:w="60" w:type="dxa"/>
              <w:right w:w="100" w:type="dxa"/>
            </w:tcMar>
            <w:vAlign w:val="center"/>
          </w:tcPr>
          <w:p w14:paraId="3D86FDF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الامتثال للمعايير الدولية</w:t>
            </w:r>
          </w:p>
        </w:tc>
        <w:tc>
          <w:tcPr>
            <w:tcW w:w="833" w:type="pct"/>
            <w:shd w:val="clear" w:color="auto" w:fill="F2F2F2"/>
            <w:tcMar>
              <w:top w:w="60" w:type="dxa"/>
              <w:left w:w="100" w:type="dxa"/>
              <w:bottom w:w="60" w:type="dxa"/>
              <w:right w:w="100" w:type="dxa"/>
            </w:tcMar>
            <w:vAlign w:val="center"/>
          </w:tcPr>
          <w:p w14:paraId="7ECB060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7</w:t>
            </w:r>
          </w:p>
        </w:tc>
        <w:tc>
          <w:tcPr>
            <w:tcW w:w="990" w:type="pct"/>
            <w:shd w:val="clear" w:color="auto" w:fill="F2F2F2"/>
            <w:tcMar>
              <w:top w:w="60" w:type="dxa"/>
              <w:left w:w="100" w:type="dxa"/>
              <w:bottom w:w="60" w:type="dxa"/>
              <w:right w:w="100" w:type="dxa"/>
            </w:tcMar>
            <w:vAlign w:val="center"/>
          </w:tcPr>
          <w:p w14:paraId="4DB4794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0.931</w:t>
            </w:r>
          </w:p>
        </w:tc>
        <w:tc>
          <w:tcPr>
            <w:tcW w:w="990" w:type="pct"/>
            <w:shd w:val="clear" w:color="auto" w:fill="F2F2F2"/>
            <w:tcMar>
              <w:top w:w="60" w:type="dxa"/>
              <w:left w:w="100" w:type="dxa"/>
              <w:bottom w:w="60" w:type="dxa"/>
              <w:right w:w="100" w:type="dxa"/>
            </w:tcMar>
            <w:vAlign w:val="center"/>
          </w:tcPr>
          <w:p w14:paraId="1F9CFD7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62BAE87E" w14:textId="77777777" w:rsidTr="00036983">
        <w:trPr>
          <w:jc w:val="center"/>
        </w:trPr>
        <w:tc>
          <w:tcPr>
            <w:tcW w:w="2188" w:type="pct"/>
            <w:tcMar>
              <w:top w:w="60" w:type="dxa"/>
              <w:left w:w="100" w:type="dxa"/>
              <w:bottom w:w="60" w:type="dxa"/>
              <w:right w:w="100" w:type="dxa"/>
            </w:tcMar>
            <w:vAlign w:val="center"/>
          </w:tcPr>
          <w:p w14:paraId="60C43B1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الكفاءة التشغيلية المالية</w:t>
            </w:r>
          </w:p>
        </w:tc>
        <w:tc>
          <w:tcPr>
            <w:tcW w:w="833" w:type="pct"/>
            <w:tcMar>
              <w:top w:w="60" w:type="dxa"/>
              <w:left w:w="100" w:type="dxa"/>
              <w:bottom w:w="60" w:type="dxa"/>
              <w:right w:w="100" w:type="dxa"/>
            </w:tcMar>
            <w:vAlign w:val="center"/>
          </w:tcPr>
          <w:p w14:paraId="631B0BA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tcMar>
              <w:top w:w="60" w:type="dxa"/>
              <w:left w:w="100" w:type="dxa"/>
              <w:bottom w:w="60" w:type="dxa"/>
              <w:right w:w="100" w:type="dxa"/>
            </w:tcMar>
            <w:vAlign w:val="center"/>
          </w:tcPr>
          <w:p w14:paraId="1F9A4DD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0.918</w:t>
            </w:r>
          </w:p>
        </w:tc>
        <w:tc>
          <w:tcPr>
            <w:tcW w:w="990" w:type="pct"/>
            <w:tcMar>
              <w:top w:w="60" w:type="dxa"/>
              <w:left w:w="100" w:type="dxa"/>
              <w:bottom w:w="60" w:type="dxa"/>
              <w:right w:w="100" w:type="dxa"/>
            </w:tcMar>
            <w:vAlign w:val="center"/>
          </w:tcPr>
          <w:p w14:paraId="7DA94B4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7355613" w14:textId="77777777" w:rsidTr="00036983">
        <w:trPr>
          <w:jc w:val="center"/>
        </w:trPr>
        <w:tc>
          <w:tcPr>
            <w:tcW w:w="2188" w:type="pct"/>
            <w:shd w:val="clear" w:color="auto" w:fill="F2F2F2"/>
            <w:tcMar>
              <w:top w:w="60" w:type="dxa"/>
              <w:left w:w="100" w:type="dxa"/>
              <w:bottom w:w="60" w:type="dxa"/>
              <w:right w:w="100" w:type="dxa"/>
            </w:tcMar>
            <w:vAlign w:val="center"/>
          </w:tcPr>
          <w:p w14:paraId="37761F0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الأمن السيبراني المؤسسي</w:t>
            </w:r>
          </w:p>
        </w:tc>
        <w:tc>
          <w:tcPr>
            <w:tcW w:w="833" w:type="pct"/>
            <w:shd w:val="clear" w:color="auto" w:fill="F2F2F2"/>
            <w:tcMar>
              <w:top w:w="60" w:type="dxa"/>
              <w:left w:w="100" w:type="dxa"/>
              <w:bottom w:w="60" w:type="dxa"/>
              <w:right w:w="100" w:type="dxa"/>
            </w:tcMar>
            <w:vAlign w:val="center"/>
          </w:tcPr>
          <w:p w14:paraId="4991806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shd w:val="clear" w:color="auto" w:fill="F2F2F2"/>
            <w:tcMar>
              <w:top w:w="60" w:type="dxa"/>
              <w:left w:w="100" w:type="dxa"/>
              <w:bottom w:w="60" w:type="dxa"/>
              <w:right w:w="100" w:type="dxa"/>
            </w:tcMar>
            <w:vAlign w:val="center"/>
          </w:tcPr>
          <w:p w14:paraId="6DF6B02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0.902</w:t>
            </w:r>
          </w:p>
        </w:tc>
        <w:tc>
          <w:tcPr>
            <w:tcW w:w="990" w:type="pct"/>
            <w:shd w:val="clear" w:color="auto" w:fill="F2F2F2"/>
            <w:tcMar>
              <w:top w:w="60" w:type="dxa"/>
              <w:left w:w="100" w:type="dxa"/>
              <w:bottom w:w="60" w:type="dxa"/>
              <w:right w:w="100" w:type="dxa"/>
            </w:tcMar>
            <w:vAlign w:val="center"/>
          </w:tcPr>
          <w:p w14:paraId="2BCF9FE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7C6D2C25" w14:textId="77777777" w:rsidTr="00036983">
        <w:trPr>
          <w:jc w:val="center"/>
        </w:trPr>
        <w:tc>
          <w:tcPr>
            <w:tcW w:w="2188" w:type="pct"/>
            <w:tcMar>
              <w:top w:w="60" w:type="dxa"/>
              <w:left w:w="100" w:type="dxa"/>
              <w:bottom w:w="60" w:type="dxa"/>
              <w:right w:w="100" w:type="dxa"/>
            </w:tcMar>
            <w:vAlign w:val="center"/>
          </w:tcPr>
          <w:p w14:paraId="343400D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التوافق مع رؤية 2030</w:t>
            </w:r>
          </w:p>
        </w:tc>
        <w:tc>
          <w:tcPr>
            <w:tcW w:w="833" w:type="pct"/>
            <w:tcMar>
              <w:top w:w="60" w:type="dxa"/>
              <w:left w:w="100" w:type="dxa"/>
              <w:bottom w:w="60" w:type="dxa"/>
              <w:right w:w="100" w:type="dxa"/>
            </w:tcMar>
            <w:vAlign w:val="center"/>
          </w:tcPr>
          <w:p w14:paraId="4A117EE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6</w:t>
            </w:r>
          </w:p>
        </w:tc>
        <w:tc>
          <w:tcPr>
            <w:tcW w:w="990" w:type="pct"/>
            <w:tcMar>
              <w:top w:w="60" w:type="dxa"/>
              <w:left w:w="100" w:type="dxa"/>
              <w:bottom w:w="60" w:type="dxa"/>
              <w:right w:w="100" w:type="dxa"/>
            </w:tcMar>
            <w:vAlign w:val="center"/>
          </w:tcPr>
          <w:p w14:paraId="1C3DC68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0.930</w:t>
            </w:r>
          </w:p>
        </w:tc>
        <w:tc>
          <w:tcPr>
            <w:tcW w:w="990" w:type="pct"/>
            <w:tcMar>
              <w:top w:w="60" w:type="dxa"/>
              <w:left w:w="100" w:type="dxa"/>
              <w:bottom w:w="60" w:type="dxa"/>
              <w:right w:w="100" w:type="dxa"/>
            </w:tcMar>
            <w:vAlign w:val="center"/>
          </w:tcPr>
          <w:p w14:paraId="08F6BAE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5B6D3429" w14:textId="77777777" w:rsidTr="00036983">
        <w:trPr>
          <w:jc w:val="center"/>
        </w:trPr>
        <w:tc>
          <w:tcPr>
            <w:tcW w:w="2188" w:type="pct"/>
            <w:shd w:val="clear" w:color="auto" w:fill="F2F2F2"/>
            <w:tcMar>
              <w:top w:w="60" w:type="dxa"/>
              <w:left w:w="100" w:type="dxa"/>
              <w:bottom w:w="60" w:type="dxa"/>
              <w:right w:w="100" w:type="dxa"/>
            </w:tcMar>
            <w:vAlign w:val="center"/>
          </w:tcPr>
          <w:p w14:paraId="03438DC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تطبيق تقنية الترميز (إجمالي البُعدين الأول والثاني)</w:t>
            </w:r>
          </w:p>
        </w:tc>
        <w:tc>
          <w:tcPr>
            <w:tcW w:w="833" w:type="pct"/>
            <w:shd w:val="clear" w:color="auto" w:fill="F2F2F2"/>
            <w:tcMar>
              <w:top w:w="60" w:type="dxa"/>
              <w:left w:w="100" w:type="dxa"/>
              <w:bottom w:w="60" w:type="dxa"/>
              <w:right w:w="100" w:type="dxa"/>
            </w:tcMar>
            <w:vAlign w:val="center"/>
          </w:tcPr>
          <w:p w14:paraId="51A34C1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13</w:t>
            </w:r>
          </w:p>
        </w:tc>
        <w:tc>
          <w:tcPr>
            <w:tcW w:w="990" w:type="pct"/>
            <w:shd w:val="clear" w:color="auto" w:fill="F2F2F2"/>
            <w:tcMar>
              <w:top w:w="60" w:type="dxa"/>
              <w:left w:w="100" w:type="dxa"/>
              <w:bottom w:w="60" w:type="dxa"/>
              <w:right w:w="100" w:type="dxa"/>
            </w:tcMar>
            <w:vAlign w:val="center"/>
          </w:tcPr>
          <w:p w14:paraId="00AAA956"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0.962</w:t>
            </w:r>
          </w:p>
        </w:tc>
        <w:tc>
          <w:tcPr>
            <w:tcW w:w="990" w:type="pct"/>
            <w:shd w:val="clear" w:color="auto" w:fill="F2F2F2"/>
            <w:tcMar>
              <w:top w:w="60" w:type="dxa"/>
              <w:left w:w="100" w:type="dxa"/>
              <w:bottom w:w="60" w:type="dxa"/>
              <w:right w:w="100" w:type="dxa"/>
            </w:tcMar>
            <w:vAlign w:val="center"/>
          </w:tcPr>
          <w:p w14:paraId="2E2EFB58"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r w:rsidR="007608E1" w:rsidRPr="00B5019C" w14:paraId="11ED375B" w14:textId="77777777" w:rsidTr="00036983">
        <w:trPr>
          <w:jc w:val="center"/>
        </w:trPr>
        <w:tc>
          <w:tcPr>
            <w:tcW w:w="2188" w:type="pct"/>
            <w:tcMar>
              <w:top w:w="60" w:type="dxa"/>
              <w:left w:w="100" w:type="dxa"/>
              <w:bottom w:w="60" w:type="dxa"/>
              <w:right w:w="100" w:type="dxa"/>
            </w:tcMar>
            <w:vAlign w:val="center"/>
          </w:tcPr>
          <w:p w14:paraId="0777026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الأداة ككل (31 عبارة)</w:t>
            </w:r>
          </w:p>
        </w:tc>
        <w:tc>
          <w:tcPr>
            <w:tcW w:w="833" w:type="pct"/>
            <w:tcMar>
              <w:top w:w="60" w:type="dxa"/>
              <w:left w:w="100" w:type="dxa"/>
              <w:bottom w:w="60" w:type="dxa"/>
              <w:right w:w="100" w:type="dxa"/>
            </w:tcMar>
            <w:vAlign w:val="center"/>
          </w:tcPr>
          <w:p w14:paraId="7BA3914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31</w:t>
            </w:r>
          </w:p>
        </w:tc>
        <w:tc>
          <w:tcPr>
            <w:tcW w:w="990" w:type="pct"/>
            <w:tcMar>
              <w:top w:w="60" w:type="dxa"/>
              <w:left w:w="100" w:type="dxa"/>
              <w:bottom w:w="60" w:type="dxa"/>
              <w:right w:w="100" w:type="dxa"/>
            </w:tcMar>
            <w:vAlign w:val="center"/>
          </w:tcPr>
          <w:p w14:paraId="4D09B15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0.980</w:t>
            </w:r>
          </w:p>
        </w:tc>
        <w:tc>
          <w:tcPr>
            <w:tcW w:w="990" w:type="pct"/>
            <w:tcMar>
              <w:top w:w="60" w:type="dxa"/>
              <w:left w:w="100" w:type="dxa"/>
              <w:bottom w:w="60" w:type="dxa"/>
              <w:right w:w="100" w:type="dxa"/>
            </w:tcMar>
            <w:vAlign w:val="center"/>
          </w:tcPr>
          <w:p w14:paraId="07E5B213"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مرتفع جداً</w:t>
            </w:r>
          </w:p>
        </w:tc>
      </w:tr>
    </w:tbl>
    <w:p w14:paraId="5471573A"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 xml:space="preserve">جدول (4.19): قيم معامل ألفا </w:t>
      </w:r>
      <w:proofErr w:type="spellStart"/>
      <w:r>
        <w:rPr>
          <w:rFonts w:ascii="Traditional Arabic" w:eastAsia="Simplified Arabic" w:hAnsi="Traditional Arabic" w:cs="Traditional Arabic"/>
          <w:b/>
          <w:bCs/>
          <w:sz w:val="24"/>
          <w:szCs w:val="24"/>
          <w:rtl/>
        </w:rPr>
        <w:t>كرونباخ</w:t>
      </w:r>
      <w:proofErr w:type="spellEnd"/>
      <w:r>
        <w:rPr>
          <w:rFonts w:ascii="Traditional Arabic" w:eastAsia="Simplified Arabic" w:hAnsi="Traditional Arabic" w:cs="Traditional Arabic"/>
          <w:b/>
          <w:bCs/>
          <w:sz w:val="24"/>
          <w:szCs w:val="24"/>
          <w:rtl/>
        </w:rPr>
        <w:t xml:space="preserve"> لثبات أبعاد أداة الدراسة</w:t>
      </w:r>
    </w:p>
    <w:p w14:paraId="1B2C3C9D"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 xml:space="preserve">يتبيّن من الجدول أعلاه أن جميع معاملات ألفا </w:t>
      </w:r>
      <w:proofErr w:type="spellStart"/>
      <w:r w:rsidRPr="00B5019C">
        <w:rPr>
          <w:rFonts w:ascii="Traditional Arabic" w:eastAsia="Simplified Arabic" w:hAnsi="Traditional Arabic" w:cs="Traditional Arabic"/>
          <w:sz w:val="28"/>
          <w:szCs w:val="28"/>
          <w:rtl/>
        </w:rPr>
        <w:t>كرونباخ</w:t>
      </w:r>
      <w:proofErr w:type="spellEnd"/>
      <w:r w:rsidRPr="00B5019C">
        <w:rPr>
          <w:rFonts w:ascii="Traditional Arabic" w:eastAsia="Simplified Arabic" w:hAnsi="Traditional Arabic" w:cs="Traditional Arabic"/>
          <w:sz w:val="28"/>
          <w:szCs w:val="28"/>
          <w:rtl/>
        </w:rPr>
        <w:t xml:space="preserve"> للأبعاد الخمسة تجاوزت القيمة (0.90)، وبلغ معامل الثبات الكلي للأداة (0.980)، وهي قيم مرتفعة جداً تفوق الحد الأدنى المقبول علمياً (0.70) بفارق كبير، مما يؤكد تمتع أداة الدراسة بدرجة عالية جداً من الثبات الداخلي، وصلاحيتها للاعتماد عليها في قياس متغيرات الدراسة واختبار فرضياتها.</w:t>
      </w:r>
    </w:p>
    <w:p w14:paraId="0B1E2622"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u w:val="single"/>
          <w:rtl/>
        </w:rPr>
        <w:t>رابعاً: اختبار افتراضات التحليل الإحصائي</w:t>
      </w:r>
    </w:p>
    <w:p w14:paraId="1EA9AAB0"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 xml:space="preserve">يهدف هذا الجزء إلى التحقق من مدى تحقق افتراضات التحليل الإحصائي اللازمة لاستخدام الاختبارات الإحصائية المعتمدة في الدراسة، مثل: التوزيع الطبيعي للبيانات، وتجانس التباين، والاستقلالية، والارتباط الخطي (الرتبي)، وبيان مدى ملاءمة البيانات لهذه الاختبارات، بما يبرر اعتماد الأساليب الإحصائية </w:t>
      </w:r>
      <w:proofErr w:type="spellStart"/>
      <w:r w:rsidRPr="00B5019C">
        <w:rPr>
          <w:rFonts w:ascii="Traditional Arabic" w:eastAsia="Simplified Arabic" w:hAnsi="Traditional Arabic" w:cs="Traditional Arabic"/>
          <w:sz w:val="28"/>
          <w:szCs w:val="28"/>
          <w:rtl/>
        </w:rPr>
        <w:t>اللامعلمية</w:t>
      </w:r>
      <w:proofErr w:type="spellEnd"/>
      <w:r w:rsidRPr="00B5019C">
        <w:rPr>
          <w:rFonts w:ascii="Traditional Arabic" w:eastAsia="Simplified Arabic" w:hAnsi="Traditional Arabic" w:cs="Traditional Arabic"/>
          <w:sz w:val="28"/>
          <w:szCs w:val="28"/>
          <w:rtl/>
        </w:rPr>
        <w:t xml:space="preserve"> (</w:t>
      </w:r>
      <w:proofErr w:type="spellStart"/>
      <w:r w:rsidRPr="00B5019C">
        <w:rPr>
          <w:rFonts w:ascii="Traditional Arabic" w:eastAsia="Simplified Arabic" w:hAnsi="Traditional Arabic" w:cs="Traditional Arabic"/>
          <w:sz w:val="28"/>
          <w:szCs w:val="28"/>
          <w:rtl/>
        </w:rPr>
        <w:t>Non-parametric</w:t>
      </w:r>
      <w:proofErr w:type="spellEnd"/>
      <w:r w:rsidRPr="00B5019C">
        <w:rPr>
          <w:rFonts w:ascii="Traditional Arabic" w:eastAsia="Simplified Arabic" w:hAnsi="Traditional Arabic" w:cs="Traditional Arabic"/>
          <w:sz w:val="28"/>
          <w:szCs w:val="28"/>
          <w:rtl/>
        </w:rPr>
        <w:t>) المحددة في الفصل الثالث.</w:t>
      </w:r>
    </w:p>
    <w:p w14:paraId="6E05EE96"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1. اختبار التوزيع الطبيعي (</w:t>
      </w:r>
      <w:proofErr w:type="spellStart"/>
      <w:r>
        <w:rPr>
          <w:rFonts w:ascii="Traditional Arabic" w:eastAsia="Simplified Arabic" w:hAnsi="Traditional Arabic" w:cs="Traditional Arabic"/>
          <w:b/>
          <w:bCs/>
          <w:sz w:val="28"/>
          <w:szCs w:val="28"/>
          <w:rtl/>
        </w:rPr>
        <w:t>Shapiro-Wilk</w:t>
      </w:r>
      <w:proofErr w:type="spellEnd"/>
      <w:r>
        <w:rPr>
          <w:rFonts w:ascii="Traditional Arabic" w:eastAsia="Simplified Arabic" w:hAnsi="Traditional Arabic" w:cs="Traditional Arabic"/>
          <w:b/>
          <w:bCs/>
          <w:sz w:val="28"/>
          <w:szCs w:val="28"/>
          <w:rtl/>
        </w:rPr>
        <w:t>)</w:t>
      </w:r>
    </w:p>
    <w:p w14:paraId="749EE9B9" w14:textId="77777777" w:rsidR="007608E1" w:rsidRPr="00B5019C" w:rsidRDefault="007608E1" w:rsidP="00E000FF">
      <w:pPr>
        <w:bidi/>
        <w:spacing w:after="0" w:line="360" w:lineRule="auto"/>
        <w:jc w:val="both"/>
        <w:rPr>
          <w:sz w:val="26"/>
          <w:szCs w:val="26"/>
        </w:rPr>
      </w:pPr>
      <w:r w:rsidRPr="00B5019C">
        <w:rPr>
          <w:rFonts w:ascii="Traditional Arabic" w:eastAsia="Simplified Arabic" w:hAnsi="Traditional Arabic" w:cs="Traditional Arabic"/>
          <w:sz w:val="28"/>
          <w:szCs w:val="28"/>
          <w:rtl/>
        </w:rPr>
        <w:t>طُبِّق اختبار شابيرو-ويلك (</w:t>
      </w:r>
      <w:proofErr w:type="spellStart"/>
      <w:r w:rsidRPr="00B5019C">
        <w:rPr>
          <w:rFonts w:ascii="Traditional Arabic" w:eastAsia="Simplified Arabic" w:hAnsi="Traditional Arabic" w:cs="Traditional Arabic"/>
          <w:sz w:val="28"/>
          <w:szCs w:val="28"/>
          <w:rtl/>
        </w:rPr>
        <w:t>Shapiro-Wilk</w:t>
      </w:r>
      <w:proofErr w:type="spellEnd"/>
      <w:r w:rsidRPr="00B5019C">
        <w:rPr>
          <w:rFonts w:ascii="Traditional Arabic" w:eastAsia="Simplified Arabic" w:hAnsi="Traditional Arabic" w:cs="Traditional Arabic"/>
          <w:sz w:val="28"/>
          <w:szCs w:val="28"/>
          <w:rtl/>
        </w:rPr>
        <w:t>) للتحقق من مدى اتباع بيانات أبعاد الدراسة الخمسة للتوزيع الطبيعي، حيث تشير القيمة الاحتمالية الأقل من (0.05) إلى انحراف البيانات عن التوزيع الطبيعي.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153"/>
        <w:gridCol w:w="1576"/>
        <w:gridCol w:w="1576"/>
        <w:gridCol w:w="1991"/>
      </w:tblGrid>
      <w:tr w:rsidR="007608E1" w:rsidRPr="00B5019C" w14:paraId="1BA73270" w14:textId="77777777" w:rsidTr="00036983">
        <w:trPr>
          <w:tblHeader/>
          <w:jc w:val="center"/>
        </w:trPr>
        <w:tc>
          <w:tcPr>
            <w:tcW w:w="1900" w:type="pct"/>
            <w:shd w:val="clear" w:color="auto" w:fill="2E5395"/>
            <w:tcMar>
              <w:top w:w="60" w:type="dxa"/>
              <w:left w:w="100" w:type="dxa"/>
              <w:bottom w:w="60" w:type="dxa"/>
              <w:right w:w="100" w:type="dxa"/>
            </w:tcMar>
            <w:vAlign w:val="center"/>
          </w:tcPr>
          <w:p w14:paraId="0F795A8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البُعد</w:t>
            </w:r>
          </w:p>
        </w:tc>
        <w:tc>
          <w:tcPr>
            <w:tcW w:w="950" w:type="pct"/>
            <w:shd w:val="clear" w:color="auto" w:fill="2E5395"/>
            <w:tcMar>
              <w:top w:w="60" w:type="dxa"/>
              <w:left w:w="100" w:type="dxa"/>
              <w:bottom w:w="60" w:type="dxa"/>
              <w:right w:w="100" w:type="dxa"/>
            </w:tcMar>
            <w:vAlign w:val="center"/>
          </w:tcPr>
          <w:p w14:paraId="3D923A9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قيمة الإحصائي (W)</w:t>
            </w:r>
          </w:p>
        </w:tc>
        <w:tc>
          <w:tcPr>
            <w:tcW w:w="950" w:type="pct"/>
            <w:shd w:val="clear" w:color="auto" w:fill="2E5395"/>
            <w:tcMar>
              <w:top w:w="60" w:type="dxa"/>
              <w:left w:w="100" w:type="dxa"/>
              <w:bottom w:w="60" w:type="dxa"/>
              <w:right w:w="100" w:type="dxa"/>
            </w:tcMar>
            <w:vAlign w:val="center"/>
          </w:tcPr>
          <w:p w14:paraId="2DDF8FD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القيمة الاحتمالية (p)</w:t>
            </w:r>
          </w:p>
        </w:tc>
        <w:tc>
          <w:tcPr>
            <w:tcW w:w="1200" w:type="pct"/>
            <w:shd w:val="clear" w:color="auto" w:fill="2E5395"/>
            <w:tcMar>
              <w:top w:w="60" w:type="dxa"/>
              <w:left w:w="100" w:type="dxa"/>
              <w:bottom w:w="60" w:type="dxa"/>
              <w:right w:w="100" w:type="dxa"/>
            </w:tcMar>
            <w:vAlign w:val="center"/>
          </w:tcPr>
          <w:p w14:paraId="749F3AF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b/>
                <w:bCs/>
                <w:color w:val="FFFFFF"/>
                <w:sz w:val="24"/>
                <w:szCs w:val="24"/>
                <w:rtl/>
              </w:rPr>
              <w:t>القرار</w:t>
            </w:r>
          </w:p>
        </w:tc>
      </w:tr>
      <w:tr w:rsidR="007608E1" w:rsidRPr="00B5019C" w14:paraId="36F6F6CE" w14:textId="77777777" w:rsidTr="00036983">
        <w:trPr>
          <w:jc w:val="center"/>
        </w:trPr>
        <w:tc>
          <w:tcPr>
            <w:tcW w:w="1900" w:type="pct"/>
            <w:tcMar>
              <w:top w:w="60" w:type="dxa"/>
              <w:left w:w="100" w:type="dxa"/>
              <w:bottom w:w="60" w:type="dxa"/>
              <w:right w:w="100" w:type="dxa"/>
            </w:tcMar>
            <w:vAlign w:val="center"/>
          </w:tcPr>
          <w:p w14:paraId="7846B871"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الترميز الأمني للبيانات</w:t>
            </w:r>
          </w:p>
        </w:tc>
        <w:tc>
          <w:tcPr>
            <w:tcW w:w="950" w:type="pct"/>
            <w:tcMar>
              <w:top w:w="60" w:type="dxa"/>
              <w:left w:w="100" w:type="dxa"/>
              <w:bottom w:w="60" w:type="dxa"/>
              <w:right w:w="100" w:type="dxa"/>
            </w:tcMar>
            <w:vAlign w:val="center"/>
          </w:tcPr>
          <w:p w14:paraId="4C1ECB6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0.723</w:t>
            </w:r>
          </w:p>
        </w:tc>
        <w:tc>
          <w:tcPr>
            <w:tcW w:w="950" w:type="pct"/>
            <w:tcMar>
              <w:top w:w="60" w:type="dxa"/>
              <w:left w:w="100" w:type="dxa"/>
              <w:bottom w:w="60" w:type="dxa"/>
              <w:right w:w="100" w:type="dxa"/>
            </w:tcMar>
            <w:vAlign w:val="center"/>
          </w:tcPr>
          <w:p w14:paraId="546CF35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tcMar>
              <w:top w:w="60" w:type="dxa"/>
              <w:left w:w="100" w:type="dxa"/>
              <w:bottom w:w="60" w:type="dxa"/>
              <w:right w:w="100" w:type="dxa"/>
            </w:tcMar>
            <w:vAlign w:val="center"/>
          </w:tcPr>
          <w:p w14:paraId="72BF7BA2"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42D65C45" w14:textId="77777777" w:rsidTr="00036983">
        <w:trPr>
          <w:jc w:val="center"/>
        </w:trPr>
        <w:tc>
          <w:tcPr>
            <w:tcW w:w="1900" w:type="pct"/>
            <w:shd w:val="clear" w:color="auto" w:fill="F2F2F2"/>
            <w:tcMar>
              <w:top w:w="60" w:type="dxa"/>
              <w:left w:w="100" w:type="dxa"/>
              <w:bottom w:w="60" w:type="dxa"/>
              <w:right w:w="100" w:type="dxa"/>
            </w:tcMar>
            <w:vAlign w:val="center"/>
          </w:tcPr>
          <w:p w14:paraId="3B67078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الامتثال للمعايير الدولية</w:t>
            </w:r>
          </w:p>
        </w:tc>
        <w:tc>
          <w:tcPr>
            <w:tcW w:w="950" w:type="pct"/>
            <w:shd w:val="clear" w:color="auto" w:fill="F2F2F2"/>
            <w:tcMar>
              <w:top w:w="60" w:type="dxa"/>
              <w:left w:w="100" w:type="dxa"/>
              <w:bottom w:w="60" w:type="dxa"/>
              <w:right w:w="100" w:type="dxa"/>
            </w:tcMar>
            <w:vAlign w:val="center"/>
          </w:tcPr>
          <w:p w14:paraId="7A9916A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0.744</w:t>
            </w:r>
          </w:p>
        </w:tc>
        <w:tc>
          <w:tcPr>
            <w:tcW w:w="950" w:type="pct"/>
            <w:shd w:val="clear" w:color="auto" w:fill="F2F2F2"/>
            <w:tcMar>
              <w:top w:w="60" w:type="dxa"/>
              <w:left w:w="100" w:type="dxa"/>
              <w:bottom w:w="60" w:type="dxa"/>
              <w:right w:w="100" w:type="dxa"/>
            </w:tcMar>
            <w:vAlign w:val="center"/>
          </w:tcPr>
          <w:p w14:paraId="5E0685CA"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shd w:val="clear" w:color="auto" w:fill="F2F2F2"/>
            <w:tcMar>
              <w:top w:w="60" w:type="dxa"/>
              <w:left w:w="100" w:type="dxa"/>
              <w:bottom w:w="60" w:type="dxa"/>
              <w:right w:w="100" w:type="dxa"/>
            </w:tcMar>
            <w:vAlign w:val="center"/>
          </w:tcPr>
          <w:p w14:paraId="3B478C1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14BF8746" w14:textId="77777777" w:rsidTr="00036983">
        <w:trPr>
          <w:jc w:val="center"/>
        </w:trPr>
        <w:tc>
          <w:tcPr>
            <w:tcW w:w="1900" w:type="pct"/>
            <w:tcMar>
              <w:top w:w="60" w:type="dxa"/>
              <w:left w:w="100" w:type="dxa"/>
              <w:bottom w:w="60" w:type="dxa"/>
              <w:right w:w="100" w:type="dxa"/>
            </w:tcMar>
            <w:vAlign w:val="center"/>
          </w:tcPr>
          <w:p w14:paraId="349E9DF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الكفاءة التشغيلية المالية</w:t>
            </w:r>
          </w:p>
        </w:tc>
        <w:tc>
          <w:tcPr>
            <w:tcW w:w="950" w:type="pct"/>
            <w:tcMar>
              <w:top w:w="60" w:type="dxa"/>
              <w:left w:w="100" w:type="dxa"/>
              <w:bottom w:w="60" w:type="dxa"/>
              <w:right w:w="100" w:type="dxa"/>
            </w:tcMar>
            <w:vAlign w:val="center"/>
          </w:tcPr>
          <w:p w14:paraId="441E802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0.787</w:t>
            </w:r>
          </w:p>
        </w:tc>
        <w:tc>
          <w:tcPr>
            <w:tcW w:w="950" w:type="pct"/>
            <w:tcMar>
              <w:top w:w="60" w:type="dxa"/>
              <w:left w:w="100" w:type="dxa"/>
              <w:bottom w:w="60" w:type="dxa"/>
              <w:right w:w="100" w:type="dxa"/>
            </w:tcMar>
            <w:vAlign w:val="center"/>
          </w:tcPr>
          <w:p w14:paraId="6126D17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tcMar>
              <w:top w:w="60" w:type="dxa"/>
              <w:left w:w="100" w:type="dxa"/>
              <w:bottom w:w="60" w:type="dxa"/>
              <w:right w:w="100" w:type="dxa"/>
            </w:tcMar>
            <w:vAlign w:val="center"/>
          </w:tcPr>
          <w:p w14:paraId="293FEEF9"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16B7E09E" w14:textId="77777777" w:rsidTr="00036983">
        <w:trPr>
          <w:jc w:val="center"/>
        </w:trPr>
        <w:tc>
          <w:tcPr>
            <w:tcW w:w="1900" w:type="pct"/>
            <w:shd w:val="clear" w:color="auto" w:fill="F2F2F2"/>
            <w:tcMar>
              <w:top w:w="60" w:type="dxa"/>
              <w:left w:w="100" w:type="dxa"/>
              <w:bottom w:w="60" w:type="dxa"/>
              <w:right w:w="100" w:type="dxa"/>
            </w:tcMar>
            <w:vAlign w:val="center"/>
          </w:tcPr>
          <w:p w14:paraId="12B5407B"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الأمن السيبراني المؤسسي</w:t>
            </w:r>
          </w:p>
        </w:tc>
        <w:tc>
          <w:tcPr>
            <w:tcW w:w="950" w:type="pct"/>
            <w:shd w:val="clear" w:color="auto" w:fill="F2F2F2"/>
            <w:tcMar>
              <w:top w:w="60" w:type="dxa"/>
              <w:left w:w="100" w:type="dxa"/>
              <w:bottom w:w="60" w:type="dxa"/>
              <w:right w:w="100" w:type="dxa"/>
            </w:tcMar>
            <w:vAlign w:val="center"/>
          </w:tcPr>
          <w:p w14:paraId="4E775D1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0.786</w:t>
            </w:r>
          </w:p>
        </w:tc>
        <w:tc>
          <w:tcPr>
            <w:tcW w:w="950" w:type="pct"/>
            <w:shd w:val="clear" w:color="auto" w:fill="F2F2F2"/>
            <w:tcMar>
              <w:top w:w="60" w:type="dxa"/>
              <w:left w:w="100" w:type="dxa"/>
              <w:bottom w:w="60" w:type="dxa"/>
              <w:right w:w="100" w:type="dxa"/>
            </w:tcMar>
            <w:vAlign w:val="center"/>
          </w:tcPr>
          <w:p w14:paraId="543A195C"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shd w:val="clear" w:color="auto" w:fill="F2F2F2"/>
            <w:tcMar>
              <w:top w:w="60" w:type="dxa"/>
              <w:left w:w="100" w:type="dxa"/>
              <w:bottom w:w="60" w:type="dxa"/>
              <w:right w:w="100" w:type="dxa"/>
            </w:tcMar>
            <w:vAlign w:val="center"/>
          </w:tcPr>
          <w:p w14:paraId="53EBC380"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20860DF6" w14:textId="77777777" w:rsidTr="00036983">
        <w:trPr>
          <w:jc w:val="center"/>
        </w:trPr>
        <w:tc>
          <w:tcPr>
            <w:tcW w:w="1900" w:type="pct"/>
            <w:tcMar>
              <w:top w:w="60" w:type="dxa"/>
              <w:left w:w="100" w:type="dxa"/>
              <w:bottom w:w="60" w:type="dxa"/>
              <w:right w:w="100" w:type="dxa"/>
            </w:tcMar>
            <w:vAlign w:val="center"/>
          </w:tcPr>
          <w:p w14:paraId="2730BC15"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التوافق مع رؤية 2030</w:t>
            </w:r>
          </w:p>
        </w:tc>
        <w:tc>
          <w:tcPr>
            <w:tcW w:w="950" w:type="pct"/>
            <w:tcMar>
              <w:top w:w="60" w:type="dxa"/>
              <w:left w:w="100" w:type="dxa"/>
              <w:bottom w:w="60" w:type="dxa"/>
              <w:right w:w="100" w:type="dxa"/>
            </w:tcMar>
            <w:vAlign w:val="center"/>
          </w:tcPr>
          <w:p w14:paraId="13AC2B5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0.750</w:t>
            </w:r>
          </w:p>
        </w:tc>
        <w:tc>
          <w:tcPr>
            <w:tcW w:w="950" w:type="pct"/>
            <w:tcMar>
              <w:top w:w="60" w:type="dxa"/>
              <w:left w:w="100" w:type="dxa"/>
              <w:bottom w:w="60" w:type="dxa"/>
              <w:right w:w="100" w:type="dxa"/>
            </w:tcMar>
            <w:vAlign w:val="center"/>
          </w:tcPr>
          <w:p w14:paraId="4F06E3B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tcMar>
              <w:top w:w="60" w:type="dxa"/>
              <w:left w:w="100" w:type="dxa"/>
              <w:bottom w:w="60" w:type="dxa"/>
              <w:right w:w="100" w:type="dxa"/>
            </w:tcMar>
            <w:vAlign w:val="center"/>
          </w:tcPr>
          <w:p w14:paraId="565BF2FF"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r w:rsidR="007608E1" w:rsidRPr="00B5019C" w14:paraId="1E1E63A0" w14:textId="77777777" w:rsidTr="00036983">
        <w:trPr>
          <w:jc w:val="center"/>
        </w:trPr>
        <w:tc>
          <w:tcPr>
            <w:tcW w:w="1900" w:type="pct"/>
            <w:shd w:val="clear" w:color="auto" w:fill="F2F2F2"/>
            <w:tcMar>
              <w:top w:w="60" w:type="dxa"/>
              <w:left w:w="100" w:type="dxa"/>
              <w:bottom w:w="60" w:type="dxa"/>
              <w:right w:w="100" w:type="dxa"/>
            </w:tcMar>
            <w:vAlign w:val="center"/>
          </w:tcPr>
          <w:p w14:paraId="51D24A5E"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lastRenderedPageBreak/>
              <w:t>تطبيق تقنية الترميز (إجمالي)</w:t>
            </w:r>
          </w:p>
        </w:tc>
        <w:tc>
          <w:tcPr>
            <w:tcW w:w="950" w:type="pct"/>
            <w:shd w:val="clear" w:color="auto" w:fill="F2F2F2"/>
            <w:tcMar>
              <w:top w:w="60" w:type="dxa"/>
              <w:left w:w="100" w:type="dxa"/>
              <w:bottom w:w="60" w:type="dxa"/>
              <w:right w:w="100" w:type="dxa"/>
            </w:tcMar>
            <w:vAlign w:val="center"/>
          </w:tcPr>
          <w:p w14:paraId="0B7BD43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0.691</w:t>
            </w:r>
          </w:p>
        </w:tc>
        <w:tc>
          <w:tcPr>
            <w:tcW w:w="950" w:type="pct"/>
            <w:shd w:val="clear" w:color="auto" w:fill="F2F2F2"/>
            <w:tcMar>
              <w:top w:w="60" w:type="dxa"/>
              <w:left w:w="100" w:type="dxa"/>
              <w:bottom w:w="60" w:type="dxa"/>
              <w:right w:w="100" w:type="dxa"/>
            </w:tcMar>
            <w:vAlign w:val="center"/>
          </w:tcPr>
          <w:p w14:paraId="2889E4B4"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0.001&gt;</w:t>
            </w:r>
          </w:p>
        </w:tc>
        <w:tc>
          <w:tcPr>
            <w:tcW w:w="1200" w:type="pct"/>
            <w:shd w:val="clear" w:color="auto" w:fill="F2F2F2"/>
            <w:tcMar>
              <w:top w:w="60" w:type="dxa"/>
              <w:left w:w="100" w:type="dxa"/>
              <w:bottom w:w="60" w:type="dxa"/>
              <w:right w:w="100" w:type="dxa"/>
            </w:tcMar>
            <w:vAlign w:val="center"/>
          </w:tcPr>
          <w:p w14:paraId="4D179E3D" w14:textId="77777777" w:rsidR="007608E1" w:rsidRPr="00B5019C" w:rsidRDefault="007608E1" w:rsidP="00E000FF">
            <w:pPr>
              <w:bidi/>
              <w:spacing w:after="0" w:line="260" w:lineRule="auto"/>
              <w:jc w:val="center"/>
              <w:rPr>
                <w:sz w:val="24"/>
                <w:szCs w:val="24"/>
              </w:rPr>
            </w:pPr>
            <w:r w:rsidRPr="00B5019C">
              <w:rPr>
                <w:rFonts w:ascii="Traditional Arabic" w:eastAsia="Simplified Arabic" w:hAnsi="Traditional Arabic" w:cs="Traditional Arabic"/>
                <w:color w:val="000000"/>
                <w:sz w:val="24"/>
                <w:szCs w:val="24"/>
                <w:rtl/>
              </w:rPr>
              <w:t>انحراف دال عن التوزيع الطبيعي</w:t>
            </w:r>
          </w:p>
        </w:tc>
      </w:tr>
    </w:tbl>
    <w:p w14:paraId="0EE0C652"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(4.20): نتائج اختبار شابيرو-ويلك للتوزيع الطبيعي لأبعاد الدراسة</w:t>
      </w:r>
    </w:p>
    <w:p w14:paraId="6024FF6B" w14:textId="77777777" w:rsidR="007608E1" w:rsidRPr="00B5019C" w:rsidRDefault="007608E1" w:rsidP="00E000FF">
      <w:pPr>
        <w:bidi/>
        <w:spacing w:after="0" w:line="360" w:lineRule="auto"/>
        <w:jc w:val="both"/>
        <w:rPr>
          <w:rFonts w:ascii="Simplified Arabic" w:eastAsia="Simplified Arabic" w:hAnsi="Simplified Arabic" w:cs="Simplified Arabic"/>
          <w:sz w:val="32"/>
          <w:szCs w:val="32"/>
          <w:rtl/>
        </w:rPr>
      </w:pPr>
      <w:r w:rsidRPr="00B5019C">
        <w:rPr>
          <w:rFonts w:ascii="Traditional Arabic" w:eastAsia="Simplified Arabic" w:hAnsi="Traditional Arabic" w:cs="Traditional Arabic"/>
          <w:sz w:val="28"/>
          <w:szCs w:val="28"/>
          <w:rtl/>
        </w:rPr>
        <w:t xml:space="preserve">يتضح من نتائج الجدول أن القيمة الاحتمالية لجميع أبعاد الدراسة جاءت أقل من (0.001)، وهو ما يشير إلى وجود انحراف دال إحصائياً عن التوزيع الطبيعي في بيانات جميع الأبعاد، ويعزى ذلك في جانب منه إلى طبيعة مقياس </w:t>
      </w:r>
      <w:proofErr w:type="spellStart"/>
      <w:r w:rsidRPr="00B5019C">
        <w:rPr>
          <w:rFonts w:ascii="Traditional Arabic" w:eastAsia="Simplified Arabic" w:hAnsi="Traditional Arabic" w:cs="Traditional Arabic"/>
          <w:sz w:val="28"/>
          <w:szCs w:val="28"/>
          <w:rtl/>
        </w:rPr>
        <w:t>ليكرت</w:t>
      </w:r>
      <w:proofErr w:type="spellEnd"/>
      <w:r w:rsidRPr="00B5019C">
        <w:rPr>
          <w:rFonts w:ascii="Traditional Arabic" w:eastAsia="Simplified Arabic" w:hAnsi="Traditional Arabic" w:cs="Traditional Arabic"/>
          <w:sz w:val="28"/>
          <w:szCs w:val="28"/>
          <w:rtl/>
        </w:rPr>
        <w:t xml:space="preserve"> الترتيبي (</w:t>
      </w:r>
      <w:proofErr w:type="spellStart"/>
      <w:r w:rsidRPr="00B5019C">
        <w:rPr>
          <w:rFonts w:ascii="Traditional Arabic" w:eastAsia="Simplified Arabic" w:hAnsi="Traditional Arabic" w:cs="Traditional Arabic"/>
          <w:sz w:val="28"/>
          <w:szCs w:val="28"/>
          <w:rtl/>
        </w:rPr>
        <w:t>Ordinal</w:t>
      </w:r>
      <w:proofErr w:type="spellEnd"/>
      <w:r w:rsidRPr="00B5019C">
        <w:rPr>
          <w:rFonts w:ascii="Traditional Arabic" w:eastAsia="Simplified Arabic" w:hAnsi="Traditional Arabic" w:cs="Traditional Arabic"/>
          <w:sz w:val="28"/>
          <w:szCs w:val="28"/>
          <w:rtl/>
        </w:rPr>
        <w:t xml:space="preserve">) المستخدم وإلى الالتواء السلبي الملحوظ في الاستجابات نحو فئتي "أوافق" و"أوافق بشدة". وعليه، فإن هذه النتيجة تُبرِّر إحصائياً الاعتماد على الأساليب </w:t>
      </w:r>
      <w:proofErr w:type="spellStart"/>
      <w:r w:rsidRPr="00B5019C">
        <w:rPr>
          <w:rFonts w:ascii="Traditional Arabic" w:eastAsia="Simplified Arabic" w:hAnsi="Traditional Arabic" w:cs="Traditional Arabic"/>
          <w:sz w:val="28"/>
          <w:szCs w:val="28"/>
          <w:rtl/>
        </w:rPr>
        <w:t>اللامعلمية</w:t>
      </w:r>
      <w:proofErr w:type="spellEnd"/>
      <w:r w:rsidRPr="00B5019C">
        <w:rPr>
          <w:rFonts w:ascii="Traditional Arabic" w:eastAsia="Simplified Arabic" w:hAnsi="Traditional Arabic" w:cs="Traditional Arabic"/>
          <w:sz w:val="28"/>
          <w:szCs w:val="28"/>
          <w:rtl/>
        </w:rPr>
        <w:t xml:space="preserve"> (اختبار </w:t>
      </w:r>
      <w:proofErr w:type="spellStart"/>
      <w:r w:rsidRPr="00B5019C">
        <w:rPr>
          <w:rFonts w:ascii="Traditional Arabic" w:eastAsia="Simplified Arabic" w:hAnsi="Traditional Arabic" w:cs="Traditional Arabic"/>
          <w:sz w:val="28"/>
          <w:szCs w:val="28"/>
          <w:rtl/>
        </w:rPr>
        <w:t>سبيرمان</w:t>
      </w:r>
      <w:proofErr w:type="spellEnd"/>
      <w:r w:rsidRPr="00B5019C">
        <w:rPr>
          <w:rFonts w:ascii="Traditional Arabic" w:eastAsia="Simplified Arabic" w:hAnsi="Traditional Arabic" w:cs="Traditional Arabic"/>
          <w:sz w:val="28"/>
          <w:szCs w:val="28"/>
          <w:rtl/>
        </w:rPr>
        <w:t xml:space="preserve"> للارتباط، ومان-ويتني U، </w:t>
      </w:r>
      <w:proofErr w:type="spellStart"/>
      <w:r w:rsidRPr="00B5019C">
        <w:rPr>
          <w:rFonts w:ascii="Traditional Arabic" w:eastAsia="Simplified Arabic" w:hAnsi="Traditional Arabic" w:cs="Traditional Arabic"/>
          <w:sz w:val="28"/>
          <w:szCs w:val="28"/>
          <w:rtl/>
        </w:rPr>
        <w:t>وكروسكال</w:t>
      </w:r>
      <w:proofErr w:type="spellEnd"/>
      <w:r w:rsidRPr="00B5019C">
        <w:rPr>
          <w:rFonts w:ascii="Traditional Arabic" w:eastAsia="Simplified Arabic" w:hAnsi="Traditional Arabic" w:cs="Traditional Arabic"/>
          <w:sz w:val="28"/>
          <w:szCs w:val="28"/>
          <w:rtl/>
        </w:rPr>
        <w:t xml:space="preserve">-واليس، والانحدار المنقّح) بدلاً من الأساليب </w:t>
      </w:r>
      <w:proofErr w:type="spellStart"/>
      <w:r w:rsidRPr="00B5019C">
        <w:rPr>
          <w:rFonts w:ascii="Traditional Arabic" w:eastAsia="Simplified Arabic" w:hAnsi="Traditional Arabic" w:cs="Traditional Arabic"/>
          <w:sz w:val="28"/>
          <w:szCs w:val="28"/>
          <w:rtl/>
        </w:rPr>
        <w:t>المعلمية</w:t>
      </w:r>
      <w:proofErr w:type="spellEnd"/>
      <w:r w:rsidRPr="00B5019C">
        <w:rPr>
          <w:rFonts w:ascii="Traditional Arabic" w:eastAsia="Simplified Arabic" w:hAnsi="Traditional Arabic" w:cs="Traditional Arabic"/>
          <w:sz w:val="28"/>
          <w:szCs w:val="28"/>
          <w:rtl/>
        </w:rPr>
        <w:t xml:space="preserve"> المناظرة، بما يتسق مع ما ورد في منهجية الفصل الثالث.</w:t>
      </w:r>
    </w:p>
    <w:p w14:paraId="3E809191" w14:textId="77777777" w:rsidR="008B1684" w:rsidRDefault="008B1684" w:rsidP="00E000FF">
      <w:pPr>
        <w:bidi/>
        <w:spacing w:after="0" w:line="360" w:lineRule="auto"/>
        <w:jc w:val="both"/>
        <w:rPr>
          <w:rFonts w:ascii="Simplified Arabic" w:eastAsia="Simplified Arabic" w:hAnsi="Simplified Arabic" w:cs="Simplified Arabic"/>
          <w:sz w:val="28"/>
          <w:szCs w:val="28"/>
          <w:rtl/>
        </w:rPr>
      </w:pPr>
    </w:p>
    <w:p w14:paraId="463F8FC5" w14:textId="77777777" w:rsidR="008B1684" w:rsidRDefault="008B1684" w:rsidP="00E000FF">
      <w:pPr>
        <w:bidi/>
        <w:spacing w:after="0" w:line="360" w:lineRule="auto"/>
        <w:jc w:val="both"/>
      </w:pPr>
    </w:p>
    <w:p w14:paraId="06679E97"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2. اختبار تجانس التباين (</w:t>
      </w:r>
      <w:proofErr w:type="spellStart"/>
      <w:r>
        <w:rPr>
          <w:rFonts w:ascii="Traditional Arabic" w:eastAsia="Simplified Arabic" w:hAnsi="Traditional Arabic" w:cs="Traditional Arabic"/>
          <w:b/>
          <w:bCs/>
          <w:sz w:val="28"/>
          <w:szCs w:val="28"/>
          <w:rtl/>
        </w:rPr>
        <w:t>Levene</w:t>
      </w:r>
      <w:proofErr w:type="spellEnd"/>
      <w:r>
        <w:rPr>
          <w:rFonts w:ascii="Traditional Arabic" w:eastAsia="Simplified Arabic" w:hAnsi="Traditional Arabic" w:cs="Traditional Arabic"/>
          <w:b/>
          <w:bCs/>
          <w:sz w:val="28"/>
          <w:szCs w:val="28"/>
          <w:rtl/>
        </w:rPr>
        <w:t>)</w:t>
      </w:r>
    </w:p>
    <w:p w14:paraId="503BBDDA"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طُبِّق اختبار ليفين (</w:t>
      </w:r>
      <w:proofErr w:type="spellStart"/>
      <w:r w:rsidRPr="0047534A">
        <w:rPr>
          <w:rFonts w:ascii="Traditional Arabic" w:eastAsia="Simplified Arabic" w:hAnsi="Traditional Arabic" w:cs="Traditional Arabic"/>
          <w:sz w:val="28"/>
          <w:szCs w:val="28"/>
          <w:rtl/>
        </w:rPr>
        <w:t>Levene's</w:t>
      </w:r>
      <w:proofErr w:type="spellEnd"/>
      <w:r w:rsidRPr="0047534A">
        <w:rPr>
          <w:rFonts w:ascii="Traditional Arabic" w:eastAsia="Simplified Arabic" w:hAnsi="Traditional Arabic" w:cs="Traditional Arabic"/>
          <w:sz w:val="28"/>
          <w:szCs w:val="28"/>
          <w:rtl/>
        </w:rPr>
        <w:t xml:space="preserve"> </w:t>
      </w:r>
      <w:proofErr w:type="spellStart"/>
      <w:r w:rsidRPr="0047534A">
        <w:rPr>
          <w:rFonts w:ascii="Traditional Arabic" w:eastAsia="Simplified Arabic" w:hAnsi="Traditional Arabic" w:cs="Traditional Arabic"/>
          <w:sz w:val="28"/>
          <w:szCs w:val="28"/>
          <w:rtl/>
        </w:rPr>
        <w:t>Test</w:t>
      </w:r>
      <w:proofErr w:type="spellEnd"/>
      <w:r w:rsidRPr="0047534A">
        <w:rPr>
          <w:rFonts w:ascii="Traditional Arabic" w:eastAsia="Simplified Arabic" w:hAnsi="Traditional Arabic" w:cs="Traditional Arabic"/>
          <w:sz w:val="28"/>
          <w:szCs w:val="28"/>
          <w:rtl/>
        </w:rPr>
        <w:t xml:space="preserve">) للتحقق من تجانس التباين في درجات محور تطبيق تقنية الترميز بين المجموعات الثلاث لنوع المؤسسة (بنوك، فنتك ودفع إلكتروني، مؤسسات أخرى). وقد بلغت قيمة إحصائي ليفين (80.921) بقيمة احتمالية (0.001&gt;)، وهي أقل من (0.05)، مما يشير إلى عدم تجانس التباين بين المجموعات الثلاث. وتُعدّ هذه النتيجة مبرراً إحصائياً إضافياً لاستبعاد تحليل التباين الأحادي (ANOVA) </w:t>
      </w:r>
      <w:proofErr w:type="spellStart"/>
      <w:r w:rsidRPr="0047534A">
        <w:rPr>
          <w:rFonts w:ascii="Traditional Arabic" w:eastAsia="Simplified Arabic" w:hAnsi="Traditional Arabic" w:cs="Traditional Arabic"/>
          <w:sz w:val="28"/>
          <w:szCs w:val="28"/>
          <w:rtl/>
        </w:rPr>
        <w:t>المعلمي</w:t>
      </w:r>
      <w:proofErr w:type="spellEnd"/>
      <w:r w:rsidRPr="0047534A">
        <w:rPr>
          <w:rFonts w:ascii="Traditional Arabic" w:eastAsia="Simplified Arabic" w:hAnsi="Traditional Arabic" w:cs="Traditional Arabic"/>
          <w:sz w:val="28"/>
          <w:szCs w:val="28"/>
          <w:rtl/>
        </w:rPr>
        <w:t xml:space="preserve"> واعتماد اختبار </w:t>
      </w:r>
      <w:proofErr w:type="spellStart"/>
      <w:r w:rsidRPr="0047534A">
        <w:rPr>
          <w:rFonts w:ascii="Traditional Arabic" w:eastAsia="Simplified Arabic" w:hAnsi="Traditional Arabic" w:cs="Traditional Arabic"/>
          <w:sz w:val="28"/>
          <w:szCs w:val="28"/>
          <w:rtl/>
        </w:rPr>
        <w:t>كروسكال</w:t>
      </w:r>
      <w:proofErr w:type="spellEnd"/>
      <w:r w:rsidRPr="0047534A">
        <w:rPr>
          <w:rFonts w:ascii="Traditional Arabic" w:eastAsia="Simplified Arabic" w:hAnsi="Traditional Arabic" w:cs="Traditional Arabic"/>
          <w:sz w:val="28"/>
          <w:szCs w:val="28"/>
          <w:rtl/>
        </w:rPr>
        <w:t xml:space="preserve">-واليس </w:t>
      </w:r>
      <w:proofErr w:type="spellStart"/>
      <w:r w:rsidRPr="0047534A">
        <w:rPr>
          <w:rFonts w:ascii="Traditional Arabic" w:eastAsia="Simplified Arabic" w:hAnsi="Traditional Arabic" w:cs="Traditional Arabic"/>
          <w:sz w:val="28"/>
          <w:szCs w:val="28"/>
          <w:rtl/>
        </w:rPr>
        <w:t>اللامعلمي</w:t>
      </w:r>
      <w:proofErr w:type="spellEnd"/>
      <w:r w:rsidRPr="0047534A">
        <w:rPr>
          <w:rFonts w:ascii="Traditional Arabic" w:eastAsia="Simplified Arabic" w:hAnsi="Traditional Arabic" w:cs="Traditional Arabic"/>
          <w:sz w:val="28"/>
          <w:szCs w:val="28"/>
          <w:rtl/>
        </w:rPr>
        <w:t xml:space="preserve"> بديلاً عنه عند اختبار الفرضية الخامسة.</w:t>
      </w:r>
    </w:p>
    <w:tbl>
      <w:tblPr>
        <w:bidiVisual/>
        <w:tblW w:w="8298"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1719"/>
        <w:gridCol w:w="2371"/>
        <w:gridCol w:w="1304"/>
        <w:gridCol w:w="1304"/>
        <w:gridCol w:w="1600"/>
      </w:tblGrid>
      <w:tr w:rsidR="005D691F" w:rsidRPr="0047534A" w14:paraId="4A97A3FB" w14:textId="77777777" w:rsidTr="0047534A">
        <w:tc>
          <w:tcPr>
            <w:tcW w:w="1719" w:type="dxa"/>
            <w:shd w:val="clear" w:color="auto" w:fill="DCE9F5"/>
            <w:vAlign w:val="center"/>
          </w:tcPr>
          <w:p w14:paraId="2CFC29B4"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المتغير المقارَن</w:t>
            </w:r>
          </w:p>
        </w:tc>
        <w:tc>
          <w:tcPr>
            <w:tcW w:w="2371" w:type="dxa"/>
            <w:shd w:val="clear" w:color="auto" w:fill="DCE9F5"/>
            <w:vAlign w:val="center"/>
          </w:tcPr>
          <w:p w14:paraId="60D8ABDD"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مجموعات المقارنة</w:t>
            </w:r>
          </w:p>
        </w:tc>
        <w:tc>
          <w:tcPr>
            <w:tcW w:w="1304" w:type="dxa"/>
            <w:shd w:val="clear" w:color="auto" w:fill="DCE9F5"/>
            <w:vAlign w:val="center"/>
          </w:tcPr>
          <w:p w14:paraId="73463671"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قيمة إحصائي ليفين</w:t>
            </w:r>
          </w:p>
        </w:tc>
        <w:tc>
          <w:tcPr>
            <w:tcW w:w="1304" w:type="dxa"/>
            <w:shd w:val="clear" w:color="auto" w:fill="DCE9F5"/>
            <w:vAlign w:val="center"/>
          </w:tcPr>
          <w:p w14:paraId="67A3823D"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القيمة الاحتمالية (p)</w:t>
            </w:r>
          </w:p>
        </w:tc>
        <w:tc>
          <w:tcPr>
            <w:tcW w:w="1600" w:type="dxa"/>
            <w:shd w:val="clear" w:color="auto" w:fill="DCE9F5"/>
            <w:vAlign w:val="center"/>
          </w:tcPr>
          <w:p w14:paraId="06C83B4D"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b/>
                <w:bCs/>
                <w:sz w:val="24"/>
                <w:szCs w:val="24"/>
                <w:rtl/>
              </w:rPr>
              <w:t>القرار</w:t>
            </w:r>
          </w:p>
        </w:tc>
      </w:tr>
      <w:tr w:rsidR="005D691F" w:rsidRPr="0047534A" w14:paraId="18567E06" w14:textId="77777777" w:rsidTr="0047534A">
        <w:tc>
          <w:tcPr>
            <w:tcW w:w="1719" w:type="dxa"/>
            <w:vAlign w:val="center"/>
          </w:tcPr>
          <w:p w14:paraId="367AB810"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تطبيق تقنية الترميز</w:t>
            </w:r>
          </w:p>
        </w:tc>
        <w:tc>
          <w:tcPr>
            <w:tcW w:w="2371" w:type="dxa"/>
            <w:vAlign w:val="center"/>
          </w:tcPr>
          <w:p w14:paraId="1CF41C86"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بنوك / فنتك ودفع إلكتروني / مؤسسات أخرى</w:t>
            </w:r>
          </w:p>
        </w:tc>
        <w:tc>
          <w:tcPr>
            <w:tcW w:w="1304" w:type="dxa"/>
            <w:vAlign w:val="center"/>
          </w:tcPr>
          <w:p w14:paraId="5BF70AEF"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80.921</w:t>
            </w:r>
          </w:p>
        </w:tc>
        <w:tc>
          <w:tcPr>
            <w:tcW w:w="1304" w:type="dxa"/>
            <w:vAlign w:val="center"/>
          </w:tcPr>
          <w:p w14:paraId="2F6B4CE4"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&lt; 0.001</w:t>
            </w:r>
          </w:p>
        </w:tc>
        <w:tc>
          <w:tcPr>
            <w:tcW w:w="1600" w:type="dxa"/>
            <w:vAlign w:val="center"/>
          </w:tcPr>
          <w:p w14:paraId="4271870B" w14:textId="77777777" w:rsidR="005D691F" w:rsidRPr="0047534A" w:rsidRDefault="00F4227D" w:rsidP="0047534A">
            <w:pPr>
              <w:bidi/>
              <w:spacing w:after="0" w:line="260" w:lineRule="auto"/>
              <w:jc w:val="center"/>
              <w:rPr>
                <w:sz w:val="24"/>
                <w:szCs w:val="24"/>
              </w:rPr>
            </w:pPr>
            <w:r w:rsidRPr="0047534A">
              <w:rPr>
                <w:rFonts w:ascii="Traditional Arabic" w:hAnsi="Traditional Arabic" w:cs="Traditional Arabic"/>
                <w:sz w:val="24"/>
                <w:szCs w:val="24"/>
                <w:rtl/>
              </w:rPr>
              <w:t>عدم تجانس التباين</w:t>
            </w:r>
          </w:p>
        </w:tc>
      </w:tr>
    </w:tbl>
    <w:p w14:paraId="492D7B87" w14:textId="77777777" w:rsidR="00B35152" w:rsidRDefault="00B35152" w:rsidP="00E000FF">
      <w:pPr>
        <w:pStyle w:val="TableCaption"/>
        <w:bidi/>
        <w:spacing w:after="0" w:line="300" w:lineRule="auto"/>
        <w:jc w:val="both"/>
        <w:rPr>
          <w:rFonts w:ascii="Simplified Arabic" w:hAnsi="Simplified Arabic" w:cs="Simplified Arabic"/>
          <w:sz w:val="28"/>
          <w:szCs w:val="28"/>
          <w:rtl/>
        </w:rPr>
      </w:pPr>
      <w:r>
        <w:rPr>
          <w:rFonts w:ascii="Traditional Arabic" w:hAnsi="Traditional Arabic" w:cs="Traditional Arabic"/>
          <w:b/>
          <w:bCs/>
          <w:sz w:val="24"/>
          <w:szCs w:val="24"/>
          <w:rtl/>
        </w:rPr>
        <w:t>جدول (4.20-أ): نتائج اختبار ليفين لتجانس التباين بين مجموعات نوع المؤسسة</w:t>
      </w:r>
    </w:p>
    <w:p w14:paraId="70E8D197"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lastRenderedPageBreak/>
        <w:t xml:space="preserve">يتضح من الجدول أن القيمة الاحتمالية لاختبار ليفين جاءت أقل من (0.05)، وهو ما يدل على عدم تجانس التباين بين المجموعات الثلاث. وتُعدّ هذه النتيجة مبرراً إحصائياً لاستبعاد تحليل التباين الأحادي </w:t>
      </w:r>
      <w:proofErr w:type="spellStart"/>
      <w:r>
        <w:rPr>
          <w:rFonts w:ascii="Traditional Arabic" w:hAnsi="Traditional Arabic" w:cs="Traditional Arabic"/>
          <w:b/>
          <w:bCs/>
          <w:color w:val="auto"/>
          <w:sz w:val="28"/>
          <w:szCs w:val="28"/>
          <w:rtl/>
        </w:rPr>
        <w:t>المعلمي</w:t>
      </w:r>
      <w:proofErr w:type="spellEnd"/>
      <w:r>
        <w:rPr>
          <w:rFonts w:ascii="Traditional Arabic" w:hAnsi="Traditional Arabic" w:cs="Traditional Arabic"/>
          <w:b/>
          <w:bCs/>
          <w:color w:val="auto"/>
          <w:sz w:val="28"/>
          <w:szCs w:val="28"/>
          <w:rtl/>
        </w:rPr>
        <w:t xml:space="preserve"> واعتماد اختبار </w:t>
      </w:r>
      <w:proofErr w:type="spellStart"/>
      <w:r>
        <w:rPr>
          <w:rFonts w:ascii="Traditional Arabic" w:hAnsi="Traditional Arabic" w:cs="Traditional Arabic"/>
          <w:b/>
          <w:bCs/>
          <w:color w:val="auto"/>
          <w:sz w:val="28"/>
          <w:szCs w:val="28"/>
          <w:rtl/>
        </w:rPr>
        <w:t>كروسكال</w:t>
      </w:r>
      <w:proofErr w:type="spellEnd"/>
      <w:r>
        <w:rPr>
          <w:rFonts w:ascii="Traditional Arabic" w:hAnsi="Traditional Arabic" w:cs="Traditional Arabic"/>
          <w:b/>
          <w:bCs/>
          <w:color w:val="auto"/>
          <w:sz w:val="28"/>
          <w:szCs w:val="28"/>
          <w:rtl/>
        </w:rPr>
        <w:t xml:space="preserve">-واليس </w:t>
      </w:r>
      <w:proofErr w:type="spellStart"/>
      <w:r>
        <w:rPr>
          <w:rFonts w:ascii="Traditional Arabic" w:hAnsi="Traditional Arabic" w:cs="Traditional Arabic"/>
          <w:b/>
          <w:bCs/>
          <w:color w:val="auto"/>
          <w:sz w:val="28"/>
          <w:szCs w:val="28"/>
          <w:rtl/>
        </w:rPr>
        <w:t>اللامعلمي</w:t>
      </w:r>
      <w:proofErr w:type="spellEnd"/>
      <w:r>
        <w:rPr>
          <w:rFonts w:ascii="Traditional Arabic" w:hAnsi="Traditional Arabic" w:cs="Traditional Arabic"/>
          <w:b/>
          <w:bCs/>
          <w:color w:val="auto"/>
          <w:sz w:val="28"/>
          <w:szCs w:val="28"/>
          <w:rtl/>
        </w:rPr>
        <w:t xml:space="preserve"> بديلاً عنه.</w:t>
      </w:r>
    </w:p>
    <w:p w14:paraId="1EEF3A7A"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3. اختبار الارتباط الخطي (الرتبي)</w:t>
      </w:r>
    </w:p>
    <w:p w14:paraId="5AA30B79"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نظراً لاعتماد الدراسة أسلوب الانحدار المنقّح (</w:t>
      </w:r>
      <w:proofErr w:type="spellStart"/>
      <w:r w:rsidRPr="0047534A">
        <w:rPr>
          <w:rFonts w:ascii="Traditional Arabic" w:eastAsia="Simplified Arabic" w:hAnsi="Traditional Arabic" w:cs="Traditional Arabic"/>
          <w:sz w:val="28"/>
          <w:szCs w:val="28"/>
          <w:rtl/>
        </w:rPr>
        <w:t>Robust</w:t>
      </w:r>
      <w:proofErr w:type="spellEnd"/>
      <w:r w:rsidRPr="0047534A">
        <w:rPr>
          <w:rFonts w:ascii="Traditional Arabic" w:eastAsia="Simplified Arabic" w:hAnsi="Traditional Arabic" w:cs="Traditional Arabic"/>
          <w:sz w:val="28"/>
          <w:szCs w:val="28"/>
          <w:rtl/>
        </w:rPr>
        <w:t xml:space="preserve"> </w:t>
      </w:r>
      <w:proofErr w:type="spellStart"/>
      <w:r w:rsidRPr="0047534A">
        <w:rPr>
          <w:rFonts w:ascii="Traditional Arabic" w:eastAsia="Simplified Arabic" w:hAnsi="Traditional Arabic" w:cs="Traditional Arabic"/>
          <w:sz w:val="28"/>
          <w:szCs w:val="28"/>
          <w:rtl/>
        </w:rPr>
        <w:t>Regression</w:t>
      </w:r>
      <w:proofErr w:type="spellEnd"/>
      <w:r w:rsidRPr="0047534A">
        <w:rPr>
          <w:rFonts w:ascii="Traditional Arabic" w:eastAsia="Simplified Arabic" w:hAnsi="Traditional Arabic" w:cs="Traditional Arabic"/>
          <w:sz w:val="28"/>
          <w:szCs w:val="28"/>
          <w:rtl/>
        </w:rPr>
        <w:t xml:space="preserve">) لاختبار الفرضية الرابعة، جرى التحقق من وجود علاقة ارتباطية </w:t>
      </w:r>
      <w:proofErr w:type="spellStart"/>
      <w:r w:rsidRPr="0047534A">
        <w:rPr>
          <w:rFonts w:ascii="Traditional Arabic" w:eastAsia="Simplified Arabic" w:hAnsi="Traditional Arabic" w:cs="Traditional Arabic"/>
          <w:sz w:val="28"/>
          <w:szCs w:val="28"/>
          <w:rtl/>
        </w:rPr>
        <w:t>رتبية</w:t>
      </w:r>
      <w:proofErr w:type="spellEnd"/>
      <w:r w:rsidRPr="0047534A">
        <w:rPr>
          <w:rFonts w:ascii="Traditional Arabic" w:eastAsia="Simplified Arabic" w:hAnsi="Traditional Arabic" w:cs="Traditional Arabic"/>
          <w:sz w:val="28"/>
          <w:szCs w:val="28"/>
          <w:rtl/>
        </w:rPr>
        <w:t xml:space="preserve"> دالة بين محور تطبيق تقنية الترميز والمتغيرين التابعين (كفاءة العمليات المالية والأمن السيبراني المؤسسي) كشرط أساسي لملاءمة نموذج الانحدار.</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485"/>
        <w:gridCol w:w="1659"/>
        <w:gridCol w:w="1576"/>
        <w:gridCol w:w="1576"/>
      </w:tblGrid>
      <w:tr w:rsidR="007608E1" w14:paraId="6CB770C3" w14:textId="77777777" w:rsidTr="0047534A">
        <w:trPr>
          <w:tblHeader/>
        </w:trPr>
        <w:tc>
          <w:tcPr>
            <w:tcW w:w="2100" w:type="pct"/>
            <w:shd w:val="clear" w:color="auto" w:fill="2E5395"/>
            <w:tcMar>
              <w:top w:w="60" w:type="dxa"/>
              <w:left w:w="100" w:type="dxa"/>
              <w:bottom w:w="60" w:type="dxa"/>
              <w:right w:w="100" w:type="dxa"/>
            </w:tcMar>
            <w:vAlign w:val="center"/>
          </w:tcPr>
          <w:p w14:paraId="3BFC00CA"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العلاقة</w:t>
            </w:r>
          </w:p>
        </w:tc>
        <w:tc>
          <w:tcPr>
            <w:tcW w:w="1000" w:type="pct"/>
            <w:shd w:val="clear" w:color="auto" w:fill="2E5395"/>
            <w:tcMar>
              <w:top w:w="60" w:type="dxa"/>
              <w:left w:w="100" w:type="dxa"/>
              <w:bottom w:w="60" w:type="dxa"/>
              <w:right w:w="100" w:type="dxa"/>
            </w:tcMar>
            <w:vAlign w:val="center"/>
          </w:tcPr>
          <w:p w14:paraId="4DB72B6F"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 xml:space="preserve">معامل ارتباط </w:t>
            </w:r>
            <w:proofErr w:type="spellStart"/>
            <w:r>
              <w:rPr>
                <w:rFonts w:ascii="Traditional Arabic" w:eastAsia="Simplified Arabic" w:hAnsi="Traditional Arabic" w:cs="Traditional Arabic"/>
                <w:b/>
                <w:bCs/>
                <w:color w:val="FFFFFF"/>
                <w:rtl/>
              </w:rPr>
              <w:t>سبيرمان</w:t>
            </w:r>
            <w:proofErr w:type="spellEnd"/>
            <w:r>
              <w:rPr>
                <w:rFonts w:ascii="Traditional Arabic" w:eastAsia="Simplified Arabic" w:hAnsi="Traditional Arabic" w:cs="Traditional Arabic"/>
                <w:b/>
                <w:bCs/>
                <w:color w:val="FFFFFF"/>
                <w:rtl/>
              </w:rPr>
              <w:t xml:space="preserve"> (r)</w:t>
            </w:r>
          </w:p>
        </w:tc>
        <w:tc>
          <w:tcPr>
            <w:tcW w:w="950" w:type="pct"/>
            <w:shd w:val="clear" w:color="auto" w:fill="2E5395"/>
            <w:tcMar>
              <w:top w:w="60" w:type="dxa"/>
              <w:left w:w="100" w:type="dxa"/>
              <w:bottom w:w="60" w:type="dxa"/>
              <w:right w:w="100" w:type="dxa"/>
            </w:tcMar>
            <w:vAlign w:val="center"/>
          </w:tcPr>
          <w:p w14:paraId="070A2A4D"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القيمة الاحتمالية (p)</w:t>
            </w:r>
          </w:p>
        </w:tc>
        <w:tc>
          <w:tcPr>
            <w:tcW w:w="950" w:type="pct"/>
            <w:shd w:val="clear" w:color="auto" w:fill="2E5395"/>
            <w:tcMar>
              <w:top w:w="60" w:type="dxa"/>
              <w:left w:w="100" w:type="dxa"/>
              <w:bottom w:w="60" w:type="dxa"/>
              <w:right w:w="100" w:type="dxa"/>
            </w:tcMar>
            <w:vAlign w:val="center"/>
          </w:tcPr>
          <w:p w14:paraId="2C0591CF" w14:textId="77777777" w:rsidR="007608E1" w:rsidRDefault="007608E1" w:rsidP="0047534A">
            <w:pPr>
              <w:bidi/>
              <w:spacing w:after="0" w:line="260" w:lineRule="auto"/>
              <w:jc w:val="center"/>
            </w:pPr>
            <w:r>
              <w:rPr>
                <w:rFonts w:ascii="Traditional Arabic" w:eastAsia="Simplified Arabic" w:hAnsi="Traditional Arabic" w:cs="Traditional Arabic"/>
                <w:b/>
                <w:bCs/>
                <w:color w:val="FFFFFF"/>
                <w:rtl/>
              </w:rPr>
              <w:t>القرار</w:t>
            </w:r>
          </w:p>
        </w:tc>
      </w:tr>
      <w:tr w:rsidR="007608E1" w14:paraId="1C1D70BA" w14:textId="77777777" w:rsidTr="0047534A">
        <w:tc>
          <w:tcPr>
            <w:tcW w:w="2100" w:type="pct"/>
            <w:tcMar>
              <w:top w:w="60" w:type="dxa"/>
              <w:left w:w="100" w:type="dxa"/>
              <w:bottom w:w="60" w:type="dxa"/>
              <w:right w:w="100" w:type="dxa"/>
            </w:tcMar>
            <w:vAlign w:val="center"/>
          </w:tcPr>
          <w:p w14:paraId="546DDC61"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تطبيق تقنية الترميز × الكفاءة التشغيلية المالية</w:t>
            </w:r>
          </w:p>
        </w:tc>
        <w:tc>
          <w:tcPr>
            <w:tcW w:w="1000" w:type="pct"/>
            <w:tcMar>
              <w:top w:w="60" w:type="dxa"/>
              <w:left w:w="100" w:type="dxa"/>
              <w:bottom w:w="60" w:type="dxa"/>
              <w:right w:w="100" w:type="dxa"/>
            </w:tcMar>
            <w:vAlign w:val="center"/>
          </w:tcPr>
          <w:p w14:paraId="15AC52AD"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0.625</w:t>
            </w:r>
          </w:p>
        </w:tc>
        <w:tc>
          <w:tcPr>
            <w:tcW w:w="950" w:type="pct"/>
            <w:tcMar>
              <w:top w:w="60" w:type="dxa"/>
              <w:left w:w="100" w:type="dxa"/>
              <w:bottom w:w="60" w:type="dxa"/>
              <w:right w:w="100" w:type="dxa"/>
            </w:tcMar>
            <w:vAlign w:val="center"/>
          </w:tcPr>
          <w:p w14:paraId="0EEC7DBC"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0.001&gt;</w:t>
            </w:r>
          </w:p>
        </w:tc>
        <w:tc>
          <w:tcPr>
            <w:tcW w:w="950" w:type="pct"/>
            <w:tcMar>
              <w:top w:w="60" w:type="dxa"/>
              <w:left w:w="100" w:type="dxa"/>
              <w:bottom w:w="60" w:type="dxa"/>
              <w:right w:w="100" w:type="dxa"/>
            </w:tcMar>
            <w:vAlign w:val="center"/>
          </w:tcPr>
          <w:p w14:paraId="21A04255"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علاقة طردية دالة</w:t>
            </w:r>
          </w:p>
        </w:tc>
      </w:tr>
      <w:tr w:rsidR="007608E1" w14:paraId="6D80764C" w14:textId="77777777" w:rsidTr="0047534A">
        <w:tc>
          <w:tcPr>
            <w:tcW w:w="2100" w:type="pct"/>
            <w:shd w:val="clear" w:color="auto" w:fill="F2F2F2"/>
            <w:tcMar>
              <w:top w:w="60" w:type="dxa"/>
              <w:left w:w="100" w:type="dxa"/>
              <w:bottom w:w="60" w:type="dxa"/>
              <w:right w:w="100" w:type="dxa"/>
            </w:tcMar>
            <w:vAlign w:val="center"/>
          </w:tcPr>
          <w:p w14:paraId="307A4BBD"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تطبيق تقنية الترميز × الأمن السيبراني المؤسسي</w:t>
            </w:r>
          </w:p>
        </w:tc>
        <w:tc>
          <w:tcPr>
            <w:tcW w:w="1000" w:type="pct"/>
            <w:shd w:val="clear" w:color="auto" w:fill="F2F2F2"/>
            <w:tcMar>
              <w:top w:w="60" w:type="dxa"/>
              <w:left w:w="100" w:type="dxa"/>
              <w:bottom w:w="60" w:type="dxa"/>
              <w:right w:w="100" w:type="dxa"/>
            </w:tcMar>
            <w:vAlign w:val="center"/>
          </w:tcPr>
          <w:p w14:paraId="5EB86607"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0.641</w:t>
            </w:r>
          </w:p>
        </w:tc>
        <w:tc>
          <w:tcPr>
            <w:tcW w:w="950" w:type="pct"/>
            <w:shd w:val="clear" w:color="auto" w:fill="F2F2F2"/>
            <w:tcMar>
              <w:top w:w="60" w:type="dxa"/>
              <w:left w:w="100" w:type="dxa"/>
              <w:bottom w:w="60" w:type="dxa"/>
              <w:right w:w="100" w:type="dxa"/>
            </w:tcMar>
            <w:vAlign w:val="center"/>
          </w:tcPr>
          <w:p w14:paraId="632F089C"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0.001&gt;</w:t>
            </w:r>
          </w:p>
        </w:tc>
        <w:tc>
          <w:tcPr>
            <w:tcW w:w="950" w:type="pct"/>
            <w:shd w:val="clear" w:color="auto" w:fill="F2F2F2"/>
            <w:tcMar>
              <w:top w:w="60" w:type="dxa"/>
              <w:left w:w="100" w:type="dxa"/>
              <w:bottom w:w="60" w:type="dxa"/>
              <w:right w:w="100" w:type="dxa"/>
            </w:tcMar>
            <w:vAlign w:val="center"/>
          </w:tcPr>
          <w:p w14:paraId="1E6A425C" w14:textId="77777777" w:rsidR="007608E1" w:rsidRDefault="007608E1" w:rsidP="0047534A">
            <w:pPr>
              <w:bidi/>
              <w:spacing w:after="0" w:line="260" w:lineRule="auto"/>
              <w:jc w:val="center"/>
            </w:pPr>
            <w:r>
              <w:rPr>
                <w:rFonts w:ascii="Traditional Arabic" w:eastAsia="Simplified Arabic" w:hAnsi="Traditional Arabic" w:cs="Traditional Arabic"/>
                <w:color w:val="000000"/>
                <w:rtl/>
              </w:rPr>
              <w:t>علاقة طردية دالة</w:t>
            </w:r>
          </w:p>
        </w:tc>
      </w:tr>
    </w:tbl>
    <w:p w14:paraId="74472842"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(4.21): نتائج اختبار الارتباط الرتبي كشرط لملاءمة نموذج الانحدار المنقّح</w:t>
      </w:r>
    </w:p>
    <w:p w14:paraId="68E0667B"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تشير النتائج إلى وجود علاقة ارتباطية طردية دالة إحصائياً بين محور تطبيق تقنية الترميز وكل من الكفاءة التشغيلية المالية والأمن السيبراني المؤسسي، مما يؤكد تحقق شرط العلاقة الاتجاهية اللازم لبناء نموذجي الانحدار المنقّح الواردين في الجزء السادس من هذا الفصل.</w:t>
      </w:r>
    </w:p>
    <w:p w14:paraId="03C87C4A" w14:textId="77777777" w:rsidR="007608E1" w:rsidRDefault="007608E1" w:rsidP="00E000FF">
      <w:pPr>
        <w:bidi/>
        <w:spacing w:after="0" w:line="360" w:lineRule="auto"/>
        <w:jc w:val="both"/>
      </w:pPr>
      <w:r w:rsidRPr="0047534A">
        <w:rPr>
          <w:rFonts w:ascii="Traditional Arabic" w:eastAsia="Simplified Arabic" w:hAnsi="Traditional Arabic" w:cs="Traditional Arabic"/>
          <w:sz w:val="28"/>
          <w:szCs w:val="28"/>
          <w:rtl/>
        </w:rPr>
        <w:t xml:space="preserve">وبناءً على ما تقدم من نتائج اختبارات التوزيع الطبيعي وتجانس التباين، تقرر اعتماد الأساليب الإحصائية </w:t>
      </w:r>
      <w:proofErr w:type="spellStart"/>
      <w:r w:rsidRPr="0047534A">
        <w:rPr>
          <w:rFonts w:ascii="Traditional Arabic" w:eastAsia="Simplified Arabic" w:hAnsi="Traditional Arabic" w:cs="Traditional Arabic"/>
          <w:sz w:val="28"/>
          <w:szCs w:val="28"/>
          <w:rtl/>
        </w:rPr>
        <w:t>اللامعلمية</w:t>
      </w:r>
      <w:proofErr w:type="spellEnd"/>
      <w:r w:rsidRPr="0047534A">
        <w:rPr>
          <w:rFonts w:ascii="Traditional Arabic" w:eastAsia="Simplified Arabic" w:hAnsi="Traditional Arabic" w:cs="Traditional Arabic"/>
          <w:sz w:val="28"/>
          <w:szCs w:val="28"/>
          <w:rtl/>
        </w:rPr>
        <w:t xml:space="preserve"> التالية في اختبار فرضيات الدراسة: معامل ارتباط </w:t>
      </w:r>
      <w:proofErr w:type="spellStart"/>
      <w:r w:rsidRPr="0047534A">
        <w:rPr>
          <w:rFonts w:ascii="Traditional Arabic" w:eastAsia="Simplified Arabic" w:hAnsi="Traditional Arabic" w:cs="Traditional Arabic"/>
          <w:sz w:val="28"/>
          <w:szCs w:val="28"/>
          <w:rtl/>
        </w:rPr>
        <w:t>سبيرمان</w:t>
      </w:r>
      <w:proofErr w:type="spellEnd"/>
      <w:r w:rsidRPr="0047534A">
        <w:rPr>
          <w:rFonts w:ascii="Traditional Arabic" w:eastAsia="Simplified Arabic" w:hAnsi="Traditional Arabic" w:cs="Traditional Arabic"/>
          <w:sz w:val="28"/>
          <w:szCs w:val="28"/>
          <w:rtl/>
        </w:rPr>
        <w:t xml:space="preserve"> للرتب، واختبار مان-ويتني U، واختبار </w:t>
      </w:r>
      <w:proofErr w:type="spellStart"/>
      <w:r w:rsidRPr="0047534A">
        <w:rPr>
          <w:rFonts w:ascii="Traditional Arabic" w:eastAsia="Simplified Arabic" w:hAnsi="Traditional Arabic" w:cs="Traditional Arabic"/>
          <w:sz w:val="28"/>
          <w:szCs w:val="28"/>
          <w:rtl/>
        </w:rPr>
        <w:t>كروسكال</w:t>
      </w:r>
      <w:proofErr w:type="spellEnd"/>
      <w:r w:rsidRPr="0047534A">
        <w:rPr>
          <w:rFonts w:ascii="Traditional Arabic" w:eastAsia="Simplified Arabic" w:hAnsi="Traditional Arabic" w:cs="Traditional Arabic"/>
          <w:sz w:val="28"/>
          <w:szCs w:val="28"/>
          <w:rtl/>
        </w:rPr>
        <w:t>-واليس، والانحدار المنقّح (</w:t>
      </w:r>
      <w:proofErr w:type="spellStart"/>
      <w:r w:rsidRPr="0047534A">
        <w:rPr>
          <w:rFonts w:ascii="Traditional Arabic" w:eastAsia="Simplified Arabic" w:hAnsi="Traditional Arabic" w:cs="Traditional Arabic"/>
          <w:sz w:val="28"/>
          <w:szCs w:val="28"/>
          <w:rtl/>
        </w:rPr>
        <w:t>Robust</w:t>
      </w:r>
      <w:proofErr w:type="spellEnd"/>
      <w:r w:rsidRPr="0047534A">
        <w:rPr>
          <w:rFonts w:ascii="Traditional Arabic" w:eastAsia="Simplified Arabic" w:hAnsi="Traditional Arabic" w:cs="Traditional Arabic"/>
          <w:sz w:val="28"/>
          <w:szCs w:val="28"/>
          <w:rtl/>
        </w:rPr>
        <w:t xml:space="preserve"> </w:t>
      </w:r>
      <w:proofErr w:type="spellStart"/>
      <w:r w:rsidRPr="0047534A">
        <w:rPr>
          <w:rFonts w:ascii="Traditional Arabic" w:eastAsia="Simplified Arabic" w:hAnsi="Traditional Arabic" w:cs="Traditional Arabic"/>
          <w:sz w:val="28"/>
          <w:szCs w:val="28"/>
          <w:rtl/>
        </w:rPr>
        <w:t>Regression</w:t>
      </w:r>
      <w:proofErr w:type="spellEnd"/>
      <w:r w:rsidRPr="0047534A">
        <w:rPr>
          <w:rFonts w:ascii="Traditional Arabic" w:eastAsia="Simplified Arabic" w:hAnsi="Traditional Arabic" w:cs="Traditional Arabic"/>
          <w:sz w:val="28"/>
          <w:szCs w:val="28"/>
          <w:rtl/>
        </w:rPr>
        <w:t>) كبديل مقاوم للانحراف عن التوزيع الطبيعي وتبايناته غير المتجانسة.</w:t>
      </w:r>
    </w:p>
    <w:p w14:paraId="3D54E32C"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u w:val="single"/>
          <w:rtl/>
        </w:rPr>
        <w:t>خامساً: اختبار فرضيات الدراسة</w:t>
      </w:r>
    </w:p>
    <w:p w14:paraId="7C9BE2FA" w14:textId="77777777" w:rsidR="007608E1" w:rsidRPr="0047534A" w:rsidRDefault="007608E1" w:rsidP="00E000FF">
      <w:pPr>
        <w:bidi/>
        <w:spacing w:after="0" w:line="360" w:lineRule="auto"/>
        <w:jc w:val="both"/>
        <w:rPr>
          <w:sz w:val="26"/>
          <w:szCs w:val="26"/>
        </w:rPr>
      </w:pPr>
      <w:r w:rsidRPr="0047534A">
        <w:rPr>
          <w:rFonts w:ascii="Traditional Arabic" w:eastAsia="Simplified Arabic" w:hAnsi="Traditional Arabic" w:cs="Traditional Arabic"/>
          <w:sz w:val="28"/>
          <w:szCs w:val="28"/>
          <w:rtl/>
        </w:rPr>
        <w:t>يتضمن هذا الجزء عرض نتائج اختبار فروض الدراسة الرئيسة الثلاثة وفروعها الستة وفق ترتيبها الوارد في الفصل الثالث، مع تحديد الاختبار الإحصائي المستخدم لكل فرض، ومستوى الدلالة المعتمد (0.05)، والقرار الإحصائي المتخذ، إلى جانب تفسير النتائج تفسيراً إحصائياً دون التوسع في المناقشة النظرية التي يُفرد لها الفصل الخامس.</w:t>
      </w:r>
    </w:p>
    <w:p w14:paraId="035F826A" w14:textId="77777777" w:rsidR="007608E1" w:rsidRDefault="007608E1" w:rsidP="00E000FF">
      <w:pPr>
        <w:bidi/>
        <w:spacing w:after="0" w:line="360" w:lineRule="auto"/>
        <w:jc w:val="both"/>
      </w:pPr>
      <w:r>
        <w:rPr>
          <w:rFonts w:ascii="Traditional Arabic" w:eastAsia="Simplified Arabic" w:hAnsi="Traditional Arabic" w:cs="Traditional Arabic"/>
          <w:b/>
          <w:bCs/>
          <w:sz w:val="24"/>
          <w:szCs w:val="24"/>
          <w:rtl/>
        </w:rPr>
        <w:lastRenderedPageBreak/>
        <w:t>الفرض الأول (H1): يوجد أثر ذو دلالة إحصائية لتطبيق تقنية الترميز على مستوى الأمن السيبراني المؤسسي في المؤسسات المالية السعودية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625"/>
        <w:gridCol w:w="1625"/>
        <w:gridCol w:w="1454"/>
        <w:gridCol w:w="1284"/>
        <w:gridCol w:w="855"/>
        <w:gridCol w:w="1453"/>
      </w:tblGrid>
      <w:tr w:rsidR="007608E1" w:rsidRPr="00F153B7" w14:paraId="5F2122E2" w14:textId="77777777" w:rsidTr="007D4210">
        <w:trPr>
          <w:tblHeader/>
          <w:jc w:val="center"/>
        </w:trPr>
        <w:tc>
          <w:tcPr>
            <w:tcW w:w="979" w:type="pct"/>
            <w:shd w:val="clear" w:color="auto" w:fill="2E5395"/>
            <w:tcMar>
              <w:top w:w="60" w:type="dxa"/>
              <w:left w:w="100" w:type="dxa"/>
              <w:bottom w:w="60" w:type="dxa"/>
              <w:right w:w="100" w:type="dxa"/>
            </w:tcMar>
            <w:vAlign w:val="center"/>
          </w:tcPr>
          <w:p w14:paraId="021ADE13"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المستقل</w:t>
            </w:r>
          </w:p>
        </w:tc>
        <w:tc>
          <w:tcPr>
            <w:tcW w:w="979" w:type="pct"/>
            <w:shd w:val="clear" w:color="auto" w:fill="2E5395"/>
            <w:tcMar>
              <w:top w:w="60" w:type="dxa"/>
              <w:left w:w="100" w:type="dxa"/>
              <w:bottom w:w="60" w:type="dxa"/>
              <w:right w:w="100" w:type="dxa"/>
            </w:tcMar>
            <w:vAlign w:val="center"/>
          </w:tcPr>
          <w:p w14:paraId="5BC62FE7"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التابع</w:t>
            </w:r>
          </w:p>
        </w:tc>
        <w:tc>
          <w:tcPr>
            <w:tcW w:w="876" w:type="pct"/>
            <w:shd w:val="clear" w:color="auto" w:fill="2E5395"/>
            <w:tcMar>
              <w:top w:w="60" w:type="dxa"/>
              <w:left w:w="100" w:type="dxa"/>
              <w:bottom w:w="60" w:type="dxa"/>
              <w:right w:w="100" w:type="dxa"/>
            </w:tcMar>
            <w:vAlign w:val="center"/>
          </w:tcPr>
          <w:p w14:paraId="5D28A92E"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 xml:space="preserve">معامل ارتباط </w:t>
            </w:r>
            <w:proofErr w:type="spellStart"/>
            <w:r w:rsidRPr="00F153B7">
              <w:rPr>
                <w:rFonts w:ascii="Traditional Arabic" w:eastAsia="Simplified Arabic" w:hAnsi="Traditional Arabic" w:cs="Traditional Arabic"/>
                <w:b/>
                <w:bCs/>
                <w:color w:val="FFFFFF"/>
                <w:sz w:val="24"/>
                <w:szCs w:val="24"/>
                <w:rtl/>
              </w:rPr>
              <w:t>سبيرمان</w:t>
            </w:r>
            <w:proofErr w:type="spellEnd"/>
            <w:r w:rsidRPr="00F153B7">
              <w:rPr>
                <w:rFonts w:ascii="Traditional Arabic" w:eastAsia="Simplified Arabic" w:hAnsi="Traditional Arabic" w:cs="Traditional Arabic"/>
                <w:b/>
                <w:bCs/>
                <w:color w:val="FFFFFF"/>
                <w:sz w:val="24"/>
                <w:szCs w:val="24"/>
                <w:rtl/>
              </w:rPr>
              <w:t xml:space="preserve"> (r)</w:t>
            </w:r>
          </w:p>
        </w:tc>
        <w:tc>
          <w:tcPr>
            <w:tcW w:w="773" w:type="pct"/>
            <w:shd w:val="clear" w:color="auto" w:fill="2E5395"/>
            <w:tcMar>
              <w:top w:w="60" w:type="dxa"/>
              <w:left w:w="100" w:type="dxa"/>
              <w:bottom w:w="60" w:type="dxa"/>
              <w:right w:w="100" w:type="dxa"/>
            </w:tcMar>
            <w:vAlign w:val="center"/>
          </w:tcPr>
          <w:p w14:paraId="7BEF28A4"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القيمة الاحتمالية (p)</w:t>
            </w:r>
          </w:p>
        </w:tc>
        <w:tc>
          <w:tcPr>
            <w:tcW w:w="515" w:type="pct"/>
            <w:shd w:val="clear" w:color="auto" w:fill="2E5395"/>
            <w:tcMar>
              <w:top w:w="60" w:type="dxa"/>
              <w:left w:w="100" w:type="dxa"/>
              <w:bottom w:w="60" w:type="dxa"/>
              <w:right w:w="100" w:type="dxa"/>
            </w:tcMar>
            <w:vAlign w:val="center"/>
          </w:tcPr>
          <w:p w14:paraId="20F7211A"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حجم العينة (n)</w:t>
            </w:r>
          </w:p>
        </w:tc>
        <w:tc>
          <w:tcPr>
            <w:tcW w:w="876" w:type="pct"/>
            <w:shd w:val="clear" w:color="auto" w:fill="2E5395"/>
            <w:tcMar>
              <w:top w:w="60" w:type="dxa"/>
              <w:left w:w="100" w:type="dxa"/>
              <w:bottom w:w="60" w:type="dxa"/>
              <w:right w:w="100" w:type="dxa"/>
            </w:tcMar>
            <w:vAlign w:val="center"/>
          </w:tcPr>
          <w:p w14:paraId="43BDB04C"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الدلالة الإحصائية</w:t>
            </w:r>
          </w:p>
        </w:tc>
      </w:tr>
      <w:tr w:rsidR="007608E1" w:rsidRPr="00F153B7" w14:paraId="34D976E3" w14:textId="77777777" w:rsidTr="007D4210">
        <w:trPr>
          <w:jc w:val="center"/>
        </w:trPr>
        <w:tc>
          <w:tcPr>
            <w:tcW w:w="979" w:type="pct"/>
            <w:tcMar>
              <w:top w:w="60" w:type="dxa"/>
              <w:left w:w="100" w:type="dxa"/>
              <w:bottom w:w="60" w:type="dxa"/>
              <w:right w:w="100" w:type="dxa"/>
            </w:tcMar>
            <w:vAlign w:val="center"/>
          </w:tcPr>
          <w:p w14:paraId="154418B0"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تطبيق تقنية الترميز</w:t>
            </w:r>
          </w:p>
        </w:tc>
        <w:tc>
          <w:tcPr>
            <w:tcW w:w="979" w:type="pct"/>
            <w:tcMar>
              <w:top w:w="60" w:type="dxa"/>
              <w:left w:w="100" w:type="dxa"/>
              <w:bottom w:w="60" w:type="dxa"/>
              <w:right w:w="100" w:type="dxa"/>
            </w:tcMar>
            <w:vAlign w:val="center"/>
          </w:tcPr>
          <w:p w14:paraId="7073D095"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الأمن السيبراني المؤسسي</w:t>
            </w:r>
          </w:p>
        </w:tc>
        <w:tc>
          <w:tcPr>
            <w:tcW w:w="876" w:type="pct"/>
            <w:tcMar>
              <w:top w:w="60" w:type="dxa"/>
              <w:left w:w="100" w:type="dxa"/>
              <w:bottom w:w="60" w:type="dxa"/>
              <w:right w:w="100" w:type="dxa"/>
            </w:tcMar>
            <w:vAlign w:val="center"/>
          </w:tcPr>
          <w:p w14:paraId="2615CA42"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0.641</w:t>
            </w:r>
          </w:p>
        </w:tc>
        <w:tc>
          <w:tcPr>
            <w:tcW w:w="773" w:type="pct"/>
            <w:tcMar>
              <w:top w:w="60" w:type="dxa"/>
              <w:left w:w="100" w:type="dxa"/>
              <w:bottom w:w="60" w:type="dxa"/>
              <w:right w:w="100" w:type="dxa"/>
            </w:tcMar>
            <w:vAlign w:val="center"/>
          </w:tcPr>
          <w:p w14:paraId="2CFD0FA2"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515" w:type="pct"/>
            <w:tcMar>
              <w:top w:w="60" w:type="dxa"/>
              <w:left w:w="100" w:type="dxa"/>
              <w:bottom w:w="60" w:type="dxa"/>
              <w:right w:w="100" w:type="dxa"/>
            </w:tcMar>
            <w:vAlign w:val="center"/>
          </w:tcPr>
          <w:p w14:paraId="034D8289"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196</w:t>
            </w:r>
          </w:p>
        </w:tc>
        <w:tc>
          <w:tcPr>
            <w:tcW w:w="876" w:type="pct"/>
            <w:tcMar>
              <w:top w:w="60" w:type="dxa"/>
              <w:left w:w="100" w:type="dxa"/>
              <w:bottom w:w="60" w:type="dxa"/>
              <w:right w:w="100" w:type="dxa"/>
            </w:tcMar>
            <w:vAlign w:val="center"/>
          </w:tcPr>
          <w:p w14:paraId="4F957C96" w14:textId="77777777" w:rsidR="007608E1" w:rsidRPr="00F153B7" w:rsidRDefault="007608E1" w:rsidP="00E000FF">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bl>
    <w:p w14:paraId="15B2BEA1"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 xml:space="preserve">جدول (4.22): نتائج اختبار معامل ارتباط </w:t>
      </w:r>
      <w:proofErr w:type="spellStart"/>
      <w:r>
        <w:rPr>
          <w:rFonts w:ascii="Traditional Arabic" w:eastAsia="Simplified Arabic" w:hAnsi="Traditional Arabic" w:cs="Traditional Arabic"/>
          <w:b/>
          <w:bCs/>
          <w:sz w:val="24"/>
          <w:szCs w:val="24"/>
          <w:rtl/>
        </w:rPr>
        <w:t>سبيرمان</w:t>
      </w:r>
      <w:proofErr w:type="spellEnd"/>
      <w:r>
        <w:rPr>
          <w:rFonts w:ascii="Traditional Arabic" w:eastAsia="Simplified Arabic" w:hAnsi="Traditional Arabic" w:cs="Traditional Arabic"/>
          <w:b/>
          <w:bCs/>
          <w:sz w:val="24"/>
          <w:szCs w:val="24"/>
          <w:rtl/>
        </w:rPr>
        <w:t xml:space="preserve"> للفرضية الأولى</w:t>
      </w:r>
    </w:p>
    <w:p w14:paraId="0547EA01" w14:textId="77777777" w:rsidR="007608E1" w:rsidRPr="00F153B7" w:rsidRDefault="007608E1" w:rsidP="00E000FF">
      <w:pPr>
        <w:bidi/>
        <w:spacing w:after="0" w:line="360" w:lineRule="auto"/>
        <w:jc w:val="both"/>
        <w:rPr>
          <w:sz w:val="26"/>
          <w:szCs w:val="26"/>
        </w:rPr>
      </w:pPr>
      <w:r w:rsidRPr="00F153B7">
        <w:rPr>
          <w:rFonts w:ascii="Traditional Arabic" w:eastAsia="Simplified Arabic" w:hAnsi="Traditional Arabic" w:cs="Traditional Arabic"/>
          <w:sz w:val="28"/>
          <w:szCs w:val="28"/>
          <w:rtl/>
        </w:rPr>
        <w:t xml:space="preserve">أظهرت نتائج معامل ارتباط </w:t>
      </w:r>
      <w:proofErr w:type="spellStart"/>
      <w:r w:rsidRPr="00F153B7">
        <w:rPr>
          <w:rFonts w:ascii="Traditional Arabic" w:eastAsia="Simplified Arabic" w:hAnsi="Traditional Arabic" w:cs="Traditional Arabic"/>
          <w:sz w:val="28"/>
          <w:szCs w:val="28"/>
          <w:rtl/>
        </w:rPr>
        <w:t>سبيرمان</w:t>
      </w:r>
      <w:proofErr w:type="spellEnd"/>
      <w:r w:rsidRPr="00F153B7">
        <w:rPr>
          <w:rFonts w:ascii="Traditional Arabic" w:eastAsia="Simplified Arabic" w:hAnsi="Traditional Arabic" w:cs="Traditional Arabic"/>
          <w:sz w:val="28"/>
          <w:szCs w:val="28"/>
          <w:rtl/>
        </w:rPr>
        <w:t xml:space="preserve"> وجود علاقة ارتباطية طردية قوية ودالة إحصائياً بين تطبيق تقنية الترميز ومستوى الأمن السيبراني المؤسسي (r = 0.641، p &lt; 0.001)، وبذلك تُقبَل الفرضية الأولى، أي يوجد أثر ذو دلالة إحصائية لتطبيق تقنية الترميز على مستوى الأمن السيبراني في المؤسسات المالية السعودية.</w:t>
      </w:r>
    </w:p>
    <w:p w14:paraId="2EBD8F1C"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وفيما يخص الفرعين، أظهرت نتائج نموذج الانحدار المنقّح الثاني (جدول 4.28) أن بُعد الترميز الأمني للبيانات يؤثر تأثيراً موجباً ودالاً إحصائياً في الأمن السيبراني المؤسسي (B = 0.329، t = 5.889، p &lt; 0.001)، وبذلك يُقبَل الفرض الفرعي H1a. كما أظهرت النتائج أن بُعد الامتثال للمعايير الدولية يؤثر تأثيراً موجباً ودالاً إحصائياً في المتغير ذاته (B = 0.557، t = 8.747، p &lt; 0.001)، وبذلك يُقبَل الفرض الفرعي H1b، مع تفوّق نسبي لأثر بُعد الامتثال.</w:t>
      </w:r>
    </w:p>
    <w:p w14:paraId="32E8CEBA" w14:textId="77777777" w:rsidR="007608E1" w:rsidRPr="00F153B7" w:rsidRDefault="007608E1" w:rsidP="00E000FF">
      <w:pPr>
        <w:bidi/>
        <w:spacing w:after="0" w:line="360" w:lineRule="auto"/>
        <w:jc w:val="both"/>
        <w:rPr>
          <w:sz w:val="26"/>
          <w:szCs w:val="26"/>
        </w:rPr>
      </w:pPr>
      <w:r w:rsidRPr="00F153B7">
        <w:rPr>
          <w:rFonts w:ascii="Traditional Arabic" w:eastAsia="Simplified Arabic" w:hAnsi="Traditional Arabic" w:cs="Traditional Arabic"/>
          <w:b/>
          <w:bCs/>
          <w:sz w:val="28"/>
          <w:szCs w:val="28"/>
          <w:rtl/>
        </w:rPr>
        <w:t>الفرض الثاني (H2): يوجد أثر ذو دلالة إحصائية لتطبيق تقنية الترميز على الكفاءة التشغيلية المالية في المؤسسات المالية السعودية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625"/>
        <w:gridCol w:w="1625"/>
        <w:gridCol w:w="1454"/>
        <w:gridCol w:w="1284"/>
        <w:gridCol w:w="855"/>
        <w:gridCol w:w="1453"/>
      </w:tblGrid>
      <w:tr w:rsidR="007608E1" w:rsidRPr="00F153B7" w14:paraId="6DAA597F" w14:textId="77777777" w:rsidTr="00F153B7">
        <w:trPr>
          <w:tblHeader/>
          <w:jc w:val="center"/>
        </w:trPr>
        <w:tc>
          <w:tcPr>
            <w:tcW w:w="979" w:type="pct"/>
            <w:shd w:val="clear" w:color="auto" w:fill="2E5395"/>
            <w:tcMar>
              <w:top w:w="60" w:type="dxa"/>
              <w:left w:w="100" w:type="dxa"/>
              <w:bottom w:w="60" w:type="dxa"/>
              <w:right w:w="100" w:type="dxa"/>
            </w:tcMar>
            <w:vAlign w:val="center"/>
          </w:tcPr>
          <w:p w14:paraId="284F8F69"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المستقل</w:t>
            </w:r>
          </w:p>
        </w:tc>
        <w:tc>
          <w:tcPr>
            <w:tcW w:w="979" w:type="pct"/>
            <w:shd w:val="clear" w:color="auto" w:fill="2E5395"/>
            <w:tcMar>
              <w:top w:w="60" w:type="dxa"/>
              <w:left w:w="100" w:type="dxa"/>
              <w:bottom w:w="60" w:type="dxa"/>
              <w:right w:w="100" w:type="dxa"/>
            </w:tcMar>
            <w:vAlign w:val="center"/>
          </w:tcPr>
          <w:p w14:paraId="0F3D80D2"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المتغير التابع</w:t>
            </w:r>
          </w:p>
        </w:tc>
        <w:tc>
          <w:tcPr>
            <w:tcW w:w="876" w:type="pct"/>
            <w:shd w:val="clear" w:color="auto" w:fill="2E5395"/>
            <w:tcMar>
              <w:top w:w="60" w:type="dxa"/>
              <w:left w:w="100" w:type="dxa"/>
              <w:bottom w:w="60" w:type="dxa"/>
              <w:right w:w="100" w:type="dxa"/>
            </w:tcMar>
            <w:vAlign w:val="center"/>
          </w:tcPr>
          <w:p w14:paraId="4583AB51"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 xml:space="preserve">معامل ارتباط </w:t>
            </w:r>
            <w:proofErr w:type="spellStart"/>
            <w:r w:rsidRPr="00F153B7">
              <w:rPr>
                <w:rFonts w:ascii="Traditional Arabic" w:eastAsia="Simplified Arabic" w:hAnsi="Traditional Arabic" w:cs="Traditional Arabic"/>
                <w:b/>
                <w:bCs/>
                <w:color w:val="FFFFFF"/>
                <w:sz w:val="24"/>
                <w:szCs w:val="24"/>
                <w:rtl/>
              </w:rPr>
              <w:t>سبيرمان</w:t>
            </w:r>
            <w:proofErr w:type="spellEnd"/>
            <w:r w:rsidRPr="00F153B7">
              <w:rPr>
                <w:rFonts w:ascii="Traditional Arabic" w:eastAsia="Simplified Arabic" w:hAnsi="Traditional Arabic" w:cs="Traditional Arabic"/>
                <w:b/>
                <w:bCs/>
                <w:color w:val="FFFFFF"/>
                <w:sz w:val="24"/>
                <w:szCs w:val="24"/>
                <w:rtl/>
              </w:rPr>
              <w:t xml:space="preserve"> (r)</w:t>
            </w:r>
          </w:p>
        </w:tc>
        <w:tc>
          <w:tcPr>
            <w:tcW w:w="773" w:type="pct"/>
            <w:shd w:val="clear" w:color="auto" w:fill="2E5395"/>
            <w:tcMar>
              <w:top w:w="60" w:type="dxa"/>
              <w:left w:w="100" w:type="dxa"/>
              <w:bottom w:w="60" w:type="dxa"/>
              <w:right w:w="100" w:type="dxa"/>
            </w:tcMar>
            <w:vAlign w:val="center"/>
          </w:tcPr>
          <w:p w14:paraId="675010A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القيمة الاحتمالية (p)</w:t>
            </w:r>
          </w:p>
        </w:tc>
        <w:tc>
          <w:tcPr>
            <w:tcW w:w="515" w:type="pct"/>
            <w:shd w:val="clear" w:color="auto" w:fill="2E5395"/>
            <w:tcMar>
              <w:top w:w="60" w:type="dxa"/>
              <w:left w:w="100" w:type="dxa"/>
              <w:bottom w:w="60" w:type="dxa"/>
              <w:right w:w="100" w:type="dxa"/>
            </w:tcMar>
            <w:vAlign w:val="center"/>
          </w:tcPr>
          <w:p w14:paraId="059BA26D"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حجم العينة (n)</w:t>
            </w:r>
          </w:p>
        </w:tc>
        <w:tc>
          <w:tcPr>
            <w:tcW w:w="876" w:type="pct"/>
            <w:shd w:val="clear" w:color="auto" w:fill="2E5395"/>
            <w:tcMar>
              <w:top w:w="60" w:type="dxa"/>
              <w:left w:w="100" w:type="dxa"/>
              <w:bottom w:w="60" w:type="dxa"/>
              <w:right w:w="100" w:type="dxa"/>
            </w:tcMar>
            <w:vAlign w:val="center"/>
          </w:tcPr>
          <w:p w14:paraId="3EB2D53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الدلالة الإحصائية</w:t>
            </w:r>
          </w:p>
        </w:tc>
      </w:tr>
      <w:tr w:rsidR="007608E1" w:rsidRPr="00F153B7" w14:paraId="76352B2E" w14:textId="77777777" w:rsidTr="00F153B7">
        <w:trPr>
          <w:jc w:val="center"/>
        </w:trPr>
        <w:tc>
          <w:tcPr>
            <w:tcW w:w="979" w:type="pct"/>
            <w:tcMar>
              <w:top w:w="60" w:type="dxa"/>
              <w:left w:w="100" w:type="dxa"/>
              <w:bottom w:w="60" w:type="dxa"/>
              <w:right w:w="100" w:type="dxa"/>
            </w:tcMar>
            <w:vAlign w:val="center"/>
          </w:tcPr>
          <w:p w14:paraId="3B385805"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تطبيق تقنية الترميز</w:t>
            </w:r>
          </w:p>
        </w:tc>
        <w:tc>
          <w:tcPr>
            <w:tcW w:w="979" w:type="pct"/>
            <w:tcMar>
              <w:top w:w="60" w:type="dxa"/>
              <w:left w:w="100" w:type="dxa"/>
              <w:bottom w:w="60" w:type="dxa"/>
              <w:right w:w="100" w:type="dxa"/>
            </w:tcMar>
            <w:vAlign w:val="center"/>
          </w:tcPr>
          <w:p w14:paraId="7B958D75"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الكفاءة التشغيلية المالية</w:t>
            </w:r>
          </w:p>
        </w:tc>
        <w:tc>
          <w:tcPr>
            <w:tcW w:w="876" w:type="pct"/>
            <w:tcMar>
              <w:top w:w="60" w:type="dxa"/>
              <w:left w:w="100" w:type="dxa"/>
              <w:bottom w:w="60" w:type="dxa"/>
              <w:right w:w="100" w:type="dxa"/>
            </w:tcMar>
            <w:vAlign w:val="center"/>
          </w:tcPr>
          <w:p w14:paraId="3360B2F2"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0.625</w:t>
            </w:r>
          </w:p>
        </w:tc>
        <w:tc>
          <w:tcPr>
            <w:tcW w:w="773" w:type="pct"/>
            <w:tcMar>
              <w:top w:w="60" w:type="dxa"/>
              <w:left w:w="100" w:type="dxa"/>
              <w:bottom w:w="60" w:type="dxa"/>
              <w:right w:w="100" w:type="dxa"/>
            </w:tcMar>
            <w:vAlign w:val="center"/>
          </w:tcPr>
          <w:p w14:paraId="1FBDC80E"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515" w:type="pct"/>
            <w:tcMar>
              <w:top w:w="60" w:type="dxa"/>
              <w:left w:w="100" w:type="dxa"/>
              <w:bottom w:w="60" w:type="dxa"/>
              <w:right w:w="100" w:type="dxa"/>
            </w:tcMar>
            <w:vAlign w:val="center"/>
          </w:tcPr>
          <w:p w14:paraId="4EB08844"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196</w:t>
            </w:r>
          </w:p>
        </w:tc>
        <w:tc>
          <w:tcPr>
            <w:tcW w:w="876" w:type="pct"/>
            <w:tcMar>
              <w:top w:w="60" w:type="dxa"/>
              <w:left w:w="100" w:type="dxa"/>
              <w:bottom w:w="60" w:type="dxa"/>
              <w:right w:w="100" w:type="dxa"/>
            </w:tcMar>
            <w:vAlign w:val="center"/>
          </w:tcPr>
          <w:p w14:paraId="656887F8"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bl>
    <w:p w14:paraId="70C667BD"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 xml:space="preserve">جدول (4.23): نتائج اختبار معامل ارتباط </w:t>
      </w:r>
      <w:proofErr w:type="spellStart"/>
      <w:r>
        <w:rPr>
          <w:rFonts w:ascii="Traditional Arabic" w:eastAsia="Simplified Arabic" w:hAnsi="Traditional Arabic" w:cs="Traditional Arabic"/>
          <w:b/>
          <w:bCs/>
          <w:sz w:val="24"/>
          <w:szCs w:val="24"/>
          <w:rtl/>
        </w:rPr>
        <w:t>سبيرمان</w:t>
      </w:r>
      <w:proofErr w:type="spellEnd"/>
      <w:r>
        <w:rPr>
          <w:rFonts w:ascii="Traditional Arabic" w:eastAsia="Simplified Arabic" w:hAnsi="Traditional Arabic" w:cs="Traditional Arabic"/>
          <w:b/>
          <w:bCs/>
          <w:sz w:val="24"/>
          <w:szCs w:val="24"/>
          <w:rtl/>
        </w:rPr>
        <w:t xml:space="preserve"> للفرضية الثانية</w:t>
      </w:r>
    </w:p>
    <w:p w14:paraId="0686AA63" w14:textId="77777777" w:rsidR="007608E1" w:rsidRPr="00F153B7" w:rsidRDefault="007608E1" w:rsidP="00E000FF">
      <w:pPr>
        <w:bidi/>
        <w:spacing w:after="0" w:line="360" w:lineRule="auto"/>
        <w:jc w:val="both"/>
        <w:rPr>
          <w:sz w:val="26"/>
          <w:szCs w:val="26"/>
        </w:rPr>
      </w:pPr>
      <w:r w:rsidRPr="00F153B7">
        <w:rPr>
          <w:rFonts w:ascii="Traditional Arabic" w:eastAsia="Simplified Arabic" w:hAnsi="Traditional Arabic" w:cs="Traditional Arabic"/>
          <w:sz w:val="28"/>
          <w:szCs w:val="28"/>
          <w:rtl/>
        </w:rPr>
        <w:lastRenderedPageBreak/>
        <w:t>أظهرت النتائج وجود علاقة ارتباطية طردية قوية ودالة إحصائياً بين تطبيق تقنية الترميز وكفاءة العمليات المالية (r = 0.625، p &lt; 0.001)، وبذلك تُقبَل الفرضية الثانية، أي يوجد أثر ذو دلالة إحصائية لتطبيق تقنية الترميز على كفاءة العمليات المالية في المؤسسات المالية السعودية.</w:t>
      </w:r>
    </w:p>
    <w:p w14:paraId="3927E563"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وفيما يخص الفرعين، أظهرت نتائج نموذج الانحدار المنقّح الأول (جدول 4.27) أن بُعد الترميز الأمني للبيانات يؤثر تأثيراً موجباً ودالاً إحصائياً في الكفاءة التشغيلية المالية (B = 0.173، t = 3.103، p = 0.002)، وبذلك يُقبَل الفرض الفرعي H2a. كما أظهرت النتائج أن بُعد الامتثال للمعايير الدولية يؤثر تأثيراً موجباً ودالاً إحصائياً في المتغير ذاته (B = 0.677، t = 10.672، p &lt; 0.001)، وبذلك يُقبَل الفرض الفرعي H2b.</w:t>
      </w:r>
    </w:p>
    <w:p w14:paraId="77433AA7"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الفرض الثالث (H3): توجد فروق ذات دلالة إحصائية في مستويات متغيرات الدراسة تُعزى إلى خصائص المؤسسة المالية</w:t>
      </w:r>
    </w:p>
    <w:p w14:paraId="4A97D3FE" w14:textId="77777777" w:rsidR="00E62032" w:rsidRPr="00E62032" w:rsidRDefault="00E62032" w:rsidP="00E000FF">
      <w:pPr>
        <w:pStyle w:val="Heading2"/>
        <w:bidi/>
        <w:spacing w:before="0" w:line="360" w:lineRule="auto"/>
        <w:jc w:val="both"/>
        <w:rPr>
          <w:rFonts w:ascii="Simplified Arabic" w:hAnsi="Simplified Arabic" w:cs="Simplified Arabic"/>
          <w:color w:val="auto"/>
          <w:sz w:val="28"/>
          <w:szCs w:val="28"/>
        </w:rPr>
      </w:pPr>
      <w:r>
        <w:rPr>
          <w:rFonts w:ascii="Traditional Arabic" w:hAnsi="Traditional Arabic" w:cs="Traditional Arabic"/>
          <w:b/>
          <w:bCs/>
          <w:color w:val="auto"/>
          <w:sz w:val="28"/>
          <w:szCs w:val="28"/>
          <w:rtl/>
        </w:rPr>
        <w:t>الفرض الفرعي H3a: توجد فروق ذات دلالة إحصائية في مستوى الامتثال للمعايير الدولية والأمن السيبراني المؤسسي تُعزى إلى مستوى تبنّي المؤسسة لتقنية الترميز.</w:t>
      </w:r>
    </w:p>
    <w:p w14:paraId="692E1CB0" w14:textId="77777777" w:rsidR="007608E1" w:rsidRPr="00F153B7" w:rsidRDefault="007608E1" w:rsidP="00E000FF">
      <w:pPr>
        <w:bidi/>
        <w:spacing w:after="0" w:line="360" w:lineRule="auto"/>
        <w:jc w:val="both"/>
        <w:rPr>
          <w:sz w:val="26"/>
          <w:szCs w:val="26"/>
        </w:rPr>
      </w:pPr>
      <w:r w:rsidRPr="00F153B7">
        <w:rPr>
          <w:rFonts w:ascii="Traditional Arabic" w:eastAsia="Simplified Arabic" w:hAnsi="Traditional Arabic" w:cs="Traditional Arabic"/>
          <w:sz w:val="28"/>
          <w:szCs w:val="28"/>
          <w:rtl/>
        </w:rPr>
        <w:t>اختُبرت هذه الفرضية باستخدام اختبار مان-ويتني U للمقارنة بين مجموعتين: المؤسسات المعتمِدة لتقنية الترميز حالياً (بشكل كامل أو جزئي) والمؤسسات غير المعتمِدة لها (المخطِّطة أو التي لا توجد لديها خطط)، وذلك على بُعدي الامتثال للمعايير الدولية والأمن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1721"/>
        <w:gridCol w:w="1117"/>
        <w:gridCol w:w="553"/>
        <w:gridCol w:w="1290"/>
        <w:gridCol w:w="436"/>
        <w:gridCol w:w="859"/>
        <w:gridCol w:w="1204"/>
        <w:gridCol w:w="1116"/>
      </w:tblGrid>
      <w:tr w:rsidR="007608E1" w:rsidRPr="00F153B7" w14:paraId="1DBD6968" w14:textId="77777777" w:rsidTr="00F153B7">
        <w:trPr>
          <w:tblHeader/>
          <w:jc w:val="center"/>
        </w:trPr>
        <w:tc>
          <w:tcPr>
            <w:tcW w:w="1045" w:type="pct"/>
            <w:shd w:val="clear" w:color="auto" w:fill="2E5395"/>
            <w:tcMar>
              <w:top w:w="60" w:type="dxa"/>
              <w:left w:w="100" w:type="dxa"/>
              <w:bottom w:w="60" w:type="dxa"/>
              <w:right w:w="100" w:type="dxa"/>
            </w:tcMar>
            <w:vAlign w:val="center"/>
          </w:tcPr>
          <w:p w14:paraId="290F8E3D"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البُعد</w:t>
            </w:r>
          </w:p>
        </w:tc>
        <w:tc>
          <w:tcPr>
            <w:tcW w:w="681" w:type="pct"/>
            <w:shd w:val="clear" w:color="auto" w:fill="2E5395"/>
            <w:tcMar>
              <w:top w:w="60" w:type="dxa"/>
              <w:left w:w="100" w:type="dxa"/>
              <w:bottom w:w="60" w:type="dxa"/>
              <w:right w:w="100" w:type="dxa"/>
            </w:tcMar>
            <w:vAlign w:val="center"/>
          </w:tcPr>
          <w:p w14:paraId="54D08F21"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متوسط المعتمِدة</w:t>
            </w:r>
          </w:p>
        </w:tc>
        <w:tc>
          <w:tcPr>
            <w:tcW w:w="288" w:type="pct"/>
            <w:shd w:val="clear" w:color="auto" w:fill="2E5395"/>
            <w:tcMar>
              <w:top w:w="60" w:type="dxa"/>
              <w:left w:w="100" w:type="dxa"/>
              <w:bottom w:w="60" w:type="dxa"/>
              <w:right w:w="100" w:type="dxa"/>
            </w:tcMar>
            <w:vAlign w:val="center"/>
          </w:tcPr>
          <w:p w14:paraId="600FBE14"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ن</w:t>
            </w:r>
          </w:p>
        </w:tc>
        <w:tc>
          <w:tcPr>
            <w:tcW w:w="785" w:type="pct"/>
            <w:shd w:val="clear" w:color="auto" w:fill="2E5395"/>
            <w:tcMar>
              <w:top w:w="60" w:type="dxa"/>
              <w:left w:w="100" w:type="dxa"/>
              <w:bottom w:w="60" w:type="dxa"/>
              <w:right w:w="100" w:type="dxa"/>
            </w:tcMar>
            <w:vAlign w:val="center"/>
          </w:tcPr>
          <w:p w14:paraId="56FBDDFB"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متوسط غير المعتمِدة</w:t>
            </w:r>
          </w:p>
        </w:tc>
        <w:tc>
          <w:tcPr>
            <w:tcW w:w="263" w:type="pct"/>
            <w:shd w:val="clear" w:color="auto" w:fill="2E5395"/>
            <w:tcMar>
              <w:top w:w="60" w:type="dxa"/>
              <w:left w:w="100" w:type="dxa"/>
              <w:bottom w:w="60" w:type="dxa"/>
              <w:right w:w="100" w:type="dxa"/>
            </w:tcMar>
            <w:vAlign w:val="center"/>
          </w:tcPr>
          <w:p w14:paraId="177FC26C"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ن</w:t>
            </w:r>
          </w:p>
        </w:tc>
        <w:tc>
          <w:tcPr>
            <w:tcW w:w="525" w:type="pct"/>
            <w:shd w:val="clear" w:color="auto" w:fill="2E5395"/>
            <w:tcMar>
              <w:top w:w="60" w:type="dxa"/>
              <w:left w:w="100" w:type="dxa"/>
              <w:bottom w:w="60" w:type="dxa"/>
              <w:right w:w="100" w:type="dxa"/>
            </w:tcMar>
            <w:vAlign w:val="center"/>
          </w:tcPr>
          <w:p w14:paraId="1B5273B7"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قيمة U</w:t>
            </w:r>
          </w:p>
        </w:tc>
        <w:tc>
          <w:tcPr>
            <w:tcW w:w="733" w:type="pct"/>
            <w:shd w:val="clear" w:color="auto" w:fill="2E5395"/>
            <w:tcMar>
              <w:top w:w="60" w:type="dxa"/>
              <w:left w:w="100" w:type="dxa"/>
              <w:bottom w:w="60" w:type="dxa"/>
              <w:right w:w="100" w:type="dxa"/>
            </w:tcMar>
            <w:vAlign w:val="center"/>
          </w:tcPr>
          <w:p w14:paraId="452DFC1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القيمة الاحتمالية (p)</w:t>
            </w:r>
          </w:p>
        </w:tc>
        <w:tc>
          <w:tcPr>
            <w:tcW w:w="681" w:type="pct"/>
            <w:shd w:val="clear" w:color="auto" w:fill="2E5395"/>
            <w:tcMar>
              <w:top w:w="60" w:type="dxa"/>
              <w:left w:w="100" w:type="dxa"/>
              <w:bottom w:w="60" w:type="dxa"/>
              <w:right w:w="100" w:type="dxa"/>
            </w:tcMar>
            <w:vAlign w:val="center"/>
          </w:tcPr>
          <w:p w14:paraId="102CB23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b/>
                <w:bCs/>
                <w:color w:val="FFFFFF"/>
                <w:sz w:val="24"/>
                <w:szCs w:val="24"/>
                <w:rtl/>
              </w:rPr>
              <w:t>الدلالة</w:t>
            </w:r>
          </w:p>
        </w:tc>
      </w:tr>
      <w:tr w:rsidR="007608E1" w:rsidRPr="00F153B7" w14:paraId="093E273C" w14:textId="77777777" w:rsidTr="00F153B7">
        <w:trPr>
          <w:jc w:val="center"/>
        </w:trPr>
        <w:tc>
          <w:tcPr>
            <w:tcW w:w="1045" w:type="pct"/>
            <w:tcMar>
              <w:top w:w="60" w:type="dxa"/>
              <w:left w:w="100" w:type="dxa"/>
              <w:bottom w:w="60" w:type="dxa"/>
              <w:right w:w="100" w:type="dxa"/>
            </w:tcMar>
            <w:vAlign w:val="center"/>
          </w:tcPr>
          <w:p w14:paraId="06817F92"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الامتثال للمعايير الدولية</w:t>
            </w:r>
          </w:p>
        </w:tc>
        <w:tc>
          <w:tcPr>
            <w:tcW w:w="681" w:type="pct"/>
            <w:tcMar>
              <w:top w:w="60" w:type="dxa"/>
              <w:left w:w="100" w:type="dxa"/>
              <w:bottom w:w="60" w:type="dxa"/>
              <w:right w:w="100" w:type="dxa"/>
            </w:tcMar>
            <w:vAlign w:val="center"/>
          </w:tcPr>
          <w:p w14:paraId="3107ADC6"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4.663</w:t>
            </w:r>
          </w:p>
        </w:tc>
        <w:tc>
          <w:tcPr>
            <w:tcW w:w="288" w:type="pct"/>
            <w:tcMar>
              <w:top w:w="60" w:type="dxa"/>
              <w:left w:w="100" w:type="dxa"/>
              <w:bottom w:w="60" w:type="dxa"/>
              <w:right w:w="100" w:type="dxa"/>
            </w:tcMar>
            <w:vAlign w:val="center"/>
          </w:tcPr>
          <w:p w14:paraId="0EA26571"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162</w:t>
            </w:r>
          </w:p>
        </w:tc>
        <w:tc>
          <w:tcPr>
            <w:tcW w:w="785" w:type="pct"/>
            <w:tcMar>
              <w:top w:w="60" w:type="dxa"/>
              <w:left w:w="100" w:type="dxa"/>
              <w:bottom w:w="60" w:type="dxa"/>
              <w:right w:w="100" w:type="dxa"/>
            </w:tcMar>
            <w:vAlign w:val="center"/>
          </w:tcPr>
          <w:p w14:paraId="071A51BB"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3.021</w:t>
            </w:r>
          </w:p>
        </w:tc>
        <w:tc>
          <w:tcPr>
            <w:tcW w:w="263" w:type="pct"/>
            <w:tcMar>
              <w:top w:w="60" w:type="dxa"/>
              <w:left w:w="100" w:type="dxa"/>
              <w:bottom w:w="60" w:type="dxa"/>
              <w:right w:w="100" w:type="dxa"/>
            </w:tcMar>
            <w:vAlign w:val="center"/>
          </w:tcPr>
          <w:p w14:paraId="17BE36D2"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34</w:t>
            </w:r>
          </w:p>
        </w:tc>
        <w:tc>
          <w:tcPr>
            <w:tcW w:w="525" w:type="pct"/>
            <w:tcMar>
              <w:top w:w="60" w:type="dxa"/>
              <w:left w:w="100" w:type="dxa"/>
              <w:bottom w:w="60" w:type="dxa"/>
              <w:right w:w="100" w:type="dxa"/>
            </w:tcMar>
            <w:vAlign w:val="center"/>
          </w:tcPr>
          <w:p w14:paraId="7749DF7E"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5258.5</w:t>
            </w:r>
          </w:p>
        </w:tc>
        <w:tc>
          <w:tcPr>
            <w:tcW w:w="733" w:type="pct"/>
            <w:tcMar>
              <w:top w:w="60" w:type="dxa"/>
              <w:left w:w="100" w:type="dxa"/>
              <w:bottom w:w="60" w:type="dxa"/>
              <w:right w:w="100" w:type="dxa"/>
            </w:tcMar>
            <w:vAlign w:val="center"/>
          </w:tcPr>
          <w:p w14:paraId="680FD05E"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681" w:type="pct"/>
            <w:tcMar>
              <w:top w:w="60" w:type="dxa"/>
              <w:left w:w="100" w:type="dxa"/>
              <w:bottom w:w="60" w:type="dxa"/>
              <w:right w:w="100" w:type="dxa"/>
            </w:tcMar>
            <w:vAlign w:val="center"/>
          </w:tcPr>
          <w:p w14:paraId="41B9A00F"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r w:rsidR="007608E1" w:rsidRPr="00F153B7" w14:paraId="49499F1B" w14:textId="77777777" w:rsidTr="00F153B7">
        <w:trPr>
          <w:jc w:val="center"/>
        </w:trPr>
        <w:tc>
          <w:tcPr>
            <w:tcW w:w="1045" w:type="pct"/>
            <w:shd w:val="clear" w:color="auto" w:fill="F2F2F2"/>
            <w:tcMar>
              <w:top w:w="60" w:type="dxa"/>
              <w:left w:w="100" w:type="dxa"/>
              <w:bottom w:w="60" w:type="dxa"/>
              <w:right w:w="100" w:type="dxa"/>
            </w:tcMar>
            <w:vAlign w:val="center"/>
          </w:tcPr>
          <w:p w14:paraId="3073DCB9"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الأمن السيبراني المؤسسي</w:t>
            </w:r>
          </w:p>
        </w:tc>
        <w:tc>
          <w:tcPr>
            <w:tcW w:w="681" w:type="pct"/>
            <w:shd w:val="clear" w:color="auto" w:fill="F2F2F2"/>
            <w:tcMar>
              <w:top w:w="60" w:type="dxa"/>
              <w:left w:w="100" w:type="dxa"/>
              <w:bottom w:w="60" w:type="dxa"/>
              <w:right w:w="100" w:type="dxa"/>
            </w:tcMar>
            <w:vAlign w:val="center"/>
          </w:tcPr>
          <w:p w14:paraId="67E77A53"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4.578</w:t>
            </w:r>
          </w:p>
        </w:tc>
        <w:tc>
          <w:tcPr>
            <w:tcW w:w="288" w:type="pct"/>
            <w:shd w:val="clear" w:color="auto" w:fill="F2F2F2"/>
            <w:tcMar>
              <w:top w:w="60" w:type="dxa"/>
              <w:left w:w="100" w:type="dxa"/>
              <w:bottom w:w="60" w:type="dxa"/>
              <w:right w:w="100" w:type="dxa"/>
            </w:tcMar>
            <w:vAlign w:val="center"/>
          </w:tcPr>
          <w:p w14:paraId="364CA92E"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162</w:t>
            </w:r>
          </w:p>
        </w:tc>
        <w:tc>
          <w:tcPr>
            <w:tcW w:w="785" w:type="pct"/>
            <w:shd w:val="clear" w:color="auto" w:fill="F2F2F2"/>
            <w:tcMar>
              <w:top w:w="60" w:type="dxa"/>
              <w:left w:w="100" w:type="dxa"/>
              <w:bottom w:w="60" w:type="dxa"/>
              <w:right w:w="100" w:type="dxa"/>
            </w:tcMar>
            <w:vAlign w:val="center"/>
          </w:tcPr>
          <w:p w14:paraId="36031A2F"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3.054</w:t>
            </w:r>
          </w:p>
        </w:tc>
        <w:tc>
          <w:tcPr>
            <w:tcW w:w="263" w:type="pct"/>
            <w:shd w:val="clear" w:color="auto" w:fill="F2F2F2"/>
            <w:tcMar>
              <w:top w:w="60" w:type="dxa"/>
              <w:left w:w="100" w:type="dxa"/>
              <w:bottom w:w="60" w:type="dxa"/>
              <w:right w:w="100" w:type="dxa"/>
            </w:tcMar>
            <w:vAlign w:val="center"/>
          </w:tcPr>
          <w:p w14:paraId="30105A10"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34</w:t>
            </w:r>
          </w:p>
        </w:tc>
        <w:tc>
          <w:tcPr>
            <w:tcW w:w="525" w:type="pct"/>
            <w:shd w:val="clear" w:color="auto" w:fill="F2F2F2"/>
            <w:tcMar>
              <w:top w:w="60" w:type="dxa"/>
              <w:left w:w="100" w:type="dxa"/>
              <w:bottom w:w="60" w:type="dxa"/>
              <w:right w:w="100" w:type="dxa"/>
            </w:tcMar>
            <w:vAlign w:val="center"/>
          </w:tcPr>
          <w:p w14:paraId="7E5BDB3F"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5201.5</w:t>
            </w:r>
          </w:p>
        </w:tc>
        <w:tc>
          <w:tcPr>
            <w:tcW w:w="733" w:type="pct"/>
            <w:shd w:val="clear" w:color="auto" w:fill="F2F2F2"/>
            <w:tcMar>
              <w:top w:w="60" w:type="dxa"/>
              <w:left w:w="100" w:type="dxa"/>
              <w:bottom w:w="60" w:type="dxa"/>
              <w:right w:w="100" w:type="dxa"/>
            </w:tcMar>
            <w:vAlign w:val="center"/>
          </w:tcPr>
          <w:p w14:paraId="24F6EC03"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0.001&gt;</w:t>
            </w:r>
          </w:p>
        </w:tc>
        <w:tc>
          <w:tcPr>
            <w:tcW w:w="681" w:type="pct"/>
            <w:shd w:val="clear" w:color="auto" w:fill="F2F2F2"/>
            <w:tcMar>
              <w:top w:w="60" w:type="dxa"/>
              <w:left w:w="100" w:type="dxa"/>
              <w:bottom w:w="60" w:type="dxa"/>
              <w:right w:w="100" w:type="dxa"/>
            </w:tcMar>
            <w:vAlign w:val="center"/>
          </w:tcPr>
          <w:p w14:paraId="2FC8E6C3" w14:textId="77777777" w:rsidR="007608E1" w:rsidRPr="00F153B7" w:rsidRDefault="007608E1" w:rsidP="00F153B7">
            <w:pPr>
              <w:bidi/>
              <w:spacing w:after="0" w:line="260" w:lineRule="auto"/>
              <w:jc w:val="center"/>
              <w:rPr>
                <w:sz w:val="24"/>
                <w:szCs w:val="24"/>
              </w:rPr>
            </w:pPr>
            <w:r w:rsidRPr="00F153B7">
              <w:rPr>
                <w:rFonts w:ascii="Traditional Arabic" w:eastAsia="Simplified Arabic" w:hAnsi="Traditional Arabic" w:cs="Traditional Arabic"/>
                <w:color w:val="000000"/>
                <w:sz w:val="24"/>
                <w:szCs w:val="24"/>
                <w:rtl/>
              </w:rPr>
              <w:t>دالة إحصائياً</w:t>
            </w:r>
          </w:p>
        </w:tc>
      </w:tr>
    </w:tbl>
    <w:p w14:paraId="34964993" w14:textId="77777777" w:rsidR="00F36ECD" w:rsidRDefault="007608E1" w:rsidP="00E000FF">
      <w:pPr>
        <w:pStyle w:val="TableCaption"/>
        <w:bidi/>
        <w:spacing w:after="0" w:line="300" w:lineRule="auto"/>
        <w:jc w:val="center"/>
        <w:rPr>
          <w:rFonts w:ascii="Simplified Arabic" w:eastAsia="Simplified Arabic" w:hAnsi="Simplified Arabic" w:cs="Simplified Arabic"/>
          <w:b/>
          <w:bCs/>
          <w:sz w:val="24"/>
          <w:szCs w:val="24"/>
          <w:rtl/>
        </w:rPr>
      </w:pPr>
      <w:r>
        <w:rPr>
          <w:rFonts w:ascii="Traditional Arabic" w:eastAsia="Simplified Arabic" w:hAnsi="Traditional Arabic" w:cs="Traditional Arabic"/>
          <w:b/>
          <w:bCs/>
          <w:sz w:val="24"/>
          <w:szCs w:val="24"/>
          <w:rtl/>
        </w:rPr>
        <w:t>جدول (4.24): نتائج اختبار مان-ويتني U للفروق بين المؤسسات المعتمِدة وغير المعتمِدة لتقنية الترميز</w:t>
      </w:r>
    </w:p>
    <w:p w14:paraId="58CFCCE9" w14:textId="77777777" w:rsidR="00F36ECD" w:rsidRDefault="00F36ECD" w:rsidP="00E000FF">
      <w:pPr>
        <w:bidi/>
        <w:spacing w:after="0" w:line="360" w:lineRule="auto"/>
        <w:jc w:val="both"/>
        <w:rPr>
          <w:rFonts w:ascii="Simplified Arabic" w:eastAsia="Simplified Arabic" w:hAnsi="Simplified Arabic" w:cs="Simplified Arabic"/>
          <w:b/>
          <w:bCs/>
          <w:sz w:val="24"/>
          <w:szCs w:val="24"/>
          <w:rtl/>
        </w:rPr>
      </w:pPr>
    </w:p>
    <w:p w14:paraId="784F7BC9" w14:textId="049164AC" w:rsidR="007608E1" w:rsidRPr="00F7361A" w:rsidRDefault="007608E1" w:rsidP="00E000FF">
      <w:pPr>
        <w:bidi/>
        <w:spacing w:after="0" w:line="360" w:lineRule="auto"/>
        <w:jc w:val="both"/>
        <w:rPr>
          <w:sz w:val="28"/>
          <w:szCs w:val="28"/>
        </w:rPr>
      </w:pPr>
      <w:r w:rsidRPr="00F7361A">
        <w:rPr>
          <w:rFonts w:ascii="Traditional Arabic" w:eastAsia="Simplified Arabic" w:hAnsi="Traditional Arabic" w:cs="Traditional Arabic"/>
          <w:sz w:val="28"/>
          <w:szCs w:val="28"/>
          <w:rtl/>
        </w:rPr>
        <w:t xml:space="preserve">أظهرت نتائج اختبار مان-ويتني U وجود فروق دالة إحصائياً بين المؤسسات المعتمِدة لتقنية الترميز وغير المعتمِدة لها على كلا البُعدين؛ إذ سجّلت المؤسسات المعتمِدة (ن = 162) متوسط استجابة أعلى على بُعد الامتثال للمعايير الدولية (4.663) مقارنة بالمؤسسات غير المعتمِدة (ن = 34، متوسط = 3.021) بقيمة (U = 5258.5، p </w:t>
      </w:r>
      <w:r w:rsidRPr="00F7361A">
        <w:rPr>
          <w:rFonts w:ascii="Traditional Arabic" w:eastAsia="Simplified Arabic" w:hAnsi="Traditional Arabic" w:cs="Traditional Arabic"/>
          <w:sz w:val="28"/>
          <w:szCs w:val="28"/>
          <w:rtl/>
        </w:rPr>
        <w:lastRenderedPageBreak/>
        <w:t>&lt; 0.001)، وكذلك على بُعد الأمن السيبراني المؤسسي (4.578 مقابل 3.054 على التوالي) بقيمة (U = 5201.5، p &lt; 0.001). وبذلك تُقبَل الفرضية الثالثة، أي توجد فروق ذات دلالة إحصائية في مستوى الامتثال التنظيمي والأمن السيبراني المُدرَك تُعزى إلى مستوى تبنّي المؤسسة لتقنية الترميز، لصالح المؤسسات المعتمِدة لها.</w:t>
      </w:r>
    </w:p>
    <w:p w14:paraId="1C4CBABE" w14:textId="77777777" w:rsidR="007608E1" w:rsidRPr="00F7361A" w:rsidRDefault="007608E1" w:rsidP="00E000FF">
      <w:pPr>
        <w:bidi/>
        <w:spacing w:after="0" w:line="360" w:lineRule="auto"/>
        <w:jc w:val="both"/>
        <w:rPr>
          <w:sz w:val="28"/>
          <w:szCs w:val="28"/>
        </w:rPr>
      </w:pPr>
      <w:r w:rsidRPr="00F7361A">
        <w:rPr>
          <w:rFonts w:ascii="Traditional Arabic" w:eastAsia="Simplified Arabic" w:hAnsi="Traditional Arabic" w:cs="Traditional Arabic"/>
          <w:b/>
          <w:bCs/>
          <w:sz w:val="28"/>
          <w:szCs w:val="28"/>
          <w:rtl/>
        </w:rPr>
        <w:t>الفرضية الرابعة (H4): يوجد أثر ذو دلالة إحصائية لتطبيق تقنية الترميز على كل من كفاءة العمليات المالية والأمن السيبراني المؤسسي (نموذج الانحدار المنقّح)</w:t>
      </w:r>
    </w:p>
    <w:p w14:paraId="3C68E0ED" w14:textId="77777777" w:rsidR="007608E1" w:rsidRPr="00F7361A" w:rsidRDefault="007608E1" w:rsidP="00E000FF">
      <w:pPr>
        <w:bidi/>
        <w:spacing w:after="0" w:line="360" w:lineRule="auto"/>
        <w:jc w:val="both"/>
        <w:rPr>
          <w:sz w:val="28"/>
          <w:szCs w:val="28"/>
        </w:rPr>
      </w:pPr>
      <w:r w:rsidRPr="00F7361A">
        <w:rPr>
          <w:rFonts w:ascii="Traditional Arabic" w:eastAsia="Simplified Arabic" w:hAnsi="Traditional Arabic" w:cs="Traditional Arabic"/>
          <w:b/>
          <w:bCs/>
          <w:sz w:val="28"/>
          <w:szCs w:val="28"/>
          <w:rtl/>
        </w:rPr>
        <w:t>الفرضية الخامسة (H5): توجد فروق ذات دلالة إحصائية في مستوى التوافق مع رؤية 2030 تُعزى إلى نوع المؤسسة المالية</w:t>
      </w:r>
    </w:p>
    <w:p w14:paraId="1E89BFE3" w14:textId="77777777" w:rsidR="007608E1" w:rsidRDefault="007608E1" w:rsidP="00E000FF">
      <w:pPr>
        <w:bidi/>
        <w:spacing w:after="0" w:line="360" w:lineRule="auto"/>
        <w:jc w:val="both"/>
      </w:pPr>
      <w:r w:rsidRPr="00F7361A">
        <w:rPr>
          <w:rFonts w:ascii="Traditional Arabic" w:eastAsia="Simplified Arabic" w:hAnsi="Traditional Arabic" w:cs="Traditional Arabic"/>
          <w:sz w:val="28"/>
          <w:szCs w:val="28"/>
          <w:rtl/>
        </w:rPr>
        <w:t xml:space="preserve">اختُبر هذا الفرض الفرعي باستخدام اختبار </w:t>
      </w:r>
      <w:proofErr w:type="spellStart"/>
      <w:r w:rsidRPr="00F7361A">
        <w:rPr>
          <w:rFonts w:ascii="Traditional Arabic" w:eastAsia="Simplified Arabic" w:hAnsi="Traditional Arabic" w:cs="Traditional Arabic"/>
          <w:sz w:val="28"/>
          <w:szCs w:val="28"/>
          <w:rtl/>
        </w:rPr>
        <w:t>كروسكال</w:t>
      </w:r>
      <w:proofErr w:type="spellEnd"/>
      <w:r w:rsidRPr="00F7361A">
        <w:rPr>
          <w:rFonts w:ascii="Traditional Arabic" w:eastAsia="Simplified Arabic" w:hAnsi="Traditional Arabic" w:cs="Traditional Arabic"/>
          <w:sz w:val="28"/>
          <w:szCs w:val="28"/>
          <w:rtl/>
        </w:rPr>
        <w:t>-واليس (</w:t>
      </w:r>
      <w:proofErr w:type="spellStart"/>
      <w:r w:rsidRPr="00F7361A">
        <w:rPr>
          <w:rFonts w:ascii="Traditional Arabic" w:eastAsia="Simplified Arabic" w:hAnsi="Traditional Arabic" w:cs="Traditional Arabic"/>
          <w:sz w:val="28"/>
          <w:szCs w:val="28"/>
          <w:rtl/>
        </w:rPr>
        <w:t>Kruskal-Wallis</w:t>
      </w:r>
      <w:proofErr w:type="spellEnd"/>
      <w:r w:rsidRPr="00F7361A">
        <w:rPr>
          <w:rFonts w:ascii="Traditional Arabic" w:eastAsia="Simplified Arabic" w:hAnsi="Traditional Arabic" w:cs="Traditional Arabic"/>
          <w:sz w:val="28"/>
          <w:szCs w:val="28"/>
          <w:rtl/>
        </w:rPr>
        <w:t>) للمقارنة بين المجموعات الثلاث لنوع المؤسسة (بنوك، فنتك ودفع إلكتروني، مؤسسات أخرى) على بُعد التوافق مع رؤية 2030.</w:t>
      </w:r>
    </w:p>
    <w:tbl>
      <w:tblPr>
        <w:bidiVisual/>
        <w:tblW w:w="5000" w:type="pc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3630"/>
        <w:gridCol w:w="2074"/>
        <w:gridCol w:w="2592"/>
      </w:tblGrid>
      <w:tr w:rsidR="007608E1" w:rsidRPr="00F7361A" w14:paraId="5C89CF3A" w14:textId="77777777" w:rsidTr="00036983">
        <w:trPr>
          <w:tblHeader/>
        </w:trPr>
        <w:tc>
          <w:tcPr>
            <w:tcW w:w="2188" w:type="pct"/>
            <w:shd w:val="clear" w:color="auto" w:fill="2E5395"/>
            <w:tcMar>
              <w:top w:w="60" w:type="dxa"/>
              <w:left w:w="100" w:type="dxa"/>
              <w:bottom w:w="60" w:type="dxa"/>
              <w:right w:w="100" w:type="dxa"/>
            </w:tcMar>
            <w:vAlign w:val="center"/>
          </w:tcPr>
          <w:p w14:paraId="25932E80"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b/>
                <w:bCs/>
                <w:color w:val="FFFFFF"/>
                <w:sz w:val="24"/>
                <w:szCs w:val="24"/>
                <w:rtl/>
              </w:rPr>
              <w:t>مجموعة نوع المؤسسة</w:t>
            </w:r>
          </w:p>
        </w:tc>
        <w:tc>
          <w:tcPr>
            <w:tcW w:w="1250" w:type="pct"/>
            <w:shd w:val="clear" w:color="auto" w:fill="2E5395"/>
            <w:tcMar>
              <w:top w:w="60" w:type="dxa"/>
              <w:left w:w="100" w:type="dxa"/>
              <w:bottom w:w="60" w:type="dxa"/>
              <w:right w:w="100" w:type="dxa"/>
            </w:tcMar>
            <w:vAlign w:val="center"/>
          </w:tcPr>
          <w:p w14:paraId="1A6B9F79"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b/>
                <w:bCs/>
                <w:color w:val="FFFFFF"/>
                <w:sz w:val="24"/>
                <w:szCs w:val="24"/>
                <w:rtl/>
              </w:rPr>
              <w:t>حجم المجموعة (ن)</w:t>
            </w:r>
          </w:p>
        </w:tc>
        <w:tc>
          <w:tcPr>
            <w:tcW w:w="1563" w:type="pct"/>
            <w:shd w:val="clear" w:color="auto" w:fill="2E5395"/>
            <w:tcMar>
              <w:top w:w="60" w:type="dxa"/>
              <w:left w:w="100" w:type="dxa"/>
              <w:bottom w:w="60" w:type="dxa"/>
              <w:right w:w="100" w:type="dxa"/>
            </w:tcMar>
            <w:vAlign w:val="center"/>
          </w:tcPr>
          <w:p w14:paraId="2DD19690"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b/>
                <w:bCs/>
                <w:color w:val="FFFFFF"/>
                <w:sz w:val="24"/>
                <w:szCs w:val="24"/>
                <w:rtl/>
              </w:rPr>
              <w:t>متوسط الرتب / الدرجة</w:t>
            </w:r>
          </w:p>
        </w:tc>
      </w:tr>
      <w:tr w:rsidR="007608E1" w:rsidRPr="00F7361A" w14:paraId="6CCD0F41" w14:textId="77777777" w:rsidTr="00036983">
        <w:tc>
          <w:tcPr>
            <w:tcW w:w="2188" w:type="pct"/>
            <w:tcMar>
              <w:top w:w="60" w:type="dxa"/>
              <w:left w:w="100" w:type="dxa"/>
              <w:bottom w:w="60" w:type="dxa"/>
              <w:right w:w="100" w:type="dxa"/>
            </w:tcMar>
            <w:vAlign w:val="center"/>
          </w:tcPr>
          <w:p w14:paraId="2DDFD7C3"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مؤسسات أخرى</w:t>
            </w:r>
          </w:p>
        </w:tc>
        <w:tc>
          <w:tcPr>
            <w:tcW w:w="1250" w:type="pct"/>
            <w:tcMar>
              <w:top w:w="60" w:type="dxa"/>
              <w:left w:w="100" w:type="dxa"/>
              <w:bottom w:w="60" w:type="dxa"/>
              <w:right w:w="100" w:type="dxa"/>
            </w:tcMar>
            <w:vAlign w:val="center"/>
          </w:tcPr>
          <w:p w14:paraId="7F6518B2"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62</w:t>
            </w:r>
          </w:p>
        </w:tc>
        <w:tc>
          <w:tcPr>
            <w:tcW w:w="1563" w:type="pct"/>
            <w:tcMar>
              <w:top w:w="60" w:type="dxa"/>
              <w:left w:w="100" w:type="dxa"/>
              <w:bottom w:w="60" w:type="dxa"/>
              <w:right w:w="100" w:type="dxa"/>
            </w:tcMar>
            <w:vAlign w:val="center"/>
          </w:tcPr>
          <w:p w14:paraId="64716218"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3.906</w:t>
            </w:r>
          </w:p>
        </w:tc>
      </w:tr>
      <w:tr w:rsidR="007608E1" w:rsidRPr="00F7361A" w14:paraId="00543583" w14:textId="77777777" w:rsidTr="00036983">
        <w:tc>
          <w:tcPr>
            <w:tcW w:w="2188" w:type="pct"/>
            <w:shd w:val="clear" w:color="auto" w:fill="F2F2F2"/>
            <w:tcMar>
              <w:top w:w="60" w:type="dxa"/>
              <w:left w:w="100" w:type="dxa"/>
              <w:bottom w:w="60" w:type="dxa"/>
              <w:right w:w="100" w:type="dxa"/>
            </w:tcMar>
            <w:vAlign w:val="center"/>
          </w:tcPr>
          <w:p w14:paraId="11CF16F8"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بنوك</w:t>
            </w:r>
          </w:p>
        </w:tc>
        <w:tc>
          <w:tcPr>
            <w:tcW w:w="1250" w:type="pct"/>
            <w:shd w:val="clear" w:color="auto" w:fill="F2F2F2"/>
            <w:tcMar>
              <w:top w:w="60" w:type="dxa"/>
              <w:left w:w="100" w:type="dxa"/>
              <w:bottom w:w="60" w:type="dxa"/>
              <w:right w:w="100" w:type="dxa"/>
            </w:tcMar>
            <w:vAlign w:val="center"/>
          </w:tcPr>
          <w:p w14:paraId="50B0E05D"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87</w:t>
            </w:r>
          </w:p>
        </w:tc>
        <w:tc>
          <w:tcPr>
            <w:tcW w:w="1563" w:type="pct"/>
            <w:shd w:val="clear" w:color="auto" w:fill="F2F2F2"/>
            <w:tcMar>
              <w:top w:w="60" w:type="dxa"/>
              <w:left w:w="100" w:type="dxa"/>
              <w:bottom w:w="60" w:type="dxa"/>
              <w:right w:w="100" w:type="dxa"/>
            </w:tcMar>
            <w:vAlign w:val="center"/>
          </w:tcPr>
          <w:p w14:paraId="2C9C3970"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4.695</w:t>
            </w:r>
          </w:p>
        </w:tc>
      </w:tr>
      <w:tr w:rsidR="007608E1" w:rsidRPr="00F7361A" w14:paraId="71B10A8E" w14:textId="77777777" w:rsidTr="00036983">
        <w:tc>
          <w:tcPr>
            <w:tcW w:w="2188" w:type="pct"/>
            <w:tcMar>
              <w:top w:w="60" w:type="dxa"/>
              <w:left w:w="100" w:type="dxa"/>
              <w:bottom w:w="60" w:type="dxa"/>
              <w:right w:w="100" w:type="dxa"/>
            </w:tcMar>
            <w:vAlign w:val="center"/>
          </w:tcPr>
          <w:p w14:paraId="3995A26E"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فنتك ودفع إلكتروني</w:t>
            </w:r>
          </w:p>
        </w:tc>
        <w:tc>
          <w:tcPr>
            <w:tcW w:w="1250" w:type="pct"/>
            <w:tcMar>
              <w:top w:w="60" w:type="dxa"/>
              <w:left w:w="100" w:type="dxa"/>
              <w:bottom w:w="60" w:type="dxa"/>
              <w:right w:w="100" w:type="dxa"/>
            </w:tcMar>
            <w:vAlign w:val="center"/>
          </w:tcPr>
          <w:p w14:paraId="3C852683"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47</w:t>
            </w:r>
          </w:p>
        </w:tc>
        <w:tc>
          <w:tcPr>
            <w:tcW w:w="1563" w:type="pct"/>
            <w:tcMar>
              <w:top w:w="60" w:type="dxa"/>
              <w:left w:w="100" w:type="dxa"/>
              <w:bottom w:w="60" w:type="dxa"/>
              <w:right w:w="100" w:type="dxa"/>
            </w:tcMar>
            <w:vAlign w:val="center"/>
          </w:tcPr>
          <w:p w14:paraId="5B233B91" w14:textId="77777777" w:rsidR="007608E1" w:rsidRPr="00F7361A" w:rsidRDefault="007608E1" w:rsidP="00E000FF">
            <w:pPr>
              <w:bidi/>
              <w:spacing w:after="0" w:line="260" w:lineRule="auto"/>
              <w:jc w:val="center"/>
              <w:rPr>
                <w:sz w:val="24"/>
                <w:szCs w:val="24"/>
              </w:rPr>
            </w:pPr>
            <w:r w:rsidRPr="00F7361A">
              <w:rPr>
                <w:rFonts w:ascii="Traditional Arabic" w:eastAsia="Simplified Arabic" w:hAnsi="Traditional Arabic" w:cs="Traditional Arabic"/>
                <w:color w:val="000000"/>
                <w:sz w:val="24"/>
                <w:szCs w:val="24"/>
                <w:rtl/>
              </w:rPr>
              <w:t>4.840</w:t>
            </w:r>
          </w:p>
        </w:tc>
      </w:tr>
    </w:tbl>
    <w:p w14:paraId="2FEEE478"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(4.25): المتوسطات الحسابية لبُعد التوافق مع رؤية 2030 حسب مجموعات نوع المؤسسة (H = 61.326, p 0.001&gt;)</w:t>
      </w:r>
    </w:p>
    <w:p w14:paraId="7ABFA53C" w14:textId="77777777" w:rsidR="007608E1" w:rsidRPr="003620CC" w:rsidRDefault="007608E1" w:rsidP="00E000FF">
      <w:pPr>
        <w:bidi/>
        <w:spacing w:after="0" w:line="360" w:lineRule="auto"/>
        <w:jc w:val="both"/>
        <w:rPr>
          <w:sz w:val="26"/>
          <w:szCs w:val="26"/>
        </w:rPr>
      </w:pPr>
      <w:r w:rsidRPr="003620CC">
        <w:rPr>
          <w:rFonts w:ascii="Traditional Arabic" w:eastAsia="Simplified Arabic" w:hAnsi="Traditional Arabic" w:cs="Traditional Arabic"/>
          <w:sz w:val="28"/>
          <w:szCs w:val="28"/>
          <w:rtl/>
        </w:rPr>
        <w:t xml:space="preserve">أظهرت نتائج اختبار </w:t>
      </w:r>
      <w:proofErr w:type="spellStart"/>
      <w:r w:rsidRPr="003620CC">
        <w:rPr>
          <w:rFonts w:ascii="Traditional Arabic" w:eastAsia="Simplified Arabic" w:hAnsi="Traditional Arabic" w:cs="Traditional Arabic"/>
          <w:sz w:val="28"/>
          <w:szCs w:val="28"/>
          <w:rtl/>
        </w:rPr>
        <w:t>كروسكال</w:t>
      </w:r>
      <w:proofErr w:type="spellEnd"/>
      <w:r w:rsidRPr="003620CC">
        <w:rPr>
          <w:rFonts w:ascii="Traditional Arabic" w:eastAsia="Simplified Arabic" w:hAnsi="Traditional Arabic" w:cs="Traditional Arabic"/>
          <w:sz w:val="28"/>
          <w:szCs w:val="28"/>
          <w:rtl/>
        </w:rPr>
        <w:t xml:space="preserve">-واليس وجود فروق دالة إحصائياً في مستوى التوافق مع رؤية 2030 تُعزى إلى نوع المؤسسة (H = 61.326، p &lt; 0.001)، إذ سجّلت مؤسسات </w:t>
      </w:r>
      <w:proofErr w:type="spellStart"/>
      <w:r w:rsidRPr="003620CC">
        <w:rPr>
          <w:rFonts w:ascii="Traditional Arabic" w:eastAsia="Simplified Arabic" w:hAnsi="Traditional Arabic" w:cs="Traditional Arabic"/>
          <w:sz w:val="28"/>
          <w:szCs w:val="28"/>
          <w:rtl/>
        </w:rPr>
        <w:t>الفنتك</w:t>
      </w:r>
      <w:proofErr w:type="spellEnd"/>
      <w:r w:rsidRPr="003620CC">
        <w:rPr>
          <w:rFonts w:ascii="Traditional Arabic" w:eastAsia="Simplified Arabic" w:hAnsi="Traditional Arabic" w:cs="Traditional Arabic"/>
          <w:sz w:val="28"/>
          <w:szCs w:val="28"/>
          <w:rtl/>
        </w:rPr>
        <w:t xml:space="preserve"> والدفع الإلكتروني أعلى متوسط (4.840)، تلتها البنوك (4.695)، ثم المؤسسات المالية الأخرى (شركات التأمين والمؤسسات المالية الأخرى) بمتوسط أقل (3.906). وبذلك تُقبَل الفرضية الخامسة، أي توجد فروق ذات دلالة إحصائية في مستوى التوافق المُدرَك مع رؤية 2030 تُعزى إلى نوع المؤسسة المالية، لصالح المؤسسات الرقمية الأكثر ارتباطاً تقنياً بمبادرات التحول الرقمي المالي.</w:t>
      </w:r>
    </w:p>
    <w:p w14:paraId="2532E03E"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ملخص نتائج اختبار الفرضيات</w:t>
      </w:r>
    </w:p>
    <w:tbl>
      <w:tblPr>
        <w:bidiVisual/>
        <w:tblW w:w="8297"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713"/>
        <w:gridCol w:w="2982"/>
        <w:gridCol w:w="1685"/>
        <w:gridCol w:w="1880"/>
        <w:gridCol w:w="1037"/>
      </w:tblGrid>
      <w:tr w:rsidR="005D691F" w:rsidRPr="003620CC" w14:paraId="177901F4" w14:textId="77777777" w:rsidTr="003620CC">
        <w:tc>
          <w:tcPr>
            <w:tcW w:w="713" w:type="dxa"/>
            <w:shd w:val="clear" w:color="auto" w:fill="DCE9F5"/>
            <w:vAlign w:val="center"/>
          </w:tcPr>
          <w:p w14:paraId="3DAC869F"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b/>
                <w:bCs/>
                <w:sz w:val="24"/>
                <w:szCs w:val="24"/>
                <w:rtl/>
              </w:rPr>
              <w:t>الفرض</w:t>
            </w:r>
          </w:p>
        </w:tc>
        <w:tc>
          <w:tcPr>
            <w:tcW w:w="2982" w:type="dxa"/>
            <w:shd w:val="clear" w:color="auto" w:fill="DCE9F5"/>
            <w:vAlign w:val="center"/>
          </w:tcPr>
          <w:p w14:paraId="1EB56951"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b/>
                <w:bCs/>
                <w:sz w:val="24"/>
                <w:szCs w:val="24"/>
                <w:rtl/>
              </w:rPr>
              <w:t>مضمون الفرض</w:t>
            </w:r>
          </w:p>
        </w:tc>
        <w:tc>
          <w:tcPr>
            <w:tcW w:w="1685" w:type="dxa"/>
            <w:shd w:val="clear" w:color="auto" w:fill="DCE9F5"/>
            <w:vAlign w:val="center"/>
          </w:tcPr>
          <w:p w14:paraId="3095FCF4"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b/>
                <w:bCs/>
                <w:sz w:val="24"/>
                <w:szCs w:val="24"/>
                <w:rtl/>
              </w:rPr>
              <w:t>الاختبار المستخدم</w:t>
            </w:r>
          </w:p>
        </w:tc>
        <w:tc>
          <w:tcPr>
            <w:tcW w:w="1880" w:type="dxa"/>
            <w:shd w:val="clear" w:color="auto" w:fill="DCE9F5"/>
            <w:vAlign w:val="center"/>
          </w:tcPr>
          <w:p w14:paraId="0515DCC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b/>
                <w:bCs/>
                <w:sz w:val="24"/>
                <w:szCs w:val="24"/>
                <w:rtl/>
              </w:rPr>
              <w:t>النتيجة الإحصائية</w:t>
            </w:r>
          </w:p>
        </w:tc>
        <w:tc>
          <w:tcPr>
            <w:tcW w:w="1037" w:type="dxa"/>
            <w:shd w:val="clear" w:color="auto" w:fill="DCE9F5"/>
            <w:vAlign w:val="center"/>
          </w:tcPr>
          <w:p w14:paraId="32C3AAB7"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b/>
                <w:bCs/>
                <w:sz w:val="24"/>
                <w:szCs w:val="24"/>
                <w:rtl/>
              </w:rPr>
              <w:t>القرار</w:t>
            </w:r>
          </w:p>
        </w:tc>
      </w:tr>
      <w:tr w:rsidR="005D691F" w:rsidRPr="003620CC" w14:paraId="1A236ADE" w14:textId="77777777" w:rsidTr="003620CC">
        <w:tc>
          <w:tcPr>
            <w:tcW w:w="713" w:type="dxa"/>
            <w:vAlign w:val="center"/>
          </w:tcPr>
          <w:p w14:paraId="184CAE7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H1</w:t>
            </w:r>
          </w:p>
        </w:tc>
        <w:tc>
          <w:tcPr>
            <w:tcW w:w="2982" w:type="dxa"/>
            <w:vAlign w:val="center"/>
          </w:tcPr>
          <w:p w14:paraId="50CD768D"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تطبيق الترميز على الأمن السيبراني المؤسسي</w:t>
            </w:r>
          </w:p>
        </w:tc>
        <w:tc>
          <w:tcPr>
            <w:tcW w:w="1685" w:type="dxa"/>
            <w:vAlign w:val="center"/>
          </w:tcPr>
          <w:p w14:paraId="7549D3F7"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 xml:space="preserve">ارتباط </w:t>
            </w:r>
            <w:proofErr w:type="spellStart"/>
            <w:r w:rsidRPr="003620CC">
              <w:rPr>
                <w:rFonts w:ascii="Traditional Arabic" w:hAnsi="Traditional Arabic" w:cs="Traditional Arabic"/>
                <w:sz w:val="24"/>
                <w:szCs w:val="24"/>
                <w:rtl/>
              </w:rPr>
              <w:t>سبيرمان</w:t>
            </w:r>
            <w:proofErr w:type="spellEnd"/>
          </w:p>
        </w:tc>
        <w:tc>
          <w:tcPr>
            <w:tcW w:w="1880" w:type="dxa"/>
            <w:vAlign w:val="center"/>
          </w:tcPr>
          <w:p w14:paraId="2C55954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r = 0.641, p &lt; 0.001</w:t>
            </w:r>
          </w:p>
        </w:tc>
        <w:tc>
          <w:tcPr>
            <w:tcW w:w="1037" w:type="dxa"/>
            <w:vAlign w:val="center"/>
          </w:tcPr>
          <w:p w14:paraId="6A4CAA0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0B7BE6A0" w14:textId="77777777" w:rsidTr="003620CC">
        <w:tc>
          <w:tcPr>
            <w:tcW w:w="713" w:type="dxa"/>
            <w:vAlign w:val="center"/>
          </w:tcPr>
          <w:p w14:paraId="5BC79373"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lastRenderedPageBreak/>
              <w:t>H1a</w:t>
            </w:r>
          </w:p>
        </w:tc>
        <w:tc>
          <w:tcPr>
            <w:tcW w:w="2982" w:type="dxa"/>
            <w:vAlign w:val="center"/>
          </w:tcPr>
          <w:p w14:paraId="12708396"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الترميز الأمني للبيانات على الأمن السيبراني</w:t>
            </w:r>
          </w:p>
        </w:tc>
        <w:tc>
          <w:tcPr>
            <w:tcW w:w="1685" w:type="dxa"/>
            <w:vAlign w:val="center"/>
          </w:tcPr>
          <w:p w14:paraId="0174DF0C"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انحدار منقّح</w:t>
            </w:r>
          </w:p>
        </w:tc>
        <w:tc>
          <w:tcPr>
            <w:tcW w:w="1880" w:type="dxa"/>
            <w:vAlign w:val="center"/>
          </w:tcPr>
          <w:p w14:paraId="7B9D82C2"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B = 0.329, p &lt; 0.001</w:t>
            </w:r>
          </w:p>
        </w:tc>
        <w:tc>
          <w:tcPr>
            <w:tcW w:w="1037" w:type="dxa"/>
            <w:vAlign w:val="center"/>
          </w:tcPr>
          <w:p w14:paraId="64AE3D8B"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661AEF06" w14:textId="77777777" w:rsidTr="003620CC">
        <w:tc>
          <w:tcPr>
            <w:tcW w:w="713" w:type="dxa"/>
            <w:vAlign w:val="center"/>
          </w:tcPr>
          <w:p w14:paraId="2B4B358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H1b</w:t>
            </w:r>
          </w:p>
        </w:tc>
        <w:tc>
          <w:tcPr>
            <w:tcW w:w="2982" w:type="dxa"/>
            <w:vAlign w:val="center"/>
          </w:tcPr>
          <w:p w14:paraId="7F517F17"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الامتثال للمعايير الدولية على الأمن السيبراني</w:t>
            </w:r>
          </w:p>
        </w:tc>
        <w:tc>
          <w:tcPr>
            <w:tcW w:w="1685" w:type="dxa"/>
            <w:vAlign w:val="center"/>
          </w:tcPr>
          <w:p w14:paraId="748589A4"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انحدار منقّح</w:t>
            </w:r>
          </w:p>
        </w:tc>
        <w:tc>
          <w:tcPr>
            <w:tcW w:w="1880" w:type="dxa"/>
            <w:vAlign w:val="center"/>
          </w:tcPr>
          <w:p w14:paraId="41FE552F"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B = 0.557, p &lt; 0.001</w:t>
            </w:r>
          </w:p>
        </w:tc>
        <w:tc>
          <w:tcPr>
            <w:tcW w:w="1037" w:type="dxa"/>
            <w:vAlign w:val="center"/>
          </w:tcPr>
          <w:p w14:paraId="5516C89C"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5915F0E8" w14:textId="77777777" w:rsidTr="003620CC">
        <w:tc>
          <w:tcPr>
            <w:tcW w:w="713" w:type="dxa"/>
            <w:vAlign w:val="center"/>
          </w:tcPr>
          <w:p w14:paraId="325097AA"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H2</w:t>
            </w:r>
          </w:p>
        </w:tc>
        <w:tc>
          <w:tcPr>
            <w:tcW w:w="2982" w:type="dxa"/>
            <w:vAlign w:val="center"/>
          </w:tcPr>
          <w:p w14:paraId="58D7307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تطبيق الترميز على الكفاءة التشغيلية المالية</w:t>
            </w:r>
          </w:p>
        </w:tc>
        <w:tc>
          <w:tcPr>
            <w:tcW w:w="1685" w:type="dxa"/>
            <w:vAlign w:val="center"/>
          </w:tcPr>
          <w:p w14:paraId="526B520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 xml:space="preserve">ارتباط </w:t>
            </w:r>
            <w:proofErr w:type="spellStart"/>
            <w:r w:rsidRPr="003620CC">
              <w:rPr>
                <w:rFonts w:ascii="Traditional Arabic" w:hAnsi="Traditional Arabic" w:cs="Traditional Arabic"/>
                <w:sz w:val="24"/>
                <w:szCs w:val="24"/>
                <w:rtl/>
              </w:rPr>
              <w:t>سبيرمان</w:t>
            </w:r>
            <w:proofErr w:type="spellEnd"/>
          </w:p>
        </w:tc>
        <w:tc>
          <w:tcPr>
            <w:tcW w:w="1880" w:type="dxa"/>
            <w:vAlign w:val="center"/>
          </w:tcPr>
          <w:p w14:paraId="7A366F44"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r = 0.625, p &lt; 0.001</w:t>
            </w:r>
          </w:p>
        </w:tc>
        <w:tc>
          <w:tcPr>
            <w:tcW w:w="1037" w:type="dxa"/>
            <w:vAlign w:val="center"/>
          </w:tcPr>
          <w:p w14:paraId="155781A9"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671113E5" w14:textId="77777777" w:rsidTr="003620CC">
        <w:tc>
          <w:tcPr>
            <w:tcW w:w="713" w:type="dxa"/>
            <w:vAlign w:val="center"/>
          </w:tcPr>
          <w:p w14:paraId="39C7DD2E"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H2a</w:t>
            </w:r>
          </w:p>
        </w:tc>
        <w:tc>
          <w:tcPr>
            <w:tcW w:w="2982" w:type="dxa"/>
            <w:vAlign w:val="center"/>
          </w:tcPr>
          <w:p w14:paraId="437D12F0"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الترميز الأمني للبيانات على الكفاءة التشغيلية</w:t>
            </w:r>
          </w:p>
        </w:tc>
        <w:tc>
          <w:tcPr>
            <w:tcW w:w="1685" w:type="dxa"/>
            <w:vAlign w:val="center"/>
          </w:tcPr>
          <w:p w14:paraId="304C6A3D"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انحدار منقّح</w:t>
            </w:r>
          </w:p>
        </w:tc>
        <w:tc>
          <w:tcPr>
            <w:tcW w:w="1880" w:type="dxa"/>
            <w:vAlign w:val="center"/>
          </w:tcPr>
          <w:p w14:paraId="7E9472F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B = 0.173, p = 0.002</w:t>
            </w:r>
          </w:p>
        </w:tc>
        <w:tc>
          <w:tcPr>
            <w:tcW w:w="1037" w:type="dxa"/>
            <w:vAlign w:val="center"/>
          </w:tcPr>
          <w:p w14:paraId="200B282D"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464B139A" w14:textId="77777777" w:rsidTr="003620CC">
        <w:tc>
          <w:tcPr>
            <w:tcW w:w="713" w:type="dxa"/>
            <w:vAlign w:val="center"/>
          </w:tcPr>
          <w:p w14:paraId="15353852"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H2b</w:t>
            </w:r>
          </w:p>
        </w:tc>
        <w:tc>
          <w:tcPr>
            <w:tcW w:w="2982" w:type="dxa"/>
            <w:vAlign w:val="center"/>
          </w:tcPr>
          <w:p w14:paraId="35BE6C7E"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أثر الامتثال للمعايير الدولية على الكفاءة التشغيلية</w:t>
            </w:r>
          </w:p>
        </w:tc>
        <w:tc>
          <w:tcPr>
            <w:tcW w:w="1685" w:type="dxa"/>
            <w:vAlign w:val="center"/>
          </w:tcPr>
          <w:p w14:paraId="6554FB4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انحدار منقّح</w:t>
            </w:r>
          </w:p>
        </w:tc>
        <w:tc>
          <w:tcPr>
            <w:tcW w:w="1880" w:type="dxa"/>
            <w:vAlign w:val="center"/>
          </w:tcPr>
          <w:p w14:paraId="0838ED60"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B = 0.677, p &lt; 0.001</w:t>
            </w:r>
          </w:p>
        </w:tc>
        <w:tc>
          <w:tcPr>
            <w:tcW w:w="1037" w:type="dxa"/>
            <w:vAlign w:val="center"/>
          </w:tcPr>
          <w:p w14:paraId="0AF724CA"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473197A2" w14:textId="77777777" w:rsidTr="003620CC">
        <w:tc>
          <w:tcPr>
            <w:tcW w:w="713" w:type="dxa"/>
            <w:vAlign w:val="center"/>
          </w:tcPr>
          <w:p w14:paraId="493BD9F4"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H3a</w:t>
            </w:r>
          </w:p>
        </w:tc>
        <w:tc>
          <w:tcPr>
            <w:tcW w:w="2982" w:type="dxa"/>
            <w:vAlign w:val="center"/>
          </w:tcPr>
          <w:p w14:paraId="18254BC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فروق تُعزى إلى مستوى تبنّي التقنية</w:t>
            </w:r>
          </w:p>
        </w:tc>
        <w:tc>
          <w:tcPr>
            <w:tcW w:w="1685" w:type="dxa"/>
            <w:vAlign w:val="center"/>
          </w:tcPr>
          <w:p w14:paraId="69D88E2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مان-ويتني U</w:t>
            </w:r>
          </w:p>
        </w:tc>
        <w:tc>
          <w:tcPr>
            <w:tcW w:w="1880" w:type="dxa"/>
            <w:vAlign w:val="center"/>
          </w:tcPr>
          <w:p w14:paraId="33D20985"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p &lt; 0.001 للبُعدين</w:t>
            </w:r>
          </w:p>
        </w:tc>
        <w:tc>
          <w:tcPr>
            <w:tcW w:w="1037" w:type="dxa"/>
            <w:vAlign w:val="center"/>
          </w:tcPr>
          <w:p w14:paraId="1BC3F242"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r w:rsidR="005D691F" w:rsidRPr="003620CC" w14:paraId="5A191A4B" w14:textId="77777777" w:rsidTr="003620CC">
        <w:tc>
          <w:tcPr>
            <w:tcW w:w="713" w:type="dxa"/>
            <w:vAlign w:val="center"/>
          </w:tcPr>
          <w:p w14:paraId="5492EA88"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H3b</w:t>
            </w:r>
          </w:p>
        </w:tc>
        <w:tc>
          <w:tcPr>
            <w:tcW w:w="2982" w:type="dxa"/>
            <w:vAlign w:val="center"/>
          </w:tcPr>
          <w:p w14:paraId="233C4497"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فروق في التوافق مع رؤية 2030 تُعزى إلى نوع المؤسسة</w:t>
            </w:r>
          </w:p>
        </w:tc>
        <w:tc>
          <w:tcPr>
            <w:tcW w:w="1685" w:type="dxa"/>
            <w:vAlign w:val="center"/>
          </w:tcPr>
          <w:p w14:paraId="5A201EE2" w14:textId="77777777" w:rsidR="005D691F" w:rsidRPr="003620CC" w:rsidRDefault="00F4227D" w:rsidP="003620CC">
            <w:pPr>
              <w:bidi/>
              <w:spacing w:after="0" w:line="260" w:lineRule="auto"/>
              <w:jc w:val="center"/>
              <w:rPr>
                <w:sz w:val="24"/>
                <w:szCs w:val="24"/>
              </w:rPr>
            </w:pPr>
            <w:proofErr w:type="spellStart"/>
            <w:r w:rsidRPr="003620CC">
              <w:rPr>
                <w:rFonts w:ascii="Traditional Arabic" w:hAnsi="Traditional Arabic" w:cs="Traditional Arabic"/>
                <w:sz w:val="24"/>
                <w:szCs w:val="24"/>
                <w:rtl/>
              </w:rPr>
              <w:t>كروسكال</w:t>
            </w:r>
            <w:proofErr w:type="spellEnd"/>
            <w:r w:rsidRPr="003620CC">
              <w:rPr>
                <w:rFonts w:ascii="Traditional Arabic" w:hAnsi="Traditional Arabic" w:cs="Traditional Arabic"/>
                <w:sz w:val="24"/>
                <w:szCs w:val="24"/>
                <w:rtl/>
              </w:rPr>
              <w:t>-واليس</w:t>
            </w:r>
          </w:p>
        </w:tc>
        <w:tc>
          <w:tcPr>
            <w:tcW w:w="1880" w:type="dxa"/>
            <w:vAlign w:val="center"/>
          </w:tcPr>
          <w:p w14:paraId="1D4DAFA0"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H = 61.326, p &lt; 0.001</w:t>
            </w:r>
          </w:p>
        </w:tc>
        <w:tc>
          <w:tcPr>
            <w:tcW w:w="1037" w:type="dxa"/>
            <w:vAlign w:val="center"/>
          </w:tcPr>
          <w:p w14:paraId="485759B4" w14:textId="77777777" w:rsidR="005D691F" w:rsidRPr="003620CC" w:rsidRDefault="00F4227D" w:rsidP="003620CC">
            <w:pPr>
              <w:bidi/>
              <w:spacing w:after="0" w:line="260" w:lineRule="auto"/>
              <w:jc w:val="center"/>
              <w:rPr>
                <w:sz w:val="24"/>
                <w:szCs w:val="24"/>
              </w:rPr>
            </w:pPr>
            <w:r w:rsidRPr="003620CC">
              <w:rPr>
                <w:rFonts w:ascii="Traditional Arabic" w:hAnsi="Traditional Arabic" w:cs="Traditional Arabic"/>
                <w:sz w:val="24"/>
                <w:szCs w:val="24"/>
                <w:rtl/>
              </w:rPr>
              <w:t>مقبول</w:t>
            </w:r>
          </w:p>
        </w:tc>
      </w:tr>
    </w:tbl>
    <w:p w14:paraId="20E7AAB6"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(4.26): ملخص نتائج اختبار فروض الدراسة</w:t>
      </w:r>
    </w:p>
    <w:p w14:paraId="728CBA17"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يتضح من الجدول أعلاه قبول جميع فروض الدراسة الرئيسة وفروعها عند مستوى دلالة (0.01)، مما يؤكد وجود أثر إيجابي دال إحصائياً لتطبيق تقنية الترميز بأبعاده على تعزيز الأمن السيبراني المؤسسي والكفاءة التشغيلية المالية في المؤسسات المالية السعودية، ووجود فروق دالة تُعزى إلى مستوى تبنّي التقنية وإلى نوع المؤسسة.</w:t>
      </w:r>
    </w:p>
    <w:p w14:paraId="1BCC0A7B"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b/>
          <w:bCs/>
          <w:sz w:val="28"/>
          <w:szCs w:val="28"/>
          <w:u w:val="single"/>
          <w:rtl/>
        </w:rPr>
        <w:t>سادساً: نماذج الانحدار المنقّح</w:t>
      </w:r>
    </w:p>
    <w:p w14:paraId="7DBAC98D"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يتناول هذا الجزء عرض نتائج نموذجي الانحدار المنقّح (</w:t>
      </w:r>
      <w:proofErr w:type="spellStart"/>
      <w:r w:rsidRPr="003620CC">
        <w:rPr>
          <w:rFonts w:ascii="Traditional Arabic" w:eastAsia="Simplified Arabic" w:hAnsi="Traditional Arabic" w:cs="Traditional Arabic"/>
          <w:sz w:val="28"/>
          <w:szCs w:val="28"/>
          <w:rtl/>
        </w:rPr>
        <w:t>Robust</w:t>
      </w:r>
      <w:proofErr w:type="spellEnd"/>
      <w:r w:rsidRPr="003620CC">
        <w:rPr>
          <w:rFonts w:ascii="Traditional Arabic" w:eastAsia="Simplified Arabic" w:hAnsi="Traditional Arabic" w:cs="Traditional Arabic"/>
          <w:sz w:val="28"/>
          <w:szCs w:val="28"/>
          <w:rtl/>
        </w:rPr>
        <w:t xml:space="preserve"> </w:t>
      </w:r>
      <w:proofErr w:type="spellStart"/>
      <w:r w:rsidRPr="003620CC">
        <w:rPr>
          <w:rFonts w:ascii="Traditional Arabic" w:eastAsia="Simplified Arabic" w:hAnsi="Traditional Arabic" w:cs="Traditional Arabic"/>
          <w:sz w:val="28"/>
          <w:szCs w:val="28"/>
          <w:rtl/>
        </w:rPr>
        <w:t>Regression</w:t>
      </w:r>
      <w:proofErr w:type="spellEnd"/>
      <w:r w:rsidRPr="003620CC">
        <w:rPr>
          <w:rFonts w:ascii="Traditional Arabic" w:eastAsia="Simplified Arabic" w:hAnsi="Traditional Arabic" w:cs="Traditional Arabic"/>
          <w:sz w:val="28"/>
          <w:szCs w:val="28"/>
          <w:rtl/>
        </w:rPr>
        <w:t xml:space="preserve">) المستخدَمين لاختبار الفرضية الرابعة، من حيث معاملات التأثير والقوة التفسيرية للنماذج ودلالة العلاقات بين المتغيرات، وذلك باستخدام أسلوب الانحدار المنقّح المعتمد على دالة وزن </w:t>
      </w:r>
      <w:proofErr w:type="spellStart"/>
      <w:r w:rsidRPr="003620CC">
        <w:rPr>
          <w:rFonts w:ascii="Traditional Arabic" w:eastAsia="Simplified Arabic" w:hAnsi="Traditional Arabic" w:cs="Traditional Arabic"/>
          <w:sz w:val="28"/>
          <w:szCs w:val="28"/>
          <w:rtl/>
        </w:rPr>
        <w:t>Huber</w:t>
      </w:r>
      <w:proofErr w:type="spellEnd"/>
      <w:r w:rsidRPr="003620CC">
        <w:rPr>
          <w:rFonts w:ascii="Traditional Arabic" w:eastAsia="Simplified Arabic" w:hAnsi="Traditional Arabic" w:cs="Traditional Arabic"/>
          <w:sz w:val="28"/>
          <w:szCs w:val="28"/>
          <w:rtl/>
        </w:rPr>
        <w:t xml:space="preserve"> (</w:t>
      </w:r>
      <w:proofErr w:type="spellStart"/>
      <w:r w:rsidRPr="003620CC">
        <w:rPr>
          <w:rFonts w:ascii="Traditional Arabic" w:eastAsia="Simplified Arabic" w:hAnsi="Traditional Arabic" w:cs="Traditional Arabic"/>
          <w:sz w:val="28"/>
          <w:szCs w:val="28"/>
          <w:rtl/>
        </w:rPr>
        <w:t>Huber's</w:t>
      </w:r>
      <w:proofErr w:type="spellEnd"/>
      <w:r w:rsidRPr="003620CC">
        <w:rPr>
          <w:rFonts w:ascii="Traditional Arabic" w:eastAsia="Simplified Arabic" w:hAnsi="Traditional Arabic" w:cs="Traditional Arabic"/>
          <w:sz w:val="28"/>
          <w:szCs w:val="28"/>
          <w:rtl/>
        </w:rPr>
        <w:t xml:space="preserve"> T)، بوصفه أسلوباً مقاوماً لعدم التوزيع الطبيعي والقيم المتطرفة التي أظهرها اختبار شابيرو-ويلك في الجزء الرابع من هذا الفصل.</w:t>
      </w:r>
    </w:p>
    <w:p w14:paraId="01D32142"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النموذج الأول: أثر تطبيق تقنية الترميز على الكفاءة التشغيلية المالية</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51"/>
        <w:gridCol w:w="1843"/>
        <w:gridCol w:w="1659"/>
        <w:gridCol w:w="1843"/>
      </w:tblGrid>
      <w:tr w:rsidR="007608E1" w:rsidRPr="003620CC" w14:paraId="3147368B" w14:textId="77777777" w:rsidTr="003620CC">
        <w:trPr>
          <w:tblHeader/>
          <w:jc w:val="center"/>
        </w:trPr>
        <w:tc>
          <w:tcPr>
            <w:tcW w:w="1778" w:type="pct"/>
            <w:shd w:val="clear" w:color="auto" w:fill="2E5395"/>
            <w:tcMar>
              <w:top w:w="60" w:type="dxa"/>
              <w:left w:w="100" w:type="dxa"/>
              <w:bottom w:w="60" w:type="dxa"/>
              <w:right w:w="100" w:type="dxa"/>
            </w:tcMar>
            <w:vAlign w:val="center"/>
          </w:tcPr>
          <w:p w14:paraId="1BAF9E58"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المتغير</w:t>
            </w:r>
          </w:p>
        </w:tc>
        <w:tc>
          <w:tcPr>
            <w:tcW w:w="1111" w:type="pct"/>
            <w:shd w:val="clear" w:color="auto" w:fill="2E5395"/>
            <w:tcMar>
              <w:top w:w="60" w:type="dxa"/>
              <w:left w:w="100" w:type="dxa"/>
              <w:bottom w:w="60" w:type="dxa"/>
              <w:right w:w="100" w:type="dxa"/>
            </w:tcMar>
            <w:vAlign w:val="center"/>
          </w:tcPr>
          <w:p w14:paraId="3B5A66BF"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معامل الانحدار (B)</w:t>
            </w:r>
          </w:p>
        </w:tc>
        <w:tc>
          <w:tcPr>
            <w:tcW w:w="1000" w:type="pct"/>
            <w:shd w:val="clear" w:color="auto" w:fill="2E5395"/>
            <w:tcMar>
              <w:top w:w="60" w:type="dxa"/>
              <w:left w:w="100" w:type="dxa"/>
              <w:bottom w:w="60" w:type="dxa"/>
              <w:right w:w="100" w:type="dxa"/>
            </w:tcMar>
            <w:vAlign w:val="center"/>
          </w:tcPr>
          <w:p w14:paraId="16247086"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قيمة (t)</w:t>
            </w:r>
          </w:p>
        </w:tc>
        <w:tc>
          <w:tcPr>
            <w:tcW w:w="1111" w:type="pct"/>
            <w:shd w:val="clear" w:color="auto" w:fill="2E5395"/>
            <w:tcMar>
              <w:top w:w="60" w:type="dxa"/>
              <w:left w:w="100" w:type="dxa"/>
              <w:bottom w:w="60" w:type="dxa"/>
              <w:right w:w="100" w:type="dxa"/>
            </w:tcMar>
            <w:vAlign w:val="center"/>
          </w:tcPr>
          <w:p w14:paraId="0EFD94EE"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القيمة الاحتمالية (p)</w:t>
            </w:r>
          </w:p>
        </w:tc>
      </w:tr>
      <w:tr w:rsidR="007608E1" w:rsidRPr="003620CC" w14:paraId="001C9678" w14:textId="77777777" w:rsidTr="003620CC">
        <w:trPr>
          <w:jc w:val="center"/>
        </w:trPr>
        <w:tc>
          <w:tcPr>
            <w:tcW w:w="1778" w:type="pct"/>
            <w:tcMar>
              <w:top w:w="60" w:type="dxa"/>
              <w:left w:w="100" w:type="dxa"/>
              <w:bottom w:w="60" w:type="dxa"/>
              <w:right w:w="100" w:type="dxa"/>
            </w:tcMar>
            <w:vAlign w:val="center"/>
          </w:tcPr>
          <w:p w14:paraId="1404424C"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الثابت</w:t>
            </w:r>
          </w:p>
        </w:tc>
        <w:tc>
          <w:tcPr>
            <w:tcW w:w="1111" w:type="pct"/>
            <w:tcMar>
              <w:top w:w="60" w:type="dxa"/>
              <w:left w:w="100" w:type="dxa"/>
              <w:bottom w:w="60" w:type="dxa"/>
              <w:right w:w="100" w:type="dxa"/>
            </w:tcMar>
            <w:vAlign w:val="center"/>
          </w:tcPr>
          <w:p w14:paraId="0270223F"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0.7027</w:t>
            </w:r>
          </w:p>
        </w:tc>
        <w:tc>
          <w:tcPr>
            <w:tcW w:w="1000" w:type="pct"/>
            <w:tcMar>
              <w:top w:w="60" w:type="dxa"/>
              <w:left w:w="100" w:type="dxa"/>
              <w:bottom w:w="60" w:type="dxa"/>
              <w:right w:w="100" w:type="dxa"/>
            </w:tcMar>
            <w:vAlign w:val="center"/>
          </w:tcPr>
          <w:p w14:paraId="22DE8D0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w:t>
            </w:r>
          </w:p>
        </w:tc>
        <w:tc>
          <w:tcPr>
            <w:tcW w:w="1111" w:type="pct"/>
            <w:tcMar>
              <w:top w:w="60" w:type="dxa"/>
              <w:left w:w="100" w:type="dxa"/>
              <w:bottom w:w="60" w:type="dxa"/>
              <w:right w:w="100" w:type="dxa"/>
            </w:tcMar>
            <w:vAlign w:val="center"/>
          </w:tcPr>
          <w:p w14:paraId="4ED5EE1C"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r w:rsidR="007608E1" w:rsidRPr="003620CC" w14:paraId="72214A3F" w14:textId="77777777" w:rsidTr="003620CC">
        <w:trPr>
          <w:jc w:val="center"/>
        </w:trPr>
        <w:tc>
          <w:tcPr>
            <w:tcW w:w="1778" w:type="pct"/>
            <w:shd w:val="clear" w:color="auto" w:fill="F2F2F2"/>
            <w:tcMar>
              <w:top w:w="60" w:type="dxa"/>
              <w:left w:w="100" w:type="dxa"/>
              <w:bottom w:w="60" w:type="dxa"/>
              <w:right w:w="100" w:type="dxa"/>
            </w:tcMar>
            <w:vAlign w:val="center"/>
          </w:tcPr>
          <w:p w14:paraId="63C53B74"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الترميز الأمني للبيانات</w:t>
            </w:r>
          </w:p>
        </w:tc>
        <w:tc>
          <w:tcPr>
            <w:tcW w:w="1111" w:type="pct"/>
            <w:shd w:val="clear" w:color="auto" w:fill="F2F2F2"/>
            <w:tcMar>
              <w:top w:w="60" w:type="dxa"/>
              <w:left w:w="100" w:type="dxa"/>
              <w:bottom w:w="60" w:type="dxa"/>
              <w:right w:w="100" w:type="dxa"/>
            </w:tcMar>
            <w:vAlign w:val="center"/>
          </w:tcPr>
          <w:p w14:paraId="2086C462"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0.1726</w:t>
            </w:r>
          </w:p>
        </w:tc>
        <w:tc>
          <w:tcPr>
            <w:tcW w:w="1000" w:type="pct"/>
            <w:shd w:val="clear" w:color="auto" w:fill="F2F2F2"/>
            <w:tcMar>
              <w:top w:w="60" w:type="dxa"/>
              <w:left w:w="100" w:type="dxa"/>
              <w:bottom w:w="60" w:type="dxa"/>
              <w:right w:w="100" w:type="dxa"/>
            </w:tcMar>
            <w:vAlign w:val="center"/>
          </w:tcPr>
          <w:p w14:paraId="6D28B366"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3.103</w:t>
            </w:r>
          </w:p>
        </w:tc>
        <w:tc>
          <w:tcPr>
            <w:tcW w:w="1111" w:type="pct"/>
            <w:shd w:val="clear" w:color="auto" w:fill="F2F2F2"/>
            <w:tcMar>
              <w:top w:w="60" w:type="dxa"/>
              <w:left w:w="100" w:type="dxa"/>
              <w:bottom w:w="60" w:type="dxa"/>
              <w:right w:w="100" w:type="dxa"/>
            </w:tcMar>
            <w:vAlign w:val="center"/>
          </w:tcPr>
          <w:p w14:paraId="4D773B0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0.002</w:t>
            </w:r>
          </w:p>
        </w:tc>
      </w:tr>
      <w:tr w:rsidR="007608E1" w:rsidRPr="003620CC" w14:paraId="72142BAE" w14:textId="77777777" w:rsidTr="003620CC">
        <w:trPr>
          <w:jc w:val="center"/>
        </w:trPr>
        <w:tc>
          <w:tcPr>
            <w:tcW w:w="1778" w:type="pct"/>
            <w:tcMar>
              <w:top w:w="60" w:type="dxa"/>
              <w:left w:w="100" w:type="dxa"/>
              <w:bottom w:w="60" w:type="dxa"/>
              <w:right w:w="100" w:type="dxa"/>
            </w:tcMar>
            <w:vAlign w:val="center"/>
          </w:tcPr>
          <w:p w14:paraId="022A3BA4"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الامتثال للمعايير الدولية</w:t>
            </w:r>
          </w:p>
        </w:tc>
        <w:tc>
          <w:tcPr>
            <w:tcW w:w="1111" w:type="pct"/>
            <w:tcMar>
              <w:top w:w="60" w:type="dxa"/>
              <w:left w:w="100" w:type="dxa"/>
              <w:bottom w:w="60" w:type="dxa"/>
              <w:right w:w="100" w:type="dxa"/>
            </w:tcMar>
            <w:vAlign w:val="center"/>
          </w:tcPr>
          <w:p w14:paraId="293EB3A8"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0.6770</w:t>
            </w:r>
          </w:p>
        </w:tc>
        <w:tc>
          <w:tcPr>
            <w:tcW w:w="1000" w:type="pct"/>
            <w:tcMar>
              <w:top w:w="60" w:type="dxa"/>
              <w:left w:w="100" w:type="dxa"/>
              <w:bottom w:w="60" w:type="dxa"/>
              <w:right w:w="100" w:type="dxa"/>
            </w:tcMar>
            <w:vAlign w:val="center"/>
          </w:tcPr>
          <w:p w14:paraId="657F0CE6"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10.672</w:t>
            </w:r>
          </w:p>
        </w:tc>
        <w:tc>
          <w:tcPr>
            <w:tcW w:w="1111" w:type="pct"/>
            <w:tcMar>
              <w:top w:w="60" w:type="dxa"/>
              <w:left w:w="100" w:type="dxa"/>
              <w:bottom w:w="60" w:type="dxa"/>
              <w:right w:w="100" w:type="dxa"/>
            </w:tcMar>
            <w:vAlign w:val="center"/>
          </w:tcPr>
          <w:p w14:paraId="561EAE5E"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bl>
    <w:p w14:paraId="0ADCA2C2"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(4.27): نتائج نموذج الانحدار المنقّح للمتغير التابع "الكفاءة التشغيلية المالية" (R² = 0.747)</w:t>
      </w:r>
    </w:p>
    <w:p w14:paraId="4D5C995C" w14:textId="77777777" w:rsidR="007608E1" w:rsidRPr="003620CC" w:rsidRDefault="007608E1" w:rsidP="00E000FF">
      <w:pPr>
        <w:bidi/>
        <w:spacing w:after="0" w:line="360" w:lineRule="auto"/>
        <w:jc w:val="both"/>
        <w:rPr>
          <w:sz w:val="26"/>
          <w:szCs w:val="26"/>
        </w:rPr>
      </w:pPr>
      <w:r w:rsidRPr="003620CC">
        <w:rPr>
          <w:rFonts w:ascii="Traditional Arabic" w:eastAsia="Simplified Arabic" w:hAnsi="Traditional Arabic" w:cs="Traditional Arabic"/>
          <w:sz w:val="28"/>
          <w:szCs w:val="28"/>
          <w:rtl/>
        </w:rPr>
        <w:lastRenderedPageBreak/>
        <w:t>تشير نتائج النموذج الأول إلى أن كلاً من بُعدي الترميز الأمني للبيانات (B = 0.173، t = 3.103، p &lt; 0.01) والامتثال للمعايير الدولية (B = 0.677، t = 10.672، p &lt; 0.001) يؤثران تأثيراً موجباً ودالاً إحصائياً في الكفاءة التشغيلية المالية، مع تفوّق واضح لتأثير بُعد الامتثال للمعايير الدولية على بُعد الترميز الأمني. وفسّر النموذج مجتمعاً نحو (74.7%) من التباين في الكفاءة التشغيلية المالية، وهي نسبة تفسيرية مرتفعة تعكس قوة تأثير محور تطبيق تقنية الترميز على تحسين كفاءة العمليات المالية.</w:t>
      </w:r>
    </w:p>
    <w:p w14:paraId="747430B1" w14:textId="77777777" w:rsidR="007608E1" w:rsidRDefault="007608E1" w:rsidP="00E000FF">
      <w:pPr>
        <w:bidi/>
        <w:spacing w:after="0" w:line="360" w:lineRule="auto"/>
        <w:jc w:val="both"/>
      </w:pPr>
      <w:r>
        <w:rPr>
          <w:rFonts w:ascii="Traditional Arabic" w:eastAsia="Simplified Arabic" w:hAnsi="Traditional Arabic" w:cs="Traditional Arabic"/>
          <w:b/>
          <w:bCs/>
          <w:sz w:val="28"/>
          <w:szCs w:val="28"/>
          <w:rtl/>
        </w:rPr>
        <w:t>النموذج الثاني: أثر تطبيق تقنية الترميز على الأمن السيبراني المؤسسي</w:t>
      </w:r>
    </w:p>
    <w:tbl>
      <w:tblPr>
        <w:bidiVisual/>
        <w:tblW w:w="5000"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left w:w="10" w:type="dxa"/>
          <w:right w:w="10" w:type="dxa"/>
        </w:tblCellMar>
        <w:tblLook w:val="04A0" w:firstRow="1" w:lastRow="0" w:firstColumn="1" w:lastColumn="0" w:noHBand="0" w:noVBand="1"/>
      </w:tblPr>
      <w:tblGrid>
        <w:gridCol w:w="2951"/>
        <w:gridCol w:w="1843"/>
        <w:gridCol w:w="1659"/>
        <w:gridCol w:w="1843"/>
      </w:tblGrid>
      <w:tr w:rsidR="007608E1" w:rsidRPr="003620CC" w14:paraId="39C329AF" w14:textId="77777777" w:rsidTr="003620CC">
        <w:trPr>
          <w:tblHeader/>
          <w:jc w:val="center"/>
        </w:trPr>
        <w:tc>
          <w:tcPr>
            <w:tcW w:w="1778" w:type="pct"/>
            <w:shd w:val="clear" w:color="auto" w:fill="2E5395"/>
            <w:tcMar>
              <w:top w:w="60" w:type="dxa"/>
              <w:left w:w="100" w:type="dxa"/>
              <w:bottom w:w="60" w:type="dxa"/>
              <w:right w:w="100" w:type="dxa"/>
            </w:tcMar>
            <w:vAlign w:val="center"/>
          </w:tcPr>
          <w:p w14:paraId="287CE113"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المتغير</w:t>
            </w:r>
          </w:p>
        </w:tc>
        <w:tc>
          <w:tcPr>
            <w:tcW w:w="1111" w:type="pct"/>
            <w:shd w:val="clear" w:color="auto" w:fill="2E5395"/>
            <w:tcMar>
              <w:top w:w="60" w:type="dxa"/>
              <w:left w:w="100" w:type="dxa"/>
              <w:bottom w:w="60" w:type="dxa"/>
              <w:right w:w="100" w:type="dxa"/>
            </w:tcMar>
            <w:vAlign w:val="center"/>
          </w:tcPr>
          <w:p w14:paraId="59D36999"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معامل الانحدار (B)</w:t>
            </w:r>
          </w:p>
        </w:tc>
        <w:tc>
          <w:tcPr>
            <w:tcW w:w="1000" w:type="pct"/>
            <w:shd w:val="clear" w:color="auto" w:fill="2E5395"/>
            <w:tcMar>
              <w:top w:w="60" w:type="dxa"/>
              <w:left w:w="100" w:type="dxa"/>
              <w:bottom w:w="60" w:type="dxa"/>
              <w:right w:w="100" w:type="dxa"/>
            </w:tcMar>
            <w:vAlign w:val="center"/>
          </w:tcPr>
          <w:p w14:paraId="1E86E84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قيمة (t)</w:t>
            </w:r>
          </w:p>
        </w:tc>
        <w:tc>
          <w:tcPr>
            <w:tcW w:w="1111" w:type="pct"/>
            <w:shd w:val="clear" w:color="auto" w:fill="2E5395"/>
            <w:tcMar>
              <w:top w:w="60" w:type="dxa"/>
              <w:left w:w="100" w:type="dxa"/>
              <w:bottom w:w="60" w:type="dxa"/>
              <w:right w:w="100" w:type="dxa"/>
            </w:tcMar>
            <w:vAlign w:val="center"/>
          </w:tcPr>
          <w:p w14:paraId="388AA405"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b/>
                <w:bCs/>
                <w:color w:val="FFFFFF"/>
                <w:sz w:val="24"/>
                <w:szCs w:val="24"/>
                <w:rtl/>
              </w:rPr>
              <w:t>القيمة الاحتمالية (p)</w:t>
            </w:r>
          </w:p>
        </w:tc>
      </w:tr>
      <w:tr w:rsidR="007608E1" w:rsidRPr="003620CC" w14:paraId="5F98BF7E" w14:textId="77777777" w:rsidTr="003620CC">
        <w:trPr>
          <w:jc w:val="center"/>
        </w:trPr>
        <w:tc>
          <w:tcPr>
            <w:tcW w:w="1778" w:type="pct"/>
            <w:tcMar>
              <w:top w:w="60" w:type="dxa"/>
              <w:left w:w="100" w:type="dxa"/>
              <w:bottom w:w="60" w:type="dxa"/>
              <w:right w:w="100" w:type="dxa"/>
            </w:tcMar>
            <w:vAlign w:val="center"/>
          </w:tcPr>
          <w:p w14:paraId="0F22FE90"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الثابت</w:t>
            </w:r>
          </w:p>
        </w:tc>
        <w:tc>
          <w:tcPr>
            <w:tcW w:w="1111" w:type="pct"/>
            <w:tcMar>
              <w:top w:w="60" w:type="dxa"/>
              <w:left w:w="100" w:type="dxa"/>
              <w:bottom w:w="60" w:type="dxa"/>
              <w:right w:w="100" w:type="dxa"/>
            </w:tcMar>
            <w:vAlign w:val="center"/>
          </w:tcPr>
          <w:p w14:paraId="4C8C8193"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0.4885</w:t>
            </w:r>
          </w:p>
        </w:tc>
        <w:tc>
          <w:tcPr>
            <w:tcW w:w="1000" w:type="pct"/>
            <w:tcMar>
              <w:top w:w="60" w:type="dxa"/>
              <w:left w:w="100" w:type="dxa"/>
              <w:bottom w:w="60" w:type="dxa"/>
              <w:right w:w="100" w:type="dxa"/>
            </w:tcMar>
            <w:vAlign w:val="center"/>
          </w:tcPr>
          <w:p w14:paraId="4553C523"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w:t>
            </w:r>
          </w:p>
        </w:tc>
        <w:tc>
          <w:tcPr>
            <w:tcW w:w="1111" w:type="pct"/>
            <w:tcMar>
              <w:top w:w="60" w:type="dxa"/>
              <w:left w:w="100" w:type="dxa"/>
              <w:bottom w:w="60" w:type="dxa"/>
              <w:right w:w="100" w:type="dxa"/>
            </w:tcMar>
            <w:vAlign w:val="center"/>
          </w:tcPr>
          <w:p w14:paraId="39BE964C"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r w:rsidR="007608E1" w:rsidRPr="003620CC" w14:paraId="6B982BBD" w14:textId="77777777" w:rsidTr="003620CC">
        <w:trPr>
          <w:jc w:val="center"/>
        </w:trPr>
        <w:tc>
          <w:tcPr>
            <w:tcW w:w="1778" w:type="pct"/>
            <w:shd w:val="clear" w:color="auto" w:fill="F2F2F2"/>
            <w:tcMar>
              <w:top w:w="60" w:type="dxa"/>
              <w:left w:w="100" w:type="dxa"/>
              <w:bottom w:w="60" w:type="dxa"/>
              <w:right w:w="100" w:type="dxa"/>
            </w:tcMar>
            <w:vAlign w:val="center"/>
          </w:tcPr>
          <w:p w14:paraId="01F73578"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الترميز الأمني للبيانات</w:t>
            </w:r>
          </w:p>
        </w:tc>
        <w:tc>
          <w:tcPr>
            <w:tcW w:w="1111" w:type="pct"/>
            <w:shd w:val="clear" w:color="auto" w:fill="F2F2F2"/>
            <w:tcMar>
              <w:top w:w="60" w:type="dxa"/>
              <w:left w:w="100" w:type="dxa"/>
              <w:bottom w:w="60" w:type="dxa"/>
              <w:right w:w="100" w:type="dxa"/>
            </w:tcMar>
            <w:vAlign w:val="center"/>
          </w:tcPr>
          <w:p w14:paraId="03CAF744"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0.3288</w:t>
            </w:r>
          </w:p>
        </w:tc>
        <w:tc>
          <w:tcPr>
            <w:tcW w:w="1000" w:type="pct"/>
            <w:shd w:val="clear" w:color="auto" w:fill="F2F2F2"/>
            <w:tcMar>
              <w:top w:w="60" w:type="dxa"/>
              <w:left w:w="100" w:type="dxa"/>
              <w:bottom w:w="60" w:type="dxa"/>
              <w:right w:w="100" w:type="dxa"/>
            </w:tcMar>
            <w:vAlign w:val="center"/>
          </w:tcPr>
          <w:p w14:paraId="1C7CA7CD"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5.889</w:t>
            </w:r>
          </w:p>
        </w:tc>
        <w:tc>
          <w:tcPr>
            <w:tcW w:w="1111" w:type="pct"/>
            <w:shd w:val="clear" w:color="auto" w:fill="F2F2F2"/>
            <w:tcMar>
              <w:top w:w="60" w:type="dxa"/>
              <w:left w:w="100" w:type="dxa"/>
              <w:bottom w:w="60" w:type="dxa"/>
              <w:right w:w="100" w:type="dxa"/>
            </w:tcMar>
            <w:vAlign w:val="center"/>
          </w:tcPr>
          <w:p w14:paraId="753E2180"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r w:rsidR="007608E1" w:rsidRPr="003620CC" w14:paraId="4C7C77FC" w14:textId="77777777" w:rsidTr="003620CC">
        <w:trPr>
          <w:jc w:val="center"/>
        </w:trPr>
        <w:tc>
          <w:tcPr>
            <w:tcW w:w="1778" w:type="pct"/>
            <w:tcMar>
              <w:top w:w="60" w:type="dxa"/>
              <w:left w:w="100" w:type="dxa"/>
              <w:bottom w:w="60" w:type="dxa"/>
              <w:right w:w="100" w:type="dxa"/>
            </w:tcMar>
            <w:vAlign w:val="center"/>
          </w:tcPr>
          <w:p w14:paraId="47D2DA09"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الامتثال للمعايير الدولية</w:t>
            </w:r>
          </w:p>
        </w:tc>
        <w:tc>
          <w:tcPr>
            <w:tcW w:w="1111" w:type="pct"/>
            <w:tcMar>
              <w:top w:w="60" w:type="dxa"/>
              <w:left w:w="100" w:type="dxa"/>
              <w:bottom w:w="60" w:type="dxa"/>
              <w:right w:w="100" w:type="dxa"/>
            </w:tcMar>
            <w:vAlign w:val="center"/>
          </w:tcPr>
          <w:p w14:paraId="7F036627"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0.5571</w:t>
            </w:r>
          </w:p>
        </w:tc>
        <w:tc>
          <w:tcPr>
            <w:tcW w:w="1000" w:type="pct"/>
            <w:tcMar>
              <w:top w:w="60" w:type="dxa"/>
              <w:left w:w="100" w:type="dxa"/>
              <w:bottom w:w="60" w:type="dxa"/>
              <w:right w:w="100" w:type="dxa"/>
            </w:tcMar>
            <w:vAlign w:val="center"/>
          </w:tcPr>
          <w:p w14:paraId="4072F309"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8.747</w:t>
            </w:r>
          </w:p>
        </w:tc>
        <w:tc>
          <w:tcPr>
            <w:tcW w:w="1111" w:type="pct"/>
            <w:tcMar>
              <w:top w:w="60" w:type="dxa"/>
              <w:left w:w="100" w:type="dxa"/>
              <w:bottom w:w="60" w:type="dxa"/>
              <w:right w:w="100" w:type="dxa"/>
            </w:tcMar>
            <w:vAlign w:val="center"/>
          </w:tcPr>
          <w:p w14:paraId="14E26655" w14:textId="77777777" w:rsidR="007608E1" w:rsidRPr="003620CC" w:rsidRDefault="007608E1" w:rsidP="003620CC">
            <w:pPr>
              <w:bidi/>
              <w:spacing w:after="0" w:line="260" w:lineRule="auto"/>
              <w:jc w:val="center"/>
              <w:rPr>
                <w:sz w:val="24"/>
                <w:szCs w:val="24"/>
              </w:rPr>
            </w:pPr>
            <w:r w:rsidRPr="003620CC">
              <w:rPr>
                <w:rFonts w:ascii="Traditional Arabic" w:eastAsia="Simplified Arabic" w:hAnsi="Traditional Arabic" w:cs="Traditional Arabic"/>
                <w:color w:val="000000"/>
                <w:sz w:val="24"/>
                <w:szCs w:val="24"/>
                <w:rtl/>
              </w:rPr>
              <w:t>0.001&gt;</w:t>
            </w:r>
          </w:p>
        </w:tc>
      </w:tr>
    </w:tbl>
    <w:p w14:paraId="5E13E5B9" w14:textId="77777777" w:rsidR="007608E1" w:rsidRDefault="007608E1" w:rsidP="00E000FF">
      <w:pPr>
        <w:pStyle w:val="TableCaption"/>
        <w:bidi/>
        <w:spacing w:after="0" w:line="300" w:lineRule="auto"/>
        <w:jc w:val="both"/>
      </w:pPr>
      <w:r>
        <w:rPr>
          <w:rFonts w:ascii="Traditional Arabic" w:eastAsia="Simplified Arabic" w:hAnsi="Traditional Arabic" w:cs="Traditional Arabic"/>
          <w:b/>
          <w:bCs/>
          <w:sz w:val="24"/>
          <w:szCs w:val="24"/>
          <w:rtl/>
        </w:rPr>
        <w:t>جدول (4.28): نتائج نموذج الانحدار المنقّح للمتغير التابع "الأمن السيبراني المؤسسي" (R² = 0.783)</w:t>
      </w:r>
    </w:p>
    <w:p w14:paraId="3C60C89E"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تشير نتائج النموذج الثاني إلى أن كلاً من بُعدي الترميز الأمني للبيانات (B = 0.329، t = 5.889، p &lt; 0.001) والامتثال للمعايير الدولية (B = 0.557، t = 8.747، p &lt; 0.001) يؤثران تأثيراً موجباً ودالاً إحصائياً في الأمن السيبراني المؤسسي، مع تفوّق نسبي لتأثير بُعد الامتثال للمعايير الدولية. وفسّر النموذج مجتمعاً نحو (78.3%) من التباين في الأمن السيبراني المؤسسي، وهي نسبة تفسيرية مرتفعة جداً تؤكد الدور المحوري لتطبيق تقنية الترميز بأبعاده المختلفة في تعزيز المستوى الأمني السيبراني للمؤسسات المالية السعودية.</w:t>
      </w:r>
    </w:p>
    <w:p w14:paraId="67FD2A24"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 xml:space="preserve">وتتفق نتائج النموذجين مع نتائج اختبار الفرضيتين الأولى والثانية القائمة على معامل ارتباط </w:t>
      </w:r>
      <w:proofErr w:type="spellStart"/>
      <w:r w:rsidRPr="003620CC">
        <w:rPr>
          <w:rFonts w:ascii="Traditional Arabic" w:eastAsia="Simplified Arabic" w:hAnsi="Traditional Arabic" w:cs="Traditional Arabic"/>
          <w:sz w:val="28"/>
          <w:szCs w:val="28"/>
          <w:rtl/>
        </w:rPr>
        <w:t>سبيرمان</w:t>
      </w:r>
      <w:proofErr w:type="spellEnd"/>
      <w:r w:rsidRPr="003620CC">
        <w:rPr>
          <w:rFonts w:ascii="Traditional Arabic" w:eastAsia="Simplified Arabic" w:hAnsi="Traditional Arabic" w:cs="Traditional Arabic"/>
          <w:sz w:val="28"/>
          <w:szCs w:val="28"/>
          <w:rtl/>
        </w:rPr>
        <w:t xml:space="preserve">، إذ تؤكد النماذج </w:t>
      </w:r>
      <w:proofErr w:type="spellStart"/>
      <w:r w:rsidRPr="003620CC">
        <w:rPr>
          <w:rFonts w:ascii="Traditional Arabic" w:eastAsia="Simplified Arabic" w:hAnsi="Traditional Arabic" w:cs="Traditional Arabic"/>
          <w:sz w:val="28"/>
          <w:szCs w:val="28"/>
          <w:rtl/>
        </w:rPr>
        <w:t>الانحدارية</w:t>
      </w:r>
      <w:proofErr w:type="spellEnd"/>
      <w:r w:rsidRPr="003620CC">
        <w:rPr>
          <w:rFonts w:ascii="Traditional Arabic" w:eastAsia="Simplified Arabic" w:hAnsi="Traditional Arabic" w:cs="Traditional Arabic"/>
          <w:sz w:val="28"/>
          <w:szCs w:val="28"/>
          <w:rtl/>
        </w:rPr>
        <w:t xml:space="preserve"> أن العلاقة الارتباطية الموجودة بين تطبيق تقنية الترميز والمتغيرين التابعين ليست علاقة ارتباطية فحسب، بل علاقة تأثيرية دالة إحصائياً يمكن التنبؤ من خلالها بمستوى الكفاءة التشغيلية والأمن السيبراني بناءً على مستوى تطبيق أبعاد تقنية الترميز.</w:t>
      </w:r>
    </w:p>
    <w:p w14:paraId="764691A0"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b/>
          <w:bCs/>
          <w:sz w:val="28"/>
          <w:szCs w:val="28"/>
          <w:u w:val="single"/>
          <w:rtl/>
        </w:rPr>
        <w:t>سابعاً: تلخيص نتائج الفصل</w:t>
      </w:r>
    </w:p>
    <w:p w14:paraId="0C4D8C35"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يختتم هذا الفصل بتلخيص أبرز النتائج التي تم التوصل إليها من خلال التحليل الإحصائي لبيانات عينة الدراسة البالغة (196) مستجيباً من العاملين في المؤسسات المالية السعودية، وذلك على النحو التالي:</w:t>
      </w:r>
    </w:p>
    <w:p w14:paraId="16088215"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lastRenderedPageBreak/>
        <w:t>أظهرت الخصائص الديموغرافية أن عينة الدراسة تمثّلت بشكل رئيسي في البنوك التجارية والمؤسسات الكبيرة الحجم الراسخة في السوق، وأن غالبية المستجيبين يشغلون مناصب فنية وإدارية ذات صلة مباشرة بالأمن السيبراني والتقنية المالية، وأن نسبة 82.7% من المؤسسات المشمولة بالدراسة تعتمد تقنية الترميز حالياً بشكل كامل أو جزئي.</w:t>
      </w:r>
    </w:p>
    <w:p w14:paraId="5F731547"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أظهر التحليل الوصفي أن جميع أبعاد الدراسة الخمسة (الترميز الأمني للبيانات، الامتثال للمعايير الدولية، الكفاءة التشغيلية المالية، الأمن السيبراني المؤسسي، التوافق مع رؤية 2030) حصلت على درجة موافقة "مرتفعة جداً"، بمتوسطات حسابية تراوحت بين (4.314) و(4.480)، وهو ما اتسق مع تقييم أفراد العينة العام لأثر تقنية الترميز على أدائهم المؤسسي (81.7% أفادوا بوجود تأثير إيجابي واضح أو استراتيجي بالغ الأهمية).</w:t>
      </w:r>
    </w:p>
    <w:p w14:paraId="5D0420BB"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 xml:space="preserve">أكدت نتائج اختبار الصدق والثبات تمتع أداة الدراسة بخصائص </w:t>
      </w:r>
      <w:proofErr w:type="spellStart"/>
      <w:r w:rsidRPr="003620CC">
        <w:rPr>
          <w:rFonts w:ascii="Traditional Arabic" w:eastAsia="Simplified Arabic" w:hAnsi="Traditional Arabic" w:cs="Traditional Arabic"/>
          <w:sz w:val="28"/>
          <w:szCs w:val="28"/>
          <w:rtl/>
        </w:rPr>
        <w:t>سيكومترية</w:t>
      </w:r>
      <w:proofErr w:type="spellEnd"/>
      <w:r w:rsidRPr="003620CC">
        <w:rPr>
          <w:rFonts w:ascii="Traditional Arabic" w:eastAsia="Simplified Arabic" w:hAnsi="Traditional Arabic" w:cs="Traditional Arabic"/>
          <w:sz w:val="28"/>
          <w:szCs w:val="28"/>
          <w:rtl/>
        </w:rPr>
        <w:t xml:space="preserve"> مرتفعة جداً، إذ تراوحت معاملات الاتساق الداخلي بين (0.635) و(0.848) لجميع العبارات، وتجاوزت معاملات ألفا </w:t>
      </w:r>
      <w:proofErr w:type="spellStart"/>
      <w:r w:rsidRPr="003620CC">
        <w:rPr>
          <w:rFonts w:ascii="Traditional Arabic" w:eastAsia="Simplified Arabic" w:hAnsi="Traditional Arabic" w:cs="Traditional Arabic"/>
          <w:sz w:val="28"/>
          <w:szCs w:val="28"/>
          <w:rtl/>
        </w:rPr>
        <w:t>كرونباخ</w:t>
      </w:r>
      <w:proofErr w:type="spellEnd"/>
      <w:r w:rsidRPr="003620CC">
        <w:rPr>
          <w:rFonts w:ascii="Traditional Arabic" w:eastAsia="Simplified Arabic" w:hAnsi="Traditional Arabic" w:cs="Traditional Arabic"/>
          <w:sz w:val="28"/>
          <w:szCs w:val="28"/>
          <w:rtl/>
        </w:rPr>
        <w:t xml:space="preserve"> لجميع الأبعاد القيمة (0.90)، وبلغ معامل الثبات الكلي للأداة (0.980).</w:t>
      </w:r>
    </w:p>
    <w:p w14:paraId="02687AE8"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 xml:space="preserve">أظهرت نتائج اختبار شابيرو-ويلك انحراف بيانات جميع أبعاد الدراسة عن التوزيع الطبيعي (p&lt;0.001)، كما أظهر اختبار ليفين عدم تجانس التباين بين مجموعات نوع المؤسسة، مما بَرَّر إحصائياً اعتماد الأساليب </w:t>
      </w:r>
      <w:proofErr w:type="spellStart"/>
      <w:r w:rsidRPr="003620CC">
        <w:rPr>
          <w:rFonts w:ascii="Traditional Arabic" w:eastAsia="Simplified Arabic" w:hAnsi="Traditional Arabic" w:cs="Traditional Arabic"/>
          <w:sz w:val="28"/>
          <w:szCs w:val="28"/>
          <w:rtl/>
        </w:rPr>
        <w:t>اللامعلمية</w:t>
      </w:r>
      <w:proofErr w:type="spellEnd"/>
      <w:r w:rsidRPr="003620CC">
        <w:rPr>
          <w:rFonts w:ascii="Traditional Arabic" w:eastAsia="Simplified Arabic" w:hAnsi="Traditional Arabic" w:cs="Traditional Arabic"/>
          <w:sz w:val="28"/>
          <w:szCs w:val="28"/>
          <w:rtl/>
        </w:rPr>
        <w:t xml:space="preserve"> في اختبار الفرضيات.</w:t>
      </w:r>
    </w:p>
    <w:p w14:paraId="7D3FC901"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تم قبول جميع فرضيات الدراسة الخمس عند مستوى دلالة (0.01): فقد تبيّن وجود أثر موجب دال لتطبيق تقنية الترميز على الأمن السيبراني (H1: r=0.641) وعلى كفاءة العمليات المالية (H2: r=0.625)، ووجود فروق دالة بين المؤسسات المعتمِدة وغير المعتمِدة للترميز على بُعدي الامتثال والأمن السيبراني (H3)، وأكد نموذجا الانحدار المنقّح وجود أثر تنبؤي دال لأبعاد الترميز على الكفاءة (R²=0.747) والأمن السيبراني (R²=0.783) معاً (H4)، كما تبيّن وجود فروق دالة في مستوى التوافق مع رؤية 2030 تُعزى إلى نوع المؤسسة لصالح المؤسسات الرقمية (H5: H=61.326).</w:t>
      </w:r>
    </w:p>
    <w:p w14:paraId="130F2A72"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sz w:val="28"/>
          <w:szCs w:val="28"/>
          <w:rtl/>
        </w:rPr>
        <w:t>تتسق هذه النتائج مجتمعةً مع اتجاهات آراء أفراد العينة التي أُبرزت من خلال التحليل الوصفي، وتُشكّل أساساً كمياً متيناً للانتقال إلى مناقشة هذه النتائج وتفسيرها في ضوء الإطار النظري والدراسات السابقة، وربطها بمستهدفات رؤية المملكة العربية السعودية 2030، في الفصل الخامس.</w:t>
      </w:r>
    </w:p>
    <w:p w14:paraId="47DC245E" w14:textId="77777777" w:rsidR="007608E1" w:rsidRPr="003620CC" w:rsidRDefault="007608E1" w:rsidP="00E000FF">
      <w:pPr>
        <w:bidi/>
        <w:spacing w:after="0" w:line="360" w:lineRule="auto"/>
        <w:jc w:val="both"/>
        <w:rPr>
          <w:sz w:val="28"/>
          <w:szCs w:val="28"/>
        </w:rPr>
      </w:pPr>
      <w:r w:rsidRPr="003620CC">
        <w:rPr>
          <w:rFonts w:ascii="Traditional Arabic" w:eastAsia="Simplified Arabic" w:hAnsi="Traditional Arabic" w:cs="Traditional Arabic"/>
          <w:b/>
          <w:bCs/>
          <w:sz w:val="28"/>
          <w:szCs w:val="28"/>
          <w:rtl/>
        </w:rPr>
        <w:lastRenderedPageBreak/>
        <w:t>الضوابط العلمية والمنهجية للفصل</w:t>
      </w:r>
    </w:p>
    <w:p w14:paraId="636BF287"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الدقة في عرض ونقل النتائج الإحصائية كما أسفر عنها التحليل دون تدخل أو تأويل.</w:t>
      </w:r>
    </w:p>
    <w:p w14:paraId="3F4410B7"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توحيد أسلوب عرض الجداول والأشكال عبر أجزاء الفصل كافة.</w:t>
      </w:r>
    </w:p>
    <w:p w14:paraId="314216FF"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الفصل الواضح بين عرض النتائج ومناقشتها، مع إرجاء المناقشة النظرية للفصل الخامس.</w:t>
      </w:r>
    </w:p>
    <w:p w14:paraId="4F78F84C"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استخدام لغة علمية واضحة ودقيقة تتفق مع الأسلوب الأكاديمي المعتمد في كتابة الرسائل العلمية.</w:t>
      </w:r>
    </w:p>
    <w:p w14:paraId="6EDA5645" w14:textId="77777777" w:rsidR="007608E1" w:rsidRPr="003620CC" w:rsidRDefault="007608E1" w:rsidP="00E000FF">
      <w:pPr>
        <w:bidi/>
        <w:spacing w:after="0" w:line="360" w:lineRule="auto"/>
        <w:ind w:right="300"/>
        <w:jc w:val="both"/>
        <w:rPr>
          <w:sz w:val="28"/>
          <w:szCs w:val="28"/>
        </w:rPr>
      </w:pPr>
      <w:r w:rsidRPr="003620CC">
        <w:rPr>
          <w:rFonts w:ascii="Traditional Arabic" w:eastAsia="Simplified Arabic" w:hAnsi="Traditional Arabic" w:cs="Traditional Arabic"/>
          <w:sz w:val="28"/>
          <w:szCs w:val="28"/>
          <w:rtl/>
        </w:rPr>
        <w:t>•  الربط المستمر بين النتائج وأهداف الدراسة وفرضياتها كما وردت في الفصلين الأول والثالث.</w:t>
      </w:r>
    </w:p>
    <w:p w14:paraId="749A3047" w14:textId="241C962F" w:rsidR="007C5A80" w:rsidRPr="003620CC" w:rsidRDefault="007C5A80" w:rsidP="00E000FF">
      <w:pPr>
        <w:bidi/>
        <w:spacing w:after="0" w:line="360" w:lineRule="auto"/>
        <w:rPr>
          <w:sz w:val="28"/>
          <w:szCs w:val="28"/>
          <w:rtl/>
        </w:rPr>
      </w:pPr>
    </w:p>
    <w:p w14:paraId="7D8071C0" w14:textId="6C004DCC" w:rsidR="00C30195" w:rsidRPr="003620CC" w:rsidRDefault="007E0546" w:rsidP="003620CC">
      <w:pPr>
        <w:bidi/>
        <w:spacing w:after="0" w:line="360" w:lineRule="auto"/>
        <w:rPr>
          <w:rFonts w:ascii="Simplified Arabic" w:hAnsi="Simplified Arabic" w:cs="Simplified Arabic"/>
          <w:b/>
          <w:bCs/>
          <w:sz w:val="28"/>
          <w:szCs w:val="28"/>
          <w:u w:val="single"/>
          <w:rtl/>
        </w:rPr>
      </w:pPr>
      <w:r w:rsidRPr="003620CC">
        <w:rPr>
          <w:rFonts w:ascii="Traditional Arabic" w:eastAsia="Simplified Arabic" w:hAnsi="Traditional Arabic" w:cs="Traditional Arabic"/>
          <w:b/>
          <w:bCs/>
          <w:sz w:val="28"/>
          <w:szCs w:val="28"/>
          <w:rtl/>
        </w:rPr>
        <w:t>محددات الفصل وحدود التحليل الإحصائي:</w:t>
      </w:r>
    </w:p>
    <w:p w14:paraId="4398C192" w14:textId="2873C9B4" w:rsidR="003620CC" w:rsidRDefault="007E0546" w:rsidP="00E000FF">
      <w:pPr>
        <w:bidi/>
        <w:spacing w:after="0" w:line="360" w:lineRule="auto"/>
        <w:jc w:val="both"/>
        <w:rPr>
          <w:rFonts w:ascii="Traditional Arabic" w:eastAsia="Simplified Arabic" w:hAnsi="Traditional Arabic" w:cs="Traditional Arabic"/>
          <w:sz w:val="28"/>
          <w:szCs w:val="28"/>
          <w:rtl/>
        </w:rPr>
      </w:pPr>
      <w:r w:rsidRPr="003620CC">
        <w:rPr>
          <w:rFonts w:ascii="Traditional Arabic" w:eastAsia="Simplified Arabic" w:hAnsi="Traditional Arabic" w:cs="Traditional Arabic"/>
          <w:sz w:val="28"/>
          <w:szCs w:val="28"/>
          <w:rtl/>
        </w:rPr>
        <w:t>اقتصر التحليل الإحصائي في هذا الفصل على اختبار العلاقة بين تطبيق تقنية الترميز وكل من الأمن السيبراني المؤسسي وكفاءة العمليات المالية كمتغيرين تابعين مستقلين عن بعضهما (عبر الارتباط والانحدار المنقّح)، ولم يتضمن اختبار أي علاقة تفاعلية أو وساطة بين الأمن السيبراني وكفاءة العمليات المالية نفسيهما. وبناءً على ذلك، فإن ملاحظة لجنة المراجعة الخاصة بصياغة فرض يختبر تأثير تقنية الترميز في العلاقة بين الأمن السيبراني وكفاءة العمليات المالية (أي علاقة وساطة أو تفاعل بين المتغيرين التابعين) لم تُختبر إحصائياً على بيانات الدراسة الحالية، ويوصى بمعالجتها في دراسات لاحقة عبر تحليل وساطة (</w:t>
      </w:r>
      <w:proofErr w:type="spellStart"/>
      <w:r w:rsidRPr="003620CC">
        <w:rPr>
          <w:rFonts w:ascii="Traditional Arabic" w:eastAsia="Simplified Arabic" w:hAnsi="Traditional Arabic" w:cs="Traditional Arabic"/>
          <w:sz w:val="28"/>
          <w:szCs w:val="28"/>
          <w:rtl/>
        </w:rPr>
        <w:t>Mediation</w:t>
      </w:r>
      <w:proofErr w:type="spellEnd"/>
      <w:r w:rsidRPr="003620CC">
        <w:rPr>
          <w:rFonts w:ascii="Traditional Arabic" w:eastAsia="Simplified Arabic" w:hAnsi="Traditional Arabic" w:cs="Traditional Arabic"/>
          <w:sz w:val="28"/>
          <w:szCs w:val="28"/>
          <w:rtl/>
        </w:rPr>
        <w:t xml:space="preserve"> </w:t>
      </w:r>
      <w:proofErr w:type="spellStart"/>
      <w:r w:rsidRPr="003620CC">
        <w:rPr>
          <w:rFonts w:ascii="Traditional Arabic" w:eastAsia="Simplified Arabic" w:hAnsi="Traditional Arabic" w:cs="Traditional Arabic"/>
          <w:sz w:val="28"/>
          <w:szCs w:val="28"/>
          <w:rtl/>
        </w:rPr>
        <w:t>Analysis</w:t>
      </w:r>
      <w:proofErr w:type="spellEnd"/>
      <w:r w:rsidRPr="003620CC">
        <w:rPr>
          <w:rFonts w:ascii="Traditional Arabic" w:eastAsia="Simplified Arabic" w:hAnsi="Traditional Arabic" w:cs="Traditional Arabic"/>
          <w:sz w:val="28"/>
          <w:szCs w:val="28"/>
          <w:rtl/>
        </w:rPr>
        <w:t>) أو تحليل تفاعل (</w:t>
      </w:r>
      <w:proofErr w:type="spellStart"/>
      <w:r w:rsidRPr="003620CC">
        <w:rPr>
          <w:rFonts w:ascii="Traditional Arabic" w:eastAsia="Simplified Arabic" w:hAnsi="Traditional Arabic" w:cs="Traditional Arabic"/>
          <w:sz w:val="28"/>
          <w:szCs w:val="28"/>
          <w:rtl/>
        </w:rPr>
        <w:t>Interaction</w:t>
      </w:r>
      <w:proofErr w:type="spellEnd"/>
      <w:r w:rsidRPr="003620CC">
        <w:rPr>
          <w:rFonts w:ascii="Traditional Arabic" w:eastAsia="Simplified Arabic" w:hAnsi="Traditional Arabic" w:cs="Traditional Arabic"/>
          <w:sz w:val="28"/>
          <w:szCs w:val="28"/>
          <w:rtl/>
        </w:rPr>
        <w:t xml:space="preserve"> </w:t>
      </w:r>
      <w:proofErr w:type="spellStart"/>
      <w:r w:rsidRPr="003620CC">
        <w:rPr>
          <w:rFonts w:ascii="Traditional Arabic" w:eastAsia="Simplified Arabic" w:hAnsi="Traditional Arabic" w:cs="Traditional Arabic"/>
          <w:sz w:val="28"/>
          <w:szCs w:val="28"/>
          <w:rtl/>
        </w:rPr>
        <w:t>Analysis</w:t>
      </w:r>
      <w:proofErr w:type="spellEnd"/>
      <w:r w:rsidRPr="003620CC">
        <w:rPr>
          <w:rFonts w:ascii="Traditional Arabic" w:eastAsia="Simplified Arabic" w:hAnsi="Traditional Arabic" w:cs="Traditional Arabic"/>
          <w:sz w:val="28"/>
          <w:szCs w:val="28"/>
          <w:rtl/>
        </w:rPr>
        <w:t>) مخصص، بعد جمع بيانات إضافية تسمح بذلك.</w:t>
      </w:r>
    </w:p>
    <w:p w14:paraId="65A93C1B" w14:textId="1AB5EE6A" w:rsidR="00C30195" w:rsidRPr="003620CC" w:rsidRDefault="003620CC" w:rsidP="003620CC">
      <w:pPr>
        <w:spacing w:after="200" w:line="276" w:lineRule="auto"/>
        <w:rPr>
          <w:rFonts w:ascii="Traditional Arabic" w:eastAsia="Simplified Arabic" w:hAnsi="Traditional Arabic" w:cs="Traditional Arabic"/>
          <w:sz w:val="28"/>
          <w:szCs w:val="28"/>
          <w:rtl/>
        </w:rPr>
      </w:pPr>
      <w:r>
        <w:rPr>
          <w:rFonts w:ascii="Traditional Arabic" w:eastAsia="Simplified Arabic" w:hAnsi="Traditional Arabic" w:cs="Traditional Arabic"/>
          <w:sz w:val="28"/>
          <w:szCs w:val="28"/>
          <w:rtl/>
        </w:rPr>
        <w:br w:type="page"/>
      </w:r>
    </w:p>
    <w:p w14:paraId="0091064B" w14:textId="469E1D2A" w:rsidR="00B35152" w:rsidRPr="00310DA8" w:rsidRDefault="00B35152" w:rsidP="00E000FF">
      <w:pPr>
        <w:pStyle w:val="HeadingTOCEntry"/>
        <w:bidi/>
        <w:spacing w:after="0" w:line="360" w:lineRule="auto"/>
        <w:jc w:val="center"/>
        <w:rPr>
          <w:rFonts w:ascii="Simplified Arabic" w:hAnsi="Simplified Arabic" w:cs="Simplified Arabic"/>
          <w:b/>
          <w:bCs/>
          <w:sz w:val="28"/>
          <w:szCs w:val="28"/>
          <w:u w:val="single"/>
        </w:rPr>
      </w:pPr>
      <w:bookmarkStart w:id="79" w:name="_Toc234424173"/>
      <w:r>
        <w:rPr>
          <w:rFonts w:ascii="Traditional Arabic" w:hAnsi="Traditional Arabic" w:cs="Traditional Arabic"/>
          <w:b/>
          <w:bCs/>
          <w:sz w:val="32"/>
          <w:szCs w:val="32"/>
          <w:u w:val="single"/>
          <w:rtl/>
        </w:rPr>
        <w:lastRenderedPageBreak/>
        <w:t>ملحق (1)</w:t>
      </w:r>
      <w:bookmarkEnd w:id="79"/>
    </w:p>
    <w:p w14:paraId="56AB1714"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استبانة الدراسة</w:t>
      </w:r>
    </w:p>
    <w:p w14:paraId="7CA13E11" w14:textId="77777777" w:rsidR="00B35152" w:rsidRPr="0087261A" w:rsidRDefault="00B35152" w:rsidP="00E000FF">
      <w:pPr>
        <w:bidi/>
        <w:spacing w:after="0" w:line="360" w:lineRule="auto"/>
        <w:jc w:val="both"/>
        <w:rPr>
          <w:rFonts w:ascii="Simplified Arabic" w:hAnsi="Simplified Arabic" w:cs="Simplified Arabic"/>
          <w:sz w:val="28"/>
          <w:szCs w:val="28"/>
        </w:rPr>
      </w:pPr>
    </w:p>
    <w:p w14:paraId="50D71BBE"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الأخ/الأخت الكريم/ة،</w:t>
      </w:r>
    </w:p>
    <w:p w14:paraId="675034BE"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السلام عليكم ورحمة الله وبركاته،</w:t>
      </w:r>
    </w:p>
    <w:p w14:paraId="0B044C5F"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يسعدني أن أضع بين يديكم هذه الاستبانة التي صُمِّمت لأغراض البحث العلمي في إطار أطروحة دكتوراه بعنوان:</w:t>
      </w:r>
    </w:p>
    <w:p w14:paraId="3EF288D7"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"أثر تقنية الترميز على الأمن السيبراني وكفاءة العمليات المالية في المؤسسات السعودية - دراسة تحليلية"</w:t>
      </w:r>
    </w:p>
    <w:p w14:paraId="79788003"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1ED3E01D"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وتقبّلوا خالص الشكر والتقدير،</w:t>
      </w:r>
    </w:p>
    <w:p w14:paraId="4149771A"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الباحث</w:t>
      </w:r>
    </w:p>
    <w:p w14:paraId="3A6AED9F" w14:textId="77777777" w:rsidR="00B35152" w:rsidRPr="0087261A" w:rsidRDefault="00B35152" w:rsidP="00E000FF">
      <w:pPr>
        <w:bidi/>
        <w:spacing w:after="0" w:line="360" w:lineRule="auto"/>
        <w:jc w:val="both"/>
        <w:rPr>
          <w:rFonts w:ascii="Simplified Arabic" w:hAnsi="Simplified Arabic" w:cs="Simplified Arabic"/>
          <w:sz w:val="28"/>
          <w:szCs w:val="28"/>
        </w:rPr>
      </w:pPr>
    </w:p>
    <w:p w14:paraId="332ACA0C" w14:textId="77777777" w:rsidR="00B35152" w:rsidRPr="0087261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القسم الأول: البيانات الديموغرافية والوظيفية</w:t>
      </w:r>
    </w:p>
    <w:p w14:paraId="0B960DAC"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يرجى وضع علامة (</w:t>
      </w:r>
      <w:r>
        <w:rPr>
          <w:rFonts w:ascii="Traditional Arabic" w:hAnsi="Traditional Arabic" w:cs="Traditional Arabic" w:hint="cs"/>
          <w:sz w:val="24"/>
          <w:szCs w:val="24"/>
          <w:rtl/>
        </w:rPr>
        <w:t>✓</w:t>
      </w:r>
      <w:r>
        <w:rPr>
          <w:rFonts w:ascii="Traditional Arabic" w:hAnsi="Traditional Arabic" w:cs="Traditional Arabic"/>
          <w:sz w:val="24"/>
          <w:szCs w:val="24"/>
          <w:rtl/>
        </w:rPr>
        <w:t xml:space="preserve">) </w:t>
      </w:r>
      <w:r>
        <w:rPr>
          <w:rFonts w:ascii="Traditional Arabic" w:hAnsi="Traditional Arabic" w:cs="Traditional Arabic" w:hint="cs"/>
          <w:sz w:val="24"/>
          <w:szCs w:val="24"/>
          <w:rtl/>
        </w:rPr>
        <w:t>في</w:t>
      </w:r>
      <w:r>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المكان</w:t>
      </w:r>
      <w:r>
        <w:rPr>
          <w:rFonts w:ascii="Traditional Arabic" w:hAnsi="Traditional Arabic" w:cs="Traditional Arabic"/>
          <w:sz w:val="24"/>
          <w:szCs w:val="24"/>
          <w:rtl/>
        </w:rPr>
        <w:t xml:space="preserve"> </w:t>
      </w:r>
      <w:r>
        <w:rPr>
          <w:rFonts w:ascii="Traditional Arabic" w:hAnsi="Traditional Arabic" w:cs="Traditional Arabic" w:hint="cs"/>
          <w:sz w:val="24"/>
          <w:szCs w:val="24"/>
          <w:rtl/>
        </w:rPr>
        <w:t>المناسب</w:t>
      </w:r>
      <w:r>
        <w:rPr>
          <w:rFonts w:ascii="Traditional Arabic" w:hAnsi="Traditional Arabic" w:cs="Traditional Arabic"/>
          <w:sz w:val="24"/>
          <w:szCs w:val="24"/>
          <w:rtl/>
        </w:rPr>
        <w:t>:</w:t>
      </w:r>
    </w:p>
    <w:tbl>
      <w:tblPr>
        <w:tblStyle w:val="GridTable4-Accent1"/>
        <w:tblW w:w="8299" w:type="dxa"/>
        <w:tblLook w:val="04A0" w:firstRow="1" w:lastRow="0" w:firstColumn="1" w:lastColumn="0" w:noHBand="0" w:noVBand="1"/>
      </w:tblPr>
      <w:tblGrid>
        <w:gridCol w:w="5279"/>
        <w:gridCol w:w="616"/>
        <w:gridCol w:w="2404"/>
      </w:tblGrid>
      <w:tr w:rsidR="00B35152" w:rsidRPr="00A74EA0" w14:paraId="5D4F1B66"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vAlign w:val="center"/>
          </w:tcPr>
          <w:p w14:paraId="169734C3"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الخيارات</w:t>
            </w:r>
          </w:p>
        </w:tc>
        <w:tc>
          <w:tcPr>
            <w:tcW w:w="636" w:type="dxa"/>
            <w:gridSpan w:val="2"/>
            <w:vAlign w:val="center"/>
          </w:tcPr>
          <w:p w14:paraId="41CFD5EF" w14:textId="77777777" w:rsidR="00B35152" w:rsidRPr="003050DB"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السؤال</w:t>
            </w:r>
          </w:p>
        </w:tc>
      </w:tr>
      <w:tr w:rsidR="00B35152" w:rsidRPr="00A74EA0" w14:paraId="338D1081"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3EDAEF46"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بنك تجاري </w:t>
            </w:r>
            <w:proofErr w:type="gramStart"/>
            <w:r>
              <w:rPr>
                <w:rFonts w:ascii="Traditional Arabic" w:hAnsi="Traditional Arabic" w:cs="Traditional Arabic"/>
                <w:rtl/>
              </w:rPr>
              <w:t xml:space="preserve">تقليدي  </w:t>
            </w:r>
            <w:r>
              <w:rPr>
                <w:rFonts w:ascii="Traditional Arabic" w:hAnsi="Traditional Arabic" w:cs="Traditional Arabic" w:hint="cs"/>
                <w:rtl/>
              </w:rPr>
              <w:t>☐</w:t>
            </w:r>
            <w:proofErr w:type="gramEnd"/>
            <w:r>
              <w:rPr>
                <w:rFonts w:ascii="Traditional Arabic" w:hAnsi="Traditional Arabic" w:cs="Traditional Arabic"/>
                <w:rtl/>
              </w:rPr>
              <w:t xml:space="preserve"> بنك </w:t>
            </w:r>
            <w:proofErr w:type="gramStart"/>
            <w:r>
              <w:rPr>
                <w:rFonts w:ascii="Traditional Arabic" w:hAnsi="Traditional Arabic" w:cs="Traditional Arabic"/>
                <w:rtl/>
              </w:rPr>
              <w:t xml:space="preserve">رقمي  </w:t>
            </w:r>
            <w:r>
              <w:rPr>
                <w:rFonts w:ascii="Traditional Arabic" w:hAnsi="Traditional Arabic" w:cs="Traditional Arabic" w:hint="cs"/>
                <w:rtl/>
              </w:rPr>
              <w:t>☐</w:t>
            </w:r>
            <w:proofErr w:type="gramEnd"/>
            <w:r>
              <w:rPr>
                <w:rFonts w:ascii="Traditional Arabic" w:hAnsi="Traditional Arabic" w:cs="Traditional Arabic"/>
                <w:rtl/>
              </w:rPr>
              <w:t xml:space="preserve"> شركة تقنية مالية (</w:t>
            </w:r>
            <w:proofErr w:type="spellStart"/>
            <w:r>
              <w:rPr>
                <w:rFonts w:ascii="Traditional Arabic" w:hAnsi="Traditional Arabic" w:cs="Traditional Arabic"/>
                <w:rtl/>
              </w:rPr>
              <w:t>Fintech</w:t>
            </w:r>
            <w:proofErr w:type="spellEnd"/>
            <w:r>
              <w:rPr>
                <w:rFonts w:ascii="Traditional Arabic" w:hAnsi="Traditional Arabic" w:cs="Traditional Arabic"/>
                <w:rtl/>
              </w:rPr>
              <w:t>)</w:t>
            </w:r>
          </w:p>
        </w:tc>
        <w:tc>
          <w:tcPr>
            <w:tcW w:w="636" w:type="dxa"/>
            <w:vAlign w:val="center"/>
          </w:tcPr>
          <w:p w14:paraId="701A1463" w14:textId="77777777" w:rsidR="00B35152" w:rsidRPr="003050DB" w:rsidRDefault="00B35152" w:rsidP="00E000FF">
            <w:pPr>
              <w:tabs>
                <w:tab w:val="num" w:pos="907"/>
              </w:tabs>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 نوع المؤسسة التي تعمل بها</w:t>
            </w:r>
          </w:p>
        </w:tc>
      </w:tr>
      <w:tr w:rsidR="00B35152" w:rsidRPr="00A74EA0" w14:paraId="5CE9C010" w14:textId="77777777" w:rsidTr="00B943E6">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45BEE620"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أقل من 3 </w:t>
            </w:r>
            <w:proofErr w:type="gramStart"/>
            <w:r>
              <w:rPr>
                <w:rFonts w:ascii="Traditional Arabic" w:hAnsi="Traditional Arabic" w:cs="Traditional Arabic"/>
                <w:rtl/>
              </w:rPr>
              <w:t xml:space="preserve">سنوات  </w:t>
            </w:r>
            <w:r>
              <w:rPr>
                <w:rFonts w:ascii="Traditional Arabic" w:hAnsi="Traditional Arabic" w:cs="Traditional Arabic" w:hint="cs"/>
                <w:rtl/>
              </w:rPr>
              <w:t>☐</w:t>
            </w:r>
            <w:proofErr w:type="gramEnd"/>
            <w:r>
              <w:rPr>
                <w:rFonts w:ascii="Traditional Arabic" w:hAnsi="Traditional Arabic" w:cs="Traditional Arabic"/>
                <w:rtl/>
              </w:rPr>
              <w:t xml:space="preserve"> 3-6 </w:t>
            </w:r>
            <w:proofErr w:type="gramStart"/>
            <w:r>
              <w:rPr>
                <w:rFonts w:ascii="Traditional Arabic" w:hAnsi="Traditional Arabic" w:cs="Traditional Arabic"/>
                <w:rtl/>
              </w:rPr>
              <w:t xml:space="preserve">سنوات  </w:t>
            </w:r>
            <w:r>
              <w:rPr>
                <w:rFonts w:ascii="Traditional Arabic" w:hAnsi="Traditional Arabic" w:cs="Traditional Arabic" w:hint="cs"/>
                <w:rtl/>
              </w:rPr>
              <w:t>☐</w:t>
            </w:r>
            <w:proofErr w:type="gramEnd"/>
            <w:r>
              <w:rPr>
                <w:rFonts w:ascii="Traditional Arabic" w:hAnsi="Traditional Arabic" w:cs="Traditional Arabic"/>
                <w:rtl/>
              </w:rPr>
              <w:t xml:space="preserve"> 7-10 </w:t>
            </w:r>
            <w:proofErr w:type="gramStart"/>
            <w:r>
              <w:rPr>
                <w:rFonts w:ascii="Traditional Arabic" w:hAnsi="Traditional Arabic" w:cs="Traditional Arabic"/>
                <w:rtl/>
              </w:rPr>
              <w:t xml:space="preserve">سنوات  </w:t>
            </w:r>
            <w:r>
              <w:rPr>
                <w:rFonts w:ascii="Traditional Arabic" w:hAnsi="Traditional Arabic" w:cs="Traditional Arabic" w:hint="cs"/>
                <w:rtl/>
              </w:rPr>
              <w:t>☐</w:t>
            </w:r>
            <w:proofErr w:type="gramEnd"/>
            <w:r>
              <w:rPr>
                <w:rFonts w:ascii="Traditional Arabic" w:hAnsi="Traditional Arabic" w:cs="Traditional Arabic"/>
                <w:rtl/>
              </w:rPr>
              <w:t xml:space="preserve"> أكثر من 10 سنوات</w:t>
            </w:r>
          </w:p>
        </w:tc>
        <w:tc>
          <w:tcPr>
            <w:tcW w:w="636" w:type="dxa"/>
            <w:vAlign w:val="center"/>
          </w:tcPr>
          <w:p w14:paraId="478F3B7B" w14:textId="77777777" w:rsidR="00B35152" w:rsidRPr="003050DB" w:rsidRDefault="00B35152" w:rsidP="00E000FF">
            <w:pPr>
              <w:tabs>
                <w:tab w:val="num" w:pos="907"/>
              </w:tabs>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 سنوات خبرتك في المجال</w:t>
            </w:r>
          </w:p>
        </w:tc>
      </w:tr>
      <w:tr w:rsidR="00B35152" w:rsidRPr="00A74EA0" w14:paraId="418C385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0E7A129D"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مدير تنفيذي/</w:t>
            </w:r>
            <w:proofErr w:type="gramStart"/>
            <w:r>
              <w:rPr>
                <w:rFonts w:ascii="Traditional Arabic" w:hAnsi="Traditional Arabic" w:cs="Traditional Arabic"/>
                <w:rtl/>
              </w:rPr>
              <w:t xml:space="preserve">قيادي  </w:t>
            </w:r>
            <w:r>
              <w:rPr>
                <w:rFonts w:ascii="Traditional Arabic" w:hAnsi="Traditional Arabic" w:cs="Traditional Arabic" w:hint="cs"/>
                <w:rtl/>
              </w:rPr>
              <w:t>☐</w:t>
            </w:r>
            <w:proofErr w:type="gramEnd"/>
            <w:r>
              <w:rPr>
                <w:rFonts w:ascii="Traditional Arabic" w:hAnsi="Traditional Arabic" w:cs="Traditional Arabic"/>
                <w:rtl/>
              </w:rPr>
              <w:t xml:space="preserve"> مدير </w:t>
            </w:r>
            <w:proofErr w:type="gramStart"/>
            <w:r>
              <w:rPr>
                <w:rFonts w:ascii="Traditional Arabic" w:hAnsi="Traditional Arabic" w:cs="Traditional Arabic"/>
                <w:rtl/>
              </w:rPr>
              <w:t xml:space="preserve">وسطى  </w:t>
            </w:r>
            <w:r>
              <w:rPr>
                <w:rFonts w:ascii="Traditional Arabic" w:hAnsi="Traditional Arabic" w:cs="Traditional Arabic" w:hint="cs"/>
                <w:rtl/>
              </w:rPr>
              <w:t>☐</w:t>
            </w:r>
            <w:proofErr w:type="gramEnd"/>
            <w:r>
              <w:rPr>
                <w:rFonts w:ascii="Traditional Arabic" w:hAnsi="Traditional Arabic" w:cs="Traditional Arabic"/>
                <w:rtl/>
              </w:rPr>
              <w:t xml:space="preserve"> متخصص </w:t>
            </w:r>
            <w:proofErr w:type="gramStart"/>
            <w:r>
              <w:rPr>
                <w:rFonts w:ascii="Traditional Arabic" w:hAnsi="Traditional Arabic" w:cs="Traditional Arabic"/>
                <w:rtl/>
              </w:rPr>
              <w:t xml:space="preserve">تقني  </w:t>
            </w:r>
            <w:r>
              <w:rPr>
                <w:rFonts w:ascii="Traditional Arabic" w:hAnsi="Traditional Arabic" w:cs="Traditional Arabic" w:hint="cs"/>
                <w:rtl/>
              </w:rPr>
              <w:t>☐</w:t>
            </w:r>
            <w:proofErr w:type="gramEnd"/>
            <w:r>
              <w:rPr>
                <w:rFonts w:ascii="Traditional Arabic" w:hAnsi="Traditional Arabic" w:cs="Traditional Arabic"/>
                <w:rtl/>
              </w:rPr>
              <w:t xml:space="preserve"> أخرى</w:t>
            </w:r>
          </w:p>
        </w:tc>
        <w:tc>
          <w:tcPr>
            <w:tcW w:w="636" w:type="dxa"/>
            <w:vAlign w:val="center"/>
          </w:tcPr>
          <w:p w14:paraId="7C28BA9E" w14:textId="77777777" w:rsidR="00B35152" w:rsidRPr="003050DB" w:rsidRDefault="00B35152" w:rsidP="00E000FF">
            <w:pPr>
              <w:tabs>
                <w:tab w:val="num" w:pos="907"/>
              </w:tabs>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 المستوى الوظيفي</w:t>
            </w:r>
          </w:p>
        </w:tc>
      </w:tr>
      <w:tr w:rsidR="00B35152" w:rsidRPr="00A74EA0" w14:paraId="702B39B8" w14:textId="77777777" w:rsidTr="00B943E6">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3B59F550"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w:t>
            </w:r>
            <w:proofErr w:type="gramStart"/>
            <w:r>
              <w:rPr>
                <w:rFonts w:ascii="Traditional Arabic" w:hAnsi="Traditional Arabic" w:cs="Traditional Arabic"/>
                <w:rtl/>
              </w:rPr>
              <w:t xml:space="preserve">بكالوريوس  </w:t>
            </w:r>
            <w:r>
              <w:rPr>
                <w:rFonts w:ascii="Traditional Arabic" w:hAnsi="Traditional Arabic" w:cs="Traditional Arabic" w:hint="cs"/>
                <w:rtl/>
              </w:rPr>
              <w:t>☐</w:t>
            </w:r>
            <w:proofErr w:type="gramEnd"/>
            <w:r>
              <w:rPr>
                <w:rFonts w:ascii="Traditional Arabic" w:hAnsi="Traditional Arabic" w:cs="Traditional Arabic"/>
                <w:rtl/>
              </w:rPr>
              <w:t xml:space="preserve"> </w:t>
            </w:r>
            <w:proofErr w:type="gramStart"/>
            <w:r>
              <w:rPr>
                <w:rFonts w:ascii="Traditional Arabic" w:hAnsi="Traditional Arabic" w:cs="Traditional Arabic"/>
                <w:rtl/>
              </w:rPr>
              <w:t xml:space="preserve">ماجستير  </w:t>
            </w:r>
            <w:r>
              <w:rPr>
                <w:rFonts w:ascii="Traditional Arabic" w:hAnsi="Traditional Arabic" w:cs="Traditional Arabic" w:hint="cs"/>
                <w:rtl/>
              </w:rPr>
              <w:t>☐</w:t>
            </w:r>
            <w:proofErr w:type="gramEnd"/>
            <w:r>
              <w:rPr>
                <w:rFonts w:ascii="Traditional Arabic" w:hAnsi="Traditional Arabic" w:cs="Traditional Arabic"/>
                <w:rtl/>
              </w:rPr>
              <w:t xml:space="preserve"> دكتوراه</w:t>
            </w:r>
          </w:p>
        </w:tc>
        <w:tc>
          <w:tcPr>
            <w:tcW w:w="636" w:type="dxa"/>
            <w:vAlign w:val="center"/>
          </w:tcPr>
          <w:p w14:paraId="0524CF24" w14:textId="77777777" w:rsidR="00B35152" w:rsidRPr="003050DB" w:rsidRDefault="00B35152" w:rsidP="00E000FF">
            <w:pPr>
              <w:tabs>
                <w:tab w:val="num" w:pos="907"/>
              </w:tabs>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 المؤهل العلمي</w:t>
            </w:r>
          </w:p>
        </w:tc>
      </w:tr>
      <w:tr w:rsidR="00B35152" w:rsidRPr="00A74EA0" w14:paraId="3724151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15" w:type="dxa"/>
            <w:gridSpan w:val="2"/>
            <w:vAlign w:val="center"/>
          </w:tcPr>
          <w:p w14:paraId="4552370A" w14:textId="77777777" w:rsidR="00B35152" w:rsidRPr="003050DB"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hint="cs"/>
                <w:rtl/>
              </w:rPr>
              <w:t>☐</w:t>
            </w:r>
            <w:r>
              <w:rPr>
                <w:rFonts w:ascii="Traditional Arabic" w:hAnsi="Traditional Arabic" w:cs="Traditional Arabic"/>
                <w:rtl/>
              </w:rPr>
              <w:t xml:space="preserve"> أمن </w:t>
            </w:r>
            <w:proofErr w:type="gramStart"/>
            <w:r>
              <w:rPr>
                <w:rFonts w:ascii="Traditional Arabic" w:hAnsi="Traditional Arabic" w:cs="Traditional Arabic"/>
                <w:rtl/>
              </w:rPr>
              <w:t xml:space="preserve">سيبراني  </w:t>
            </w:r>
            <w:r>
              <w:rPr>
                <w:rFonts w:ascii="Traditional Arabic" w:hAnsi="Traditional Arabic" w:cs="Traditional Arabic" w:hint="cs"/>
                <w:rtl/>
              </w:rPr>
              <w:t>☐</w:t>
            </w:r>
            <w:proofErr w:type="gramEnd"/>
            <w:r>
              <w:rPr>
                <w:rFonts w:ascii="Traditional Arabic" w:hAnsi="Traditional Arabic" w:cs="Traditional Arabic"/>
                <w:rtl/>
              </w:rPr>
              <w:t xml:space="preserve"> تقنية </w:t>
            </w:r>
            <w:proofErr w:type="gramStart"/>
            <w:r>
              <w:rPr>
                <w:rFonts w:ascii="Traditional Arabic" w:hAnsi="Traditional Arabic" w:cs="Traditional Arabic"/>
                <w:rtl/>
              </w:rPr>
              <w:t xml:space="preserve">المعلومات  </w:t>
            </w:r>
            <w:r>
              <w:rPr>
                <w:rFonts w:ascii="Traditional Arabic" w:hAnsi="Traditional Arabic" w:cs="Traditional Arabic" w:hint="cs"/>
                <w:rtl/>
              </w:rPr>
              <w:t>☐</w:t>
            </w:r>
            <w:proofErr w:type="gramEnd"/>
            <w:r>
              <w:rPr>
                <w:rFonts w:ascii="Traditional Arabic" w:hAnsi="Traditional Arabic" w:cs="Traditional Arabic"/>
                <w:rtl/>
              </w:rPr>
              <w:t xml:space="preserve"> عمليات </w:t>
            </w:r>
            <w:proofErr w:type="gramStart"/>
            <w:r>
              <w:rPr>
                <w:rFonts w:ascii="Traditional Arabic" w:hAnsi="Traditional Arabic" w:cs="Traditional Arabic"/>
                <w:rtl/>
              </w:rPr>
              <w:t xml:space="preserve">مالية  </w:t>
            </w:r>
            <w:r>
              <w:rPr>
                <w:rFonts w:ascii="Traditional Arabic" w:hAnsi="Traditional Arabic" w:cs="Traditional Arabic" w:hint="cs"/>
                <w:rtl/>
              </w:rPr>
              <w:t>☐</w:t>
            </w:r>
            <w:proofErr w:type="gramEnd"/>
            <w:r>
              <w:rPr>
                <w:rFonts w:ascii="Traditional Arabic" w:hAnsi="Traditional Arabic" w:cs="Traditional Arabic"/>
                <w:rtl/>
              </w:rPr>
              <w:t xml:space="preserve"> إدارة </w:t>
            </w:r>
            <w:proofErr w:type="gramStart"/>
            <w:r>
              <w:rPr>
                <w:rFonts w:ascii="Traditional Arabic" w:hAnsi="Traditional Arabic" w:cs="Traditional Arabic"/>
                <w:rtl/>
              </w:rPr>
              <w:t xml:space="preserve">مخاطر  </w:t>
            </w:r>
            <w:r>
              <w:rPr>
                <w:rFonts w:ascii="Traditional Arabic" w:hAnsi="Traditional Arabic" w:cs="Traditional Arabic" w:hint="cs"/>
                <w:rtl/>
              </w:rPr>
              <w:t>☐</w:t>
            </w:r>
            <w:proofErr w:type="gramEnd"/>
            <w:r>
              <w:rPr>
                <w:rFonts w:ascii="Traditional Arabic" w:hAnsi="Traditional Arabic" w:cs="Traditional Arabic"/>
                <w:rtl/>
              </w:rPr>
              <w:t xml:space="preserve"> أخرى</w:t>
            </w:r>
          </w:p>
        </w:tc>
        <w:tc>
          <w:tcPr>
            <w:tcW w:w="636" w:type="dxa"/>
            <w:vAlign w:val="center"/>
          </w:tcPr>
          <w:p w14:paraId="7E164362" w14:textId="77777777" w:rsidR="00B35152" w:rsidRPr="003050DB" w:rsidRDefault="00B35152" w:rsidP="00E000FF">
            <w:pPr>
              <w:tabs>
                <w:tab w:val="num" w:pos="907"/>
              </w:tabs>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5. مجال التخصص</w:t>
            </w:r>
          </w:p>
        </w:tc>
      </w:tr>
      <w:tr w:rsidR="00B35152" w14:paraId="2578F849" w14:textId="77777777" w:rsidTr="00B943E6">
        <w:trPr>
          <w:gridAfter w:val="1"/>
          <w:wAfter w:w="2927" w:type="dxa"/>
        </w:trPr>
        <w:tc>
          <w:tcPr>
            <w:cnfStyle w:val="001000000000" w:firstRow="0" w:lastRow="0" w:firstColumn="1" w:lastColumn="0" w:oddVBand="0" w:evenVBand="0" w:oddHBand="0" w:evenHBand="0" w:firstRowFirstColumn="0" w:firstRowLastColumn="0" w:lastRowFirstColumn="0" w:lastRowLastColumn="0"/>
            <w:tcW w:w="6715" w:type="dxa"/>
            <w:vAlign w:val="center"/>
          </w:tcPr>
          <w:p w14:paraId="7E4AE5F4" w14:textId="77777777" w:rsidR="00B35152" w:rsidRDefault="00B35152" w:rsidP="00E000FF">
            <w:pPr>
              <w:bidi/>
              <w:spacing w:after="0" w:line="260" w:lineRule="auto"/>
              <w:rPr>
                <w:rFonts w:ascii="Simplified Arabic" w:hAnsi="Simplified Arabic" w:cs="Simplified Arabic"/>
                <w:sz w:val="24"/>
                <w:szCs w:val="24"/>
                <w:rtl/>
              </w:rPr>
            </w:pPr>
            <w:r>
              <w:rPr>
                <w:rFonts w:ascii="Traditional Arabic" w:hAnsi="Traditional Arabic" w:cs="Traditional Arabic" w:hint="cs"/>
                <w:rtl/>
              </w:rPr>
              <w:t>☐</w:t>
            </w:r>
            <w:r>
              <w:rPr>
                <w:rFonts w:ascii="Traditional Arabic" w:hAnsi="Traditional Arabic" w:cs="Traditional Arabic"/>
                <w:rtl/>
              </w:rPr>
              <w:t xml:space="preserve"> الأمن </w:t>
            </w:r>
            <w:proofErr w:type="gramStart"/>
            <w:r>
              <w:rPr>
                <w:rFonts w:ascii="Traditional Arabic" w:hAnsi="Traditional Arabic" w:cs="Traditional Arabic"/>
                <w:rtl/>
              </w:rPr>
              <w:t xml:space="preserve">السيبراني  </w:t>
            </w:r>
            <w:r>
              <w:rPr>
                <w:rFonts w:ascii="Traditional Arabic" w:hAnsi="Traditional Arabic" w:cs="Traditional Arabic" w:hint="cs"/>
                <w:rtl/>
              </w:rPr>
              <w:t>☐</w:t>
            </w:r>
            <w:proofErr w:type="gramEnd"/>
            <w:r>
              <w:rPr>
                <w:rFonts w:ascii="Traditional Arabic" w:hAnsi="Traditional Arabic" w:cs="Traditional Arabic"/>
                <w:rtl/>
              </w:rPr>
              <w:t xml:space="preserve"> تقنية </w:t>
            </w:r>
            <w:proofErr w:type="gramStart"/>
            <w:r>
              <w:rPr>
                <w:rFonts w:ascii="Traditional Arabic" w:hAnsi="Traditional Arabic" w:cs="Traditional Arabic"/>
                <w:rtl/>
              </w:rPr>
              <w:t xml:space="preserve">المعلومات  </w:t>
            </w:r>
            <w:r>
              <w:rPr>
                <w:rFonts w:ascii="Traditional Arabic" w:hAnsi="Traditional Arabic" w:cs="Traditional Arabic" w:hint="cs"/>
                <w:rtl/>
              </w:rPr>
              <w:t>☐</w:t>
            </w:r>
            <w:proofErr w:type="gramEnd"/>
            <w:r>
              <w:rPr>
                <w:rFonts w:ascii="Traditional Arabic" w:hAnsi="Traditional Arabic" w:cs="Traditional Arabic"/>
                <w:rtl/>
              </w:rPr>
              <w:t xml:space="preserve"> العمليات </w:t>
            </w:r>
            <w:proofErr w:type="gramStart"/>
            <w:r>
              <w:rPr>
                <w:rFonts w:ascii="Traditional Arabic" w:hAnsi="Traditional Arabic" w:cs="Traditional Arabic"/>
                <w:rtl/>
              </w:rPr>
              <w:t xml:space="preserve">المالية  </w:t>
            </w:r>
            <w:r>
              <w:rPr>
                <w:rFonts w:ascii="Traditional Arabic" w:hAnsi="Traditional Arabic" w:cs="Traditional Arabic" w:hint="cs"/>
                <w:rtl/>
              </w:rPr>
              <w:t>☐</w:t>
            </w:r>
            <w:proofErr w:type="gramEnd"/>
            <w:r>
              <w:rPr>
                <w:rFonts w:ascii="Traditional Arabic" w:hAnsi="Traditional Arabic" w:cs="Traditional Arabic"/>
                <w:rtl/>
              </w:rPr>
              <w:t xml:space="preserve"> إدارة المخاطر </w:t>
            </w:r>
            <w:proofErr w:type="gramStart"/>
            <w:r>
              <w:rPr>
                <w:rFonts w:ascii="Traditional Arabic" w:hAnsi="Traditional Arabic" w:cs="Traditional Arabic"/>
                <w:rtl/>
              </w:rPr>
              <w:t xml:space="preserve">والامتثال  </w:t>
            </w:r>
            <w:r>
              <w:rPr>
                <w:rFonts w:ascii="Traditional Arabic" w:hAnsi="Traditional Arabic" w:cs="Traditional Arabic" w:hint="cs"/>
                <w:rtl/>
              </w:rPr>
              <w:t>☐</w:t>
            </w:r>
            <w:proofErr w:type="gramEnd"/>
            <w:r>
              <w:rPr>
                <w:rFonts w:ascii="Traditional Arabic" w:hAnsi="Traditional Arabic" w:cs="Traditional Arabic"/>
                <w:rtl/>
              </w:rPr>
              <w:t xml:space="preserve"> أخرى</w:t>
            </w:r>
          </w:p>
        </w:tc>
        <w:tc>
          <w:tcPr>
            <w:tcW w:w="636" w:type="dxa"/>
            <w:vAlign w:val="center"/>
          </w:tcPr>
          <w:p w14:paraId="1A64BB7A" w14:textId="77777777" w:rsidR="00B35152"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Pr>
                <w:rFonts w:ascii="Traditional Arabic" w:hAnsi="Traditional Arabic" w:cs="Traditional Arabic"/>
                <w:rtl/>
              </w:rPr>
              <w:t>6. الإدارة أو القسم</w:t>
            </w:r>
          </w:p>
        </w:tc>
      </w:tr>
    </w:tbl>
    <w:p w14:paraId="2CD9CE81" w14:textId="77777777" w:rsidR="00B35152" w:rsidRPr="004D506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البيانات الديموغرافية والوظيفية</w:t>
      </w:r>
    </w:p>
    <w:p w14:paraId="3AD3F75E" w14:textId="77777777" w:rsidR="00B35152" w:rsidRDefault="00B35152" w:rsidP="00E000FF">
      <w:pPr>
        <w:bidi/>
        <w:spacing w:after="0" w:line="360" w:lineRule="auto"/>
        <w:jc w:val="both"/>
        <w:rPr>
          <w:rFonts w:ascii="Simplified Arabic" w:hAnsi="Simplified Arabic" w:cs="Simplified Arabic"/>
          <w:sz w:val="28"/>
          <w:szCs w:val="28"/>
          <w:rtl/>
        </w:rPr>
      </w:pPr>
    </w:p>
    <w:p w14:paraId="049C6432" w14:textId="77777777" w:rsidR="00B35152" w:rsidRDefault="00B35152" w:rsidP="00E000FF">
      <w:pPr>
        <w:bidi/>
        <w:spacing w:after="0" w:line="360" w:lineRule="auto"/>
        <w:jc w:val="both"/>
        <w:rPr>
          <w:rFonts w:ascii="Simplified Arabic" w:hAnsi="Simplified Arabic" w:cs="Simplified Arabic"/>
          <w:sz w:val="28"/>
          <w:szCs w:val="28"/>
          <w:rtl/>
        </w:rPr>
      </w:pPr>
    </w:p>
    <w:p w14:paraId="7EBC7288"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lastRenderedPageBreak/>
        <w:t>تعريفات إجرائية للمصطلحات التقنية</w:t>
      </w:r>
    </w:p>
    <w:tbl>
      <w:tblPr>
        <w:tblStyle w:val="MediumGrid1-Accent1"/>
        <w:bidiVisual/>
        <w:tblW w:w="0" w:type="auto"/>
        <w:tblLook w:val="04A0" w:firstRow="1" w:lastRow="0" w:firstColumn="1" w:lastColumn="0" w:noHBand="0" w:noVBand="1"/>
      </w:tblPr>
      <w:tblGrid>
        <w:gridCol w:w="4192"/>
        <w:gridCol w:w="4094"/>
      </w:tblGrid>
      <w:tr w:rsidR="00B35152" w:rsidRPr="00C8462C" w14:paraId="256EF3F8"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1E82B73B"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تقنية الترميز (</w:t>
            </w:r>
            <w:proofErr w:type="spellStart"/>
            <w:r>
              <w:rPr>
                <w:rFonts w:ascii="Traditional Arabic" w:hAnsi="Traditional Arabic" w:cs="Traditional Arabic"/>
                <w:rtl/>
              </w:rPr>
              <w:t>Tokenization</w:t>
            </w:r>
            <w:proofErr w:type="spellEnd"/>
            <w:r>
              <w:rPr>
                <w:rFonts w:ascii="Traditional Arabic" w:hAnsi="Traditional Arabic" w:cs="Traditional Arabic"/>
                <w:rtl/>
              </w:rPr>
              <w:t>)</w:t>
            </w:r>
          </w:p>
        </w:tc>
        <w:tc>
          <w:tcPr>
            <w:tcW w:w="4675" w:type="dxa"/>
            <w:vAlign w:val="center"/>
          </w:tcPr>
          <w:p w14:paraId="17BC1499" w14:textId="77777777" w:rsidR="00B35152" w:rsidRPr="00C8462C"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 xml:space="preserve"> استبدال البيانات الحساسة برمز بديل (</w:t>
            </w:r>
            <w:proofErr w:type="spellStart"/>
            <w:r>
              <w:rPr>
                <w:rFonts w:ascii="Traditional Arabic" w:hAnsi="Traditional Arabic" w:cs="Traditional Arabic"/>
                <w:b w:val="0"/>
                <w:bCs w:val="0"/>
                <w:rtl/>
              </w:rPr>
              <w:t>Token</w:t>
            </w:r>
            <w:proofErr w:type="spellEnd"/>
            <w:r>
              <w:rPr>
                <w:rFonts w:ascii="Traditional Arabic" w:hAnsi="Traditional Arabic" w:cs="Traditional Arabic"/>
                <w:b w:val="0"/>
                <w:bCs w:val="0"/>
                <w:rtl/>
              </w:rPr>
              <w:t>) فريد وغير قابل للاستغلال خارج النظام الذي أُنشئ فيه.</w:t>
            </w:r>
          </w:p>
        </w:tc>
      </w:tr>
      <w:tr w:rsidR="00B35152" w:rsidRPr="00C8462C" w14:paraId="43FAC53E"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C924863"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الترميز في حالة التخزين (</w:t>
            </w:r>
            <w:proofErr w:type="spellStart"/>
            <w:r>
              <w:rPr>
                <w:rFonts w:ascii="Traditional Arabic" w:hAnsi="Traditional Arabic" w:cs="Traditional Arabic"/>
                <w:rtl/>
              </w:rPr>
              <w:t>Tokenization</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Rest</w:t>
            </w:r>
            <w:proofErr w:type="spellEnd"/>
            <w:r>
              <w:rPr>
                <w:rFonts w:ascii="Traditional Arabic" w:hAnsi="Traditional Arabic" w:cs="Traditional Arabic"/>
                <w:rtl/>
              </w:rPr>
              <w:t>)</w:t>
            </w:r>
          </w:p>
        </w:tc>
        <w:tc>
          <w:tcPr>
            <w:tcW w:w="4675" w:type="dxa"/>
            <w:vAlign w:val="center"/>
          </w:tcPr>
          <w:p w14:paraId="02EFC8E6" w14:textId="77777777" w:rsidR="00B35152" w:rsidRPr="00C8462C"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حماية البيانات الحساسة المخزّنة في قواعد البيانات والأنظمة الداخلية باستبدالها </w:t>
            </w:r>
            <w:proofErr w:type="spellStart"/>
            <w:r>
              <w:rPr>
                <w:rFonts w:ascii="Traditional Arabic" w:hAnsi="Traditional Arabic" w:cs="Traditional Arabic"/>
                <w:rtl/>
              </w:rPr>
              <w:t>بترموز</w:t>
            </w:r>
            <w:proofErr w:type="spellEnd"/>
            <w:r>
              <w:rPr>
                <w:rFonts w:ascii="Traditional Arabic" w:hAnsi="Traditional Arabic" w:cs="Traditional Arabic"/>
                <w:rtl/>
              </w:rPr>
              <w:t>.</w:t>
            </w:r>
          </w:p>
        </w:tc>
      </w:tr>
      <w:tr w:rsidR="00B35152" w:rsidRPr="00C8462C" w14:paraId="13226DBF"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66DC361"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الترميز أثناء النقل (</w:t>
            </w:r>
            <w:proofErr w:type="spellStart"/>
            <w:r>
              <w:rPr>
                <w:rFonts w:ascii="Traditional Arabic" w:hAnsi="Traditional Arabic" w:cs="Traditional Arabic"/>
                <w:rtl/>
              </w:rPr>
              <w:t>Tokenization</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in</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Transit</w:t>
            </w:r>
            <w:proofErr w:type="spellEnd"/>
            <w:r>
              <w:rPr>
                <w:rFonts w:ascii="Traditional Arabic" w:hAnsi="Traditional Arabic" w:cs="Traditional Arabic"/>
                <w:rtl/>
              </w:rPr>
              <w:t>)</w:t>
            </w:r>
          </w:p>
        </w:tc>
        <w:tc>
          <w:tcPr>
            <w:tcW w:w="4675" w:type="dxa"/>
            <w:vAlign w:val="center"/>
          </w:tcPr>
          <w:p w14:paraId="3BED2147" w14:textId="77777777" w:rsidR="00B35152" w:rsidRPr="00C8462C"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حماية البيانات الحساسة أثناء انتقالها عبر الشبكات والأنظمة المختلفة.</w:t>
            </w:r>
          </w:p>
        </w:tc>
      </w:tr>
      <w:tr w:rsidR="00B35152" w:rsidRPr="00C8462C" w14:paraId="19E84DE4"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vAlign w:val="center"/>
          </w:tcPr>
          <w:p w14:paraId="2AD900C5"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معيار PCI DSS</w:t>
            </w:r>
          </w:p>
        </w:tc>
        <w:tc>
          <w:tcPr>
            <w:tcW w:w="4675" w:type="dxa"/>
            <w:vAlign w:val="center"/>
          </w:tcPr>
          <w:p w14:paraId="61FF4AE0" w14:textId="77777777" w:rsidR="00B35152" w:rsidRPr="00C8462C"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معيار أمان بيانات بطاقات الدفع الدولي الصادر عن PCI </w:t>
            </w:r>
            <w:proofErr w:type="spellStart"/>
            <w:r>
              <w:rPr>
                <w:rFonts w:ascii="Traditional Arabic" w:hAnsi="Traditional Arabic" w:cs="Traditional Arabic"/>
                <w:rtl/>
              </w:rPr>
              <w:t>Security</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Standards</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Council</w:t>
            </w:r>
            <w:proofErr w:type="spellEnd"/>
            <w:r>
              <w:rPr>
                <w:rFonts w:ascii="Traditional Arabic" w:hAnsi="Traditional Arabic" w:cs="Traditional Arabic"/>
                <w:rtl/>
              </w:rPr>
              <w:t>، ويُحدد متطلبات حماية بيانات حاملي البطاقات.</w:t>
            </w:r>
          </w:p>
        </w:tc>
      </w:tr>
      <w:tr w:rsidR="00B35152" w:rsidRPr="00C8462C" w14:paraId="2A0D8781" w14:textId="77777777" w:rsidTr="00B943E6">
        <w:tc>
          <w:tcPr>
            <w:cnfStyle w:val="001000000000" w:firstRow="0" w:lastRow="0" w:firstColumn="1" w:lastColumn="0" w:oddVBand="0" w:evenVBand="0" w:oddHBand="0" w:evenHBand="0" w:firstRowFirstColumn="0" w:firstRowLastColumn="0" w:lastRowFirstColumn="0" w:lastRowLastColumn="0"/>
            <w:tcW w:w="4675" w:type="dxa"/>
            <w:vAlign w:val="center"/>
          </w:tcPr>
          <w:p w14:paraId="0000E77E" w14:textId="77777777" w:rsidR="00B35152" w:rsidRPr="00C8462C"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الضوابط الأساسية للأمن السيبراني (ECC)</w:t>
            </w:r>
          </w:p>
        </w:tc>
        <w:tc>
          <w:tcPr>
            <w:tcW w:w="4675" w:type="dxa"/>
            <w:vAlign w:val="center"/>
          </w:tcPr>
          <w:p w14:paraId="3DBD8113" w14:textId="77777777" w:rsidR="00B35152" w:rsidRPr="00C8462C"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 xml:space="preserve"> إطار وطني سعودي صادر عن الهيئة الوطنية للأمن السيبراني يُحدد الحد الأدنى من متطلبات الأمن السيبراني للمؤسسات.</w:t>
            </w:r>
          </w:p>
        </w:tc>
      </w:tr>
    </w:tbl>
    <w:p w14:paraId="641419B5" w14:textId="77777777" w:rsidR="00B35152" w:rsidRPr="00C8462C" w:rsidRDefault="00B35152" w:rsidP="00E000FF">
      <w:pPr>
        <w:bidi/>
        <w:spacing w:after="0" w:line="360" w:lineRule="auto"/>
        <w:jc w:val="both"/>
        <w:rPr>
          <w:rFonts w:ascii="Simplified Arabic" w:hAnsi="Simplified Arabic" w:cs="Simplified Arabic"/>
          <w:sz w:val="28"/>
          <w:szCs w:val="28"/>
        </w:rPr>
      </w:pPr>
    </w:p>
    <w:p w14:paraId="2CBEB9B3" w14:textId="77777777" w:rsidR="00C51308" w:rsidRDefault="00C51308" w:rsidP="00E000FF">
      <w:pPr>
        <w:bidi/>
        <w:spacing w:after="0" w:line="360" w:lineRule="auto"/>
        <w:jc w:val="both"/>
        <w:rPr>
          <w:rFonts w:ascii="Simplified Arabic" w:hAnsi="Simplified Arabic" w:cs="Simplified Arabic"/>
          <w:sz w:val="28"/>
          <w:szCs w:val="28"/>
          <w:rtl/>
        </w:rPr>
      </w:pPr>
    </w:p>
    <w:p w14:paraId="722B1748" w14:textId="2F500AE5" w:rsidR="00B35152" w:rsidRPr="009A3584"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t>القسم الثاني: متغيرات الدراسة الرئيسية</w:t>
      </w:r>
    </w:p>
    <w:p w14:paraId="7A291FE3" w14:textId="77777777" w:rsidR="00B35152" w:rsidRPr="009A3584"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 xml:space="preserve">يرجى تحديد درجة موافقتك على كل عبارة وفق مقياس </w:t>
      </w:r>
      <w:proofErr w:type="spellStart"/>
      <w:r>
        <w:rPr>
          <w:rFonts w:ascii="Traditional Arabic" w:hAnsi="Traditional Arabic" w:cs="Traditional Arabic"/>
          <w:sz w:val="24"/>
          <w:szCs w:val="24"/>
          <w:rtl/>
        </w:rPr>
        <w:t>ليكرت</w:t>
      </w:r>
      <w:proofErr w:type="spellEnd"/>
      <w:r>
        <w:rPr>
          <w:rFonts w:ascii="Traditional Arabic" w:hAnsi="Traditional Arabic" w:cs="Traditional Arabic"/>
          <w:sz w:val="24"/>
          <w:szCs w:val="24"/>
          <w:rtl/>
        </w:rPr>
        <w:t xml:space="preserve"> الخماسي:</w:t>
      </w:r>
    </w:p>
    <w:tbl>
      <w:tblPr>
        <w:tblStyle w:val="TableGrid"/>
        <w:tblW w:w="5000" w:type="pct"/>
        <w:tblLook w:val="04A0" w:firstRow="1" w:lastRow="0" w:firstColumn="1" w:lastColumn="0" w:noHBand="0" w:noVBand="1"/>
      </w:tblPr>
      <w:tblGrid>
        <w:gridCol w:w="1660"/>
        <w:gridCol w:w="1659"/>
        <w:gridCol w:w="1659"/>
        <w:gridCol w:w="1659"/>
        <w:gridCol w:w="1659"/>
      </w:tblGrid>
      <w:tr w:rsidR="00B35152" w:rsidRPr="009A3584" w14:paraId="3F810023" w14:textId="77777777" w:rsidTr="00B943E6">
        <w:tc>
          <w:tcPr>
            <w:tcW w:w="1000" w:type="pct"/>
            <w:vAlign w:val="center"/>
          </w:tcPr>
          <w:p w14:paraId="16B935B0"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أوافق بشدة (5)</w:t>
            </w:r>
          </w:p>
        </w:tc>
        <w:tc>
          <w:tcPr>
            <w:tcW w:w="1000" w:type="pct"/>
            <w:vAlign w:val="center"/>
          </w:tcPr>
          <w:p w14:paraId="5A4D5BE8"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أوافق (4)</w:t>
            </w:r>
          </w:p>
        </w:tc>
        <w:tc>
          <w:tcPr>
            <w:tcW w:w="1000" w:type="pct"/>
            <w:vAlign w:val="center"/>
          </w:tcPr>
          <w:p w14:paraId="64CBAB3F"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محايد (3)</w:t>
            </w:r>
          </w:p>
        </w:tc>
        <w:tc>
          <w:tcPr>
            <w:tcW w:w="1000" w:type="pct"/>
            <w:vAlign w:val="center"/>
          </w:tcPr>
          <w:p w14:paraId="7475732A"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لا أوافق (2)</w:t>
            </w:r>
          </w:p>
        </w:tc>
        <w:tc>
          <w:tcPr>
            <w:tcW w:w="1000" w:type="pct"/>
            <w:vAlign w:val="center"/>
          </w:tcPr>
          <w:p w14:paraId="58D005F2" w14:textId="77777777" w:rsidR="00B35152" w:rsidRPr="009A3584" w:rsidRDefault="00B35152" w:rsidP="00E000FF">
            <w:pPr>
              <w:bidi/>
              <w:spacing w:after="0" w:line="260" w:lineRule="auto"/>
              <w:jc w:val="center"/>
              <w:rPr>
                <w:rFonts w:ascii="Simplified Arabic" w:hAnsi="Simplified Arabic" w:cs="Simplified Arabic"/>
                <w:b/>
                <w:bCs/>
                <w:sz w:val="24"/>
                <w:szCs w:val="24"/>
              </w:rPr>
            </w:pPr>
            <w:r>
              <w:rPr>
                <w:rFonts w:ascii="Traditional Arabic" w:hAnsi="Traditional Arabic" w:cs="Traditional Arabic"/>
                <w:b/>
                <w:bCs/>
                <w:rtl/>
              </w:rPr>
              <w:t>لا أوافق بشدة (1)</w:t>
            </w:r>
          </w:p>
        </w:tc>
      </w:tr>
    </w:tbl>
    <w:p w14:paraId="52EF15C8" w14:textId="77777777" w:rsidR="00B35152" w:rsidRPr="004D506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 xml:space="preserve">مقياس </w:t>
      </w:r>
      <w:proofErr w:type="spellStart"/>
      <w:r>
        <w:rPr>
          <w:rFonts w:ascii="Traditional Arabic" w:hAnsi="Traditional Arabic" w:cs="Traditional Arabic"/>
          <w:sz w:val="24"/>
          <w:szCs w:val="24"/>
          <w:rtl/>
        </w:rPr>
        <w:t>ليكرت</w:t>
      </w:r>
      <w:proofErr w:type="spellEnd"/>
      <w:r>
        <w:rPr>
          <w:rFonts w:ascii="Traditional Arabic" w:hAnsi="Traditional Arabic" w:cs="Traditional Arabic"/>
          <w:sz w:val="24"/>
          <w:szCs w:val="24"/>
          <w:rtl/>
        </w:rPr>
        <w:t xml:space="preserve"> الخماسي المستخدم</w:t>
      </w:r>
    </w:p>
    <w:p w14:paraId="3923760B" w14:textId="77777777" w:rsidR="00B35152" w:rsidRPr="004D506A" w:rsidRDefault="00B35152" w:rsidP="00E000FF">
      <w:pPr>
        <w:bidi/>
        <w:spacing w:after="0" w:line="360" w:lineRule="auto"/>
        <w:jc w:val="both"/>
        <w:rPr>
          <w:rFonts w:ascii="Simplified Arabic" w:hAnsi="Simplified Arabic" w:cs="Simplified Arabic"/>
          <w:sz w:val="28"/>
          <w:szCs w:val="28"/>
        </w:rPr>
      </w:pPr>
    </w:p>
    <w:p w14:paraId="20745C6A" w14:textId="77777777" w:rsidR="00B35152" w:rsidRPr="002764B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أولاً: تطبيق تقنية الترميز (المتغير المستقل)</w:t>
      </w:r>
    </w:p>
    <w:tbl>
      <w:tblPr>
        <w:tblStyle w:val="GridTable4-Accent1"/>
        <w:tblW w:w="8296" w:type="dxa"/>
        <w:jc w:val="center"/>
        <w:tblLook w:val="04A0" w:firstRow="1" w:lastRow="0" w:firstColumn="1" w:lastColumn="0" w:noHBand="0" w:noVBand="1"/>
      </w:tblPr>
      <w:tblGrid>
        <w:gridCol w:w="575"/>
        <w:gridCol w:w="587"/>
        <w:gridCol w:w="587"/>
        <w:gridCol w:w="587"/>
        <w:gridCol w:w="587"/>
        <w:gridCol w:w="5373"/>
      </w:tblGrid>
      <w:tr w:rsidR="00B35152" w:rsidRPr="00D06E2E" w14:paraId="0EB98CB9"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2B0A0EDF"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3BE95BFA"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027A4CEE"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28E60866"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1BDD04E8"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vAlign w:val="center"/>
          </w:tcPr>
          <w:p w14:paraId="0911E637" w14:textId="77777777" w:rsidR="00B35152" w:rsidRPr="00D06E2E" w:rsidRDefault="00B35152" w:rsidP="00E000FF">
            <w:pPr>
              <w:bidi/>
              <w:spacing w:after="0" w:line="2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D06E2E" w14:paraId="3B670B27"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F584648"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88D3762"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C9294EC"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E681858"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A7AD669"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vAlign w:val="center"/>
          </w:tcPr>
          <w:p w14:paraId="55807075"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تستخدم مؤسستنا تقنية الترميز لحماية بيانات الدفع والمعاملات المالية الحساسة.</w:t>
            </w:r>
          </w:p>
        </w:tc>
      </w:tr>
      <w:tr w:rsidR="00B35152" w:rsidRPr="00D06E2E" w14:paraId="2CCDD561"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B23980D"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F8D3677"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76F43EF"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28DCCFD"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4FDE359"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B079437"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تطبق مؤسستنا ترميز البيانات في مرحلة التخزين (</w:t>
            </w:r>
            <w:proofErr w:type="spellStart"/>
            <w:r>
              <w:rPr>
                <w:rFonts w:ascii="Traditional Arabic" w:hAnsi="Traditional Arabic" w:cs="Traditional Arabic"/>
                <w:rtl/>
              </w:rPr>
              <w:t>Tokenization</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at</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Rest</w:t>
            </w:r>
            <w:proofErr w:type="spellEnd"/>
            <w:r>
              <w:rPr>
                <w:rFonts w:ascii="Traditional Arabic" w:hAnsi="Traditional Arabic" w:cs="Traditional Arabic"/>
                <w:rtl/>
              </w:rPr>
              <w:t>).</w:t>
            </w:r>
          </w:p>
        </w:tc>
      </w:tr>
      <w:tr w:rsidR="00B35152" w:rsidRPr="00D06E2E" w14:paraId="44929765"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6F7FA415"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EC69C2A"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461A556"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110C947"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C069E81"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04FBA26B"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تطبق مؤسستنا ترميز البيانات في مرحلة النقل (</w:t>
            </w:r>
            <w:proofErr w:type="spellStart"/>
            <w:r>
              <w:rPr>
                <w:rFonts w:ascii="Traditional Arabic" w:hAnsi="Traditional Arabic" w:cs="Traditional Arabic"/>
                <w:rtl/>
              </w:rPr>
              <w:t>Tokenization</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in</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Transit</w:t>
            </w:r>
            <w:proofErr w:type="spellEnd"/>
            <w:r>
              <w:rPr>
                <w:rFonts w:ascii="Traditional Arabic" w:hAnsi="Traditional Arabic" w:cs="Traditional Arabic"/>
                <w:rtl/>
              </w:rPr>
              <w:t>).</w:t>
            </w:r>
          </w:p>
        </w:tc>
      </w:tr>
      <w:tr w:rsidR="00B35152" w:rsidRPr="00D06E2E" w14:paraId="2CFDD8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46C6E431"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72D1839"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807162D"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2EAA386"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E902A2A"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BAE68F8"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تغطي تقنية الترميز أنواعاً متعددة من البيانات الحساسة (بطاقات الدفع، الهوية، الحسابات).</w:t>
            </w:r>
          </w:p>
        </w:tc>
      </w:tr>
      <w:tr w:rsidR="00B35152" w:rsidRPr="00D06E2E" w14:paraId="4BC08DFC"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21684BC6"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92F9C29"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2869155"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F824BD0"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4A32DA0"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731A1C67" w14:textId="77777777" w:rsidR="00B35152" w:rsidRPr="00D06E2E" w:rsidRDefault="00B35152" w:rsidP="00E000FF">
            <w:pPr>
              <w:bidi/>
              <w:spacing w:after="0" w:line="2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يتسق تطبيق تقنية الترميز في مؤسستنا مع متطلبات معيار PCI DSS.</w:t>
            </w:r>
          </w:p>
        </w:tc>
      </w:tr>
      <w:tr w:rsidR="00B35152" w:rsidRPr="00D06E2E" w14:paraId="6535B278"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3513CC0C" w14:textId="77777777" w:rsidR="00B35152" w:rsidRPr="00D06E2E" w:rsidRDefault="00B35152" w:rsidP="00E000FF">
            <w:pPr>
              <w:bidi/>
              <w:spacing w:after="0" w:line="260" w:lineRule="auto"/>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387B77C"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896E2B2"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F83878D"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3F4119A"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655411A4" w14:textId="77777777" w:rsidR="00B35152" w:rsidRPr="00D06E2E" w:rsidRDefault="00B35152" w:rsidP="00E000FF">
            <w:pPr>
              <w:bidi/>
              <w:spacing w:after="0" w:line="2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تُحدَّث منظومة الترميز بصفة منتظمة لمواكبة التطورات التقنية والتهديدات المستحدثة.</w:t>
            </w:r>
          </w:p>
        </w:tc>
      </w:tr>
    </w:tbl>
    <w:p w14:paraId="580C8307" w14:textId="77777777" w:rsidR="00B35152" w:rsidRPr="004D506A"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تطبيق تقنية الترميز</w:t>
      </w:r>
    </w:p>
    <w:p w14:paraId="730B90C9" w14:textId="77777777" w:rsidR="00B35152" w:rsidRDefault="00B35152" w:rsidP="00E000FF">
      <w:pPr>
        <w:bidi/>
        <w:spacing w:after="0" w:line="360" w:lineRule="auto"/>
        <w:jc w:val="both"/>
        <w:rPr>
          <w:rFonts w:ascii="Simplified Arabic" w:hAnsi="Simplified Arabic" w:cs="Simplified Arabic"/>
          <w:sz w:val="28"/>
          <w:szCs w:val="28"/>
          <w:rtl/>
        </w:rPr>
      </w:pPr>
    </w:p>
    <w:p w14:paraId="76B038BC" w14:textId="77777777" w:rsidR="003620CC" w:rsidRPr="004D506A" w:rsidRDefault="003620CC" w:rsidP="003620CC">
      <w:pPr>
        <w:bidi/>
        <w:spacing w:after="0" w:line="360" w:lineRule="auto"/>
        <w:jc w:val="both"/>
        <w:rPr>
          <w:rFonts w:ascii="Simplified Arabic" w:hAnsi="Simplified Arabic" w:cs="Simplified Arabic"/>
          <w:sz w:val="28"/>
          <w:szCs w:val="28"/>
        </w:rPr>
      </w:pPr>
    </w:p>
    <w:p w14:paraId="1DBE68C8"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lastRenderedPageBreak/>
        <w:t>ثانياً: الأمن السيبراني (المتغير التابع الأول)</w:t>
      </w:r>
    </w:p>
    <w:tbl>
      <w:tblPr>
        <w:tblStyle w:val="GridTable4-Accent1"/>
        <w:tblW w:w="8296" w:type="dxa"/>
        <w:jc w:val="center"/>
        <w:tblLook w:val="04A0" w:firstRow="1" w:lastRow="0" w:firstColumn="1" w:lastColumn="0" w:noHBand="0" w:noVBand="1"/>
      </w:tblPr>
      <w:tblGrid>
        <w:gridCol w:w="575"/>
        <w:gridCol w:w="587"/>
        <w:gridCol w:w="587"/>
        <w:gridCol w:w="587"/>
        <w:gridCol w:w="587"/>
        <w:gridCol w:w="5373"/>
      </w:tblGrid>
      <w:tr w:rsidR="00B35152" w:rsidRPr="006B261A" w14:paraId="10328CDA" w14:textId="77777777" w:rsidTr="00B943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2CC67A94"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555942E7"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5C68682A"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2C7101B4"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065B2631"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vAlign w:val="center"/>
          </w:tcPr>
          <w:p w14:paraId="71D4EA6F" w14:textId="77777777" w:rsidR="00B35152" w:rsidRPr="006B261A"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6B261A" w14:paraId="15CC6CFF"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E5249A7"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5E0904B"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30C5435"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B072942"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CC67EB4"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vAlign w:val="center"/>
          </w:tcPr>
          <w:p w14:paraId="55F792ED"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حماية البيانات من الاختراقات وتقليص مخاطرها.</w:t>
            </w:r>
          </w:p>
        </w:tc>
      </w:tr>
      <w:tr w:rsidR="00B35152" w:rsidRPr="006B261A" w14:paraId="67F43C7A"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5E7E3B2A"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BB0B3DE"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4F11DEC"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115AB25"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7537E0F"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917FA90" w14:textId="77777777" w:rsidR="00B35152" w:rsidRPr="006B261A"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الحماية من الاحتيال المالي الإلكتروني.</w:t>
            </w:r>
          </w:p>
        </w:tc>
      </w:tr>
      <w:tr w:rsidR="00B35152" w:rsidRPr="006B261A" w14:paraId="35456060"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1FC1102E"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C9671DA"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29A9A6D"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0232675"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F872EB2"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2017347D"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الترميز في تحقيق متطلبات الضوابط الأساسية للأمن السيبراني (ECC).</w:t>
            </w:r>
          </w:p>
        </w:tc>
      </w:tr>
      <w:tr w:rsidR="00B35152" w:rsidRPr="006B261A" w14:paraId="30B99D43"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418F08DC"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753AC6D"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00A9688"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13DBD71"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8997050"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176AC38" w14:textId="77777777" w:rsidR="00B35152" w:rsidRPr="006B261A"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تعزيز الحماية من المخاطر المرتبطة بالتهديدات الداخلية (</w:t>
            </w:r>
            <w:proofErr w:type="spellStart"/>
            <w:r>
              <w:rPr>
                <w:rFonts w:ascii="Traditional Arabic" w:hAnsi="Traditional Arabic" w:cs="Traditional Arabic"/>
                <w:rtl/>
              </w:rPr>
              <w:t>Insider</w:t>
            </w:r>
            <w:proofErr w:type="spellEnd"/>
            <w:r>
              <w:rPr>
                <w:rFonts w:ascii="Traditional Arabic" w:hAnsi="Traditional Arabic" w:cs="Traditional Arabic"/>
                <w:rtl/>
              </w:rPr>
              <w:t xml:space="preserve"> </w:t>
            </w:r>
            <w:proofErr w:type="spellStart"/>
            <w:r>
              <w:rPr>
                <w:rFonts w:ascii="Traditional Arabic" w:hAnsi="Traditional Arabic" w:cs="Traditional Arabic"/>
                <w:rtl/>
              </w:rPr>
              <w:t>Threats</w:t>
            </w:r>
            <w:proofErr w:type="spellEnd"/>
            <w:r>
              <w:rPr>
                <w:rFonts w:ascii="Traditional Arabic" w:hAnsi="Traditional Arabic" w:cs="Traditional Arabic"/>
                <w:rtl/>
              </w:rPr>
              <w:t>).</w:t>
            </w:r>
          </w:p>
        </w:tc>
      </w:tr>
      <w:tr w:rsidR="00B35152" w:rsidRPr="006B261A" w14:paraId="1A7E37F2"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5BD2E0AA"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401C4FB"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2EEA841"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8B97BA2"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EC8F4A2"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6E5DAB36"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تسريع الاستجابة للحوادث السيبرانية وتحسين الأثر المُحتوَى.</w:t>
            </w:r>
          </w:p>
        </w:tc>
      </w:tr>
      <w:tr w:rsidR="00B35152" w:rsidRPr="006B261A" w14:paraId="6D8BCB86" w14:textId="77777777" w:rsidTr="00B943E6">
        <w:trPr>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735062B"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83A95DC"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A93E4AE"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6B88CD3"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0FF5B89" w14:textId="77777777" w:rsidR="00B35152" w:rsidRPr="006B261A"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6F676B49" w14:textId="77777777" w:rsidR="00B35152" w:rsidRPr="006B261A"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حماية البيانات من الاختراقات وتقليص مخاطرها.</w:t>
            </w:r>
          </w:p>
        </w:tc>
      </w:tr>
      <w:tr w:rsidR="00B35152" w:rsidRPr="006B261A" w14:paraId="510F7DF3" w14:textId="77777777" w:rsidTr="00B943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5" w:type="dxa"/>
            <w:vAlign w:val="center"/>
          </w:tcPr>
          <w:p w14:paraId="270BC533" w14:textId="77777777" w:rsidR="00B35152" w:rsidRPr="006B261A"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998F033"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B43909F"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A0FF129"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0A3A416" w14:textId="77777777" w:rsidR="00B35152" w:rsidRPr="006B261A"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0DAB2F0" w14:textId="77777777" w:rsidR="00B35152" w:rsidRPr="006B261A"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تعزيز الحماية من الاحتيال المالي الإلكتروني.</w:t>
            </w:r>
          </w:p>
        </w:tc>
      </w:tr>
    </w:tbl>
    <w:p w14:paraId="5A5FA82B"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الأمن السيبراني</w:t>
      </w:r>
    </w:p>
    <w:p w14:paraId="22C3721C" w14:textId="77777777" w:rsidR="00B35152" w:rsidRPr="00D329C2" w:rsidRDefault="00B35152" w:rsidP="00E000FF">
      <w:pPr>
        <w:bidi/>
        <w:spacing w:after="0" w:line="360" w:lineRule="auto"/>
        <w:jc w:val="both"/>
        <w:rPr>
          <w:rFonts w:ascii="Simplified Arabic" w:hAnsi="Simplified Arabic" w:cs="Simplified Arabic"/>
          <w:sz w:val="28"/>
          <w:szCs w:val="28"/>
        </w:rPr>
      </w:pPr>
    </w:p>
    <w:p w14:paraId="3EFD52A5"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ثالثاً: كفاءة العمليات المالية (المتغير التابع الثاني)</w:t>
      </w:r>
    </w:p>
    <w:tbl>
      <w:tblPr>
        <w:tblStyle w:val="GridTable4-Accent1"/>
        <w:tblW w:w="8299" w:type="dxa"/>
        <w:tblLook w:val="04A0" w:firstRow="1" w:lastRow="0" w:firstColumn="1" w:lastColumn="0" w:noHBand="0" w:noVBand="1"/>
      </w:tblPr>
      <w:tblGrid>
        <w:gridCol w:w="523"/>
        <w:gridCol w:w="536"/>
        <w:gridCol w:w="536"/>
        <w:gridCol w:w="536"/>
        <w:gridCol w:w="536"/>
        <w:gridCol w:w="5632"/>
      </w:tblGrid>
      <w:tr w:rsidR="00B35152" w:rsidRPr="00F83044" w14:paraId="53BEF4F2"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17585FCE"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5</w:t>
            </w:r>
          </w:p>
        </w:tc>
        <w:tc>
          <w:tcPr>
            <w:tcW w:w="536" w:type="dxa"/>
            <w:vAlign w:val="center"/>
          </w:tcPr>
          <w:p w14:paraId="34602FD6"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4</w:t>
            </w:r>
          </w:p>
        </w:tc>
        <w:tc>
          <w:tcPr>
            <w:tcW w:w="536" w:type="dxa"/>
            <w:vAlign w:val="center"/>
          </w:tcPr>
          <w:p w14:paraId="691801F3"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3</w:t>
            </w:r>
          </w:p>
        </w:tc>
        <w:tc>
          <w:tcPr>
            <w:tcW w:w="536" w:type="dxa"/>
            <w:vAlign w:val="center"/>
          </w:tcPr>
          <w:p w14:paraId="590FC5FB"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2</w:t>
            </w:r>
          </w:p>
        </w:tc>
        <w:tc>
          <w:tcPr>
            <w:tcW w:w="536" w:type="dxa"/>
            <w:vAlign w:val="center"/>
          </w:tcPr>
          <w:p w14:paraId="4D2B0DF1"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4"/>
                <w:szCs w:val="24"/>
              </w:rPr>
            </w:pPr>
            <w:r>
              <w:rPr>
                <w:rFonts w:ascii="Traditional Arabic" w:hAnsi="Traditional Arabic" w:cs="Traditional Arabic"/>
                <w:b w:val="0"/>
                <w:bCs w:val="0"/>
                <w:rtl/>
              </w:rPr>
              <w:t>1</w:t>
            </w:r>
          </w:p>
        </w:tc>
        <w:tc>
          <w:tcPr>
            <w:tcW w:w="5632" w:type="dxa"/>
            <w:vAlign w:val="center"/>
          </w:tcPr>
          <w:p w14:paraId="07C2B5A3" w14:textId="77777777" w:rsidR="00B35152" w:rsidRPr="00F83044"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F83044" w14:paraId="2C7AE92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5FC7D3BC"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1012BBC0"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39B9702B"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A10FD09"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8C80CD3"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4DA0CA3A" w14:textId="77777777" w:rsidR="00B35152" w:rsidRPr="00F83044"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تطبيق تقنية الترميز في تسريع معالجة المعاملات المالية وتحسين إنتاجية العمليات.</w:t>
            </w:r>
          </w:p>
        </w:tc>
      </w:tr>
      <w:tr w:rsidR="00B35152" w:rsidRPr="00F83044" w14:paraId="0015EB9E" w14:textId="77777777" w:rsidTr="00B943E6">
        <w:tc>
          <w:tcPr>
            <w:cnfStyle w:val="001000000000" w:firstRow="0" w:lastRow="0" w:firstColumn="1" w:lastColumn="0" w:oddVBand="0" w:evenVBand="0" w:oddHBand="0" w:evenHBand="0" w:firstRowFirstColumn="0" w:firstRowLastColumn="0" w:lastRowFirstColumn="0" w:lastRowLastColumn="0"/>
            <w:tcW w:w="523" w:type="dxa"/>
            <w:vAlign w:val="center"/>
          </w:tcPr>
          <w:p w14:paraId="024FBEC9"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4856E648"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48CD3A04"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04377E7A"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5FFBCBAF"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59C1EFB5" w14:textId="77777777" w:rsidR="00B35152" w:rsidRPr="00F83044"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خفض التكاليف التشغيلية المرتبطة بإدارة أمن البيانات.</w:t>
            </w:r>
          </w:p>
        </w:tc>
      </w:tr>
      <w:tr w:rsidR="00B35152" w:rsidRPr="00F83044" w14:paraId="41D60B16"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63FCBF59"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7245A6F3"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7522BC26"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5098F205"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689792B"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32FA27CF" w14:textId="77777777" w:rsidR="00B35152" w:rsidRPr="00F83044"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تقليل معدلات الأخطاء وتحسين الدقة في معالجة المعاملات المالية الرقمية.</w:t>
            </w:r>
          </w:p>
        </w:tc>
      </w:tr>
      <w:tr w:rsidR="00B35152" w:rsidRPr="00F83044" w14:paraId="07738B27" w14:textId="77777777" w:rsidTr="00B943E6">
        <w:tc>
          <w:tcPr>
            <w:cnfStyle w:val="001000000000" w:firstRow="0" w:lastRow="0" w:firstColumn="1" w:lastColumn="0" w:oddVBand="0" w:evenVBand="0" w:oddHBand="0" w:evenHBand="0" w:firstRowFirstColumn="0" w:firstRowLastColumn="0" w:lastRowFirstColumn="0" w:lastRowLastColumn="0"/>
            <w:tcW w:w="523" w:type="dxa"/>
            <w:vAlign w:val="center"/>
          </w:tcPr>
          <w:p w14:paraId="4B74317E"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439B9B32"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439DA0A2"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1284E08"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524640F4"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6C36A562" w14:textId="77777777" w:rsidR="00B35152" w:rsidRPr="00F83044"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رفع كفاءة تنفيذ المعاملات من حيث السرعة والدقة والإنتاجية التشغيلية.</w:t>
            </w:r>
          </w:p>
        </w:tc>
      </w:tr>
      <w:tr w:rsidR="00B35152" w:rsidRPr="00F83044" w14:paraId="50C4E893"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3" w:type="dxa"/>
            <w:vAlign w:val="center"/>
          </w:tcPr>
          <w:p w14:paraId="76AE1608"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0F9019F6"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264098F5"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1738B763"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75E01645" w14:textId="77777777" w:rsidR="00B35152" w:rsidRPr="00F83044"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30C355F2" w14:textId="77777777" w:rsidR="00B35152" w:rsidRPr="00F83044"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تحقيق تكامل أكثر سلاسة مع الأنظمة المالية الخارجية والشركاء التجاريين.</w:t>
            </w:r>
          </w:p>
        </w:tc>
      </w:tr>
      <w:tr w:rsidR="00B35152" w:rsidRPr="00F83044" w14:paraId="441C70BE" w14:textId="77777777" w:rsidTr="00B943E6">
        <w:tc>
          <w:tcPr>
            <w:cnfStyle w:val="001000000000" w:firstRow="0" w:lastRow="0" w:firstColumn="1" w:lastColumn="0" w:oddVBand="0" w:evenVBand="0" w:oddHBand="0" w:evenHBand="0" w:firstRowFirstColumn="0" w:firstRowLastColumn="0" w:lastRowFirstColumn="0" w:lastRowLastColumn="0"/>
            <w:tcW w:w="523" w:type="dxa"/>
            <w:vAlign w:val="center"/>
          </w:tcPr>
          <w:p w14:paraId="2D1B2A11" w14:textId="77777777" w:rsidR="00B35152" w:rsidRPr="00F83044" w:rsidRDefault="00B35152" w:rsidP="00E000FF">
            <w:pPr>
              <w:bidi/>
              <w:spacing w:after="0" w:line="260" w:lineRule="auto"/>
              <w:jc w:val="center"/>
              <w:rPr>
                <w:rFonts w:ascii="Simplified Arabic" w:hAnsi="Simplified Arabic" w:cs="Simplified Arabic"/>
                <w:b w:val="0"/>
                <w:bCs w:val="0"/>
                <w:sz w:val="24"/>
                <w:szCs w:val="24"/>
              </w:rPr>
            </w:pPr>
            <w:r>
              <w:rPr>
                <w:rFonts w:ascii="Traditional Arabic" w:hAnsi="Traditional Arabic" w:cs="Traditional Arabic"/>
                <w:b w:val="0"/>
                <w:bCs w:val="0"/>
                <w:rtl/>
              </w:rPr>
              <w:t>☐</w:t>
            </w:r>
          </w:p>
        </w:tc>
        <w:tc>
          <w:tcPr>
            <w:tcW w:w="536" w:type="dxa"/>
            <w:vAlign w:val="center"/>
          </w:tcPr>
          <w:p w14:paraId="06299FC7"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05E3415B"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7A4EEC0A"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6" w:type="dxa"/>
            <w:vAlign w:val="center"/>
          </w:tcPr>
          <w:p w14:paraId="40C22D60" w14:textId="77777777" w:rsidR="00B35152" w:rsidRPr="00F83044"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632" w:type="dxa"/>
          </w:tcPr>
          <w:p w14:paraId="74538B85" w14:textId="77777777" w:rsidR="00B35152" w:rsidRPr="00F83044"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تقليص الوقت اللازم للامتثال التنظيمي والتدقيق الداخلي.</w:t>
            </w:r>
          </w:p>
        </w:tc>
      </w:tr>
    </w:tbl>
    <w:p w14:paraId="121DF395"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كفاءة العمليات المالية</w:t>
      </w:r>
    </w:p>
    <w:p w14:paraId="237EDD08" w14:textId="77777777" w:rsidR="00C51308" w:rsidRPr="00927861" w:rsidRDefault="00C51308" w:rsidP="00E000FF">
      <w:pPr>
        <w:bidi/>
        <w:spacing w:after="0" w:line="360" w:lineRule="auto"/>
        <w:jc w:val="both"/>
        <w:rPr>
          <w:rFonts w:ascii="Simplified Arabic" w:hAnsi="Simplified Arabic" w:cs="Simplified Arabic"/>
          <w:sz w:val="28"/>
          <w:szCs w:val="28"/>
        </w:rPr>
      </w:pPr>
    </w:p>
    <w:p w14:paraId="4B4893B3" w14:textId="77777777" w:rsidR="00B35152" w:rsidRPr="00D329C2"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رابعاً: الامتثال التنظيمي (المتغير التابع الثالث)</w:t>
      </w:r>
    </w:p>
    <w:tbl>
      <w:tblPr>
        <w:tblStyle w:val="GridTable4-Accent1"/>
        <w:tblW w:w="8296" w:type="dxa"/>
        <w:tblLook w:val="04A0" w:firstRow="1" w:lastRow="0" w:firstColumn="1" w:lastColumn="0" w:noHBand="0" w:noVBand="1"/>
      </w:tblPr>
      <w:tblGrid>
        <w:gridCol w:w="575"/>
        <w:gridCol w:w="587"/>
        <w:gridCol w:w="587"/>
        <w:gridCol w:w="587"/>
        <w:gridCol w:w="587"/>
        <w:gridCol w:w="5373"/>
      </w:tblGrid>
      <w:tr w:rsidR="00B35152" w:rsidRPr="0045178D" w14:paraId="3F91019A"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3A57088E"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37EFF0D9"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0AF796B1"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575CC051"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1C4AD039" w14:textId="77777777" w:rsidR="00B35152" w:rsidRPr="0045178D"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tcPr>
          <w:p w14:paraId="7D22EAA7" w14:textId="77777777" w:rsidR="00B35152" w:rsidRPr="0045178D" w:rsidRDefault="00B35152" w:rsidP="00E000FF">
            <w:pPr>
              <w:bidi/>
              <w:spacing w:after="0" w:line="2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45178D" w14:paraId="3CBCAFFA"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38F75161"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2F9C751"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3601012"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7554B5F"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E395B44"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796F4526" w14:textId="77777777" w:rsidR="00B35152" w:rsidRPr="0045178D"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استيفاء متطلبات الأطر التنظيمية لحماية البيانات الصادرة عن ساما.</w:t>
            </w:r>
          </w:p>
        </w:tc>
      </w:tr>
      <w:tr w:rsidR="00B35152" w:rsidRPr="0045178D" w14:paraId="407CAB92"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2DB7D653"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0A5F317"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96B7106"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9DBF1D0"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5D87686"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0C47FB34" w14:textId="77777777" w:rsidR="00B35152" w:rsidRPr="0045178D"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يُيسِّر الترميز الحصول على الموافقات التنظيمية لإطلاق خدمات مالية جديدة.</w:t>
            </w:r>
          </w:p>
        </w:tc>
      </w:tr>
      <w:tr w:rsidR="00B35152" w:rsidRPr="0045178D" w14:paraId="3F7B7BB9"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09CEC3ED"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C3F244D"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D608991"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B8A7995"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A67375A"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4C332AA" w14:textId="77777777" w:rsidR="00B35152" w:rsidRPr="0045178D"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يُخفِّف الترميز من المسؤوليات القانونية المترتبة على إدارة البيانات الحساسة.</w:t>
            </w:r>
          </w:p>
        </w:tc>
      </w:tr>
      <w:tr w:rsidR="00B35152" w:rsidRPr="0045178D" w14:paraId="0058A2D0"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7F464B7C"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6CAC7BC"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C5D6284"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5995F62"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7ED0F23" w14:textId="77777777" w:rsidR="00B35152" w:rsidRPr="0045178D"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5C6A9811" w14:textId="77777777" w:rsidR="00B35152" w:rsidRPr="0045178D"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يُسهم الترميز في تحقيق متطلبات المعايير الدولية ذات الصلة (PCI DSS, ISO 27001).</w:t>
            </w:r>
          </w:p>
        </w:tc>
      </w:tr>
      <w:tr w:rsidR="00B35152" w:rsidRPr="0045178D" w14:paraId="1C8521BD"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636AC8D9" w14:textId="77777777" w:rsidR="00B35152" w:rsidRPr="0045178D"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2A80B05"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3BB8D0A"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D1EAABF"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C8953B9" w14:textId="77777777" w:rsidR="00B35152" w:rsidRPr="0045178D"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B5DE774" w14:textId="77777777" w:rsidR="00B35152" w:rsidRPr="0045178D"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يُقلِّل الترميز من مستوى مخاطر التدقيق والغرامات التنظيمية المحتملة.</w:t>
            </w:r>
          </w:p>
        </w:tc>
      </w:tr>
    </w:tbl>
    <w:p w14:paraId="3A6C05E9"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الامتثال التنظيمي</w:t>
      </w:r>
    </w:p>
    <w:p w14:paraId="5D2B829A" w14:textId="77777777" w:rsidR="00B35152" w:rsidRPr="00927861" w:rsidRDefault="00B35152" w:rsidP="00E000FF">
      <w:pPr>
        <w:bidi/>
        <w:spacing w:after="0" w:line="360" w:lineRule="auto"/>
        <w:jc w:val="both"/>
        <w:rPr>
          <w:rFonts w:ascii="Simplified Arabic" w:hAnsi="Simplified Arabic" w:cs="Simplified Arabic"/>
          <w:sz w:val="28"/>
          <w:szCs w:val="28"/>
        </w:rPr>
      </w:pPr>
    </w:p>
    <w:p w14:paraId="693E284F" w14:textId="77777777" w:rsidR="00B35152" w:rsidRDefault="00B35152" w:rsidP="00E000FF">
      <w:pPr>
        <w:bidi/>
        <w:spacing w:after="0" w:line="360" w:lineRule="auto"/>
        <w:jc w:val="both"/>
        <w:rPr>
          <w:rFonts w:ascii="Simplified Arabic" w:hAnsi="Simplified Arabic" w:cs="Simplified Arabic"/>
          <w:sz w:val="28"/>
          <w:szCs w:val="28"/>
          <w:rtl/>
        </w:rPr>
      </w:pPr>
      <w:r>
        <w:rPr>
          <w:rFonts w:ascii="Traditional Arabic" w:hAnsi="Traditional Arabic" w:cs="Traditional Arabic"/>
          <w:sz w:val="24"/>
          <w:szCs w:val="24"/>
          <w:rtl/>
        </w:rPr>
        <w:lastRenderedPageBreak/>
        <w:t>خامساً: تحديات تطبيق تقنية الترميز (المتغير المعدِّل)</w:t>
      </w:r>
    </w:p>
    <w:tbl>
      <w:tblPr>
        <w:tblStyle w:val="GridTable4-Accent1"/>
        <w:tblW w:w="8296" w:type="dxa"/>
        <w:tblLook w:val="04A0" w:firstRow="1" w:lastRow="0" w:firstColumn="1" w:lastColumn="0" w:noHBand="0" w:noVBand="1"/>
      </w:tblPr>
      <w:tblGrid>
        <w:gridCol w:w="575"/>
        <w:gridCol w:w="587"/>
        <w:gridCol w:w="587"/>
        <w:gridCol w:w="587"/>
        <w:gridCol w:w="587"/>
        <w:gridCol w:w="5373"/>
      </w:tblGrid>
      <w:tr w:rsidR="00B35152" w:rsidRPr="001C2101" w14:paraId="50904260" w14:textId="77777777" w:rsidTr="00B943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109D3ACA"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5</w:t>
            </w:r>
          </w:p>
        </w:tc>
        <w:tc>
          <w:tcPr>
            <w:tcW w:w="587" w:type="dxa"/>
            <w:vAlign w:val="center"/>
          </w:tcPr>
          <w:p w14:paraId="7AE513EC"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4</w:t>
            </w:r>
          </w:p>
        </w:tc>
        <w:tc>
          <w:tcPr>
            <w:tcW w:w="587" w:type="dxa"/>
            <w:vAlign w:val="center"/>
          </w:tcPr>
          <w:p w14:paraId="413A3BF2"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3</w:t>
            </w:r>
          </w:p>
        </w:tc>
        <w:tc>
          <w:tcPr>
            <w:tcW w:w="587" w:type="dxa"/>
            <w:vAlign w:val="center"/>
          </w:tcPr>
          <w:p w14:paraId="721A8C73"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2</w:t>
            </w:r>
          </w:p>
        </w:tc>
        <w:tc>
          <w:tcPr>
            <w:tcW w:w="587" w:type="dxa"/>
            <w:vAlign w:val="center"/>
          </w:tcPr>
          <w:p w14:paraId="7F8B1A4D"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1</w:t>
            </w:r>
          </w:p>
        </w:tc>
        <w:tc>
          <w:tcPr>
            <w:tcW w:w="5373" w:type="dxa"/>
            <w:vAlign w:val="center"/>
          </w:tcPr>
          <w:p w14:paraId="167CE600" w14:textId="77777777" w:rsidR="00B35152" w:rsidRPr="001C2101" w:rsidRDefault="00B35152" w:rsidP="00E000FF">
            <w:pPr>
              <w:bidi/>
              <w:spacing w:after="0" w:line="2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العبارة</w:t>
            </w:r>
          </w:p>
        </w:tc>
      </w:tr>
      <w:tr w:rsidR="00B35152" w:rsidRPr="001C2101" w14:paraId="33FCB762"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494F3571"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EC1FE59"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347956A"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C3BF1BB"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2B54DE7"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vAlign w:val="center"/>
          </w:tcPr>
          <w:p w14:paraId="407A6EE2" w14:textId="77777777" w:rsidR="00B35152" w:rsidRPr="001C2101"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تُمثِّل التكلفة العالية للبنية التحتية التقنية تحدياً رئيسياً أمام تطبيق الترميز في مؤسستنا.</w:t>
            </w:r>
          </w:p>
        </w:tc>
      </w:tr>
      <w:tr w:rsidR="00B35152" w:rsidRPr="001C2101" w14:paraId="16772CB7"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0113F7EF"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61B2A51"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B3362DC"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D64537C"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CE3936A"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619B1B67" w14:textId="77777777" w:rsidR="00B35152" w:rsidRPr="001C2101"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يُشكِّل غياب الكوادر البشرية المتخصصة في تقنية الترميز عائقاً أمام التطبيق الفعّال.</w:t>
            </w:r>
          </w:p>
        </w:tc>
      </w:tr>
      <w:tr w:rsidR="00B35152" w:rsidRPr="001C2101" w14:paraId="1AB77380"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74FB2A57"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2943ED8"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C3BCC64"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D1D160F"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FE40F7E"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1B335102" w14:textId="77777777" w:rsidR="00B35152" w:rsidRPr="001C2101"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تُعيق صعوبات التكامل مع الأنظمة القائمة عملية تطبيق تقنية الترميز.</w:t>
            </w:r>
          </w:p>
        </w:tc>
      </w:tr>
      <w:tr w:rsidR="00B35152" w:rsidRPr="001C2101" w14:paraId="34D3EC4A"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0AD6AAB4"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685F6D84"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FF94EA6"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A4B0D26"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C443248"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5F49FF4C" w14:textId="77777777" w:rsidR="00B35152" w:rsidRPr="001C2101"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تُقيِّد بعض متطلبات الجهات التنظيمية مرونة تطبيق تقنية الترميز في بعض الأحيان.</w:t>
            </w:r>
          </w:p>
        </w:tc>
      </w:tr>
      <w:tr w:rsidR="00B35152" w:rsidRPr="001C2101" w14:paraId="71D716F5" w14:textId="77777777" w:rsidTr="00B943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 w:type="dxa"/>
            <w:vAlign w:val="center"/>
          </w:tcPr>
          <w:p w14:paraId="411C9904"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12708E5"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518CF5E2"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27C1BDE4"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4E9E8A27" w14:textId="77777777" w:rsidR="00B35152" w:rsidRPr="001C2101" w:rsidRDefault="00B35152" w:rsidP="00E000FF">
            <w:pPr>
              <w:bidi/>
              <w:spacing w:after="0" w:line="2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3326C818" w14:textId="77777777" w:rsidR="00B35152" w:rsidRPr="001C2101" w:rsidRDefault="00B35152" w:rsidP="00E000FF">
            <w:pPr>
              <w:bidi/>
              <w:spacing w:after="0" w:line="260" w:lineRule="auto"/>
              <w:ind w:left="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يُشكِّل نقص الوعي الداخلي بأهمية الترميز عائقاً أمام توسيع نطاق التطبيق.</w:t>
            </w:r>
          </w:p>
        </w:tc>
      </w:tr>
      <w:tr w:rsidR="00B35152" w:rsidRPr="001C2101" w14:paraId="44BC360C" w14:textId="77777777" w:rsidTr="00B943E6">
        <w:tc>
          <w:tcPr>
            <w:cnfStyle w:val="001000000000" w:firstRow="0" w:lastRow="0" w:firstColumn="1" w:lastColumn="0" w:oddVBand="0" w:evenVBand="0" w:oddHBand="0" w:evenHBand="0" w:firstRowFirstColumn="0" w:firstRowLastColumn="0" w:lastRowFirstColumn="0" w:lastRowLastColumn="0"/>
            <w:tcW w:w="575" w:type="dxa"/>
            <w:vAlign w:val="center"/>
          </w:tcPr>
          <w:p w14:paraId="6398B7D4" w14:textId="77777777" w:rsidR="00B35152" w:rsidRPr="001C2101" w:rsidRDefault="00B35152" w:rsidP="00E000FF">
            <w:pPr>
              <w:bidi/>
              <w:spacing w:after="0" w:line="260" w:lineRule="auto"/>
              <w:jc w:val="center"/>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74D11F8C"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15B42E68"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3C64F8AA"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87" w:type="dxa"/>
            <w:vAlign w:val="center"/>
          </w:tcPr>
          <w:p w14:paraId="08A46408" w14:textId="77777777" w:rsidR="00B35152" w:rsidRPr="001C2101" w:rsidRDefault="00B35152" w:rsidP="00E000FF">
            <w:pPr>
              <w:bidi/>
              <w:spacing w:after="0" w:line="2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w:t>
            </w:r>
          </w:p>
        </w:tc>
        <w:tc>
          <w:tcPr>
            <w:tcW w:w="5373" w:type="dxa"/>
          </w:tcPr>
          <w:p w14:paraId="259E4B51" w14:textId="77777777" w:rsidR="00B35152" w:rsidRPr="001C2101" w:rsidRDefault="00B35152" w:rsidP="00E000FF">
            <w:pPr>
              <w:bidi/>
              <w:spacing w:after="0" w:line="260" w:lineRule="auto"/>
              <w:ind w:left="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Pr>
                <w:rFonts w:ascii="Traditional Arabic" w:hAnsi="Traditional Arabic" w:cs="Traditional Arabic"/>
                <w:rtl/>
              </w:rPr>
              <w:t>تُعوق صعوبة قياس العائد على الاستثمار (ROI) لتقنية الترميز قرارات التبني المؤسسي.</w:t>
            </w:r>
          </w:p>
        </w:tc>
      </w:tr>
    </w:tbl>
    <w:p w14:paraId="0372391D"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عبارات متغير تحديات تطبيق تقنية الترميز</w:t>
      </w:r>
    </w:p>
    <w:p w14:paraId="5005BD57" w14:textId="77777777" w:rsidR="00B35152" w:rsidRPr="00927861" w:rsidRDefault="00B35152" w:rsidP="00E000FF">
      <w:pPr>
        <w:bidi/>
        <w:spacing w:after="0" w:line="360" w:lineRule="auto"/>
        <w:jc w:val="both"/>
        <w:rPr>
          <w:rFonts w:ascii="Simplified Arabic" w:hAnsi="Simplified Arabic" w:cs="Simplified Arabic"/>
          <w:sz w:val="28"/>
          <w:szCs w:val="28"/>
        </w:rPr>
      </w:pPr>
    </w:p>
    <w:p w14:paraId="073D881A" w14:textId="77777777" w:rsidR="00B35152" w:rsidRPr="00927861" w:rsidRDefault="00B35152" w:rsidP="00E000FF">
      <w:pPr>
        <w:bidi/>
        <w:spacing w:after="0" w:line="360" w:lineRule="auto"/>
        <w:jc w:val="both"/>
        <w:rPr>
          <w:rFonts w:ascii="Simplified Arabic" w:hAnsi="Simplified Arabic" w:cs="Simplified Arabic"/>
          <w:sz w:val="28"/>
          <w:szCs w:val="28"/>
        </w:rPr>
      </w:pPr>
      <w:r>
        <w:rPr>
          <w:rFonts w:ascii="Traditional Arabic" w:hAnsi="Traditional Arabic" w:cs="Traditional Arabic"/>
          <w:sz w:val="24"/>
          <w:szCs w:val="24"/>
          <w:rtl/>
        </w:rPr>
        <w:t>القسم الثالث: أسئلة مفتوحة</w:t>
      </w:r>
    </w:p>
    <w:p w14:paraId="5E9B0A96" w14:textId="77777777" w:rsidR="00B35152" w:rsidRPr="006F4893" w:rsidRDefault="00B35152" w:rsidP="00E000FF">
      <w:pPr>
        <w:pStyle w:val="ListParagraph"/>
        <w:numPr>
          <w:ilvl w:val="0"/>
          <w:numId w:val="60"/>
        </w:numPr>
        <w:bidi/>
        <w:spacing w:after="0" w:line="360" w:lineRule="auto"/>
        <w:ind w:left="386"/>
        <w:jc w:val="both"/>
        <w:rPr>
          <w:rFonts w:ascii="Simplified Arabic" w:hAnsi="Simplified Arabic" w:cs="Simplified Arabic"/>
          <w:sz w:val="28"/>
          <w:szCs w:val="28"/>
          <w:rtl/>
        </w:rPr>
      </w:pPr>
      <w:r>
        <w:rPr>
          <w:rFonts w:ascii="Traditional Arabic" w:hAnsi="Traditional Arabic" w:cs="Traditional Arabic"/>
          <w:sz w:val="24"/>
          <w:szCs w:val="24"/>
          <w:rtl/>
        </w:rPr>
        <w:t>ما أبرز الفوائد العملية التي حقّقتها مؤسستكم من تطبيق تقنية الترميز؟</w:t>
      </w:r>
    </w:p>
    <w:p w14:paraId="7CF1FEB8" w14:textId="77777777" w:rsidR="00B35152" w:rsidRDefault="00B35152" w:rsidP="00E000FF">
      <w:pPr>
        <w:bidi/>
        <w:spacing w:after="0" w:line="360" w:lineRule="auto"/>
        <w:jc w:val="both"/>
        <w:rPr>
          <w:rFonts w:ascii="Simplified Arabic" w:hAnsi="Simplified Arabic" w:cs="Simplified Arabic"/>
          <w:sz w:val="28"/>
          <w:szCs w:val="28"/>
          <w:rtl/>
        </w:rPr>
      </w:pPr>
    </w:p>
    <w:p w14:paraId="6AC5DE10"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43E50A84"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44D149C9" w14:textId="77777777" w:rsidR="00B35152" w:rsidRDefault="00B35152" w:rsidP="00E000FF">
      <w:pPr>
        <w:bidi/>
        <w:spacing w:after="0" w:line="360" w:lineRule="auto"/>
        <w:jc w:val="both"/>
        <w:rPr>
          <w:rFonts w:ascii="Simplified Arabic" w:hAnsi="Simplified Arabic" w:cs="Simplified Arabic"/>
          <w:sz w:val="28"/>
          <w:szCs w:val="28"/>
          <w:rtl/>
          <w:lang w:bidi="ar-EG"/>
        </w:rPr>
      </w:pPr>
    </w:p>
    <w:p w14:paraId="2C088A13" w14:textId="77777777" w:rsidR="00B35152" w:rsidRPr="00927861" w:rsidRDefault="00B35152" w:rsidP="00E000FF">
      <w:pPr>
        <w:pStyle w:val="ListParagraph"/>
        <w:numPr>
          <w:ilvl w:val="0"/>
          <w:numId w:val="60"/>
        </w:numPr>
        <w:bidi/>
        <w:spacing w:after="0" w:line="360" w:lineRule="auto"/>
        <w:ind w:left="386"/>
        <w:jc w:val="both"/>
        <w:rPr>
          <w:rFonts w:ascii="Simplified Arabic" w:hAnsi="Simplified Arabic" w:cs="Simplified Arabic"/>
          <w:sz w:val="28"/>
          <w:szCs w:val="28"/>
        </w:rPr>
      </w:pPr>
      <w:r>
        <w:rPr>
          <w:rFonts w:ascii="Traditional Arabic" w:hAnsi="Traditional Arabic" w:cs="Traditional Arabic"/>
          <w:sz w:val="24"/>
          <w:szCs w:val="24"/>
          <w:rtl/>
        </w:rPr>
        <w:t>ما التوصيات التي تقترحها لتعزيز تطبيق تقنية الترميز في القطاع المالي السعودي؟</w:t>
      </w:r>
    </w:p>
    <w:p w14:paraId="5EA5BD83" w14:textId="77777777" w:rsidR="00B35152" w:rsidRDefault="00B35152" w:rsidP="00E000FF">
      <w:pPr>
        <w:bidi/>
        <w:spacing w:after="0" w:line="360" w:lineRule="auto"/>
        <w:jc w:val="both"/>
        <w:rPr>
          <w:rFonts w:ascii="Simplified Arabic" w:hAnsi="Simplified Arabic" w:cs="Simplified Arabic"/>
          <w:sz w:val="28"/>
          <w:szCs w:val="28"/>
          <w:rtl/>
        </w:rPr>
      </w:pPr>
    </w:p>
    <w:p w14:paraId="176436CA"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7A96A1F2" w14:textId="77777777" w:rsidR="00B35152" w:rsidRPr="00D329C2" w:rsidRDefault="00B35152" w:rsidP="00E000FF">
      <w:pPr>
        <w:bidi/>
        <w:spacing w:after="0" w:line="360" w:lineRule="auto"/>
        <w:jc w:val="both"/>
        <w:rPr>
          <w:rFonts w:ascii="Simplified Arabic" w:hAnsi="Simplified Arabic" w:cs="Simplified Arabic"/>
          <w:sz w:val="28"/>
          <w:szCs w:val="28"/>
          <w:rtl/>
          <w:lang w:bidi="ar-EG"/>
        </w:rPr>
      </w:pPr>
      <w:r>
        <w:rPr>
          <w:rFonts w:ascii="Traditional Arabic" w:hAnsi="Traditional Arabic" w:cs="Traditional Arabic"/>
          <w:sz w:val="24"/>
          <w:szCs w:val="24"/>
          <w:rtl/>
        </w:rPr>
        <w:t>.............................................................................................</w:t>
      </w:r>
    </w:p>
    <w:p w14:paraId="435EAEFD" w14:textId="77777777" w:rsidR="00D329C2" w:rsidRPr="00D329C2" w:rsidRDefault="00D329C2" w:rsidP="00E000FF">
      <w:pPr>
        <w:bidi/>
        <w:spacing w:after="0" w:line="360" w:lineRule="auto"/>
        <w:rPr>
          <w:rFonts w:ascii="Simplified Arabic" w:eastAsiaTheme="majorEastAsia" w:hAnsi="Simplified Arabic" w:cs="Simplified Arabic"/>
          <w:b/>
          <w:bCs/>
          <w:sz w:val="28"/>
          <w:szCs w:val="28"/>
          <w:rtl/>
        </w:rPr>
      </w:pPr>
      <w:r>
        <w:rPr>
          <w:rFonts w:ascii="Traditional Arabic" w:hAnsi="Traditional Arabic" w:cs="Traditional Arabic"/>
          <w:b/>
          <w:bCs/>
          <w:sz w:val="24"/>
          <w:szCs w:val="24"/>
          <w:rtl/>
        </w:rPr>
        <w:br w:type="page"/>
      </w:r>
    </w:p>
    <w:p w14:paraId="1012892A" w14:textId="77777777" w:rsidR="005D691F" w:rsidRDefault="00F4227D" w:rsidP="003620CC">
      <w:pPr>
        <w:pStyle w:val="HeadingTOCEntry"/>
        <w:bidi/>
        <w:spacing w:after="0" w:line="360" w:lineRule="auto"/>
      </w:pPr>
      <w:r>
        <w:rPr>
          <w:rFonts w:ascii="Traditional Arabic" w:hAnsi="Traditional Arabic" w:cs="Traditional Arabic"/>
          <w:b/>
          <w:bCs/>
          <w:sz w:val="32"/>
          <w:szCs w:val="32"/>
          <w:rtl/>
        </w:rPr>
        <w:lastRenderedPageBreak/>
        <w:t>ملحق (2): قائمة المحكّمين</w:t>
      </w:r>
    </w:p>
    <w:p w14:paraId="3224C289" w14:textId="77777777" w:rsidR="005D691F" w:rsidRDefault="00F4227D" w:rsidP="003620CC">
      <w:pPr>
        <w:bidi/>
        <w:spacing w:after="0" w:line="360" w:lineRule="auto"/>
      </w:pPr>
      <w:r>
        <w:rPr>
          <w:rFonts w:ascii="Traditional Arabic" w:hAnsi="Traditional Arabic" w:cs="Traditional Arabic"/>
          <w:sz w:val="24"/>
          <w:szCs w:val="24"/>
          <w:rtl/>
        </w:rPr>
        <w:t>يتضمن هذا الملحق أسماء السادة المحكّمين الذين شاركوا في تحكيم أداة الدراسة، ودرجاتهم العلمية، وتخصصاتهم، وجهات عملهم.</w:t>
      </w:r>
    </w:p>
    <w:tbl>
      <w:tblPr>
        <w:bidiVisual/>
        <w:tblW w:w="8300" w:type="dxa"/>
        <w:tblBorders>
          <w:top w:val="single" w:sz="6" w:space="0" w:color="7F9DB9"/>
          <w:left w:val="single" w:sz="6" w:space="0" w:color="7F9DB9"/>
          <w:bottom w:val="single" w:sz="6" w:space="0" w:color="7F9DB9"/>
          <w:right w:val="single" w:sz="6" w:space="0" w:color="7F9DB9"/>
          <w:insideH w:val="single" w:sz="6" w:space="0" w:color="7F9DB9"/>
          <w:insideV w:val="single" w:sz="6" w:space="0" w:color="7F9DB9"/>
        </w:tblBorders>
        <w:tblLook w:val="04A0" w:firstRow="1" w:lastRow="0" w:firstColumn="1" w:lastColumn="0" w:noHBand="0" w:noVBand="1"/>
      </w:tblPr>
      <w:tblGrid>
        <w:gridCol w:w="600"/>
        <w:gridCol w:w="2400"/>
        <w:gridCol w:w="1600"/>
        <w:gridCol w:w="1900"/>
        <w:gridCol w:w="1800"/>
      </w:tblGrid>
      <w:tr w:rsidR="005D691F" w14:paraId="3FD5C301" w14:textId="77777777" w:rsidTr="003620CC">
        <w:tc>
          <w:tcPr>
            <w:tcW w:w="600" w:type="dxa"/>
            <w:shd w:val="clear" w:color="auto" w:fill="DCE9F5"/>
            <w:vAlign w:val="center"/>
          </w:tcPr>
          <w:p w14:paraId="4747D70A" w14:textId="77777777" w:rsidR="005D691F" w:rsidRDefault="00F4227D" w:rsidP="003620CC">
            <w:pPr>
              <w:bidi/>
              <w:spacing w:after="0" w:line="300" w:lineRule="auto"/>
              <w:jc w:val="center"/>
            </w:pPr>
            <w:r>
              <w:rPr>
                <w:rFonts w:ascii="Traditional Arabic" w:hAnsi="Traditional Arabic" w:cs="Traditional Arabic"/>
                <w:b/>
                <w:bCs/>
                <w:rtl/>
              </w:rPr>
              <w:t>م</w:t>
            </w:r>
          </w:p>
        </w:tc>
        <w:tc>
          <w:tcPr>
            <w:tcW w:w="2400" w:type="dxa"/>
            <w:shd w:val="clear" w:color="auto" w:fill="DCE9F5"/>
            <w:vAlign w:val="center"/>
          </w:tcPr>
          <w:p w14:paraId="2A11693C" w14:textId="77777777" w:rsidR="005D691F" w:rsidRDefault="00F4227D" w:rsidP="003620CC">
            <w:pPr>
              <w:bidi/>
              <w:spacing w:after="0" w:line="300" w:lineRule="auto"/>
              <w:jc w:val="center"/>
            </w:pPr>
            <w:r>
              <w:rPr>
                <w:rFonts w:ascii="Traditional Arabic" w:hAnsi="Traditional Arabic" w:cs="Traditional Arabic"/>
                <w:b/>
                <w:bCs/>
                <w:rtl/>
              </w:rPr>
              <w:t>اسم المحكّم</w:t>
            </w:r>
          </w:p>
        </w:tc>
        <w:tc>
          <w:tcPr>
            <w:tcW w:w="1600" w:type="dxa"/>
            <w:shd w:val="clear" w:color="auto" w:fill="DCE9F5"/>
            <w:vAlign w:val="center"/>
          </w:tcPr>
          <w:p w14:paraId="78FEEB06" w14:textId="77777777" w:rsidR="005D691F" w:rsidRDefault="00F4227D" w:rsidP="003620CC">
            <w:pPr>
              <w:bidi/>
              <w:spacing w:after="0" w:line="300" w:lineRule="auto"/>
              <w:jc w:val="center"/>
            </w:pPr>
            <w:r>
              <w:rPr>
                <w:rFonts w:ascii="Traditional Arabic" w:hAnsi="Traditional Arabic" w:cs="Traditional Arabic"/>
                <w:b/>
                <w:bCs/>
                <w:rtl/>
              </w:rPr>
              <w:t>الدرجة العلمية</w:t>
            </w:r>
          </w:p>
        </w:tc>
        <w:tc>
          <w:tcPr>
            <w:tcW w:w="1900" w:type="dxa"/>
            <w:shd w:val="clear" w:color="auto" w:fill="DCE9F5"/>
            <w:vAlign w:val="center"/>
          </w:tcPr>
          <w:p w14:paraId="668B4947" w14:textId="77777777" w:rsidR="005D691F" w:rsidRDefault="00F4227D" w:rsidP="003620CC">
            <w:pPr>
              <w:bidi/>
              <w:spacing w:after="0" w:line="300" w:lineRule="auto"/>
              <w:jc w:val="center"/>
            </w:pPr>
            <w:r>
              <w:rPr>
                <w:rFonts w:ascii="Traditional Arabic" w:hAnsi="Traditional Arabic" w:cs="Traditional Arabic"/>
                <w:b/>
                <w:bCs/>
                <w:rtl/>
              </w:rPr>
              <w:t>التخصص</w:t>
            </w:r>
          </w:p>
        </w:tc>
        <w:tc>
          <w:tcPr>
            <w:tcW w:w="1800" w:type="dxa"/>
            <w:shd w:val="clear" w:color="auto" w:fill="DCE9F5"/>
            <w:vAlign w:val="center"/>
          </w:tcPr>
          <w:p w14:paraId="08870BA1" w14:textId="77777777" w:rsidR="005D691F" w:rsidRDefault="00F4227D" w:rsidP="003620CC">
            <w:pPr>
              <w:bidi/>
              <w:spacing w:after="0" w:line="300" w:lineRule="auto"/>
              <w:jc w:val="center"/>
            </w:pPr>
            <w:r>
              <w:rPr>
                <w:rFonts w:ascii="Traditional Arabic" w:hAnsi="Traditional Arabic" w:cs="Traditional Arabic"/>
                <w:b/>
                <w:bCs/>
                <w:rtl/>
              </w:rPr>
              <w:t>جهة العمل</w:t>
            </w:r>
          </w:p>
        </w:tc>
      </w:tr>
      <w:tr w:rsidR="005D691F" w14:paraId="292C7178" w14:textId="77777777" w:rsidTr="003620CC">
        <w:tc>
          <w:tcPr>
            <w:tcW w:w="600" w:type="dxa"/>
            <w:vAlign w:val="center"/>
          </w:tcPr>
          <w:p w14:paraId="06A6DAF4" w14:textId="77777777" w:rsidR="005D691F" w:rsidRDefault="00F4227D" w:rsidP="003620CC">
            <w:pPr>
              <w:bidi/>
              <w:spacing w:after="0" w:line="300" w:lineRule="auto"/>
              <w:jc w:val="center"/>
            </w:pPr>
            <w:r>
              <w:rPr>
                <w:rFonts w:ascii="Traditional Arabic" w:hAnsi="Traditional Arabic" w:cs="Traditional Arabic"/>
                <w:rtl/>
              </w:rPr>
              <w:t>1</w:t>
            </w:r>
          </w:p>
        </w:tc>
        <w:tc>
          <w:tcPr>
            <w:tcW w:w="2400" w:type="dxa"/>
            <w:vAlign w:val="center"/>
          </w:tcPr>
          <w:p w14:paraId="4A2A7119" w14:textId="77777777" w:rsidR="005D691F" w:rsidRDefault="005D691F" w:rsidP="003620CC">
            <w:pPr>
              <w:bidi/>
              <w:spacing w:after="0" w:line="300" w:lineRule="auto"/>
              <w:jc w:val="center"/>
            </w:pPr>
          </w:p>
        </w:tc>
        <w:tc>
          <w:tcPr>
            <w:tcW w:w="1600" w:type="dxa"/>
            <w:vAlign w:val="center"/>
          </w:tcPr>
          <w:p w14:paraId="5941973C" w14:textId="77777777" w:rsidR="005D691F" w:rsidRDefault="005D691F" w:rsidP="003620CC">
            <w:pPr>
              <w:bidi/>
              <w:spacing w:after="0" w:line="300" w:lineRule="auto"/>
              <w:jc w:val="center"/>
            </w:pPr>
          </w:p>
        </w:tc>
        <w:tc>
          <w:tcPr>
            <w:tcW w:w="1900" w:type="dxa"/>
            <w:vAlign w:val="center"/>
          </w:tcPr>
          <w:p w14:paraId="4453B9C1" w14:textId="77777777" w:rsidR="005D691F" w:rsidRDefault="005D691F" w:rsidP="003620CC">
            <w:pPr>
              <w:bidi/>
              <w:spacing w:after="0" w:line="300" w:lineRule="auto"/>
              <w:jc w:val="center"/>
            </w:pPr>
          </w:p>
        </w:tc>
        <w:tc>
          <w:tcPr>
            <w:tcW w:w="1800" w:type="dxa"/>
            <w:vAlign w:val="center"/>
          </w:tcPr>
          <w:p w14:paraId="5B09FC99" w14:textId="77777777" w:rsidR="005D691F" w:rsidRDefault="005D691F" w:rsidP="003620CC">
            <w:pPr>
              <w:bidi/>
              <w:spacing w:after="0" w:line="300" w:lineRule="auto"/>
              <w:jc w:val="center"/>
            </w:pPr>
          </w:p>
        </w:tc>
      </w:tr>
      <w:tr w:rsidR="005D691F" w14:paraId="55D2559F" w14:textId="77777777" w:rsidTr="003620CC">
        <w:tc>
          <w:tcPr>
            <w:tcW w:w="600" w:type="dxa"/>
            <w:vAlign w:val="center"/>
          </w:tcPr>
          <w:p w14:paraId="2909D40C" w14:textId="77777777" w:rsidR="005D691F" w:rsidRDefault="00F4227D" w:rsidP="003620CC">
            <w:pPr>
              <w:bidi/>
              <w:spacing w:after="0" w:line="300" w:lineRule="auto"/>
              <w:jc w:val="center"/>
            </w:pPr>
            <w:r>
              <w:rPr>
                <w:rFonts w:ascii="Traditional Arabic" w:hAnsi="Traditional Arabic" w:cs="Traditional Arabic"/>
                <w:rtl/>
              </w:rPr>
              <w:t>2</w:t>
            </w:r>
          </w:p>
        </w:tc>
        <w:tc>
          <w:tcPr>
            <w:tcW w:w="2400" w:type="dxa"/>
            <w:vAlign w:val="center"/>
          </w:tcPr>
          <w:p w14:paraId="7918A6D3" w14:textId="77777777" w:rsidR="005D691F" w:rsidRDefault="005D691F" w:rsidP="003620CC">
            <w:pPr>
              <w:bidi/>
              <w:spacing w:after="0" w:line="300" w:lineRule="auto"/>
              <w:jc w:val="center"/>
            </w:pPr>
          </w:p>
        </w:tc>
        <w:tc>
          <w:tcPr>
            <w:tcW w:w="1600" w:type="dxa"/>
            <w:vAlign w:val="center"/>
          </w:tcPr>
          <w:p w14:paraId="41C4DE05" w14:textId="77777777" w:rsidR="005D691F" w:rsidRDefault="005D691F" w:rsidP="003620CC">
            <w:pPr>
              <w:bidi/>
              <w:spacing w:after="0" w:line="300" w:lineRule="auto"/>
              <w:jc w:val="center"/>
            </w:pPr>
          </w:p>
        </w:tc>
        <w:tc>
          <w:tcPr>
            <w:tcW w:w="1900" w:type="dxa"/>
            <w:vAlign w:val="center"/>
          </w:tcPr>
          <w:p w14:paraId="388638EA" w14:textId="77777777" w:rsidR="005D691F" w:rsidRDefault="005D691F" w:rsidP="003620CC">
            <w:pPr>
              <w:bidi/>
              <w:spacing w:after="0" w:line="300" w:lineRule="auto"/>
              <w:jc w:val="center"/>
            </w:pPr>
          </w:p>
        </w:tc>
        <w:tc>
          <w:tcPr>
            <w:tcW w:w="1800" w:type="dxa"/>
            <w:vAlign w:val="center"/>
          </w:tcPr>
          <w:p w14:paraId="10422D58" w14:textId="77777777" w:rsidR="005D691F" w:rsidRDefault="005D691F" w:rsidP="003620CC">
            <w:pPr>
              <w:bidi/>
              <w:spacing w:after="0" w:line="300" w:lineRule="auto"/>
              <w:jc w:val="center"/>
            </w:pPr>
          </w:p>
        </w:tc>
      </w:tr>
      <w:tr w:rsidR="005D691F" w14:paraId="7F49766F" w14:textId="77777777" w:rsidTr="003620CC">
        <w:tc>
          <w:tcPr>
            <w:tcW w:w="600" w:type="dxa"/>
            <w:vAlign w:val="center"/>
          </w:tcPr>
          <w:p w14:paraId="012B87A3" w14:textId="77777777" w:rsidR="005D691F" w:rsidRDefault="00F4227D" w:rsidP="003620CC">
            <w:pPr>
              <w:bidi/>
              <w:spacing w:after="0" w:line="300" w:lineRule="auto"/>
              <w:jc w:val="center"/>
            </w:pPr>
            <w:r>
              <w:rPr>
                <w:rFonts w:ascii="Traditional Arabic" w:hAnsi="Traditional Arabic" w:cs="Traditional Arabic"/>
                <w:rtl/>
              </w:rPr>
              <w:t>3</w:t>
            </w:r>
          </w:p>
        </w:tc>
        <w:tc>
          <w:tcPr>
            <w:tcW w:w="2400" w:type="dxa"/>
            <w:vAlign w:val="center"/>
          </w:tcPr>
          <w:p w14:paraId="7DFF27A4" w14:textId="77777777" w:rsidR="005D691F" w:rsidRDefault="005D691F" w:rsidP="003620CC">
            <w:pPr>
              <w:bidi/>
              <w:spacing w:after="0" w:line="300" w:lineRule="auto"/>
              <w:jc w:val="center"/>
            </w:pPr>
          </w:p>
        </w:tc>
        <w:tc>
          <w:tcPr>
            <w:tcW w:w="1600" w:type="dxa"/>
            <w:vAlign w:val="center"/>
          </w:tcPr>
          <w:p w14:paraId="40A0BDF5" w14:textId="77777777" w:rsidR="005D691F" w:rsidRDefault="005D691F" w:rsidP="003620CC">
            <w:pPr>
              <w:bidi/>
              <w:spacing w:after="0" w:line="300" w:lineRule="auto"/>
              <w:jc w:val="center"/>
            </w:pPr>
          </w:p>
        </w:tc>
        <w:tc>
          <w:tcPr>
            <w:tcW w:w="1900" w:type="dxa"/>
            <w:vAlign w:val="center"/>
          </w:tcPr>
          <w:p w14:paraId="71A43D49" w14:textId="77777777" w:rsidR="005D691F" w:rsidRDefault="005D691F" w:rsidP="003620CC">
            <w:pPr>
              <w:bidi/>
              <w:spacing w:after="0" w:line="300" w:lineRule="auto"/>
              <w:jc w:val="center"/>
            </w:pPr>
          </w:p>
        </w:tc>
        <w:tc>
          <w:tcPr>
            <w:tcW w:w="1800" w:type="dxa"/>
            <w:vAlign w:val="center"/>
          </w:tcPr>
          <w:p w14:paraId="44D01F31" w14:textId="77777777" w:rsidR="005D691F" w:rsidRDefault="005D691F" w:rsidP="003620CC">
            <w:pPr>
              <w:bidi/>
              <w:spacing w:after="0" w:line="300" w:lineRule="auto"/>
              <w:jc w:val="center"/>
            </w:pPr>
          </w:p>
        </w:tc>
      </w:tr>
      <w:tr w:rsidR="005D691F" w14:paraId="292C5EB5" w14:textId="77777777" w:rsidTr="003620CC">
        <w:tc>
          <w:tcPr>
            <w:tcW w:w="600" w:type="dxa"/>
            <w:vAlign w:val="center"/>
          </w:tcPr>
          <w:p w14:paraId="40518625" w14:textId="77777777" w:rsidR="005D691F" w:rsidRDefault="00F4227D" w:rsidP="003620CC">
            <w:pPr>
              <w:bidi/>
              <w:spacing w:after="0" w:line="300" w:lineRule="auto"/>
              <w:jc w:val="center"/>
            </w:pPr>
            <w:r>
              <w:rPr>
                <w:rFonts w:ascii="Traditional Arabic" w:hAnsi="Traditional Arabic" w:cs="Traditional Arabic"/>
                <w:rtl/>
              </w:rPr>
              <w:t>4</w:t>
            </w:r>
          </w:p>
        </w:tc>
        <w:tc>
          <w:tcPr>
            <w:tcW w:w="2400" w:type="dxa"/>
            <w:vAlign w:val="center"/>
          </w:tcPr>
          <w:p w14:paraId="1294232B" w14:textId="77777777" w:rsidR="005D691F" w:rsidRDefault="005D691F" w:rsidP="003620CC">
            <w:pPr>
              <w:bidi/>
              <w:spacing w:after="0" w:line="300" w:lineRule="auto"/>
              <w:jc w:val="center"/>
            </w:pPr>
          </w:p>
        </w:tc>
        <w:tc>
          <w:tcPr>
            <w:tcW w:w="1600" w:type="dxa"/>
            <w:vAlign w:val="center"/>
          </w:tcPr>
          <w:p w14:paraId="5815E769" w14:textId="77777777" w:rsidR="005D691F" w:rsidRDefault="005D691F" w:rsidP="003620CC">
            <w:pPr>
              <w:bidi/>
              <w:spacing w:after="0" w:line="300" w:lineRule="auto"/>
              <w:jc w:val="center"/>
            </w:pPr>
          </w:p>
        </w:tc>
        <w:tc>
          <w:tcPr>
            <w:tcW w:w="1900" w:type="dxa"/>
            <w:vAlign w:val="center"/>
          </w:tcPr>
          <w:p w14:paraId="5B5B8939" w14:textId="77777777" w:rsidR="005D691F" w:rsidRDefault="005D691F" w:rsidP="003620CC">
            <w:pPr>
              <w:bidi/>
              <w:spacing w:after="0" w:line="300" w:lineRule="auto"/>
              <w:jc w:val="center"/>
            </w:pPr>
          </w:p>
        </w:tc>
        <w:tc>
          <w:tcPr>
            <w:tcW w:w="1800" w:type="dxa"/>
            <w:vAlign w:val="center"/>
          </w:tcPr>
          <w:p w14:paraId="61AC46FE" w14:textId="77777777" w:rsidR="005D691F" w:rsidRDefault="005D691F" w:rsidP="003620CC">
            <w:pPr>
              <w:bidi/>
              <w:spacing w:after="0" w:line="300" w:lineRule="auto"/>
              <w:jc w:val="center"/>
            </w:pPr>
          </w:p>
        </w:tc>
      </w:tr>
      <w:tr w:rsidR="005D691F" w14:paraId="6AF240AB" w14:textId="77777777" w:rsidTr="003620CC">
        <w:tc>
          <w:tcPr>
            <w:tcW w:w="600" w:type="dxa"/>
            <w:vAlign w:val="center"/>
          </w:tcPr>
          <w:p w14:paraId="263A16D4" w14:textId="77777777" w:rsidR="005D691F" w:rsidRDefault="00F4227D" w:rsidP="003620CC">
            <w:pPr>
              <w:bidi/>
              <w:spacing w:after="0" w:line="300" w:lineRule="auto"/>
              <w:jc w:val="center"/>
            </w:pPr>
            <w:r>
              <w:rPr>
                <w:rFonts w:ascii="Traditional Arabic" w:hAnsi="Traditional Arabic" w:cs="Traditional Arabic"/>
                <w:rtl/>
              </w:rPr>
              <w:t>5</w:t>
            </w:r>
          </w:p>
        </w:tc>
        <w:tc>
          <w:tcPr>
            <w:tcW w:w="2400" w:type="dxa"/>
            <w:vAlign w:val="center"/>
          </w:tcPr>
          <w:p w14:paraId="1D8A8B06" w14:textId="77777777" w:rsidR="005D691F" w:rsidRDefault="005D691F" w:rsidP="003620CC">
            <w:pPr>
              <w:bidi/>
              <w:spacing w:after="0" w:line="300" w:lineRule="auto"/>
              <w:jc w:val="center"/>
            </w:pPr>
          </w:p>
        </w:tc>
        <w:tc>
          <w:tcPr>
            <w:tcW w:w="1600" w:type="dxa"/>
            <w:vAlign w:val="center"/>
          </w:tcPr>
          <w:p w14:paraId="67042E02" w14:textId="77777777" w:rsidR="005D691F" w:rsidRDefault="005D691F" w:rsidP="003620CC">
            <w:pPr>
              <w:bidi/>
              <w:spacing w:after="0" w:line="300" w:lineRule="auto"/>
              <w:jc w:val="center"/>
            </w:pPr>
          </w:p>
        </w:tc>
        <w:tc>
          <w:tcPr>
            <w:tcW w:w="1900" w:type="dxa"/>
            <w:vAlign w:val="center"/>
          </w:tcPr>
          <w:p w14:paraId="2665F1D9" w14:textId="77777777" w:rsidR="005D691F" w:rsidRDefault="005D691F" w:rsidP="003620CC">
            <w:pPr>
              <w:bidi/>
              <w:spacing w:after="0" w:line="300" w:lineRule="auto"/>
              <w:jc w:val="center"/>
            </w:pPr>
          </w:p>
        </w:tc>
        <w:tc>
          <w:tcPr>
            <w:tcW w:w="1800" w:type="dxa"/>
            <w:vAlign w:val="center"/>
          </w:tcPr>
          <w:p w14:paraId="2FFBD39F" w14:textId="77777777" w:rsidR="005D691F" w:rsidRDefault="005D691F" w:rsidP="003620CC">
            <w:pPr>
              <w:bidi/>
              <w:spacing w:after="0" w:line="300" w:lineRule="auto"/>
              <w:jc w:val="center"/>
            </w:pPr>
          </w:p>
        </w:tc>
      </w:tr>
      <w:tr w:rsidR="005D691F" w14:paraId="4AACC233" w14:textId="77777777" w:rsidTr="003620CC">
        <w:tc>
          <w:tcPr>
            <w:tcW w:w="600" w:type="dxa"/>
            <w:vAlign w:val="center"/>
          </w:tcPr>
          <w:p w14:paraId="6AA7CC04" w14:textId="77777777" w:rsidR="005D691F" w:rsidRDefault="00F4227D" w:rsidP="003620CC">
            <w:pPr>
              <w:bidi/>
              <w:spacing w:after="0" w:line="300" w:lineRule="auto"/>
              <w:jc w:val="center"/>
            </w:pPr>
            <w:r>
              <w:rPr>
                <w:rFonts w:ascii="Traditional Arabic" w:hAnsi="Traditional Arabic" w:cs="Traditional Arabic"/>
                <w:rtl/>
              </w:rPr>
              <w:t>6</w:t>
            </w:r>
          </w:p>
        </w:tc>
        <w:tc>
          <w:tcPr>
            <w:tcW w:w="2400" w:type="dxa"/>
            <w:vAlign w:val="center"/>
          </w:tcPr>
          <w:p w14:paraId="424AA4DF" w14:textId="77777777" w:rsidR="005D691F" w:rsidRDefault="005D691F" w:rsidP="003620CC">
            <w:pPr>
              <w:bidi/>
              <w:spacing w:after="0" w:line="300" w:lineRule="auto"/>
              <w:jc w:val="center"/>
            </w:pPr>
          </w:p>
        </w:tc>
        <w:tc>
          <w:tcPr>
            <w:tcW w:w="1600" w:type="dxa"/>
            <w:vAlign w:val="center"/>
          </w:tcPr>
          <w:p w14:paraId="44A3DCAC" w14:textId="77777777" w:rsidR="005D691F" w:rsidRDefault="005D691F" w:rsidP="003620CC">
            <w:pPr>
              <w:bidi/>
              <w:spacing w:after="0" w:line="300" w:lineRule="auto"/>
              <w:jc w:val="center"/>
            </w:pPr>
          </w:p>
        </w:tc>
        <w:tc>
          <w:tcPr>
            <w:tcW w:w="1900" w:type="dxa"/>
            <w:vAlign w:val="center"/>
          </w:tcPr>
          <w:p w14:paraId="5D558E45" w14:textId="77777777" w:rsidR="005D691F" w:rsidRDefault="005D691F" w:rsidP="003620CC">
            <w:pPr>
              <w:bidi/>
              <w:spacing w:after="0" w:line="300" w:lineRule="auto"/>
              <w:jc w:val="center"/>
            </w:pPr>
          </w:p>
        </w:tc>
        <w:tc>
          <w:tcPr>
            <w:tcW w:w="1800" w:type="dxa"/>
            <w:vAlign w:val="center"/>
          </w:tcPr>
          <w:p w14:paraId="363FDA76" w14:textId="77777777" w:rsidR="005D691F" w:rsidRDefault="005D691F" w:rsidP="003620CC">
            <w:pPr>
              <w:bidi/>
              <w:spacing w:after="0" w:line="300" w:lineRule="auto"/>
              <w:jc w:val="center"/>
            </w:pPr>
          </w:p>
        </w:tc>
      </w:tr>
    </w:tbl>
    <w:p w14:paraId="60A2F67E" w14:textId="77777777" w:rsidR="005D691F" w:rsidRDefault="00F4227D" w:rsidP="003620CC">
      <w:pPr>
        <w:pStyle w:val="TableCaption"/>
        <w:bidi/>
        <w:spacing w:after="0" w:line="360" w:lineRule="auto"/>
      </w:pPr>
      <w:r>
        <w:rPr>
          <w:rFonts w:ascii="Traditional Arabic" w:hAnsi="Traditional Arabic" w:cs="Traditional Arabic"/>
          <w:b/>
          <w:bCs/>
          <w:sz w:val="24"/>
          <w:szCs w:val="24"/>
          <w:rtl/>
        </w:rPr>
        <w:t>جدول (م-2): بيانات محكّمي أداة الدراسة</w:t>
      </w:r>
    </w:p>
    <w:p w14:paraId="66D7230D" w14:textId="77777777" w:rsidR="005D691F" w:rsidRDefault="005D691F" w:rsidP="00E000FF">
      <w:pPr>
        <w:bidi/>
        <w:spacing w:after="0" w:line="360" w:lineRule="auto"/>
        <w:jc w:val="right"/>
      </w:pPr>
    </w:p>
    <w:p w14:paraId="5311F6C2" w14:textId="77777777" w:rsidR="003620CC" w:rsidRPr="003620CC" w:rsidRDefault="003620CC">
      <w:pPr>
        <w:spacing w:after="200" w:line="276" w:lineRule="auto"/>
        <w:rPr>
          <w:rFonts w:ascii="Traditional Arabic" w:hAnsi="Traditional Arabic" w:cs="Traditional Arabic"/>
          <w:b/>
          <w:bCs/>
          <w:sz w:val="32"/>
          <w:szCs w:val="32"/>
          <w:rtl/>
        </w:rPr>
      </w:pPr>
      <w:bookmarkStart w:id="80" w:name="_Toc224563965"/>
      <w:bookmarkStart w:id="81" w:name="_Toc234424174"/>
      <w:r w:rsidRPr="003620CC">
        <w:rPr>
          <w:rFonts w:ascii="Traditional Arabic" w:hAnsi="Traditional Arabic" w:cs="Traditional Arabic"/>
          <w:b/>
          <w:bCs/>
          <w:sz w:val="32"/>
          <w:szCs w:val="32"/>
          <w:rtl/>
        </w:rPr>
        <w:br w:type="page"/>
      </w:r>
    </w:p>
    <w:p w14:paraId="1CC194DD" w14:textId="2F0E4FA3" w:rsidR="007F4183" w:rsidRPr="0072768E" w:rsidRDefault="007F4183" w:rsidP="00E000FF">
      <w:pPr>
        <w:pStyle w:val="HeadingTOCEntry"/>
        <w:bidi/>
        <w:spacing w:after="0" w:line="360" w:lineRule="auto"/>
        <w:ind w:left="432" w:hanging="432"/>
        <w:rPr>
          <w:rFonts w:ascii="Simplified Arabic" w:hAnsi="Simplified Arabic" w:cs="Simplified Arabic"/>
          <w:b/>
          <w:bCs/>
          <w:sz w:val="28"/>
          <w:szCs w:val="28"/>
          <w:u w:val="single"/>
          <w:rtl/>
        </w:rPr>
      </w:pPr>
      <w:r>
        <w:rPr>
          <w:rFonts w:ascii="Traditional Arabic" w:hAnsi="Traditional Arabic" w:cs="Traditional Arabic"/>
          <w:b/>
          <w:bCs/>
          <w:sz w:val="32"/>
          <w:szCs w:val="32"/>
          <w:u w:val="single"/>
          <w:rtl/>
        </w:rPr>
        <w:lastRenderedPageBreak/>
        <w:t>المراجع:</w:t>
      </w:r>
      <w:bookmarkEnd w:id="80"/>
      <w:bookmarkEnd w:id="81"/>
    </w:p>
    <w:p w14:paraId="1B257D74" w14:textId="5C3A0A12" w:rsidR="00381524" w:rsidRPr="0072768E" w:rsidRDefault="00381524"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pPr>
      <w:bookmarkStart w:id="82" w:name="_Toc224563966"/>
      <w:bookmarkStart w:id="83" w:name="_Toc234424175"/>
      <w:r>
        <w:rPr>
          <w:rFonts w:ascii="Traditional Arabic" w:hAnsi="Traditional Arabic" w:cs="Traditional Arabic" w:hint="cs"/>
          <w:b/>
          <w:bCs/>
          <w:color w:val="auto"/>
          <w:u w:val="single"/>
          <w:rtl/>
        </w:rPr>
        <w:t>المراجع العربية:</w:t>
      </w:r>
      <w:bookmarkEnd w:id="82"/>
      <w:bookmarkEnd w:id="83"/>
    </w:p>
    <w:p w14:paraId="74B2012E"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البراهيم، خالد، والعويد، سعد. (2024). تطبيقات تقنية الترميز في البنوك السعودية: دراسة ميدانية. *مجلة الاقتصاد والإدارة*، *38*(2)، 145-178.</w:t>
      </w:r>
    </w:p>
    <w:p w14:paraId="5932B99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 xml:space="preserve">التويجري، </w:t>
      </w:r>
      <w:proofErr w:type="gramStart"/>
      <w:r>
        <w:rPr>
          <w:rFonts w:ascii="Traditional Arabic" w:eastAsiaTheme="majorEastAsia" w:hAnsi="Traditional Arabic" w:cs="Traditional Arabic"/>
          <w:sz w:val="24"/>
          <w:szCs w:val="24"/>
          <w:rtl/>
        </w:rPr>
        <w:t>عبدالله</w:t>
      </w:r>
      <w:proofErr w:type="gramEnd"/>
      <w:r>
        <w:rPr>
          <w:rFonts w:ascii="Traditional Arabic" w:eastAsiaTheme="majorEastAsia" w:hAnsi="Traditional Arabic" w:cs="Traditional Arabic"/>
          <w:sz w:val="24"/>
          <w:szCs w:val="24"/>
          <w:rtl/>
        </w:rPr>
        <w:t>، والحربي، فهد. (2024). أثر تقنية الترميز على كفاءة المدفوعات الإلكترونية في المملكة العربية السعودية. *المجلة العربية للعلوم الإدارية*، *31*(1)، 89-118.</w:t>
      </w:r>
    </w:p>
    <w:p w14:paraId="0A065F3A"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الجهني، محمد، العتيبي، سعود، والقحطاني، علي. (2023). الأمن السيبراني في المؤسسات المالية السعودية: التحديات والحلول. *مجلة جامعة الملك سعود للعلوم الإدارية*، *35*(2)، 201-234.</w:t>
      </w:r>
    </w:p>
    <w:p w14:paraId="317FDC3C"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 xml:space="preserve">الحارثي، سلطان، الشهري، ماجد، والغامدي، خالد. (2024). تطبيقات </w:t>
      </w:r>
      <w:proofErr w:type="spellStart"/>
      <w:r>
        <w:rPr>
          <w:rFonts w:ascii="Traditional Arabic" w:eastAsiaTheme="majorEastAsia" w:hAnsi="Traditional Arabic" w:cs="Traditional Arabic"/>
          <w:sz w:val="24"/>
          <w:szCs w:val="24"/>
          <w:rtl/>
        </w:rPr>
        <w:t>البلوكشين</w:t>
      </w:r>
      <w:proofErr w:type="spellEnd"/>
      <w:r>
        <w:rPr>
          <w:rFonts w:ascii="Traditional Arabic" w:eastAsiaTheme="majorEastAsia" w:hAnsi="Traditional Arabic" w:cs="Traditional Arabic"/>
          <w:sz w:val="24"/>
          <w:szCs w:val="24"/>
          <w:rtl/>
        </w:rPr>
        <w:t xml:space="preserve"> والترميز في القطاع المصرفي السعودي. *المجلة السعودية للعلوم الاقتصادية والمالية*، *12*(3)، 67-95.</w:t>
      </w:r>
    </w:p>
    <w:p w14:paraId="1130AB10"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الحربي، فيصل. (2024). *إدارة الأمن السيبراني في العصر الرقمي*. الرياض: دار جامعة الملك سعود للنشر.</w:t>
      </w:r>
    </w:p>
    <w:p w14:paraId="131F404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 xml:space="preserve">الحربي، نايف، والسلمي، </w:t>
      </w:r>
      <w:proofErr w:type="gramStart"/>
      <w:r>
        <w:rPr>
          <w:rFonts w:ascii="Traditional Arabic" w:eastAsiaTheme="majorEastAsia" w:hAnsi="Traditional Arabic" w:cs="Traditional Arabic"/>
          <w:sz w:val="24"/>
          <w:szCs w:val="24"/>
          <w:rtl/>
        </w:rPr>
        <w:t>عبدالرحمن</w:t>
      </w:r>
      <w:proofErr w:type="gramEnd"/>
      <w:r>
        <w:rPr>
          <w:rFonts w:ascii="Traditional Arabic" w:eastAsiaTheme="majorEastAsia" w:hAnsi="Traditional Arabic" w:cs="Traditional Arabic"/>
          <w:sz w:val="24"/>
          <w:szCs w:val="24"/>
          <w:rtl/>
        </w:rPr>
        <w:t>. (2024). العلاقة بين الأمن السيبراني والكفاءة التشغيلية في البنوك السعودية. *مجلة الإدارة العامة*، *64*(2)، 345-378.</w:t>
      </w:r>
    </w:p>
    <w:p w14:paraId="30F2D2B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الخليفي، أحمد، والمالكي، سعد. (2023). التقنية المالية والتحول الرقمي في المملكة العربية السعودية. *مجلة الاقتصاد الخليجي*، *18*(4)، 112-143.</w:t>
      </w:r>
    </w:p>
    <w:p w14:paraId="6E8AA346"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 xml:space="preserve">الدخيل، </w:t>
      </w:r>
      <w:proofErr w:type="gramStart"/>
      <w:r>
        <w:rPr>
          <w:rFonts w:ascii="Traditional Arabic" w:eastAsiaTheme="majorEastAsia" w:hAnsi="Traditional Arabic" w:cs="Traditional Arabic"/>
          <w:sz w:val="24"/>
          <w:szCs w:val="24"/>
          <w:rtl/>
        </w:rPr>
        <w:t>عبدالعزيز</w:t>
      </w:r>
      <w:proofErr w:type="gramEnd"/>
      <w:r>
        <w:rPr>
          <w:rFonts w:ascii="Traditional Arabic" w:eastAsiaTheme="majorEastAsia" w:hAnsi="Traditional Arabic" w:cs="Traditional Arabic"/>
          <w:sz w:val="24"/>
          <w:szCs w:val="24"/>
          <w:rtl/>
        </w:rPr>
        <w:t>. (2023). *الابتكار المالي ورؤية المملكة 2030*. الرياض: مركز الملك فيصل للبحوث والدراسات الإسلامية.</w:t>
      </w:r>
    </w:p>
    <w:p w14:paraId="57A6AABE"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الدوسري، فهد. (2024). أثر التحول الرقمي على كفاءة البنوك التجارية السعودية. *المجلة العربية للإدارة*، *44*(1)، 78-106.</w:t>
      </w:r>
    </w:p>
    <w:p w14:paraId="2FF10DAC"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الراجحي، سليمان. (2024). استراتيجيات الأمن السيبراني في المؤسسات المالية الإسلامية. *مجلة الاقتصاد الإسلامي*، *29*(3)، 134-165.</w:t>
      </w:r>
    </w:p>
    <w:p w14:paraId="4DA6405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الراجحي، وليد. (2023). تطبيقات الترميز في حماية البيانات المصرفية. *مجلة الأمن المعلوماتي*، *7*(2)، 45-72.</w:t>
      </w:r>
    </w:p>
    <w:p w14:paraId="6FB8387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الزامل، سعود. (2023). دور التقنية المالية في تحقيق رؤية المملكة 2030. *مجلة دراسات الخليج والجزيرة العربية*، *49*(187)، 89-124.</w:t>
      </w:r>
    </w:p>
    <w:p w14:paraId="095A7EB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 xml:space="preserve">الزهراني، </w:t>
      </w:r>
      <w:proofErr w:type="gramStart"/>
      <w:r>
        <w:rPr>
          <w:rFonts w:ascii="Traditional Arabic" w:eastAsiaTheme="majorEastAsia" w:hAnsi="Traditional Arabic" w:cs="Traditional Arabic"/>
          <w:sz w:val="24"/>
          <w:szCs w:val="24"/>
          <w:rtl/>
        </w:rPr>
        <w:t>عبدالله</w:t>
      </w:r>
      <w:proofErr w:type="gramEnd"/>
      <w:r>
        <w:rPr>
          <w:rFonts w:ascii="Traditional Arabic" w:eastAsiaTheme="majorEastAsia" w:hAnsi="Traditional Arabic" w:cs="Traditional Arabic"/>
          <w:sz w:val="24"/>
          <w:szCs w:val="24"/>
          <w:rtl/>
        </w:rPr>
        <w:t>. (2024). الامتثال للمعايير الدولية للأمن السيبراني في القطاع المصرفي السعودي. *المجلة السعودية للعلوم الإدارية*، *16*(2)، 201-234.</w:t>
      </w:r>
    </w:p>
    <w:p w14:paraId="065D72E0"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الشمراني، محمد. (2023). *الحوسبة السحابية والأمن السيبراني في البنوك*. جدة: دار حافظ للنشر والتوزيع.</w:t>
      </w:r>
    </w:p>
    <w:p w14:paraId="4A0CA7F5"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lastRenderedPageBreak/>
        <w:t xml:space="preserve">الشمري، </w:t>
      </w:r>
      <w:proofErr w:type="gramStart"/>
      <w:r>
        <w:rPr>
          <w:rFonts w:ascii="Traditional Arabic" w:eastAsiaTheme="majorEastAsia" w:hAnsi="Traditional Arabic" w:cs="Traditional Arabic"/>
          <w:sz w:val="24"/>
          <w:szCs w:val="24"/>
          <w:rtl/>
        </w:rPr>
        <w:t>عبدالله</w:t>
      </w:r>
      <w:proofErr w:type="gramEnd"/>
      <w:r>
        <w:rPr>
          <w:rFonts w:ascii="Traditional Arabic" w:eastAsiaTheme="majorEastAsia" w:hAnsi="Traditional Arabic" w:cs="Traditional Arabic"/>
          <w:sz w:val="24"/>
          <w:szCs w:val="24"/>
          <w:rtl/>
        </w:rPr>
        <w:t>، القحطاني، ناصر، والعنزي، فهد. (2024). تقييم نضج الأمن السيبراني في المؤسسات المالية السعودية. *مجلة الإدارة والاقتصاد*، *42*(3)، 156-189.</w:t>
      </w:r>
    </w:p>
    <w:p w14:paraId="62943EC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الشهراني، علي، والغامدي، أحمد. (2024). أثر الترميز على تحسين تجربة العملاء في البنوك الرقمية السعودية. *المجلة العربية للدراسات المصرفية*، *15*(1)، 67-98.</w:t>
      </w:r>
    </w:p>
    <w:p w14:paraId="6C38BA18"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الشهري، سعد، والنعيمي، خالد. (2023). التحديات التنظيمية لتطبيق تقنية الترميز في السعودية. *مجلة القانون والاقتصاد*، *38*(2)، 234-267.</w:t>
      </w:r>
    </w:p>
    <w:p w14:paraId="5748233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 xml:space="preserve">الصالح، محمد، والقحطاني، </w:t>
      </w:r>
      <w:proofErr w:type="gramStart"/>
      <w:r>
        <w:rPr>
          <w:rFonts w:ascii="Traditional Arabic" w:eastAsiaTheme="majorEastAsia" w:hAnsi="Traditional Arabic" w:cs="Traditional Arabic"/>
          <w:sz w:val="24"/>
          <w:szCs w:val="24"/>
          <w:rtl/>
        </w:rPr>
        <w:t>عبدالرحمن</w:t>
      </w:r>
      <w:proofErr w:type="gramEnd"/>
      <w:r>
        <w:rPr>
          <w:rFonts w:ascii="Traditional Arabic" w:eastAsiaTheme="majorEastAsia" w:hAnsi="Traditional Arabic" w:cs="Traditional Arabic"/>
          <w:sz w:val="24"/>
          <w:szCs w:val="24"/>
          <w:rtl/>
        </w:rPr>
        <w:t>. (2024). كفاءة العمليات المالية في ظل التحول الرقمي. *مجلة العلوم الاقتصادية والإدارية*، *30*(4)، 123-156.</w:t>
      </w:r>
    </w:p>
    <w:p w14:paraId="057B5EBB" w14:textId="77777777" w:rsidR="00832328" w:rsidRPr="00832328" w:rsidRDefault="00832328" w:rsidP="00E000FF">
      <w:pPr>
        <w:bidi/>
        <w:spacing w:after="0" w:line="360" w:lineRule="auto"/>
        <w:jc w:val="both"/>
        <w:rPr>
          <w:rFonts w:ascii="Simplified Arabic" w:eastAsiaTheme="majorEastAsia" w:hAnsi="Simplified Arabic" w:cs="Simplified Arabic"/>
        </w:rPr>
      </w:pPr>
      <w:proofErr w:type="gramStart"/>
      <w:r>
        <w:rPr>
          <w:rFonts w:ascii="Traditional Arabic" w:eastAsiaTheme="majorEastAsia" w:hAnsi="Traditional Arabic" w:cs="Traditional Arabic"/>
          <w:sz w:val="24"/>
          <w:szCs w:val="24"/>
          <w:rtl/>
        </w:rPr>
        <w:t>العبدالله</w:t>
      </w:r>
      <w:proofErr w:type="gramEnd"/>
      <w:r>
        <w:rPr>
          <w:rFonts w:ascii="Traditional Arabic" w:eastAsiaTheme="majorEastAsia" w:hAnsi="Traditional Arabic" w:cs="Traditional Arabic"/>
          <w:sz w:val="24"/>
          <w:szCs w:val="24"/>
          <w:rtl/>
        </w:rPr>
        <w:t>، فهد. (2023). *التقنية المالية في المملكة العربية السعودية: الواقع والمستقبل*. الرياض: معهد الإدارة العامة.</w:t>
      </w:r>
    </w:p>
    <w:p w14:paraId="68EDE16E"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سعود. (2024). أنظمة المدفوعات الرقمية في المملكة العربية السعودية. *مجلة النقود والمصارف*، *22*(1)، 45-78.</w:t>
      </w:r>
    </w:p>
    <w:p w14:paraId="08EE2D5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العتيبي، خالد، السلمي، محمد، والقحطاني، فيصل. (2023). الاختراقات الداخلية في المؤسسات المالية: دراسة حالة السعودية. *مجلة الأمن السيبراني*، *5*(3)، 112-145.</w:t>
      </w:r>
    </w:p>
    <w:p w14:paraId="344DA65D"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 xml:space="preserve">العتيبي، </w:t>
      </w:r>
      <w:proofErr w:type="gramStart"/>
      <w:r>
        <w:rPr>
          <w:rFonts w:ascii="Traditional Arabic" w:eastAsiaTheme="majorEastAsia" w:hAnsi="Traditional Arabic" w:cs="Traditional Arabic"/>
          <w:sz w:val="24"/>
          <w:szCs w:val="24"/>
          <w:rtl/>
        </w:rPr>
        <w:t>عبدالله</w:t>
      </w:r>
      <w:proofErr w:type="gramEnd"/>
      <w:r>
        <w:rPr>
          <w:rFonts w:ascii="Traditional Arabic" w:eastAsiaTheme="majorEastAsia" w:hAnsi="Traditional Arabic" w:cs="Traditional Arabic"/>
          <w:sz w:val="24"/>
          <w:szCs w:val="24"/>
          <w:rtl/>
        </w:rPr>
        <w:t>، والقحطاني، ناصر. (2023). إدارة المخاطر السيبرانية في البنوك السعودية. *المجلة العلمية للاقتصاد والتجارة*، *53*(2)، 456-489.</w:t>
      </w:r>
    </w:p>
    <w:p w14:paraId="21F41621"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 xml:space="preserve">العجمي، فيصل، الدوسري، سعد، والمطيري، </w:t>
      </w:r>
      <w:proofErr w:type="gramStart"/>
      <w:r>
        <w:rPr>
          <w:rFonts w:ascii="Traditional Arabic" w:eastAsiaTheme="majorEastAsia" w:hAnsi="Traditional Arabic" w:cs="Traditional Arabic"/>
          <w:sz w:val="24"/>
          <w:szCs w:val="24"/>
          <w:rtl/>
        </w:rPr>
        <w:t>عبدالله</w:t>
      </w:r>
      <w:proofErr w:type="gramEnd"/>
      <w:r>
        <w:rPr>
          <w:rFonts w:ascii="Traditional Arabic" w:eastAsiaTheme="majorEastAsia" w:hAnsi="Traditional Arabic" w:cs="Traditional Arabic"/>
          <w:sz w:val="24"/>
          <w:szCs w:val="24"/>
          <w:rtl/>
        </w:rPr>
        <w:t>. (2024). تقييم فاعلية أنظمة الأمن السيبراني في القطاع المالي السعودي. *مجلة جامعة الإمام محمد بن سعود الإسلامية للعلوم الاقتصادية والإدارية*، *18*(2)، 234-267.</w:t>
      </w:r>
    </w:p>
    <w:p w14:paraId="2C01A96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العمري، يوسف، الحربي، ماجد، والزهراني، خالد. (2024). التحول الرقمي وأثره على الشمول المالي في السعودية. *المجلة العربية للعلوم المالية والمصرفية*، *11*(3)، 89-122.</w:t>
      </w:r>
    </w:p>
    <w:p w14:paraId="56CBF3AF"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 xml:space="preserve">الفهد، </w:t>
      </w:r>
      <w:proofErr w:type="gramStart"/>
      <w:r>
        <w:rPr>
          <w:rFonts w:ascii="Traditional Arabic" w:eastAsiaTheme="majorEastAsia" w:hAnsi="Traditional Arabic" w:cs="Traditional Arabic"/>
          <w:sz w:val="24"/>
          <w:szCs w:val="24"/>
          <w:rtl/>
        </w:rPr>
        <w:t>عبدالعزيز</w:t>
      </w:r>
      <w:proofErr w:type="gramEnd"/>
      <w:r>
        <w:rPr>
          <w:rFonts w:ascii="Traditional Arabic" w:eastAsiaTheme="majorEastAsia" w:hAnsi="Traditional Arabic" w:cs="Traditional Arabic"/>
          <w:sz w:val="24"/>
          <w:szCs w:val="24"/>
          <w:rtl/>
        </w:rPr>
        <w:t>، والسديري، تركي. (2023). نماذج الأعمال المبتكرة في التقنية المالية السعودية. *مجلة ريادة الأعمال والابتكار*، *9*(4)، 178-211.</w:t>
      </w:r>
    </w:p>
    <w:p w14:paraId="4D8C24F1"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القحطاني، علي. (2024). *أمن المعلومات في المؤسسات المالية الحديثة*. الدمام: مكتبة المتنبي.</w:t>
      </w:r>
    </w:p>
    <w:p w14:paraId="14721A01"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القرشي، محمد، العتيبي، فهد، والشهري، سعود. (2023). تطبيقات الذكاء الاصطناعي في الأمن المصرفي السعودي. *مجلة التقنية والعلوم التطبيقية*، *14*(2)، 123-156.</w:t>
      </w:r>
    </w:p>
    <w:p w14:paraId="785C53C7"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 xml:space="preserve">القرني، سلطان، والشمري، </w:t>
      </w:r>
      <w:proofErr w:type="gramStart"/>
      <w:r>
        <w:rPr>
          <w:rFonts w:ascii="Traditional Arabic" w:eastAsiaTheme="majorEastAsia" w:hAnsi="Traditional Arabic" w:cs="Traditional Arabic"/>
          <w:sz w:val="24"/>
          <w:szCs w:val="24"/>
          <w:rtl/>
        </w:rPr>
        <w:t>عبدالله</w:t>
      </w:r>
      <w:proofErr w:type="gramEnd"/>
      <w:r>
        <w:rPr>
          <w:rFonts w:ascii="Traditional Arabic" w:eastAsiaTheme="majorEastAsia" w:hAnsi="Traditional Arabic" w:cs="Traditional Arabic"/>
          <w:sz w:val="24"/>
          <w:szCs w:val="24"/>
          <w:rtl/>
        </w:rPr>
        <w:t>. (2024). استراتيجيات حماية البيانات في البنوك الرقمية. *المجلة السعودية لتقنية المعلومات*، *8*(1)، 67-94.</w:t>
      </w:r>
    </w:p>
    <w:p w14:paraId="0906FB13"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lastRenderedPageBreak/>
        <w:t xml:space="preserve">المالكي، </w:t>
      </w:r>
      <w:proofErr w:type="gramStart"/>
      <w:r>
        <w:rPr>
          <w:rFonts w:ascii="Traditional Arabic" w:eastAsiaTheme="majorEastAsia" w:hAnsi="Traditional Arabic" w:cs="Traditional Arabic"/>
          <w:sz w:val="24"/>
          <w:szCs w:val="24"/>
          <w:rtl/>
        </w:rPr>
        <w:t>عبدالرحمن</w:t>
      </w:r>
      <w:proofErr w:type="gramEnd"/>
      <w:r>
        <w:rPr>
          <w:rFonts w:ascii="Traditional Arabic" w:eastAsiaTheme="majorEastAsia" w:hAnsi="Traditional Arabic" w:cs="Traditional Arabic"/>
          <w:sz w:val="24"/>
          <w:szCs w:val="24"/>
          <w:rtl/>
        </w:rPr>
        <w:t xml:space="preserve">، الزهراني، أحمد، والغامدي، فيصل. (2024). تقييم نضج التحول الرقمي في المؤسسات المالية السعودية. *مجلة الملك </w:t>
      </w:r>
      <w:proofErr w:type="gramStart"/>
      <w:r>
        <w:rPr>
          <w:rFonts w:ascii="Traditional Arabic" w:eastAsiaTheme="majorEastAsia" w:hAnsi="Traditional Arabic" w:cs="Traditional Arabic"/>
          <w:sz w:val="24"/>
          <w:szCs w:val="24"/>
          <w:rtl/>
        </w:rPr>
        <w:t>عبدالعزيز</w:t>
      </w:r>
      <w:proofErr w:type="gramEnd"/>
      <w:r>
        <w:rPr>
          <w:rFonts w:ascii="Traditional Arabic" w:eastAsiaTheme="majorEastAsia" w:hAnsi="Traditional Arabic" w:cs="Traditional Arabic"/>
          <w:sz w:val="24"/>
          <w:szCs w:val="24"/>
          <w:rtl/>
        </w:rPr>
        <w:t xml:space="preserve"> للاقتصاد والإدارة*، *38*(1)، 201-235.</w:t>
      </w:r>
    </w:p>
    <w:p w14:paraId="6BDAAC17"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المحيميد، سعد، العنزي، محمد، والدوسري، خالد. (2023). البنوك الرقمية في المملكة: الفرص والتحديات. *المجلة العربية للمعلومات*، *44*(2)، 156-189.</w:t>
      </w:r>
    </w:p>
    <w:p w14:paraId="3F08E44B"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المطيري، فهد. (2024). الامتثال التنظيمي للأمن السيبراني في القطاع المالي السعودي. *مجلة الحقوق*، *48*(3)، 234-267.</w:t>
      </w:r>
    </w:p>
    <w:p w14:paraId="532AE77D"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المطيري، ناصر، والعنزي، سعود. (2023). تحليل التهديدات السيبرانية في القطاع المصرفي السعودي. *مجلة الأمن والدفاع السيبراني*، *6*(4)، 89-123.</w:t>
      </w:r>
    </w:p>
    <w:p w14:paraId="784C8464" w14:textId="77777777" w:rsidR="00832328" w:rsidRPr="00832328" w:rsidRDefault="00832328" w:rsidP="00E000FF">
      <w:pPr>
        <w:bidi/>
        <w:spacing w:after="0" w:line="360" w:lineRule="auto"/>
        <w:jc w:val="both"/>
        <w:rPr>
          <w:rFonts w:ascii="Simplified Arabic" w:eastAsiaTheme="majorEastAsia" w:hAnsi="Simplified Arabic" w:cs="Simplified Arabic"/>
        </w:rPr>
      </w:pPr>
      <w:r>
        <w:rPr>
          <w:rFonts w:ascii="Traditional Arabic" w:eastAsiaTheme="majorEastAsia" w:hAnsi="Traditional Arabic" w:cs="Traditional Arabic"/>
          <w:sz w:val="24"/>
          <w:szCs w:val="24"/>
          <w:rtl/>
        </w:rPr>
        <w:t xml:space="preserve">محمد، </w:t>
      </w:r>
      <w:proofErr w:type="gramStart"/>
      <w:r>
        <w:rPr>
          <w:rFonts w:ascii="Traditional Arabic" w:eastAsiaTheme="majorEastAsia" w:hAnsi="Traditional Arabic" w:cs="Traditional Arabic"/>
          <w:sz w:val="24"/>
          <w:szCs w:val="24"/>
          <w:rtl/>
        </w:rPr>
        <w:t>عبدالله</w:t>
      </w:r>
      <w:proofErr w:type="gramEnd"/>
      <w:r>
        <w:rPr>
          <w:rFonts w:ascii="Traditional Arabic" w:eastAsiaTheme="majorEastAsia" w:hAnsi="Traditional Arabic" w:cs="Traditional Arabic"/>
          <w:sz w:val="24"/>
          <w:szCs w:val="24"/>
          <w:rtl/>
        </w:rPr>
        <w:t xml:space="preserve">، والزهراني، فيصل. (2023). أثر تقنية </w:t>
      </w:r>
      <w:proofErr w:type="spellStart"/>
      <w:r>
        <w:rPr>
          <w:rFonts w:ascii="Traditional Arabic" w:eastAsiaTheme="majorEastAsia" w:hAnsi="Traditional Arabic" w:cs="Traditional Arabic"/>
          <w:sz w:val="24"/>
          <w:szCs w:val="24"/>
          <w:rtl/>
        </w:rPr>
        <w:t>البلوكشين</w:t>
      </w:r>
      <w:proofErr w:type="spellEnd"/>
      <w:r>
        <w:rPr>
          <w:rFonts w:ascii="Traditional Arabic" w:eastAsiaTheme="majorEastAsia" w:hAnsi="Traditional Arabic" w:cs="Traditional Arabic"/>
          <w:sz w:val="24"/>
          <w:szCs w:val="24"/>
          <w:rtl/>
        </w:rPr>
        <w:t xml:space="preserve"> على كفاءة التسويات المالية. *مجلة العلوم المالية والمحاسبية*، *19*(3)، 145-178.</w:t>
      </w:r>
    </w:p>
    <w:p w14:paraId="4326992B" w14:textId="3ACED4C6" w:rsidR="00832328" w:rsidRDefault="00832328" w:rsidP="00E000FF">
      <w:pPr>
        <w:bidi/>
        <w:spacing w:after="0" w:line="360" w:lineRule="auto"/>
        <w:rPr>
          <w:rFonts w:ascii="Simplified Arabic" w:eastAsiaTheme="majorEastAsia" w:hAnsi="Simplified Arabic" w:cs="Simplified Arabic"/>
          <w:rtl/>
        </w:rPr>
      </w:pPr>
      <w:r>
        <w:rPr>
          <w:rFonts w:ascii="Traditional Arabic" w:eastAsiaTheme="majorEastAsia" w:hAnsi="Traditional Arabic" w:cs="Traditional Arabic"/>
          <w:sz w:val="24"/>
          <w:szCs w:val="24"/>
          <w:rtl/>
        </w:rPr>
        <w:br w:type="page"/>
      </w:r>
    </w:p>
    <w:p w14:paraId="7E6106A2" w14:textId="1F718D5F" w:rsidR="00381524" w:rsidRDefault="00381524" w:rsidP="00E000FF">
      <w:pPr>
        <w:pStyle w:val="Heading1"/>
        <w:numPr>
          <w:ilvl w:val="0"/>
          <w:numId w:val="0"/>
        </w:numPr>
        <w:bidi/>
        <w:spacing w:before="0" w:line="360" w:lineRule="auto"/>
        <w:ind w:left="432" w:hanging="432"/>
        <w:rPr>
          <w:rFonts w:ascii="Simplified Arabic" w:hAnsi="Simplified Arabic" w:cs="Simplified Arabic"/>
          <w:b/>
          <w:bCs/>
          <w:color w:val="auto"/>
          <w:sz w:val="28"/>
          <w:szCs w:val="28"/>
          <w:u w:val="single"/>
          <w:rtl/>
        </w:rPr>
      </w:pPr>
      <w:bookmarkStart w:id="84" w:name="_Toc224563967"/>
      <w:bookmarkStart w:id="85" w:name="_Toc234424176"/>
      <w:r>
        <w:rPr>
          <w:rFonts w:ascii="Traditional Arabic" w:hAnsi="Traditional Arabic" w:cs="Traditional Arabic" w:hint="cs"/>
          <w:b/>
          <w:bCs/>
          <w:color w:val="auto"/>
          <w:u w:val="single"/>
          <w:rtl/>
        </w:rPr>
        <w:lastRenderedPageBreak/>
        <w:t>المراجع الأجنبية:</w:t>
      </w:r>
      <w:bookmarkEnd w:id="84"/>
      <w:bookmarkEnd w:id="85"/>
    </w:p>
    <w:p w14:paraId="3EC4AE25" w14:textId="77777777" w:rsidR="00A845B0" w:rsidRPr="00FB5EDA" w:rsidRDefault="00A845B0" w:rsidP="00E000FF">
      <w:pPr>
        <w:bidi/>
        <w:spacing w:after="0" w:line="360" w:lineRule="auto"/>
        <w:jc w:val="both"/>
        <w:rPr>
          <w:rFonts w:ascii="Simplified Arabic" w:eastAsia="Aptos" w:hAnsi="Simplified Arabic" w:cs="Simplified Arabic"/>
          <w:b/>
          <w:bCs/>
          <w:sz w:val="28"/>
          <w:szCs w:val="28"/>
        </w:rPr>
      </w:pPr>
      <w:r>
        <w:rPr>
          <w:rFonts w:ascii="Traditional Arabic" w:eastAsia="Aptos" w:hAnsi="Traditional Arabic" w:cs="Traditional Arabic"/>
          <w:b/>
          <w:bCs/>
          <w:sz w:val="28"/>
          <w:szCs w:val="28"/>
          <w:rtl/>
        </w:rPr>
        <w:t>(أ) التقارير المهنية والمؤسسية:</w:t>
      </w:r>
    </w:p>
    <w:p w14:paraId="1A59A985"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ENISA. (2024). ENISA </w:t>
      </w:r>
      <w:proofErr w:type="spellStart"/>
      <w:r>
        <w:rPr>
          <w:rFonts w:ascii="Traditional Arabic" w:hAnsi="Traditional Arabic" w:cstheme="minorHAnsi"/>
          <w:sz w:val="24"/>
          <w:szCs w:val="24"/>
          <w:rtl/>
        </w:rPr>
        <w:t>Threat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Landscape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Finance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Sector</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January</w:t>
      </w:r>
      <w:proofErr w:type="spellEnd"/>
      <w:r>
        <w:rPr>
          <w:rFonts w:ascii="Traditional Arabic" w:hAnsi="Traditional Arabic" w:cstheme="minorHAnsi"/>
          <w:sz w:val="24"/>
          <w:szCs w:val="24"/>
          <w:rtl/>
        </w:rPr>
        <w:t xml:space="preserve"> 2023 </w:t>
      </w:r>
      <w:proofErr w:type="spellStart"/>
      <w:r>
        <w:rPr>
          <w:rFonts w:ascii="Traditional Arabic" w:hAnsi="Traditional Arabic" w:cstheme="minorHAnsi"/>
          <w:sz w:val="24"/>
          <w:szCs w:val="24"/>
          <w:rtl/>
        </w:rPr>
        <w:t>to</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June</w:t>
      </w:r>
      <w:proofErr w:type="spellEnd"/>
      <w:r>
        <w:rPr>
          <w:rFonts w:ascii="Traditional Arabic" w:hAnsi="Traditional Arabic" w:cstheme="minorHAnsi"/>
          <w:sz w:val="24"/>
          <w:szCs w:val="24"/>
          <w:rtl/>
        </w:rPr>
        <w:t xml:space="preserve"> 2024. </w:t>
      </w:r>
      <w:proofErr w:type="spellStart"/>
      <w:r>
        <w:rPr>
          <w:rFonts w:ascii="Traditional Arabic" w:hAnsi="Traditional Arabic" w:cstheme="minorHAnsi"/>
          <w:sz w:val="24"/>
          <w:szCs w:val="24"/>
          <w:rtl/>
        </w:rPr>
        <w:t>European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Union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Agency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for</w:t>
      </w:r>
      <w:proofErr w:type="spellEnd"/>
      <w:r>
        <w:rPr>
          <w:rFonts w:ascii="Traditional Arabic" w:hAnsi="Traditional Arabic" w:cstheme="minorHAnsi"/>
          <w:sz w:val="24"/>
          <w:szCs w:val="24"/>
          <w:rtl/>
        </w:rPr>
        <w:t xml:space="preserve"> Cybersecurity.</w:t>
      </w:r>
    </w:p>
    <w:p w14:paraId="7CC91241" w14:textId="77777777" w:rsidR="00A845B0" w:rsidRPr="00FB5EDA"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Financial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Stability</w:t>
      </w:r>
      <w:proofErr w:type="spellEnd"/>
      <w:r>
        <w:rPr>
          <w:rFonts w:ascii="Traditional Arabic" w:hAnsi="Traditional Arabic" w:cstheme="minorHAnsi"/>
          <w:sz w:val="24"/>
          <w:szCs w:val="24"/>
          <w:rtl/>
        </w:rPr>
        <w:t xml:space="preserve"> Board. (2024).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financial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stability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implications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tokenisation</w:t>
      </w:r>
      <w:proofErr w:type="spellEnd"/>
      <w:r>
        <w:rPr>
          <w:rFonts w:ascii="Traditional Arabic" w:hAnsi="Traditional Arabic" w:cstheme="minorHAnsi"/>
          <w:sz w:val="24"/>
          <w:szCs w:val="24"/>
          <w:rtl/>
        </w:rPr>
        <w:t>. FSB.</w:t>
      </w:r>
    </w:p>
    <w:p w14:paraId="48CE37A2"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IBM </w:t>
      </w:r>
      <w:proofErr w:type="spellStart"/>
      <w:r>
        <w:rPr>
          <w:rFonts w:ascii="Traditional Arabic" w:hAnsi="Traditional Arabic" w:cstheme="minorHAnsi"/>
          <w:sz w:val="24"/>
          <w:szCs w:val="24"/>
          <w:rtl/>
        </w:rPr>
        <w:t>Security</w:t>
      </w:r>
      <w:proofErr w:type="spellEnd"/>
      <w:r>
        <w:rPr>
          <w:rFonts w:ascii="Traditional Arabic" w:hAnsi="Traditional Arabic" w:cstheme="minorHAnsi"/>
          <w:sz w:val="24"/>
          <w:szCs w:val="24"/>
          <w:rtl/>
        </w:rPr>
        <w:t xml:space="preserve">. (2024). </w:t>
      </w:r>
      <w:proofErr w:type="spellStart"/>
      <w:r>
        <w:rPr>
          <w:rFonts w:ascii="Traditional Arabic" w:hAnsi="Traditional Arabic" w:cstheme="minorHAnsi"/>
          <w:sz w:val="24"/>
          <w:szCs w:val="24"/>
          <w:rtl/>
        </w:rPr>
        <w:t>Cost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a </w:t>
      </w:r>
      <w:proofErr w:type="spellStart"/>
      <w:r>
        <w:rPr>
          <w:rFonts w:ascii="Traditional Arabic" w:hAnsi="Traditional Arabic" w:cstheme="minorHAnsi"/>
          <w:sz w:val="24"/>
          <w:szCs w:val="24"/>
          <w:rtl/>
        </w:rPr>
        <w:t>Data</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Breach</w:t>
      </w:r>
      <w:proofErr w:type="spellEnd"/>
      <w:r>
        <w:rPr>
          <w:rFonts w:ascii="Traditional Arabic" w:hAnsi="Traditional Arabic" w:cstheme="minorHAnsi"/>
          <w:sz w:val="24"/>
          <w:szCs w:val="24"/>
          <w:rtl/>
        </w:rPr>
        <w:t xml:space="preserve"> 2024: </w:t>
      </w:r>
      <w:proofErr w:type="spellStart"/>
      <w:r>
        <w:rPr>
          <w:rFonts w:ascii="Traditional Arabic" w:hAnsi="Traditional Arabic" w:cstheme="minorHAnsi"/>
          <w:sz w:val="24"/>
          <w:szCs w:val="24"/>
          <w:rtl/>
        </w:rPr>
        <w:t>Financial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Industry</w:t>
      </w:r>
      <w:proofErr w:type="spellEnd"/>
      <w:r>
        <w:rPr>
          <w:rFonts w:ascii="Traditional Arabic" w:hAnsi="Traditional Arabic" w:cstheme="minorHAnsi"/>
          <w:sz w:val="24"/>
          <w:szCs w:val="24"/>
          <w:rtl/>
        </w:rPr>
        <w:t xml:space="preserve">. IBM </w:t>
      </w:r>
      <w:proofErr w:type="spellStart"/>
      <w:r>
        <w:rPr>
          <w:rFonts w:ascii="Traditional Arabic" w:hAnsi="Traditional Arabic" w:cstheme="minorHAnsi"/>
          <w:sz w:val="24"/>
          <w:szCs w:val="24"/>
          <w:rtl/>
        </w:rPr>
        <w:t>Corporation</w:t>
      </w:r>
      <w:proofErr w:type="spellEnd"/>
      <w:r>
        <w:rPr>
          <w:rFonts w:ascii="Traditional Arabic" w:hAnsi="Traditional Arabic" w:cstheme="minorHAnsi"/>
          <w:sz w:val="24"/>
          <w:szCs w:val="24"/>
          <w:rtl/>
        </w:rPr>
        <w:t>.</w:t>
      </w:r>
    </w:p>
    <w:p w14:paraId="2A390A9C" w14:textId="77777777" w:rsidR="00A845B0" w:rsidRPr="00FB5EDA"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International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Monetary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Fund</w:t>
      </w:r>
      <w:proofErr w:type="spellEnd"/>
      <w:r>
        <w:rPr>
          <w:rFonts w:ascii="Traditional Arabic" w:hAnsi="Traditional Arabic" w:cstheme="minorHAnsi"/>
          <w:sz w:val="24"/>
          <w:szCs w:val="24"/>
          <w:rtl/>
        </w:rPr>
        <w:t xml:space="preserve">. (2024). </w:t>
      </w:r>
      <w:proofErr w:type="spellStart"/>
      <w:r>
        <w:rPr>
          <w:rFonts w:ascii="Traditional Arabic" w:hAnsi="Traditional Arabic" w:cstheme="minorHAnsi"/>
          <w:sz w:val="24"/>
          <w:szCs w:val="24"/>
          <w:rtl/>
        </w:rPr>
        <w:t>Financial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Sector</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Assessment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Program</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Saudi</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Arabia</w:t>
      </w:r>
      <w:proofErr w:type="spellEnd"/>
      <w:r>
        <w:rPr>
          <w:rFonts w:ascii="Traditional Arabic" w:hAnsi="Traditional Arabic" w:cstheme="minorHAnsi"/>
          <w:sz w:val="24"/>
          <w:szCs w:val="24"/>
          <w:rtl/>
        </w:rPr>
        <w:t>. IMF.</w:t>
      </w:r>
    </w:p>
    <w:p w14:paraId="6958C475" w14:textId="77777777" w:rsidR="00A845B0" w:rsidRPr="00FB5EDA"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McKinsey</w:t>
      </w:r>
      <w:proofErr w:type="spellEnd"/>
      <w:r>
        <w:rPr>
          <w:rFonts w:ascii="Traditional Arabic" w:hAnsi="Traditional Arabic" w:cstheme="minorHAnsi"/>
          <w:sz w:val="24"/>
          <w:szCs w:val="24"/>
          <w:rtl/>
        </w:rPr>
        <w:t xml:space="preserve"> &amp; </w:t>
      </w:r>
      <w:proofErr w:type="spellStart"/>
      <w:r>
        <w:rPr>
          <w:rFonts w:ascii="Traditional Arabic" w:hAnsi="Traditional Arabic" w:cstheme="minorHAnsi"/>
          <w:sz w:val="24"/>
          <w:szCs w:val="24"/>
          <w:rtl/>
        </w:rPr>
        <w:t>Company</w:t>
      </w:r>
      <w:proofErr w:type="spellEnd"/>
      <w:r>
        <w:rPr>
          <w:rFonts w:ascii="Traditional Arabic" w:hAnsi="Traditional Arabic" w:cstheme="minorHAnsi"/>
          <w:sz w:val="24"/>
          <w:szCs w:val="24"/>
          <w:rtl/>
        </w:rPr>
        <w:t xml:space="preserve">. (2024). </w:t>
      </w:r>
      <w:proofErr w:type="spellStart"/>
      <w:r>
        <w:rPr>
          <w:rFonts w:ascii="Traditional Arabic" w:hAnsi="Traditional Arabic" w:cstheme="minorHAnsi"/>
          <w:sz w:val="24"/>
          <w:szCs w:val="24"/>
          <w:rtl/>
        </w:rPr>
        <w:t>From</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ripples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to</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waves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transformational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power</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tokenizing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assets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McKinsey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Global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Institute</w:t>
      </w:r>
      <w:proofErr w:type="spellEnd"/>
      <w:r>
        <w:rPr>
          <w:rFonts w:ascii="Traditional Arabic" w:hAnsi="Traditional Arabic" w:cstheme="minorHAnsi"/>
          <w:sz w:val="24"/>
          <w:szCs w:val="24"/>
          <w:rtl/>
        </w:rPr>
        <w:t>.</w:t>
      </w:r>
    </w:p>
    <w:p w14:paraId="0D75A8C7" w14:textId="77777777" w:rsidR="00A845B0" w:rsidRPr="00FB5EDA"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PCI </w:t>
      </w:r>
      <w:proofErr w:type="spellStart"/>
      <w:r>
        <w:rPr>
          <w:rFonts w:ascii="Traditional Arabic" w:hAnsi="Traditional Arabic" w:cstheme="minorHAnsi"/>
          <w:sz w:val="24"/>
          <w:szCs w:val="24"/>
          <w:rtl/>
        </w:rPr>
        <w:t>Security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Standards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Council</w:t>
      </w:r>
      <w:proofErr w:type="spellEnd"/>
      <w:r>
        <w:rPr>
          <w:rFonts w:ascii="Traditional Arabic" w:hAnsi="Traditional Arabic" w:cstheme="minorHAnsi"/>
          <w:sz w:val="24"/>
          <w:szCs w:val="24"/>
          <w:rtl/>
        </w:rPr>
        <w:t xml:space="preserve">. (2024). PCI DSS v4.0 and </w:t>
      </w:r>
      <w:proofErr w:type="spellStart"/>
      <w:r>
        <w:rPr>
          <w:rFonts w:ascii="Traditional Arabic" w:hAnsi="Traditional Arabic" w:cstheme="minorHAnsi"/>
          <w:sz w:val="24"/>
          <w:szCs w:val="24"/>
          <w:rtl/>
        </w:rPr>
        <w:t>tokenization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guidelines</w:t>
      </w:r>
      <w:proofErr w:type="spellEnd"/>
      <w:r>
        <w:rPr>
          <w:rFonts w:ascii="Traditional Arabic" w:hAnsi="Traditional Arabic" w:cstheme="minorHAnsi"/>
          <w:sz w:val="24"/>
          <w:szCs w:val="24"/>
          <w:rtl/>
        </w:rPr>
        <w:t>. PCI SSC.</w:t>
      </w:r>
    </w:p>
    <w:p w14:paraId="75D89FD3" w14:textId="77777777" w:rsidR="00A845B0" w:rsidRPr="00FB5EDA"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Saudi</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Central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Bank</w:t>
      </w:r>
      <w:proofErr w:type="spellEnd"/>
      <w:r>
        <w:rPr>
          <w:rFonts w:ascii="Traditional Arabic" w:hAnsi="Traditional Arabic" w:cstheme="minorHAnsi"/>
          <w:sz w:val="24"/>
          <w:szCs w:val="24"/>
          <w:rtl/>
        </w:rPr>
        <w:t xml:space="preserve"> (SAMA). (2024). </w:t>
      </w:r>
      <w:proofErr w:type="spellStart"/>
      <w:r>
        <w:rPr>
          <w:rFonts w:ascii="Traditional Arabic" w:hAnsi="Traditional Arabic" w:cstheme="minorHAnsi"/>
          <w:sz w:val="24"/>
          <w:szCs w:val="24"/>
          <w:rtl/>
        </w:rPr>
        <w:t>National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Payments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Strategy</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Digital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Transformation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Report</w:t>
      </w:r>
      <w:proofErr w:type="spellEnd"/>
      <w:r>
        <w:rPr>
          <w:rFonts w:ascii="Traditional Arabic" w:hAnsi="Traditional Arabic" w:cstheme="minorHAnsi"/>
          <w:sz w:val="24"/>
          <w:szCs w:val="24"/>
          <w:rtl/>
        </w:rPr>
        <w:t>. SAMA.</w:t>
      </w:r>
    </w:p>
    <w:p w14:paraId="12785113" w14:textId="77777777" w:rsidR="00A845B0" w:rsidRPr="00FB5EDA"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Thunes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Research</w:t>
      </w:r>
      <w:proofErr w:type="spellEnd"/>
      <w:r>
        <w:rPr>
          <w:rFonts w:ascii="Traditional Arabic" w:hAnsi="Traditional Arabic" w:cstheme="minorHAnsi"/>
          <w:sz w:val="24"/>
          <w:szCs w:val="24"/>
          <w:rtl/>
        </w:rPr>
        <w:t xml:space="preserve">. (2025). </w:t>
      </w:r>
      <w:proofErr w:type="spellStart"/>
      <w:r>
        <w:rPr>
          <w:rFonts w:ascii="Traditional Arabic" w:hAnsi="Traditional Arabic" w:cstheme="minorHAnsi"/>
          <w:sz w:val="24"/>
          <w:szCs w:val="24"/>
          <w:rtl/>
        </w:rPr>
        <w:t>Saudi</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Arabia</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Unlocking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fintech</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potential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across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Middle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East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Thunes</w:t>
      </w:r>
      <w:proofErr w:type="spellEnd"/>
      <w:r>
        <w:rPr>
          <w:rFonts w:ascii="Traditional Arabic" w:hAnsi="Traditional Arabic" w:cstheme="minorHAnsi"/>
          <w:sz w:val="24"/>
          <w:szCs w:val="24"/>
          <w:rtl/>
        </w:rPr>
        <w:t>.</w:t>
      </w:r>
    </w:p>
    <w:p w14:paraId="2CCAFD47" w14:textId="77777777" w:rsidR="00A845B0" w:rsidRPr="00FB5EDA"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World</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Economic</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Forum</w:t>
      </w:r>
      <w:proofErr w:type="spellEnd"/>
      <w:r>
        <w:rPr>
          <w:rFonts w:ascii="Traditional Arabic" w:hAnsi="Traditional Arabic" w:cstheme="minorHAnsi"/>
          <w:sz w:val="24"/>
          <w:szCs w:val="24"/>
          <w:rtl/>
        </w:rPr>
        <w:t xml:space="preserve">. (2024). </w:t>
      </w:r>
      <w:proofErr w:type="spellStart"/>
      <w:r>
        <w:rPr>
          <w:rFonts w:ascii="Traditional Arabic" w:hAnsi="Traditional Arabic" w:cstheme="minorHAnsi"/>
          <w:sz w:val="24"/>
          <w:szCs w:val="24"/>
          <w:rtl/>
        </w:rPr>
        <w:t>How</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tokenization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transforming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finance</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investment</w:t>
      </w:r>
      <w:proofErr w:type="spellEnd"/>
      <w:r>
        <w:rPr>
          <w:rFonts w:ascii="Traditional Arabic" w:hAnsi="Traditional Arabic" w:cstheme="minorHAnsi"/>
          <w:sz w:val="24"/>
          <w:szCs w:val="24"/>
          <w:rtl/>
        </w:rPr>
        <w:t>. WEF.</w:t>
      </w:r>
    </w:p>
    <w:p w14:paraId="02634930" w14:textId="77777777" w:rsidR="00A845B0" w:rsidRPr="00FB5EDA" w:rsidRDefault="00A845B0" w:rsidP="00E000FF">
      <w:pPr>
        <w:bidi/>
        <w:spacing w:after="0" w:line="360" w:lineRule="auto"/>
        <w:jc w:val="both"/>
        <w:rPr>
          <w:rFonts w:ascii="Simplified Arabic" w:eastAsia="Aptos" w:hAnsi="Simplified Arabic" w:cs="Simplified Arabic"/>
          <w:b/>
          <w:bCs/>
          <w:sz w:val="28"/>
          <w:szCs w:val="28"/>
        </w:rPr>
      </w:pPr>
      <w:r>
        <w:rPr>
          <w:rFonts w:ascii="Traditional Arabic" w:eastAsia="Aptos" w:hAnsi="Traditional Arabic" w:cs="Traditional Arabic"/>
          <w:b/>
          <w:bCs/>
          <w:sz w:val="28"/>
          <w:szCs w:val="28"/>
          <w:rtl/>
        </w:rPr>
        <w:t>(ب) الدراسات الأكاديمية المحكمة:</w:t>
      </w:r>
    </w:p>
    <w:p w14:paraId="35FB7959" w14:textId="77777777" w:rsidR="00A845B0" w:rsidRPr="00DB22E0"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Adigwe</w:t>
      </w:r>
      <w:proofErr w:type="spellEnd"/>
      <w:r>
        <w:rPr>
          <w:rFonts w:ascii="Traditional Arabic" w:hAnsi="Traditional Arabic" w:cstheme="minorHAnsi"/>
          <w:sz w:val="24"/>
          <w:szCs w:val="24"/>
          <w:rtl/>
        </w:rPr>
        <w:t xml:space="preserve">, C., </w:t>
      </w:r>
      <w:proofErr w:type="spellStart"/>
      <w:r>
        <w:rPr>
          <w:rFonts w:ascii="Traditional Arabic" w:hAnsi="Traditional Arabic" w:cstheme="minorHAnsi"/>
          <w:sz w:val="24"/>
          <w:szCs w:val="24"/>
          <w:rtl/>
        </w:rPr>
        <w:t>et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al</w:t>
      </w:r>
      <w:proofErr w:type="spellEnd"/>
      <w:r>
        <w:rPr>
          <w:rFonts w:ascii="Traditional Arabic" w:hAnsi="Traditional Arabic" w:cstheme="minorHAnsi"/>
          <w:sz w:val="24"/>
          <w:szCs w:val="24"/>
          <w:rtl/>
        </w:rPr>
        <w:t xml:space="preserve">. (2024). </w:t>
      </w:r>
      <w:proofErr w:type="spellStart"/>
      <w:r>
        <w:rPr>
          <w:rFonts w:ascii="Traditional Arabic" w:hAnsi="Traditional Arabic" w:cstheme="minorHAnsi"/>
          <w:sz w:val="24"/>
          <w:szCs w:val="24"/>
          <w:rtl/>
        </w:rPr>
        <w:t>Tokenization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agricultural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assets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Strengthening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security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agri-finance</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investment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models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against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fraud</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cyber</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risks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Agricultural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Finance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Review</w:t>
      </w:r>
      <w:proofErr w:type="spellEnd"/>
      <w:r>
        <w:rPr>
          <w:rFonts w:ascii="Traditional Arabic" w:hAnsi="Traditional Arabic" w:cstheme="minorHAnsi"/>
          <w:sz w:val="24"/>
          <w:szCs w:val="24"/>
          <w:rtl/>
        </w:rPr>
        <w:t xml:space="preserve">. </w:t>
      </w:r>
    </w:p>
    <w:p w14:paraId="0B6B2D0B" w14:textId="1012FC14" w:rsidR="00A845B0" w:rsidRPr="00DB22E0"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Ahammad</w:t>
      </w:r>
      <w:proofErr w:type="spellEnd"/>
      <w:r>
        <w:rPr>
          <w:rFonts w:ascii="Traditional Arabic" w:hAnsi="Traditional Arabic" w:cstheme="minorHAnsi"/>
          <w:sz w:val="24"/>
          <w:szCs w:val="24"/>
          <w:rtl/>
        </w:rPr>
        <w:t xml:space="preserve">, M. S., </w:t>
      </w:r>
      <w:proofErr w:type="spellStart"/>
      <w:r>
        <w:rPr>
          <w:rFonts w:ascii="Traditional Arabic" w:hAnsi="Traditional Arabic" w:cstheme="minorHAnsi"/>
          <w:sz w:val="24"/>
          <w:szCs w:val="24"/>
          <w:rtl/>
        </w:rPr>
        <w:t>Maliha</w:t>
      </w:r>
      <w:proofErr w:type="spellEnd"/>
      <w:r>
        <w:rPr>
          <w:rFonts w:ascii="Traditional Arabic" w:hAnsi="Traditional Arabic" w:cstheme="minorHAnsi"/>
          <w:sz w:val="24"/>
          <w:szCs w:val="24"/>
          <w:rtl/>
        </w:rPr>
        <w:t xml:space="preserve">, M., &amp; </w:t>
      </w:r>
      <w:proofErr w:type="spellStart"/>
      <w:r>
        <w:rPr>
          <w:rFonts w:ascii="Traditional Arabic" w:hAnsi="Traditional Arabic" w:cstheme="minorHAnsi"/>
          <w:sz w:val="24"/>
          <w:szCs w:val="24"/>
          <w:rtl/>
        </w:rPr>
        <w:t>Nila</w:t>
      </w:r>
      <w:proofErr w:type="spellEnd"/>
      <w:r>
        <w:rPr>
          <w:rFonts w:ascii="Traditional Arabic" w:hAnsi="Traditional Arabic" w:cstheme="minorHAnsi"/>
          <w:sz w:val="24"/>
          <w:szCs w:val="24"/>
          <w:rtl/>
        </w:rPr>
        <w:t xml:space="preserve">, N. E. (2025). </w:t>
      </w:r>
      <w:proofErr w:type="spellStart"/>
      <w:r>
        <w:rPr>
          <w:rFonts w:ascii="Traditional Arabic" w:hAnsi="Traditional Arabic" w:cstheme="minorHAnsi"/>
          <w:sz w:val="24"/>
          <w:szCs w:val="24"/>
          <w:rtl/>
        </w:rPr>
        <w:t>An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innovative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framework</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for</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strengthening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security</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efficiency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banking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Scientific</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Reports</w:t>
      </w:r>
      <w:proofErr w:type="spellEnd"/>
      <w:r>
        <w:rPr>
          <w:rFonts w:ascii="Traditional Arabic" w:hAnsi="Traditional Arabic" w:cstheme="minorHAnsi"/>
          <w:sz w:val="24"/>
          <w:szCs w:val="24"/>
          <w:rtl/>
        </w:rPr>
        <w:t xml:space="preserve">, 15, 39029. </w:t>
      </w:r>
      <w:hyperlink r:id="rId18" w:history="1">
        <w:r>
          <w:rPr>
            <w:rStyle w:val="Hyperlink"/>
            <w:rFonts w:cstheme="minorHAnsi"/>
          </w:rPr>
          <w:t>https://doi.org/10.1038/s41598-025-25457-8</w:t>
        </w:r>
      </w:hyperlink>
      <w:r>
        <w:rPr>
          <w:rFonts w:ascii="Traditional Arabic" w:hAnsi="Traditional Arabic" w:cstheme="minorHAnsi"/>
          <w:sz w:val="24"/>
          <w:szCs w:val="24"/>
          <w:rtl/>
        </w:rPr>
        <w:t xml:space="preserve"> </w:t>
      </w:r>
    </w:p>
    <w:p w14:paraId="29ABC415" w14:textId="6ACF959B" w:rsidR="00A845B0" w:rsidRPr="00DB22E0"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Almadadha</w:t>
      </w:r>
      <w:proofErr w:type="spellEnd"/>
      <w:r>
        <w:rPr>
          <w:rFonts w:ascii="Traditional Arabic" w:hAnsi="Traditional Arabic" w:cstheme="minorHAnsi"/>
          <w:sz w:val="24"/>
          <w:szCs w:val="24"/>
          <w:rtl/>
        </w:rPr>
        <w:t xml:space="preserve">, R. (2025).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financial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performance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Empirical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evidence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from</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major</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Australian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banks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Frontiers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8, 1463633. </w:t>
      </w:r>
      <w:hyperlink r:id="rId19" w:history="1">
        <w:r>
          <w:rPr>
            <w:rStyle w:val="Hyperlink"/>
            <w:rFonts w:cstheme="minorHAnsi"/>
          </w:rPr>
          <w:t>https://doi.org/10.3389/fbloc.2025.1463633</w:t>
        </w:r>
      </w:hyperlink>
      <w:r>
        <w:rPr>
          <w:rFonts w:ascii="Traditional Arabic" w:hAnsi="Traditional Arabic" w:cstheme="minorHAnsi"/>
          <w:sz w:val="24"/>
          <w:szCs w:val="24"/>
          <w:rtl/>
        </w:rPr>
        <w:t xml:space="preserve"> </w:t>
      </w:r>
    </w:p>
    <w:p w14:paraId="3D8E1F3D" w14:textId="2149FDAF"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lastRenderedPageBreak/>
        <w:t>Al-</w:t>
      </w:r>
      <w:proofErr w:type="spellStart"/>
      <w:r>
        <w:rPr>
          <w:rFonts w:ascii="Traditional Arabic" w:hAnsi="Traditional Arabic" w:cstheme="minorHAnsi"/>
          <w:sz w:val="24"/>
          <w:szCs w:val="24"/>
          <w:rtl/>
        </w:rPr>
        <w:t>Qudah</w:t>
      </w:r>
      <w:proofErr w:type="spellEnd"/>
      <w:r>
        <w:rPr>
          <w:rFonts w:ascii="Traditional Arabic" w:hAnsi="Traditional Arabic" w:cstheme="minorHAnsi"/>
          <w:sz w:val="24"/>
          <w:szCs w:val="24"/>
          <w:rtl/>
        </w:rPr>
        <w:t>, A. A., Al-</w:t>
      </w:r>
      <w:proofErr w:type="spellStart"/>
      <w:r>
        <w:rPr>
          <w:rFonts w:ascii="Traditional Arabic" w:hAnsi="Traditional Arabic" w:cstheme="minorHAnsi"/>
          <w:sz w:val="24"/>
          <w:szCs w:val="24"/>
          <w:rtl/>
        </w:rPr>
        <w:t>Okaily</w:t>
      </w:r>
      <w:proofErr w:type="spellEnd"/>
      <w:r>
        <w:rPr>
          <w:rFonts w:ascii="Traditional Arabic" w:hAnsi="Traditional Arabic" w:cstheme="minorHAnsi"/>
          <w:sz w:val="24"/>
          <w:szCs w:val="24"/>
          <w:rtl/>
        </w:rPr>
        <w:t xml:space="preserve">, M., &amp; </w:t>
      </w:r>
      <w:proofErr w:type="spellStart"/>
      <w:r>
        <w:rPr>
          <w:rFonts w:ascii="Traditional Arabic" w:hAnsi="Traditional Arabic" w:cstheme="minorHAnsi"/>
          <w:sz w:val="24"/>
          <w:szCs w:val="24"/>
          <w:rtl/>
        </w:rPr>
        <w:t>Yadav</w:t>
      </w:r>
      <w:proofErr w:type="spellEnd"/>
      <w:r>
        <w:rPr>
          <w:rFonts w:ascii="Traditional Arabic" w:hAnsi="Traditional Arabic" w:cstheme="minorHAnsi"/>
          <w:sz w:val="24"/>
          <w:szCs w:val="24"/>
          <w:rtl/>
        </w:rPr>
        <w:t xml:space="preserve">, M. P. P. (2025). </w:t>
      </w:r>
      <w:proofErr w:type="spellStart"/>
      <w:r>
        <w:rPr>
          <w:rFonts w:ascii="Traditional Arabic" w:hAnsi="Traditional Arabic" w:cstheme="minorHAnsi"/>
          <w:sz w:val="24"/>
          <w:szCs w:val="24"/>
          <w:rtl/>
        </w:rPr>
        <w:t>Analyzing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impact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technology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banking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transaction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costs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using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random</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forest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method</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Frontiers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8, 1551970. </w:t>
      </w:r>
      <w:hyperlink r:id="rId20" w:history="1">
        <w:r>
          <w:rPr>
            <w:rStyle w:val="Hyperlink"/>
            <w:rFonts w:cstheme="minorHAnsi"/>
          </w:rPr>
          <w:t>https://doi.org/10.3389/fbloc.2025.1551970</w:t>
        </w:r>
      </w:hyperlink>
      <w:r>
        <w:rPr>
          <w:rFonts w:ascii="Traditional Arabic" w:hAnsi="Traditional Arabic" w:cstheme="minorHAnsi"/>
          <w:sz w:val="24"/>
          <w:szCs w:val="24"/>
          <w:rtl/>
        </w:rPr>
        <w:t xml:space="preserve"> </w:t>
      </w:r>
    </w:p>
    <w:p w14:paraId="10513730" w14:textId="77777777" w:rsidR="00A845B0" w:rsidRPr="00DB22E0"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Carapella</w:t>
      </w:r>
      <w:proofErr w:type="spellEnd"/>
      <w:r>
        <w:rPr>
          <w:rFonts w:ascii="Traditional Arabic" w:hAnsi="Traditional Arabic" w:cstheme="minorHAnsi"/>
          <w:sz w:val="24"/>
          <w:szCs w:val="24"/>
          <w:rtl/>
        </w:rPr>
        <w:t xml:space="preserve">, F., </w:t>
      </w:r>
      <w:proofErr w:type="spellStart"/>
      <w:r>
        <w:rPr>
          <w:rFonts w:ascii="Traditional Arabic" w:hAnsi="Traditional Arabic" w:cstheme="minorHAnsi"/>
          <w:sz w:val="24"/>
          <w:szCs w:val="24"/>
          <w:rtl/>
        </w:rPr>
        <w:t>et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al</w:t>
      </w:r>
      <w:proofErr w:type="spellEnd"/>
      <w:r>
        <w:rPr>
          <w:rFonts w:ascii="Traditional Arabic" w:hAnsi="Traditional Arabic" w:cstheme="minorHAnsi"/>
          <w:sz w:val="24"/>
          <w:szCs w:val="24"/>
          <w:rtl/>
        </w:rPr>
        <w:t xml:space="preserve">. (2023). </w:t>
      </w:r>
      <w:proofErr w:type="spellStart"/>
      <w:r>
        <w:rPr>
          <w:rFonts w:ascii="Traditional Arabic" w:hAnsi="Traditional Arabic" w:cstheme="minorHAnsi"/>
          <w:sz w:val="24"/>
          <w:szCs w:val="24"/>
          <w:rtl/>
        </w:rPr>
        <w:t>Tokenization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Overview</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financial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stability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implications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Finance</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Economics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Discussion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Series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Federal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Reserve</w:t>
      </w:r>
      <w:proofErr w:type="spellEnd"/>
      <w:r>
        <w:rPr>
          <w:rFonts w:ascii="Traditional Arabic" w:hAnsi="Traditional Arabic" w:cstheme="minorHAnsi"/>
          <w:sz w:val="24"/>
          <w:szCs w:val="24"/>
          <w:rtl/>
        </w:rPr>
        <w:t xml:space="preserve"> Board. </w:t>
      </w:r>
    </w:p>
    <w:p w14:paraId="16BEDF9E" w14:textId="46FF0E59" w:rsidR="00A845B0" w:rsidRPr="00DB22E0"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Goghie</w:t>
      </w:r>
      <w:proofErr w:type="spellEnd"/>
      <w:r>
        <w:rPr>
          <w:rFonts w:ascii="Traditional Arabic" w:hAnsi="Traditional Arabic" w:cstheme="minorHAnsi"/>
          <w:sz w:val="24"/>
          <w:szCs w:val="24"/>
          <w:rtl/>
        </w:rPr>
        <w:t xml:space="preserve">, A. S. (2024). </w:t>
      </w:r>
      <w:proofErr w:type="spellStart"/>
      <w:r>
        <w:rPr>
          <w:rFonts w:ascii="Traditional Arabic" w:hAnsi="Traditional Arabic" w:cstheme="minorHAnsi"/>
          <w:sz w:val="24"/>
          <w:szCs w:val="24"/>
          <w:rtl/>
        </w:rPr>
        <w:t>Tokenization</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banking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system</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Redefining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authority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era</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Journal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Banking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Regulation</w:t>
      </w:r>
      <w:proofErr w:type="spellEnd"/>
      <w:r>
        <w:rPr>
          <w:rFonts w:ascii="Traditional Arabic" w:hAnsi="Traditional Arabic" w:cstheme="minorHAnsi"/>
          <w:sz w:val="24"/>
          <w:szCs w:val="24"/>
          <w:rtl/>
        </w:rPr>
        <w:t xml:space="preserve">. </w:t>
      </w:r>
      <w:hyperlink r:id="rId21" w:history="1">
        <w:r>
          <w:rPr>
            <w:rStyle w:val="Hyperlink"/>
            <w:rFonts w:cstheme="minorHAnsi"/>
          </w:rPr>
          <w:t>https://doi.org/10.1177/10245294241258255</w:t>
        </w:r>
      </w:hyperlink>
      <w:r>
        <w:rPr>
          <w:rFonts w:ascii="Traditional Arabic" w:hAnsi="Traditional Arabic" w:cstheme="minorHAnsi"/>
          <w:sz w:val="24"/>
          <w:szCs w:val="24"/>
          <w:rtl/>
        </w:rPr>
        <w:t xml:space="preserve"> </w:t>
      </w:r>
    </w:p>
    <w:p w14:paraId="33956633" w14:textId="77777777" w:rsidR="00A845B0" w:rsidRPr="00DB22E0"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Grossmann</w:t>
      </w:r>
      <w:proofErr w:type="spellEnd"/>
      <w:r>
        <w:rPr>
          <w:rFonts w:ascii="Traditional Arabic" w:hAnsi="Traditional Arabic" w:cstheme="minorHAnsi"/>
          <w:sz w:val="24"/>
          <w:szCs w:val="24"/>
          <w:rtl/>
        </w:rPr>
        <w:t xml:space="preserve">, A., </w:t>
      </w:r>
      <w:proofErr w:type="spellStart"/>
      <w:r>
        <w:rPr>
          <w:rFonts w:ascii="Traditional Arabic" w:hAnsi="Traditional Arabic" w:cstheme="minorHAnsi"/>
          <w:sz w:val="24"/>
          <w:szCs w:val="24"/>
          <w:rtl/>
        </w:rPr>
        <w:t>et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al</w:t>
      </w:r>
      <w:proofErr w:type="spellEnd"/>
      <w:r>
        <w:rPr>
          <w:rFonts w:ascii="Traditional Arabic" w:hAnsi="Traditional Arabic" w:cstheme="minorHAnsi"/>
          <w:sz w:val="24"/>
          <w:szCs w:val="24"/>
          <w:rtl/>
        </w:rPr>
        <w:t xml:space="preserve">. (2025). </w:t>
      </w:r>
      <w:proofErr w:type="spellStart"/>
      <w:r>
        <w:rPr>
          <w:rFonts w:ascii="Traditional Arabic" w:hAnsi="Traditional Arabic" w:cstheme="minorHAnsi"/>
          <w:sz w:val="24"/>
          <w:szCs w:val="24"/>
          <w:rtl/>
        </w:rPr>
        <w:t>Designing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future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bond</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markets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Reducing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transaction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costs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through</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tokenization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Journal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Financial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Markets</w:t>
      </w:r>
      <w:proofErr w:type="spellEnd"/>
      <w:r>
        <w:rPr>
          <w:rFonts w:ascii="Traditional Arabic" w:hAnsi="Traditional Arabic" w:cstheme="minorHAnsi"/>
          <w:sz w:val="24"/>
          <w:szCs w:val="24"/>
          <w:rtl/>
        </w:rPr>
        <w:t xml:space="preserve">. </w:t>
      </w:r>
    </w:p>
    <w:p w14:paraId="057E760B" w14:textId="56402148"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 xml:space="preserve">Islam, M. S., &amp;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H. P. (2024).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technology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banking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sector</w:t>
      </w:r>
      <w:proofErr w:type="spellEnd"/>
      <w:r>
        <w:rPr>
          <w:rFonts w:ascii="Traditional Arabic" w:hAnsi="Traditional Arabic" w:cstheme="minorHAnsi"/>
          <w:sz w:val="24"/>
          <w:szCs w:val="24"/>
          <w:rtl/>
        </w:rPr>
        <w:t xml:space="preserve">: A </w:t>
      </w:r>
      <w:proofErr w:type="spellStart"/>
      <w:r>
        <w:rPr>
          <w:rFonts w:ascii="Traditional Arabic" w:hAnsi="Traditional Arabic" w:cstheme="minorHAnsi"/>
          <w:sz w:val="24"/>
          <w:szCs w:val="24"/>
          <w:rtl/>
        </w:rPr>
        <w:t>content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analysis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Frontiers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8, 1667848. </w:t>
      </w:r>
      <w:hyperlink r:id="rId22" w:history="1">
        <w:r>
          <w:rPr>
            <w:rStyle w:val="Hyperlink"/>
            <w:rFonts w:cstheme="minorHAnsi"/>
          </w:rPr>
          <w:t>https://doi.org/10.3389/fbloc.2025.1667848</w:t>
        </w:r>
      </w:hyperlink>
      <w:r>
        <w:rPr>
          <w:rFonts w:ascii="Traditional Arabic" w:hAnsi="Traditional Arabic" w:cstheme="minorHAnsi"/>
          <w:sz w:val="24"/>
          <w:szCs w:val="24"/>
          <w:rtl/>
        </w:rPr>
        <w:t xml:space="preserve"> </w:t>
      </w:r>
    </w:p>
    <w:p w14:paraId="5F832A5C" w14:textId="27052D8A" w:rsidR="00A845B0" w:rsidRPr="00DB22E0"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Karanovic</w:t>
      </w:r>
      <w:proofErr w:type="spellEnd"/>
      <w:r>
        <w:rPr>
          <w:rFonts w:ascii="Traditional Arabic" w:hAnsi="Traditional Arabic" w:cstheme="minorHAnsi"/>
          <w:sz w:val="24"/>
          <w:szCs w:val="24"/>
          <w:rtl/>
        </w:rPr>
        <w:t xml:space="preserve">, V., </w:t>
      </w:r>
      <w:proofErr w:type="spellStart"/>
      <w:r>
        <w:rPr>
          <w:rFonts w:ascii="Traditional Arabic" w:hAnsi="Traditional Arabic" w:cstheme="minorHAnsi"/>
          <w:sz w:val="24"/>
          <w:szCs w:val="24"/>
          <w:rtl/>
        </w:rPr>
        <w:t>et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al</w:t>
      </w:r>
      <w:proofErr w:type="spellEnd"/>
      <w:r>
        <w:rPr>
          <w:rFonts w:ascii="Traditional Arabic" w:hAnsi="Traditional Arabic" w:cstheme="minorHAnsi"/>
          <w:sz w:val="24"/>
          <w:szCs w:val="24"/>
          <w:rtl/>
        </w:rPr>
        <w:t xml:space="preserve">. (2024).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impact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technology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financial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services</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digital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transactions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Proceedings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8th </w:t>
      </w:r>
      <w:proofErr w:type="spellStart"/>
      <w:r>
        <w:rPr>
          <w:rFonts w:ascii="Traditional Arabic" w:hAnsi="Traditional Arabic" w:cstheme="minorHAnsi"/>
          <w:sz w:val="24"/>
          <w:szCs w:val="24"/>
          <w:rtl/>
        </w:rPr>
        <w:t>International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Conference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Future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Networks</w:t>
      </w:r>
      <w:proofErr w:type="spellEnd"/>
      <w:r>
        <w:rPr>
          <w:rFonts w:ascii="Traditional Arabic" w:hAnsi="Traditional Arabic" w:cstheme="minorHAnsi"/>
          <w:sz w:val="24"/>
          <w:szCs w:val="24"/>
          <w:rtl/>
        </w:rPr>
        <w:t xml:space="preserve"> &amp; </w:t>
      </w:r>
      <w:proofErr w:type="spellStart"/>
      <w:r>
        <w:rPr>
          <w:rFonts w:ascii="Traditional Arabic" w:hAnsi="Traditional Arabic" w:cstheme="minorHAnsi"/>
          <w:sz w:val="24"/>
          <w:szCs w:val="24"/>
          <w:rtl/>
        </w:rPr>
        <w:t>Distributed</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Systems</w:t>
      </w:r>
      <w:proofErr w:type="spellEnd"/>
      <w:r>
        <w:rPr>
          <w:rFonts w:ascii="Traditional Arabic" w:hAnsi="Traditional Arabic" w:cstheme="minorHAnsi"/>
          <w:sz w:val="24"/>
          <w:szCs w:val="24"/>
          <w:rtl/>
        </w:rPr>
        <w:t xml:space="preserve">. ACM. </w:t>
      </w:r>
      <w:hyperlink r:id="rId23" w:history="1">
        <w:r>
          <w:rPr>
            <w:rStyle w:val="Hyperlink"/>
            <w:rFonts w:cstheme="minorHAnsi"/>
          </w:rPr>
          <w:t>https://doi.org/10.1145/3726122.3726195</w:t>
        </w:r>
      </w:hyperlink>
    </w:p>
    <w:p w14:paraId="45FCE543" w14:textId="77777777" w:rsidR="00A845B0" w:rsidRPr="00DB22E0"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Lavayssière</w:t>
      </w:r>
      <w:proofErr w:type="spellEnd"/>
      <w:r>
        <w:rPr>
          <w:rFonts w:ascii="Traditional Arabic" w:hAnsi="Traditional Arabic" w:cstheme="minorHAnsi"/>
          <w:sz w:val="24"/>
          <w:szCs w:val="24"/>
          <w:rtl/>
        </w:rPr>
        <w:t xml:space="preserve">, X., &amp; </w:t>
      </w:r>
      <w:proofErr w:type="spellStart"/>
      <w:r>
        <w:rPr>
          <w:rFonts w:ascii="Traditional Arabic" w:hAnsi="Traditional Arabic" w:cstheme="minorHAnsi"/>
          <w:sz w:val="24"/>
          <w:szCs w:val="24"/>
          <w:rtl/>
        </w:rPr>
        <w:t>Zhang</w:t>
      </w:r>
      <w:proofErr w:type="spellEnd"/>
      <w:r>
        <w:rPr>
          <w:rFonts w:ascii="Traditional Arabic" w:hAnsi="Traditional Arabic" w:cstheme="minorHAnsi"/>
          <w:sz w:val="24"/>
          <w:szCs w:val="24"/>
          <w:rtl/>
        </w:rPr>
        <w:t xml:space="preserve">, J. (2025). </w:t>
      </w:r>
      <w:proofErr w:type="spellStart"/>
      <w:r>
        <w:rPr>
          <w:rFonts w:ascii="Traditional Arabic" w:hAnsi="Traditional Arabic" w:cstheme="minorHAnsi"/>
          <w:sz w:val="24"/>
          <w:szCs w:val="24"/>
          <w:rtl/>
        </w:rPr>
        <w:t>Tokenization</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financial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market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inefficiencies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FinTech</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Notes</w:t>
      </w:r>
      <w:proofErr w:type="spellEnd"/>
      <w:r>
        <w:rPr>
          <w:rFonts w:ascii="Traditional Arabic" w:hAnsi="Traditional Arabic" w:cstheme="minorHAnsi"/>
          <w:sz w:val="24"/>
          <w:szCs w:val="24"/>
          <w:rtl/>
        </w:rPr>
        <w:t xml:space="preserve">, 2025(001). </w:t>
      </w:r>
    </w:p>
    <w:p w14:paraId="11F40D04" w14:textId="77777777" w:rsidR="00A845B0" w:rsidRPr="00DB22E0" w:rsidRDefault="00A845B0" w:rsidP="00E000FF">
      <w:pPr>
        <w:numPr>
          <w:ilvl w:val="0"/>
          <w:numId w:val="58"/>
        </w:numPr>
        <w:bidi/>
        <w:spacing w:after="0" w:line="360" w:lineRule="auto"/>
        <w:jc w:val="both"/>
        <w:rPr>
          <w:rFonts w:cstheme="minorHAnsi"/>
        </w:rPr>
      </w:pPr>
      <w:r>
        <w:rPr>
          <w:rFonts w:ascii="Traditional Arabic" w:hAnsi="Traditional Arabic" w:cstheme="minorHAnsi"/>
          <w:sz w:val="24"/>
          <w:szCs w:val="24"/>
          <w:rtl/>
        </w:rPr>
        <w:t>[</w:t>
      </w:r>
      <w:proofErr w:type="spellStart"/>
      <w:r>
        <w:rPr>
          <w:rFonts w:ascii="Traditional Arabic" w:hAnsi="Traditional Arabic" w:cstheme="minorHAnsi"/>
          <w:sz w:val="24"/>
          <w:szCs w:val="24"/>
          <w:rtl/>
        </w:rPr>
        <w:t>Multiple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Authors</w:t>
      </w:r>
      <w:proofErr w:type="spellEnd"/>
      <w:r>
        <w:rPr>
          <w:rFonts w:ascii="Traditional Arabic" w:hAnsi="Traditional Arabic" w:cstheme="minorHAnsi"/>
          <w:sz w:val="24"/>
          <w:szCs w:val="24"/>
          <w:rtl/>
        </w:rPr>
        <w:t xml:space="preserve">]. (2025). </w:t>
      </w:r>
      <w:proofErr w:type="spellStart"/>
      <w:r>
        <w:rPr>
          <w:rFonts w:ascii="Traditional Arabic" w:hAnsi="Traditional Arabic" w:cstheme="minorHAnsi"/>
          <w:sz w:val="24"/>
          <w:szCs w:val="24"/>
          <w:rtl/>
        </w:rPr>
        <w:t>Tokenization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real-world</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assets</w:t>
      </w:r>
      <w:proofErr w:type="spellEnd"/>
      <w:r>
        <w:rPr>
          <w:rFonts w:ascii="Traditional Arabic" w:hAnsi="Traditional Arabic" w:cstheme="minorHAnsi"/>
          <w:sz w:val="24"/>
          <w:szCs w:val="24"/>
          <w:rtl/>
        </w:rPr>
        <w:t xml:space="preserve">: Legal </w:t>
      </w:r>
      <w:proofErr w:type="spellStart"/>
      <w:r>
        <w:rPr>
          <w:rFonts w:ascii="Traditional Arabic" w:hAnsi="Traditional Arabic" w:cstheme="minorHAnsi"/>
          <w:sz w:val="24"/>
          <w:szCs w:val="24"/>
          <w:rtl/>
        </w:rPr>
        <w:t>frameworks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market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dynamics</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policy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pathways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for</w:t>
      </w:r>
      <w:proofErr w:type="spellEnd"/>
      <w:r>
        <w:rPr>
          <w:rFonts w:ascii="Traditional Arabic" w:hAnsi="Traditional Arabic" w:cstheme="minorHAnsi"/>
          <w:sz w:val="24"/>
          <w:szCs w:val="24"/>
          <w:rtl/>
        </w:rPr>
        <w:t xml:space="preserve"> a </w:t>
      </w:r>
      <w:proofErr w:type="spellStart"/>
      <w:r>
        <w:rPr>
          <w:rFonts w:ascii="Traditional Arabic" w:hAnsi="Traditional Arabic" w:cstheme="minorHAnsi"/>
          <w:sz w:val="24"/>
          <w:szCs w:val="24"/>
          <w:rtl/>
        </w:rPr>
        <w:t>decentralized</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financial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future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Research</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Publication</w:t>
      </w:r>
      <w:proofErr w:type="spellEnd"/>
      <w:r>
        <w:rPr>
          <w:rFonts w:ascii="Traditional Arabic" w:hAnsi="Traditional Arabic" w:cstheme="minorHAnsi"/>
          <w:sz w:val="24"/>
          <w:szCs w:val="24"/>
          <w:rtl/>
        </w:rPr>
        <w:t xml:space="preserve">. </w:t>
      </w:r>
    </w:p>
    <w:p w14:paraId="5AA4057A" w14:textId="7749526C" w:rsidR="00A845B0" w:rsidRPr="00DB22E0"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Sakarneh</w:t>
      </w:r>
      <w:proofErr w:type="spellEnd"/>
      <w:r>
        <w:rPr>
          <w:rFonts w:ascii="Traditional Arabic" w:hAnsi="Traditional Arabic" w:cstheme="minorHAnsi"/>
          <w:sz w:val="24"/>
          <w:szCs w:val="24"/>
          <w:rtl/>
        </w:rPr>
        <w:t xml:space="preserve">, B., &amp; </w:t>
      </w:r>
      <w:proofErr w:type="spellStart"/>
      <w:r>
        <w:rPr>
          <w:rFonts w:ascii="Traditional Arabic" w:hAnsi="Traditional Arabic" w:cstheme="minorHAnsi"/>
          <w:sz w:val="24"/>
          <w:szCs w:val="24"/>
          <w:rtl/>
        </w:rPr>
        <w:t>Kilani</w:t>
      </w:r>
      <w:proofErr w:type="spellEnd"/>
      <w:r>
        <w:rPr>
          <w:rFonts w:ascii="Traditional Arabic" w:hAnsi="Traditional Arabic" w:cstheme="minorHAnsi"/>
          <w:sz w:val="24"/>
          <w:szCs w:val="24"/>
          <w:rtl/>
        </w:rPr>
        <w:t xml:space="preserve">, Y. M. (2024).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role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technology</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managing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efficiency</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cost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reduction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banking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sector</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Jordan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Journal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Systems</w:t>
      </w:r>
      <w:proofErr w:type="spellEnd"/>
      <w:r>
        <w:rPr>
          <w:rFonts w:ascii="Traditional Arabic" w:hAnsi="Traditional Arabic" w:cstheme="minorHAnsi"/>
          <w:sz w:val="24"/>
          <w:szCs w:val="24"/>
          <w:rtl/>
        </w:rPr>
        <w:t xml:space="preserve"> Management </w:t>
      </w:r>
      <w:proofErr w:type="spellStart"/>
      <w:r>
        <w:rPr>
          <w:rFonts w:ascii="Traditional Arabic" w:hAnsi="Traditional Arabic" w:cstheme="minorHAnsi"/>
          <w:sz w:val="24"/>
          <w:szCs w:val="24"/>
          <w:rtl/>
        </w:rPr>
        <w:t>Sciences</w:t>
      </w:r>
      <w:proofErr w:type="spellEnd"/>
      <w:r>
        <w:rPr>
          <w:rFonts w:ascii="Traditional Arabic" w:hAnsi="Traditional Arabic" w:cstheme="minorHAnsi"/>
          <w:sz w:val="24"/>
          <w:szCs w:val="24"/>
          <w:rtl/>
        </w:rPr>
        <w:t xml:space="preserve">, 14(5), 251-267. </w:t>
      </w:r>
      <w:hyperlink r:id="rId24" w:history="1">
        <w:r>
          <w:rPr>
            <w:rStyle w:val="Hyperlink"/>
            <w:rFonts w:cstheme="minorHAnsi"/>
          </w:rPr>
          <w:t>https://doi.org/10.33168/JSMS.2024.0516</w:t>
        </w:r>
      </w:hyperlink>
      <w:r>
        <w:rPr>
          <w:rFonts w:ascii="Traditional Arabic" w:hAnsi="Traditional Arabic" w:cstheme="minorHAnsi"/>
          <w:sz w:val="24"/>
          <w:szCs w:val="24"/>
          <w:rtl/>
        </w:rPr>
        <w:t xml:space="preserve"> </w:t>
      </w:r>
    </w:p>
    <w:p w14:paraId="61730DE8" w14:textId="3F0FAEFD" w:rsidR="00A845B0" w:rsidRPr="00A845B0" w:rsidRDefault="00A845B0" w:rsidP="00E000FF">
      <w:pPr>
        <w:numPr>
          <w:ilvl w:val="0"/>
          <w:numId w:val="58"/>
        </w:numPr>
        <w:bidi/>
        <w:spacing w:after="0" w:line="360" w:lineRule="auto"/>
        <w:jc w:val="both"/>
        <w:rPr>
          <w:rFonts w:cstheme="minorHAnsi"/>
        </w:rPr>
      </w:pPr>
      <w:proofErr w:type="spellStart"/>
      <w:r>
        <w:rPr>
          <w:rFonts w:ascii="Traditional Arabic" w:hAnsi="Traditional Arabic" w:cstheme="minorHAnsi"/>
          <w:sz w:val="24"/>
          <w:szCs w:val="24"/>
          <w:rtl/>
        </w:rPr>
        <w:t>Udeh</w:t>
      </w:r>
      <w:proofErr w:type="spellEnd"/>
      <w:r>
        <w:rPr>
          <w:rFonts w:ascii="Traditional Arabic" w:hAnsi="Traditional Arabic" w:cstheme="minorHAnsi"/>
          <w:sz w:val="24"/>
          <w:szCs w:val="24"/>
          <w:rtl/>
        </w:rPr>
        <w:t xml:space="preserve">, C. A., </w:t>
      </w:r>
      <w:proofErr w:type="spellStart"/>
      <w:r>
        <w:rPr>
          <w:rFonts w:ascii="Traditional Arabic" w:hAnsi="Traditional Arabic" w:cstheme="minorHAnsi"/>
          <w:sz w:val="24"/>
          <w:szCs w:val="24"/>
          <w:rtl/>
        </w:rPr>
        <w:t>et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al</w:t>
      </w:r>
      <w:proofErr w:type="spellEnd"/>
      <w:r>
        <w:rPr>
          <w:rFonts w:ascii="Traditional Arabic" w:hAnsi="Traditional Arabic" w:cstheme="minorHAnsi"/>
          <w:sz w:val="24"/>
          <w:szCs w:val="24"/>
          <w:rtl/>
        </w:rPr>
        <w:t xml:space="preserve">. (2025). </w:t>
      </w:r>
      <w:proofErr w:type="spellStart"/>
      <w:r>
        <w:rPr>
          <w:rFonts w:ascii="Traditional Arabic" w:hAnsi="Traditional Arabic" w:cstheme="minorHAnsi"/>
          <w:sz w:val="24"/>
          <w:szCs w:val="24"/>
          <w:rtl/>
        </w:rPr>
        <w:t>Exploring</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trust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dynamics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finance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The</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impact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of</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blockchain</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technology</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smart</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contracts</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Humanities</w:t>
      </w:r>
      <w:proofErr w:type="spellEnd"/>
      <w:r>
        <w:rPr>
          <w:rFonts w:ascii="Traditional Arabic" w:hAnsi="Traditional Arabic" w:cstheme="minorHAnsi"/>
          <w:sz w:val="24"/>
          <w:szCs w:val="24"/>
          <w:rtl/>
        </w:rPr>
        <w:t xml:space="preserve"> and </w:t>
      </w:r>
      <w:proofErr w:type="spellStart"/>
      <w:r>
        <w:rPr>
          <w:rFonts w:ascii="Traditional Arabic" w:hAnsi="Traditional Arabic" w:cstheme="minorHAnsi"/>
          <w:sz w:val="24"/>
          <w:szCs w:val="24"/>
          <w:rtl/>
        </w:rPr>
        <w:t>Social</w:t>
      </w:r>
      <w:proofErr w:type="spellEnd"/>
      <w:r>
        <w:rPr>
          <w:rFonts w:ascii="Traditional Arabic" w:hAnsi="Traditional Arabic" w:cstheme="minorHAnsi"/>
          <w:sz w:val="24"/>
          <w:szCs w:val="24"/>
          <w:rtl/>
        </w:rPr>
        <w:t xml:space="preserve"> </w:t>
      </w:r>
      <w:proofErr w:type="spellStart"/>
      <w:r>
        <w:rPr>
          <w:rFonts w:ascii="Traditional Arabic" w:hAnsi="Traditional Arabic" w:cstheme="minorHAnsi"/>
          <w:sz w:val="24"/>
          <w:szCs w:val="24"/>
          <w:rtl/>
        </w:rPr>
        <w:t>Sciences</w:t>
      </w:r>
      <w:proofErr w:type="spellEnd"/>
      <w:r>
        <w:rPr>
          <w:rFonts w:ascii="Traditional Arabic" w:hAnsi="Traditional Arabic" w:cstheme="minorHAnsi"/>
          <w:sz w:val="24"/>
          <w:szCs w:val="24"/>
          <w:rtl/>
        </w:rPr>
        <w:t xml:space="preserve"> Communications, 12, 105473. </w:t>
      </w:r>
      <w:hyperlink r:id="rId25" w:history="1">
        <w:r>
          <w:rPr>
            <w:rStyle w:val="Hyperlink"/>
            <w:rFonts w:cstheme="minorHAnsi"/>
          </w:rPr>
          <w:t>https://doi.org/10.1038/s41599-025-05473-9</w:t>
        </w:r>
      </w:hyperlink>
    </w:p>
    <w:p w14:paraId="09758459" w14:textId="2115CF11" w:rsidR="00A96A8E" w:rsidRPr="00832328" w:rsidRDefault="00A96A8E" w:rsidP="00E000FF">
      <w:pPr>
        <w:bidi/>
        <w:spacing w:after="0" w:line="360" w:lineRule="auto"/>
        <w:rPr>
          <w:rtl/>
        </w:rPr>
      </w:pPr>
    </w:p>
    <w:sectPr w:rsidR="00A96A8E" w:rsidRPr="00832328" w:rsidSect="006E2853">
      <w:pgSz w:w="11906" w:h="16838"/>
      <w:pgMar w:top="1440" w:right="1800" w:bottom="1440" w:left="1800" w:header="708" w:footer="14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16657B" w14:textId="77777777" w:rsidR="00F4227D" w:rsidRDefault="00F4227D" w:rsidP="00F628F0">
      <w:pPr>
        <w:spacing w:after="0" w:line="240" w:lineRule="auto"/>
      </w:pPr>
      <w:r>
        <w:separator/>
      </w:r>
    </w:p>
  </w:endnote>
  <w:endnote w:type="continuationSeparator" w:id="0">
    <w:p w14:paraId="3993417D" w14:textId="77777777" w:rsidR="00F4227D" w:rsidRDefault="00F4227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17A4F332" w14:textId="3451C710" w:rsidR="006E2853" w:rsidRDefault="006E28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B519DFD" w:rsidR="00883E09" w:rsidRPr="006E2853" w:rsidRDefault="00883E09" w:rsidP="00883E09">
    <w:pPr>
      <w:pStyle w:val="Footer"/>
      <w:bidi/>
      <w:rPr>
        <w:sz w:val="24"/>
        <w:szCs w:val="24"/>
      </w:rPr>
    </w:pPr>
    <w:r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6A2D5" w14:textId="77777777" w:rsidR="00F4227D" w:rsidRDefault="00F4227D" w:rsidP="00F628F0">
      <w:pPr>
        <w:spacing w:after="0" w:line="240" w:lineRule="auto"/>
      </w:pPr>
      <w:r>
        <w:separator/>
      </w:r>
    </w:p>
  </w:footnote>
  <w:footnote w:type="continuationSeparator" w:id="0">
    <w:p w14:paraId="23997039" w14:textId="77777777" w:rsidR="00F4227D" w:rsidRDefault="00F4227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F4227D">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F4227D">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F4227D">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737C9D"/>
    <w:multiLevelType w:val="multilevel"/>
    <w:tmpl w:val="AFF6F3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bullet"/>
      <w:lvlText w:val="•"/>
      <w:lvlJc w:val="left"/>
      <w:pPr>
        <w:ind w:left="2160" w:hanging="360"/>
      </w:pPr>
      <w:rPr>
        <w:rFonts w:ascii="Simplified Arabic" w:eastAsiaTheme="minorHAnsi" w:hAnsi="Simplified Arabic" w:cs="Simplified Arabic"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0A6D3D"/>
    <w:multiLevelType w:val="multilevel"/>
    <w:tmpl w:val="0672BA0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bullet"/>
      <w:pStyle w:val="Heading3"/>
      <w:lvlText w:val=""/>
      <w:lvlJc w:val="left"/>
      <w:pPr>
        <w:ind w:left="360" w:hanging="360"/>
      </w:pPr>
      <w:rPr>
        <w:rFonts w:ascii="Symbol" w:hAnsi="Symbol" w:hint="default"/>
      </w:rPr>
    </w:lvl>
    <w:lvl w:ilvl="3">
      <w:start w:val="1"/>
      <w:numFmt w:val="bullet"/>
      <w:pStyle w:val="Heading4"/>
      <w:lvlText w:val="o"/>
      <w:lvlJc w:val="left"/>
      <w:pPr>
        <w:ind w:left="360" w:hanging="360"/>
      </w:pPr>
      <w:rPr>
        <w:rFonts w:ascii="Courier New" w:hAnsi="Courier New" w:cs="Courier New"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461259"/>
    <w:multiLevelType w:val="hybridMultilevel"/>
    <w:tmpl w:val="4E0A6E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41"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AD61AA"/>
    <w:multiLevelType w:val="multilevel"/>
    <w:tmpl w:val="0D280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6802ED"/>
    <w:multiLevelType w:val="hybridMultilevel"/>
    <w:tmpl w:val="BE24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4D6D06"/>
    <w:multiLevelType w:val="hybridMultilevel"/>
    <w:tmpl w:val="4E0A6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F332193"/>
    <w:multiLevelType w:val="multilevel"/>
    <w:tmpl w:val="77F0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1639553">
    <w:abstractNumId w:val="5"/>
  </w:num>
  <w:num w:numId="2" w16cid:durableId="211040562">
    <w:abstractNumId w:val="54"/>
  </w:num>
  <w:num w:numId="3" w16cid:durableId="1087730012">
    <w:abstractNumId w:val="9"/>
  </w:num>
  <w:num w:numId="4" w16cid:durableId="782920521">
    <w:abstractNumId w:val="40"/>
  </w:num>
  <w:num w:numId="5" w16cid:durableId="678971440">
    <w:abstractNumId w:val="45"/>
  </w:num>
  <w:num w:numId="6" w16cid:durableId="996500451">
    <w:abstractNumId w:val="22"/>
  </w:num>
  <w:num w:numId="7" w16cid:durableId="2075007498">
    <w:abstractNumId w:val="30"/>
  </w:num>
  <w:num w:numId="8" w16cid:durableId="908072416">
    <w:abstractNumId w:val="23"/>
  </w:num>
  <w:num w:numId="9" w16cid:durableId="228737416">
    <w:abstractNumId w:val="47"/>
  </w:num>
  <w:num w:numId="10" w16cid:durableId="260794405">
    <w:abstractNumId w:val="36"/>
  </w:num>
  <w:num w:numId="11" w16cid:durableId="1068191117">
    <w:abstractNumId w:val="25"/>
  </w:num>
  <w:num w:numId="12" w16cid:durableId="1947226361">
    <w:abstractNumId w:val="53"/>
  </w:num>
  <w:num w:numId="13" w16cid:durableId="542982031">
    <w:abstractNumId w:val="34"/>
  </w:num>
  <w:num w:numId="14" w16cid:durableId="43873091">
    <w:abstractNumId w:val="11"/>
  </w:num>
  <w:num w:numId="15" w16cid:durableId="209151632">
    <w:abstractNumId w:val="15"/>
  </w:num>
  <w:num w:numId="16" w16cid:durableId="1362978993">
    <w:abstractNumId w:val="39"/>
  </w:num>
  <w:num w:numId="17" w16cid:durableId="1516917187">
    <w:abstractNumId w:val="32"/>
  </w:num>
  <w:num w:numId="18" w16cid:durableId="1082335728">
    <w:abstractNumId w:val="35"/>
  </w:num>
  <w:num w:numId="19" w16cid:durableId="84040623">
    <w:abstractNumId w:val="27"/>
  </w:num>
  <w:num w:numId="20" w16cid:durableId="958343222">
    <w:abstractNumId w:val="48"/>
  </w:num>
  <w:num w:numId="21" w16cid:durableId="279921945">
    <w:abstractNumId w:val="37"/>
  </w:num>
  <w:num w:numId="22" w16cid:durableId="121117224">
    <w:abstractNumId w:val="14"/>
  </w:num>
  <w:num w:numId="23" w16cid:durableId="818110836">
    <w:abstractNumId w:val="17"/>
  </w:num>
  <w:num w:numId="24" w16cid:durableId="533348259">
    <w:abstractNumId w:val="56"/>
  </w:num>
  <w:num w:numId="25" w16cid:durableId="1045523952">
    <w:abstractNumId w:val="12"/>
  </w:num>
  <w:num w:numId="26" w16cid:durableId="1007555648">
    <w:abstractNumId w:val="46"/>
  </w:num>
  <w:num w:numId="27" w16cid:durableId="188682542">
    <w:abstractNumId w:val="8"/>
  </w:num>
  <w:num w:numId="28" w16cid:durableId="258296543">
    <w:abstractNumId w:val="7"/>
  </w:num>
  <w:num w:numId="29" w16cid:durableId="675112105">
    <w:abstractNumId w:val="16"/>
  </w:num>
  <w:num w:numId="30" w16cid:durableId="1848278456">
    <w:abstractNumId w:val="51"/>
  </w:num>
  <w:num w:numId="31" w16cid:durableId="112097482">
    <w:abstractNumId w:val="31"/>
  </w:num>
  <w:num w:numId="32" w16cid:durableId="314916099">
    <w:abstractNumId w:val="20"/>
  </w:num>
  <w:num w:numId="33" w16cid:durableId="79103288">
    <w:abstractNumId w:val="38"/>
  </w:num>
  <w:num w:numId="34" w16cid:durableId="1518546391">
    <w:abstractNumId w:val="18"/>
  </w:num>
  <w:num w:numId="35" w16cid:durableId="923488500">
    <w:abstractNumId w:val="42"/>
  </w:num>
  <w:num w:numId="36" w16cid:durableId="25565346">
    <w:abstractNumId w:val="57"/>
  </w:num>
  <w:num w:numId="37" w16cid:durableId="1517890745">
    <w:abstractNumId w:val="10"/>
  </w:num>
  <w:num w:numId="38" w16cid:durableId="2069647675">
    <w:abstractNumId w:val="33"/>
  </w:num>
  <w:num w:numId="39" w16cid:durableId="649755113">
    <w:abstractNumId w:val="29"/>
  </w:num>
  <w:num w:numId="40" w16cid:durableId="2090613646">
    <w:abstractNumId w:val="21"/>
  </w:num>
  <w:num w:numId="41" w16cid:durableId="362559934">
    <w:abstractNumId w:val="55"/>
  </w:num>
  <w:num w:numId="42" w16cid:durableId="18920395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650594">
    <w:abstractNumId w:val="13"/>
  </w:num>
  <w:num w:numId="44" w16cid:durableId="733771748">
    <w:abstractNumId w:val="44"/>
  </w:num>
  <w:num w:numId="45" w16cid:durableId="794178139">
    <w:abstractNumId w:val="43"/>
  </w:num>
  <w:num w:numId="46" w16cid:durableId="5786843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454179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767313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1460160">
    <w:abstractNumId w:val="19"/>
  </w:num>
  <w:num w:numId="50" w16cid:durableId="1694384353">
    <w:abstractNumId w:val="49"/>
  </w:num>
  <w:num w:numId="51" w16cid:durableId="313265361">
    <w:abstractNumId w:val="28"/>
  </w:num>
  <w:num w:numId="52" w16cid:durableId="119685410">
    <w:abstractNumId w:val="41"/>
  </w:num>
  <w:num w:numId="53" w16cid:durableId="2009937278">
    <w:abstractNumId w:val="3"/>
  </w:num>
  <w:num w:numId="54" w16cid:durableId="1596598800">
    <w:abstractNumId w:val="2"/>
  </w:num>
  <w:num w:numId="55" w16cid:durableId="443765451">
    <w:abstractNumId w:val="4"/>
  </w:num>
  <w:num w:numId="56" w16cid:durableId="134026964">
    <w:abstractNumId w:val="1"/>
  </w:num>
  <w:num w:numId="57" w16cid:durableId="233248662">
    <w:abstractNumId w:val="0"/>
  </w:num>
  <w:num w:numId="58" w16cid:durableId="1527596440">
    <w:abstractNumId w:val="24"/>
  </w:num>
  <w:num w:numId="59" w16cid:durableId="1087924731">
    <w:abstractNumId w:val="6"/>
  </w:num>
  <w:num w:numId="60" w16cid:durableId="228078509">
    <w:abstractNumId w:val="26"/>
  </w:num>
  <w:num w:numId="61" w16cid:durableId="653219921">
    <w:abstractNumId w:val="50"/>
  </w:num>
  <w:num w:numId="62" w16cid:durableId="46225005">
    <w:abstractNumId w:val="58"/>
  </w:num>
  <w:num w:numId="63" w16cid:durableId="963078233">
    <w:abstractNumId w:val="5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08"/>
    <w:rsid w:val="00001AFB"/>
    <w:rsid w:val="000025FB"/>
    <w:rsid w:val="000048EB"/>
    <w:rsid w:val="00007D43"/>
    <w:rsid w:val="000140B3"/>
    <w:rsid w:val="00015851"/>
    <w:rsid w:val="00015F0D"/>
    <w:rsid w:val="00024C79"/>
    <w:rsid w:val="00026E80"/>
    <w:rsid w:val="00027A34"/>
    <w:rsid w:val="000322E7"/>
    <w:rsid w:val="00036983"/>
    <w:rsid w:val="00037DA0"/>
    <w:rsid w:val="00044CFD"/>
    <w:rsid w:val="000511E7"/>
    <w:rsid w:val="00054C4E"/>
    <w:rsid w:val="0005531B"/>
    <w:rsid w:val="0005778F"/>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2C24"/>
    <w:rsid w:val="000940A0"/>
    <w:rsid w:val="000A08E9"/>
    <w:rsid w:val="000A1D3E"/>
    <w:rsid w:val="000A1E46"/>
    <w:rsid w:val="000A310D"/>
    <w:rsid w:val="000A3530"/>
    <w:rsid w:val="000A49C0"/>
    <w:rsid w:val="000A49ED"/>
    <w:rsid w:val="000A5AEA"/>
    <w:rsid w:val="000A749C"/>
    <w:rsid w:val="000B0B32"/>
    <w:rsid w:val="000B306A"/>
    <w:rsid w:val="000B706D"/>
    <w:rsid w:val="000C07F3"/>
    <w:rsid w:val="000C2DBF"/>
    <w:rsid w:val="000D0869"/>
    <w:rsid w:val="000D3EAE"/>
    <w:rsid w:val="000D5131"/>
    <w:rsid w:val="000D6B1C"/>
    <w:rsid w:val="000E23AB"/>
    <w:rsid w:val="000E58D9"/>
    <w:rsid w:val="000E6887"/>
    <w:rsid w:val="000E7C3D"/>
    <w:rsid w:val="000F0964"/>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276DC"/>
    <w:rsid w:val="00130605"/>
    <w:rsid w:val="00133347"/>
    <w:rsid w:val="00134572"/>
    <w:rsid w:val="00134AB7"/>
    <w:rsid w:val="001360ED"/>
    <w:rsid w:val="001436B8"/>
    <w:rsid w:val="001459BE"/>
    <w:rsid w:val="00146BC6"/>
    <w:rsid w:val="00152104"/>
    <w:rsid w:val="001570EA"/>
    <w:rsid w:val="001603EF"/>
    <w:rsid w:val="001609B6"/>
    <w:rsid w:val="001618EF"/>
    <w:rsid w:val="001624C4"/>
    <w:rsid w:val="00162E37"/>
    <w:rsid w:val="00163E90"/>
    <w:rsid w:val="001654CD"/>
    <w:rsid w:val="0016620C"/>
    <w:rsid w:val="0017071E"/>
    <w:rsid w:val="001717BA"/>
    <w:rsid w:val="001762F4"/>
    <w:rsid w:val="001779BC"/>
    <w:rsid w:val="00180799"/>
    <w:rsid w:val="00180A9B"/>
    <w:rsid w:val="00185F71"/>
    <w:rsid w:val="00195226"/>
    <w:rsid w:val="001A03C5"/>
    <w:rsid w:val="001A250A"/>
    <w:rsid w:val="001A46CD"/>
    <w:rsid w:val="001A5804"/>
    <w:rsid w:val="001A680C"/>
    <w:rsid w:val="001B0A53"/>
    <w:rsid w:val="001B1228"/>
    <w:rsid w:val="001B355A"/>
    <w:rsid w:val="001C01BE"/>
    <w:rsid w:val="001C0813"/>
    <w:rsid w:val="001C2101"/>
    <w:rsid w:val="001C3DA0"/>
    <w:rsid w:val="001C426A"/>
    <w:rsid w:val="001C47CB"/>
    <w:rsid w:val="001C4FBE"/>
    <w:rsid w:val="001C6421"/>
    <w:rsid w:val="001C7DB2"/>
    <w:rsid w:val="001D0529"/>
    <w:rsid w:val="001D41DE"/>
    <w:rsid w:val="001D47AD"/>
    <w:rsid w:val="001D5D32"/>
    <w:rsid w:val="001E252D"/>
    <w:rsid w:val="001E2FCB"/>
    <w:rsid w:val="001E32DF"/>
    <w:rsid w:val="001E3406"/>
    <w:rsid w:val="001E4226"/>
    <w:rsid w:val="001E44BC"/>
    <w:rsid w:val="001E499C"/>
    <w:rsid w:val="001E7127"/>
    <w:rsid w:val="001F5B72"/>
    <w:rsid w:val="0020239B"/>
    <w:rsid w:val="00204B59"/>
    <w:rsid w:val="00207C95"/>
    <w:rsid w:val="00213075"/>
    <w:rsid w:val="0022051E"/>
    <w:rsid w:val="00220EB9"/>
    <w:rsid w:val="00222468"/>
    <w:rsid w:val="002239E2"/>
    <w:rsid w:val="00225669"/>
    <w:rsid w:val="00225A48"/>
    <w:rsid w:val="002267E3"/>
    <w:rsid w:val="0023186A"/>
    <w:rsid w:val="00231AB1"/>
    <w:rsid w:val="00232A16"/>
    <w:rsid w:val="002366CB"/>
    <w:rsid w:val="0024045F"/>
    <w:rsid w:val="002445B7"/>
    <w:rsid w:val="0025077C"/>
    <w:rsid w:val="00250CC6"/>
    <w:rsid w:val="00251580"/>
    <w:rsid w:val="002529BB"/>
    <w:rsid w:val="00257F01"/>
    <w:rsid w:val="002616CF"/>
    <w:rsid w:val="00263733"/>
    <w:rsid w:val="00264677"/>
    <w:rsid w:val="002655C8"/>
    <w:rsid w:val="00265C31"/>
    <w:rsid w:val="00274C5B"/>
    <w:rsid w:val="00275033"/>
    <w:rsid w:val="002764B2"/>
    <w:rsid w:val="002858CD"/>
    <w:rsid w:val="00285EDC"/>
    <w:rsid w:val="00290F88"/>
    <w:rsid w:val="002A113E"/>
    <w:rsid w:val="002A1374"/>
    <w:rsid w:val="002B6766"/>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2F358B"/>
    <w:rsid w:val="003019CE"/>
    <w:rsid w:val="00302F5B"/>
    <w:rsid w:val="003050DB"/>
    <w:rsid w:val="00310DA8"/>
    <w:rsid w:val="00313747"/>
    <w:rsid w:val="00315F6D"/>
    <w:rsid w:val="00316776"/>
    <w:rsid w:val="0031677D"/>
    <w:rsid w:val="003176E1"/>
    <w:rsid w:val="003223F2"/>
    <w:rsid w:val="0032293B"/>
    <w:rsid w:val="00322A0D"/>
    <w:rsid w:val="00322CDE"/>
    <w:rsid w:val="003235C8"/>
    <w:rsid w:val="00325D77"/>
    <w:rsid w:val="003306B7"/>
    <w:rsid w:val="00330F56"/>
    <w:rsid w:val="00333FF1"/>
    <w:rsid w:val="00334002"/>
    <w:rsid w:val="00343773"/>
    <w:rsid w:val="003557D8"/>
    <w:rsid w:val="00356156"/>
    <w:rsid w:val="003601E0"/>
    <w:rsid w:val="00360A3F"/>
    <w:rsid w:val="003620CC"/>
    <w:rsid w:val="00364C07"/>
    <w:rsid w:val="00372C68"/>
    <w:rsid w:val="00374A8C"/>
    <w:rsid w:val="00377CB0"/>
    <w:rsid w:val="00381524"/>
    <w:rsid w:val="00381E67"/>
    <w:rsid w:val="00383DD8"/>
    <w:rsid w:val="00395E1F"/>
    <w:rsid w:val="00397058"/>
    <w:rsid w:val="003A195A"/>
    <w:rsid w:val="003A3893"/>
    <w:rsid w:val="003A3BCE"/>
    <w:rsid w:val="003A4334"/>
    <w:rsid w:val="003A74ED"/>
    <w:rsid w:val="003A7D4B"/>
    <w:rsid w:val="003B0A07"/>
    <w:rsid w:val="003B0A71"/>
    <w:rsid w:val="003B0E76"/>
    <w:rsid w:val="003B0F00"/>
    <w:rsid w:val="003B1418"/>
    <w:rsid w:val="003B18D4"/>
    <w:rsid w:val="003B2823"/>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0289"/>
    <w:rsid w:val="003F6189"/>
    <w:rsid w:val="003F69BC"/>
    <w:rsid w:val="003F7A34"/>
    <w:rsid w:val="00401DA1"/>
    <w:rsid w:val="0040510D"/>
    <w:rsid w:val="0041006E"/>
    <w:rsid w:val="00411D8F"/>
    <w:rsid w:val="0041566B"/>
    <w:rsid w:val="00415AC3"/>
    <w:rsid w:val="00415D77"/>
    <w:rsid w:val="0041700F"/>
    <w:rsid w:val="00420AED"/>
    <w:rsid w:val="00421191"/>
    <w:rsid w:val="00421EDA"/>
    <w:rsid w:val="004332D4"/>
    <w:rsid w:val="0043449E"/>
    <w:rsid w:val="00436B59"/>
    <w:rsid w:val="004413CD"/>
    <w:rsid w:val="0044258D"/>
    <w:rsid w:val="00442709"/>
    <w:rsid w:val="00443A60"/>
    <w:rsid w:val="00444B1D"/>
    <w:rsid w:val="00444B3C"/>
    <w:rsid w:val="0044728A"/>
    <w:rsid w:val="0045178D"/>
    <w:rsid w:val="00453C8D"/>
    <w:rsid w:val="00455B62"/>
    <w:rsid w:val="00460ED3"/>
    <w:rsid w:val="00466097"/>
    <w:rsid w:val="004676F6"/>
    <w:rsid w:val="004718F1"/>
    <w:rsid w:val="00473F99"/>
    <w:rsid w:val="0047505E"/>
    <w:rsid w:val="0047534A"/>
    <w:rsid w:val="00481067"/>
    <w:rsid w:val="00481285"/>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4F6AF4"/>
    <w:rsid w:val="004F7D3F"/>
    <w:rsid w:val="0050023D"/>
    <w:rsid w:val="0050451B"/>
    <w:rsid w:val="0050606C"/>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87EEF"/>
    <w:rsid w:val="00594B5C"/>
    <w:rsid w:val="00595574"/>
    <w:rsid w:val="00597208"/>
    <w:rsid w:val="005979BC"/>
    <w:rsid w:val="005A28DF"/>
    <w:rsid w:val="005A3266"/>
    <w:rsid w:val="005A3959"/>
    <w:rsid w:val="005A4F66"/>
    <w:rsid w:val="005A76D0"/>
    <w:rsid w:val="005A7EB2"/>
    <w:rsid w:val="005B09CC"/>
    <w:rsid w:val="005B25B6"/>
    <w:rsid w:val="005B2E32"/>
    <w:rsid w:val="005B37D4"/>
    <w:rsid w:val="005B65AE"/>
    <w:rsid w:val="005B721E"/>
    <w:rsid w:val="005B77A6"/>
    <w:rsid w:val="005B7EB9"/>
    <w:rsid w:val="005C2893"/>
    <w:rsid w:val="005C3DA2"/>
    <w:rsid w:val="005D0283"/>
    <w:rsid w:val="005D1768"/>
    <w:rsid w:val="005D2492"/>
    <w:rsid w:val="005D4B11"/>
    <w:rsid w:val="005D691F"/>
    <w:rsid w:val="005E02EC"/>
    <w:rsid w:val="005E1B7D"/>
    <w:rsid w:val="005E2259"/>
    <w:rsid w:val="005E24FB"/>
    <w:rsid w:val="005F214D"/>
    <w:rsid w:val="005F2661"/>
    <w:rsid w:val="005F5AF5"/>
    <w:rsid w:val="00600515"/>
    <w:rsid w:val="0060105E"/>
    <w:rsid w:val="006037BB"/>
    <w:rsid w:val="0061026F"/>
    <w:rsid w:val="00611156"/>
    <w:rsid w:val="006149BB"/>
    <w:rsid w:val="00622710"/>
    <w:rsid w:val="00624DDF"/>
    <w:rsid w:val="006253F7"/>
    <w:rsid w:val="0062589E"/>
    <w:rsid w:val="00625A3C"/>
    <w:rsid w:val="00631D92"/>
    <w:rsid w:val="00633F98"/>
    <w:rsid w:val="00634932"/>
    <w:rsid w:val="0063519C"/>
    <w:rsid w:val="006447D8"/>
    <w:rsid w:val="00644F28"/>
    <w:rsid w:val="006458E5"/>
    <w:rsid w:val="00647104"/>
    <w:rsid w:val="0065187E"/>
    <w:rsid w:val="006518D9"/>
    <w:rsid w:val="00655684"/>
    <w:rsid w:val="0065589D"/>
    <w:rsid w:val="00656233"/>
    <w:rsid w:val="00656E7E"/>
    <w:rsid w:val="00661A1D"/>
    <w:rsid w:val="00667BBF"/>
    <w:rsid w:val="006731F3"/>
    <w:rsid w:val="0067429E"/>
    <w:rsid w:val="00676B85"/>
    <w:rsid w:val="00681B50"/>
    <w:rsid w:val="00682DDF"/>
    <w:rsid w:val="00683490"/>
    <w:rsid w:val="00687F77"/>
    <w:rsid w:val="00692DF0"/>
    <w:rsid w:val="00697C27"/>
    <w:rsid w:val="006A160D"/>
    <w:rsid w:val="006A20B8"/>
    <w:rsid w:val="006A2734"/>
    <w:rsid w:val="006A3984"/>
    <w:rsid w:val="006A7DC3"/>
    <w:rsid w:val="006B06E2"/>
    <w:rsid w:val="006B1075"/>
    <w:rsid w:val="006B261A"/>
    <w:rsid w:val="006B366F"/>
    <w:rsid w:val="006B51C2"/>
    <w:rsid w:val="006C10F3"/>
    <w:rsid w:val="006C2E76"/>
    <w:rsid w:val="006C3326"/>
    <w:rsid w:val="006C4DA5"/>
    <w:rsid w:val="006C53DE"/>
    <w:rsid w:val="006C54C9"/>
    <w:rsid w:val="006C54D5"/>
    <w:rsid w:val="006C71F6"/>
    <w:rsid w:val="006D675C"/>
    <w:rsid w:val="006E1886"/>
    <w:rsid w:val="006E2853"/>
    <w:rsid w:val="006E413B"/>
    <w:rsid w:val="006F1837"/>
    <w:rsid w:val="006F3CD1"/>
    <w:rsid w:val="006F4893"/>
    <w:rsid w:val="0070272D"/>
    <w:rsid w:val="00703A9A"/>
    <w:rsid w:val="00704C25"/>
    <w:rsid w:val="00705F1D"/>
    <w:rsid w:val="00706929"/>
    <w:rsid w:val="00706AC7"/>
    <w:rsid w:val="00711248"/>
    <w:rsid w:val="0072065B"/>
    <w:rsid w:val="00722179"/>
    <w:rsid w:val="007235B9"/>
    <w:rsid w:val="007239AC"/>
    <w:rsid w:val="00723E95"/>
    <w:rsid w:val="0072768E"/>
    <w:rsid w:val="00733953"/>
    <w:rsid w:val="00736364"/>
    <w:rsid w:val="0073642B"/>
    <w:rsid w:val="00740AB1"/>
    <w:rsid w:val="00741860"/>
    <w:rsid w:val="00741E70"/>
    <w:rsid w:val="00745221"/>
    <w:rsid w:val="00746533"/>
    <w:rsid w:val="007507AF"/>
    <w:rsid w:val="007509DF"/>
    <w:rsid w:val="00750F2F"/>
    <w:rsid w:val="00751456"/>
    <w:rsid w:val="00752C8C"/>
    <w:rsid w:val="00754496"/>
    <w:rsid w:val="00754FF7"/>
    <w:rsid w:val="007608E1"/>
    <w:rsid w:val="00760EBE"/>
    <w:rsid w:val="00765204"/>
    <w:rsid w:val="0076684E"/>
    <w:rsid w:val="00766A58"/>
    <w:rsid w:val="00770426"/>
    <w:rsid w:val="007750B8"/>
    <w:rsid w:val="007764F4"/>
    <w:rsid w:val="00776AB8"/>
    <w:rsid w:val="00781550"/>
    <w:rsid w:val="007822A3"/>
    <w:rsid w:val="00786A9D"/>
    <w:rsid w:val="00790119"/>
    <w:rsid w:val="00793616"/>
    <w:rsid w:val="007937D4"/>
    <w:rsid w:val="007969DC"/>
    <w:rsid w:val="00797AF9"/>
    <w:rsid w:val="007A31DC"/>
    <w:rsid w:val="007A6E44"/>
    <w:rsid w:val="007B29E4"/>
    <w:rsid w:val="007B3A5C"/>
    <w:rsid w:val="007C0C24"/>
    <w:rsid w:val="007C1F01"/>
    <w:rsid w:val="007C3A04"/>
    <w:rsid w:val="007C428F"/>
    <w:rsid w:val="007C5A80"/>
    <w:rsid w:val="007D321C"/>
    <w:rsid w:val="007D39B9"/>
    <w:rsid w:val="007D4210"/>
    <w:rsid w:val="007D7D94"/>
    <w:rsid w:val="007E01DE"/>
    <w:rsid w:val="007E0546"/>
    <w:rsid w:val="007E3985"/>
    <w:rsid w:val="007E3ABF"/>
    <w:rsid w:val="007E4F21"/>
    <w:rsid w:val="007E70DA"/>
    <w:rsid w:val="007F0039"/>
    <w:rsid w:val="007F40DD"/>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3123E"/>
    <w:rsid w:val="00831B04"/>
    <w:rsid w:val="00832328"/>
    <w:rsid w:val="00834851"/>
    <w:rsid w:val="00834BE4"/>
    <w:rsid w:val="0083565C"/>
    <w:rsid w:val="0083673F"/>
    <w:rsid w:val="00840269"/>
    <w:rsid w:val="008437E3"/>
    <w:rsid w:val="00846D9A"/>
    <w:rsid w:val="00847997"/>
    <w:rsid w:val="008529D2"/>
    <w:rsid w:val="00854846"/>
    <w:rsid w:val="00854E14"/>
    <w:rsid w:val="00857CBA"/>
    <w:rsid w:val="00861080"/>
    <w:rsid w:val="00861188"/>
    <w:rsid w:val="00862094"/>
    <w:rsid w:val="0086333D"/>
    <w:rsid w:val="00864B2B"/>
    <w:rsid w:val="00870DE8"/>
    <w:rsid w:val="0087261A"/>
    <w:rsid w:val="0087531B"/>
    <w:rsid w:val="008806D9"/>
    <w:rsid w:val="008806DC"/>
    <w:rsid w:val="0088301D"/>
    <w:rsid w:val="00883CF3"/>
    <w:rsid w:val="00883E09"/>
    <w:rsid w:val="00886510"/>
    <w:rsid w:val="00894F92"/>
    <w:rsid w:val="00896B6A"/>
    <w:rsid w:val="008A09DC"/>
    <w:rsid w:val="008A2025"/>
    <w:rsid w:val="008A4A6D"/>
    <w:rsid w:val="008A69EA"/>
    <w:rsid w:val="008A7D25"/>
    <w:rsid w:val="008B0F36"/>
    <w:rsid w:val="008B1684"/>
    <w:rsid w:val="008B400C"/>
    <w:rsid w:val="008B54F8"/>
    <w:rsid w:val="008B5953"/>
    <w:rsid w:val="008C140C"/>
    <w:rsid w:val="008C178F"/>
    <w:rsid w:val="008C1E7F"/>
    <w:rsid w:val="008C2AA8"/>
    <w:rsid w:val="008C3A5B"/>
    <w:rsid w:val="008D157F"/>
    <w:rsid w:val="008D1B67"/>
    <w:rsid w:val="008D5F2C"/>
    <w:rsid w:val="008D708F"/>
    <w:rsid w:val="008E18C4"/>
    <w:rsid w:val="008E1DF8"/>
    <w:rsid w:val="008E538A"/>
    <w:rsid w:val="008E7947"/>
    <w:rsid w:val="008F3533"/>
    <w:rsid w:val="008F6BBE"/>
    <w:rsid w:val="0090102E"/>
    <w:rsid w:val="00902126"/>
    <w:rsid w:val="009115F9"/>
    <w:rsid w:val="009139AE"/>
    <w:rsid w:val="009145A4"/>
    <w:rsid w:val="00916122"/>
    <w:rsid w:val="00917629"/>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761A"/>
    <w:rsid w:val="009705B3"/>
    <w:rsid w:val="00971016"/>
    <w:rsid w:val="009813A6"/>
    <w:rsid w:val="00982637"/>
    <w:rsid w:val="00986114"/>
    <w:rsid w:val="00986F78"/>
    <w:rsid w:val="00995640"/>
    <w:rsid w:val="009A3584"/>
    <w:rsid w:val="009A42B9"/>
    <w:rsid w:val="009A4B6E"/>
    <w:rsid w:val="009A4C47"/>
    <w:rsid w:val="009A6E2C"/>
    <w:rsid w:val="009B032D"/>
    <w:rsid w:val="009B7B1F"/>
    <w:rsid w:val="009C2244"/>
    <w:rsid w:val="009C3C7B"/>
    <w:rsid w:val="009C3CB8"/>
    <w:rsid w:val="009D1D31"/>
    <w:rsid w:val="009D3F77"/>
    <w:rsid w:val="009D5952"/>
    <w:rsid w:val="009D7913"/>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4922"/>
    <w:rsid w:val="00A34BF0"/>
    <w:rsid w:val="00A35F9B"/>
    <w:rsid w:val="00A37539"/>
    <w:rsid w:val="00A409F3"/>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5EC"/>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0965"/>
    <w:rsid w:val="00B146C0"/>
    <w:rsid w:val="00B16F84"/>
    <w:rsid w:val="00B21BA2"/>
    <w:rsid w:val="00B22A4D"/>
    <w:rsid w:val="00B25A96"/>
    <w:rsid w:val="00B32E4E"/>
    <w:rsid w:val="00B348C7"/>
    <w:rsid w:val="00B35152"/>
    <w:rsid w:val="00B43F32"/>
    <w:rsid w:val="00B44197"/>
    <w:rsid w:val="00B4456F"/>
    <w:rsid w:val="00B5019C"/>
    <w:rsid w:val="00B56F1B"/>
    <w:rsid w:val="00B605CF"/>
    <w:rsid w:val="00B61F61"/>
    <w:rsid w:val="00B62F7E"/>
    <w:rsid w:val="00B63BBC"/>
    <w:rsid w:val="00B64268"/>
    <w:rsid w:val="00B65B60"/>
    <w:rsid w:val="00B745F3"/>
    <w:rsid w:val="00B76012"/>
    <w:rsid w:val="00B77EB8"/>
    <w:rsid w:val="00B802A8"/>
    <w:rsid w:val="00B842E8"/>
    <w:rsid w:val="00B90CF8"/>
    <w:rsid w:val="00B91986"/>
    <w:rsid w:val="00B958FD"/>
    <w:rsid w:val="00B95BC3"/>
    <w:rsid w:val="00B96E4F"/>
    <w:rsid w:val="00BA688E"/>
    <w:rsid w:val="00BB33BD"/>
    <w:rsid w:val="00BB3408"/>
    <w:rsid w:val="00BB4052"/>
    <w:rsid w:val="00BB46BB"/>
    <w:rsid w:val="00BB5D6B"/>
    <w:rsid w:val="00BB5DCC"/>
    <w:rsid w:val="00BB78AD"/>
    <w:rsid w:val="00BC00FF"/>
    <w:rsid w:val="00BC0354"/>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BF5EEF"/>
    <w:rsid w:val="00C11026"/>
    <w:rsid w:val="00C1168C"/>
    <w:rsid w:val="00C11906"/>
    <w:rsid w:val="00C1324B"/>
    <w:rsid w:val="00C13A85"/>
    <w:rsid w:val="00C144E4"/>
    <w:rsid w:val="00C159FA"/>
    <w:rsid w:val="00C2122A"/>
    <w:rsid w:val="00C228F4"/>
    <w:rsid w:val="00C2376A"/>
    <w:rsid w:val="00C27893"/>
    <w:rsid w:val="00C30195"/>
    <w:rsid w:val="00C327A0"/>
    <w:rsid w:val="00C332B7"/>
    <w:rsid w:val="00C34CBD"/>
    <w:rsid w:val="00C34D41"/>
    <w:rsid w:val="00C35EB8"/>
    <w:rsid w:val="00C36FEE"/>
    <w:rsid w:val="00C3762E"/>
    <w:rsid w:val="00C41974"/>
    <w:rsid w:val="00C44E75"/>
    <w:rsid w:val="00C45804"/>
    <w:rsid w:val="00C472D8"/>
    <w:rsid w:val="00C476E1"/>
    <w:rsid w:val="00C501FA"/>
    <w:rsid w:val="00C51308"/>
    <w:rsid w:val="00C53ED7"/>
    <w:rsid w:val="00C56B6D"/>
    <w:rsid w:val="00C570AB"/>
    <w:rsid w:val="00C61182"/>
    <w:rsid w:val="00C62DC1"/>
    <w:rsid w:val="00C6300C"/>
    <w:rsid w:val="00C70032"/>
    <w:rsid w:val="00C74AAF"/>
    <w:rsid w:val="00C76706"/>
    <w:rsid w:val="00C81452"/>
    <w:rsid w:val="00C83BEA"/>
    <w:rsid w:val="00C8462C"/>
    <w:rsid w:val="00C84B8E"/>
    <w:rsid w:val="00C87AB5"/>
    <w:rsid w:val="00C90D49"/>
    <w:rsid w:val="00C919A0"/>
    <w:rsid w:val="00C93ED6"/>
    <w:rsid w:val="00C93FA9"/>
    <w:rsid w:val="00CA1B14"/>
    <w:rsid w:val="00CA7275"/>
    <w:rsid w:val="00CA7D6A"/>
    <w:rsid w:val="00CB0020"/>
    <w:rsid w:val="00CB09C4"/>
    <w:rsid w:val="00CB0A76"/>
    <w:rsid w:val="00CB0E67"/>
    <w:rsid w:val="00CB113A"/>
    <w:rsid w:val="00CB7DC8"/>
    <w:rsid w:val="00CC160D"/>
    <w:rsid w:val="00CC365B"/>
    <w:rsid w:val="00CC3C32"/>
    <w:rsid w:val="00CD18C9"/>
    <w:rsid w:val="00CD417C"/>
    <w:rsid w:val="00CD67C0"/>
    <w:rsid w:val="00CE13A5"/>
    <w:rsid w:val="00CE1603"/>
    <w:rsid w:val="00CE2E72"/>
    <w:rsid w:val="00CE39F0"/>
    <w:rsid w:val="00CE45FE"/>
    <w:rsid w:val="00CE4EDB"/>
    <w:rsid w:val="00CE7FD7"/>
    <w:rsid w:val="00CF38E8"/>
    <w:rsid w:val="00CF3CD3"/>
    <w:rsid w:val="00CF46AB"/>
    <w:rsid w:val="00CF4B56"/>
    <w:rsid w:val="00CF7270"/>
    <w:rsid w:val="00D0035F"/>
    <w:rsid w:val="00D012B5"/>
    <w:rsid w:val="00D03411"/>
    <w:rsid w:val="00D046CC"/>
    <w:rsid w:val="00D0488B"/>
    <w:rsid w:val="00D05D80"/>
    <w:rsid w:val="00D05EDF"/>
    <w:rsid w:val="00D06E2E"/>
    <w:rsid w:val="00D1286C"/>
    <w:rsid w:val="00D16538"/>
    <w:rsid w:val="00D20E96"/>
    <w:rsid w:val="00D21886"/>
    <w:rsid w:val="00D235C5"/>
    <w:rsid w:val="00D23CA7"/>
    <w:rsid w:val="00D3074D"/>
    <w:rsid w:val="00D31D7E"/>
    <w:rsid w:val="00D329C2"/>
    <w:rsid w:val="00D370C1"/>
    <w:rsid w:val="00D43F87"/>
    <w:rsid w:val="00D46A37"/>
    <w:rsid w:val="00D4735D"/>
    <w:rsid w:val="00D47F4C"/>
    <w:rsid w:val="00D51A70"/>
    <w:rsid w:val="00D53FE2"/>
    <w:rsid w:val="00D5405D"/>
    <w:rsid w:val="00D5434C"/>
    <w:rsid w:val="00D56961"/>
    <w:rsid w:val="00D57A0E"/>
    <w:rsid w:val="00D64F3E"/>
    <w:rsid w:val="00D659C8"/>
    <w:rsid w:val="00D66F8C"/>
    <w:rsid w:val="00D70797"/>
    <w:rsid w:val="00D7258E"/>
    <w:rsid w:val="00D734FB"/>
    <w:rsid w:val="00D73F64"/>
    <w:rsid w:val="00D9144F"/>
    <w:rsid w:val="00D93936"/>
    <w:rsid w:val="00DA2FBD"/>
    <w:rsid w:val="00DA49DC"/>
    <w:rsid w:val="00DA5FAE"/>
    <w:rsid w:val="00DA6668"/>
    <w:rsid w:val="00DB0607"/>
    <w:rsid w:val="00DB0F24"/>
    <w:rsid w:val="00DB1620"/>
    <w:rsid w:val="00DB288F"/>
    <w:rsid w:val="00DB3CDF"/>
    <w:rsid w:val="00DB43FD"/>
    <w:rsid w:val="00DB67ED"/>
    <w:rsid w:val="00DB691B"/>
    <w:rsid w:val="00DB70A4"/>
    <w:rsid w:val="00DC02DC"/>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676"/>
    <w:rsid w:val="00DF1B31"/>
    <w:rsid w:val="00DF2AA7"/>
    <w:rsid w:val="00DF30DF"/>
    <w:rsid w:val="00DF3C8D"/>
    <w:rsid w:val="00DF6DD4"/>
    <w:rsid w:val="00E000FF"/>
    <w:rsid w:val="00E01563"/>
    <w:rsid w:val="00E021E5"/>
    <w:rsid w:val="00E031FB"/>
    <w:rsid w:val="00E04048"/>
    <w:rsid w:val="00E07760"/>
    <w:rsid w:val="00E105F1"/>
    <w:rsid w:val="00E11EF3"/>
    <w:rsid w:val="00E13189"/>
    <w:rsid w:val="00E3299D"/>
    <w:rsid w:val="00E34F6D"/>
    <w:rsid w:val="00E3576C"/>
    <w:rsid w:val="00E36535"/>
    <w:rsid w:val="00E4043A"/>
    <w:rsid w:val="00E415CF"/>
    <w:rsid w:val="00E459B7"/>
    <w:rsid w:val="00E45FD8"/>
    <w:rsid w:val="00E501DC"/>
    <w:rsid w:val="00E50770"/>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65E9"/>
    <w:rsid w:val="00EB684E"/>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5002"/>
    <w:rsid w:val="00F109AE"/>
    <w:rsid w:val="00F1254A"/>
    <w:rsid w:val="00F12891"/>
    <w:rsid w:val="00F153B7"/>
    <w:rsid w:val="00F1554E"/>
    <w:rsid w:val="00F16CC0"/>
    <w:rsid w:val="00F17A30"/>
    <w:rsid w:val="00F17D8A"/>
    <w:rsid w:val="00F20D35"/>
    <w:rsid w:val="00F21041"/>
    <w:rsid w:val="00F21814"/>
    <w:rsid w:val="00F27469"/>
    <w:rsid w:val="00F277A5"/>
    <w:rsid w:val="00F307DE"/>
    <w:rsid w:val="00F36ECD"/>
    <w:rsid w:val="00F40A76"/>
    <w:rsid w:val="00F4227D"/>
    <w:rsid w:val="00F43BA7"/>
    <w:rsid w:val="00F443A5"/>
    <w:rsid w:val="00F4536C"/>
    <w:rsid w:val="00F53404"/>
    <w:rsid w:val="00F55531"/>
    <w:rsid w:val="00F5781A"/>
    <w:rsid w:val="00F60DA3"/>
    <w:rsid w:val="00F611F5"/>
    <w:rsid w:val="00F61524"/>
    <w:rsid w:val="00F628F0"/>
    <w:rsid w:val="00F630BE"/>
    <w:rsid w:val="00F703AE"/>
    <w:rsid w:val="00F71C4B"/>
    <w:rsid w:val="00F7361A"/>
    <w:rsid w:val="00F73EE4"/>
    <w:rsid w:val="00F74068"/>
    <w:rsid w:val="00F77CC4"/>
    <w:rsid w:val="00F80066"/>
    <w:rsid w:val="00F81D47"/>
    <w:rsid w:val="00F83044"/>
    <w:rsid w:val="00F87C09"/>
    <w:rsid w:val="00F87E87"/>
    <w:rsid w:val="00F909EF"/>
    <w:rsid w:val="00F92126"/>
    <w:rsid w:val="00F92EA4"/>
    <w:rsid w:val="00FA0158"/>
    <w:rsid w:val="00FA28F4"/>
    <w:rsid w:val="00FA4160"/>
    <w:rsid w:val="00FA7511"/>
    <w:rsid w:val="00FB1CD1"/>
    <w:rsid w:val="00FB40CE"/>
    <w:rsid w:val="00FB4BB3"/>
    <w:rsid w:val="00FB4EC1"/>
    <w:rsid w:val="00FB5943"/>
    <w:rsid w:val="00FB599B"/>
    <w:rsid w:val="00FB67F2"/>
    <w:rsid w:val="00FB7985"/>
    <w:rsid w:val="00FB7B59"/>
    <w:rsid w:val="00FC2D13"/>
    <w:rsid w:val="00FC3BCE"/>
    <w:rsid w:val="00FC3D33"/>
    <w:rsid w:val="00FC4679"/>
    <w:rsid w:val="00FD131E"/>
    <w:rsid w:val="00FD201E"/>
    <w:rsid w:val="00FD65D4"/>
    <w:rsid w:val="00FD6BAF"/>
    <w:rsid w:val="00FD7953"/>
    <w:rsid w:val="00FE6577"/>
    <w:rsid w:val="00FF15A1"/>
    <w:rsid w:val="00FF2D1F"/>
    <w:rsid w:val="00FF5618"/>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FBE"/>
    <w:pPr>
      <w:spacing w:after="160" w:line="259" w:lineRule="auto"/>
    </w:pPr>
  </w:style>
  <w:style w:type="paragraph" w:styleId="Heading1">
    <w:name w:val="heading 1"/>
    <w:basedOn w:val="Normal"/>
    <w:next w:val="Normal"/>
    <w:link w:val="Heading1Char"/>
    <w:uiPriority w:val="9"/>
    <w:qFormat/>
    <w:rsid w:val="00436B59"/>
    <w:pPr>
      <w:keepNext/>
      <w:keepLines/>
      <w:numPr>
        <w:numId w:val="49"/>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5D77"/>
    <w:pPr>
      <w:keepNext/>
      <w:keepLines/>
      <w:numPr>
        <w:ilvl w:val="2"/>
        <w:numId w:val="49"/>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25D77"/>
    <w:pPr>
      <w:keepNext/>
      <w:keepLines/>
      <w:numPr>
        <w:ilvl w:val="3"/>
        <w:numId w:val="49"/>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5D77"/>
    <w:pPr>
      <w:keepNext/>
      <w:keepLines/>
      <w:numPr>
        <w:ilvl w:val="4"/>
        <w:numId w:val="49"/>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25D77"/>
    <w:pPr>
      <w:keepNext/>
      <w:keepLines/>
      <w:numPr>
        <w:ilvl w:val="5"/>
        <w:numId w:val="49"/>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5D77"/>
    <w:pPr>
      <w:keepNext/>
      <w:keepLines/>
      <w:numPr>
        <w:ilvl w:val="6"/>
        <w:numId w:val="49"/>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5D77"/>
    <w:pPr>
      <w:keepNext/>
      <w:keepLines/>
      <w:numPr>
        <w:ilvl w:val="7"/>
        <w:numId w:val="4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D77"/>
    <w:pPr>
      <w:keepNext/>
      <w:keepLines/>
      <w:numPr>
        <w:ilvl w:val="8"/>
        <w:numId w:val="4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374A8C"/>
    <w:rPr>
      <w:color w:val="0000FF" w:themeColor="hyperlink"/>
      <w:u w:val="single"/>
    </w:rPr>
  </w:style>
  <w:style w:type="character" w:styleId="UnresolvedMention">
    <w:name w:val="Unresolved Mention"/>
    <w:basedOn w:val="DefaultParagraphFont"/>
    <w:uiPriority w:val="99"/>
    <w:semiHidden/>
    <w:unhideWhenUsed/>
    <w:rsid w:val="00374A8C"/>
    <w:rPr>
      <w:color w:val="605E5C"/>
      <w:shd w:val="clear" w:color="auto" w:fill="E1DFDD"/>
    </w:rPr>
  </w:style>
  <w:style w:type="character" w:customStyle="1" w:styleId="Heading3Char">
    <w:name w:val="Heading 3 Char"/>
    <w:basedOn w:val="DefaultParagraphFont"/>
    <w:link w:val="Heading3"/>
    <w:uiPriority w:val="9"/>
    <w:rsid w:val="00325D7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25D7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25D7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25D7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25D7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D7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0C2DBF"/>
    <w:pPr>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195A"/>
    <w:pPr>
      <w:bidi/>
      <w:spacing w:before="240" w:after="0"/>
    </w:pPr>
    <w:rPr>
      <w:rFonts w:cstheme="minorHAnsi"/>
      <w:b/>
      <w:bCs/>
      <w:sz w:val="20"/>
      <w:szCs w:val="24"/>
    </w:rPr>
  </w:style>
  <w:style w:type="paragraph" w:styleId="TOC3">
    <w:name w:val="toc 3"/>
    <w:basedOn w:val="Normal"/>
    <w:next w:val="Normal"/>
    <w:autoRedefine/>
    <w:uiPriority w:val="39"/>
    <w:unhideWhenUsed/>
    <w:rsid w:val="003A195A"/>
    <w:pPr>
      <w:bidi/>
      <w:spacing w:after="0"/>
      <w:ind w:left="220"/>
    </w:pPr>
    <w:rPr>
      <w:rFonts w:cstheme="minorHAnsi"/>
      <w:sz w:val="20"/>
      <w:szCs w:val="24"/>
    </w:rPr>
  </w:style>
  <w:style w:type="paragraph" w:styleId="TOC4">
    <w:name w:val="toc 4"/>
    <w:basedOn w:val="Normal"/>
    <w:next w:val="Normal"/>
    <w:autoRedefine/>
    <w:uiPriority w:val="39"/>
    <w:unhideWhenUsed/>
    <w:rsid w:val="003A195A"/>
    <w:pPr>
      <w:bidi/>
      <w:spacing w:after="0"/>
      <w:ind w:left="440"/>
    </w:pPr>
    <w:rPr>
      <w:rFonts w:cstheme="minorHAnsi"/>
      <w:sz w:val="20"/>
      <w:szCs w:val="24"/>
    </w:rPr>
  </w:style>
  <w:style w:type="paragraph" w:styleId="TOC5">
    <w:name w:val="toc 5"/>
    <w:basedOn w:val="Normal"/>
    <w:next w:val="Normal"/>
    <w:autoRedefine/>
    <w:uiPriority w:val="39"/>
    <w:unhideWhenUsed/>
    <w:rsid w:val="003A195A"/>
    <w:pPr>
      <w:bidi/>
      <w:spacing w:after="0"/>
      <w:ind w:left="660"/>
    </w:pPr>
    <w:rPr>
      <w:rFonts w:cstheme="minorHAnsi"/>
      <w:sz w:val="20"/>
      <w:szCs w:val="24"/>
    </w:rPr>
  </w:style>
  <w:style w:type="paragraph" w:styleId="TOC6">
    <w:name w:val="toc 6"/>
    <w:basedOn w:val="Normal"/>
    <w:next w:val="Normal"/>
    <w:autoRedefine/>
    <w:uiPriority w:val="39"/>
    <w:unhideWhenUsed/>
    <w:rsid w:val="003A195A"/>
    <w:pPr>
      <w:bidi/>
      <w:spacing w:after="0"/>
      <w:ind w:left="880"/>
    </w:pPr>
    <w:rPr>
      <w:rFonts w:cstheme="minorHAnsi"/>
      <w:sz w:val="20"/>
      <w:szCs w:val="24"/>
    </w:rPr>
  </w:style>
  <w:style w:type="paragraph" w:styleId="TOC7">
    <w:name w:val="toc 7"/>
    <w:basedOn w:val="Normal"/>
    <w:next w:val="Normal"/>
    <w:autoRedefine/>
    <w:uiPriority w:val="39"/>
    <w:unhideWhenUsed/>
    <w:rsid w:val="003A195A"/>
    <w:pPr>
      <w:bidi/>
      <w:spacing w:after="0"/>
      <w:ind w:left="1100"/>
    </w:pPr>
    <w:rPr>
      <w:rFonts w:cstheme="minorHAnsi"/>
      <w:sz w:val="20"/>
      <w:szCs w:val="24"/>
    </w:rPr>
  </w:style>
  <w:style w:type="paragraph" w:styleId="TOC8">
    <w:name w:val="toc 8"/>
    <w:basedOn w:val="Normal"/>
    <w:next w:val="Normal"/>
    <w:autoRedefine/>
    <w:uiPriority w:val="39"/>
    <w:unhideWhenUsed/>
    <w:rsid w:val="003A195A"/>
    <w:pPr>
      <w:bidi/>
      <w:spacing w:after="0"/>
      <w:ind w:left="1320"/>
    </w:pPr>
    <w:rPr>
      <w:rFonts w:cstheme="minorHAnsi"/>
      <w:sz w:val="20"/>
      <w:szCs w:val="24"/>
    </w:rPr>
  </w:style>
  <w:style w:type="paragraph" w:styleId="TOC9">
    <w:name w:val="toc 9"/>
    <w:basedOn w:val="Normal"/>
    <w:next w:val="Normal"/>
    <w:autoRedefine/>
    <w:uiPriority w:val="39"/>
    <w:unhideWhenUsed/>
    <w:rsid w:val="003A195A"/>
    <w:pPr>
      <w:bidi/>
      <w:spacing w:after="0"/>
      <w:ind w:left="1540"/>
    </w:pPr>
    <w:rPr>
      <w:rFonts w:cstheme="minorHAnsi"/>
      <w:sz w:val="20"/>
      <w:szCs w:val="24"/>
    </w:rPr>
  </w:style>
  <w:style w:type="paragraph" w:styleId="ListBullet">
    <w:name w:val="List Bullet"/>
    <w:basedOn w:val="Normal"/>
    <w:uiPriority w:val="99"/>
    <w:unhideWhenUsed/>
    <w:rsid w:val="001E4226"/>
    <w:pPr>
      <w:numPr>
        <w:numId w:val="1"/>
      </w:numPr>
      <w:contextualSpacing/>
    </w:pPr>
  </w:style>
  <w:style w:type="character" w:styleId="FollowedHyperlink">
    <w:name w:val="FollowedHyperlink"/>
    <w:basedOn w:val="DefaultParagraphFont"/>
    <w:uiPriority w:val="99"/>
    <w:semiHidden/>
    <w:unhideWhenUsed/>
    <w:rsid w:val="003B0E76"/>
    <w:rPr>
      <w:color w:val="800080" w:themeColor="followedHyperlink"/>
      <w:u w:val="single"/>
    </w:rPr>
  </w:style>
  <w:style w:type="paragraph" w:styleId="HTMLPreformatted">
    <w:name w:val="HTML Preformatted"/>
    <w:basedOn w:val="Normal"/>
    <w:link w:val="HTMLPreformatted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05AD"/>
    <w:rPr>
      <w:rFonts w:ascii="Courier New" w:eastAsia="Times New Roman" w:hAnsi="Courier New" w:cs="Courier New"/>
      <w:sz w:val="20"/>
      <w:szCs w:val="20"/>
    </w:rPr>
  </w:style>
  <w:style w:type="character" w:styleId="HTMLCode">
    <w:name w:val="HTML Code"/>
    <w:basedOn w:val="DefaultParagraphFont"/>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Normal"/>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93936"/>
    <w:pPr>
      <w:spacing w:after="0" w:line="240" w:lineRule="auto"/>
    </w:pPr>
    <w:rPr>
      <w:rFonts w:eastAsiaTheme="minorEastAsia"/>
    </w:rPr>
  </w:style>
  <w:style w:type="paragraph" w:styleId="Title">
    <w:name w:val="Title"/>
    <w:basedOn w:val="Normal"/>
    <w:next w:val="Normal"/>
    <w:link w:val="TitleChar"/>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D93936"/>
    <w:pPr>
      <w:spacing w:after="120" w:line="276" w:lineRule="auto"/>
    </w:pPr>
    <w:rPr>
      <w:rFonts w:eastAsiaTheme="minorEastAsia"/>
    </w:rPr>
  </w:style>
  <w:style w:type="character" w:customStyle="1" w:styleId="BodyTextChar">
    <w:name w:val="Body Text Char"/>
    <w:basedOn w:val="DefaultParagraphFont"/>
    <w:link w:val="BodyText"/>
    <w:uiPriority w:val="99"/>
    <w:rsid w:val="00D93936"/>
    <w:rPr>
      <w:rFonts w:eastAsiaTheme="minorEastAsia"/>
    </w:rPr>
  </w:style>
  <w:style w:type="paragraph" w:styleId="BodyText2">
    <w:name w:val="Body Text 2"/>
    <w:basedOn w:val="Normal"/>
    <w:link w:val="BodyText2Char"/>
    <w:uiPriority w:val="99"/>
    <w:unhideWhenUsed/>
    <w:rsid w:val="00D93936"/>
    <w:pPr>
      <w:spacing w:after="120" w:line="480" w:lineRule="auto"/>
    </w:pPr>
    <w:rPr>
      <w:rFonts w:eastAsiaTheme="minorEastAsia"/>
    </w:rPr>
  </w:style>
  <w:style w:type="character" w:customStyle="1" w:styleId="BodyText2Char">
    <w:name w:val="Body Text 2 Char"/>
    <w:basedOn w:val="DefaultParagraphFont"/>
    <w:link w:val="BodyText2"/>
    <w:uiPriority w:val="99"/>
    <w:rsid w:val="00D93936"/>
    <w:rPr>
      <w:rFonts w:eastAsiaTheme="minorEastAsia"/>
    </w:rPr>
  </w:style>
  <w:style w:type="paragraph" w:styleId="BodyText3">
    <w:name w:val="Body Text 3"/>
    <w:basedOn w:val="Normal"/>
    <w:link w:val="BodyText3Char"/>
    <w:uiPriority w:val="99"/>
    <w:unhideWhenUsed/>
    <w:rsid w:val="00D93936"/>
    <w:pPr>
      <w:spacing w:after="120" w:line="276" w:lineRule="auto"/>
    </w:pPr>
    <w:rPr>
      <w:rFonts w:eastAsiaTheme="minorEastAsia"/>
      <w:sz w:val="16"/>
      <w:szCs w:val="16"/>
    </w:rPr>
  </w:style>
  <w:style w:type="character" w:customStyle="1" w:styleId="BodyText3Char">
    <w:name w:val="Body Text 3 Char"/>
    <w:basedOn w:val="DefaultParagraphFont"/>
    <w:link w:val="BodyText3"/>
    <w:uiPriority w:val="99"/>
    <w:rsid w:val="00D93936"/>
    <w:rPr>
      <w:rFonts w:eastAsiaTheme="minorEastAsia"/>
      <w:sz w:val="16"/>
      <w:szCs w:val="16"/>
    </w:rPr>
  </w:style>
  <w:style w:type="paragraph" w:styleId="List">
    <w:name w:val="List"/>
    <w:basedOn w:val="Normal"/>
    <w:uiPriority w:val="99"/>
    <w:unhideWhenUsed/>
    <w:rsid w:val="00D93936"/>
    <w:pPr>
      <w:spacing w:after="200" w:line="276" w:lineRule="auto"/>
      <w:ind w:left="360" w:hanging="360"/>
      <w:contextualSpacing/>
    </w:pPr>
    <w:rPr>
      <w:rFonts w:eastAsiaTheme="minorEastAsia"/>
    </w:rPr>
  </w:style>
  <w:style w:type="paragraph" w:styleId="List2">
    <w:name w:val="List 2"/>
    <w:basedOn w:val="Normal"/>
    <w:uiPriority w:val="99"/>
    <w:unhideWhenUsed/>
    <w:rsid w:val="00D93936"/>
    <w:pPr>
      <w:spacing w:after="200" w:line="276" w:lineRule="auto"/>
      <w:ind w:left="720" w:hanging="360"/>
      <w:contextualSpacing/>
    </w:pPr>
    <w:rPr>
      <w:rFonts w:eastAsiaTheme="minorEastAsia"/>
    </w:rPr>
  </w:style>
  <w:style w:type="paragraph" w:styleId="List3">
    <w:name w:val="List 3"/>
    <w:basedOn w:val="Normal"/>
    <w:uiPriority w:val="99"/>
    <w:unhideWhenUsed/>
    <w:rsid w:val="00D93936"/>
    <w:pPr>
      <w:spacing w:after="200" w:line="276" w:lineRule="auto"/>
      <w:ind w:left="1080" w:hanging="360"/>
      <w:contextualSpacing/>
    </w:pPr>
    <w:rPr>
      <w:rFonts w:eastAsiaTheme="minorEastAsia"/>
    </w:rPr>
  </w:style>
  <w:style w:type="paragraph" w:styleId="ListBullet2">
    <w:name w:val="List Bullet 2"/>
    <w:basedOn w:val="Normal"/>
    <w:uiPriority w:val="99"/>
    <w:unhideWhenUsed/>
    <w:rsid w:val="00D93936"/>
    <w:pPr>
      <w:numPr>
        <w:numId w:val="53"/>
      </w:numPr>
      <w:tabs>
        <w:tab w:val="clear" w:pos="720"/>
      </w:tabs>
      <w:spacing w:after="200" w:line="276" w:lineRule="auto"/>
      <w:ind w:left="0" w:firstLine="0"/>
      <w:contextualSpacing/>
    </w:pPr>
    <w:rPr>
      <w:rFonts w:eastAsiaTheme="minorEastAsia"/>
    </w:rPr>
  </w:style>
  <w:style w:type="paragraph" w:styleId="ListBullet3">
    <w:name w:val="List Bullet 3"/>
    <w:basedOn w:val="Normal"/>
    <w:uiPriority w:val="99"/>
    <w:unhideWhenUsed/>
    <w:rsid w:val="00D93936"/>
    <w:pPr>
      <w:numPr>
        <w:numId w:val="54"/>
      </w:numPr>
      <w:tabs>
        <w:tab w:val="clear" w:pos="1080"/>
      </w:tabs>
      <w:spacing w:after="200" w:line="276" w:lineRule="auto"/>
      <w:ind w:left="0" w:firstLine="0"/>
      <w:contextualSpacing/>
    </w:pPr>
    <w:rPr>
      <w:rFonts w:eastAsiaTheme="minorEastAsia"/>
    </w:rPr>
  </w:style>
  <w:style w:type="paragraph" w:styleId="ListNumber">
    <w:name w:val="List Number"/>
    <w:basedOn w:val="Normal"/>
    <w:uiPriority w:val="99"/>
    <w:unhideWhenUsed/>
    <w:rsid w:val="00D93936"/>
    <w:pPr>
      <w:numPr>
        <w:numId w:val="55"/>
      </w:numPr>
      <w:tabs>
        <w:tab w:val="clear" w:pos="360"/>
      </w:tabs>
      <w:spacing w:after="200" w:line="276" w:lineRule="auto"/>
      <w:ind w:left="0" w:firstLine="0"/>
      <w:contextualSpacing/>
    </w:pPr>
    <w:rPr>
      <w:rFonts w:eastAsiaTheme="minorEastAsia"/>
    </w:rPr>
  </w:style>
  <w:style w:type="paragraph" w:styleId="ListNumber2">
    <w:name w:val="List Number 2"/>
    <w:basedOn w:val="Normal"/>
    <w:uiPriority w:val="99"/>
    <w:unhideWhenUsed/>
    <w:rsid w:val="00D93936"/>
    <w:pPr>
      <w:numPr>
        <w:numId w:val="56"/>
      </w:numPr>
      <w:tabs>
        <w:tab w:val="clear" w:pos="720"/>
      </w:tabs>
      <w:spacing w:after="200" w:line="276" w:lineRule="auto"/>
      <w:ind w:left="0" w:firstLine="0"/>
      <w:contextualSpacing/>
    </w:pPr>
    <w:rPr>
      <w:rFonts w:eastAsiaTheme="minorEastAsia"/>
    </w:rPr>
  </w:style>
  <w:style w:type="paragraph" w:styleId="ListNumber3">
    <w:name w:val="List Number 3"/>
    <w:basedOn w:val="Normal"/>
    <w:uiPriority w:val="99"/>
    <w:unhideWhenUsed/>
    <w:rsid w:val="00D93936"/>
    <w:pPr>
      <w:numPr>
        <w:numId w:val="57"/>
      </w:numPr>
      <w:tabs>
        <w:tab w:val="clear" w:pos="1080"/>
      </w:tabs>
      <w:spacing w:after="200" w:line="276" w:lineRule="auto"/>
      <w:ind w:left="0" w:firstLine="0"/>
      <w:contextualSpacing/>
    </w:pPr>
    <w:rPr>
      <w:rFonts w:eastAsiaTheme="minorEastAsia"/>
    </w:rPr>
  </w:style>
  <w:style w:type="paragraph" w:styleId="ListContinue">
    <w:name w:val="List Continue"/>
    <w:basedOn w:val="Normal"/>
    <w:uiPriority w:val="99"/>
    <w:unhideWhenUsed/>
    <w:rsid w:val="00D93936"/>
    <w:pPr>
      <w:spacing w:after="120" w:line="276" w:lineRule="auto"/>
      <w:ind w:left="360"/>
      <w:contextualSpacing/>
    </w:pPr>
    <w:rPr>
      <w:rFonts w:eastAsiaTheme="minorEastAsia"/>
    </w:rPr>
  </w:style>
  <w:style w:type="paragraph" w:styleId="ListContinue2">
    <w:name w:val="List Continue 2"/>
    <w:basedOn w:val="Normal"/>
    <w:uiPriority w:val="99"/>
    <w:unhideWhenUsed/>
    <w:rsid w:val="00D93936"/>
    <w:pPr>
      <w:spacing w:after="120" w:line="276" w:lineRule="auto"/>
      <w:ind w:left="720"/>
      <w:contextualSpacing/>
    </w:pPr>
    <w:rPr>
      <w:rFonts w:eastAsiaTheme="minorEastAsia"/>
    </w:rPr>
  </w:style>
  <w:style w:type="paragraph" w:styleId="ListContinue3">
    <w:name w:val="List Continue 3"/>
    <w:basedOn w:val="Normal"/>
    <w:uiPriority w:val="99"/>
    <w:unhideWhenUsed/>
    <w:rsid w:val="00D93936"/>
    <w:pPr>
      <w:spacing w:after="120" w:line="276" w:lineRule="auto"/>
      <w:ind w:left="1080"/>
      <w:contextualSpacing/>
    </w:pPr>
    <w:rPr>
      <w:rFonts w:eastAsiaTheme="minorEastAsia"/>
    </w:rPr>
  </w:style>
  <w:style w:type="paragraph" w:styleId="MacroText">
    <w:name w:val="macro"/>
    <w:link w:val="MacroTextChar"/>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D93936"/>
    <w:rPr>
      <w:rFonts w:ascii="Courier" w:eastAsiaTheme="minorEastAsia" w:hAnsi="Courier"/>
      <w:sz w:val="20"/>
      <w:szCs w:val="20"/>
    </w:rPr>
  </w:style>
  <w:style w:type="paragraph" w:styleId="Quote">
    <w:name w:val="Quote"/>
    <w:basedOn w:val="Normal"/>
    <w:next w:val="Normal"/>
    <w:link w:val="QuoteChar"/>
    <w:uiPriority w:val="29"/>
    <w:qFormat/>
    <w:rsid w:val="00D93936"/>
    <w:pPr>
      <w:spacing w:after="200" w:line="276" w:lineRule="auto"/>
    </w:pPr>
    <w:rPr>
      <w:rFonts w:eastAsiaTheme="minorEastAsia"/>
      <w:i/>
      <w:iCs/>
      <w:color w:val="000000" w:themeColor="text1"/>
    </w:rPr>
  </w:style>
  <w:style w:type="character" w:customStyle="1" w:styleId="QuoteChar">
    <w:name w:val="Quote Char"/>
    <w:basedOn w:val="DefaultParagraphFont"/>
    <w:link w:val="Quote"/>
    <w:uiPriority w:val="29"/>
    <w:rsid w:val="00D93936"/>
    <w:rPr>
      <w:rFonts w:eastAsiaTheme="minorEastAsia"/>
      <w:i/>
      <w:iCs/>
      <w:color w:val="000000" w:themeColor="text1"/>
    </w:rPr>
  </w:style>
  <w:style w:type="paragraph" w:styleId="Caption">
    <w:name w:val="caption"/>
    <w:basedOn w:val="Normal"/>
    <w:next w:val="Normal"/>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Emphasis">
    <w:name w:val="Emphasis"/>
    <w:basedOn w:val="DefaultParagraphFont"/>
    <w:uiPriority w:val="20"/>
    <w:qFormat/>
    <w:rsid w:val="00D93936"/>
    <w:rPr>
      <w:i/>
      <w:iCs/>
    </w:rPr>
  </w:style>
  <w:style w:type="paragraph" w:styleId="IntenseQuote">
    <w:name w:val="Intense Quote"/>
    <w:basedOn w:val="Normal"/>
    <w:next w:val="Normal"/>
    <w:link w:val="IntenseQuoteChar"/>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IntenseQuoteChar">
    <w:name w:val="Intense Quote Char"/>
    <w:basedOn w:val="DefaultParagraphFont"/>
    <w:link w:val="IntenseQuote"/>
    <w:uiPriority w:val="30"/>
    <w:rsid w:val="00D93936"/>
    <w:rPr>
      <w:rFonts w:eastAsiaTheme="minorEastAsia"/>
      <w:b/>
      <w:bCs/>
      <w:i/>
      <w:iCs/>
      <w:color w:val="4F81BD" w:themeColor="accent1"/>
    </w:rPr>
  </w:style>
  <w:style w:type="character" w:styleId="SubtleEmphasis">
    <w:name w:val="Subtle Emphasis"/>
    <w:basedOn w:val="DefaultParagraphFont"/>
    <w:uiPriority w:val="19"/>
    <w:qFormat/>
    <w:rsid w:val="00D93936"/>
    <w:rPr>
      <w:i/>
      <w:iCs/>
      <w:color w:val="808080" w:themeColor="text1" w:themeTint="7F"/>
    </w:rPr>
  </w:style>
  <w:style w:type="character" w:styleId="IntenseEmphasis">
    <w:name w:val="Intense Emphasis"/>
    <w:basedOn w:val="DefaultParagraphFont"/>
    <w:uiPriority w:val="21"/>
    <w:qFormat/>
    <w:rsid w:val="00D93936"/>
    <w:rPr>
      <w:b/>
      <w:bCs/>
      <w:i/>
      <w:iCs/>
      <w:color w:val="4F81BD" w:themeColor="accent1"/>
    </w:rPr>
  </w:style>
  <w:style w:type="character" w:styleId="SubtleReference">
    <w:name w:val="Subtle Reference"/>
    <w:basedOn w:val="DefaultParagraphFont"/>
    <w:uiPriority w:val="31"/>
    <w:qFormat/>
    <w:rsid w:val="00D93936"/>
    <w:rPr>
      <w:smallCaps/>
      <w:color w:val="C0504D" w:themeColor="accent2"/>
      <w:u w:val="single"/>
    </w:rPr>
  </w:style>
  <w:style w:type="character" w:styleId="IntenseReference">
    <w:name w:val="Intense Reference"/>
    <w:basedOn w:val="DefaultParagraphFont"/>
    <w:uiPriority w:val="32"/>
    <w:qFormat/>
    <w:rsid w:val="00D93936"/>
    <w:rPr>
      <w:b/>
      <w:bCs/>
      <w:smallCaps/>
      <w:color w:val="C0504D" w:themeColor="accent2"/>
      <w:spacing w:val="5"/>
      <w:u w:val="single"/>
    </w:rPr>
  </w:style>
  <w:style w:type="character" w:styleId="BookTitle">
    <w:name w:val="Book Title"/>
    <w:basedOn w:val="DefaultParagraphFont"/>
    <w:uiPriority w:val="33"/>
    <w:qFormat/>
    <w:rsid w:val="00D93936"/>
    <w:rPr>
      <w:b/>
      <w:bCs/>
      <w:smallCaps/>
      <w:spacing w:val="5"/>
    </w:rPr>
  </w:style>
  <w:style w:type="paragraph" w:styleId="TOCHeading">
    <w:name w:val="TOC Heading"/>
    <w:basedOn w:val="Heading1"/>
    <w:next w:val="Normal"/>
    <w:uiPriority w:val="39"/>
    <w:semiHidden/>
    <w:unhideWhenUsed/>
    <w:qFormat/>
    <w:rsid w:val="00D93936"/>
    <w:pPr>
      <w:numPr>
        <w:numId w:val="0"/>
      </w:numPr>
      <w:spacing w:before="480" w:line="276" w:lineRule="auto"/>
      <w:outlineLvl w:val="9"/>
    </w:pPr>
    <w:rPr>
      <w:b/>
      <w:bCs/>
      <w:sz w:val="28"/>
      <w:szCs w:val="28"/>
    </w:rPr>
  </w:style>
  <w:style w:type="table" w:styleId="LightShading">
    <w:name w:val="Light Shading"/>
    <w:basedOn w:val="TableNormal"/>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
    <w:name w:val="Grid Table 4"/>
    <w:basedOn w:val="TableNormal"/>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trong1">
    <w:name w:val="Strong1"/>
    <w:qFormat/>
    <w:rsid w:val="007608E1"/>
    <w:pPr>
      <w:spacing w:after="0" w:line="240" w:lineRule="auto"/>
    </w:pPr>
    <w:rPr>
      <w:rFonts w:ascii="Simplified Arabic" w:eastAsia="Simplified Arabic" w:hAnsi="Simplified Arabic" w:cs="Simplified Arabic"/>
      <w:b/>
      <w:bCs/>
      <w:sz w:val="28"/>
      <w:szCs w:val="28"/>
      <w:rtl/>
    </w:rPr>
  </w:style>
  <w:style w:type="character" w:styleId="FootnoteReference">
    <w:name w:val="footnote reference"/>
    <w:uiPriority w:val="99"/>
    <w:semiHidden/>
    <w:unhideWhenUsed/>
    <w:rsid w:val="007608E1"/>
    <w:rPr>
      <w:vertAlign w:val="superscript"/>
    </w:rPr>
  </w:style>
  <w:style w:type="paragraph" w:styleId="FootnoteText">
    <w:name w:val="footnote text"/>
    <w:link w:val="Foot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FootnoteTextChar">
    <w:name w:val="Footnote Text Char"/>
    <w:basedOn w:val="DefaultParagraphFont"/>
    <w:link w:val="FootnoteText"/>
    <w:uiPriority w:val="99"/>
    <w:semiHidden/>
    <w:rsid w:val="007608E1"/>
    <w:rPr>
      <w:rFonts w:ascii="Simplified Arabic" w:eastAsia="Simplified Arabic" w:hAnsi="Simplified Arabic" w:cs="Simplified Arabic"/>
      <w:sz w:val="20"/>
      <w:szCs w:val="20"/>
    </w:rPr>
  </w:style>
  <w:style w:type="character" w:styleId="EndnoteReference">
    <w:name w:val="endnote reference"/>
    <w:uiPriority w:val="99"/>
    <w:semiHidden/>
    <w:unhideWhenUsed/>
    <w:rsid w:val="007608E1"/>
    <w:rPr>
      <w:vertAlign w:val="superscript"/>
    </w:rPr>
  </w:style>
  <w:style w:type="paragraph" w:styleId="EndnoteText">
    <w:name w:val="endnote text"/>
    <w:link w:val="EndnoteTextChar"/>
    <w:uiPriority w:val="99"/>
    <w:semiHidden/>
    <w:unhideWhenUsed/>
    <w:rsid w:val="007608E1"/>
    <w:pPr>
      <w:spacing w:after="0" w:line="240" w:lineRule="auto"/>
    </w:pPr>
    <w:rPr>
      <w:rFonts w:ascii="Simplified Arabic" w:eastAsia="Simplified Arabic" w:hAnsi="Simplified Arabic" w:cs="Simplified Arabic"/>
      <w:sz w:val="20"/>
      <w:szCs w:val="20"/>
      <w:rtl/>
    </w:rPr>
  </w:style>
  <w:style w:type="character" w:customStyle="1" w:styleId="EndnoteTextChar">
    <w:name w:val="Endnote Text Char"/>
    <w:basedOn w:val="DefaultParagraphFont"/>
    <w:link w:val="EndnoteText"/>
    <w:uiPriority w:val="99"/>
    <w:semiHidden/>
    <w:rsid w:val="007608E1"/>
    <w:rPr>
      <w:rFonts w:ascii="Simplified Arabic" w:eastAsia="Simplified Arabic" w:hAnsi="Simplified Arabic" w:cs="Simplified Arabic"/>
      <w:sz w:val="20"/>
      <w:szCs w:val="20"/>
    </w:rPr>
  </w:style>
  <w:style w:type="character" w:styleId="CommentReference">
    <w:name w:val="annotation reference"/>
    <w:basedOn w:val="DefaultParagraphFont"/>
    <w:uiPriority w:val="99"/>
    <w:semiHidden/>
    <w:unhideWhenUsed/>
    <w:rsid w:val="00BF5EEF"/>
    <w:rPr>
      <w:sz w:val="16"/>
      <w:szCs w:val="16"/>
    </w:rPr>
  </w:style>
  <w:style w:type="paragraph" w:styleId="CommentText">
    <w:name w:val="annotation text"/>
    <w:basedOn w:val="Normal"/>
    <w:link w:val="CommentTextChar"/>
    <w:uiPriority w:val="99"/>
    <w:semiHidden/>
    <w:unhideWhenUsed/>
    <w:rsid w:val="00BF5EEF"/>
    <w:pPr>
      <w:spacing w:line="240" w:lineRule="auto"/>
    </w:pPr>
    <w:rPr>
      <w:sz w:val="20"/>
      <w:szCs w:val="20"/>
    </w:rPr>
  </w:style>
  <w:style w:type="character" w:customStyle="1" w:styleId="CommentTextChar">
    <w:name w:val="Comment Text Char"/>
    <w:basedOn w:val="DefaultParagraphFont"/>
    <w:link w:val="CommentText"/>
    <w:uiPriority w:val="99"/>
    <w:semiHidden/>
    <w:rsid w:val="00BF5EEF"/>
    <w:rPr>
      <w:sz w:val="20"/>
      <w:szCs w:val="20"/>
    </w:rPr>
  </w:style>
  <w:style w:type="paragraph" w:styleId="CommentSubject">
    <w:name w:val="annotation subject"/>
    <w:basedOn w:val="CommentText"/>
    <w:next w:val="CommentText"/>
    <w:link w:val="CommentSubjectChar"/>
    <w:uiPriority w:val="99"/>
    <w:semiHidden/>
    <w:unhideWhenUsed/>
    <w:rsid w:val="00BF5EEF"/>
    <w:rPr>
      <w:b/>
      <w:bCs/>
    </w:rPr>
  </w:style>
  <w:style w:type="character" w:customStyle="1" w:styleId="CommentSubjectChar">
    <w:name w:val="Comment Subject Char"/>
    <w:basedOn w:val="CommentTextChar"/>
    <w:link w:val="CommentSubject"/>
    <w:uiPriority w:val="99"/>
    <w:semiHidden/>
    <w:rsid w:val="00BF5EEF"/>
    <w:rPr>
      <w:b/>
      <w:bCs/>
      <w:sz w:val="20"/>
      <w:szCs w:val="20"/>
    </w:rPr>
  </w:style>
  <w:style w:type="paragraph" w:styleId="Revision">
    <w:name w:val="Revision"/>
    <w:hidden/>
    <w:uiPriority w:val="99"/>
    <w:semiHidden/>
    <w:rsid w:val="00883CF3"/>
    <w:pPr>
      <w:spacing w:after="0" w:line="240" w:lineRule="auto"/>
    </w:pPr>
  </w:style>
  <w:style w:type="paragraph" w:customStyle="1" w:styleId="HeadingTOCEntry">
    <w:name w:val="Heading TOC Entry"/>
    <w:basedOn w:val="Normal"/>
    <w:qFormat/>
  </w:style>
  <w:style w:type="paragraph" w:customStyle="1" w:styleId="TableCaption">
    <w:name w:val="Table Caption"/>
    <w:basedOn w:val="Normal"/>
    <w:qFormat/>
  </w:style>
  <w:style w:type="paragraph" w:customStyle="1" w:styleId="FigureCaption">
    <w:name w:val="Figure Caption"/>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doi.org/10.1038/s41598-025-25457-8"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177/10245294241258255"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hyperlink" Target="https://doi.org/10.1038/s41599-025-05473-9"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10.3389/fbloc.2025.155197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33168/JSMS.2024.0516"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i.org/10.1145/3726122.3726195" TargetMode="External"/><Relationship Id="rId10" Type="http://schemas.openxmlformats.org/officeDocument/2006/relationships/endnotes" Target="endnotes.xml"/><Relationship Id="rId19" Type="http://schemas.openxmlformats.org/officeDocument/2006/relationships/hyperlink" Target="https://doi.org/10.3389/fbloc.2025.146363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3389/fbloc.2025.1667848"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6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FE9A668-CCE8-48AB-B9DA-A8F86A3908CC}">
  <we:reference id="wa200010453" version="1.0.0.1" store="en-US" storeType="OMEX"/>
  <we:alternateReferences>
    <we:reference id="WA200010453" version="1.0.0.1" store="" storeType="OMEX"/>
  </we:alternateReferences>
  <we:properties>
    <we:property name="claude.fileId" value="&quot;a630c31b-89e5-48a8-a2df-cfb18ca24d6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customXml/itemProps2.xml><?xml version="1.0" encoding="utf-8"?>
<ds:datastoreItem xmlns:ds="http://schemas.openxmlformats.org/officeDocument/2006/customXml" ds:itemID="{6818BBA5-3CEA-4F86-8185-20072C1CA093}">
  <ds:schemaRefs>
    <ds:schemaRef ds:uri="http://schemas.microsoft.com/sharepoint/v3/contenttype/forms"/>
  </ds:schemaRefs>
</ds:datastoreItem>
</file>

<file path=customXml/itemProps3.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customXml/itemProps4.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1</TotalTime>
  <Pages>123</Pages>
  <Words>27142</Words>
  <Characters>154716</Characters>
  <Application>Microsoft Office Word</Application>
  <DocSecurity>0</DocSecurity>
  <Lines>1289</Lines>
  <Paragraphs>362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Bandar AlGhamdi</cp:lastModifiedBy>
  <cp:revision>2</cp:revision>
  <cp:lastPrinted>2025-12-29T16:09:00Z</cp:lastPrinted>
  <dcterms:created xsi:type="dcterms:W3CDTF">2026-08-15T14:22:00Z</dcterms:created>
  <dcterms:modified xsi:type="dcterms:W3CDTF">2026-08-15T14:22:00Z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