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4BF030" w14:textId="491FAC49" w:rsidR="00F72BC0" w:rsidRPr="008917EC" w:rsidRDefault="00F72BC0" w:rsidP="00F72BC0">
      <w:pPr>
        <w:spacing w:before="100" w:beforeAutospacing="1" w:after="100" w:afterAutospacing="1" w:line="240" w:lineRule="auto"/>
        <w:jc w:val="center"/>
        <w:rPr>
          <w:rFonts w:ascii="Traditional Arabic" w:eastAsia="Calibri" w:hAnsi="Traditional Arabic" w:cs="Traditional Arabic"/>
          <w:b/>
          <w:bCs/>
          <w:sz w:val="44"/>
          <w:szCs w:val="44"/>
          <w:rtl/>
          <w:lang w:val="en-US"/>
        </w:rPr>
      </w:pPr>
      <w:r w:rsidRPr="008917EC">
        <w:rPr>
          <w:rFonts w:ascii="Traditional Arabic" w:eastAsia="Calibri" w:hAnsi="Traditional Arabic" w:cs="Traditional Arabic"/>
          <w:b/>
          <w:bCs/>
          <w:sz w:val="44"/>
          <w:szCs w:val="44"/>
          <w:rtl/>
          <w:lang w:val="en-US"/>
        </w:rPr>
        <w:t>تحليل مستوى نضج التخطيط الاستراتيجي وأثره في تعزيز التكامل المؤسسي: دراسة على المنظمات التابعة لمجلس التعاون الخليجي</w:t>
      </w:r>
    </w:p>
    <w:p w14:paraId="704A173C" w14:textId="77777777" w:rsidR="00F72BC0" w:rsidRPr="008917EC" w:rsidRDefault="00F72BC0" w:rsidP="00F72BC0">
      <w:pPr>
        <w:bidi/>
        <w:jc w:val="center"/>
        <w:rPr>
          <w:rFonts w:ascii="Traditional Arabic" w:hAnsi="Traditional Arabic" w:cs="Traditional Arabic"/>
          <w:b/>
          <w:bCs/>
          <w:sz w:val="32"/>
          <w:szCs w:val="32"/>
          <w:rtl/>
        </w:rPr>
      </w:pPr>
    </w:p>
    <w:p w14:paraId="656A42AB" w14:textId="77777777" w:rsidR="007419CC" w:rsidRPr="008917EC" w:rsidRDefault="00F72BC0" w:rsidP="00F72BC0">
      <w:pPr>
        <w:bidi/>
        <w:jc w:val="center"/>
        <w:rPr>
          <w:rFonts w:ascii="Traditional Arabic" w:hAnsi="Traditional Arabic" w:cs="Traditional Arabic"/>
          <w:b/>
          <w:bCs/>
          <w:sz w:val="40"/>
          <w:szCs w:val="40"/>
          <w:rtl/>
        </w:rPr>
      </w:pPr>
      <w:r w:rsidRPr="008917EC">
        <w:rPr>
          <w:rFonts w:ascii="Traditional Arabic" w:hAnsi="Traditional Arabic" w:cs="Traditional Arabic"/>
          <w:b/>
          <w:bCs/>
          <w:sz w:val="40"/>
          <w:szCs w:val="40"/>
          <w:rtl/>
        </w:rPr>
        <w:t>الفصل الاول</w:t>
      </w:r>
    </w:p>
    <w:p w14:paraId="388C8D49" w14:textId="77777777" w:rsidR="00734A9F" w:rsidRPr="008917EC" w:rsidRDefault="00F72BC0" w:rsidP="00734A9F">
      <w:pPr>
        <w:bidi/>
        <w:jc w:val="center"/>
        <w:rPr>
          <w:rFonts w:ascii="Traditional Arabic" w:hAnsi="Traditional Arabic" w:cs="Traditional Arabic"/>
          <w:b/>
          <w:bCs/>
          <w:sz w:val="40"/>
          <w:szCs w:val="40"/>
          <w:rtl/>
        </w:rPr>
      </w:pPr>
      <w:r w:rsidRPr="008917EC">
        <w:rPr>
          <w:rFonts w:ascii="Traditional Arabic" w:hAnsi="Traditional Arabic" w:cs="Traditional Arabic" w:hint="cs"/>
          <w:b/>
          <w:bCs/>
          <w:sz w:val="40"/>
          <w:szCs w:val="40"/>
          <w:rtl/>
        </w:rPr>
        <w:t>الاطار المنهجي</w:t>
      </w:r>
      <w:bookmarkStart w:id="0" w:name="_Toc205057538"/>
    </w:p>
    <w:p w14:paraId="03150A55" w14:textId="77777777" w:rsidR="00734A9F" w:rsidRPr="008917EC" w:rsidRDefault="00734A9F" w:rsidP="00734A9F">
      <w:pPr>
        <w:bidi/>
        <w:jc w:val="center"/>
        <w:rPr>
          <w:rFonts w:ascii="Traditional Arabic" w:hAnsi="Traditional Arabic" w:cs="Traditional Arabic"/>
          <w:b/>
          <w:bCs/>
          <w:sz w:val="40"/>
          <w:szCs w:val="40"/>
          <w:rtl/>
        </w:rPr>
      </w:pPr>
    </w:p>
    <w:p w14:paraId="593A0611" w14:textId="77777777" w:rsidR="007E1848" w:rsidRPr="008917EC" w:rsidRDefault="00734A9F" w:rsidP="00B37299">
      <w:pPr>
        <w:bidi/>
        <w:spacing w:line="360" w:lineRule="auto"/>
        <w:jc w:val="both"/>
        <w:rPr>
          <w:rFonts w:ascii="Traditional Arabic" w:hAnsi="Traditional Arabic" w:cs="Traditional Arabic"/>
          <w:b/>
          <w:bCs/>
          <w:sz w:val="40"/>
          <w:szCs w:val="40"/>
          <w:lang w:val="en-US"/>
        </w:rPr>
      </w:pPr>
      <w:r w:rsidRPr="008917EC">
        <w:rPr>
          <w:rFonts w:ascii="Traditional Arabic" w:hAnsi="Traditional Arabic" w:cs="Traditional Arabic"/>
          <w:sz w:val="32"/>
          <w:szCs w:val="32"/>
          <w:rtl/>
        </w:rPr>
        <w:t>يقدّم هذا الفصل الإطار العام للدراسة؛ إذ يضع موضوع نضج التخطيط الاستراتيجي في سياقه النظري والعملي، ويبيّن وجاهته في بيئة دول مجلس</w:t>
      </w:r>
      <w:r w:rsidR="00A61E97" w:rsidRPr="008917EC">
        <w:rPr>
          <w:rFonts w:ascii="Traditional Arabic" w:hAnsi="Traditional Arabic" w:cs="Traditional Arabic"/>
          <w:sz w:val="32"/>
          <w:szCs w:val="32"/>
          <w:rtl/>
        </w:rPr>
        <w:t xml:space="preserve"> التعاون الخليجي. يبدأ الفصل بـ</w:t>
      </w:r>
      <w:r w:rsidRPr="008917EC">
        <w:rPr>
          <w:rFonts w:ascii="Traditional Arabic" w:hAnsi="Traditional Arabic" w:cs="Traditional Arabic"/>
          <w:sz w:val="32"/>
          <w:szCs w:val="32"/>
          <w:rtl/>
        </w:rPr>
        <w:t>مقدمة تبرز دور التخطيط الاستراتيجي في تحسين الأداء المؤسسي وتعزيز التنافسية، ثم يعرض مشكلة الدراسة في ضوء الفجوة البحثية المتعلقة بقياس مستوى</w:t>
      </w:r>
      <w:r w:rsidR="00B37299" w:rsidRPr="008917EC">
        <w:rPr>
          <w:rFonts w:ascii="Traditional Arabic" w:hAnsi="Traditional Arabic" w:cs="Traditional Arabic"/>
          <w:sz w:val="32"/>
          <w:szCs w:val="32"/>
          <w:rtl/>
        </w:rPr>
        <w:t xml:space="preserve"> النضج وعلاقته بالتكامل المؤسسي</w:t>
      </w:r>
      <w:r w:rsidR="00A61E97" w:rsidRPr="008917EC">
        <w:rPr>
          <w:rFonts w:ascii="Traditional Arabic" w:hAnsi="Traditional Arabic" w:cs="Traditional Arabic"/>
          <w:sz w:val="32"/>
          <w:szCs w:val="32"/>
          <w:rtl/>
        </w:rPr>
        <w:t>، متبوعةً بـ</w:t>
      </w:r>
      <w:r w:rsidRPr="008917EC">
        <w:rPr>
          <w:rFonts w:ascii="Traditional Arabic" w:hAnsi="Traditional Arabic" w:cs="Traditional Arabic"/>
          <w:sz w:val="32"/>
          <w:szCs w:val="32"/>
          <w:rtl/>
        </w:rPr>
        <w:t>أسئلة الدراسة وأهدافها. كما يوضح الفصل أهمية الدراسة بنوعيها النظرية والتطبيقية، ويعرض فرضيات الدراسة والنموذج المفاهيمي للعلاقات بين المتغيرات.</w:t>
      </w:r>
    </w:p>
    <w:p w14:paraId="220793F2" w14:textId="77777777" w:rsidR="007E1848" w:rsidRPr="008917EC" w:rsidRDefault="007E1848" w:rsidP="007E1848">
      <w:pPr>
        <w:bidi/>
        <w:spacing w:line="360" w:lineRule="auto"/>
        <w:jc w:val="both"/>
        <w:rPr>
          <w:rFonts w:ascii="Traditional Arabic" w:hAnsi="Traditional Arabic" w:cs="Traditional Arabic"/>
          <w:b/>
          <w:bCs/>
          <w:sz w:val="40"/>
          <w:szCs w:val="40"/>
          <w:lang w:val="en-US"/>
        </w:rPr>
      </w:pPr>
    </w:p>
    <w:p w14:paraId="17C36643" w14:textId="77777777" w:rsidR="007E1848" w:rsidRPr="008917EC" w:rsidRDefault="007E1848" w:rsidP="007E1848">
      <w:pPr>
        <w:bidi/>
        <w:spacing w:line="360" w:lineRule="auto"/>
        <w:jc w:val="both"/>
        <w:rPr>
          <w:rFonts w:ascii="Traditional Arabic" w:hAnsi="Traditional Arabic" w:cs="Traditional Arabic"/>
          <w:b/>
          <w:bCs/>
          <w:sz w:val="40"/>
          <w:szCs w:val="40"/>
          <w:lang w:val="en-US"/>
        </w:rPr>
      </w:pPr>
    </w:p>
    <w:p w14:paraId="3E36C66C" w14:textId="77777777" w:rsidR="007E1848" w:rsidRPr="008917EC" w:rsidRDefault="007E1848" w:rsidP="007E1848">
      <w:pPr>
        <w:bidi/>
        <w:spacing w:line="360" w:lineRule="auto"/>
        <w:jc w:val="both"/>
        <w:rPr>
          <w:rFonts w:ascii="Traditional Arabic" w:hAnsi="Traditional Arabic" w:cs="Traditional Arabic"/>
          <w:b/>
          <w:bCs/>
          <w:sz w:val="40"/>
          <w:szCs w:val="40"/>
          <w:lang w:val="en-US"/>
        </w:rPr>
      </w:pPr>
    </w:p>
    <w:p w14:paraId="5666EBE8" w14:textId="77777777" w:rsidR="007E1848" w:rsidRPr="008917EC" w:rsidRDefault="007E1848" w:rsidP="007E1848">
      <w:pPr>
        <w:bidi/>
        <w:spacing w:line="360" w:lineRule="auto"/>
        <w:jc w:val="both"/>
        <w:rPr>
          <w:rFonts w:ascii="Traditional Arabic" w:hAnsi="Traditional Arabic" w:cs="Traditional Arabic"/>
          <w:b/>
          <w:bCs/>
          <w:sz w:val="40"/>
          <w:szCs w:val="40"/>
          <w:lang w:val="en-US"/>
        </w:rPr>
      </w:pPr>
    </w:p>
    <w:p w14:paraId="457518D8" w14:textId="77777777" w:rsidR="00D51468" w:rsidRPr="00773D69" w:rsidRDefault="00F72BC0" w:rsidP="00D51468">
      <w:pPr>
        <w:bidi/>
        <w:spacing w:line="360" w:lineRule="auto"/>
        <w:jc w:val="both"/>
        <w:rPr>
          <w:rFonts w:ascii="Traditional Arabic" w:hAnsi="Traditional Arabic" w:cs="Traditional Arabic"/>
          <w:b/>
          <w:bCs/>
          <w:sz w:val="40"/>
          <w:szCs w:val="40"/>
          <w:rtl/>
          <w:lang w:val="en-US"/>
        </w:rPr>
      </w:pPr>
      <w:r w:rsidRPr="00773D69">
        <w:rPr>
          <w:rFonts w:ascii="Traditional Arabic" w:eastAsia="等线 Light" w:hAnsi="Traditional Arabic" w:cs="Traditional Arabic"/>
          <w:b/>
          <w:bCs/>
          <w:color w:val="000000"/>
          <w:sz w:val="36"/>
          <w:szCs w:val="36"/>
          <w:rtl/>
          <w:lang w:val="en-US"/>
        </w:rPr>
        <w:lastRenderedPageBreak/>
        <w:t>مقدمة الدراسة</w:t>
      </w:r>
      <w:bookmarkStart w:id="1" w:name="_Toc205057539"/>
      <w:bookmarkEnd w:id="0"/>
    </w:p>
    <w:p w14:paraId="3846F015" w14:textId="1A60B79C" w:rsidR="00FA5CA4" w:rsidRPr="00017E38" w:rsidRDefault="009A59BD" w:rsidP="00FA5CA4">
      <w:pPr>
        <w:bidi/>
        <w:spacing w:line="360" w:lineRule="auto"/>
        <w:ind w:firstLine="720"/>
        <w:jc w:val="both"/>
        <w:rPr>
          <w:rFonts w:ascii="Traditional Arabic" w:eastAsia="Calibri" w:hAnsi="Traditional Arabic" w:cs="Traditional Arabic"/>
          <w:sz w:val="32"/>
          <w:szCs w:val="32"/>
          <w:lang w:val="en-US"/>
        </w:rPr>
      </w:pPr>
      <w:r w:rsidRPr="00017E38">
        <w:rPr>
          <w:rFonts w:ascii="Traditional Arabic" w:eastAsia="Calibri" w:hAnsi="Traditional Arabic" w:cs="Traditional Arabic" w:hint="cs"/>
          <w:sz w:val="32"/>
          <w:szCs w:val="32"/>
          <w:rtl/>
          <w:lang w:val="en-US"/>
        </w:rPr>
        <w:t>ي</w:t>
      </w:r>
      <w:r w:rsidR="00FA5CA4" w:rsidRPr="00017E38">
        <w:rPr>
          <w:rFonts w:ascii="Traditional Arabic" w:eastAsia="Calibri" w:hAnsi="Traditional Arabic" w:cs="Traditional Arabic"/>
          <w:sz w:val="32"/>
          <w:szCs w:val="32"/>
          <w:rtl/>
          <w:lang w:val="en-US"/>
        </w:rPr>
        <w:t xml:space="preserve">ضطلع </w:t>
      </w:r>
      <w:r w:rsidRPr="00017E38">
        <w:rPr>
          <w:rFonts w:ascii="Traditional Arabic" w:eastAsia="Calibri" w:hAnsi="Traditional Arabic" w:cs="Traditional Arabic" w:hint="cs"/>
          <w:sz w:val="32"/>
          <w:szCs w:val="32"/>
          <w:rtl/>
          <w:lang w:val="en-US"/>
        </w:rPr>
        <w:t xml:space="preserve">مجلس التعاون الخليجي </w:t>
      </w:r>
      <w:r w:rsidR="00FA5CA4" w:rsidRPr="00017E38">
        <w:rPr>
          <w:rFonts w:ascii="Traditional Arabic" w:eastAsia="Calibri" w:hAnsi="Traditional Arabic" w:cs="Traditional Arabic"/>
          <w:sz w:val="32"/>
          <w:szCs w:val="32"/>
          <w:rtl/>
          <w:lang w:val="en-US"/>
        </w:rPr>
        <w:t>لدول الخليج العربية وال</w:t>
      </w:r>
      <w:r w:rsidR="009E72A0" w:rsidRPr="00017E38">
        <w:rPr>
          <w:rFonts w:ascii="Traditional Arabic" w:eastAsia="Calibri" w:hAnsi="Traditional Arabic" w:cs="Traditional Arabic" w:hint="cs"/>
          <w:sz w:val="32"/>
          <w:szCs w:val="32"/>
          <w:rtl/>
          <w:lang w:val="en-US"/>
        </w:rPr>
        <w:t>منظمات</w:t>
      </w:r>
      <w:r w:rsidR="00FA5CA4" w:rsidRPr="00017E38">
        <w:rPr>
          <w:rFonts w:ascii="Traditional Arabic" w:eastAsia="Calibri" w:hAnsi="Traditional Arabic" w:cs="Traditional Arabic"/>
          <w:sz w:val="32"/>
          <w:szCs w:val="32"/>
          <w:rtl/>
          <w:lang w:val="en-US"/>
        </w:rPr>
        <w:t xml:space="preserve"> التابعة له بدور محوري في دعم العمل الخليجي المشترك، من خلال تنسيق المبادرات الإقليمية، وتوحيد الجهود بين الدول الأعضاء، وتعزيز مشروعات التكامل المؤسسي. ويزداد هذا الدور أهمية في ظل التحولات الإقليمية المتسارعة وتنامي الحاجة إلى آليات أكثر فاعلية لضمان الاتساق بين السياسات والخطط والمبادرات داخل منظومة المجلس، بما يرفع من قدرة مؤسساته على تحقيق أهداف التنمية والتكامل</w:t>
      </w:r>
      <w:r w:rsidR="00FA5CA4" w:rsidRPr="00017E38">
        <w:rPr>
          <w:rFonts w:ascii="Traditional Arabic" w:eastAsia="Calibri" w:hAnsi="Traditional Arabic" w:cs="Traditional Arabic"/>
          <w:sz w:val="32"/>
          <w:szCs w:val="32"/>
          <w:lang w:val="en-US"/>
        </w:rPr>
        <w:t>.</w:t>
      </w:r>
    </w:p>
    <w:p w14:paraId="147538C3" w14:textId="1C4CD54F" w:rsidR="00FA5CA4" w:rsidRPr="00017E38" w:rsidRDefault="00FA5CA4" w:rsidP="00FC2729">
      <w:pPr>
        <w:bidi/>
        <w:spacing w:line="360" w:lineRule="auto"/>
        <w:ind w:firstLine="720"/>
        <w:jc w:val="both"/>
        <w:rPr>
          <w:rFonts w:ascii="Traditional Arabic" w:eastAsia="Calibri" w:hAnsi="Traditional Arabic" w:cs="Traditional Arabic"/>
          <w:sz w:val="32"/>
          <w:szCs w:val="32"/>
          <w:lang w:val="en-US"/>
        </w:rPr>
      </w:pPr>
      <w:r w:rsidRPr="00017E38">
        <w:rPr>
          <w:rFonts w:ascii="Traditional Arabic" w:eastAsia="Calibri" w:hAnsi="Traditional Arabic" w:cs="Traditional Arabic"/>
          <w:sz w:val="32"/>
          <w:szCs w:val="32"/>
          <w:rtl/>
          <w:lang w:val="en-US"/>
        </w:rPr>
        <w:t xml:space="preserve">وفي هذا الإطار، برز التخطيط الاستراتيجي بوصفه أحد أهم الأدوات التنظيمية التي تساعد المؤسسات على تحديد أولوياتها، وتحليل بيئتها الداخلية والخارجية، وتوجيه مواردها بما يحقق أهدافها. وقد بينت الأدبيات العربية الحديثة أن جودة التخطيط الاستراتيجي تُعد عاملًا حاسمًا في تحسين الأداء المؤسسي ورفع كفاءة العمليات، كما أشارت دراسة </w:t>
      </w:r>
      <w:r w:rsidR="006D6065" w:rsidRPr="00017E38">
        <w:rPr>
          <w:rFonts w:ascii="Traditional Arabic" w:eastAsia="Calibri" w:hAnsi="Traditional Arabic" w:cs="Traditional Arabic" w:hint="cs"/>
          <w:sz w:val="32"/>
          <w:szCs w:val="32"/>
          <w:rtl/>
          <w:lang w:val="en-US"/>
        </w:rPr>
        <w:t>ال</w:t>
      </w:r>
      <w:r w:rsidRPr="00017E38">
        <w:rPr>
          <w:rFonts w:ascii="Traditional Arabic" w:eastAsia="Calibri" w:hAnsi="Traditional Arabic" w:cs="Traditional Arabic"/>
          <w:sz w:val="32"/>
          <w:szCs w:val="32"/>
          <w:rtl/>
          <w:lang w:val="en-US"/>
        </w:rPr>
        <w:t>سيد وآخرون (٢٠٢٤) إلى أهمية وضوح الرؤية وتحليل البيئة</w:t>
      </w:r>
      <w:r w:rsidR="00FC2729" w:rsidRPr="00017E38">
        <w:rPr>
          <w:rFonts w:ascii="Traditional Arabic" w:eastAsia="Calibri" w:hAnsi="Traditional Arabic" w:cs="Traditional Arabic" w:hint="cs"/>
          <w:sz w:val="32"/>
          <w:szCs w:val="32"/>
          <w:rtl/>
          <w:lang w:val="en-US"/>
        </w:rPr>
        <w:t xml:space="preserve"> الداخلية والخارجية</w:t>
      </w:r>
      <w:r w:rsidRPr="00017E38">
        <w:rPr>
          <w:rFonts w:ascii="Traditional Arabic" w:eastAsia="Calibri" w:hAnsi="Traditional Arabic" w:cs="Traditional Arabic"/>
          <w:sz w:val="32"/>
          <w:szCs w:val="32"/>
          <w:rtl/>
          <w:lang w:val="en-US"/>
        </w:rPr>
        <w:t xml:space="preserve"> وتخصيص الموارد </w:t>
      </w:r>
      <w:r w:rsidR="00FC2729" w:rsidRPr="00017E38">
        <w:rPr>
          <w:rFonts w:ascii="Traditional Arabic" w:eastAsia="Calibri" w:hAnsi="Traditional Arabic" w:cs="Traditional Arabic"/>
          <w:sz w:val="32"/>
          <w:szCs w:val="32"/>
          <w:rtl/>
          <w:lang w:val="en-US"/>
        </w:rPr>
        <w:t xml:space="preserve">والقدرات التنظيمية </w:t>
      </w:r>
      <w:r w:rsidRPr="00017E38">
        <w:rPr>
          <w:rFonts w:ascii="Traditional Arabic" w:eastAsia="Calibri" w:hAnsi="Traditional Arabic" w:cs="Traditional Arabic"/>
          <w:sz w:val="32"/>
          <w:szCs w:val="32"/>
          <w:rtl/>
          <w:lang w:val="en-US"/>
        </w:rPr>
        <w:t>لمواءمة التوجهات الاستراتيجية مع متطلبات الواقع. وتدعم دراسات أخرى مثل الزهراني (٢٠٢١) هذا التوجه من خلال إبراز أثر المتابعة والتقييم وتكامل السياسات على جودة التنفيذ</w:t>
      </w:r>
      <w:r w:rsidRPr="00017E38">
        <w:rPr>
          <w:rFonts w:ascii="Traditional Arabic" w:eastAsia="Calibri" w:hAnsi="Traditional Arabic" w:cs="Traditional Arabic"/>
          <w:sz w:val="32"/>
          <w:szCs w:val="32"/>
          <w:lang w:val="en-US"/>
        </w:rPr>
        <w:t>.</w:t>
      </w:r>
    </w:p>
    <w:p w14:paraId="700F503A" w14:textId="43077196" w:rsidR="00FA5CA4" w:rsidRPr="00773D69" w:rsidRDefault="00FA5CA4" w:rsidP="008917EC">
      <w:pPr>
        <w:bidi/>
        <w:spacing w:line="360" w:lineRule="auto"/>
        <w:ind w:firstLine="720"/>
        <w:jc w:val="both"/>
        <w:rPr>
          <w:rFonts w:ascii="Traditional Arabic" w:eastAsia="Calibri" w:hAnsi="Traditional Arabic" w:cs="Traditional Arabic"/>
          <w:sz w:val="32"/>
          <w:szCs w:val="32"/>
          <w:lang w:val="en-US"/>
        </w:rPr>
      </w:pPr>
      <w:r w:rsidRPr="00017E38">
        <w:rPr>
          <w:rFonts w:ascii="Traditional Arabic" w:eastAsia="Calibri" w:hAnsi="Traditional Arabic" w:cs="Traditional Arabic"/>
          <w:sz w:val="32"/>
          <w:szCs w:val="32"/>
          <w:rtl/>
          <w:lang w:val="en-US"/>
        </w:rPr>
        <w:t xml:space="preserve">وعلى الرغم من تعدد الدراسات التي تناولت التخطيط الاستراتيجي في سياقات وطنية أو خدمية، إلا أن السياق الخليجي يتميّز بخصوصيات مؤسسية ترتبط بتعدد مستويات الحوكمة، وتفاوت الهياكل التنظيمية، وصعوبات مواءمة السياسات والإجراءات بين المنظمات التابعة </w:t>
      </w:r>
      <w:r w:rsidR="009E72A0" w:rsidRPr="00017E38">
        <w:rPr>
          <w:rFonts w:ascii="Traditional Arabic" w:eastAsia="Calibri" w:hAnsi="Traditional Arabic" w:cs="Traditional Arabic" w:hint="cs"/>
          <w:sz w:val="32"/>
          <w:szCs w:val="32"/>
          <w:rtl/>
          <w:lang w:val="en-US"/>
        </w:rPr>
        <w:t>لمجلس التعاون الخليجي</w:t>
      </w:r>
      <w:r w:rsidRPr="00017E38">
        <w:rPr>
          <w:rFonts w:ascii="Traditional Arabic" w:eastAsia="Calibri" w:hAnsi="Traditional Arabic" w:cs="Traditional Arabic"/>
          <w:sz w:val="32"/>
          <w:szCs w:val="32"/>
          <w:rtl/>
          <w:lang w:val="en-US"/>
        </w:rPr>
        <w:t>. كما</w:t>
      </w:r>
      <w:r w:rsidRPr="00773D69">
        <w:rPr>
          <w:rFonts w:ascii="Traditional Arabic" w:eastAsia="Calibri" w:hAnsi="Traditional Arabic" w:cs="Traditional Arabic"/>
          <w:sz w:val="32"/>
          <w:szCs w:val="32"/>
          <w:rtl/>
          <w:lang w:val="en-US"/>
        </w:rPr>
        <w:t xml:space="preserve"> أن العمل الخليجي المشترك، في الظروف العادية أو أثناء الأزمات الأمنية والصحية، يعتمد بدرجة كبيرة على مستوى نضج التخطيط الاستراتيجي </w:t>
      </w:r>
      <w:r w:rsidRPr="00773D69">
        <w:rPr>
          <w:rFonts w:ascii="Traditional Arabic" w:eastAsia="Calibri" w:hAnsi="Traditional Arabic" w:cs="Traditional Arabic"/>
          <w:sz w:val="32"/>
          <w:szCs w:val="32"/>
          <w:rtl/>
          <w:lang w:val="en-US"/>
        </w:rPr>
        <w:lastRenderedPageBreak/>
        <w:t xml:space="preserve">وقدرته على دعم الاستجابة المشتركة وتوحيد الجهود، كما </w:t>
      </w:r>
      <w:r w:rsidR="008917EC" w:rsidRPr="00773D69">
        <w:rPr>
          <w:rFonts w:ascii="Traditional Arabic" w:eastAsia="Calibri" w:hAnsi="Traditional Arabic" w:cs="Traditional Arabic"/>
          <w:sz w:val="32"/>
          <w:szCs w:val="32"/>
          <w:rtl/>
          <w:lang w:val="en-US"/>
        </w:rPr>
        <w:t xml:space="preserve">يشير ذلك عشقي (٢٠١٢) في تحليله لتحديات </w:t>
      </w:r>
      <w:r w:rsidRPr="00773D69">
        <w:rPr>
          <w:rFonts w:ascii="Traditional Arabic" w:eastAsia="Calibri" w:hAnsi="Traditional Arabic" w:cs="Traditional Arabic"/>
          <w:sz w:val="32"/>
          <w:szCs w:val="32"/>
          <w:rtl/>
          <w:lang w:val="en-US"/>
        </w:rPr>
        <w:t>التكامل الخليجي</w:t>
      </w:r>
      <w:r w:rsidRPr="00773D69">
        <w:rPr>
          <w:rFonts w:ascii="Traditional Arabic" w:eastAsia="Calibri" w:hAnsi="Traditional Arabic" w:cs="Traditional Arabic"/>
          <w:sz w:val="32"/>
          <w:szCs w:val="32"/>
          <w:lang w:val="en-US"/>
        </w:rPr>
        <w:t>.</w:t>
      </w:r>
    </w:p>
    <w:p w14:paraId="1685B48A" w14:textId="76CDEF28" w:rsidR="00FA5CA4" w:rsidRPr="00017E38" w:rsidRDefault="00FA5CA4" w:rsidP="00FA5CA4">
      <w:pPr>
        <w:bidi/>
        <w:spacing w:line="360" w:lineRule="auto"/>
        <w:ind w:firstLine="720"/>
        <w:jc w:val="both"/>
        <w:rPr>
          <w:rFonts w:ascii="Traditional Arabic" w:eastAsia="Calibri" w:hAnsi="Traditional Arabic" w:cs="Traditional Arabic"/>
          <w:sz w:val="32"/>
          <w:szCs w:val="32"/>
          <w:rtl/>
          <w:lang w:val="en-US"/>
        </w:rPr>
      </w:pPr>
      <w:r w:rsidRPr="00017E38">
        <w:rPr>
          <w:rFonts w:ascii="Traditional Arabic" w:eastAsia="Calibri" w:hAnsi="Traditional Arabic" w:cs="Traditional Arabic"/>
          <w:sz w:val="32"/>
          <w:szCs w:val="32"/>
          <w:rtl/>
          <w:lang w:val="en-US"/>
        </w:rPr>
        <w:t xml:space="preserve">ويشير ذلك إلى أهمية إجراء دراسة علمية تتناول نضج التخطيط الاستراتيجي داخل منظمات </w:t>
      </w:r>
      <w:r w:rsidR="00B22DF2" w:rsidRPr="00017E38">
        <w:rPr>
          <w:rFonts w:ascii="Traditional Arabic" w:eastAsia="Calibri" w:hAnsi="Traditional Arabic" w:cs="Traditional Arabic" w:hint="cs"/>
          <w:sz w:val="32"/>
          <w:szCs w:val="32"/>
          <w:rtl/>
          <w:lang w:val="en-US"/>
        </w:rPr>
        <w:t>مجلس التعاون الخليجي</w:t>
      </w:r>
      <w:r w:rsidRPr="00017E38">
        <w:rPr>
          <w:rFonts w:ascii="Traditional Arabic" w:eastAsia="Calibri" w:hAnsi="Traditional Arabic" w:cs="Traditional Arabic"/>
          <w:sz w:val="32"/>
          <w:szCs w:val="32"/>
          <w:rtl/>
          <w:lang w:val="en-US"/>
        </w:rPr>
        <w:t xml:space="preserve"> نفسها، وليس فقط على مستوى الدول أو القطاعات، من أجل فهم مدى إسهامه في تعزيز التكامل المؤسسي، وتحديد جوانب القوة والقصور في عمليات التخطيط والممارسات التنظيمية المتعلقة به</w:t>
      </w:r>
      <w:r w:rsidRPr="00017E38">
        <w:rPr>
          <w:rFonts w:ascii="Traditional Arabic" w:eastAsia="Calibri" w:hAnsi="Traditional Arabic" w:cs="Traditional Arabic"/>
          <w:sz w:val="32"/>
          <w:szCs w:val="32"/>
          <w:lang w:val="en-US"/>
        </w:rPr>
        <w:t>.</w:t>
      </w:r>
    </w:p>
    <w:p w14:paraId="59D3157D" w14:textId="77777777" w:rsidR="000C53FE" w:rsidRPr="00017E38" w:rsidRDefault="000C53FE" w:rsidP="000C53FE">
      <w:pPr>
        <w:bidi/>
        <w:spacing w:line="360" w:lineRule="auto"/>
        <w:ind w:firstLine="720"/>
        <w:jc w:val="both"/>
        <w:rPr>
          <w:rFonts w:ascii="Traditional Arabic" w:eastAsia="Calibri" w:hAnsi="Traditional Arabic" w:cs="Traditional Arabic"/>
          <w:sz w:val="32"/>
          <w:szCs w:val="32"/>
          <w:lang w:val="en-US"/>
        </w:rPr>
      </w:pPr>
    </w:p>
    <w:p w14:paraId="2274A376" w14:textId="77777777" w:rsidR="00966329" w:rsidRPr="00017E38" w:rsidRDefault="00966329" w:rsidP="00966329">
      <w:pPr>
        <w:keepNext/>
        <w:keepLines/>
        <w:bidi/>
        <w:spacing w:after="0" w:line="360" w:lineRule="auto"/>
        <w:jc w:val="both"/>
        <w:outlineLvl w:val="0"/>
        <w:rPr>
          <w:rFonts w:ascii="Traditional Arabic" w:eastAsia="Calibri" w:hAnsi="Traditional Arabic" w:cs="Traditional Arabic"/>
          <w:b/>
          <w:bCs/>
          <w:sz w:val="32"/>
          <w:szCs w:val="32"/>
          <w:rtl/>
          <w:lang w:val="en-US"/>
        </w:rPr>
      </w:pPr>
      <w:r w:rsidRPr="00017E38">
        <w:rPr>
          <w:rFonts w:ascii="Traditional Arabic" w:eastAsia="Calibri" w:hAnsi="Traditional Arabic" w:cs="Traditional Arabic"/>
          <w:b/>
          <w:bCs/>
          <w:sz w:val="32"/>
          <w:szCs w:val="32"/>
          <w:rtl/>
          <w:lang w:val="en-US"/>
        </w:rPr>
        <w:t>الفجوة البحثية</w:t>
      </w:r>
    </w:p>
    <w:p w14:paraId="1B04894C" w14:textId="3584A6DD" w:rsidR="00F72BC0" w:rsidRPr="00017E38" w:rsidRDefault="00966329" w:rsidP="00966329">
      <w:pPr>
        <w:keepNext/>
        <w:keepLines/>
        <w:bidi/>
        <w:spacing w:after="0" w:line="360" w:lineRule="auto"/>
        <w:jc w:val="both"/>
        <w:outlineLvl w:val="0"/>
        <w:rPr>
          <w:rFonts w:ascii="Traditional Arabic" w:eastAsia="Calibri" w:hAnsi="Traditional Arabic" w:cs="Traditional Arabic"/>
          <w:sz w:val="32"/>
          <w:szCs w:val="32"/>
          <w:rtl/>
        </w:rPr>
      </w:pPr>
      <w:r w:rsidRPr="00017E38">
        <w:rPr>
          <w:rFonts w:ascii="Traditional Arabic" w:eastAsia="Calibri" w:hAnsi="Traditional Arabic" w:cs="Traditional Arabic"/>
          <w:sz w:val="32"/>
          <w:szCs w:val="32"/>
          <w:rtl/>
          <w:lang w:val="en-US"/>
        </w:rPr>
        <w:t xml:space="preserve">تكشف مراجعة الأدبيات أن الدراسات السابقة تناولت التخطيط الاستراتيجي في سياقات وطنية وقطاعية، كما ناقشت بعض الدراسات تحديات التنسيق المؤسسي داخل منظومة العمل الخليجي المشترك، إلا أنها لم تتناول بصورة مباشرة العلاقة بين مستوى نضج التخطيط الاستراتيجي والتكامل المؤسسي داخل منظمات </w:t>
      </w:r>
      <w:r w:rsidR="00B22DF2" w:rsidRPr="00017E38">
        <w:rPr>
          <w:rFonts w:ascii="Traditional Arabic" w:eastAsia="Calibri" w:hAnsi="Traditional Arabic" w:cs="Traditional Arabic" w:hint="cs"/>
          <w:sz w:val="32"/>
          <w:szCs w:val="32"/>
          <w:rtl/>
          <w:lang w:val="en-US"/>
        </w:rPr>
        <w:t>مجلس</w:t>
      </w:r>
      <w:r w:rsidRPr="00017E38">
        <w:rPr>
          <w:rFonts w:ascii="Traditional Arabic" w:eastAsia="Calibri" w:hAnsi="Traditional Arabic" w:cs="Traditional Arabic"/>
          <w:sz w:val="32"/>
          <w:szCs w:val="32"/>
          <w:rtl/>
          <w:lang w:val="en-US"/>
        </w:rPr>
        <w:t xml:space="preserve"> التعاون</w:t>
      </w:r>
      <w:r w:rsidR="00B22DF2" w:rsidRPr="00017E38">
        <w:rPr>
          <w:rFonts w:ascii="Traditional Arabic" w:eastAsia="Calibri" w:hAnsi="Traditional Arabic" w:cs="Traditional Arabic" w:hint="cs"/>
          <w:sz w:val="32"/>
          <w:szCs w:val="32"/>
          <w:rtl/>
          <w:lang w:val="en-US"/>
        </w:rPr>
        <w:t xml:space="preserve"> الخليجي</w:t>
      </w:r>
      <w:r w:rsidRPr="00017E38">
        <w:rPr>
          <w:rFonts w:ascii="Traditional Arabic" w:eastAsia="Calibri" w:hAnsi="Traditional Arabic" w:cs="Traditional Arabic"/>
          <w:sz w:val="32"/>
          <w:szCs w:val="32"/>
          <w:rtl/>
          <w:lang w:val="en-US"/>
        </w:rPr>
        <w:t>. وتبرز الفجوة البحثية في غياب تحليل ميداني يختبر هذا الترابط داخل سياق مؤسسي إقليمي يتسم بتعدد السيادة وتفاوت الهياكل وصعوبة مواءمة السياسات، وهو ما يستدعي دراسة علمية معمّقة تسعى إلى قياس أثر نضج التخطيط الاستراتيجي في تعزيز التكامل بين هذه المنظمات</w:t>
      </w:r>
      <w:r w:rsidRPr="00017E38">
        <w:rPr>
          <w:rFonts w:ascii="Traditional Arabic" w:eastAsia="Calibri" w:hAnsi="Traditional Arabic" w:cs="Traditional Arabic"/>
          <w:sz w:val="32"/>
          <w:szCs w:val="32"/>
        </w:rPr>
        <w:t>.</w:t>
      </w:r>
    </w:p>
    <w:p w14:paraId="11EC37D3" w14:textId="77777777" w:rsidR="000C53FE" w:rsidRPr="00017E38" w:rsidRDefault="000C53FE" w:rsidP="000C53FE">
      <w:pPr>
        <w:keepNext/>
        <w:keepLines/>
        <w:bidi/>
        <w:spacing w:after="0" w:line="360" w:lineRule="auto"/>
        <w:jc w:val="both"/>
        <w:outlineLvl w:val="0"/>
        <w:rPr>
          <w:rFonts w:ascii="Traditional Arabic" w:eastAsia="等线 Light" w:hAnsi="Traditional Arabic" w:cs="Traditional Arabic"/>
          <w:b/>
          <w:bCs/>
          <w:color w:val="000000"/>
          <w:sz w:val="32"/>
          <w:szCs w:val="32"/>
          <w:rtl/>
          <w:lang w:val="en-US"/>
        </w:rPr>
      </w:pPr>
    </w:p>
    <w:p w14:paraId="1813D964" w14:textId="77777777" w:rsidR="00F72BC0" w:rsidRPr="00017E38" w:rsidRDefault="00F72BC0" w:rsidP="00F72BC0">
      <w:pPr>
        <w:keepNext/>
        <w:keepLines/>
        <w:bidi/>
        <w:spacing w:after="0" w:line="360" w:lineRule="auto"/>
        <w:jc w:val="both"/>
        <w:outlineLvl w:val="0"/>
        <w:rPr>
          <w:rFonts w:ascii="Traditional Arabic" w:eastAsia="等线 Light" w:hAnsi="Traditional Arabic" w:cs="Traditional Arabic"/>
          <w:b/>
          <w:bCs/>
          <w:color w:val="000000"/>
          <w:sz w:val="36"/>
          <w:szCs w:val="36"/>
          <w:rtl/>
          <w:lang w:val="en-US"/>
        </w:rPr>
      </w:pPr>
      <w:r w:rsidRPr="00017E38">
        <w:rPr>
          <w:rFonts w:ascii="Traditional Arabic" w:eastAsia="等线 Light" w:hAnsi="Traditional Arabic" w:cs="Traditional Arabic"/>
          <w:b/>
          <w:bCs/>
          <w:color w:val="000000"/>
          <w:sz w:val="36"/>
          <w:szCs w:val="36"/>
          <w:rtl/>
          <w:lang w:val="en-US"/>
        </w:rPr>
        <w:t>مشكلة الدراسة</w:t>
      </w:r>
      <w:bookmarkEnd w:id="1"/>
      <w:r w:rsidR="009F1498" w:rsidRPr="00017E38">
        <w:rPr>
          <w:rFonts w:ascii="Traditional Arabic" w:eastAsia="等线 Light" w:hAnsi="Traditional Arabic" w:cs="Traditional Arabic" w:hint="cs"/>
          <w:b/>
          <w:bCs/>
          <w:color w:val="000000"/>
          <w:sz w:val="36"/>
          <w:szCs w:val="36"/>
          <w:rtl/>
          <w:lang w:val="en-US"/>
        </w:rPr>
        <w:t xml:space="preserve"> وتساؤلاتها </w:t>
      </w:r>
    </w:p>
    <w:p w14:paraId="4C878E52" w14:textId="1695D50E" w:rsidR="00FA5CA4" w:rsidRPr="00017E38" w:rsidRDefault="00FA5CA4" w:rsidP="00FC2729">
      <w:pPr>
        <w:bidi/>
        <w:spacing w:after="0" w:line="360" w:lineRule="auto"/>
        <w:ind w:firstLine="720"/>
        <w:jc w:val="both"/>
        <w:rPr>
          <w:rFonts w:ascii="Traditional Arabic" w:eastAsia="Calibri" w:hAnsi="Traditional Arabic" w:cs="Traditional Arabic"/>
          <w:sz w:val="32"/>
          <w:szCs w:val="32"/>
          <w:lang w:val="en-US"/>
        </w:rPr>
      </w:pPr>
      <w:r w:rsidRPr="00017E38">
        <w:rPr>
          <w:rFonts w:ascii="Traditional Arabic" w:eastAsia="Calibri" w:hAnsi="Traditional Arabic" w:cs="Traditional Arabic"/>
          <w:sz w:val="32"/>
          <w:szCs w:val="32"/>
          <w:rtl/>
          <w:lang w:val="en-US"/>
        </w:rPr>
        <w:t xml:space="preserve">تشير المؤشرات الأولية داخل المنظمات التابعة </w:t>
      </w:r>
      <w:r w:rsidR="00000A46" w:rsidRPr="00017E38">
        <w:rPr>
          <w:rFonts w:ascii="Traditional Arabic" w:eastAsia="Calibri" w:hAnsi="Traditional Arabic" w:cs="Traditional Arabic" w:hint="cs"/>
          <w:sz w:val="32"/>
          <w:szCs w:val="32"/>
          <w:rtl/>
          <w:lang w:val="en-US"/>
        </w:rPr>
        <w:t>لمجلس</w:t>
      </w:r>
      <w:r w:rsidR="00000A46" w:rsidRPr="00017E38">
        <w:rPr>
          <w:rFonts w:ascii="Traditional Arabic" w:eastAsia="Calibri" w:hAnsi="Traditional Arabic" w:cs="Traditional Arabic"/>
          <w:sz w:val="32"/>
          <w:szCs w:val="32"/>
          <w:rtl/>
          <w:lang w:val="en-US"/>
        </w:rPr>
        <w:t xml:space="preserve"> التعاون</w:t>
      </w:r>
      <w:r w:rsidR="00000A46" w:rsidRPr="00017E38">
        <w:rPr>
          <w:rFonts w:ascii="Traditional Arabic" w:eastAsia="Calibri" w:hAnsi="Traditional Arabic" w:cs="Traditional Arabic" w:hint="cs"/>
          <w:sz w:val="32"/>
          <w:szCs w:val="32"/>
          <w:rtl/>
          <w:lang w:val="en-US"/>
        </w:rPr>
        <w:t xml:space="preserve"> الخليجي</w:t>
      </w:r>
      <w:r w:rsidR="00000A46" w:rsidRPr="00017E38">
        <w:rPr>
          <w:rFonts w:ascii="Traditional Arabic" w:eastAsia="Calibri" w:hAnsi="Traditional Arabic" w:cs="Traditional Arabic"/>
          <w:sz w:val="32"/>
          <w:szCs w:val="32"/>
          <w:rtl/>
          <w:lang w:val="en-US"/>
        </w:rPr>
        <w:t xml:space="preserve"> </w:t>
      </w:r>
      <w:r w:rsidRPr="00017E38">
        <w:rPr>
          <w:rFonts w:ascii="Traditional Arabic" w:eastAsia="Calibri" w:hAnsi="Traditional Arabic" w:cs="Traditional Arabic"/>
          <w:sz w:val="32"/>
          <w:szCs w:val="32"/>
          <w:rtl/>
          <w:lang w:val="en-US"/>
        </w:rPr>
        <w:t>إلى تفاوت ملموس</w:t>
      </w:r>
      <w:r w:rsidRPr="008917EC">
        <w:rPr>
          <w:rFonts w:ascii="Traditional Arabic" w:eastAsia="Calibri" w:hAnsi="Traditional Arabic" w:cs="Traditional Arabic"/>
          <w:sz w:val="32"/>
          <w:szCs w:val="32"/>
          <w:rtl/>
          <w:lang w:val="en-US"/>
        </w:rPr>
        <w:t xml:space="preserve"> في مستوى نضج التخطيط الاستراتيجي، يظهر في درجة وضوح الرؤية والأهداف، وتباين انتظام مراجعة الخطط، واختلاف مستوى </w:t>
      </w:r>
      <w:r w:rsidRPr="008917EC">
        <w:rPr>
          <w:rFonts w:ascii="Traditional Arabic" w:eastAsia="Calibri" w:hAnsi="Traditional Arabic" w:cs="Traditional Arabic"/>
          <w:sz w:val="32"/>
          <w:szCs w:val="32"/>
          <w:rtl/>
          <w:lang w:val="en-US"/>
        </w:rPr>
        <w:lastRenderedPageBreak/>
        <w:t>نضج بطاقة الأداء المتوازن بين الوحدات، إضافة إلى انخفاض نسب المبادرات المشتركة المنجزة وتفاوت زمن اعتماد السياسات العابرة للمنظمات. كما تعكس التقارير التنظيمية وجود قصور تطبيقي يتمثل في ضعف الربط بين الاستراتيجية والحوافز والإجراءات الداخلية، وتشتت الأولويات، وفجوات في تخصيص الموارد</w:t>
      </w:r>
      <w:r w:rsidR="00FC2729" w:rsidRPr="008917EC">
        <w:rPr>
          <w:rFonts w:ascii="Traditional Arabic" w:eastAsia="Calibri" w:hAnsi="Traditional Arabic" w:cs="Traditional Arabic"/>
          <w:color w:val="000000"/>
          <w:sz w:val="32"/>
          <w:szCs w:val="32"/>
          <w:rtl/>
          <w:lang w:val="en-US"/>
        </w:rPr>
        <w:t xml:space="preserve"> </w:t>
      </w:r>
      <w:r w:rsidR="00FC2729" w:rsidRPr="008917EC">
        <w:rPr>
          <w:rFonts w:ascii="Traditional Arabic" w:eastAsia="Calibri" w:hAnsi="Traditional Arabic" w:cs="Traditional Arabic"/>
          <w:sz w:val="32"/>
          <w:szCs w:val="32"/>
          <w:rtl/>
          <w:lang w:val="en-US"/>
        </w:rPr>
        <w:t xml:space="preserve">والقدرات التنظيمية </w:t>
      </w:r>
      <w:r w:rsidRPr="008917EC">
        <w:rPr>
          <w:rFonts w:ascii="Traditional Arabic" w:eastAsia="Calibri" w:hAnsi="Traditional Arabic" w:cs="Traditional Arabic"/>
          <w:sz w:val="32"/>
          <w:szCs w:val="32"/>
          <w:rtl/>
          <w:lang w:val="en-US"/>
        </w:rPr>
        <w:t xml:space="preserve">، وعدم انتظام </w:t>
      </w:r>
      <w:r w:rsidRPr="00017E38">
        <w:rPr>
          <w:rFonts w:ascii="Traditional Arabic" w:eastAsia="Calibri" w:hAnsi="Traditional Arabic" w:cs="Traditional Arabic"/>
          <w:sz w:val="32"/>
          <w:szCs w:val="32"/>
          <w:rtl/>
          <w:lang w:val="en-US"/>
        </w:rPr>
        <w:t>عمليات المتابعة والتقييم، مما ينعكس مباشرة على فعالية التكامل المؤسسي</w:t>
      </w:r>
      <w:r w:rsidRPr="00017E38">
        <w:rPr>
          <w:rFonts w:ascii="Traditional Arabic" w:eastAsia="Calibri" w:hAnsi="Traditional Arabic" w:cs="Traditional Arabic"/>
          <w:sz w:val="32"/>
          <w:szCs w:val="32"/>
          <w:lang w:val="en-US"/>
        </w:rPr>
        <w:t>.</w:t>
      </w:r>
    </w:p>
    <w:p w14:paraId="4803C559" w14:textId="5F7562DC" w:rsidR="009C7964" w:rsidRPr="00017E38" w:rsidRDefault="00FA5CA4" w:rsidP="00B37299">
      <w:pPr>
        <w:bidi/>
        <w:spacing w:after="0" w:line="360" w:lineRule="auto"/>
        <w:ind w:firstLine="720"/>
        <w:jc w:val="both"/>
        <w:rPr>
          <w:rFonts w:ascii="Traditional Arabic" w:eastAsia="Calibri" w:hAnsi="Traditional Arabic" w:cs="Traditional Arabic"/>
          <w:sz w:val="32"/>
          <w:szCs w:val="32"/>
          <w:rtl/>
          <w:lang w:val="en-US" w:bidi="ar-JO"/>
        </w:rPr>
      </w:pPr>
      <w:r w:rsidRPr="00017E38">
        <w:rPr>
          <w:rFonts w:ascii="Traditional Arabic" w:eastAsia="Calibri" w:hAnsi="Traditional Arabic" w:cs="Traditional Arabic"/>
          <w:sz w:val="32"/>
          <w:szCs w:val="32"/>
          <w:rtl/>
          <w:lang w:val="en-US"/>
        </w:rPr>
        <w:t xml:space="preserve">رغم تزايد الاهتمام المؤسسي بالتخطيط الاستراتيجي، تكشف الأدبيات عن فجوة واضحة في الدراسات التي تربط بصورة مباشرة بين مستوى نضج التخطيط الاستراتيجي بأبعاده الخمسة، وبين التكامل المؤسسي داخل منظمات </w:t>
      </w:r>
      <w:r w:rsidR="00000A46" w:rsidRPr="00017E38">
        <w:rPr>
          <w:rFonts w:ascii="Traditional Arabic" w:eastAsia="Calibri" w:hAnsi="Traditional Arabic" w:cs="Traditional Arabic" w:hint="cs"/>
          <w:sz w:val="32"/>
          <w:szCs w:val="32"/>
          <w:rtl/>
          <w:lang w:val="en-US"/>
        </w:rPr>
        <w:t>مجلس التعاون الخليجي</w:t>
      </w:r>
      <w:r w:rsidRPr="00017E38">
        <w:rPr>
          <w:rFonts w:ascii="Traditional Arabic" w:eastAsia="Calibri" w:hAnsi="Traditional Arabic" w:cs="Traditional Arabic"/>
          <w:sz w:val="32"/>
          <w:szCs w:val="32"/>
          <w:rtl/>
          <w:lang w:val="en-US"/>
        </w:rPr>
        <w:t>. ويعود ذلك إلى خصوصية هذا السياق الذي يتسم بتعدد السيادة، وتباين الهياكل التنظيمية، وصعوبات مواءمة السياسات والإجراءات المشتركة، مما يجعل اختبار هذه العلاقة داخل بيئة المجلس ضرورة علمية ومؤسسية</w:t>
      </w:r>
      <w:r w:rsidRPr="00017E38">
        <w:rPr>
          <w:rFonts w:ascii="Traditional Arabic" w:eastAsia="Calibri" w:hAnsi="Traditional Arabic" w:cs="Traditional Arabic"/>
          <w:sz w:val="32"/>
          <w:szCs w:val="32"/>
          <w:lang w:val="en-US"/>
        </w:rPr>
        <w:t>.</w:t>
      </w:r>
      <w:r w:rsidRPr="00017E38">
        <w:rPr>
          <w:rFonts w:ascii="Traditional Arabic" w:eastAsia="Calibri" w:hAnsi="Traditional Arabic" w:cs="Traditional Arabic" w:hint="cs"/>
          <w:sz w:val="32"/>
          <w:szCs w:val="32"/>
          <w:rtl/>
          <w:lang w:val="en-US" w:bidi="ar-JO"/>
        </w:rPr>
        <w:t xml:space="preserve"> </w:t>
      </w:r>
    </w:p>
    <w:p w14:paraId="076BB416" w14:textId="355E8563" w:rsidR="00D51468" w:rsidRPr="008917EC" w:rsidRDefault="00FA5CA4" w:rsidP="009C7964">
      <w:pPr>
        <w:bidi/>
        <w:spacing w:after="0" w:line="360" w:lineRule="auto"/>
        <w:ind w:firstLine="720"/>
        <w:jc w:val="both"/>
        <w:rPr>
          <w:rFonts w:ascii="Traditional Arabic" w:eastAsia="Calibri" w:hAnsi="Traditional Arabic" w:cs="Traditional Arabic"/>
          <w:sz w:val="32"/>
          <w:szCs w:val="32"/>
          <w:lang w:val="en-US"/>
        </w:rPr>
      </w:pPr>
      <w:r w:rsidRPr="00017E38">
        <w:rPr>
          <w:rFonts w:ascii="Traditional Arabic" w:eastAsia="Calibri" w:hAnsi="Traditional Arabic" w:cs="Traditional Arabic" w:hint="cs"/>
          <w:sz w:val="32"/>
          <w:szCs w:val="32"/>
          <w:rtl/>
          <w:lang w:val="en-US"/>
        </w:rPr>
        <w:t>لذلك</w:t>
      </w:r>
      <w:r w:rsidR="00D51468" w:rsidRPr="00017E38">
        <w:rPr>
          <w:rFonts w:ascii="Traditional Arabic" w:eastAsia="Calibri" w:hAnsi="Traditional Arabic" w:cs="Traditional Arabic"/>
          <w:sz w:val="32"/>
          <w:szCs w:val="32"/>
          <w:rtl/>
          <w:lang w:val="en-US"/>
        </w:rPr>
        <w:t>، تتمثل مشكلة الدراسة في غياب تحليل علمي يقيس مستوى نضج التخطيط الاستراتيجي في المنظمات التابعة لمجلس التعاون الخليجي، ويختبر أثر هذا</w:t>
      </w:r>
      <w:r w:rsidR="00B37299" w:rsidRPr="00017E38">
        <w:rPr>
          <w:rFonts w:ascii="Traditional Arabic" w:eastAsia="Calibri" w:hAnsi="Traditional Arabic" w:cs="Traditional Arabic"/>
          <w:sz w:val="32"/>
          <w:szCs w:val="32"/>
          <w:rtl/>
          <w:lang w:val="en-US"/>
        </w:rPr>
        <w:t xml:space="preserve"> النضج في تعزيز التكامل المؤسسي</w:t>
      </w:r>
      <w:r w:rsidR="00B37299" w:rsidRPr="00017E38">
        <w:rPr>
          <w:rFonts w:ascii="Traditional Arabic" w:eastAsia="Calibri" w:hAnsi="Traditional Arabic" w:cs="Traditional Arabic" w:hint="cs"/>
          <w:sz w:val="32"/>
          <w:szCs w:val="32"/>
          <w:rtl/>
          <w:lang w:val="en-US"/>
        </w:rPr>
        <w:t xml:space="preserve">، </w:t>
      </w:r>
      <w:r w:rsidR="00D51468" w:rsidRPr="00017E38">
        <w:rPr>
          <w:rFonts w:ascii="Traditional Arabic" w:eastAsia="Calibri" w:hAnsi="Traditional Arabic" w:cs="Traditional Arabic"/>
          <w:sz w:val="32"/>
          <w:szCs w:val="32"/>
          <w:rtl/>
          <w:lang w:val="en-US"/>
        </w:rPr>
        <w:t>وهو ما يقود إلى التساؤل الرئيس التالي</w:t>
      </w:r>
      <w:r w:rsidR="00D51468" w:rsidRPr="00017E38">
        <w:rPr>
          <w:rFonts w:ascii="Traditional Arabic" w:eastAsia="Calibri" w:hAnsi="Traditional Arabic" w:cs="Traditional Arabic"/>
          <w:sz w:val="32"/>
          <w:szCs w:val="32"/>
          <w:lang w:val="en-US"/>
        </w:rPr>
        <w:t>:</w:t>
      </w:r>
    </w:p>
    <w:p w14:paraId="49E870BB" w14:textId="77777777" w:rsidR="00F72BC0" w:rsidRPr="008917EC" w:rsidRDefault="00F72BC0" w:rsidP="00F72BC0">
      <w:pPr>
        <w:bidi/>
        <w:spacing w:after="0" w:line="360" w:lineRule="auto"/>
        <w:jc w:val="both"/>
        <w:rPr>
          <w:rFonts w:ascii="Traditional Arabic" w:eastAsia="Calibri" w:hAnsi="Traditional Arabic" w:cs="Traditional Arabic"/>
          <w:sz w:val="28"/>
          <w:szCs w:val="28"/>
          <w:rtl/>
          <w:lang w:val="en-US"/>
        </w:rPr>
      </w:pPr>
    </w:p>
    <w:p w14:paraId="75398D5F" w14:textId="77777777" w:rsidR="00F72BC0" w:rsidRPr="008917EC" w:rsidRDefault="00F72BC0" w:rsidP="00B37299">
      <w:pPr>
        <w:bidi/>
        <w:spacing w:after="0" w:line="360" w:lineRule="auto"/>
        <w:ind w:firstLine="720"/>
        <w:jc w:val="both"/>
        <w:rPr>
          <w:rFonts w:ascii="Traditional Arabic" w:eastAsia="Times New Roman" w:hAnsi="Traditional Arabic" w:cs="Traditional Arabic"/>
          <w:sz w:val="32"/>
          <w:szCs w:val="32"/>
          <w:rtl/>
          <w:lang w:eastAsia="en-GB"/>
        </w:rPr>
      </w:pPr>
      <w:r w:rsidRPr="008917EC">
        <w:rPr>
          <w:rFonts w:ascii="Traditional Arabic" w:eastAsia="Calibri" w:hAnsi="Traditional Arabic" w:cs="Traditional Arabic"/>
          <w:sz w:val="32"/>
          <w:szCs w:val="32"/>
          <w:rtl/>
          <w:lang w:val="en-US"/>
        </w:rPr>
        <w:t>بناءً على ما سبق، يمكن صياغة مشكلة الدراسة في التساؤل الرئيسي التالي:</w:t>
      </w:r>
      <w:r w:rsidRPr="008917EC">
        <w:rPr>
          <w:rFonts w:ascii="Traditional Arabic" w:eastAsia="Calibri" w:hAnsi="Traditional Arabic" w:cs="Traditional Arabic" w:hint="cs"/>
          <w:sz w:val="32"/>
          <w:szCs w:val="32"/>
          <w:rtl/>
          <w:lang w:val="en-US"/>
        </w:rPr>
        <w:t xml:space="preserve"> </w:t>
      </w:r>
      <w:r w:rsidRPr="008917EC">
        <w:rPr>
          <w:rFonts w:ascii="Traditional Arabic" w:eastAsia="Times New Roman" w:hAnsi="Traditional Arabic" w:cs="Traditional Arabic"/>
          <w:b/>
          <w:bCs/>
          <w:sz w:val="32"/>
          <w:szCs w:val="32"/>
          <w:rtl/>
          <w:lang w:eastAsia="en-GB"/>
        </w:rPr>
        <w:t>ما مستوى نضج التخطيط الاستراتيجي في المنظمات التابعة لمجلس التعاون الخليجي، وكيف يسهم هذا</w:t>
      </w:r>
      <w:r w:rsidR="00B37299" w:rsidRPr="008917EC">
        <w:rPr>
          <w:rFonts w:ascii="Traditional Arabic" w:eastAsia="Times New Roman" w:hAnsi="Traditional Arabic" w:cs="Traditional Arabic"/>
          <w:b/>
          <w:bCs/>
          <w:sz w:val="32"/>
          <w:szCs w:val="32"/>
          <w:rtl/>
          <w:lang w:eastAsia="en-GB"/>
        </w:rPr>
        <w:t xml:space="preserve"> النضج في تعزيز التكامل المؤسسي</w:t>
      </w:r>
      <w:r w:rsidRPr="008917EC">
        <w:rPr>
          <w:rFonts w:ascii="Traditional Arabic" w:eastAsia="Times New Roman" w:hAnsi="Traditional Arabic" w:cs="Traditional Arabic"/>
          <w:sz w:val="32"/>
          <w:szCs w:val="32"/>
          <w:rtl/>
          <w:lang w:eastAsia="en-GB"/>
        </w:rPr>
        <w:t>؟</w:t>
      </w:r>
      <w:r w:rsidRPr="008917EC">
        <w:rPr>
          <w:rFonts w:ascii="Traditional Arabic" w:eastAsia="Times New Roman" w:hAnsi="Traditional Arabic" w:cs="Traditional Arabic" w:hint="cs"/>
          <w:sz w:val="32"/>
          <w:szCs w:val="32"/>
          <w:rtl/>
          <w:lang w:eastAsia="en-GB"/>
        </w:rPr>
        <w:t>.</w:t>
      </w:r>
    </w:p>
    <w:p w14:paraId="3BF174BE" w14:textId="77777777" w:rsidR="00F72BC0" w:rsidRPr="008917EC" w:rsidRDefault="00F72BC0" w:rsidP="00F72BC0">
      <w:pPr>
        <w:bidi/>
        <w:spacing w:after="0" w:line="360" w:lineRule="auto"/>
        <w:jc w:val="both"/>
        <w:rPr>
          <w:rFonts w:ascii="Traditional Arabic" w:eastAsia="Calibri" w:hAnsi="Traditional Arabic" w:cs="Traditional Arabic"/>
          <w:sz w:val="32"/>
          <w:szCs w:val="32"/>
          <w:rtl/>
          <w:lang w:val="en-US"/>
        </w:rPr>
      </w:pPr>
    </w:p>
    <w:p w14:paraId="391860FC" w14:textId="77777777" w:rsidR="00F72BC0" w:rsidRPr="008917EC" w:rsidRDefault="00F72BC0" w:rsidP="00F72BC0">
      <w:pPr>
        <w:bidi/>
        <w:spacing w:after="0" w:line="360" w:lineRule="auto"/>
        <w:jc w:val="both"/>
        <w:rPr>
          <w:rFonts w:ascii="Traditional Arabic" w:eastAsia="Calibri" w:hAnsi="Traditional Arabic" w:cs="Traditional Arabic"/>
          <w:sz w:val="32"/>
          <w:szCs w:val="32"/>
          <w:rtl/>
          <w:lang w:val="en-US"/>
        </w:rPr>
      </w:pPr>
      <w:r w:rsidRPr="008917EC">
        <w:rPr>
          <w:rFonts w:ascii="Traditional Arabic" w:eastAsia="Calibri" w:hAnsi="Traditional Arabic" w:cs="Traditional Arabic"/>
          <w:sz w:val="32"/>
          <w:szCs w:val="32"/>
          <w:rtl/>
          <w:lang w:val="en-US"/>
        </w:rPr>
        <w:t>ينبثق من السؤال الرئيس</w:t>
      </w:r>
      <w:r w:rsidRPr="008917EC">
        <w:rPr>
          <w:rFonts w:ascii="Traditional Arabic" w:eastAsia="Calibri" w:hAnsi="Traditional Arabic" w:cs="Traditional Arabic" w:hint="cs"/>
          <w:sz w:val="32"/>
          <w:szCs w:val="32"/>
          <w:rtl/>
          <w:lang w:val="en-US"/>
        </w:rPr>
        <w:t>ي</w:t>
      </w:r>
      <w:r w:rsidRPr="008917EC">
        <w:rPr>
          <w:rFonts w:ascii="Traditional Arabic" w:eastAsia="Calibri" w:hAnsi="Traditional Arabic" w:cs="Traditional Arabic"/>
          <w:sz w:val="32"/>
          <w:szCs w:val="32"/>
          <w:rtl/>
          <w:lang w:val="en-US"/>
        </w:rPr>
        <w:t xml:space="preserve"> الأسئلة الفرعية التالية:</w:t>
      </w:r>
      <w:bookmarkStart w:id="2" w:name="_Toc205057540"/>
    </w:p>
    <w:p w14:paraId="774D73B8" w14:textId="77777777" w:rsidR="00F72BC0" w:rsidRPr="008917EC" w:rsidRDefault="00F72BC0" w:rsidP="00F72BC0">
      <w:pPr>
        <w:numPr>
          <w:ilvl w:val="0"/>
          <w:numId w:val="1"/>
        </w:numPr>
        <w:bidi/>
        <w:spacing w:after="0" w:line="360" w:lineRule="auto"/>
        <w:contextualSpacing/>
        <w:rPr>
          <w:rFonts w:ascii="Traditional Arabic" w:eastAsia="Calibri" w:hAnsi="Traditional Arabic" w:cs="Traditional Arabic"/>
          <w:color w:val="000000"/>
          <w:sz w:val="32"/>
          <w:szCs w:val="32"/>
          <w:lang w:val="en-US"/>
        </w:rPr>
      </w:pPr>
      <w:r w:rsidRPr="008917EC">
        <w:rPr>
          <w:rFonts w:ascii="Traditional Arabic" w:eastAsia="Calibri" w:hAnsi="Traditional Arabic" w:cs="Traditional Arabic"/>
          <w:color w:val="000000"/>
          <w:sz w:val="32"/>
          <w:szCs w:val="32"/>
          <w:rtl/>
          <w:lang w:val="en-US"/>
        </w:rPr>
        <w:lastRenderedPageBreak/>
        <w:t>ما مستوى نضج التخطيط الاستراتيجي في المنظمات التابعة لمجلس التعاون الخليجي؟</w:t>
      </w:r>
    </w:p>
    <w:p w14:paraId="715D4151" w14:textId="77777777" w:rsidR="00F72BC0" w:rsidRPr="008917EC" w:rsidRDefault="00F72BC0" w:rsidP="00B37299">
      <w:pPr>
        <w:numPr>
          <w:ilvl w:val="0"/>
          <w:numId w:val="1"/>
        </w:numPr>
        <w:bidi/>
        <w:spacing w:after="0" w:line="360" w:lineRule="auto"/>
        <w:contextualSpacing/>
        <w:rPr>
          <w:rFonts w:ascii="Traditional Arabic" w:eastAsia="Calibri" w:hAnsi="Traditional Arabic" w:cs="Traditional Arabic"/>
          <w:color w:val="000000"/>
          <w:sz w:val="32"/>
          <w:szCs w:val="32"/>
          <w:lang w:val="en-US"/>
        </w:rPr>
      </w:pPr>
      <w:r w:rsidRPr="008917EC">
        <w:rPr>
          <w:rFonts w:ascii="Traditional Arabic" w:eastAsia="Calibri" w:hAnsi="Traditional Arabic" w:cs="Traditional Arabic"/>
          <w:color w:val="000000"/>
          <w:sz w:val="32"/>
          <w:szCs w:val="32"/>
          <w:rtl/>
          <w:lang w:val="en-US"/>
        </w:rPr>
        <w:t>ما مستوى التكامل المؤسسي في المنظمات التابعة لمجلس التعاون الخليجي؟</w:t>
      </w:r>
    </w:p>
    <w:p w14:paraId="219FBAC9" w14:textId="77777777" w:rsidR="00F72BC0" w:rsidRPr="008917EC" w:rsidRDefault="00F72BC0" w:rsidP="00B37299">
      <w:pPr>
        <w:numPr>
          <w:ilvl w:val="0"/>
          <w:numId w:val="1"/>
        </w:numPr>
        <w:bidi/>
        <w:spacing w:after="0" w:line="360" w:lineRule="auto"/>
        <w:contextualSpacing/>
        <w:rPr>
          <w:rFonts w:ascii="Traditional Arabic" w:eastAsia="Calibri" w:hAnsi="Traditional Arabic" w:cs="Traditional Arabic"/>
          <w:color w:val="000000"/>
          <w:sz w:val="32"/>
          <w:szCs w:val="32"/>
          <w:lang w:val="en-US"/>
        </w:rPr>
      </w:pPr>
      <w:r w:rsidRPr="008917EC">
        <w:rPr>
          <w:rFonts w:ascii="Traditional Arabic" w:eastAsia="Calibri" w:hAnsi="Traditional Arabic" w:cs="Traditional Arabic"/>
          <w:color w:val="000000"/>
          <w:sz w:val="32"/>
          <w:szCs w:val="32"/>
          <w:rtl/>
          <w:lang w:val="en-US"/>
        </w:rPr>
        <w:t>ما أثر وضوح الرؤية والأهداف الاستراتيجية للمنظمات التابعة لمجلس التعاون ال</w:t>
      </w:r>
      <w:r w:rsidR="00B37299" w:rsidRPr="008917EC">
        <w:rPr>
          <w:rFonts w:ascii="Traditional Arabic" w:eastAsia="Calibri" w:hAnsi="Traditional Arabic" w:cs="Traditional Arabic"/>
          <w:color w:val="000000"/>
          <w:sz w:val="32"/>
          <w:szCs w:val="32"/>
          <w:rtl/>
          <w:lang w:val="en-US"/>
        </w:rPr>
        <w:t>خليجي على مستوى التكامل المؤسسي</w:t>
      </w:r>
      <w:r w:rsidRPr="008917EC">
        <w:rPr>
          <w:rFonts w:ascii="Traditional Arabic" w:eastAsia="Calibri" w:hAnsi="Traditional Arabic" w:cs="Traditional Arabic"/>
          <w:color w:val="000000"/>
          <w:sz w:val="32"/>
          <w:szCs w:val="32"/>
          <w:rtl/>
          <w:lang w:val="en-US"/>
        </w:rPr>
        <w:t>؟</w:t>
      </w:r>
    </w:p>
    <w:p w14:paraId="07CD7C54" w14:textId="77777777" w:rsidR="00F72BC0" w:rsidRPr="008917EC" w:rsidRDefault="00F72BC0" w:rsidP="00B37299">
      <w:pPr>
        <w:numPr>
          <w:ilvl w:val="0"/>
          <w:numId w:val="1"/>
        </w:numPr>
        <w:bidi/>
        <w:spacing w:after="0" w:line="360" w:lineRule="auto"/>
        <w:contextualSpacing/>
        <w:rPr>
          <w:rFonts w:ascii="Traditional Arabic" w:eastAsia="Calibri" w:hAnsi="Traditional Arabic" w:cs="Traditional Arabic"/>
          <w:color w:val="000000"/>
          <w:sz w:val="32"/>
          <w:szCs w:val="32"/>
          <w:lang w:val="en-US"/>
        </w:rPr>
      </w:pPr>
      <w:r w:rsidRPr="008917EC">
        <w:rPr>
          <w:rFonts w:ascii="Traditional Arabic" w:eastAsia="Calibri" w:hAnsi="Traditional Arabic" w:cs="Traditional Arabic"/>
          <w:color w:val="000000"/>
          <w:sz w:val="32"/>
          <w:szCs w:val="32"/>
          <w:rtl/>
          <w:lang w:val="en-US"/>
        </w:rPr>
        <w:t>ما أثر تحليل المنظمات التابعة لمجلس التعاون الخليجي للبيئة الداخلية والخ</w:t>
      </w:r>
      <w:r w:rsidR="00B37299" w:rsidRPr="008917EC">
        <w:rPr>
          <w:rFonts w:ascii="Traditional Arabic" w:eastAsia="Calibri" w:hAnsi="Traditional Arabic" w:cs="Traditional Arabic"/>
          <w:color w:val="000000"/>
          <w:sz w:val="32"/>
          <w:szCs w:val="32"/>
          <w:rtl/>
          <w:lang w:val="en-US"/>
        </w:rPr>
        <w:t>ارجية على مستوى التكامل المؤسسي</w:t>
      </w:r>
      <w:r w:rsidRPr="008917EC">
        <w:rPr>
          <w:rFonts w:ascii="Traditional Arabic" w:eastAsia="Calibri" w:hAnsi="Traditional Arabic" w:cs="Traditional Arabic"/>
          <w:color w:val="000000"/>
          <w:sz w:val="32"/>
          <w:szCs w:val="32"/>
          <w:rtl/>
          <w:lang w:val="en-US"/>
        </w:rPr>
        <w:t>؟</w:t>
      </w:r>
    </w:p>
    <w:p w14:paraId="712744AE" w14:textId="77777777" w:rsidR="00F72BC0" w:rsidRPr="008917EC" w:rsidRDefault="00F72BC0" w:rsidP="00B37299">
      <w:pPr>
        <w:numPr>
          <w:ilvl w:val="0"/>
          <w:numId w:val="1"/>
        </w:numPr>
        <w:bidi/>
        <w:spacing w:after="0" w:line="360" w:lineRule="auto"/>
        <w:contextualSpacing/>
        <w:rPr>
          <w:rFonts w:ascii="Traditional Arabic" w:eastAsia="Calibri" w:hAnsi="Traditional Arabic" w:cs="Traditional Arabic"/>
          <w:color w:val="000000"/>
          <w:sz w:val="32"/>
          <w:szCs w:val="32"/>
          <w:lang w:val="en-US"/>
        </w:rPr>
      </w:pPr>
      <w:r w:rsidRPr="008917EC">
        <w:rPr>
          <w:rFonts w:ascii="Traditional Arabic" w:eastAsia="Calibri" w:hAnsi="Traditional Arabic" w:cs="Traditional Arabic"/>
          <w:color w:val="000000"/>
          <w:sz w:val="32"/>
          <w:szCs w:val="32"/>
          <w:rtl/>
          <w:lang w:val="en-US"/>
        </w:rPr>
        <w:t>ما أثر تخصيص الموارد والقدرات التنظيمية في هذه المنظمات على مستوى التكامل المؤسسي؟</w:t>
      </w:r>
    </w:p>
    <w:p w14:paraId="0A82C0D3" w14:textId="77777777" w:rsidR="00F72BC0" w:rsidRPr="008917EC" w:rsidRDefault="00F72BC0" w:rsidP="00B37299">
      <w:pPr>
        <w:numPr>
          <w:ilvl w:val="0"/>
          <w:numId w:val="1"/>
        </w:numPr>
        <w:bidi/>
        <w:spacing w:after="0" w:line="360" w:lineRule="auto"/>
        <w:contextualSpacing/>
        <w:rPr>
          <w:rFonts w:ascii="Traditional Arabic" w:eastAsia="Calibri" w:hAnsi="Traditional Arabic" w:cs="Traditional Arabic"/>
          <w:color w:val="000000"/>
          <w:sz w:val="32"/>
          <w:szCs w:val="32"/>
          <w:lang w:val="en-US"/>
        </w:rPr>
      </w:pPr>
      <w:r w:rsidRPr="008917EC">
        <w:rPr>
          <w:rFonts w:ascii="Traditional Arabic" w:eastAsia="Calibri" w:hAnsi="Traditional Arabic" w:cs="Traditional Arabic"/>
          <w:color w:val="000000"/>
          <w:sz w:val="32"/>
          <w:szCs w:val="32"/>
          <w:rtl/>
          <w:lang w:val="en-US"/>
        </w:rPr>
        <w:t>ما أثر متابعة وتقييم الأداء الاستراتيجي في هذه المنظمات على مستوى التكامل المؤسسي؟</w:t>
      </w:r>
    </w:p>
    <w:p w14:paraId="552C0AA2" w14:textId="77777777" w:rsidR="00BE2ED3" w:rsidRPr="008917EC" w:rsidRDefault="00BE2ED3" w:rsidP="00B37299">
      <w:pPr>
        <w:pStyle w:val="ListParagraph"/>
        <w:numPr>
          <w:ilvl w:val="0"/>
          <w:numId w:val="1"/>
        </w:numPr>
        <w:spacing w:after="0" w:line="360" w:lineRule="auto"/>
        <w:rPr>
          <w:rFonts w:ascii="Traditional Arabic" w:hAnsi="Traditional Arabic" w:cs="Traditional Arabic"/>
          <w:color w:val="000000" w:themeColor="text1"/>
          <w:sz w:val="32"/>
          <w:szCs w:val="32"/>
        </w:rPr>
      </w:pPr>
      <w:r w:rsidRPr="008917EC">
        <w:rPr>
          <w:rFonts w:ascii="Traditional Arabic" w:hAnsi="Traditional Arabic" w:cs="Traditional Arabic"/>
          <w:color w:val="000000" w:themeColor="text1"/>
          <w:sz w:val="32"/>
          <w:szCs w:val="32"/>
          <w:rtl/>
        </w:rPr>
        <w:t>ما أثر ربط الاستراتيجية بالسياسات والإجراءات الداخلية في المنظمات التابعة لمجلس التعاون الخليجي على مستوى التكامل المؤسسي</w:t>
      </w:r>
      <w:r w:rsidRPr="008917EC">
        <w:rPr>
          <w:rFonts w:ascii="Traditional Arabic" w:hAnsi="Traditional Arabic" w:cs="Traditional Arabic"/>
          <w:color w:val="000000" w:themeColor="text1"/>
          <w:sz w:val="32"/>
          <w:szCs w:val="32"/>
        </w:rPr>
        <w:t>.</w:t>
      </w:r>
    </w:p>
    <w:p w14:paraId="15A0DA98" w14:textId="77777777" w:rsidR="00BE2ED3" w:rsidRPr="008917EC" w:rsidRDefault="00BE2ED3" w:rsidP="00BE2ED3">
      <w:pPr>
        <w:pStyle w:val="ListParagraph"/>
        <w:spacing w:after="0" w:line="360" w:lineRule="auto"/>
        <w:rPr>
          <w:rFonts w:ascii="Traditional Arabic" w:hAnsi="Traditional Arabic" w:cs="Traditional Arabic"/>
          <w:color w:val="000000" w:themeColor="text1"/>
          <w:sz w:val="32"/>
          <w:szCs w:val="32"/>
          <w:rtl/>
        </w:rPr>
      </w:pPr>
    </w:p>
    <w:p w14:paraId="56EEC8B7" w14:textId="77777777" w:rsidR="00F72BC0" w:rsidRPr="008917EC" w:rsidRDefault="00F72BC0" w:rsidP="00F72BC0">
      <w:pPr>
        <w:keepNext/>
        <w:keepLines/>
        <w:bidi/>
        <w:spacing w:after="0" w:line="360" w:lineRule="auto"/>
        <w:jc w:val="both"/>
        <w:outlineLvl w:val="0"/>
        <w:rPr>
          <w:rFonts w:ascii="Traditional Arabic" w:eastAsia="等线 Light" w:hAnsi="Traditional Arabic" w:cs="Traditional Arabic"/>
          <w:b/>
          <w:bCs/>
          <w:color w:val="000000"/>
          <w:sz w:val="36"/>
          <w:szCs w:val="36"/>
          <w:rtl/>
          <w:lang w:val="en-US"/>
        </w:rPr>
      </w:pPr>
      <w:bookmarkStart w:id="3" w:name="_Toc205057541"/>
      <w:bookmarkEnd w:id="2"/>
      <w:r w:rsidRPr="008917EC">
        <w:rPr>
          <w:rFonts w:ascii="Traditional Arabic" w:eastAsia="等线 Light" w:hAnsi="Traditional Arabic" w:cs="Traditional Arabic"/>
          <w:b/>
          <w:bCs/>
          <w:color w:val="000000"/>
          <w:sz w:val="36"/>
          <w:szCs w:val="36"/>
          <w:rtl/>
          <w:lang w:val="en-US"/>
        </w:rPr>
        <w:t>أهمية الدراسة</w:t>
      </w:r>
      <w:bookmarkEnd w:id="3"/>
    </w:p>
    <w:p w14:paraId="219709F8" w14:textId="77777777" w:rsidR="00F72BC0" w:rsidRPr="008917EC" w:rsidRDefault="00F72BC0" w:rsidP="00B37299">
      <w:pPr>
        <w:bidi/>
        <w:spacing w:after="0" w:line="360" w:lineRule="auto"/>
        <w:ind w:firstLine="720"/>
        <w:jc w:val="both"/>
        <w:rPr>
          <w:rFonts w:ascii="Traditional Arabic" w:eastAsia="Calibri" w:hAnsi="Traditional Arabic" w:cs="Traditional Arabic"/>
          <w:color w:val="000000"/>
          <w:sz w:val="32"/>
          <w:szCs w:val="32"/>
          <w:rtl/>
          <w:lang w:val="en-US"/>
        </w:rPr>
      </w:pPr>
      <w:bookmarkStart w:id="4" w:name="_Toc205057542"/>
      <w:r w:rsidRPr="008917EC">
        <w:rPr>
          <w:rFonts w:ascii="Traditional Arabic" w:eastAsia="Calibri" w:hAnsi="Traditional Arabic" w:cs="Traditional Arabic"/>
          <w:color w:val="000000"/>
          <w:sz w:val="32"/>
          <w:szCs w:val="32"/>
          <w:rtl/>
          <w:lang w:val="en-US"/>
        </w:rPr>
        <w:t>تكتسب هذه الدراسة أهميتها من كونها تسد فجوة بحثية واضحة في الأدبيات المتعلقة بالتخطيط الاستراتيجي على مستوى منظمات مجلس التعاون الخليجي، إذ لم يتم دراسة مستوى نضج التخطيط الاستراتيجي وأثره على تعزيز التكامل المؤسسي بشكل معمّق. وبذلك، تتيح الدراسة إسهامًا مزدوج الأبعاد:</w:t>
      </w:r>
    </w:p>
    <w:p w14:paraId="3A6641BE" w14:textId="77777777" w:rsidR="00F72BC0" w:rsidRPr="008917EC" w:rsidRDefault="00F72BC0" w:rsidP="00F72BC0">
      <w:pPr>
        <w:bidi/>
        <w:spacing w:after="0" w:line="360" w:lineRule="auto"/>
        <w:jc w:val="both"/>
        <w:rPr>
          <w:rFonts w:ascii="Traditional Arabic" w:eastAsia="Calibri" w:hAnsi="Traditional Arabic" w:cs="Traditional Arabic"/>
          <w:b/>
          <w:bCs/>
          <w:color w:val="000000"/>
          <w:sz w:val="32"/>
          <w:szCs w:val="32"/>
          <w:rtl/>
          <w:lang w:val="en-US"/>
        </w:rPr>
      </w:pPr>
      <w:r w:rsidRPr="008917EC">
        <w:rPr>
          <w:rFonts w:ascii="Traditional Arabic" w:eastAsia="Calibri" w:hAnsi="Traditional Arabic" w:cs="Traditional Arabic"/>
          <w:b/>
          <w:bCs/>
          <w:color w:val="000000"/>
          <w:sz w:val="32"/>
          <w:szCs w:val="32"/>
          <w:rtl/>
          <w:lang w:val="en-US"/>
        </w:rPr>
        <w:t>أولاً: الأهمية النظرية</w:t>
      </w:r>
    </w:p>
    <w:p w14:paraId="4E3BD61B" w14:textId="77777777" w:rsidR="009C7964" w:rsidRDefault="00EB50E8" w:rsidP="00EB50E8">
      <w:pPr>
        <w:bidi/>
        <w:spacing w:after="0" w:line="360" w:lineRule="auto"/>
        <w:ind w:firstLine="720"/>
        <w:jc w:val="both"/>
        <w:rPr>
          <w:rFonts w:ascii="Traditional Arabic" w:eastAsia="Calibri" w:hAnsi="Traditional Arabic" w:cs="Traditional Arabic"/>
          <w:color w:val="000000"/>
          <w:sz w:val="32"/>
          <w:szCs w:val="32"/>
          <w:rtl/>
          <w:lang w:val="en-US"/>
        </w:rPr>
      </w:pPr>
      <w:r w:rsidRPr="008917EC">
        <w:rPr>
          <w:rFonts w:ascii="Traditional Arabic" w:eastAsia="Calibri" w:hAnsi="Traditional Arabic" w:cs="Traditional Arabic"/>
          <w:color w:val="000000"/>
          <w:sz w:val="32"/>
          <w:szCs w:val="32"/>
          <w:rtl/>
          <w:lang w:val="en-US"/>
        </w:rPr>
        <w:lastRenderedPageBreak/>
        <w:t>تكمن الأهمية النظرية لهذه الدراسة في إدماج مفهوم نضج التخطيط الاستراتيجي بوصفه متغيرًا تفسيريًا قادرًا على توضيح الفروق في مستويات التكامل المؤسسي داخل بيئات تنظيمية متعددة السيادة، وهو نطاق لم يحظَ باهتمام كافٍ في</w:t>
      </w:r>
      <w:r w:rsidR="009C7964">
        <w:rPr>
          <w:rFonts w:ascii="Traditional Arabic" w:eastAsia="Calibri" w:hAnsi="Traditional Arabic" w:cs="Traditional Arabic"/>
          <w:color w:val="000000"/>
          <w:sz w:val="32"/>
          <w:szCs w:val="32"/>
          <w:rtl/>
          <w:lang w:val="en-US"/>
        </w:rPr>
        <w:t xml:space="preserve"> الأدبيات الإدارية والتنظيمية. </w:t>
      </w:r>
    </w:p>
    <w:p w14:paraId="34F277FB" w14:textId="1FEC17BE" w:rsidR="009C7964" w:rsidRPr="008917EC" w:rsidRDefault="00EB50E8" w:rsidP="00317CC3">
      <w:pPr>
        <w:bidi/>
        <w:spacing w:after="0" w:line="360" w:lineRule="auto"/>
        <w:ind w:firstLine="720"/>
        <w:jc w:val="both"/>
        <w:rPr>
          <w:rFonts w:ascii="Traditional Arabic" w:eastAsia="Calibri" w:hAnsi="Traditional Arabic" w:cs="Traditional Arabic"/>
          <w:color w:val="000000"/>
          <w:sz w:val="32"/>
          <w:szCs w:val="32"/>
          <w:rtl/>
        </w:rPr>
      </w:pPr>
      <w:r w:rsidRPr="008917EC">
        <w:rPr>
          <w:rFonts w:ascii="Traditional Arabic" w:eastAsia="Calibri" w:hAnsi="Traditional Arabic" w:cs="Traditional Arabic"/>
          <w:color w:val="000000"/>
          <w:sz w:val="32"/>
          <w:szCs w:val="32"/>
          <w:rtl/>
          <w:lang w:val="en-US"/>
        </w:rPr>
        <w:t>تبرز قيمة هذا الإسهام في كونه يوسع الإطار المعرفي للتخطيط الاستراتيجي من التركيز التقليدي على الأداء أو الكفاءة الداخلية إلى توسيعه ليشمل آثارًا بنيوية تتعلق بالتنسيق المؤسسي بين منظمات تعمل تحت مظلة إقليمية ذات سيادة مستقلة لكل عضو. كما تساهم الدراسة في تطوير النماذج النظرية المرتبطة بعمليات التخطيط من خلال اقتراح مقاربة تحليلية يمكن تعميمها على منظمات إقليمية مشابهة، مما يثري النقاش الأكاديمي حول دور النضج الاستراتيجي في تفسير ديناميات العمل المشترك في الأطر متعددة المستويات</w:t>
      </w:r>
      <w:r w:rsidRPr="008917EC">
        <w:rPr>
          <w:rFonts w:ascii="Traditional Arabic" w:eastAsia="Calibri" w:hAnsi="Traditional Arabic" w:cs="Traditional Arabic"/>
          <w:color w:val="000000"/>
          <w:sz w:val="32"/>
          <w:szCs w:val="32"/>
        </w:rPr>
        <w:t>.</w:t>
      </w:r>
    </w:p>
    <w:p w14:paraId="6EE58E05" w14:textId="77777777" w:rsidR="00F72BC0" w:rsidRPr="009C7964" w:rsidRDefault="00F72BC0" w:rsidP="00EB50E8">
      <w:pPr>
        <w:bidi/>
        <w:spacing w:after="0" w:line="360" w:lineRule="auto"/>
        <w:jc w:val="both"/>
        <w:rPr>
          <w:rFonts w:ascii="Traditional Arabic" w:eastAsia="Calibri" w:hAnsi="Traditional Arabic" w:cs="Traditional Arabic"/>
          <w:b/>
          <w:bCs/>
          <w:color w:val="000000"/>
          <w:sz w:val="32"/>
          <w:szCs w:val="32"/>
          <w:rtl/>
          <w:lang w:val="en-US" w:bidi="ar-AE"/>
        </w:rPr>
      </w:pPr>
      <w:r w:rsidRPr="009C7964">
        <w:rPr>
          <w:rFonts w:ascii="Traditional Arabic" w:eastAsia="Calibri" w:hAnsi="Traditional Arabic" w:cs="Traditional Arabic"/>
          <w:b/>
          <w:bCs/>
          <w:color w:val="000000"/>
          <w:sz w:val="32"/>
          <w:szCs w:val="32"/>
          <w:rtl/>
          <w:lang w:val="en-US"/>
        </w:rPr>
        <w:t>ثانياً: الأهمية التطبيقية</w:t>
      </w:r>
    </w:p>
    <w:p w14:paraId="77864CE0" w14:textId="77777777" w:rsidR="00B37299" w:rsidRPr="008917EC" w:rsidRDefault="000D1D6F" w:rsidP="000D1D6F">
      <w:pPr>
        <w:bidi/>
        <w:spacing w:after="160" w:line="360" w:lineRule="auto"/>
        <w:ind w:firstLine="720"/>
        <w:jc w:val="both"/>
        <w:rPr>
          <w:rFonts w:ascii="Traditional Arabic" w:eastAsia="Calibri" w:hAnsi="Traditional Arabic" w:cs="Traditional Arabic"/>
          <w:sz w:val="32"/>
          <w:szCs w:val="32"/>
          <w:rtl/>
          <w:lang w:val="en-US"/>
        </w:rPr>
      </w:pPr>
      <w:r w:rsidRPr="008917EC">
        <w:rPr>
          <w:rFonts w:ascii="Traditional Arabic" w:eastAsia="Calibri" w:hAnsi="Traditional Arabic" w:cs="Traditional Arabic"/>
          <w:sz w:val="32"/>
          <w:szCs w:val="32"/>
          <w:rtl/>
          <w:lang w:val="en-US"/>
        </w:rPr>
        <w:t xml:space="preserve">تتمثل الأهمية التطبيقية لهذه الدراسة في قدرتها على تزويد المنظمات التابعة للأمانة العامة لمجلس التعاون الخليجي بمدخلات عملية يمكن قياس أثرها بصورة مباشرة، إذ تسهم نتائج الدراسة في تطوير آليات تحويل الرؤى المشتركة إلى خطط استراتيجية قابلة للتنفيذ من خلال مؤشرات عملية مثل رفع نسبة اتساق الخطط القطاعية مع الخطة المشتركة وتحسين درجة </w:t>
      </w:r>
      <w:r w:rsidR="00B37299" w:rsidRPr="008917EC">
        <w:rPr>
          <w:rFonts w:ascii="Traditional Arabic" w:eastAsia="Calibri" w:hAnsi="Traditional Arabic" w:cs="Traditional Arabic"/>
          <w:sz w:val="32"/>
          <w:szCs w:val="32"/>
          <w:rtl/>
          <w:lang w:val="en-US"/>
        </w:rPr>
        <w:t xml:space="preserve">مواءمة الأولويات بين المنظمات. </w:t>
      </w:r>
    </w:p>
    <w:p w14:paraId="76401F57" w14:textId="77777777" w:rsidR="00F72BC0" w:rsidRPr="008917EC" w:rsidRDefault="000D1D6F" w:rsidP="00B37299">
      <w:pPr>
        <w:bidi/>
        <w:spacing w:after="160" w:line="360" w:lineRule="auto"/>
        <w:ind w:firstLine="720"/>
        <w:jc w:val="both"/>
        <w:rPr>
          <w:rFonts w:ascii="Traditional Arabic" w:eastAsia="Calibri" w:hAnsi="Traditional Arabic" w:cs="Traditional Arabic"/>
          <w:sz w:val="32"/>
          <w:szCs w:val="32"/>
          <w:rtl/>
          <w:lang w:val="en-US"/>
        </w:rPr>
      </w:pPr>
      <w:r w:rsidRPr="008917EC">
        <w:rPr>
          <w:rFonts w:ascii="Traditional Arabic" w:eastAsia="Calibri" w:hAnsi="Traditional Arabic" w:cs="Traditional Arabic"/>
          <w:sz w:val="32"/>
          <w:szCs w:val="32"/>
          <w:rtl/>
          <w:lang w:val="en-US"/>
        </w:rPr>
        <w:t xml:space="preserve">توفر الدراسة كذلك مخرجات تطبيقية يمكن لصنّاع القرار الاستفادة منها في تقليص الزمن اللازم لاعتماد السياسات المشتركة عبر تحسين نضج التخطيط الاستراتيجي وتوحيد إجراءات المتابعة والتقييم. كما تدعم الدراسة جهود التكامل المؤسسي من خلال توفير أساليب عملية لزيادة عدد المبادرات العابرة للمنظمات ورفع نسب تنفيذها، بما يعزز فاعلية أطر العمل الخليجي المشترك ويترجم التخطيط الاستراتيجي إلى نتائج ملموسة. وبذلك تقدم الدراسة </w:t>
      </w:r>
      <w:r w:rsidRPr="008917EC">
        <w:rPr>
          <w:rFonts w:ascii="Traditional Arabic" w:eastAsia="Calibri" w:hAnsi="Traditional Arabic" w:cs="Traditional Arabic"/>
          <w:sz w:val="32"/>
          <w:szCs w:val="32"/>
          <w:rtl/>
          <w:lang w:val="en-US"/>
        </w:rPr>
        <w:lastRenderedPageBreak/>
        <w:t>قيمة تطبيقية مباشرة تستند إلى مؤشرات قابلة للقياس، يمكن للمنظمات الإقليمية استخدامها في تطوير قدراتها ورفع مستوى التكامل بينها</w:t>
      </w:r>
      <w:r w:rsidRPr="008917EC">
        <w:rPr>
          <w:rFonts w:ascii="Traditional Arabic" w:eastAsia="Calibri" w:hAnsi="Traditional Arabic" w:cs="Traditional Arabic"/>
          <w:sz w:val="32"/>
          <w:szCs w:val="32"/>
        </w:rPr>
        <w:t>.</w:t>
      </w:r>
    </w:p>
    <w:p w14:paraId="14FF3116" w14:textId="77777777" w:rsidR="00F72BC0" w:rsidRPr="008917EC" w:rsidRDefault="00F72BC0" w:rsidP="00F72BC0">
      <w:pPr>
        <w:keepNext/>
        <w:keepLines/>
        <w:bidi/>
        <w:spacing w:after="0" w:line="360" w:lineRule="auto"/>
        <w:outlineLvl w:val="0"/>
        <w:rPr>
          <w:rFonts w:ascii="Traditional Arabic" w:eastAsia="等线 Light" w:hAnsi="Traditional Arabic" w:cs="Traditional Arabic"/>
          <w:b/>
          <w:bCs/>
          <w:color w:val="000000"/>
          <w:sz w:val="36"/>
          <w:szCs w:val="36"/>
          <w:rtl/>
          <w:lang w:val="en-US"/>
        </w:rPr>
      </w:pPr>
      <w:r w:rsidRPr="008917EC">
        <w:rPr>
          <w:rFonts w:ascii="Traditional Arabic" w:eastAsia="等线 Light" w:hAnsi="Traditional Arabic" w:cs="Traditional Arabic"/>
          <w:b/>
          <w:bCs/>
          <w:color w:val="000000"/>
          <w:sz w:val="36"/>
          <w:szCs w:val="36"/>
          <w:rtl/>
          <w:lang w:val="en-US"/>
        </w:rPr>
        <w:t>أهداف الدراسة</w:t>
      </w:r>
    </w:p>
    <w:p w14:paraId="1D0AE2CD" w14:textId="52931981" w:rsidR="00F72BC0" w:rsidRPr="00017E38" w:rsidRDefault="00F72BC0" w:rsidP="00223B7F">
      <w:pPr>
        <w:bidi/>
        <w:spacing w:after="0" w:line="360" w:lineRule="auto"/>
        <w:ind w:firstLine="720"/>
        <w:rPr>
          <w:rFonts w:ascii="Traditional Arabic" w:eastAsia="Calibri" w:hAnsi="Traditional Arabic" w:cs="Traditional Arabic"/>
          <w:sz w:val="32"/>
          <w:szCs w:val="32"/>
          <w:rtl/>
          <w:lang w:val="en-US"/>
        </w:rPr>
      </w:pPr>
      <w:r w:rsidRPr="008917EC">
        <w:rPr>
          <w:rFonts w:ascii="Traditional Arabic" w:eastAsia="Calibri" w:hAnsi="Traditional Arabic" w:cs="Traditional Arabic"/>
          <w:sz w:val="32"/>
          <w:szCs w:val="32"/>
          <w:rtl/>
          <w:lang w:val="en-US"/>
        </w:rPr>
        <w:t xml:space="preserve">تهدف </w:t>
      </w:r>
      <w:r w:rsidRPr="00017E38">
        <w:rPr>
          <w:rFonts w:ascii="Traditional Arabic" w:eastAsia="Calibri" w:hAnsi="Traditional Arabic" w:cs="Traditional Arabic"/>
          <w:sz w:val="32"/>
          <w:szCs w:val="32"/>
          <w:rtl/>
          <w:lang w:val="en-US"/>
        </w:rPr>
        <w:t xml:space="preserve">الدراسة الحالية إلى </w:t>
      </w:r>
      <w:r w:rsidR="00734A9F" w:rsidRPr="00017E38">
        <w:rPr>
          <w:rFonts w:ascii="Traditional Arabic" w:eastAsia="Calibri" w:hAnsi="Traditional Arabic" w:cs="Traditional Arabic" w:hint="cs"/>
          <w:sz w:val="32"/>
          <w:szCs w:val="32"/>
          <w:rtl/>
          <w:lang w:val="en-US"/>
        </w:rPr>
        <w:t>"</w:t>
      </w:r>
      <w:r w:rsidR="00223B7F" w:rsidRPr="00017E38">
        <w:rPr>
          <w:rFonts w:ascii="Traditional Arabic" w:eastAsia="Calibri" w:hAnsi="Traditional Arabic" w:cs="Traditional Arabic"/>
          <w:b/>
          <w:bCs/>
          <w:sz w:val="32"/>
          <w:szCs w:val="32"/>
          <w:rtl/>
          <w:lang w:val="en-US"/>
        </w:rPr>
        <w:t>قياس أثر مستوى نضج التخطيط الاستراتيجي بأبعاده الخمسة على التكامل المؤسسي في المنظمات التابعة لمجلس التعاون لدول الخليج العربية خلال عا</w:t>
      </w:r>
      <w:r w:rsidR="00223B7F" w:rsidRPr="00017E38">
        <w:rPr>
          <w:rFonts w:ascii="Traditional Arabic" w:eastAsia="Calibri" w:hAnsi="Traditional Arabic" w:cs="Traditional Arabic" w:hint="cs"/>
          <w:b/>
          <w:bCs/>
          <w:sz w:val="32"/>
          <w:szCs w:val="32"/>
          <w:rtl/>
          <w:lang w:val="en-US"/>
        </w:rPr>
        <w:t>م (2026)</w:t>
      </w:r>
      <w:r w:rsidR="00223B7F" w:rsidRPr="00017E38">
        <w:rPr>
          <w:rFonts w:ascii="Traditional Arabic" w:eastAsia="Calibri" w:hAnsi="Traditional Arabic" w:cs="Traditional Arabic"/>
          <w:b/>
          <w:bCs/>
          <w:sz w:val="32"/>
          <w:szCs w:val="32"/>
          <w:rtl/>
          <w:lang w:val="en-US"/>
        </w:rPr>
        <w:t>، وذلك باستخدام تصميم مقطعي يعتمد على استبانة مبنية على مقياس ليكرت</w:t>
      </w:r>
      <w:r w:rsidR="00223B7F" w:rsidRPr="00017E38">
        <w:rPr>
          <w:rFonts w:ascii="Traditional Arabic" w:eastAsia="Calibri" w:hAnsi="Traditional Arabic" w:cs="Traditional Arabic" w:hint="cs"/>
          <w:b/>
          <w:bCs/>
          <w:sz w:val="32"/>
          <w:szCs w:val="32"/>
          <w:rtl/>
        </w:rPr>
        <w:t xml:space="preserve"> الخماسي</w:t>
      </w:r>
      <w:r w:rsidR="00734A9F" w:rsidRPr="00017E38">
        <w:rPr>
          <w:rFonts w:ascii="Traditional Arabic" w:eastAsia="Calibri" w:hAnsi="Traditional Arabic" w:cs="Traditional Arabic" w:hint="cs"/>
          <w:b/>
          <w:bCs/>
          <w:sz w:val="32"/>
          <w:szCs w:val="32"/>
          <w:rtl/>
          <w:lang w:val="en-US"/>
        </w:rPr>
        <w:t>"</w:t>
      </w:r>
      <w:r w:rsidRPr="00017E38">
        <w:rPr>
          <w:rFonts w:ascii="Traditional Arabic" w:eastAsia="Calibri" w:hAnsi="Traditional Arabic" w:cs="Traditional Arabic"/>
          <w:sz w:val="32"/>
          <w:szCs w:val="32"/>
          <w:rtl/>
          <w:lang w:val="en-US"/>
        </w:rPr>
        <w:t>.</w:t>
      </w:r>
    </w:p>
    <w:p w14:paraId="45AB82BA" w14:textId="77777777" w:rsidR="00F72BC0" w:rsidRPr="00017E38" w:rsidRDefault="00F72BC0" w:rsidP="00734A9F">
      <w:pPr>
        <w:bidi/>
        <w:spacing w:after="0" w:line="360" w:lineRule="auto"/>
        <w:ind w:firstLine="720"/>
        <w:jc w:val="both"/>
        <w:rPr>
          <w:rFonts w:ascii="Traditional Arabic" w:eastAsia="Calibri" w:hAnsi="Traditional Arabic" w:cs="Traditional Arabic"/>
          <w:sz w:val="32"/>
          <w:szCs w:val="32"/>
          <w:rtl/>
          <w:lang w:val="en-US"/>
        </w:rPr>
      </w:pPr>
      <w:r w:rsidRPr="00017E38">
        <w:rPr>
          <w:rFonts w:ascii="Traditional Arabic" w:eastAsia="Calibri" w:hAnsi="Traditional Arabic" w:cs="Traditional Arabic"/>
          <w:sz w:val="32"/>
          <w:szCs w:val="32"/>
          <w:rtl/>
          <w:lang w:val="en-US"/>
        </w:rPr>
        <w:t>لتحقيق هذا الهدف العام، تم تفصيل مجموعة من الأهداف الفرعية التي تركز على قياس وتحليل العلاقة بين أبعاد التخطيط الاستراتيجي ومستوى التكامل المؤسسي، بالإضافة إلى تقييم مستوى النضج والتكامل في هذه المنظمات، وهي كما يلي:</w:t>
      </w:r>
    </w:p>
    <w:p w14:paraId="5FC2F282" w14:textId="77777777" w:rsidR="00F72BC0" w:rsidRPr="00017E38" w:rsidRDefault="00F72BC0" w:rsidP="00F72BC0">
      <w:pPr>
        <w:bidi/>
        <w:spacing w:after="0" w:line="360" w:lineRule="auto"/>
        <w:jc w:val="both"/>
        <w:rPr>
          <w:rFonts w:ascii="Traditional Arabic" w:eastAsia="Calibri" w:hAnsi="Traditional Arabic" w:cs="Traditional Arabic"/>
          <w:sz w:val="32"/>
          <w:szCs w:val="32"/>
          <w:lang w:val="en-US"/>
        </w:rPr>
      </w:pPr>
      <w:r w:rsidRPr="00017E38">
        <w:rPr>
          <w:rFonts w:ascii="Traditional Arabic" w:eastAsia="Calibri" w:hAnsi="Traditional Arabic" w:cs="Traditional Arabic" w:hint="cs"/>
          <w:sz w:val="32"/>
          <w:szCs w:val="32"/>
          <w:rtl/>
          <w:lang w:val="en-US"/>
        </w:rPr>
        <w:t xml:space="preserve">يخرج من هذا الهدف الرئيسي الاهداف الفرعية التالية: </w:t>
      </w:r>
    </w:p>
    <w:p w14:paraId="54DE565E" w14:textId="77777777" w:rsidR="00FA0F29" w:rsidRPr="00017E38" w:rsidRDefault="00FA0F29" w:rsidP="00FA0F29">
      <w:pPr>
        <w:numPr>
          <w:ilvl w:val="0"/>
          <w:numId w:val="7"/>
        </w:numPr>
        <w:bidi/>
        <w:spacing w:after="0" w:line="360" w:lineRule="auto"/>
        <w:contextualSpacing/>
        <w:jc w:val="both"/>
        <w:rPr>
          <w:rFonts w:ascii="Traditional Arabic" w:eastAsia="Calibri" w:hAnsi="Traditional Arabic" w:cs="Traditional Arabic"/>
          <w:sz w:val="32"/>
          <w:szCs w:val="32"/>
          <w:lang w:val="en-US"/>
        </w:rPr>
      </w:pPr>
      <w:r w:rsidRPr="00017E38">
        <w:rPr>
          <w:rFonts w:ascii="Traditional Arabic" w:eastAsia="Calibri" w:hAnsi="Traditional Arabic" w:cs="Traditional Arabic"/>
          <w:sz w:val="32"/>
          <w:szCs w:val="32"/>
          <w:rtl/>
          <w:lang w:val="en-US"/>
        </w:rPr>
        <w:t>تحديد مستوى نضج التخطيط الاستراتيجي في المنظمات التابعة لمجلس التعاون الخليجي</w:t>
      </w:r>
      <w:r w:rsidRPr="00017E38">
        <w:rPr>
          <w:rFonts w:ascii="Traditional Arabic" w:eastAsia="Calibri" w:hAnsi="Traditional Arabic" w:cs="Traditional Arabic"/>
          <w:sz w:val="32"/>
          <w:szCs w:val="32"/>
          <w:lang w:val="en-US"/>
        </w:rPr>
        <w:t>.</w:t>
      </w:r>
    </w:p>
    <w:p w14:paraId="70A438A0" w14:textId="77777777" w:rsidR="00FA0F29" w:rsidRPr="00017E38" w:rsidRDefault="00FA0F29" w:rsidP="00B37299">
      <w:pPr>
        <w:numPr>
          <w:ilvl w:val="0"/>
          <w:numId w:val="7"/>
        </w:numPr>
        <w:bidi/>
        <w:spacing w:after="0" w:line="360" w:lineRule="auto"/>
        <w:contextualSpacing/>
        <w:jc w:val="both"/>
        <w:rPr>
          <w:rFonts w:ascii="Traditional Arabic" w:eastAsia="Calibri" w:hAnsi="Traditional Arabic" w:cs="Traditional Arabic"/>
          <w:sz w:val="32"/>
          <w:szCs w:val="32"/>
          <w:lang w:val="en-US"/>
        </w:rPr>
      </w:pPr>
      <w:r w:rsidRPr="00017E38">
        <w:rPr>
          <w:rFonts w:ascii="Traditional Arabic" w:eastAsia="Calibri" w:hAnsi="Traditional Arabic" w:cs="Traditional Arabic"/>
          <w:sz w:val="32"/>
          <w:szCs w:val="32"/>
          <w:rtl/>
          <w:lang w:val="en-US"/>
        </w:rPr>
        <w:t>قياس مستوى التكامل المؤسسي في المنظمات التابعة لمجلس التعاون الخليجي</w:t>
      </w:r>
      <w:r w:rsidR="00727EA7" w:rsidRPr="00017E38">
        <w:rPr>
          <w:rFonts w:ascii="Traditional Arabic" w:eastAsia="Calibri" w:hAnsi="Traditional Arabic" w:cs="Traditional Arabic" w:hint="cs"/>
          <w:sz w:val="32"/>
          <w:szCs w:val="32"/>
          <w:rtl/>
          <w:lang w:val="en-US"/>
        </w:rPr>
        <w:t xml:space="preserve"> والمشمولة في الدراسة</w:t>
      </w:r>
      <w:r w:rsidRPr="00017E38">
        <w:rPr>
          <w:rFonts w:ascii="Traditional Arabic" w:eastAsia="Calibri" w:hAnsi="Traditional Arabic" w:cs="Traditional Arabic"/>
          <w:sz w:val="32"/>
          <w:szCs w:val="32"/>
          <w:lang w:val="en-US"/>
        </w:rPr>
        <w:t>.</w:t>
      </w:r>
    </w:p>
    <w:p w14:paraId="671D4237" w14:textId="77777777" w:rsidR="00223B7F" w:rsidRPr="008917EC" w:rsidRDefault="00223B7F" w:rsidP="00223B7F">
      <w:pPr>
        <w:numPr>
          <w:ilvl w:val="0"/>
          <w:numId w:val="7"/>
        </w:numPr>
        <w:bidi/>
        <w:spacing w:after="0" w:line="360" w:lineRule="auto"/>
        <w:contextualSpacing/>
        <w:jc w:val="both"/>
        <w:rPr>
          <w:rFonts w:ascii="Traditional Arabic" w:eastAsia="Calibri" w:hAnsi="Traditional Arabic" w:cs="Traditional Arabic"/>
          <w:sz w:val="32"/>
          <w:szCs w:val="32"/>
          <w:lang w:val="en-US"/>
        </w:rPr>
      </w:pPr>
      <w:r w:rsidRPr="00017E38">
        <w:rPr>
          <w:rFonts w:ascii="Traditional Arabic" w:eastAsia="Calibri" w:hAnsi="Traditional Arabic" w:cs="Traditional Arabic"/>
          <w:sz w:val="32"/>
          <w:szCs w:val="32"/>
          <w:rtl/>
          <w:lang w:val="en-US"/>
        </w:rPr>
        <w:t>قياس أثر وضوح الرؤية والأهداف الاستراتيجية</w:t>
      </w:r>
      <w:r w:rsidRPr="008917EC">
        <w:rPr>
          <w:rFonts w:ascii="Traditional Arabic" w:eastAsia="Calibri" w:hAnsi="Traditional Arabic" w:cs="Traditional Arabic"/>
          <w:sz w:val="32"/>
          <w:szCs w:val="32"/>
          <w:rtl/>
          <w:lang w:val="en-US"/>
        </w:rPr>
        <w:t xml:space="preserve"> على مستوى التكامل المؤسسي في منظمات الأمانة العامة، عبر مؤشرات قياس تشمل مدى وضوح صياغة الرؤية، واتساق الأهداف بين الوحدات التنظيمية، ونسبة المبادرات المشتركة المرتبطة مباشرة بالأهداف الاستراتيجية المعتمدة</w:t>
      </w:r>
      <w:r w:rsidRPr="008917EC">
        <w:rPr>
          <w:rFonts w:ascii="Traditional Arabic" w:eastAsia="Calibri" w:hAnsi="Traditional Arabic" w:cs="Traditional Arabic"/>
          <w:sz w:val="32"/>
          <w:szCs w:val="32"/>
          <w:lang w:val="en-US"/>
        </w:rPr>
        <w:t>.</w:t>
      </w:r>
    </w:p>
    <w:p w14:paraId="68822DFE" w14:textId="77777777" w:rsidR="00223B7F" w:rsidRPr="008917EC" w:rsidRDefault="00223B7F" w:rsidP="00223B7F">
      <w:pPr>
        <w:numPr>
          <w:ilvl w:val="0"/>
          <w:numId w:val="7"/>
        </w:numPr>
        <w:bidi/>
        <w:spacing w:after="0" w:line="360" w:lineRule="auto"/>
        <w:contextualSpacing/>
        <w:jc w:val="both"/>
        <w:rPr>
          <w:rFonts w:ascii="Traditional Arabic" w:eastAsia="Calibri" w:hAnsi="Traditional Arabic" w:cs="Traditional Arabic"/>
          <w:sz w:val="32"/>
          <w:szCs w:val="32"/>
          <w:lang w:val="en-US"/>
        </w:rPr>
      </w:pPr>
      <w:r w:rsidRPr="008917EC">
        <w:rPr>
          <w:rFonts w:ascii="Traditional Arabic" w:eastAsia="Calibri" w:hAnsi="Traditional Arabic" w:cs="Traditional Arabic" w:hint="cs"/>
          <w:sz w:val="32"/>
          <w:szCs w:val="32"/>
          <w:rtl/>
          <w:lang w:val="en-US"/>
        </w:rPr>
        <w:lastRenderedPageBreak/>
        <w:t>قياس</w:t>
      </w:r>
      <w:r w:rsidRPr="008917EC">
        <w:rPr>
          <w:rFonts w:ascii="Traditional Arabic" w:eastAsia="Calibri" w:hAnsi="Traditional Arabic" w:cs="Traditional Arabic"/>
          <w:sz w:val="32"/>
          <w:szCs w:val="32"/>
          <w:rtl/>
          <w:lang w:val="en-US"/>
        </w:rPr>
        <w:t xml:space="preserve"> أثر </w:t>
      </w:r>
      <w:r w:rsidRPr="008917EC">
        <w:rPr>
          <w:rFonts w:ascii="Traditional Arabic" w:eastAsia="Calibri" w:hAnsi="Traditional Arabic" w:cs="Traditional Arabic" w:hint="cs"/>
          <w:sz w:val="32"/>
          <w:szCs w:val="32"/>
          <w:rtl/>
          <w:lang w:val="en-US"/>
        </w:rPr>
        <w:t>تحليل</w:t>
      </w:r>
      <w:r w:rsidRPr="008917EC">
        <w:rPr>
          <w:rFonts w:ascii="Traditional Arabic" w:eastAsia="Calibri" w:hAnsi="Traditional Arabic" w:cs="Traditional Arabic"/>
          <w:sz w:val="32"/>
          <w:szCs w:val="32"/>
          <w:rtl/>
          <w:lang w:val="en-US"/>
        </w:rPr>
        <w:t xml:space="preserve"> البيئة الداخلية والخارجية على التكامل المؤسسي، من خلال مؤشرات تتعلق بانتظام تحديث التحليلات البيئية، وعدد التقارير المشتركة التي تُعد بين المنظمات الخليجية، ومدى توظيف المعلومات البيئية في دعم القرارات المتعلقة بالمبادرات التكاملية</w:t>
      </w:r>
      <w:r w:rsidRPr="008917EC">
        <w:rPr>
          <w:rFonts w:ascii="Traditional Arabic" w:eastAsia="Calibri" w:hAnsi="Traditional Arabic" w:cs="Traditional Arabic"/>
          <w:sz w:val="32"/>
          <w:szCs w:val="32"/>
          <w:lang w:val="en-US"/>
        </w:rPr>
        <w:t>.</w:t>
      </w:r>
    </w:p>
    <w:p w14:paraId="652B4655" w14:textId="77777777" w:rsidR="00223B7F" w:rsidRPr="008917EC" w:rsidRDefault="00223B7F" w:rsidP="00223B7F">
      <w:pPr>
        <w:numPr>
          <w:ilvl w:val="0"/>
          <w:numId w:val="7"/>
        </w:numPr>
        <w:bidi/>
        <w:spacing w:after="0" w:line="360" w:lineRule="auto"/>
        <w:contextualSpacing/>
        <w:jc w:val="both"/>
        <w:rPr>
          <w:rFonts w:ascii="Traditional Arabic" w:eastAsia="Calibri" w:hAnsi="Traditional Arabic" w:cs="Traditional Arabic"/>
          <w:sz w:val="32"/>
          <w:szCs w:val="32"/>
          <w:lang w:val="en-US"/>
        </w:rPr>
      </w:pPr>
      <w:r w:rsidRPr="008917EC">
        <w:rPr>
          <w:rFonts w:ascii="Traditional Arabic" w:eastAsia="Calibri" w:hAnsi="Traditional Arabic" w:cs="Traditional Arabic"/>
          <w:sz w:val="32"/>
          <w:szCs w:val="32"/>
          <w:rtl/>
          <w:lang w:val="en-US"/>
        </w:rPr>
        <w:t>قياس أثر تخصيص الموارد والقدرات التنظيمية في تعزيز التكامل المؤسسي، وذلك من خلال مؤشرات تشمل مواءمة توزيع الموارد مع الخطط المشتركة، ونسبة الموارد المخصصة للمبادرات ذات الطابع الخليجي، ومدى توافر الكفاءات التنظيمية المطلوبة لتنفيذ تلك المبادرات</w:t>
      </w:r>
      <w:r w:rsidRPr="008917EC">
        <w:rPr>
          <w:rFonts w:ascii="Traditional Arabic" w:eastAsia="Calibri" w:hAnsi="Traditional Arabic" w:cs="Traditional Arabic"/>
          <w:sz w:val="32"/>
          <w:szCs w:val="32"/>
          <w:lang w:val="en-US"/>
        </w:rPr>
        <w:t>.</w:t>
      </w:r>
    </w:p>
    <w:p w14:paraId="48361BA5" w14:textId="77777777" w:rsidR="00223B7F" w:rsidRPr="008917EC" w:rsidRDefault="00223B7F" w:rsidP="00223B7F">
      <w:pPr>
        <w:numPr>
          <w:ilvl w:val="0"/>
          <w:numId w:val="7"/>
        </w:numPr>
        <w:bidi/>
        <w:spacing w:after="0" w:line="360" w:lineRule="auto"/>
        <w:contextualSpacing/>
        <w:jc w:val="both"/>
        <w:rPr>
          <w:rFonts w:ascii="Traditional Arabic" w:eastAsia="Calibri" w:hAnsi="Traditional Arabic" w:cs="Traditional Arabic"/>
          <w:sz w:val="32"/>
          <w:szCs w:val="32"/>
          <w:lang w:val="en-US"/>
        </w:rPr>
      </w:pPr>
      <w:r w:rsidRPr="008917EC">
        <w:rPr>
          <w:rFonts w:ascii="Traditional Arabic" w:eastAsia="Calibri" w:hAnsi="Traditional Arabic" w:cs="Traditional Arabic"/>
          <w:sz w:val="32"/>
          <w:szCs w:val="32"/>
          <w:rtl/>
          <w:lang w:val="en-US"/>
        </w:rPr>
        <w:t>تقييم أثر عمليات المتابعة وتقييم الأداء الاستراتيجي على التكامل المؤسسي، استنادًا إلى مؤشرات عملية أهمها وجود بطاقة أداء مؤسسي فعّالة، وتواتر مراجعة الخطط الاستراتيجية، والنسبة المحققة من إنجاز المبادرات المشتركة مقارنة بالمستهدفات المعلنة</w:t>
      </w:r>
      <w:r w:rsidRPr="008917EC">
        <w:rPr>
          <w:rFonts w:ascii="Traditional Arabic" w:eastAsia="Calibri" w:hAnsi="Traditional Arabic" w:cs="Traditional Arabic"/>
          <w:sz w:val="32"/>
          <w:szCs w:val="32"/>
          <w:lang w:val="en-US"/>
        </w:rPr>
        <w:t>.</w:t>
      </w:r>
    </w:p>
    <w:p w14:paraId="5ECF70F1" w14:textId="77777777" w:rsidR="00223B7F" w:rsidRPr="003122C5" w:rsidRDefault="00223B7F" w:rsidP="00223B7F">
      <w:pPr>
        <w:numPr>
          <w:ilvl w:val="0"/>
          <w:numId w:val="7"/>
        </w:numPr>
        <w:bidi/>
        <w:spacing w:after="0" w:line="360" w:lineRule="auto"/>
        <w:contextualSpacing/>
        <w:jc w:val="both"/>
        <w:rPr>
          <w:rFonts w:ascii="Traditional Arabic" w:eastAsia="Calibri" w:hAnsi="Traditional Arabic" w:cs="Traditional Arabic"/>
          <w:sz w:val="32"/>
          <w:szCs w:val="32"/>
          <w:lang w:val="en-US"/>
        </w:rPr>
      </w:pPr>
      <w:r w:rsidRPr="008917EC">
        <w:rPr>
          <w:rFonts w:ascii="Traditional Arabic" w:eastAsia="Calibri" w:hAnsi="Traditional Arabic" w:cs="Traditional Arabic"/>
          <w:sz w:val="32"/>
          <w:szCs w:val="32"/>
          <w:rtl/>
          <w:lang w:val="en-US"/>
        </w:rPr>
        <w:t xml:space="preserve">قياس أثر ربط الاستراتيجية بالسياسات والإجراءات الداخلية على مستوى التكامل المؤسسي، من خلال مؤشرات تشمل وجود سياسات موحدة أو متناغمة بين المنظمات، وعدد الإجراءات التشغيلية المشتركة، </w:t>
      </w:r>
      <w:r w:rsidRPr="003122C5">
        <w:rPr>
          <w:rFonts w:ascii="Traditional Arabic" w:eastAsia="Calibri" w:hAnsi="Traditional Arabic" w:cs="Traditional Arabic"/>
          <w:sz w:val="32"/>
          <w:szCs w:val="32"/>
          <w:rtl/>
          <w:lang w:val="en-US"/>
        </w:rPr>
        <w:t>والزمن اللازم لاعتماد السياسات ذات الطابع الخليجي</w:t>
      </w:r>
      <w:r w:rsidRPr="003122C5">
        <w:rPr>
          <w:rFonts w:ascii="Traditional Arabic" w:eastAsia="Calibri" w:hAnsi="Traditional Arabic" w:cs="Traditional Arabic"/>
          <w:sz w:val="32"/>
          <w:szCs w:val="32"/>
          <w:lang w:val="en-US"/>
        </w:rPr>
        <w:t>.</w:t>
      </w:r>
    </w:p>
    <w:p w14:paraId="572CABE2" w14:textId="71C67C3F" w:rsidR="00727EA7" w:rsidRPr="003122C5" w:rsidRDefault="00223B7F" w:rsidP="00C04087">
      <w:pPr>
        <w:numPr>
          <w:ilvl w:val="0"/>
          <w:numId w:val="7"/>
        </w:numPr>
        <w:bidi/>
        <w:spacing w:after="0" w:line="360" w:lineRule="auto"/>
        <w:contextualSpacing/>
        <w:jc w:val="both"/>
        <w:rPr>
          <w:rFonts w:ascii="Traditional Arabic" w:eastAsia="Calibri" w:hAnsi="Traditional Arabic" w:cs="Traditional Arabic"/>
          <w:sz w:val="32"/>
          <w:szCs w:val="32"/>
          <w:lang w:val="en-US"/>
        </w:rPr>
      </w:pPr>
      <w:r w:rsidRPr="003122C5">
        <w:rPr>
          <w:rFonts w:ascii="Traditional Arabic" w:eastAsia="Calibri" w:hAnsi="Traditional Arabic" w:cs="Traditional Arabic"/>
          <w:sz w:val="32"/>
          <w:szCs w:val="32"/>
          <w:rtl/>
          <w:lang w:val="en-US"/>
        </w:rPr>
        <w:t>تحديد الأثر النسبي لكل بعد من أبعاد نضج التخطيط الاستراتيجي في تفسير مستوى التكامل المؤسسي في هذه المنظمات</w:t>
      </w:r>
      <w:r w:rsidR="00C04087" w:rsidRPr="003122C5">
        <w:rPr>
          <w:rFonts w:ascii="Traditional Arabic" w:eastAsia="Calibri" w:hAnsi="Traditional Arabic" w:cs="Traditional Arabic" w:hint="cs"/>
          <w:sz w:val="32"/>
          <w:szCs w:val="32"/>
          <w:rtl/>
          <w:lang w:val="en-US"/>
        </w:rPr>
        <w:t>.</w:t>
      </w:r>
    </w:p>
    <w:p w14:paraId="67CAF13D" w14:textId="77777777" w:rsidR="00727EA7" w:rsidRPr="008917EC" w:rsidRDefault="00727EA7" w:rsidP="00727EA7">
      <w:pPr>
        <w:bidi/>
        <w:spacing w:after="0" w:line="360" w:lineRule="auto"/>
        <w:contextualSpacing/>
        <w:jc w:val="both"/>
        <w:rPr>
          <w:rFonts w:ascii="Traditional Arabic" w:eastAsia="Calibri" w:hAnsi="Traditional Arabic" w:cs="Traditional Arabic"/>
          <w:sz w:val="32"/>
          <w:szCs w:val="32"/>
          <w:rtl/>
          <w:lang w:val="en-US" w:bidi="ar-JO"/>
        </w:rPr>
      </w:pPr>
    </w:p>
    <w:p w14:paraId="6F959FD4" w14:textId="77777777" w:rsidR="00727EA7" w:rsidRPr="008917EC" w:rsidRDefault="00F72BC0" w:rsidP="00727EA7">
      <w:pPr>
        <w:bidi/>
        <w:spacing w:after="0" w:line="360" w:lineRule="auto"/>
        <w:contextualSpacing/>
        <w:jc w:val="both"/>
        <w:rPr>
          <w:rFonts w:ascii="Traditional Arabic" w:eastAsia="Calibri" w:hAnsi="Traditional Arabic" w:cs="Traditional Arabic"/>
          <w:sz w:val="32"/>
          <w:szCs w:val="32"/>
          <w:rtl/>
          <w:lang w:val="en-US"/>
        </w:rPr>
      </w:pPr>
      <w:r w:rsidRPr="008917EC">
        <w:rPr>
          <w:rFonts w:ascii="Traditional Arabic" w:eastAsia="等线 Light" w:hAnsi="Traditional Arabic" w:cs="Traditional Arabic"/>
          <w:b/>
          <w:bCs/>
          <w:color w:val="000000"/>
          <w:sz w:val="36"/>
          <w:szCs w:val="36"/>
          <w:rtl/>
          <w:lang w:val="en-US"/>
        </w:rPr>
        <w:t>فرضيات الدراسة</w:t>
      </w:r>
      <w:bookmarkEnd w:id="4"/>
    </w:p>
    <w:p w14:paraId="5A216CB8" w14:textId="5692E42A" w:rsidR="00EB50E8" w:rsidRPr="008917EC" w:rsidRDefault="00EB50E8" w:rsidP="00727EA7">
      <w:pPr>
        <w:bidi/>
        <w:spacing w:after="0" w:line="360" w:lineRule="auto"/>
        <w:ind w:firstLine="720"/>
        <w:contextualSpacing/>
        <w:jc w:val="both"/>
        <w:rPr>
          <w:rFonts w:ascii="Traditional Arabic" w:eastAsia="Calibri" w:hAnsi="Traditional Arabic" w:cs="Traditional Arabic"/>
          <w:sz w:val="32"/>
          <w:szCs w:val="32"/>
          <w:lang w:val="en-US"/>
        </w:rPr>
      </w:pPr>
      <w:r w:rsidRPr="008917EC">
        <w:rPr>
          <w:rFonts w:ascii="Traditional Arabic" w:eastAsia="等线 Light" w:hAnsi="Traditional Arabic" w:cs="Traditional Arabic"/>
          <w:color w:val="000000"/>
          <w:sz w:val="32"/>
          <w:szCs w:val="32"/>
          <w:rtl/>
          <w:lang w:val="en-US"/>
        </w:rPr>
        <w:t xml:space="preserve">تعتمد هذه الدراسة على خمسة أبعاد رئيسية لقياس نضج التخطيط الاستراتيجي، وهي: وضوح الرؤية والأهداف، والتحليل البيئي، وتخصيص الموارد والقدرات التنظيمية، والمتابعة والتقييم، وربط الاستراتيجية بالسياسات </w:t>
      </w:r>
      <w:r w:rsidRPr="00017E38">
        <w:rPr>
          <w:rFonts w:ascii="Traditional Arabic" w:eastAsia="等线 Light" w:hAnsi="Traditional Arabic" w:cs="Traditional Arabic"/>
          <w:color w:val="000000"/>
          <w:sz w:val="32"/>
          <w:szCs w:val="32"/>
          <w:rtl/>
          <w:lang w:val="en-US"/>
        </w:rPr>
        <w:lastRenderedPageBreak/>
        <w:t>والإجراءات</w:t>
      </w:r>
      <w:r w:rsidR="00FC2729" w:rsidRPr="00017E38">
        <w:rPr>
          <w:rFonts w:ascii="Traditional Arabic" w:eastAsia="等线 Light" w:hAnsi="Traditional Arabic" w:cs="Traditional Arabic" w:hint="cs"/>
          <w:color w:val="000000"/>
          <w:sz w:val="32"/>
          <w:szCs w:val="32"/>
          <w:rtl/>
          <w:lang w:val="en-US"/>
        </w:rPr>
        <w:t xml:space="preserve"> الداخلية</w:t>
      </w:r>
      <w:r w:rsidRPr="00017E38">
        <w:rPr>
          <w:rFonts w:ascii="Traditional Arabic" w:eastAsia="等线 Light" w:hAnsi="Traditional Arabic" w:cs="Traditional Arabic"/>
          <w:color w:val="000000"/>
          <w:sz w:val="32"/>
          <w:szCs w:val="32"/>
          <w:rtl/>
          <w:lang w:val="en-US"/>
        </w:rPr>
        <w:t>. وتشكل هذه الأبعاد الإطار المفاهيمي الذي تُختبر من خلاله العلاقة بين نضج التخطيط الاستراتيجي والتكامل المؤسسي في المنظمات التابعة لمجلس التعاون لدول الخليج العربية</w:t>
      </w:r>
      <w:r w:rsidRPr="00017E38">
        <w:rPr>
          <w:rFonts w:ascii="Traditional Arabic" w:eastAsia="等线 Light" w:hAnsi="Traditional Arabic" w:cs="Traditional Arabic"/>
          <w:color w:val="000000"/>
          <w:sz w:val="32"/>
          <w:szCs w:val="32"/>
          <w:lang w:val="en-US"/>
        </w:rPr>
        <w:t>.</w:t>
      </w:r>
    </w:p>
    <w:p w14:paraId="3F57900B" w14:textId="77777777" w:rsidR="00317CC3" w:rsidRDefault="00EB50E8" w:rsidP="000D1D6F">
      <w:pPr>
        <w:keepNext/>
        <w:keepLines/>
        <w:bidi/>
        <w:spacing w:after="0" w:line="360" w:lineRule="auto"/>
        <w:ind w:firstLine="720"/>
        <w:jc w:val="both"/>
        <w:outlineLvl w:val="0"/>
        <w:rPr>
          <w:rFonts w:ascii="Traditional Arabic" w:eastAsia="等线 Light" w:hAnsi="Traditional Arabic" w:cs="Traditional Arabic"/>
          <w:color w:val="000000"/>
          <w:sz w:val="32"/>
          <w:szCs w:val="32"/>
          <w:rtl/>
          <w:lang w:val="en-US"/>
        </w:rPr>
      </w:pPr>
      <w:r w:rsidRPr="008917EC">
        <w:rPr>
          <w:rFonts w:ascii="Traditional Arabic" w:eastAsia="等线 Light" w:hAnsi="Traditional Arabic" w:cs="Traditional Arabic"/>
          <w:color w:val="000000"/>
          <w:sz w:val="32"/>
          <w:szCs w:val="32"/>
          <w:rtl/>
          <w:lang w:val="en-US"/>
        </w:rPr>
        <w:lastRenderedPageBreak/>
        <w:t>تستند الفرضيات الفرعية للدراسة إلى منطق نظري مدعوم بما ورد في الأدبيات الحديثة، حيث تشير نتائج دراسات مثل</w:t>
      </w:r>
      <w:r w:rsidR="000C53FE">
        <w:rPr>
          <w:rFonts w:ascii="Traditional Arabic" w:eastAsia="等线 Light" w:hAnsi="Traditional Arabic" w:cs="Traditional Arabic" w:hint="cs"/>
          <w:color w:val="000000"/>
          <w:sz w:val="32"/>
          <w:szCs w:val="32"/>
          <w:rtl/>
          <w:lang w:val="en-US"/>
        </w:rPr>
        <w:t xml:space="preserve"> المصري، (2020)</w:t>
      </w:r>
      <w:r w:rsidRPr="008917EC">
        <w:rPr>
          <w:rFonts w:ascii="Traditional Arabic" w:eastAsia="等线 Light" w:hAnsi="Traditional Arabic" w:cs="Traditional Arabic"/>
          <w:color w:val="000000"/>
          <w:sz w:val="32"/>
          <w:szCs w:val="32"/>
          <w:rtl/>
          <w:lang w:val="en-US"/>
        </w:rPr>
        <w:t xml:space="preserve"> </w:t>
      </w:r>
      <w:r w:rsidR="000C53FE">
        <w:rPr>
          <w:rFonts w:ascii="Traditional Arabic" w:eastAsia="等线 Light" w:hAnsi="Traditional Arabic" w:cs="Traditional Arabic" w:hint="cs"/>
          <w:color w:val="000000"/>
          <w:sz w:val="32"/>
          <w:szCs w:val="32"/>
          <w:rtl/>
          <w:lang w:val="en-US"/>
        </w:rPr>
        <w:t>و</w:t>
      </w:r>
      <w:r w:rsidR="006D6065">
        <w:rPr>
          <w:rFonts w:ascii="Traditional Arabic" w:eastAsia="等线 Light" w:hAnsi="Traditional Arabic" w:cs="Traditional Arabic" w:hint="cs"/>
          <w:color w:val="000000"/>
          <w:sz w:val="32"/>
          <w:szCs w:val="32"/>
          <w:rtl/>
          <w:lang w:val="en-US"/>
        </w:rPr>
        <w:t>ال</w:t>
      </w:r>
      <w:r w:rsidRPr="008917EC">
        <w:rPr>
          <w:rFonts w:ascii="Traditional Arabic" w:eastAsia="等线 Light" w:hAnsi="Traditional Arabic" w:cs="Traditional Arabic"/>
          <w:color w:val="000000"/>
          <w:sz w:val="32"/>
          <w:szCs w:val="32"/>
          <w:rtl/>
          <w:lang w:val="en-US"/>
        </w:rPr>
        <w:t>سيد وآخرون (2024) و</w:t>
      </w:r>
      <w:r w:rsidRPr="008917EC">
        <w:rPr>
          <w:rFonts w:ascii="Traditional Arabic" w:eastAsia="等线 Light" w:hAnsi="Traditional Arabic" w:cs="Traditional Arabic"/>
          <w:color w:val="000000"/>
          <w:sz w:val="32"/>
          <w:szCs w:val="32"/>
          <w:lang w:val="en-US"/>
        </w:rPr>
        <w:t>Jordan &amp; Zabukovšek, 2023)</w:t>
      </w:r>
      <w:r w:rsidRPr="008917EC">
        <w:rPr>
          <w:rFonts w:ascii="Traditional Arabic" w:eastAsia="等线 Light" w:hAnsi="Traditional Arabic" w:cs="Traditional Arabic"/>
          <w:color w:val="000000"/>
          <w:sz w:val="32"/>
          <w:szCs w:val="32"/>
          <w:rtl/>
          <w:lang w:val="en-US"/>
        </w:rPr>
        <w:t xml:space="preserve">) إلى أن وضوح الرؤية والأهداف يسهم في تعزيز التنسيق ورفع درجة التوافق المؤسسي بين الوحدات، مما يدعم افتراض تأثيره الإيجابي على التكامل المؤسسي. </w:t>
      </w:r>
    </w:p>
    <w:p w14:paraId="4F54AD7A" w14:textId="1D3DBC6E" w:rsidR="000D1D6F" w:rsidRPr="008917EC" w:rsidRDefault="00EB50E8" w:rsidP="00317CC3">
      <w:pPr>
        <w:keepNext/>
        <w:keepLines/>
        <w:bidi/>
        <w:spacing w:after="0" w:line="360" w:lineRule="auto"/>
        <w:ind w:firstLine="720"/>
        <w:jc w:val="both"/>
        <w:outlineLvl w:val="0"/>
        <w:rPr>
          <w:rFonts w:ascii="Traditional Arabic" w:eastAsia="等线 Light" w:hAnsi="Traditional Arabic" w:cs="Traditional Arabic"/>
          <w:color w:val="000000"/>
          <w:sz w:val="32"/>
          <w:szCs w:val="32"/>
          <w:rtl/>
          <w:lang w:val="en-US"/>
        </w:rPr>
      </w:pPr>
      <w:r w:rsidRPr="008917EC">
        <w:rPr>
          <w:rFonts w:ascii="Traditional Arabic" w:eastAsia="等线 Light" w:hAnsi="Traditional Arabic" w:cs="Traditional Arabic"/>
          <w:color w:val="000000"/>
          <w:sz w:val="32"/>
          <w:szCs w:val="32"/>
          <w:rtl/>
          <w:lang w:val="en-US"/>
        </w:rPr>
        <w:t xml:space="preserve">كما أظهرت دراسات أخرى مثل </w:t>
      </w:r>
      <w:r w:rsidRPr="008917EC">
        <w:rPr>
          <w:rFonts w:ascii="Traditional Arabic" w:eastAsia="等线 Light" w:hAnsi="Traditional Arabic" w:cs="Traditional Arabic"/>
          <w:color w:val="000000"/>
          <w:sz w:val="32"/>
          <w:szCs w:val="32"/>
          <w:lang w:val="en-US"/>
        </w:rPr>
        <w:t>Mardiani et al. 2023)</w:t>
      </w:r>
      <w:r w:rsidRPr="008917EC">
        <w:rPr>
          <w:rFonts w:ascii="Traditional Arabic" w:eastAsia="等线 Light" w:hAnsi="Traditional Arabic" w:cs="Traditional Arabic"/>
          <w:color w:val="000000"/>
          <w:sz w:val="32"/>
          <w:szCs w:val="32"/>
          <w:rtl/>
          <w:lang w:val="en-US"/>
        </w:rPr>
        <w:t xml:space="preserve">) أن نضج التحليل البيئي وتحديث المعلومات المشتركة يسهم في تحسين جودة القرارات وتوحيد الاستجابات المؤسسية تجاه التحديات الإقليمية، وهو ما يعزز توقع تأثيره الإيجابي في التكامل المؤسسي. وفي السياق نفسه، بيّنت نتائج </w:t>
      </w:r>
      <w:r w:rsidRPr="008917EC">
        <w:rPr>
          <w:rFonts w:ascii="Traditional Arabic" w:eastAsia="等线 Light" w:hAnsi="Traditional Arabic" w:cs="Traditional Arabic"/>
          <w:color w:val="000000"/>
          <w:sz w:val="32"/>
          <w:szCs w:val="32"/>
          <w:lang w:val="en-US"/>
        </w:rPr>
        <w:t>Molete et al. 2025)</w:t>
      </w:r>
      <w:r w:rsidRPr="008917EC">
        <w:rPr>
          <w:rFonts w:ascii="Traditional Arabic" w:eastAsia="等线 Light" w:hAnsi="Traditional Arabic" w:cs="Traditional Arabic"/>
          <w:color w:val="000000"/>
          <w:sz w:val="32"/>
          <w:szCs w:val="32"/>
          <w:rtl/>
          <w:lang w:val="en-US"/>
        </w:rPr>
        <w:t>) أهمية تخصيص الموارد والقدرات التنظيمية في رفع فاعلية البرامج المشتركة، مما يدعم افتراض تأثير هذا البعد في تعزيز التكامل بين المنظمات الخليجية.</w:t>
      </w:r>
      <w:r w:rsidR="000D1D6F" w:rsidRPr="008917EC">
        <w:rPr>
          <w:rFonts w:ascii="Traditional Arabic" w:eastAsia="等线 Light" w:hAnsi="Traditional Arabic" w:cs="Traditional Arabic" w:hint="cs"/>
          <w:color w:val="000000"/>
          <w:sz w:val="32"/>
          <w:szCs w:val="32"/>
          <w:rtl/>
          <w:lang w:val="en-US"/>
        </w:rPr>
        <w:t xml:space="preserve"> </w:t>
      </w:r>
    </w:p>
    <w:p w14:paraId="6EF11C6A" w14:textId="4682426C" w:rsidR="009C7964" w:rsidRDefault="000D1D6F" w:rsidP="006D6065">
      <w:pPr>
        <w:keepNext/>
        <w:keepLines/>
        <w:bidi/>
        <w:spacing w:after="0" w:line="360" w:lineRule="auto"/>
        <w:ind w:firstLine="720"/>
        <w:jc w:val="both"/>
        <w:outlineLvl w:val="0"/>
        <w:rPr>
          <w:rFonts w:ascii="Traditional Arabic" w:eastAsia="等线 Light" w:hAnsi="Traditional Arabic" w:cs="Traditional Arabic"/>
          <w:color w:val="000000"/>
          <w:sz w:val="32"/>
          <w:szCs w:val="32"/>
          <w:rtl/>
          <w:lang w:val="en-US"/>
        </w:rPr>
      </w:pPr>
      <w:r w:rsidRPr="008917EC">
        <w:rPr>
          <w:rFonts w:ascii="Traditional Arabic" w:eastAsia="等线 Light" w:hAnsi="Traditional Arabic" w:cs="Traditional Arabic" w:hint="cs"/>
          <w:color w:val="000000"/>
          <w:sz w:val="32"/>
          <w:szCs w:val="32"/>
          <w:rtl/>
          <w:lang w:val="en-US"/>
        </w:rPr>
        <w:t xml:space="preserve">من جانب اخر، </w:t>
      </w:r>
      <w:r w:rsidR="00EB50E8" w:rsidRPr="008917EC">
        <w:rPr>
          <w:rFonts w:ascii="Traditional Arabic" w:eastAsia="等线 Light" w:hAnsi="Traditional Arabic" w:cs="Traditional Arabic"/>
          <w:color w:val="000000"/>
          <w:sz w:val="32"/>
          <w:szCs w:val="32"/>
          <w:rtl/>
          <w:lang w:val="en-US"/>
        </w:rPr>
        <w:t xml:space="preserve">أكدت الأدبيات العربية مثل الزهراني (2021) </w:t>
      </w:r>
      <w:r w:rsidR="006D6065">
        <w:rPr>
          <w:rFonts w:ascii="Traditional Arabic" w:eastAsia="等线 Light" w:hAnsi="Traditional Arabic" w:cs="Traditional Arabic" w:hint="cs"/>
          <w:color w:val="000000"/>
          <w:sz w:val="32"/>
          <w:szCs w:val="32"/>
          <w:rtl/>
          <w:lang w:val="en-US"/>
        </w:rPr>
        <w:t xml:space="preserve">واليماحي، (2022) </w:t>
      </w:r>
      <w:r w:rsidR="00EB50E8" w:rsidRPr="008917EC">
        <w:rPr>
          <w:rFonts w:ascii="Traditional Arabic" w:eastAsia="等线 Light" w:hAnsi="Traditional Arabic" w:cs="Traditional Arabic"/>
          <w:color w:val="000000"/>
          <w:sz w:val="32"/>
          <w:szCs w:val="32"/>
          <w:rtl/>
          <w:lang w:val="en-US"/>
        </w:rPr>
        <w:t xml:space="preserve">أهمية نضج عمليات المتابعة والتقييم باعتبارها عنصرًا رئيسيًا لضمان مواءمة الأداء مع الأهداف الاستراتيجية، وهو ما ينعكس على تحسين التنسيق والتكامل المؤسسي. وتشير نتائج </w:t>
      </w:r>
      <w:r w:rsidR="00EB50E8" w:rsidRPr="008917EC">
        <w:rPr>
          <w:rFonts w:ascii="Traditional Arabic" w:eastAsia="等线 Light" w:hAnsi="Traditional Arabic" w:cs="Traditional Arabic"/>
          <w:color w:val="000000"/>
          <w:sz w:val="32"/>
          <w:szCs w:val="32"/>
          <w:lang w:val="en-US"/>
        </w:rPr>
        <w:t>Elbanna et al. 2025)</w:t>
      </w:r>
      <w:r w:rsidR="00EB50E8" w:rsidRPr="008917EC">
        <w:rPr>
          <w:rFonts w:ascii="Traditional Arabic" w:eastAsia="等线 Light" w:hAnsi="Traditional Arabic" w:cs="Traditional Arabic"/>
          <w:color w:val="000000"/>
          <w:sz w:val="32"/>
          <w:szCs w:val="32"/>
          <w:rtl/>
          <w:lang w:val="en-US"/>
        </w:rPr>
        <w:t>) إلى أن ربط الاستراتيجية بالسياسات والإجراءات</w:t>
      </w:r>
      <w:r w:rsidR="00FC2729" w:rsidRPr="008917EC">
        <w:rPr>
          <w:rFonts w:ascii="Traditional Arabic" w:eastAsia="等线 Light" w:hAnsi="Traditional Arabic" w:cs="Traditional Arabic" w:hint="cs"/>
          <w:color w:val="000000"/>
          <w:sz w:val="32"/>
          <w:szCs w:val="32"/>
          <w:rtl/>
          <w:lang w:val="en-US"/>
        </w:rPr>
        <w:t xml:space="preserve"> الداخلية</w:t>
      </w:r>
      <w:r w:rsidR="00EB50E8" w:rsidRPr="008917EC">
        <w:rPr>
          <w:rFonts w:ascii="Traditional Arabic" w:eastAsia="等线 Light" w:hAnsi="Traditional Arabic" w:cs="Traditional Arabic"/>
          <w:color w:val="000000"/>
          <w:sz w:val="32"/>
          <w:szCs w:val="32"/>
          <w:rtl/>
          <w:lang w:val="en-US"/>
        </w:rPr>
        <w:t xml:space="preserve"> يحد من التعارض التشغيلي بين المنظمات ويرفع مستوى الاتساق المؤسسي، الأمر الذي يعزز دوره المتوقع في دعم التكامل بين </w:t>
      </w:r>
      <w:r w:rsidR="009C7964">
        <w:rPr>
          <w:rFonts w:ascii="Traditional Arabic" w:eastAsia="等线 Light" w:hAnsi="Traditional Arabic" w:cs="Traditional Arabic"/>
          <w:color w:val="000000"/>
          <w:sz w:val="32"/>
          <w:szCs w:val="32"/>
          <w:rtl/>
          <w:lang w:val="en-US"/>
        </w:rPr>
        <w:t xml:space="preserve">الجهات الخليجية. </w:t>
      </w:r>
    </w:p>
    <w:p w14:paraId="7E900AF7" w14:textId="32DC0C8A" w:rsidR="00EB50E8" w:rsidRPr="008917EC" w:rsidRDefault="00EB50E8" w:rsidP="009C7964">
      <w:pPr>
        <w:keepNext/>
        <w:keepLines/>
        <w:bidi/>
        <w:spacing w:after="0" w:line="360" w:lineRule="auto"/>
        <w:ind w:firstLine="720"/>
        <w:jc w:val="both"/>
        <w:outlineLvl w:val="0"/>
        <w:rPr>
          <w:rFonts w:ascii="Traditional Arabic" w:eastAsia="等线 Light" w:hAnsi="Traditional Arabic" w:cs="Traditional Arabic"/>
          <w:color w:val="000000"/>
          <w:sz w:val="32"/>
          <w:szCs w:val="32"/>
          <w:lang w:val="en-US"/>
        </w:rPr>
      </w:pPr>
      <w:r w:rsidRPr="008917EC">
        <w:rPr>
          <w:rFonts w:ascii="Traditional Arabic" w:eastAsia="等线 Light" w:hAnsi="Traditional Arabic" w:cs="Traditional Arabic"/>
          <w:color w:val="000000"/>
          <w:sz w:val="32"/>
          <w:szCs w:val="32"/>
          <w:rtl/>
          <w:lang w:val="en-US"/>
        </w:rPr>
        <w:t>رغم هذه الأدلة النظرية التي تدعم اتجاه العلاقات الإيجابية بين الأبعاد الخمسة والتكامل المؤسسي، إلا أن التباين بين المنظمات التابعة للأمانة العامة في الهياكل التنظيمية ومستويات الموارد ودرجة الالتزام بتوحيد السياسات قد يؤدي إلى عدم دلالة بعض العلاقات، وهو احتمال قائم في ضوء التنوع المؤسسي داخل منظومة العمل الخليجي المشترك</w:t>
      </w:r>
      <w:r w:rsidRPr="008917EC">
        <w:rPr>
          <w:rFonts w:ascii="Traditional Arabic" w:eastAsia="等线 Light" w:hAnsi="Traditional Arabic" w:cs="Traditional Arabic"/>
          <w:color w:val="000000"/>
          <w:sz w:val="32"/>
          <w:szCs w:val="32"/>
          <w:lang w:val="en-US"/>
        </w:rPr>
        <w:t>.</w:t>
      </w:r>
    </w:p>
    <w:p w14:paraId="7701AA47" w14:textId="77777777" w:rsidR="00EB50E8" w:rsidRPr="008917EC" w:rsidRDefault="00EB50E8" w:rsidP="000D1D6F">
      <w:pPr>
        <w:keepNext/>
        <w:keepLines/>
        <w:bidi/>
        <w:spacing w:after="0" w:line="360" w:lineRule="auto"/>
        <w:ind w:firstLine="720"/>
        <w:jc w:val="both"/>
        <w:outlineLvl w:val="0"/>
        <w:rPr>
          <w:rFonts w:ascii="Traditional Arabic" w:eastAsia="等线 Light" w:hAnsi="Traditional Arabic" w:cs="Traditional Arabic"/>
          <w:color w:val="000000"/>
          <w:sz w:val="32"/>
          <w:szCs w:val="32"/>
          <w:rtl/>
          <w:lang w:val="en-US"/>
        </w:rPr>
      </w:pPr>
      <w:r w:rsidRPr="008917EC">
        <w:rPr>
          <w:rFonts w:ascii="Traditional Arabic" w:eastAsia="等线 Light" w:hAnsi="Traditional Arabic" w:cs="Traditional Arabic" w:hint="cs"/>
          <w:color w:val="000000"/>
          <w:sz w:val="32"/>
          <w:szCs w:val="32"/>
          <w:rtl/>
          <w:lang w:val="en-US"/>
        </w:rPr>
        <w:lastRenderedPageBreak/>
        <w:t>بناء على ما سبق، تفترض الدراسة الحالية الفرضية الرئيسية التالية:</w:t>
      </w:r>
    </w:p>
    <w:p w14:paraId="15EE4C13" w14:textId="77777777" w:rsidR="00EB50E8" w:rsidRPr="008917EC" w:rsidRDefault="00EB50E8" w:rsidP="00EB50E8">
      <w:pPr>
        <w:keepNext/>
        <w:keepLines/>
        <w:bidi/>
        <w:spacing w:after="0" w:line="360" w:lineRule="auto"/>
        <w:jc w:val="both"/>
        <w:outlineLvl w:val="0"/>
        <w:rPr>
          <w:rFonts w:ascii="Traditional Arabic" w:eastAsia="等线 Light" w:hAnsi="Traditional Arabic" w:cs="Traditional Arabic"/>
          <w:b/>
          <w:bCs/>
          <w:color w:val="000000"/>
          <w:sz w:val="32"/>
          <w:szCs w:val="32"/>
          <w:rtl/>
          <w:lang w:val="en-US"/>
        </w:rPr>
      </w:pPr>
      <w:r w:rsidRPr="008917EC">
        <w:rPr>
          <w:rFonts w:ascii="Traditional Arabic" w:eastAsia="等线 Light" w:hAnsi="Traditional Arabic" w:cs="Traditional Arabic"/>
          <w:b/>
          <w:bCs/>
          <w:color w:val="000000"/>
          <w:sz w:val="32"/>
          <w:szCs w:val="32"/>
          <w:lang w:val="en-US"/>
        </w:rPr>
        <w:t>H1</w:t>
      </w:r>
      <w:r w:rsidRPr="008917EC">
        <w:rPr>
          <w:rFonts w:ascii="Traditional Arabic" w:eastAsia="等线 Light" w:hAnsi="Traditional Arabic" w:cs="Traditional Arabic"/>
          <w:b/>
          <w:bCs/>
          <w:color w:val="000000"/>
          <w:sz w:val="32"/>
          <w:szCs w:val="32"/>
          <w:rtl/>
          <w:lang w:val="en-US"/>
        </w:rPr>
        <w:t>: يوجد أثر إيجابي دال إحصائيًا لمستوى نضج التخطيط الاستراتيجي بأبعاده الخمسة على التكامل المؤسسي في المنظمات التابعة للأمانة العامة لمجلس التعاون لدول الخليج العربية</w:t>
      </w:r>
      <w:r w:rsidRPr="008917EC">
        <w:rPr>
          <w:rFonts w:ascii="Traditional Arabic" w:eastAsia="等线 Light" w:hAnsi="Traditional Arabic" w:cs="Traditional Arabic"/>
          <w:b/>
          <w:bCs/>
          <w:color w:val="000000"/>
          <w:sz w:val="32"/>
          <w:szCs w:val="32"/>
          <w:lang w:val="en-US"/>
        </w:rPr>
        <w:t>.</w:t>
      </w:r>
    </w:p>
    <w:p w14:paraId="71E92621" w14:textId="77777777" w:rsidR="00EB50E8" w:rsidRPr="008917EC" w:rsidRDefault="00EB50E8" w:rsidP="00EB50E8">
      <w:pPr>
        <w:keepNext/>
        <w:keepLines/>
        <w:bidi/>
        <w:spacing w:after="0" w:line="360" w:lineRule="auto"/>
        <w:jc w:val="both"/>
        <w:outlineLvl w:val="0"/>
        <w:rPr>
          <w:rFonts w:ascii="Traditional Arabic" w:eastAsia="等线 Light" w:hAnsi="Traditional Arabic" w:cs="Traditional Arabic"/>
          <w:b/>
          <w:bCs/>
          <w:color w:val="000000"/>
          <w:sz w:val="32"/>
          <w:szCs w:val="32"/>
          <w:rtl/>
          <w:lang w:val="en-US"/>
        </w:rPr>
      </w:pPr>
    </w:p>
    <w:p w14:paraId="1868A6CB" w14:textId="77777777" w:rsidR="00EB50E8" w:rsidRPr="008917EC" w:rsidRDefault="00EB50E8" w:rsidP="000D1D6F">
      <w:pPr>
        <w:keepNext/>
        <w:keepLines/>
        <w:bidi/>
        <w:spacing w:after="0" w:line="360" w:lineRule="auto"/>
        <w:ind w:firstLine="720"/>
        <w:jc w:val="both"/>
        <w:outlineLvl w:val="0"/>
        <w:rPr>
          <w:rFonts w:ascii="Traditional Arabic" w:eastAsia="等线 Light" w:hAnsi="Traditional Arabic" w:cs="Traditional Arabic"/>
          <w:color w:val="000000"/>
          <w:sz w:val="32"/>
          <w:szCs w:val="32"/>
          <w:lang w:val="en-US"/>
        </w:rPr>
      </w:pPr>
      <w:r w:rsidRPr="008917EC">
        <w:rPr>
          <w:rFonts w:ascii="Traditional Arabic" w:eastAsia="等线 Light" w:hAnsi="Traditional Arabic" w:cs="Traditional Arabic" w:hint="cs"/>
          <w:color w:val="000000"/>
          <w:sz w:val="32"/>
          <w:szCs w:val="32"/>
          <w:rtl/>
          <w:lang w:val="en-US"/>
        </w:rPr>
        <w:t>يتفرع منها الفرضيات التالية:</w:t>
      </w:r>
    </w:p>
    <w:p w14:paraId="01D37551" w14:textId="77777777" w:rsidR="00EB50E8" w:rsidRPr="008917EC" w:rsidRDefault="00EB50E8" w:rsidP="00EB50E8">
      <w:pPr>
        <w:keepNext/>
        <w:keepLines/>
        <w:bidi/>
        <w:spacing w:after="0" w:line="360" w:lineRule="auto"/>
        <w:jc w:val="both"/>
        <w:outlineLvl w:val="0"/>
        <w:rPr>
          <w:rFonts w:ascii="Traditional Arabic" w:eastAsia="等线 Light" w:hAnsi="Traditional Arabic" w:cs="Traditional Arabic"/>
          <w:color w:val="000000"/>
          <w:sz w:val="32"/>
          <w:szCs w:val="32"/>
          <w:lang w:val="en-US"/>
        </w:rPr>
      </w:pPr>
      <w:r w:rsidRPr="008917EC">
        <w:rPr>
          <w:rFonts w:ascii="Traditional Arabic" w:eastAsia="等线 Light" w:hAnsi="Traditional Arabic" w:cs="Traditional Arabic"/>
          <w:color w:val="000000"/>
          <w:sz w:val="32"/>
          <w:szCs w:val="32"/>
          <w:lang w:val="en-US"/>
        </w:rPr>
        <w:t>H1a</w:t>
      </w:r>
      <w:r w:rsidRPr="008917EC">
        <w:rPr>
          <w:rFonts w:ascii="Traditional Arabic" w:eastAsia="等线 Light" w:hAnsi="Traditional Arabic" w:cs="Traditional Arabic"/>
          <w:color w:val="000000"/>
          <w:sz w:val="32"/>
          <w:szCs w:val="32"/>
          <w:rtl/>
          <w:lang w:val="en-US"/>
        </w:rPr>
        <w:t>: يوجد أثر إيجابي دال إحصائيًا لوضوح الرؤية والأهداف على التكامل المؤسسي في المنظمات التابعة للأمانة العامة</w:t>
      </w:r>
      <w:r w:rsidRPr="008917EC">
        <w:rPr>
          <w:rFonts w:ascii="Traditional Arabic" w:eastAsia="等线 Light" w:hAnsi="Traditional Arabic" w:cs="Traditional Arabic"/>
          <w:color w:val="000000"/>
          <w:sz w:val="32"/>
          <w:szCs w:val="32"/>
          <w:lang w:val="en-US"/>
        </w:rPr>
        <w:t>.</w:t>
      </w:r>
    </w:p>
    <w:p w14:paraId="2848676A" w14:textId="77777777" w:rsidR="00EB50E8" w:rsidRPr="008917EC" w:rsidRDefault="00EB50E8" w:rsidP="00EB50E8">
      <w:pPr>
        <w:keepNext/>
        <w:keepLines/>
        <w:bidi/>
        <w:spacing w:after="0" w:line="360" w:lineRule="auto"/>
        <w:jc w:val="both"/>
        <w:outlineLvl w:val="0"/>
        <w:rPr>
          <w:rFonts w:ascii="Traditional Arabic" w:eastAsia="等线 Light" w:hAnsi="Traditional Arabic" w:cs="Traditional Arabic"/>
          <w:color w:val="000000"/>
          <w:sz w:val="32"/>
          <w:szCs w:val="32"/>
          <w:lang w:val="en-US"/>
        </w:rPr>
      </w:pPr>
      <w:r w:rsidRPr="008917EC">
        <w:rPr>
          <w:rFonts w:ascii="Traditional Arabic" w:eastAsia="等线 Light" w:hAnsi="Traditional Arabic" w:cs="Traditional Arabic"/>
          <w:color w:val="000000"/>
          <w:sz w:val="32"/>
          <w:szCs w:val="32"/>
          <w:lang w:val="en-US"/>
        </w:rPr>
        <w:t>H1b</w:t>
      </w:r>
      <w:r w:rsidRPr="008917EC">
        <w:rPr>
          <w:rFonts w:ascii="Traditional Arabic" w:eastAsia="等线 Light" w:hAnsi="Traditional Arabic" w:cs="Traditional Arabic"/>
          <w:color w:val="000000"/>
          <w:sz w:val="32"/>
          <w:szCs w:val="32"/>
          <w:rtl/>
          <w:lang w:val="en-US"/>
        </w:rPr>
        <w:t>: يوجد أثر إيجابي دال إحصائيًا للتحليل البيئي على التكامل المؤسسي في المنظمات التابعة للأمانة العامة</w:t>
      </w:r>
      <w:r w:rsidRPr="008917EC">
        <w:rPr>
          <w:rFonts w:ascii="Traditional Arabic" w:eastAsia="等线 Light" w:hAnsi="Traditional Arabic" w:cs="Traditional Arabic"/>
          <w:color w:val="000000"/>
          <w:sz w:val="32"/>
          <w:szCs w:val="32"/>
          <w:lang w:val="en-US"/>
        </w:rPr>
        <w:t>.</w:t>
      </w:r>
    </w:p>
    <w:p w14:paraId="7CB40FD1" w14:textId="77777777" w:rsidR="00EB50E8" w:rsidRPr="008917EC" w:rsidRDefault="00EB50E8" w:rsidP="00EB50E8">
      <w:pPr>
        <w:keepNext/>
        <w:keepLines/>
        <w:bidi/>
        <w:spacing w:after="0" w:line="360" w:lineRule="auto"/>
        <w:jc w:val="both"/>
        <w:outlineLvl w:val="0"/>
        <w:rPr>
          <w:rFonts w:ascii="Traditional Arabic" w:eastAsia="等线 Light" w:hAnsi="Traditional Arabic" w:cs="Traditional Arabic"/>
          <w:color w:val="000000"/>
          <w:sz w:val="32"/>
          <w:szCs w:val="32"/>
          <w:lang w:val="en-US"/>
        </w:rPr>
      </w:pPr>
      <w:r w:rsidRPr="008917EC">
        <w:rPr>
          <w:rFonts w:ascii="Traditional Arabic" w:eastAsia="等线 Light" w:hAnsi="Traditional Arabic" w:cs="Traditional Arabic"/>
          <w:color w:val="000000"/>
          <w:sz w:val="32"/>
          <w:szCs w:val="32"/>
          <w:lang w:val="en-US"/>
        </w:rPr>
        <w:t>H1c</w:t>
      </w:r>
      <w:r w:rsidRPr="008917EC">
        <w:rPr>
          <w:rFonts w:ascii="Traditional Arabic" w:eastAsia="等线 Light" w:hAnsi="Traditional Arabic" w:cs="Traditional Arabic"/>
          <w:color w:val="000000"/>
          <w:sz w:val="32"/>
          <w:szCs w:val="32"/>
          <w:rtl/>
          <w:lang w:val="en-US"/>
        </w:rPr>
        <w:t>: يوجد أثر إيجابي دال إحصائيًا لتخصيص الموارد والقدرات التنظيمية على التكامل المؤسسي في المنظمات التابعة للأمانة العامة</w:t>
      </w:r>
      <w:r w:rsidRPr="008917EC">
        <w:rPr>
          <w:rFonts w:ascii="Traditional Arabic" w:eastAsia="等线 Light" w:hAnsi="Traditional Arabic" w:cs="Traditional Arabic"/>
          <w:color w:val="000000"/>
          <w:sz w:val="32"/>
          <w:szCs w:val="32"/>
          <w:lang w:val="en-US"/>
        </w:rPr>
        <w:t>.</w:t>
      </w:r>
    </w:p>
    <w:p w14:paraId="22CFD29E" w14:textId="77777777" w:rsidR="00EB50E8" w:rsidRPr="008917EC" w:rsidRDefault="00EB50E8" w:rsidP="00EB50E8">
      <w:pPr>
        <w:keepNext/>
        <w:keepLines/>
        <w:bidi/>
        <w:spacing w:after="0" w:line="360" w:lineRule="auto"/>
        <w:jc w:val="both"/>
        <w:outlineLvl w:val="0"/>
        <w:rPr>
          <w:rFonts w:ascii="Traditional Arabic" w:eastAsia="等线 Light" w:hAnsi="Traditional Arabic" w:cs="Traditional Arabic"/>
          <w:color w:val="000000"/>
          <w:sz w:val="32"/>
          <w:szCs w:val="32"/>
          <w:lang w:val="en-US"/>
        </w:rPr>
      </w:pPr>
      <w:r w:rsidRPr="008917EC">
        <w:rPr>
          <w:rFonts w:ascii="Traditional Arabic" w:eastAsia="等线 Light" w:hAnsi="Traditional Arabic" w:cs="Traditional Arabic"/>
          <w:color w:val="000000"/>
          <w:sz w:val="32"/>
          <w:szCs w:val="32"/>
          <w:lang w:val="en-US"/>
        </w:rPr>
        <w:t>H1d</w:t>
      </w:r>
      <w:r w:rsidRPr="008917EC">
        <w:rPr>
          <w:rFonts w:ascii="Traditional Arabic" w:eastAsia="等线 Light" w:hAnsi="Traditional Arabic" w:cs="Traditional Arabic"/>
          <w:color w:val="000000"/>
          <w:sz w:val="32"/>
          <w:szCs w:val="32"/>
          <w:rtl/>
          <w:lang w:val="en-US"/>
        </w:rPr>
        <w:t>: يوجد أثر إيجابي دال إحصائيًا للمتابعة والتقييم على التكامل المؤسسي في المنظمات التابعة للأمانة العامة</w:t>
      </w:r>
      <w:r w:rsidRPr="008917EC">
        <w:rPr>
          <w:rFonts w:ascii="Traditional Arabic" w:eastAsia="等线 Light" w:hAnsi="Traditional Arabic" w:cs="Traditional Arabic"/>
          <w:color w:val="000000"/>
          <w:sz w:val="32"/>
          <w:szCs w:val="32"/>
          <w:lang w:val="en-US"/>
        </w:rPr>
        <w:t>.</w:t>
      </w:r>
    </w:p>
    <w:p w14:paraId="19CFBD76" w14:textId="77777777" w:rsidR="00EB50E8" w:rsidRPr="008917EC" w:rsidRDefault="00EB50E8" w:rsidP="00EB50E8">
      <w:pPr>
        <w:keepNext/>
        <w:keepLines/>
        <w:bidi/>
        <w:spacing w:after="0" w:line="360" w:lineRule="auto"/>
        <w:jc w:val="both"/>
        <w:outlineLvl w:val="0"/>
        <w:rPr>
          <w:rFonts w:ascii="Traditional Arabic" w:eastAsia="等线 Light" w:hAnsi="Traditional Arabic" w:cs="Traditional Arabic"/>
          <w:color w:val="000000"/>
          <w:sz w:val="32"/>
          <w:szCs w:val="32"/>
          <w:lang w:val="en-US"/>
        </w:rPr>
      </w:pPr>
      <w:r w:rsidRPr="008917EC">
        <w:rPr>
          <w:rFonts w:ascii="Traditional Arabic" w:eastAsia="等线 Light" w:hAnsi="Traditional Arabic" w:cs="Traditional Arabic"/>
          <w:color w:val="000000"/>
          <w:sz w:val="32"/>
          <w:szCs w:val="32"/>
          <w:lang w:val="en-US"/>
        </w:rPr>
        <w:t>H1e</w:t>
      </w:r>
      <w:r w:rsidRPr="008917EC">
        <w:rPr>
          <w:rFonts w:ascii="Traditional Arabic" w:eastAsia="等线 Light" w:hAnsi="Traditional Arabic" w:cs="Traditional Arabic"/>
          <w:color w:val="000000"/>
          <w:sz w:val="32"/>
          <w:szCs w:val="32"/>
          <w:rtl/>
          <w:lang w:val="en-US"/>
        </w:rPr>
        <w:t>: يوجد أثر إيجابي دال إحصائيًا لربط الاستراتيجية بالسياسات والإجراءات</w:t>
      </w:r>
      <w:r w:rsidR="00FC2729" w:rsidRPr="008917EC">
        <w:rPr>
          <w:rFonts w:ascii="Traditional Arabic" w:eastAsia="等线 Light" w:hAnsi="Traditional Arabic" w:cs="Traditional Arabic" w:hint="cs"/>
          <w:color w:val="000000"/>
          <w:sz w:val="32"/>
          <w:szCs w:val="32"/>
          <w:rtl/>
          <w:lang w:val="en-US"/>
        </w:rPr>
        <w:t xml:space="preserve"> الداخلية</w:t>
      </w:r>
      <w:r w:rsidRPr="008917EC">
        <w:rPr>
          <w:rFonts w:ascii="Traditional Arabic" w:eastAsia="等线 Light" w:hAnsi="Traditional Arabic" w:cs="Traditional Arabic"/>
          <w:color w:val="000000"/>
          <w:sz w:val="32"/>
          <w:szCs w:val="32"/>
          <w:rtl/>
          <w:lang w:val="en-US"/>
        </w:rPr>
        <w:t xml:space="preserve"> على التكامل المؤسسي في المنظمات التابعة للأمانة العامة</w:t>
      </w:r>
      <w:r w:rsidRPr="008917EC">
        <w:rPr>
          <w:rFonts w:ascii="Traditional Arabic" w:eastAsia="等线 Light" w:hAnsi="Traditional Arabic" w:cs="Traditional Arabic"/>
          <w:color w:val="000000"/>
          <w:sz w:val="32"/>
          <w:szCs w:val="32"/>
          <w:lang w:val="en-US"/>
        </w:rPr>
        <w:t>.</w:t>
      </w:r>
    </w:p>
    <w:p w14:paraId="51A404F9" w14:textId="77777777" w:rsidR="00F72BC0" w:rsidRPr="008917EC" w:rsidRDefault="00F72BC0" w:rsidP="00F72BC0">
      <w:pPr>
        <w:keepNext/>
        <w:keepLines/>
        <w:bidi/>
        <w:spacing w:after="0" w:line="360" w:lineRule="auto"/>
        <w:outlineLvl w:val="0"/>
        <w:rPr>
          <w:rFonts w:ascii="Traditional Arabic" w:eastAsia="等线 Light" w:hAnsi="Traditional Arabic" w:cs="Traditional Arabic"/>
          <w:b/>
          <w:bCs/>
          <w:color w:val="000000"/>
          <w:sz w:val="32"/>
          <w:szCs w:val="32"/>
          <w:rtl/>
          <w:lang w:val="en-US"/>
        </w:rPr>
      </w:pPr>
    </w:p>
    <w:p w14:paraId="1C5FABA3" w14:textId="77777777" w:rsidR="00F72BC0" w:rsidRPr="008917EC" w:rsidRDefault="00F72BC0" w:rsidP="00F72BC0">
      <w:pPr>
        <w:keepNext/>
        <w:keepLines/>
        <w:bidi/>
        <w:spacing w:after="0" w:line="360" w:lineRule="auto"/>
        <w:outlineLvl w:val="0"/>
        <w:rPr>
          <w:rFonts w:ascii="Traditional Arabic" w:eastAsia="等线 Light" w:hAnsi="Traditional Arabic" w:cs="Traditional Arabic"/>
          <w:b/>
          <w:bCs/>
          <w:color w:val="000000"/>
          <w:sz w:val="36"/>
          <w:szCs w:val="36"/>
          <w:rtl/>
          <w:lang w:val="en-US"/>
        </w:rPr>
      </w:pPr>
      <w:r w:rsidRPr="008917EC">
        <w:rPr>
          <w:rFonts w:ascii="Traditional Arabic" w:eastAsia="等线 Light" w:hAnsi="Traditional Arabic" w:cs="Traditional Arabic"/>
          <w:b/>
          <w:bCs/>
          <w:color w:val="000000"/>
          <w:sz w:val="36"/>
          <w:szCs w:val="36"/>
          <w:rtl/>
          <w:lang w:val="en-US"/>
        </w:rPr>
        <w:t>مفاهيم الدراسة والمصطلحات الاساسية</w:t>
      </w:r>
    </w:p>
    <w:p w14:paraId="1D484443" w14:textId="77777777" w:rsidR="00F72BC0" w:rsidRPr="008917EC" w:rsidRDefault="00F72BC0" w:rsidP="00F72BC0">
      <w:pPr>
        <w:bidi/>
        <w:spacing w:after="0" w:line="360" w:lineRule="auto"/>
        <w:jc w:val="both"/>
        <w:rPr>
          <w:rFonts w:ascii="Traditional Arabic" w:eastAsia="Calibri" w:hAnsi="Traditional Arabic" w:cs="Traditional Arabic"/>
          <w:sz w:val="32"/>
          <w:szCs w:val="32"/>
          <w:rtl/>
          <w:lang w:val="en-US"/>
        </w:rPr>
      </w:pPr>
      <w:r w:rsidRPr="008917EC">
        <w:rPr>
          <w:rFonts w:ascii="Traditional Arabic" w:eastAsia="Calibri" w:hAnsi="Traditional Arabic" w:cs="Traditional Arabic"/>
          <w:sz w:val="32"/>
          <w:szCs w:val="32"/>
          <w:rtl/>
          <w:lang w:val="en-US"/>
        </w:rPr>
        <w:t>تضمنت الدراسة المصطلحات التالية:</w:t>
      </w:r>
    </w:p>
    <w:p w14:paraId="786F9315" w14:textId="77777777" w:rsidR="00734A9F" w:rsidRPr="008917EC" w:rsidRDefault="00F72BC0" w:rsidP="00236B3F">
      <w:pPr>
        <w:pStyle w:val="ListParagraph"/>
        <w:numPr>
          <w:ilvl w:val="0"/>
          <w:numId w:val="11"/>
        </w:numPr>
        <w:spacing w:after="0" w:line="360" w:lineRule="auto"/>
        <w:jc w:val="both"/>
        <w:rPr>
          <w:rFonts w:ascii="Traditional Arabic" w:eastAsia="Calibri" w:hAnsi="Traditional Arabic" w:cs="Traditional Arabic"/>
          <w:b/>
          <w:bCs/>
          <w:sz w:val="32"/>
          <w:szCs w:val="32"/>
          <w:rtl/>
        </w:rPr>
      </w:pPr>
      <w:r w:rsidRPr="008917EC">
        <w:rPr>
          <w:rFonts w:ascii="Traditional Arabic" w:eastAsia="Calibri" w:hAnsi="Traditional Arabic" w:cs="Traditional Arabic"/>
          <w:b/>
          <w:bCs/>
          <w:sz w:val="32"/>
          <w:szCs w:val="32"/>
          <w:rtl/>
        </w:rPr>
        <w:t>أولاً: المتغير المستقل الرئيسي – مستوى نضج التخطيط الاستراتيجي</w:t>
      </w:r>
    </w:p>
    <w:p w14:paraId="6B6A772D" w14:textId="77777777" w:rsidR="001A60CA" w:rsidRPr="008917EC" w:rsidRDefault="00F72BC0" w:rsidP="0099787C">
      <w:pPr>
        <w:bidi/>
        <w:spacing w:after="0" w:line="360" w:lineRule="auto"/>
        <w:jc w:val="both"/>
        <w:rPr>
          <w:rFonts w:ascii="Traditional Arabic" w:eastAsia="Calibri" w:hAnsi="Traditional Arabic" w:cs="Traditional Arabic"/>
          <w:sz w:val="32"/>
          <w:szCs w:val="32"/>
          <w:lang w:val="en-US"/>
        </w:rPr>
      </w:pPr>
      <w:r w:rsidRPr="008917EC">
        <w:rPr>
          <w:rFonts w:ascii="Traditional Arabic" w:eastAsia="Calibri" w:hAnsi="Traditional Arabic" w:cs="Traditional Arabic"/>
          <w:b/>
          <w:bCs/>
          <w:sz w:val="32"/>
          <w:szCs w:val="32"/>
          <w:rtl/>
          <w:lang w:val="en-US"/>
        </w:rPr>
        <w:lastRenderedPageBreak/>
        <w:t>التعريف الاصطلاحي</w:t>
      </w:r>
      <w:r w:rsidRPr="008917EC">
        <w:rPr>
          <w:rFonts w:ascii="Traditional Arabic" w:eastAsia="Calibri" w:hAnsi="Traditional Arabic" w:cs="Traditional Arabic"/>
          <w:sz w:val="32"/>
          <w:szCs w:val="32"/>
          <w:rtl/>
          <w:lang w:val="en-US"/>
        </w:rPr>
        <w:t xml:space="preserve">: </w:t>
      </w:r>
      <w:r w:rsidR="001A60CA" w:rsidRPr="008917EC">
        <w:rPr>
          <w:rFonts w:ascii="Traditional Arabic" w:eastAsia="Calibri" w:hAnsi="Traditional Arabic" w:cs="Traditional Arabic"/>
          <w:sz w:val="32"/>
          <w:szCs w:val="32"/>
          <w:rtl/>
          <w:lang w:val="en-US"/>
        </w:rPr>
        <w:t>يمثل مستوى نضج التخطيط الاستراتيجي الدرجة التي تصل إليها المنظمة في تبني ممارسات تخطيط منظمة ومنهجية تشمل وضوح الرؤية والأهداف، التحليل البيئي، تخصيص الموارد</w:t>
      </w:r>
      <w:r w:rsidR="00FC2729" w:rsidRPr="008917EC">
        <w:rPr>
          <w:rFonts w:ascii="Traditional Arabic" w:eastAsia="Calibri" w:hAnsi="Traditional Arabic" w:cs="Traditional Arabic"/>
          <w:color w:val="000000"/>
          <w:sz w:val="32"/>
          <w:szCs w:val="32"/>
          <w:rtl/>
          <w:lang w:val="en-US"/>
        </w:rPr>
        <w:t xml:space="preserve"> </w:t>
      </w:r>
      <w:r w:rsidR="00FC2729" w:rsidRPr="008917EC">
        <w:rPr>
          <w:rFonts w:ascii="Traditional Arabic" w:eastAsia="Calibri" w:hAnsi="Traditional Arabic" w:cs="Traditional Arabic"/>
          <w:sz w:val="32"/>
          <w:szCs w:val="32"/>
          <w:rtl/>
          <w:lang w:val="en-US"/>
        </w:rPr>
        <w:t>والقدرات التنظيمية</w:t>
      </w:r>
      <w:r w:rsidR="001A60CA" w:rsidRPr="008917EC">
        <w:rPr>
          <w:rFonts w:ascii="Traditional Arabic" w:eastAsia="Calibri" w:hAnsi="Traditional Arabic" w:cs="Traditional Arabic"/>
          <w:sz w:val="32"/>
          <w:szCs w:val="32"/>
          <w:rtl/>
          <w:lang w:val="en-US"/>
        </w:rPr>
        <w:t xml:space="preserve">، المتابعة والتقييم، واتساق السياسات والإجراءات مع التوجهات الاستراتيجية. </w:t>
      </w:r>
      <w:r w:rsidR="00236B3F" w:rsidRPr="008917EC">
        <w:rPr>
          <w:rFonts w:ascii="Traditional Arabic" w:eastAsia="Calibri" w:hAnsi="Traditional Arabic" w:cs="Traditional Arabic"/>
          <w:sz w:val="32"/>
          <w:szCs w:val="32"/>
          <w:rtl/>
          <w:lang w:val="en-US"/>
        </w:rPr>
        <w:t>ويرتكز هذا المفهوم على الأدبيات الأجنبية الحديثة التي تناولت نضج التخطيط وقابليته للتطبيق في المؤسسات الإقليمية (</w:t>
      </w:r>
      <w:r w:rsidR="00236B3F" w:rsidRPr="008917EC">
        <w:rPr>
          <w:rFonts w:ascii="Traditional Arabic" w:eastAsia="Calibri" w:hAnsi="Traditional Arabic" w:cs="Traditional Arabic"/>
          <w:sz w:val="32"/>
          <w:szCs w:val="32"/>
          <w:lang w:val="en-US"/>
        </w:rPr>
        <w:t>Molete et al., 2025</w:t>
      </w:r>
      <w:r w:rsidR="00236B3F" w:rsidRPr="008917EC">
        <w:rPr>
          <w:rFonts w:ascii="Traditional Arabic" w:eastAsia="Calibri" w:hAnsi="Traditional Arabic" w:cs="Traditional Arabic"/>
          <w:sz w:val="32"/>
          <w:szCs w:val="32"/>
          <w:rtl/>
          <w:lang w:val="en-US"/>
        </w:rPr>
        <w:t>).</w:t>
      </w:r>
    </w:p>
    <w:p w14:paraId="6E6ADE93" w14:textId="77777777" w:rsidR="00F72BC0" w:rsidRPr="008917EC" w:rsidRDefault="00F72BC0" w:rsidP="00F72BC0">
      <w:pPr>
        <w:bidi/>
        <w:spacing w:after="0" w:line="360" w:lineRule="auto"/>
        <w:jc w:val="both"/>
        <w:rPr>
          <w:rFonts w:ascii="Traditional Arabic" w:eastAsia="Calibri" w:hAnsi="Traditional Arabic" w:cs="Traditional Arabic"/>
          <w:sz w:val="32"/>
          <w:szCs w:val="32"/>
          <w:rtl/>
          <w:lang w:val="en-US"/>
        </w:rPr>
      </w:pPr>
    </w:p>
    <w:p w14:paraId="14E99688" w14:textId="680D218B" w:rsidR="00236B3F" w:rsidRPr="008917EC" w:rsidRDefault="00F72BC0" w:rsidP="00C952AB">
      <w:pPr>
        <w:bidi/>
        <w:spacing w:after="0" w:line="360" w:lineRule="auto"/>
        <w:jc w:val="both"/>
        <w:rPr>
          <w:rFonts w:ascii="Traditional Arabic" w:eastAsia="Calibri" w:hAnsi="Traditional Arabic" w:cs="Traditional Arabic"/>
          <w:sz w:val="32"/>
          <w:szCs w:val="32"/>
          <w:lang w:val="en-US"/>
        </w:rPr>
      </w:pPr>
      <w:r w:rsidRPr="008917EC">
        <w:rPr>
          <w:rFonts w:ascii="Traditional Arabic" w:eastAsia="Calibri" w:hAnsi="Traditional Arabic" w:cs="Traditional Arabic"/>
          <w:b/>
          <w:bCs/>
          <w:sz w:val="32"/>
          <w:szCs w:val="32"/>
          <w:rtl/>
          <w:lang w:val="en-US"/>
        </w:rPr>
        <w:t>التعريف الإجرائي</w:t>
      </w:r>
      <w:r w:rsidRPr="008917EC">
        <w:rPr>
          <w:rFonts w:ascii="Traditional Arabic" w:eastAsia="Calibri" w:hAnsi="Traditional Arabic" w:cs="Traditional Arabic"/>
          <w:sz w:val="32"/>
          <w:szCs w:val="32"/>
          <w:rtl/>
          <w:lang w:val="en-US"/>
        </w:rPr>
        <w:t xml:space="preserve">: </w:t>
      </w:r>
      <w:r w:rsidR="00103922" w:rsidRPr="008917EC">
        <w:rPr>
          <w:rFonts w:ascii="Traditional Arabic" w:eastAsia="Calibri" w:hAnsi="Traditional Arabic" w:cs="Traditional Arabic"/>
          <w:sz w:val="32"/>
          <w:szCs w:val="32"/>
          <w:rtl/>
          <w:lang w:val="en-US"/>
        </w:rPr>
        <w:t xml:space="preserve">يقاس مستوى نضج التخطيط الاستراتيجي من خلال استبانة تضم بنودًا تقيس مدى تطبيق المنظمة لجميع </w:t>
      </w:r>
      <w:r w:rsidR="00103922" w:rsidRPr="00017E38">
        <w:rPr>
          <w:rFonts w:ascii="Traditional Arabic" w:eastAsia="Calibri" w:hAnsi="Traditional Arabic" w:cs="Traditional Arabic"/>
          <w:sz w:val="32"/>
          <w:szCs w:val="32"/>
          <w:rtl/>
          <w:lang w:val="en-US"/>
        </w:rPr>
        <w:t>مكونات التخطيط الاستراتيجي كما هي</w:t>
      </w:r>
      <w:r w:rsidR="00103922" w:rsidRPr="00017E38">
        <w:rPr>
          <w:rFonts w:ascii="Traditional Arabic" w:eastAsia="Calibri" w:hAnsi="Traditional Arabic" w:cs="Traditional Arabic"/>
          <w:sz w:val="32"/>
          <w:szCs w:val="32"/>
        </w:rPr>
        <w:t xml:space="preserve">: </w:t>
      </w:r>
      <w:r w:rsidR="00103922" w:rsidRPr="00017E38">
        <w:rPr>
          <w:rFonts w:ascii="Traditional Arabic" w:eastAsia="Calibri" w:hAnsi="Traditional Arabic" w:cs="Traditional Arabic"/>
          <w:sz w:val="32"/>
          <w:szCs w:val="32"/>
          <w:rtl/>
          <w:lang w:val="en-US"/>
        </w:rPr>
        <w:t xml:space="preserve">وضوح الرؤية والأهداف الاستراتيجية، تحليل البيئة الداخلية والخارجية، تخصيص الموارد والقدرات التنظيمية، متابعة وتقييم الأداء الاستراتيجي، وربط الاستراتيجية بالسياسات والإجراءات الداخلية، وذلك بالاعتماد على بنود مستمدة </w:t>
      </w:r>
      <w:r w:rsidR="00C952AB" w:rsidRPr="00017E38">
        <w:rPr>
          <w:rFonts w:ascii="Traditional Arabic" w:eastAsia="Calibri" w:hAnsi="Traditional Arabic" w:cs="Traditional Arabic" w:hint="cs"/>
          <w:sz w:val="32"/>
          <w:szCs w:val="32"/>
          <w:rtl/>
          <w:lang w:val="en-US"/>
        </w:rPr>
        <w:t xml:space="preserve">من دراسات سابقة </w:t>
      </w:r>
      <w:r w:rsidR="00103922" w:rsidRPr="00017E38">
        <w:rPr>
          <w:rFonts w:ascii="Traditional Arabic" w:eastAsia="Calibri" w:hAnsi="Traditional Arabic" w:cs="Traditional Arabic"/>
          <w:sz w:val="32"/>
          <w:szCs w:val="32"/>
          <w:rtl/>
          <w:lang w:val="en-US"/>
        </w:rPr>
        <w:t>بعد تكييفها لسياق منظمات مجلس التعاون، وقياسها باستخدام مقياس ليكرت الخماسي.</w:t>
      </w:r>
    </w:p>
    <w:p w14:paraId="60408CE3" w14:textId="77777777" w:rsidR="00103922" w:rsidRPr="008917EC" w:rsidRDefault="00103922" w:rsidP="00F72BC0">
      <w:pPr>
        <w:bidi/>
        <w:spacing w:after="0" w:line="360" w:lineRule="auto"/>
        <w:jc w:val="both"/>
        <w:rPr>
          <w:rFonts w:ascii="Traditional Arabic" w:eastAsia="Calibri" w:hAnsi="Traditional Arabic" w:cs="Traditional Arabic"/>
          <w:sz w:val="32"/>
          <w:szCs w:val="32"/>
          <w:lang w:val="en-US"/>
        </w:rPr>
      </w:pPr>
    </w:p>
    <w:p w14:paraId="2769C41F" w14:textId="77777777" w:rsidR="00F72BC0" w:rsidRPr="008917EC" w:rsidRDefault="00F72BC0" w:rsidP="00103922">
      <w:pPr>
        <w:bidi/>
        <w:spacing w:after="0" w:line="360" w:lineRule="auto"/>
        <w:jc w:val="both"/>
        <w:rPr>
          <w:rFonts w:ascii="Traditional Arabic" w:eastAsia="Calibri" w:hAnsi="Traditional Arabic" w:cs="Traditional Arabic"/>
          <w:sz w:val="32"/>
          <w:szCs w:val="32"/>
          <w:rtl/>
          <w:lang w:val="en-US"/>
        </w:rPr>
      </w:pPr>
      <w:r w:rsidRPr="008917EC">
        <w:rPr>
          <w:rFonts w:ascii="Traditional Arabic" w:eastAsia="Calibri" w:hAnsi="Traditional Arabic" w:cs="Traditional Arabic"/>
          <w:sz w:val="32"/>
          <w:szCs w:val="32"/>
          <w:rtl/>
          <w:lang w:val="en-US"/>
        </w:rPr>
        <w:t>أبعاد المتغير المستقل الفرعية:</w:t>
      </w:r>
    </w:p>
    <w:p w14:paraId="1F95A312" w14:textId="77777777" w:rsidR="00F72BC0" w:rsidRPr="008917EC" w:rsidRDefault="00F72BC0" w:rsidP="00F72BC0">
      <w:pPr>
        <w:bidi/>
        <w:spacing w:after="0" w:line="360" w:lineRule="auto"/>
        <w:jc w:val="both"/>
        <w:rPr>
          <w:rFonts w:ascii="Traditional Arabic" w:eastAsia="Calibri" w:hAnsi="Traditional Arabic" w:cs="Traditional Arabic"/>
          <w:b/>
          <w:bCs/>
          <w:sz w:val="32"/>
          <w:szCs w:val="32"/>
          <w:rtl/>
          <w:lang w:val="en-US"/>
        </w:rPr>
      </w:pPr>
      <w:r w:rsidRPr="008917EC">
        <w:rPr>
          <w:rFonts w:ascii="Traditional Arabic" w:eastAsia="Calibri" w:hAnsi="Traditional Arabic" w:cs="Traditional Arabic"/>
          <w:b/>
          <w:bCs/>
          <w:sz w:val="32"/>
          <w:szCs w:val="32"/>
          <w:rtl/>
          <w:lang w:val="en-US"/>
        </w:rPr>
        <w:t>1. وضوح الرؤية والأهداف الاستراتيجية</w:t>
      </w:r>
    </w:p>
    <w:p w14:paraId="4A9D99CB" w14:textId="77777777" w:rsidR="00F72BC0" w:rsidRPr="008917EC" w:rsidRDefault="00F72BC0" w:rsidP="0099787C">
      <w:pPr>
        <w:bidi/>
        <w:spacing w:after="0" w:line="360" w:lineRule="auto"/>
        <w:jc w:val="both"/>
        <w:rPr>
          <w:rFonts w:ascii="Traditional Arabic" w:eastAsia="Calibri" w:hAnsi="Traditional Arabic" w:cs="Traditional Arabic"/>
          <w:b/>
          <w:bCs/>
          <w:sz w:val="32"/>
          <w:szCs w:val="32"/>
          <w:rtl/>
          <w:lang w:val="en-US"/>
        </w:rPr>
      </w:pPr>
      <w:r w:rsidRPr="008917EC">
        <w:rPr>
          <w:rFonts w:ascii="Traditional Arabic" w:eastAsia="Calibri" w:hAnsi="Traditional Arabic" w:cs="Traditional Arabic"/>
          <w:b/>
          <w:bCs/>
          <w:sz w:val="32"/>
          <w:szCs w:val="32"/>
          <w:rtl/>
          <w:lang w:val="en-US"/>
        </w:rPr>
        <w:t xml:space="preserve">التعريف الاصطلاحي: </w:t>
      </w:r>
      <w:r w:rsidR="00236B3F" w:rsidRPr="008917EC">
        <w:rPr>
          <w:rFonts w:ascii="Traditional Arabic" w:eastAsia="Calibri" w:hAnsi="Traditional Arabic" w:cs="Traditional Arabic"/>
          <w:sz w:val="32"/>
          <w:szCs w:val="32"/>
          <w:rtl/>
          <w:lang w:val="en-US"/>
        </w:rPr>
        <w:t>يشير إلى مدى وضوح الرؤية والأهداف الاستراتيجية للمنظمة وقدرتها على توجيه الجهود نحو أولويات محددة، وفق نماذج الإدارة الاستراتيجية والدراسات المعاصرة في جاهزية التخطيط (</w:t>
      </w:r>
      <w:r w:rsidR="00236B3F" w:rsidRPr="008917EC">
        <w:rPr>
          <w:rFonts w:ascii="Traditional Arabic" w:eastAsia="Calibri" w:hAnsi="Traditional Arabic" w:cs="Traditional Arabic"/>
          <w:sz w:val="32"/>
          <w:szCs w:val="32"/>
          <w:lang w:val="en-US"/>
        </w:rPr>
        <w:t>Aydın et al., 2022</w:t>
      </w:r>
      <w:r w:rsidR="00236B3F" w:rsidRPr="008917EC">
        <w:rPr>
          <w:rFonts w:ascii="Traditional Arabic" w:eastAsia="Calibri" w:hAnsi="Traditional Arabic" w:cs="Traditional Arabic"/>
          <w:sz w:val="32"/>
          <w:szCs w:val="32"/>
          <w:rtl/>
          <w:lang w:val="en-US"/>
        </w:rPr>
        <w:t>).</w:t>
      </w:r>
    </w:p>
    <w:p w14:paraId="1B21D9B0" w14:textId="77777777" w:rsidR="00F72BC0" w:rsidRPr="008917EC" w:rsidRDefault="00F72BC0" w:rsidP="00103922">
      <w:pPr>
        <w:bidi/>
        <w:spacing w:after="0" w:line="360" w:lineRule="auto"/>
        <w:jc w:val="both"/>
        <w:rPr>
          <w:rFonts w:ascii="Traditional Arabic" w:eastAsia="Calibri" w:hAnsi="Traditional Arabic" w:cs="Traditional Arabic"/>
          <w:b/>
          <w:bCs/>
          <w:sz w:val="32"/>
          <w:szCs w:val="32"/>
          <w:rtl/>
          <w:lang w:val="en-US"/>
        </w:rPr>
      </w:pPr>
      <w:r w:rsidRPr="008917EC">
        <w:rPr>
          <w:rFonts w:ascii="Traditional Arabic" w:eastAsia="Calibri" w:hAnsi="Traditional Arabic" w:cs="Traditional Arabic"/>
          <w:b/>
          <w:bCs/>
          <w:sz w:val="32"/>
          <w:szCs w:val="32"/>
          <w:rtl/>
          <w:lang w:val="en-US"/>
        </w:rPr>
        <w:t xml:space="preserve">التعريف الإجرائي: </w:t>
      </w:r>
      <w:r w:rsidR="00103922" w:rsidRPr="008917EC">
        <w:rPr>
          <w:rFonts w:ascii="Traditional Arabic" w:eastAsia="Calibri" w:hAnsi="Traditional Arabic" w:cs="Traditional Arabic"/>
          <w:sz w:val="32"/>
          <w:szCs w:val="32"/>
          <w:rtl/>
          <w:lang w:val="en-US"/>
        </w:rPr>
        <w:t xml:space="preserve">يقاس وضوح الرؤية والأهداف الاستراتيجية من خلال بنود تستكشف مدى وجود رؤية مكتوبة للمنظمة، ووضوح الأهداف الاستراتيجية واتساقها مع الاتجاهات التنظيمية، وذلك بالاعتماد على بنود مستمدة من </w:t>
      </w:r>
      <w:r w:rsidR="00103922" w:rsidRPr="008917EC">
        <w:rPr>
          <w:rFonts w:ascii="Traditional Arabic" w:eastAsia="Calibri" w:hAnsi="Traditional Arabic" w:cs="Traditional Arabic"/>
          <w:sz w:val="32"/>
          <w:szCs w:val="32"/>
          <w:rtl/>
          <w:lang w:val="en-US"/>
        </w:rPr>
        <w:lastRenderedPageBreak/>
        <w:t xml:space="preserve">مقياس </w:t>
      </w:r>
      <w:r w:rsidR="00103922" w:rsidRPr="008917EC">
        <w:rPr>
          <w:rFonts w:ascii="Traditional Arabic" w:eastAsia="Calibri" w:hAnsi="Traditional Arabic" w:cs="Traditional Arabic"/>
          <w:sz w:val="32"/>
          <w:szCs w:val="32"/>
          <w:lang w:val="en-US"/>
        </w:rPr>
        <w:t>Aydın et al. 2022)</w:t>
      </w:r>
      <w:r w:rsidR="00103922" w:rsidRPr="008917EC">
        <w:rPr>
          <w:rFonts w:ascii="Traditional Arabic" w:eastAsia="Calibri" w:hAnsi="Traditional Arabic" w:cs="Traditional Arabic"/>
          <w:sz w:val="32"/>
          <w:szCs w:val="32"/>
          <w:rtl/>
          <w:lang w:val="en-US"/>
        </w:rPr>
        <w:t>)، وقياسها باستخدام مقياس ليكرت الخماسي لتمثيل مستوى وضوح الرؤية والأهداف في بيئة الدراسة.</w:t>
      </w:r>
    </w:p>
    <w:p w14:paraId="7CA8FFB6" w14:textId="77777777" w:rsidR="00F72BC0" w:rsidRPr="008917EC" w:rsidRDefault="00F72BC0" w:rsidP="00F72BC0">
      <w:pPr>
        <w:bidi/>
        <w:spacing w:after="0" w:line="360" w:lineRule="auto"/>
        <w:jc w:val="both"/>
        <w:rPr>
          <w:rFonts w:ascii="Traditional Arabic" w:eastAsia="Calibri" w:hAnsi="Traditional Arabic" w:cs="Traditional Arabic"/>
          <w:sz w:val="32"/>
          <w:szCs w:val="32"/>
          <w:rtl/>
          <w:lang w:val="en-US"/>
        </w:rPr>
      </w:pPr>
    </w:p>
    <w:p w14:paraId="7A66F3F5" w14:textId="77777777" w:rsidR="00F72BC0" w:rsidRPr="008917EC" w:rsidRDefault="00F72BC0" w:rsidP="00F72BC0">
      <w:pPr>
        <w:bidi/>
        <w:spacing w:after="0" w:line="360" w:lineRule="auto"/>
        <w:jc w:val="both"/>
        <w:rPr>
          <w:rFonts w:ascii="Traditional Arabic" w:eastAsia="Calibri" w:hAnsi="Traditional Arabic" w:cs="Traditional Arabic"/>
          <w:b/>
          <w:bCs/>
          <w:sz w:val="32"/>
          <w:szCs w:val="32"/>
          <w:rtl/>
          <w:lang w:val="en-US"/>
        </w:rPr>
      </w:pPr>
      <w:r w:rsidRPr="008917EC">
        <w:rPr>
          <w:rFonts w:ascii="Traditional Arabic" w:eastAsia="Calibri" w:hAnsi="Traditional Arabic" w:cs="Traditional Arabic"/>
          <w:b/>
          <w:bCs/>
          <w:sz w:val="32"/>
          <w:szCs w:val="32"/>
          <w:rtl/>
          <w:lang w:val="en-US"/>
        </w:rPr>
        <w:t>2. تحليل البيئة الداخلية والخارجية</w:t>
      </w:r>
    </w:p>
    <w:p w14:paraId="5AA9EE2C" w14:textId="77777777" w:rsidR="00F72BC0" w:rsidRPr="008917EC" w:rsidRDefault="00F72BC0" w:rsidP="0099787C">
      <w:pPr>
        <w:bidi/>
        <w:spacing w:after="0" w:line="360" w:lineRule="auto"/>
        <w:jc w:val="both"/>
        <w:rPr>
          <w:rFonts w:ascii="Traditional Arabic" w:eastAsia="Calibri" w:hAnsi="Traditional Arabic" w:cs="Traditional Arabic"/>
          <w:sz w:val="32"/>
          <w:szCs w:val="32"/>
          <w:rtl/>
          <w:lang w:val="en-US"/>
        </w:rPr>
      </w:pPr>
      <w:r w:rsidRPr="008917EC">
        <w:rPr>
          <w:rFonts w:ascii="Traditional Arabic" w:eastAsia="Calibri" w:hAnsi="Traditional Arabic" w:cs="Traditional Arabic"/>
          <w:b/>
          <w:bCs/>
          <w:sz w:val="32"/>
          <w:szCs w:val="32"/>
          <w:rtl/>
          <w:lang w:val="en-US"/>
        </w:rPr>
        <w:t>التعريف الاصطلاحي</w:t>
      </w:r>
      <w:r w:rsidRPr="008917EC">
        <w:rPr>
          <w:rFonts w:ascii="Traditional Arabic" w:eastAsia="Calibri" w:hAnsi="Traditional Arabic" w:cs="Traditional Arabic"/>
          <w:sz w:val="32"/>
          <w:szCs w:val="32"/>
          <w:rtl/>
          <w:lang w:val="en-US"/>
        </w:rPr>
        <w:t xml:space="preserve">: </w:t>
      </w:r>
      <w:r w:rsidR="00236B3F" w:rsidRPr="008917EC">
        <w:rPr>
          <w:rFonts w:ascii="Traditional Arabic" w:eastAsia="Calibri" w:hAnsi="Traditional Arabic" w:cs="Traditional Arabic"/>
          <w:sz w:val="32"/>
          <w:szCs w:val="32"/>
          <w:rtl/>
          <w:lang w:val="en-US"/>
        </w:rPr>
        <w:t>عملية تقييم البيئة الداخلية والخارجية لتحديد العوامل المؤثرة على اتخاذ القرارات الاستراتيجية، وفق الأدبيات الحديثة في التخطيط (</w:t>
      </w:r>
      <w:r w:rsidR="00236B3F" w:rsidRPr="008917EC">
        <w:rPr>
          <w:rFonts w:ascii="Traditional Arabic" w:eastAsia="Calibri" w:hAnsi="Traditional Arabic" w:cs="Traditional Arabic"/>
          <w:sz w:val="32"/>
          <w:szCs w:val="32"/>
          <w:lang w:val="en-US"/>
        </w:rPr>
        <w:t>Mousa &amp; Gürler, 2024</w:t>
      </w:r>
      <w:r w:rsidR="00236B3F" w:rsidRPr="008917EC">
        <w:rPr>
          <w:rFonts w:ascii="Traditional Arabic" w:eastAsia="Calibri" w:hAnsi="Traditional Arabic" w:cs="Traditional Arabic"/>
          <w:sz w:val="32"/>
          <w:szCs w:val="32"/>
          <w:rtl/>
          <w:lang w:val="en-US"/>
        </w:rPr>
        <w:t>).</w:t>
      </w:r>
    </w:p>
    <w:p w14:paraId="4422E4AD" w14:textId="77777777" w:rsidR="00103922" w:rsidRPr="008917EC" w:rsidRDefault="00F72BC0" w:rsidP="00103922">
      <w:pPr>
        <w:bidi/>
        <w:spacing w:after="0" w:line="360" w:lineRule="auto"/>
        <w:jc w:val="both"/>
        <w:rPr>
          <w:rFonts w:ascii="Traditional Arabic" w:eastAsia="Calibri" w:hAnsi="Traditional Arabic" w:cs="Traditional Arabic"/>
          <w:sz w:val="32"/>
          <w:szCs w:val="32"/>
          <w:lang w:val="en-US"/>
        </w:rPr>
      </w:pPr>
      <w:r w:rsidRPr="008917EC">
        <w:rPr>
          <w:rFonts w:ascii="Traditional Arabic" w:eastAsia="Calibri" w:hAnsi="Traditional Arabic" w:cs="Traditional Arabic"/>
          <w:b/>
          <w:bCs/>
          <w:sz w:val="32"/>
          <w:szCs w:val="32"/>
          <w:rtl/>
          <w:lang w:val="en-US"/>
        </w:rPr>
        <w:t>التعريف الإجرائي:</w:t>
      </w:r>
      <w:r w:rsidRPr="008917EC">
        <w:rPr>
          <w:rFonts w:ascii="Traditional Arabic" w:eastAsia="Calibri" w:hAnsi="Traditional Arabic" w:cs="Traditional Arabic"/>
          <w:sz w:val="32"/>
          <w:szCs w:val="32"/>
          <w:rtl/>
          <w:lang w:val="en-US"/>
        </w:rPr>
        <w:t xml:space="preserve"> </w:t>
      </w:r>
      <w:r w:rsidR="00236B3F" w:rsidRPr="008917EC">
        <w:rPr>
          <w:rFonts w:ascii="Traditional Arabic" w:eastAsia="Calibri" w:hAnsi="Traditional Arabic" w:cs="Traditional Arabic"/>
          <w:sz w:val="32"/>
          <w:szCs w:val="32"/>
          <w:rtl/>
          <w:lang w:val="en-US"/>
        </w:rPr>
        <w:t>ي</w:t>
      </w:r>
      <w:r w:rsidR="00103922" w:rsidRPr="008917EC">
        <w:rPr>
          <w:rFonts w:ascii="Traditional Arabic" w:eastAsia="Calibri" w:hAnsi="Traditional Arabic" w:cs="Traditional Arabic"/>
          <w:sz w:val="32"/>
          <w:szCs w:val="32"/>
          <w:rtl/>
          <w:lang w:val="en-US"/>
        </w:rPr>
        <w:t>قاس تحليل البيئة الداخلية والخارجية من خلال بنود تستكشف مدى استخدام أدوات التحليل البيئي ومدى دمج نتائج هذا التحليل في عملية إعداد الخطط الاستراتيجية، وذلك بالاعتماد على بنود مطوّرة لدى</w:t>
      </w:r>
      <w:r w:rsidR="00103922" w:rsidRPr="008917EC">
        <w:rPr>
          <w:rFonts w:ascii="Traditional Arabic" w:eastAsia="Calibri" w:hAnsi="Traditional Arabic" w:cs="Traditional Arabic"/>
          <w:sz w:val="32"/>
          <w:szCs w:val="32"/>
          <w:lang w:val="en-US"/>
        </w:rPr>
        <w:t xml:space="preserve"> Aydın et al. (2022)</w:t>
      </w:r>
      <w:r w:rsidR="00103922" w:rsidRPr="008917EC">
        <w:rPr>
          <w:rFonts w:ascii="Traditional Arabic" w:eastAsia="Calibri" w:hAnsi="Traditional Arabic" w:cs="Traditional Arabic"/>
          <w:sz w:val="32"/>
          <w:szCs w:val="32"/>
          <w:rtl/>
          <w:lang w:val="en-US"/>
        </w:rPr>
        <w:t>، وقياسها باستخدام مقياس ليكرت الخماسي لتمثيل مستوى تطبيق التحليل البيئي في بيئة الدراسة</w:t>
      </w:r>
      <w:r w:rsidR="00103922" w:rsidRPr="008917EC">
        <w:rPr>
          <w:rFonts w:ascii="Traditional Arabic" w:eastAsia="Calibri" w:hAnsi="Traditional Arabic" w:cs="Traditional Arabic"/>
          <w:sz w:val="32"/>
          <w:szCs w:val="32"/>
          <w:lang w:val="en-US"/>
        </w:rPr>
        <w:t>.</w:t>
      </w:r>
    </w:p>
    <w:p w14:paraId="09ABA0C2" w14:textId="77777777" w:rsidR="00F72BC0" w:rsidRPr="008917EC" w:rsidRDefault="00F72BC0" w:rsidP="00103922">
      <w:pPr>
        <w:bidi/>
        <w:spacing w:after="0" w:line="360" w:lineRule="auto"/>
        <w:jc w:val="both"/>
        <w:rPr>
          <w:rFonts w:ascii="Traditional Arabic" w:eastAsia="Calibri" w:hAnsi="Traditional Arabic" w:cs="Traditional Arabic"/>
          <w:sz w:val="32"/>
          <w:szCs w:val="32"/>
          <w:rtl/>
          <w:lang w:val="en-US"/>
        </w:rPr>
      </w:pPr>
    </w:p>
    <w:p w14:paraId="1842F923" w14:textId="77777777" w:rsidR="00F72BC0" w:rsidRPr="008917EC" w:rsidRDefault="00F72BC0" w:rsidP="00F72BC0">
      <w:pPr>
        <w:bidi/>
        <w:spacing w:after="0" w:line="360" w:lineRule="auto"/>
        <w:jc w:val="both"/>
        <w:rPr>
          <w:rFonts w:ascii="Traditional Arabic" w:eastAsia="Calibri" w:hAnsi="Traditional Arabic" w:cs="Traditional Arabic"/>
          <w:sz w:val="32"/>
          <w:szCs w:val="32"/>
          <w:rtl/>
          <w:lang w:val="en-US"/>
        </w:rPr>
      </w:pPr>
    </w:p>
    <w:p w14:paraId="5C5C7234" w14:textId="77777777" w:rsidR="00F72BC0" w:rsidRPr="008917EC" w:rsidRDefault="00F72BC0" w:rsidP="00F72BC0">
      <w:pPr>
        <w:bidi/>
        <w:spacing w:after="0" w:line="360" w:lineRule="auto"/>
        <w:jc w:val="both"/>
        <w:rPr>
          <w:rFonts w:ascii="Traditional Arabic" w:eastAsia="Calibri" w:hAnsi="Traditional Arabic" w:cs="Traditional Arabic"/>
          <w:b/>
          <w:bCs/>
          <w:sz w:val="32"/>
          <w:szCs w:val="32"/>
          <w:rtl/>
          <w:lang w:val="en-US"/>
        </w:rPr>
      </w:pPr>
      <w:r w:rsidRPr="008917EC">
        <w:rPr>
          <w:rFonts w:ascii="Traditional Arabic" w:eastAsia="Calibri" w:hAnsi="Traditional Arabic" w:cs="Traditional Arabic"/>
          <w:b/>
          <w:bCs/>
          <w:sz w:val="32"/>
          <w:szCs w:val="32"/>
          <w:rtl/>
          <w:lang w:val="en-US"/>
        </w:rPr>
        <w:t>3. تخصيص الموارد والقدرات التنظيمية</w:t>
      </w:r>
    </w:p>
    <w:p w14:paraId="61962176" w14:textId="77777777" w:rsidR="00F72BC0" w:rsidRPr="008917EC" w:rsidRDefault="00F72BC0" w:rsidP="00FC2729">
      <w:pPr>
        <w:bidi/>
        <w:spacing w:after="0" w:line="360" w:lineRule="auto"/>
        <w:jc w:val="both"/>
        <w:rPr>
          <w:rFonts w:ascii="Traditional Arabic" w:eastAsia="Calibri" w:hAnsi="Traditional Arabic" w:cs="Traditional Arabic"/>
          <w:sz w:val="32"/>
          <w:szCs w:val="32"/>
          <w:rtl/>
          <w:lang w:val="en-US"/>
        </w:rPr>
      </w:pPr>
      <w:r w:rsidRPr="008917EC">
        <w:rPr>
          <w:rFonts w:ascii="Traditional Arabic" w:eastAsia="Calibri" w:hAnsi="Traditional Arabic" w:cs="Traditional Arabic"/>
          <w:b/>
          <w:bCs/>
          <w:sz w:val="32"/>
          <w:szCs w:val="32"/>
          <w:rtl/>
          <w:lang w:val="en-US"/>
        </w:rPr>
        <w:t xml:space="preserve">التعريف الاصطلاحي: </w:t>
      </w:r>
      <w:r w:rsidR="00236B3F" w:rsidRPr="008917EC">
        <w:rPr>
          <w:rFonts w:ascii="Traditional Arabic" w:eastAsia="Calibri" w:hAnsi="Traditional Arabic" w:cs="Traditional Arabic"/>
          <w:sz w:val="32"/>
          <w:szCs w:val="32"/>
          <w:rtl/>
          <w:lang w:val="en-US"/>
        </w:rPr>
        <w:t>يشير إلى كيفية توزيع الموارد البشرية والمالية والتنظيمية بما يتوافق مع أولويات الخطة الاستراتيجية، وفق الأدبيات الحديثة في تخصيص الموارد</w:t>
      </w:r>
      <w:r w:rsidR="00FC2729" w:rsidRPr="008917EC">
        <w:rPr>
          <w:rFonts w:ascii="Traditional Arabic" w:eastAsia="Calibri" w:hAnsi="Traditional Arabic" w:cs="Traditional Arabic"/>
          <w:color w:val="000000"/>
          <w:sz w:val="32"/>
          <w:szCs w:val="32"/>
          <w:rtl/>
          <w:lang w:val="en-US"/>
        </w:rPr>
        <w:t xml:space="preserve"> </w:t>
      </w:r>
      <w:r w:rsidR="00FC2729" w:rsidRPr="008917EC">
        <w:rPr>
          <w:rFonts w:ascii="Traditional Arabic" w:eastAsia="Calibri" w:hAnsi="Traditional Arabic" w:cs="Traditional Arabic"/>
          <w:sz w:val="32"/>
          <w:szCs w:val="32"/>
          <w:rtl/>
          <w:lang w:val="en-US"/>
        </w:rPr>
        <w:t>والقدرات التنظيمية</w:t>
      </w:r>
      <w:r w:rsidR="00236B3F" w:rsidRPr="008917EC">
        <w:rPr>
          <w:rFonts w:ascii="Traditional Arabic" w:eastAsia="Calibri" w:hAnsi="Traditional Arabic" w:cs="Traditional Arabic"/>
          <w:sz w:val="32"/>
          <w:szCs w:val="32"/>
          <w:rtl/>
          <w:lang w:val="en-US"/>
        </w:rPr>
        <w:t xml:space="preserve"> (</w:t>
      </w:r>
      <w:r w:rsidR="00236B3F" w:rsidRPr="008917EC">
        <w:rPr>
          <w:rFonts w:ascii="Traditional Arabic" w:eastAsia="Calibri" w:hAnsi="Traditional Arabic" w:cs="Traditional Arabic"/>
          <w:sz w:val="32"/>
          <w:szCs w:val="32"/>
          <w:lang w:val="en-US"/>
        </w:rPr>
        <w:t>Mousa &amp; Gürler, 2024</w:t>
      </w:r>
      <w:r w:rsidR="00236B3F" w:rsidRPr="008917EC">
        <w:rPr>
          <w:rFonts w:ascii="Traditional Arabic" w:eastAsia="Calibri" w:hAnsi="Traditional Arabic" w:cs="Traditional Arabic"/>
          <w:sz w:val="32"/>
          <w:szCs w:val="32"/>
          <w:rtl/>
          <w:lang w:val="en-US"/>
        </w:rPr>
        <w:t>).</w:t>
      </w:r>
    </w:p>
    <w:p w14:paraId="578E8D46" w14:textId="77777777" w:rsidR="00F72BC0" w:rsidRPr="008917EC" w:rsidRDefault="00F72BC0" w:rsidP="00103922">
      <w:pPr>
        <w:bidi/>
        <w:spacing w:after="0" w:line="360" w:lineRule="auto"/>
        <w:jc w:val="both"/>
        <w:rPr>
          <w:rFonts w:ascii="Traditional Arabic" w:eastAsia="Calibri" w:hAnsi="Traditional Arabic" w:cs="Traditional Arabic"/>
          <w:sz w:val="32"/>
          <w:szCs w:val="32"/>
          <w:rtl/>
          <w:lang w:val="en-US"/>
        </w:rPr>
      </w:pPr>
      <w:r w:rsidRPr="008917EC">
        <w:rPr>
          <w:rFonts w:ascii="Traditional Arabic" w:eastAsia="Calibri" w:hAnsi="Traditional Arabic" w:cs="Traditional Arabic"/>
          <w:b/>
          <w:bCs/>
          <w:sz w:val="32"/>
          <w:szCs w:val="32"/>
          <w:rtl/>
          <w:lang w:val="en-US"/>
        </w:rPr>
        <w:t>التعريف الإجرائي:</w:t>
      </w:r>
      <w:r w:rsidRPr="008917EC">
        <w:rPr>
          <w:rFonts w:ascii="Traditional Arabic" w:eastAsia="Calibri" w:hAnsi="Traditional Arabic" w:cs="Traditional Arabic"/>
          <w:sz w:val="32"/>
          <w:szCs w:val="32"/>
          <w:rtl/>
          <w:lang w:val="en-US"/>
        </w:rPr>
        <w:t xml:space="preserve"> </w:t>
      </w:r>
      <w:r w:rsidR="00103922" w:rsidRPr="008917EC">
        <w:rPr>
          <w:rFonts w:ascii="Traditional Arabic" w:eastAsia="Calibri" w:hAnsi="Traditional Arabic" w:cs="Traditional Arabic"/>
          <w:sz w:val="32"/>
          <w:szCs w:val="32"/>
          <w:rtl/>
          <w:lang w:val="en-US"/>
        </w:rPr>
        <w:t xml:space="preserve">قاس تخصيص الموارد والقدرات التنظيمية من خلال بنود تستكشف مدى توفير الموارد البشرية والمالية والتنظيمية اللازمة لتنفيذ الخطط، إضافة إلى فعالية توزيع المهام والقدرات داخل المنظمة، وذلك اعتمادا على </w:t>
      </w:r>
      <w:r w:rsidR="00103922" w:rsidRPr="008917EC">
        <w:rPr>
          <w:rFonts w:ascii="Traditional Arabic" w:eastAsia="Calibri" w:hAnsi="Traditional Arabic" w:cs="Traditional Arabic"/>
          <w:sz w:val="32"/>
          <w:szCs w:val="32"/>
          <w:rtl/>
          <w:lang w:val="en-US"/>
        </w:rPr>
        <w:lastRenderedPageBreak/>
        <w:t xml:space="preserve">بنود مستمدة من مقياس </w:t>
      </w:r>
      <w:r w:rsidR="00103922" w:rsidRPr="008917EC">
        <w:rPr>
          <w:rFonts w:ascii="Traditional Arabic" w:eastAsia="Calibri" w:hAnsi="Traditional Arabic" w:cs="Traditional Arabic"/>
          <w:sz w:val="32"/>
          <w:szCs w:val="32"/>
          <w:lang w:val="en-US"/>
        </w:rPr>
        <w:t>Mousa &amp; Gürler, 2024)</w:t>
      </w:r>
      <w:r w:rsidR="00103922" w:rsidRPr="008917EC">
        <w:rPr>
          <w:rFonts w:ascii="Traditional Arabic" w:eastAsia="Calibri" w:hAnsi="Traditional Arabic" w:cs="Traditional Arabic"/>
          <w:sz w:val="32"/>
          <w:szCs w:val="32"/>
          <w:rtl/>
          <w:lang w:val="en-US"/>
        </w:rPr>
        <w:t>)، وقياسها باستخدام مقياس ليكرت الخماسي لتمثيل مستوى تخصيص الموارد في بيئة الدراسة.</w:t>
      </w:r>
    </w:p>
    <w:p w14:paraId="12CE955E" w14:textId="77777777" w:rsidR="00F72BC0" w:rsidRPr="008917EC" w:rsidRDefault="00F72BC0" w:rsidP="00F72BC0">
      <w:pPr>
        <w:bidi/>
        <w:spacing w:after="0" w:line="360" w:lineRule="auto"/>
        <w:jc w:val="both"/>
        <w:rPr>
          <w:rFonts w:ascii="Traditional Arabic" w:eastAsia="Calibri" w:hAnsi="Traditional Arabic" w:cs="Traditional Arabic"/>
          <w:sz w:val="32"/>
          <w:szCs w:val="32"/>
          <w:rtl/>
          <w:lang w:val="en-US"/>
        </w:rPr>
      </w:pPr>
    </w:p>
    <w:p w14:paraId="1A44EFF2" w14:textId="77777777" w:rsidR="00F72BC0" w:rsidRPr="008917EC" w:rsidRDefault="00F72BC0" w:rsidP="00F72BC0">
      <w:pPr>
        <w:bidi/>
        <w:spacing w:after="0" w:line="360" w:lineRule="auto"/>
        <w:jc w:val="both"/>
        <w:rPr>
          <w:rFonts w:ascii="Traditional Arabic" w:eastAsia="Calibri" w:hAnsi="Traditional Arabic" w:cs="Traditional Arabic"/>
          <w:b/>
          <w:bCs/>
          <w:sz w:val="32"/>
          <w:szCs w:val="32"/>
          <w:rtl/>
          <w:lang w:val="en-US"/>
        </w:rPr>
      </w:pPr>
      <w:r w:rsidRPr="008917EC">
        <w:rPr>
          <w:rFonts w:ascii="Traditional Arabic" w:eastAsia="Calibri" w:hAnsi="Traditional Arabic" w:cs="Traditional Arabic"/>
          <w:b/>
          <w:bCs/>
          <w:sz w:val="32"/>
          <w:szCs w:val="32"/>
          <w:rtl/>
          <w:lang w:val="en-US"/>
        </w:rPr>
        <w:t>4. متابعة وتقييم الأداء الاستراتيجي</w:t>
      </w:r>
    </w:p>
    <w:p w14:paraId="61B5E49D" w14:textId="77777777" w:rsidR="00F72BC0" w:rsidRPr="008917EC" w:rsidRDefault="00F72BC0" w:rsidP="00236B3F">
      <w:pPr>
        <w:bidi/>
        <w:spacing w:after="0" w:line="360" w:lineRule="auto"/>
        <w:jc w:val="both"/>
        <w:rPr>
          <w:rFonts w:ascii="Traditional Arabic" w:eastAsia="Calibri" w:hAnsi="Traditional Arabic" w:cs="Traditional Arabic"/>
          <w:sz w:val="32"/>
          <w:szCs w:val="32"/>
          <w:rtl/>
          <w:lang w:val="en-US"/>
        </w:rPr>
      </w:pPr>
      <w:r w:rsidRPr="008917EC">
        <w:rPr>
          <w:rFonts w:ascii="Traditional Arabic" w:eastAsia="Calibri" w:hAnsi="Traditional Arabic" w:cs="Traditional Arabic"/>
          <w:b/>
          <w:bCs/>
          <w:sz w:val="32"/>
          <w:szCs w:val="32"/>
          <w:rtl/>
          <w:lang w:val="en-US"/>
        </w:rPr>
        <w:t xml:space="preserve">التعريف الاصطلاحي: </w:t>
      </w:r>
      <w:r w:rsidR="00236B3F" w:rsidRPr="008917EC">
        <w:rPr>
          <w:rFonts w:ascii="Traditional Arabic" w:eastAsia="Calibri" w:hAnsi="Traditional Arabic" w:cs="Traditional Arabic"/>
          <w:sz w:val="32"/>
          <w:szCs w:val="32"/>
          <w:rtl/>
          <w:lang w:val="en-US"/>
        </w:rPr>
        <w:t>مدى وجود آليات منظمة لقياس التقدم نحو الأهداف الاستراتيجية من خلال مؤشرات أداء وتقارير دورية (</w:t>
      </w:r>
      <w:r w:rsidR="00236B3F" w:rsidRPr="008917EC">
        <w:rPr>
          <w:rFonts w:ascii="Traditional Arabic" w:eastAsia="Calibri" w:hAnsi="Traditional Arabic" w:cs="Traditional Arabic"/>
          <w:sz w:val="32"/>
          <w:szCs w:val="32"/>
          <w:lang w:val="en-US"/>
        </w:rPr>
        <w:t>Hill et al., 2020</w:t>
      </w:r>
      <w:r w:rsidR="00236B3F" w:rsidRPr="008917EC">
        <w:rPr>
          <w:rFonts w:ascii="Traditional Arabic" w:eastAsia="Calibri" w:hAnsi="Traditional Arabic" w:cs="Traditional Arabic"/>
          <w:sz w:val="32"/>
          <w:szCs w:val="32"/>
          <w:rtl/>
          <w:lang w:val="en-US"/>
        </w:rPr>
        <w:t>).</w:t>
      </w:r>
    </w:p>
    <w:p w14:paraId="1A1042BD" w14:textId="77777777" w:rsidR="00F72BC0" w:rsidRPr="008917EC" w:rsidRDefault="00F72BC0" w:rsidP="00103922">
      <w:pPr>
        <w:bidi/>
        <w:spacing w:after="0" w:line="360" w:lineRule="auto"/>
        <w:jc w:val="both"/>
        <w:rPr>
          <w:rFonts w:ascii="Traditional Arabic" w:eastAsia="Calibri" w:hAnsi="Traditional Arabic" w:cs="Traditional Arabic"/>
          <w:sz w:val="32"/>
          <w:szCs w:val="32"/>
          <w:rtl/>
          <w:lang w:val="en-US"/>
        </w:rPr>
      </w:pPr>
      <w:r w:rsidRPr="008917EC">
        <w:rPr>
          <w:rFonts w:ascii="Traditional Arabic" w:eastAsia="Calibri" w:hAnsi="Traditional Arabic" w:cs="Traditional Arabic"/>
          <w:b/>
          <w:bCs/>
          <w:sz w:val="32"/>
          <w:szCs w:val="32"/>
          <w:rtl/>
          <w:lang w:val="en-US"/>
        </w:rPr>
        <w:t>التعريف الإجرائي</w:t>
      </w:r>
      <w:r w:rsidRPr="008917EC">
        <w:rPr>
          <w:rFonts w:ascii="Traditional Arabic" w:eastAsia="Calibri" w:hAnsi="Traditional Arabic" w:cs="Traditional Arabic"/>
          <w:sz w:val="32"/>
          <w:szCs w:val="32"/>
          <w:rtl/>
          <w:lang w:val="en-US"/>
        </w:rPr>
        <w:t xml:space="preserve">: </w:t>
      </w:r>
      <w:r w:rsidR="00103922" w:rsidRPr="008917EC">
        <w:rPr>
          <w:rFonts w:ascii="Traditional Arabic" w:eastAsia="Calibri" w:hAnsi="Traditional Arabic" w:cs="Traditional Arabic"/>
          <w:sz w:val="32"/>
          <w:szCs w:val="32"/>
          <w:rtl/>
          <w:lang w:val="en-US"/>
        </w:rPr>
        <w:t>يقاس متابعة وتقييم الأداء الاستراتيجي من خلال بنود تستكشف مدى توفر نظم متابعة منظمة، ووضوح مؤشرات الأداء، وآليات المراجعة الدورية للخطة الاستراتيجية، وذلك بالاعتماد على بنود مستمدة من أداة</w:t>
      </w:r>
      <w:r w:rsidR="00103922" w:rsidRPr="008917EC">
        <w:rPr>
          <w:rFonts w:ascii="Traditional Arabic" w:eastAsia="Calibri" w:hAnsi="Traditional Arabic" w:cs="Traditional Arabic"/>
          <w:sz w:val="32"/>
          <w:szCs w:val="32"/>
        </w:rPr>
        <w:t xml:space="preserve"> Aydın et al. (2022)</w:t>
      </w:r>
      <w:r w:rsidR="00103922" w:rsidRPr="008917EC">
        <w:rPr>
          <w:rFonts w:ascii="Traditional Arabic" w:eastAsia="Calibri" w:hAnsi="Traditional Arabic" w:cs="Traditional Arabic"/>
          <w:sz w:val="32"/>
          <w:szCs w:val="32"/>
          <w:rtl/>
          <w:lang w:val="en-US"/>
        </w:rPr>
        <w:t>، وقياسها باستخدام مقياس ليكرت الخماسي</w:t>
      </w:r>
      <w:r w:rsidR="00103922" w:rsidRPr="008917EC">
        <w:rPr>
          <w:rFonts w:ascii="Traditional Arabic" w:eastAsia="Calibri" w:hAnsi="Traditional Arabic" w:cs="Traditional Arabic"/>
          <w:sz w:val="32"/>
          <w:szCs w:val="32"/>
          <w:lang w:val="en-US"/>
        </w:rPr>
        <w:t xml:space="preserve"> </w:t>
      </w:r>
      <w:r w:rsidR="00103922" w:rsidRPr="008917EC">
        <w:rPr>
          <w:rFonts w:ascii="Traditional Arabic" w:eastAsia="Calibri" w:hAnsi="Traditional Arabic" w:cs="Traditional Arabic"/>
          <w:sz w:val="32"/>
          <w:szCs w:val="32"/>
          <w:rtl/>
          <w:lang w:val="en-US"/>
        </w:rPr>
        <w:t>(١ = ضعيف جدًا، ٥ = قوي جدًا)،   لتمثيل مستوى المتابعة والتقييم في بيئة الدراسة</w:t>
      </w:r>
      <w:r w:rsidR="00103922" w:rsidRPr="008917EC">
        <w:rPr>
          <w:rFonts w:ascii="Traditional Arabic" w:eastAsia="Calibri" w:hAnsi="Traditional Arabic" w:cs="Traditional Arabic"/>
          <w:sz w:val="32"/>
          <w:szCs w:val="32"/>
        </w:rPr>
        <w:t>.</w:t>
      </w:r>
    </w:p>
    <w:p w14:paraId="7CDD0F1E" w14:textId="77777777" w:rsidR="00F72BC0" w:rsidRPr="008917EC" w:rsidRDefault="00F72BC0" w:rsidP="00F72BC0">
      <w:pPr>
        <w:bidi/>
        <w:spacing w:after="0" w:line="360" w:lineRule="auto"/>
        <w:jc w:val="both"/>
        <w:rPr>
          <w:rFonts w:ascii="Traditional Arabic" w:eastAsia="Calibri" w:hAnsi="Traditional Arabic" w:cs="Traditional Arabic"/>
          <w:sz w:val="32"/>
          <w:szCs w:val="32"/>
          <w:rtl/>
          <w:lang w:val="en-US"/>
        </w:rPr>
      </w:pPr>
    </w:p>
    <w:p w14:paraId="4799F685" w14:textId="77777777" w:rsidR="00F72BC0" w:rsidRPr="008917EC" w:rsidRDefault="00F72BC0" w:rsidP="00F72BC0">
      <w:pPr>
        <w:bidi/>
        <w:spacing w:after="0" w:line="360" w:lineRule="auto"/>
        <w:jc w:val="both"/>
        <w:rPr>
          <w:rFonts w:ascii="Traditional Arabic" w:eastAsia="Calibri" w:hAnsi="Traditional Arabic" w:cs="Traditional Arabic"/>
          <w:b/>
          <w:bCs/>
          <w:sz w:val="32"/>
          <w:szCs w:val="32"/>
          <w:rtl/>
          <w:lang w:val="en-US"/>
        </w:rPr>
      </w:pPr>
      <w:r w:rsidRPr="008917EC">
        <w:rPr>
          <w:rFonts w:ascii="Traditional Arabic" w:eastAsia="Calibri" w:hAnsi="Traditional Arabic" w:cs="Traditional Arabic"/>
          <w:b/>
          <w:bCs/>
          <w:sz w:val="32"/>
          <w:szCs w:val="32"/>
          <w:rtl/>
          <w:lang w:val="en-US"/>
        </w:rPr>
        <w:t>5. ربط الاستراتيجية بالسياسات والإجراءات الداخلية</w:t>
      </w:r>
    </w:p>
    <w:p w14:paraId="789339A2" w14:textId="77777777" w:rsidR="00F72BC0" w:rsidRPr="008917EC" w:rsidRDefault="00F72BC0" w:rsidP="00236B3F">
      <w:pPr>
        <w:bidi/>
        <w:spacing w:after="0" w:line="360" w:lineRule="auto"/>
        <w:jc w:val="both"/>
        <w:rPr>
          <w:rFonts w:ascii="Traditional Arabic" w:eastAsia="Calibri" w:hAnsi="Traditional Arabic" w:cs="Traditional Arabic"/>
          <w:sz w:val="32"/>
          <w:szCs w:val="32"/>
          <w:rtl/>
          <w:lang w:val="en-US"/>
        </w:rPr>
      </w:pPr>
      <w:r w:rsidRPr="008917EC">
        <w:rPr>
          <w:rFonts w:ascii="Traditional Arabic" w:eastAsia="Calibri" w:hAnsi="Traditional Arabic" w:cs="Traditional Arabic"/>
          <w:b/>
          <w:bCs/>
          <w:sz w:val="32"/>
          <w:szCs w:val="32"/>
          <w:rtl/>
          <w:lang w:val="en-US"/>
        </w:rPr>
        <w:t xml:space="preserve">التعريف الاصطلاحي: </w:t>
      </w:r>
      <w:r w:rsidR="00236B3F" w:rsidRPr="008917EC">
        <w:rPr>
          <w:rFonts w:ascii="Traditional Arabic" w:eastAsia="Calibri" w:hAnsi="Traditional Arabic" w:cs="Traditional Arabic"/>
          <w:sz w:val="32"/>
          <w:szCs w:val="32"/>
          <w:rtl/>
          <w:lang w:val="en-US"/>
        </w:rPr>
        <w:t>مدى اتساق السياسات والإجراءات التشغيلية مع التوجهات الاستراتيجية للمنظمة بما يضمن قابلية تطبيق الخطة (</w:t>
      </w:r>
      <w:r w:rsidR="00236B3F" w:rsidRPr="008917EC">
        <w:rPr>
          <w:rFonts w:ascii="Traditional Arabic" w:eastAsia="Calibri" w:hAnsi="Traditional Arabic" w:cs="Traditional Arabic"/>
          <w:sz w:val="32"/>
          <w:szCs w:val="32"/>
          <w:lang w:val="en-US"/>
        </w:rPr>
        <w:t>Hill et al., 2020</w:t>
      </w:r>
      <w:r w:rsidR="00236B3F" w:rsidRPr="008917EC">
        <w:rPr>
          <w:rFonts w:ascii="Traditional Arabic" w:eastAsia="Calibri" w:hAnsi="Traditional Arabic" w:cs="Traditional Arabic"/>
          <w:sz w:val="32"/>
          <w:szCs w:val="32"/>
          <w:rtl/>
          <w:lang w:val="en-US"/>
        </w:rPr>
        <w:t>).</w:t>
      </w:r>
    </w:p>
    <w:p w14:paraId="4316FC94" w14:textId="77777777" w:rsidR="00F72BC0" w:rsidRPr="008917EC" w:rsidRDefault="00F72BC0" w:rsidP="00103922">
      <w:pPr>
        <w:bidi/>
        <w:spacing w:after="0" w:line="360" w:lineRule="auto"/>
        <w:jc w:val="both"/>
        <w:rPr>
          <w:rFonts w:ascii="Traditional Arabic" w:eastAsia="Calibri" w:hAnsi="Traditional Arabic" w:cs="Traditional Arabic"/>
          <w:sz w:val="32"/>
          <w:szCs w:val="32"/>
          <w:rtl/>
          <w:lang w:val="en-US"/>
        </w:rPr>
      </w:pPr>
      <w:r w:rsidRPr="008917EC">
        <w:rPr>
          <w:rFonts w:ascii="Traditional Arabic" w:eastAsia="Calibri" w:hAnsi="Traditional Arabic" w:cs="Traditional Arabic"/>
          <w:b/>
          <w:bCs/>
          <w:sz w:val="32"/>
          <w:szCs w:val="32"/>
          <w:rtl/>
          <w:lang w:val="en-US"/>
        </w:rPr>
        <w:t>التعريف الإجرائي:</w:t>
      </w:r>
      <w:r w:rsidRPr="008917EC">
        <w:rPr>
          <w:rFonts w:ascii="Traditional Arabic" w:eastAsia="Calibri" w:hAnsi="Traditional Arabic" w:cs="Traditional Arabic"/>
          <w:sz w:val="32"/>
          <w:szCs w:val="32"/>
          <w:rtl/>
          <w:lang w:val="en-US"/>
        </w:rPr>
        <w:t xml:space="preserve"> </w:t>
      </w:r>
      <w:r w:rsidR="00103922" w:rsidRPr="008917EC">
        <w:rPr>
          <w:rFonts w:ascii="Traditional Arabic" w:eastAsia="Calibri" w:hAnsi="Traditional Arabic" w:cs="Traditional Arabic"/>
          <w:b/>
          <w:bCs/>
          <w:sz w:val="32"/>
          <w:szCs w:val="32"/>
          <w:rtl/>
          <w:lang w:val="en-US"/>
        </w:rPr>
        <w:t>التعريف الإجرائي</w:t>
      </w:r>
      <w:r w:rsidR="00103922" w:rsidRPr="008917EC">
        <w:rPr>
          <w:rFonts w:ascii="Traditional Arabic" w:eastAsia="Calibri" w:hAnsi="Traditional Arabic" w:cs="Traditional Arabic"/>
          <w:b/>
          <w:bCs/>
          <w:sz w:val="32"/>
          <w:szCs w:val="32"/>
        </w:rPr>
        <w:t>:</w:t>
      </w:r>
      <w:r w:rsidR="00103922" w:rsidRPr="008917EC">
        <w:rPr>
          <w:rFonts w:ascii="Traditional Arabic" w:eastAsia="Calibri" w:hAnsi="Traditional Arabic" w:cs="Traditional Arabic"/>
          <w:sz w:val="32"/>
          <w:szCs w:val="32"/>
        </w:rPr>
        <w:t xml:space="preserve"> </w:t>
      </w:r>
      <w:r w:rsidR="00103922" w:rsidRPr="008917EC">
        <w:rPr>
          <w:rFonts w:ascii="Traditional Arabic" w:eastAsia="Calibri" w:hAnsi="Traditional Arabic" w:cs="Traditional Arabic"/>
          <w:sz w:val="32"/>
          <w:szCs w:val="32"/>
          <w:rtl/>
          <w:lang w:val="en-US"/>
        </w:rPr>
        <w:t xml:space="preserve">يقاس ربط الاستراتيجية بالسياسات والإجراءات الداخلية من خلال بنود تستكشف درجة اتساق السياسات التشغيلية والإجراءات التنفيذية مع التوجهات والخطط الاستراتيجية للمنظمة، وذلك بالاعتماد على صياغة بنود مستمدة من مقياس </w:t>
      </w:r>
      <w:r w:rsidR="00103922" w:rsidRPr="008917EC">
        <w:rPr>
          <w:rFonts w:ascii="Traditional Arabic" w:eastAsia="Calibri" w:hAnsi="Traditional Arabic" w:cs="Traditional Arabic"/>
          <w:sz w:val="32"/>
          <w:szCs w:val="32"/>
          <w:lang w:val="en-US"/>
        </w:rPr>
        <w:t>Mousa &amp; Gürler, 2024)</w:t>
      </w:r>
      <w:r w:rsidR="00103922" w:rsidRPr="008917EC">
        <w:rPr>
          <w:rFonts w:ascii="Traditional Arabic" w:eastAsia="Calibri" w:hAnsi="Traditional Arabic" w:cs="Traditional Arabic"/>
          <w:sz w:val="32"/>
          <w:szCs w:val="32"/>
          <w:rtl/>
          <w:lang w:val="en-US"/>
        </w:rPr>
        <w:t>)، وقياسها باستخدام مقياس ليكرت الخماسي</w:t>
      </w:r>
      <w:r w:rsidR="00103922" w:rsidRPr="008917EC">
        <w:rPr>
          <w:rFonts w:ascii="Traditional Arabic" w:eastAsia="Calibri" w:hAnsi="Traditional Arabic" w:cs="Traditional Arabic"/>
          <w:sz w:val="32"/>
          <w:szCs w:val="32"/>
          <w:lang w:val="en-US"/>
        </w:rPr>
        <w:t xml:space="preserve"> </w:t>
      </w:r>
      <w:r w:rsidR="00103922" w:rsidRPr="008917EC">
        <w:rPr>
          <w:rFonts w:ascii="Traditional Arabic" w:eastAsia="Calibri" w:hAnsi="Traditional Arabic" w:cs="Traditional Arabic"/>
          <w:sz w:val="32"/>
          <w:szCs w:val="32"/>
          <w:rtl/>
          <w:lang w:val="en-US"/>
        </w:rPr>
        <w:t>(١ = ضعيف جدًا، ٥ = قوي جدًا)،  لتمثيل مستوى الاتساق الفعلي في بيئة الدراسة.</w:t>
      </w:r>
    </w:p>
    <w:p w14:paraId="75B81D12" w14:textId="77777777" w:rsidR="008917EC" w:rsidRPr="008917EC" w:rsidRDefault="008917EC" w:rsidP="008917EC">
      <w:pPr>
        <w:bidi/>
        <w:spacing w:after="0" w:line="360" w:lineRule="auto"/>
        <w:jc w:val="both"/>
        <w:rPr>
          <w:rFonts w:ascii="Traditional Arabic" w:eastAsia="Calibri" w:hAnsi="Traditional Arabic" w:cs="Traditional Arabic"/>
          <w:b/>
          <w:bCs/>
          <w:sz w:val="32"/>
          <w:szCs w:val="32"/>
          <w:rtl/>
          <w:lang w:val="en-US"/>
        </w:rPr>
      </w:pPr>
    </w:p>
    <w:p w14:paraId="33403C1E" w14:textId="77777777" w:rsidR="00F72BC0" w:rsidRPr="008917EC" w:rsidRDefault="00F72BC0" w:rsidP="00236B3F">
      <w:pPr>
        <w:pStyle w:val="ListParagraph"/>
        <w:numPr>
          <w:ilvl w:val="0"/>
          <w:numId w:val="11"/>
        </w:numPr>
        <w:spacing w:after="0" w:line="360" w:lineRule="auto"/>
        <w:jc w:val="both"/>
        <w:rPr>
          <w:rFonts w:ascii="Traditional Arabic" w:eastAsia="Calibri" w:hAnsi="Traditional Arabic" w:cs="Traditional Arabic"/>
          <w:b/>
          <w:bCs/>
          <w:sz w:val="32"/>
          <w:szCs w:val="32"/>
          <w:rtl/>
        </w:rPr>
      </w:pPr>
      <w:r w:rsidRPr="008917EC">
        <w:rPr>
          <w:rFonts w:ascii="Traditional Arabic" w:eastAsia="Calibri" w:hAnsi="Traditional Arabic" w:cs="Traditional Arabic"/>
          <w:b/>
          <w:bCs/>
          <w:sz w:val="32"/>
          <w:szCs w:val="32"/>
          <w:rtl/>
        </w:rPr>
        <w:t>ثانياً: المتغير التابع – التكام</w:t>
      </w:r>
      <w:r w:rsidR="00B37299" w:rsidRPr="008917EC">
        <w:rPr>
          <w:rFonts w:ascii="Traditional Arabic" w:eastAsia="Calibri" w:hAnsi="Traditional Arabic" w:cs="Traditional Arabic"/>
          <w:b/>
          <w:bCs/>
          <w:sz w:val="32"/>
          <w:szCs w:val="32"/>
          <w:rtl/>
        </w:rPr>
        <w:t>ل المؤسسي</w:t>
      </w:r>
    </w:p>
    <w:p w14:paraId="424F190D" w14:textId="77777777" w:rsidR="00F72BC0" w:rsidRPr="008917EC" w:rsidRDefault="00F72BC0" w:rsidP="00236B3F">
      <w:pPr>
        <w:bidi/>
        <w:spacing w:after="0" w:line="360" w:lineRule="auto"/>
        <w:jc w:val="both"/>
        <w:rPr>
          <w:rFonts w:ascii="Traditional Arabic" w:eastAsia="Calibri" w:hAnsi="Traditional Arabic" w:cs="Traditional Arabic"/>
          <w:sz w:val="32"/>
          <w:szCs w:val="32"/>
          <w:rtl/>
          <w:lang w:val="en-US"/>
        </w:rPr>
      </w:pPr>
      <w:r w:rsidRPr="008917EC">
        <w:rPr>
          <w:rFonts w:ascii="Traditional Arabic" w:eastAsia="Calibri" w:hAnsi="Traditional Arabic" w:cs="Traditional Arabic"/>
          <w:b/>
          <w:bCs/>
          <w:sz w:val="32"/>
          <w:szCs w:val="32"/>
          <w:rtl/>
          <w:lang w:val="en-US"/>
        </w:rPr>
        <w:t>التعريف الاصطلاحي:</w:t>
      </w:r>
      <w:r w:rsidRPr="008917EC">
        <w:rPr>
          <w:rFonts w:ascii="Traditional Arabic" w:eastAsia="Calibri" w:hAnsi="Traditional Arabic" w:cs="Traditional Arabic"/>
          <w:sz w:val="32"/>
          <w:szCs w:val="32"/>
          <w:rtl/>
          <w:lang w:val="en-US"/>
        </w:rPr>
        <w:t xml:space="preserve"> </w:t>
      </w:r>
      <w:r w:rsidR="00236B3F" w:rsidRPr="008917EC">
        <w:rPr>
          <w:rFonts w:ascii="Traditional Arabic" w:eastAsia="Calibri" w:hAnsi="Traditional Arabic" w:cs="Traditional Arabic"/>
          <w:sz w:val="32"/>
          <w:szCs w:val="32"/>
          <w:rtl/>
          <w:lang w:val="en-US"/>
        </w:rPr>
        <w:t>يمثل التكامل المؤسسي مستوى التنسيق والتعاون وتوحيد العمليات بين المنظمات العاملة تحت مظلة مشتركة، ويعتمد في بنائه المفاهيمي على النماذج الحديثة في إدارة الشبكات والتعاون المؤسسي (</w:t>
      </w:r>
      <w:r w:rsidR="00236B3F" w:rsidRPr="008917EC">
        <w:rPr>
          <w:rFonts w:ascii="Traditional Arabic" w:eastAsia="Calibri" w:hAnsi="Traditional Arabic" w:cs="Traditional Arabic"/>
          <w:sz w:val="32"/>
          <w:szCs w:val="32"/>
          <w:lang w:val="en-US"/>
        </w:rPr>
        <w:t>Keast, Mandell, &amp; Agranoff, 2021</w:t>
      </w:r>
      <w:r w:rsidR="00236B3F" w:rsidRPr="008917EC">
        <w:rPr>
          <w:rFonts w:ascii="Traditional Arabic" w:eastAsia="Calibri" w:hAnsi="Traditional Arabic" w:cs="Traditional Arabic"/>
          <w:sz w:val="32"/>
          <w:szCs w:val="32"/>
          <w:rtl/>
          <w:lang w:val="en-US"/>
        </w:rPr>
        <w:t>)،</w:t>
      </w:r>
    </w:p>
    <w:p w14:paraId="6F80CC81" w14:textId="77777777" w:rsidR="00C952AB" w:rsidRPr="00C952AB" w:rsidRDefault="00F72BC0" w:rsidP="00C952AB">
      <w:pPr>
        <w:bidi/>
        <w:spacing w:after="0" w:line="360" w:lineRule="auto"/>
        <w:jc w:val="both"/>
        <w:rPr>
          <w:rFonts w:ascii="Times New Roman" w:eastAsia="Times New Roman" w:hAnsi="Times New Roman" w:cs="Times New Roman"/>
          <w:sz w:val="24"/>
          <w:szCs w:val="24"/>
          <w:lang w:val="en-US"/>
        </w:rPr>
      </w:pPr>
      <w:r w:rsidRPr="008917EC">
        <w:rPr>
          <w:rFonts w:ascii="Traditional Arabic" w:eastAsia="Calibri" w:hAnsi="Traditional Arabic" w:cs="Traditional Arabic"/>
          <w:b/>
          <w:bCs/>
          <w:sz w:val="32"/>
          <w:szCs w:val="32"/>
          <w:rtl/>
          <w:lang w:val="en-US"/>
        </w:rPr>
        <w:t>التعريف الإجرائي:</w:t>
      </w:r>
      <w:r w:rsidRPr="008917EC">
        <w:rPr>
          <w:rFonts w:ascii="Traditional Arabic" w:eastAsia="Calibri" w:hAnsi="Traditional Arabic" w:cs="Traditional Arabic"/>
          <w:sz w:val="32"/>
          <w:szCs w:val="32"/>
          <w:rtl/>
          <w:lang w:val="en-US"/>
        </w:rPr>
        <w:t xml:space="preserve"> </w:t>
      </w:r>
      <w:r w:rsidR="0099787C" w:rsidRPr="008917EC">
        <w:rPr>
          <w:rFonts w:ascii="Traditional Arabic" w:eastAsia="Calibri" w:hAnsi="Traditional Arabic" w:cs="Traditional Arabic"/>
          <w:sz w:val="32"/>
          <w:szCs w:val="32"/>
          <w:rtl/>
          <w:lang w:val="en-US"/>
        </w:rPr>
        <w:t>يقاس التكامل المؤسسي في هذه الدراسة من خلال استبانة تتضمن مجموعة من البنود التي تقيس مستوى التنسيق بين الوحدات التنظيمية، وتبادل المعلومات، وتنفيذ المبادرات المشتركة، ودرجة انسجام السياسات والإجراءات بين المنظمات، وذلك باستخدام مقياس ليكرت الخماسي (١ = ضعيف جدًا، ٥ = قوي جدًا)، بحيث تعكس استجابات المشاركين الدرجة الفعلية للتكامل المؤسسي في بيئة الدراسة</w:t>
      </w:r>
      <w:r w:rsidR="0099787C" w:rsidRPr="008917EC">
        <w:rPr>
          <w:rFonts w:ascii="Traditional Arabic" w:eastAsia="Calibri" w:hAnsi="Traditional Arabic" w:cs="Traditional Arabic"/>
          <w:sz w:val="32"/>
          <w:szCs w:val="32"/>
        </w:rPr>
        <w:t>.</w:t>
      </w:r>
    </w:p>
    <w:p w14:paraId="3B326753" w14:textId="77777777" w:rsidR="00C952AB" w:rsidRPr="00C952AB" w:rsidRDefault="00C952AB" w:rsidP="00C952AB">
      <w:pPr>
        <w:spacing w:before="100" w:beforeAutospacing="1" w:after="100" w:afterAutospacing="1" w:line="240" w:lineRule="auto"/>
        <w:jc w:val="center"/>
        <w:outlineLvl w:val="0"/>
        <w:rPr>
          <w:rFonts w:ascii="Traditional Arabic" w:eastAsia="Times New Roman" w:hAnsi="Traditional Arabic" w:cs="Traditional Arabic"/>
          <w:b/>
          <w:bCs/>
          <w:kern w:val="36"/>
          <w:sz w:val="28"/>
          <w:szCs w:val="28"/>
          <w:lang w:val="en-US"/>
        </w:rPr>
      </w:pPr>
      <w:r w:rsidRPr="00C952AB">
        <w:rPr>
          <w:rFonts w:ascii="Traditional Arabic" w:eastAsia="Times New Roman" w:hAnsi="Traditional Arabic" w:cs="Traditional Arabic"/>
          <w:b/>
          <w:bCs/>
          <w:kern w:val="36"/>
          <w:sz w:val="28"/>
          <w:szCs w:val="28"/>
          <w:rtl/>
          <w:lang w:val="en-US"/>
        </w:rPr>
        <w:t>جدول</w:t>
      </w:r>
      <w:r w:rsidRPr="008917EC">
        <w:rPr>
          <w:rFonts w:ascii="Traditional Arabic" w:eastAsia="Times New Roman" w:hAnsi="Traditional Arabic" w:cs="Traditional Arabic"/>
          <w:b/>
          <w:bCs/>
          <w:kern w:val="36"/>
          <w:sz w:val="28"/>
          <w:szCs w:val="28"/>
          <w:rtl/>
          <w:lang w:val="en-US"/>
        </w:rPr>
        <w:t xml:space="preserve"> (1)</w:t>
      </w:r>
      <w:r w:rsidRPr="00C952AB">
        <w:rPr>
          <w:rFonts w:ascii="Traditional Arabic" w:eastAsia="Times New Roman" w:hAnsi="Traditional Arabic" w:cs="Traditional Arabic"/>
          <w:b/>
          <w:bCs/>
          <w:kern w:val="36"/>
          <w:sz w:val="28"/>
          <w:szCs w:val="28"/>
          <w:rtl/>
          <w:lang w:val="en-US"/>
        </w:rPr>
        <w:t xml:space="preserve"> المصطلحات والمقاييس المعتمد في الدراسة</w:t>
      </w:r>
    </w:p>
    <w:tbl>
      <w:tblPr>
        <w:tblStyle w:val="TableGrid"/>
        <w:bidiVisual/>
        <w:tblW w:w="0" w:type="auto"/>
        <w:tblLook w:val="04A0" w:firstRow="1" w:lastRow="0" w:firstColumn="1" w:lastColumn="0" w:noHBand="0" w:noVBand="1"/>
      </w:tblPr>
      <w:tblGrid>
        <w:gridCol w:w="1257"/>
        <w:gridCol w:w="2597"/>
        <w:gridCol w:w="1974"/>
        <w:gridCol w:w="1201"/>
        <w:gridCol w:w="866"/>
        <w:gridCol w:w="1681"/>
      </w:tblGrid>
      <w:tr w:rsidR="00C952AB" w:rsidRPr="008917EC" w14:paraId="6496A2F3" w14:textId="77777777" w:rsidTr="00C952AB">
        <w:tc>
          <w:tcPr>
            <w:tcW w:w="0" w:type="auto"/>
            <w:hideMark/>
          </w:tcPr>
          <w:p w14:paraId="17B2BBBD" w14:textId="77777777" w:rsidR="00C952AB" w:rsidRPr="00C952AB" w:rsidRDefault="00C952AB" w:rsidP="00C952AB">
            <w:pPr>
              <w:bidi/>
              <w:jc w:val="center"/>
              <w:rPr>
                <w:rFonts w:ascii="Traditional Arabic" w:eastAsia="Times New Roman" w:hAnsi="Traditional Arabic" w:cs="Traditional Arabic"/>
                <w:b/>
                <w:bCs/>
                <w:sz w:val="24"/>
                <w:szCs w:val="24"/>
                <w:lang w:val="en-US"/>
              </w:rPr>
            </w:pPr>
            <w:r w:rsidRPr="00C952AB">
              <w:rPr>
                <w:rFonts w:ascii="Traditional Arabic" w:eastAsia="Times New Roman" w:hAnsi="Traditional Arabic" w:cs="Traditional Arabic"/>
                <w:b/>
                <w:bCs/>
                <w:sz w:val="24"/>
                <w:szCs w:val="24"/>
                <w:rtl/>
                <w:lang w:val="en-US"/>
              </w:rPr>
              <w:t>المتغير / البُعد</w:t>
            </w:r>
          </w:p>
        </w:tc>
        <w:tc>
          <w:tcPr>
            <w:tcW w:w="0" w:type="auto"/>
            <w:hideMark/>
          </w:tcPr>
          <w:p w14:paraId="3ED8FA4E" w14:textId="77777777" w:rsidR="00C952AB" w:rsidRPr="00C952AB" w:rsidRDefault="00C952AB" w:rsidP="00C952AB">
            <w:pPr>
              <w:bidi/>
              <w:jc w:val="center"/>
              <w:rPr>
                <w:rFonts w:ascii="Traditional Arabic" w:eastAsia="Times New Roman" w:hAnsi="Traditional Arabic" w:cs="Traditional Arabic"/>
                <w:b/>
                <w:bCs/>
                <w:sz w:val="24"/>
                <w:szCs w:val="24"/>
                <w:lang w:val="en-US"/>
              </w:rPr>
            </w:pPr>
            <w:r w:rsidRPr="00C952AB">
              <w:rPr>
                <w:rFonts w:ascii="Traditional Arabic" w:eastAsia="Times New Roman" w:hAnsi="Traditional Arabic" w:cs="Traditional Arabic"/>
                <w:b/>
                <w:bCs/>
                <w:sz w:val="24"/>
                <w:szCs w:val="24"/>
                <w:rtl/>
                <w:lang w:val="en-US"/>
              </w:rPr>
              <w:t xml:space="preserve">التعريف الاصطلاحي </w:t>
            </w:r>
          </w:p>
        </w:tc>
        <w:tc>
          <w:tcPr>
            <w:tcW w:w="0" w:type="auto"/>
            <w:hideMark/>
          </w:tcPr>
          <w:p w14:paraId="25076877" w14:textId="77777777" w:rsidR="00C952AB" w:rsidRPr="00C952AB" w:rsidRDefault="00C952AB" w:rsidP="00C952AB">
            <w:pPr>
              <w:bidi/>
              <w:jc w:val="center"/>
              <w:rPr>
                <w:rFonts w:ascii="Traditional Arabic" w:eastAsia="Times New Roman" w:hAnsi="Traditional Arabic" w:cs="Traditional Arabic"/>
                <w:b/>
                <w:bCs/>
                <w:sz w:val="24"/>
                <w:szCs w:val="24"/>
                <w:lang w:val="en-US"/>
              </w:rPr>
            </w:pPr>
            <w:r w:rsidRPr="00C952AB">
              <w:rPr>
                <w:rFonts w:ascii="Traditional Arabic" w:eastAsia="Times New Roman" w:hAnsi="Traditional Arabic" w:cs="Traditional Arabic"/>
                <w:b/>
                <w:bCs/>
                <w:sz w:val="24"/>
                <w:szCs w:val="24"/>
                <w:rtl/>
                <w:lang w:val="en-US"/>
              </w:rPr>
              <w:t xml:space="preserve">التعريف الإجرائي </w:t>
            </w:r>
          </w:p>
        </w:tc>
        <w:tc>
          <w:tcPr>
            <w:tcW w:w="0" w:type="auto"/>
            <w:hideMark/>
          </w:tcPr>
          <w:p w14:paraId="283F66D0" w14:textId="77777777" w:rsidR="00C952AB" w:rsidRPr="00C952AB" w:rsidRDefault="00C952AB" w:rsidP="00C952AB">
            <w:pPr>
              <w:bidi/>
              <w:jc w:val="center"/>
              <w:rPr>
                <w:rFonts w:ascii="Traditional Arabic" w:eastAsia="Times New Roman" w:hAnsi="Traditional Arabic" w:cs="Traditional Arabic"/>
                <w:b/>
                <w:bCs/>
                <w:sz w:val="24"/>
                <w:szCs w:val="24"/>
                <w:lang w:val="en-US"/>
              </w:rPr>
            </w:pPr>
            <w:r w:rsidRPr="00C952AB">
              <w:rPr>
                <w:rFonts w:ascii="Traditional Arabic" w:eastAsia="Times New Roman" w:hAnsi="Traditional Arabic" w:cs="Traditional Arabic"/>
                <w:b/>
                <w:bCs/>
                <w:sz w:val="24"/>
                <w:szCs w:val="24"/>
                <w:rtl/>
                <w:lang w:val="en-US"/>
              </w:rPr>
              <w:t>مصدر أداة القياس</w:t>
            </w:r>
          </w:p>
        </w:tc>
        <w:tc>
          <w:tcPr>
            <w:tcW w:w="0" w:type="auto"/>
            <w:hideMark/>
          </w:tcPr>
          <w:p w14:paraId="2357FB47" w14:textId="77777777" w:rsidR="00C952AB" w:rsidRPr="00C952AB" w:rsidRDefault="00C952AB" w:rsidP="00C952AB">
            <w:pPr>
              <w:bidi/>
              <w:jc w:val="center"/>
              <w:rPr>
                <w:rFonts w:ascii="Traditional Arabic" w:eastAsia="Times New Roman" w:hAnsi="Traditional Arabic" w:cs="Traditional Arabic"/>
                <w:b/>
                <w:bCs/>
                <w:sz w:val="24"/>
                <w:szCs w:val="24"/>
                <w:lang w:val="en-US"/>
              </w:rPr>
            </w:pPr>
            <w:r w:rsidRPr="00C952AB">
              <w:rPr>
                <w:rFonts w:ascii="Traditional Arabic" w:eastAsia="Times New Roman" w:hAnsi="Traditional Arabic" w:cs="Traditional Arabic"/>
                <w:b/>
                <w:bCs/>
                <w:sz w:val="24"/>
                <w:szCs w:val="24"/>
                <w:rtl/>
                <w:lang w:val="en-US"/>
              </w:rPr>
              <w:t>المقياس المستخدم</w:t>
            </w:r>
          </w:p>
        </w:tc>
        <w:tc>
          <w:tcPr>
            <w:tcW w:w="0" w:type="auto"/>
            <w:hideMark/>
          </w:tcPr>
          <w:p w14:paraId="014F91BD" w14:textId="77777777" w:rsidR="00C952AB" w:rsidRPr="00C952AB" w:rsidRDefault="00C952AB" w:rsidP="00C952AB">
            <w:pPr>
              <w:bidi/>
              <w:jc w:val="center"/>
              <w:rPr>
                <w:rFonts w:ascii="Traditional Arabic" w:eastAsia="Times New Roman" w:hAnsi="Traditional Arabic" w:cs="Traditional Arabic"/>
                <w:b/>
                <w:bCs/>
                <w:sz w:val="24"/>
                <w:szCs w:val="24"/>
                <w:lang w:val="en-US"/>
              </w:rPr>
            </w:pPr>
            <w:r w:rsidRPr="008917EC">
              <w:rPr>
                <w:rFonts w:ascii="Traditional Arabic" w:eastAsia="Times New Roman" w:hAnsi="Traditional Arabic" w:cs="Traditional Arabic"/>
                <w:b/>
                <w:bCs/>
                <w:sz w:val="24"/>
                <w:szCs w:val="24"/>
                <w:rtl/>
                <w:lang w:val="en-US"/>
              </w:rPr>
              <w:t>مثال بند لقياس المتغير</w:t>
            </w:r>
          </w:p>
        </w:tc>
      </w:tr>
      <w:tr w:rsidR="00C952AB" w:rsidRPr="008917EC" w14:paraId="2C82AF90" w14:textId="77777777" w:rsidTr="00C952AB">
        <w:tc>
          <w:tcPr>
            <w:tcW w:w="0" w:type="auto"/>
            <w:hideMark/>
          </w:tcPr>
          <w:p w14:paraId="01F63354"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b/>
                <w:bCs/>
                <w:sz w:val="24"/>
                <w:szCs w:val="24"/>
                <w:rtl/>
                <w:lang w:val="en-US"/>
              </w:rPr>
              <w:t>المتغير المستقل الرئيسي: مستوى نضج التخطيط الاستراتيجي</w:t>
            </w:r>
          </w:p>
        </w:tc>
        <w:tc>
          <w:tcPr>
            <w:tcW w:w="0" w:type="auto"/>
            <w:hideMark/>
          </w:tcPr>
          <w:p w14:paraId="5D1BBD6F"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يمثل مستوى نضج التخطيط الاستراتيجي الدرجة التي تصل إليها المنظمة في تبني ممارسات تخطيط منظمة تشمل وضوح الرؤية والأهداف، التحليل البيئي، تخصيص الموارد والقدرات التنظيمية، متابعة وتقييم الأداء الاستراتيجي، وربط الاستراتيجية بالسياسات والإجراءات الداخلية</w:t>
            </w:r>
            <w:r w:rsidRPr="00C952AB">
              <w:rPr>
                <w:rFonts w:ascii="Traditional Arabic" w:eastAsia="Times New Roman" w:hAnsi="Traditional Arabic" w:cs="Traditional Arabic"/>
                <w:sz w:val="24"/>
                <w:szCs w:val="24"/>
                <w:lang w:val="en-US"/>
              </w:rPr>
              <w:t xml:space="preserve"> (Molete et al., 2025).</w:t>
            </w:r>
          </w:p>
        </w:tc>
        <w:tc>
          <w:tcPr>
            <w:tcW w:w="0" w:type="auto"/>
            <w:hideMark/>
          </w:tcPr>
          <w:p w14:paraId="0C3F33B5" w14:textId="186F6900" w:rsidR="00C952AB" w:rsidRPr="00C952AB" w:rsidRDefault="00C952AB" w:rsidP="00786EC0">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 xml:space="preserve">يقاس </w:t>
            </w:r>
            <w:r w:rsidR="00786EC0">
              <w:rPr>
                <w:rFonts w:ascii="Traditional Arabic" w:eastAsia="Times New Roman" w:hAnsi="Traditional Arabic" w:cs="Traditional Arabic" w:hint="cs"/>
                <w:sz w:val="24"/>
                <w:szCs w:val="24"/>
                <w:rtl/>
                <w:lang w:val="en-US"/>
              </w:rPr>
              <w:t>ببنود حول</w:t>
            </w:r>
            <w:r w:rsidRPr="00C952AB">
              <w:rPr>
                <w:rFonts w:ascii="Traditional Arabic" w:eastAsia="Times New Roman" w:hAnsi="Traditional Arabic" w:cs="Traditional Arabic"/>
                <w:sz w:val="24"/>
                <w:szCs w:val="24"/>
                <w:rtl/>
                <w:lang w:val="en-US"/>
              </w:rPr>
              <w:t xml:space="preserve"> تطبيق المنظمة لجميع مكونات التخطيط الاستراتيجي كما هي، وذلك باستخدام بنود مستمدة من دراسات سابقة ووفق مقياس ليكرت الخماسي</w:t>
            </w:r>
            <w:r w:rsidRPr="00C952AB">
              <w:rPr>
                <w:rFonts w:ascii="Traditional Arabic" w:eastAsia="Times New Roman" w:hAnsi="Traditional Arabic" w:cs="Traditional Arabic"/>
                <w:sz w:val="24"/>
                <w:szCs w:val="24"/>
                <w:lang w:val="en-US"/>
              </w:rPr>
              <w:t>.</w:t>
            </w:r>
          </w:p>
        </w:tc>
        <w:tc>
          <w:tcPr>
            <w:tcW w:w="0" w:type="auto"/>
            <w:hideMark/>
          </w:tcPr>
          <w:p w14:paraId="6FAF4BD7"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lang w:val="en-US"/>
              </w:rPr>
              <w:t>Aydın et al. (2022)</w:t>
            </w:r>
            <w:r w:rsidRPr="00C952AB">
              <w:rPr>
                <w:rFonts w:ascii="Traditional Arabic" w:eastAsia="Times New Roman" w:hAnsi="Traditional Arabic" w:cs="Traditional Arabic"/>
                <w:sz w:val="24"/>
                <w:szCs w:val="24"/>
                <w:rtl/>
                <w:lang w:val="en-US"/>
              </w:rPr>
              <w:t xml:space="preserve">، </w:t>
            </w:r>
            <w:r w:rsidRPr="00C952AB">
              <w:rPr>
                <w:rFonts w:ascii="Traditional Arabic" w:eastAsia="Times New Roman" w:hAnsi="Traditional Arabic" w:cs="Traditional Arabic"/>
                <w:sz w:val="24"/>
                <w:szCs w:val="24"/>
                <w:lang w:val="en-US"/>
              </w:rPr>
              <w:t>Mousa &amp; Gürler (2024).</w:t>
            </w:r>
          </w:p>
        </w:tc>
        <w:tc>
          <w:tcPr>
            <w:tcW w:w="0" w:type="auto"/>
            <w:hideMark/>
          </w:tcPr>
          <w:p w14:paraId="32FD73F0"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ليكرت خماسي</w:t>
            </w:r>
          </w:p>
        </w:tc>
        <w:tc>
          <w:tcPr>
            <w:tcW w:w="0" w:type="auto"/>
            <w:hideMark/>
          </w:tcPr>
          <w:p w14:paraId="40558957" w14:textId="77777777" w:rsidR="00C952AB" w:rsidRPr="00C952AB" w:rsidRDefault="00C952AB" w:rsidP="00C952AB">
            <w:pPr>
              <w:bidi/>
              <w:rPr>
                <w:rFonts w:ascii="Traditional Arabic" w:eastAsia="Times New Roman" w:hAnsi="Traditional Arabic" w:cs="Traditional Arabic"/>
                <w:sz w:val="24"/>
                <w:szCs w:val="24"/>
                <w:lang w:val="en-US"/>
              </w:rPr>
            </w:pPr>
          </w:p>
        </w:tc>
      </w:tr>
      <w:tr w:rsidR="00C952AB" w:rsidRPr="008917EC" w14:paraId="28773853" w14:textId="77777777" w:rsidTr="00C952AB">
        <w:tc>
          <w:tcPr>
            <w:tcW w:w="0" w:type="auto"/>
            <w:hideMark/>
          </w:tcPr>
          <w:p w14:paraId="2C9602CD"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b/>
                <w:bCs/>
                <w:sz w:val="24"/>
                <w:szCs w:val="24"/>
                <w:rtl/>
                <w:lang w:val="en-US"/>
              </w:rPr>
              <w:t>وضوح الرؤية والأهداف الاستراتيجية</w:t>
            </w:r>
          </w:p>
        </w:tc>
        <w:tc>
          <w:tcPr>
            <w:tcW w:w="0" w:type="auto"/>
            <w:hideMark/>
          </w:tcPr>
          <w:p w14:paraId="11F643FF"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يشير وضوح الرؤية والأهداف الاستراتيجية إلى مدى وضوح الرؤية والأهداف وقدرتها على توجيه الجهود التنظيمية</w:t>
            </w:r>
            <w:r w:rsidRPr="00C952AB">
              <w:rPr>
                <w:rFonts w:ascii="Traditional Arabic" w:eastAsia="Times New Roman" w:hAnsi="Traditional Arabic" w:cs="Traditional Arabic"/>
                <w:sz w:val="24"/>
                <w:szCs w:val="24"/>
                <w:lang w:val="en-US"/>
              </w:rPr>
              <w:t xml:space="preserve"> (Aydın et al., </w:t>
            </w:r>
            <w:r w:rsidRPr="00C952AB">
              <w:rPr>
                <w:rFonts w:ascii="Traditional Arabic" w:eastAsia="Times New Roman" w:hAnsi="Traditional Arabic" w:cs="Traditional Arabic"/>
                <w:sz w:val="24"/>
                <w:szCs w:val="24"/>
                <w:lang w:val="en-US"/>
              </w:rPr>
              <w:lastRenderedPageBreak/>
              <w:t>2022).</w:t>
            </w:r>
          </w:p>
        </w:tc>
        <w:tc>
          <w:tcPr>
            <w:tcW w:w="0" w:type="auto"/>
            <w:hideMark/>
          </w:tcPr>
          <w:p w14:paraId="2F9B5917" w14:textId="051BD5DB" w:rsidR="00C952AB" w:rsidRPr="00C952AB" w:rsidRDefault="00C952AB" w:rsidP="00786EC0">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lastRenderedPageBreak/>
              <w:t xml:space="preserve">يقاس من خلال بنود تتناول وجود رؤية مكتوبة ووضوح الأهداف واتساقها مع الاتجاهات التنظيمية، وفق </w:t>
            </w:r>
            <w:r w:rsidRPr="00C952AB">
              <w:rPr>
                <w:rFonts w:ascii="Traditional Arabic" w:eastAsia="Times New Roman" w:hAnsi="Traditional Arabic" w:cs="Traditional Arabic"/>
                <w:sz w:val="24"/>
                <w:szCs w:val="24"/>
                <w:rtl/>
                <w:lang w:val="en-US"/>
              </w:rPr>
              <w:lastRenderedPageBreak/>
              <w:t>مقياس</w:t>
            </w:r>
            <w:r w:rsidRPr="00C952AB">
              <w:rPr>
                <w:rFonts w:ascii="Traditional Arabic" w:eastAsia="Times New Roman" w:hAnsi="Traditional Arabic" w:cs="Traditional Arabic"/>
                <w:sz w:val="24"/>
                <w:szCs w:val="24"/>
                <w:lang w:val="en-US"/>
              </w:rPr>
              <w:t xml:space="preserve"> Aydın et al. (2022).</w:t>
            </w:r>
          </w:p>
        </w:tc>
        <w:tc>
          <w:tcPr>
            <w:tcW w:w="0" w:type="auto"/>
            <w:hideMark/>
          </w:tcPr>
          <w:p w14:paraId="75B59DD2"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lang w:val="en-US"/>
              </w:rPr>
              <w:lastRenderedPageBreak/>
              <w:t>Aydın et al. (2022)</w:t>
            </w:r>
          </w:p>
        </w:tc>
        <w:tc>
          <w:tcPr>
            <w:tcW w:w="0" w:type="auto"/>
            <w:hideMark/>
          </w:tcPr>
          <w:p w14:paraId="537472A8"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ليكرت خماسي</w:t>
            </w:r>
          </w:p>
        </w:tc>
        <w:tc>
          <w:tcPr>
            <w:tcW w:w="0" w:type="auto"/>
            <w:hideMark/>
          </w:tcPr>
          <w:p w14:paraId="355F6A21"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الرؤية الاستراتيجية مكتوبة وواضحة لجميع العاملين في المنظمة</w:t>
            </w:r>
          </w:p>
        </w:tc>
      </w:tr>
      <w:tr w:rsidR="00C952AB" w:rsidRPr="008917EC" w14:paraId="2CC70DE5" w14:textId="77777777" w:rsidTr="00C952AB">
        <w:tc>
          <w:tcPr>
            <w:tcW w:w="0" w:type="auto"/>
            <w:hideMark/>
          </w:tcPr>
          <w:p w14:paraId="00B894CF"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b/>
                <w:bCs/>
                <w:sz w:val="24"/>
                <w:szCs w:val="24"/>
                <w:rtl/>
                <w:lang w:val="en-US"/>
              </w:rPr>
              <w:t>تحليل البيئة الداخلية والخارجية</w:t>
            </w:r>
          </w:p>
        </w:tc>
        <w:tc>
          <w:tcPr>
            <w:tcW w:w="0" w:type="auto"/>
            <w:hideMark/>
          </w:tcPr>
          <w:p w14:paraId="443175B5"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يشير تحليل البيئة الداخلية والخارجية إلى تقييم العوامل الداخلية والخارجية المؤثرة في القرارات الاستراتيجية</w:t>
            </w:r>
            <w:r w:rsidRPr="00C952AB">
              <w:rPr>
                <w:rFonts w:ascii="Traditional Arabic" w:eastAsia="Times New Roman" w:hAnsi="Traditional Arabic" w:cs="Traditional Arabic"/>
                <w:sz w:val="24"/>
                <w:szCs w:val="24"/>
                <w:lang w:val="en-US"/>
              </w:rPr>
              <w:t xml:space="preserve"> (Mousa &amp; Gürler, 2024).</w:t>
            </w:r>
          </w:p>
        </w:tc>
        <w:tc>
          <w:tcPr>
            <w:tcW w:w="0" w:type="auto"/>
            <w:hideMark/>
          </w:tcPr>
          <w:p w14:paraId="387D768C"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يقاس تحليل البيئة الداخلية والخارجية ببنود تتناول استخدام أدوات التحليل البيئي ودمج نتائجها في إعداد الخطط، وفق أداة</w:t>
            </w:r>
            <w:r w:rsidRPr="00C952AB">
              <w:rPr>
                <w:rFonts w:ascii="Traditional Arabic" w:eastAsia="Times New Roman" w:hAnsi="Traditional Arabic" w:cs="Traditional Arabic"/>
                <w:sz w:val="24"/>
                <w:szCs w:val="24"/>
                <w:lang w:val="en-US"/>
              </w:rPr>
              <w:t xml:space="preserve"> Aydın et al. (2022).</w:t>
            </w:r>
          </w:p>
        </w:tc>
        <w:tc>
          <w:tcPr>
            <w:tcW w:w="0" w:type="auto"/>
            <w:hideMark/>
          </w:tcPr>
          <w:p w14:paraId="4039BD57"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lang w:val="en-US"/>
              </w:rPr>
              <w:t>Aydın et al. (2022)</w:t>
            </w:r>
          </w:p>
        </w:tc>
        <w:tc>
          <w:tcPr>
            <w:tcW w:w="0" w:type="auto"/>
            <w:hideMark/>
          </w:tcPr>
          <w:p w14:paraId="02217C57"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ليكرت خماسي</w:t>
            </w:r>
          </w:p>
        </w:tc>
        <w:tc>
          <w:tcPr>
            <w:tcW w:w="0" w:type="auto"/>
            <w:hideMark/>
          </w:tcPr>
          <w:p w14:paraId="59ABBEE4"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تست</w:t>
            </w:r>
            <w:r w:rsidRPr="008917EC">
              <w:rPr>
                <w:rFonts w:ascii="Traditional Arabic" w:eastAsia="Times New Roman" w:hAnsi="Traditional Arabic" w:cs="Traditional Arabic"/>
                <w:sz w:val="24"/>
                <w:szCs w:val="24"/>
                <w:rtl/>
                <w:lang w:val="en-US"/>
              </w:rPr>
              <w:t xml:space="preserve">خدم المنظمة أدوات تحليل بيئي </w:t>
            </w:r>
            <w:r w:rsidRPr="00C952AB">
              <w:rPr>
                <w:rFonts w:ascii="Traditional Arabic" w:eastAsia="Times New Roman" w:hAnsi="Traditional Arabic" w:cs="Traditional Arabic"/>
                <w:sz w:val="24"/>
                <w:szCs w:val="24"/>
                <w:rtl/>
                <w:lang w:val="en-US"/>
              </w:rPr>
              <w:t>بصورة منتظمة</w:t>
            </w:r>
          </w:p>
        </w:tc>
      </w:tr>
      <w:tr w:rsidR="00C952AB" w:rsidRPr="008917EC" w14:paraId="673424E9" w14:textId="77777777" w:rsidTr="00C952AB">
        <w:tc>
          <w:tcPr>
            <w:tcW w:w="0" w:type="auto"/>
            <w:hideMark/>
          </w:tcPr>
          <w:p w14:paraId="6B6CC53C"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b/>
                <w:bCs/>
                <w:sz w:val="24"/>
                <w:szCs w:val="24"/>
                <w:rtl/>
                <w:lang w:val="en-US"/>
              </w:rPr>
              <w:t>تخصيص الموارد والقدرات التنظيمية</w:t>
            </w:r>
          </w:p>
        </w:tc>
        <w:tc>
          <w:tcPr>
            <w:tcW w:w="0" w:type="auto"/>
            <w:hideMark/>
          </w:tcPr>
          <w:p w14:paraId="46D76DBB"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يشير تخصيص الموارد والقدرات التنظيمية إلى كيفية توزيع الموارد البشرية والمالية والتنظيمية بما يتوافق مع أولويات الخطة الاستراتيجية</w:t>
            </w:r>
            <w:r w:rsidRPr="00C952AB">
              <w:rPr>
                <w:rFonts w:ascii="Traditional Arabic" w:eastAsia="Times New Roman" w:hAnsi="Traditional Arabic" w:cs="Traditional Arabic"/>
                <w:sz w:val="24"/>
                <w:szCs w:val="24"/>
                <w:lang w:val="en-US"/>
              </w:rPr>
              <w:t xml:space="preserve"> (Mousa &amp; Gürler, 2024).</w:t>
            </w:r>
          </w:p>
        </w:tc>
        <w:tc>
          <w:tcPr>
            <w:tcW w:w="0" w:type="auto"/>
            <w:hideMark/>
          </w:tcPr>
          <w:p w14:paraId="51997E2B"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يقاس تخصيص الموارد والقدرات التنظيمية ببنود تتناول توفير الموارد البشرية والمالية وتوزيع المهام والقدرات التنظيمية، وفق مقياس</w:t>
            </w:r>
            <w:r w:rsidRPr="00C952AB">
              <w:rPr>
                <w:rFonts w:ascii="Traditional Arabic" w:eastAsia="Times New Roman" w:hAnsi="Traditional Arabic" w:cs="Traditional Arabic"/>
                <w:sz w:val="24"/>
                <w:szCs w:val="24"/>
                <w:lang w:val="en-US"/>
              </w:rPr>
              <w:t xml:space="preserve"> Mousa &amp; Gürler (2024).</w:t>
            </w:r>
          </w:p>
        </w:tc>
        <w:tc>
          <w:tcPr>
            <w:tcW w:w="0" w:type="auto"/>
            <w:hideMark/>
          </w:tcPr>
          <w:p w14:paraId="088A0C4B"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lang w:val="en-US"/>
              </w:rPr>
              <w:t>Mousa &amp; Gürler (2024)</w:t>
            </w:r>
          </w:p>
        </w:tc>
        <w:tc>
          <w:tcPr>
            <w:tcW w:w="0" w:type="auto"/>
            <w:hideMark/>
          </w:tcPr>
          <w:p w14:paraId="33065677"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ليكرت خماسي</w:t>
            </w:r>
          </w:p>
        </w:tc>
        <w:tc>
          <w:tcPr>
            <w:tcW w:w="0" w:type="auto"/>
            <w:hideMark/>
          </w:tcPr>
          <w:p w14:paraId="152FD612"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توفر المنظمة الموارد البشرية والمالية اللازمة لتنفيذ خطتها الاستراتيجية</w:t>
            </w:r>
            <w:r w:rsidRPr="008917EC">
              <w:rPr>
                <w:rFonts w:ascii="Traditional Arabic" w:eastAsia="Times New Roman" w:hAnsi="Traditional Arabic" w:cs="Traditional Arabic"/>
                <w:sz w:val="24"/>
                <w:szCs w:val="24"/>
                <w:rtl/>
                <w:lang w:val="en-US"/>
              </w:rPr>
              <w:t>.</w:t>
            </w:r>
          </w:p>
        </w:tc>
      </w:tr>
      <w:tr w:rsidR="00C952AB" w:rsidRPr="008917EC" w14:paraId="131078D0" w14:textId="77777777" w:rsidTr="00C952AB">
        <w:tc>
          <w:tcPr>
            <w:tcW w:w="0" w:type="auto"/>
            <w:hideMark/>
          </w:tcPr>
          <w:p w14:paraId="5678FD92"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b/>
                <w:bCs/>
                <w:sz w:val="24"/>
                <w:szCs w:val="24"/>
                <w:rtl/>
                <w:lang w:val="en-US"/>
              </w:rPr>
              <w:t>متابعة وتقييم الأداء الاستراتيجي</w:t>
            </w:r>
          </w:p>
        </w:tc>
        <w:tc>
          <w:tcPr>
            <w:tcW w:w="0" w:type="auto"/>
            <w:hideMark/>
          </w:tcPr>
          <w:p w14:paraId="7AA4BEB3"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يشير متابعة وتقييم الأداء الاستراتيجي إلى وجود آليات منظمة لقياس التقدم نحو الأهداف من خلال مؤشرات وتقارير دورية</w:t>
            </w:r>
            <w:r w:rsidRPr="00C952AB">
              <w:rPr>
                <w:rFonts w:ascii="Traditional Arabic" w:eastAsia="Times New Roman" w:hAnsi="Traditional Arabic" w:cs="Traditional Arabic"/>
                <w:sz w:val="24"/>
                <w:szCs w:val="24"/>
                <w:lang w:val="en-US"/>
              </w:rPr>
              <w:t xml:space="preserve"> (Hill et al., 2020).</w:t>
            </w:r>
          </w:p>
        </w:tc>
        <w:tc>
          <w:tcPr>
            <w:tcW w:w="0" w:type="auto"/>
            <w:hideMark/>
          </w:tcPr>
          <w:p w14:paraId="1D34D21D"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يقاس متابعة وتقييم الأداء الاستراتيجي ببنود تتناول وجود نظم متابعة، ومؤشرات أداء واضحة، ومراجعة دورية للخطة، وفق أداة</w:t>
            </w:r>
            <w:r w:rsidRPr="00C952AB">
              <w:rPr>
                <w:rFonts w:ascii="Traditional Arabic" w:eastAsia="Times New Roman" w:hAnsi="Traditional Arabic" w:cs="Traditional Arabic"/>
                <w:sz w:val="24"/>
                <w:szCs w:val="24"/>
                <w:lang w:val="en-US"/>
              </w:rPr>
              <w:t xml:space="preserve"> Aydın et al. (2022).</w:t>
            </w:r>
          </w:p>
        </w:tc>
        <w:tc>
          <w:tcPr>
            <w:tcW w:w="0" w:type="auto"/>
            <w:hideMark/>
          </w:tcPr>
          <w:p w14:paraId="0E6D6A65"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lang w:val="en-US"/>
              </w:rPr>
              <w:t>Aydın et al. (2022)</w:t>
            </w:r>
          </w:p>
        </w:tc>
        <w:tc>
          <w:tcPr>
            <w:tcW w:w="0" w:type="auto"/>
            <w:hideMark/>
          </w:tcPr>
          <w:p w14:paraId="16975F97"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ليكرت خماسي</w:t>
            </w:r>
          </w:p>
        </w:tc>
        <w:tc>
          <w:tcPr>
            <w:tcW w:w="0" w:type="auto"/>
            <w:hideMark/>
          </w:tcPr>
          <w:p w14:paraId="483ACE7D"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تستخدم المنظمة مؤشرات أداء واضحة لقياس التقدم في تنفيذ الخطة الاستراتيجية</w:t>
            </w:r>
            <w:r w:rsidRPr="008917EC">
              <w:rPr>
                <w:rFonts w:ascii="Traditional Arabic" w:eastAsia="Times New Roman" w:hAnsi="Traditional Arabic" w:cs="Traditional Arabic"/>
                <w:sz w:val="24"/>
                <w:szCs w:val="24"/>
                <w:rtl/>
                <w:lang w:val="en-US"/>
              </w:rPr>
              <w:t>.</w:t>
            </w:r>
          </w:p>
        </w:tc>
      </w:tr>
      <w:tr w:rsidR="00C952AB" w:rsidRPr="008917EC" w14:paraId="7AB8AB79" w14:textId="77777777" w:rsidTr="00C952AB">
        <w:tc>
          <w:tcPr>
            <w:tcW w:w="0" w:type="auto"/>
            <w:hideMark/>
          </w:tcPr>
          <w:p w14:paraId="79F79083"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b/>
                <w:bCs/>
                <w:sz w:val="24"/>
                <w:szCs w:val="24"/>
                <w:rtl/>
                <w:lang w:val="en-US"/>
              </w:rPr>
              <w:t>ربط الاستراتيجية بالسياسات والإجراءات الداخلية</w:t>
            </w:r>
          </w:p>
        </w:tc>
        <w:tc>
          <w:tcPr>
            <w:tcW w:w="0" w:type="auto"/>
            <w:hideMark/>
          </w:tcPr>
          <w:p w14:paraId="296FE056"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يشير ربط الاستراتيجية بالسياسات والإجراءات الداخلية إلى مدى اتساق السياسات التشغيلية والإجراءات التنفيذية مع التوجهات الاستراتيجية للمنظمة</w:t>
            </w:r>
            <w:r w:rsidRPr="00C952AB">
              <w:rPr>
                <w:rFonts w:ascii="Traditional Arabic" w:eastAsia="Times New Roman" w:hAnsi="Traditional Arabic" w:cs="Traditional Arabic"/>
                <w:sz w:val="24"/>
                <w:szCs w:val="24"/>
                <w:lang w:val="en-US"/>
              </w:rPr>
              <w:t xml:space="preserve"> (Hill et al., 2020).</w:t>
            </w:r>
          </w:p>
        </w:tc>
        <w:tc>
          <w:tcPr>
            <w:tcW w:w="0" w:type="auto"/>
            <w:hideMark/>
          </w:tcPr>
          <w:p w14:paraId="43FE08B3" w14:textId="4D47FBF3" w:rsidR="00C952AB" w:rsidRPr="00C952AB" w:rsidRDefault="00C952AB" w:rsidP="00786EC0">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يقاس ببنود تستكشف مدى توافق السياسات والإجراءات التشغيلية مع الخطة الاستراتيجية، وفق مقياس</w:t>
            </w:r>
            <w:r w:rsidRPr="00C952AB">
              <w:rPr>
                <w:rFonts w:ascii="Traditional Arabic" w:eastAsia="Times New Roman" w:hAnsi="Traditional Arabic" w:cs="Traditional Arabic"/>
                <w:sz w:val="24"/>
                <w:szCs w:val="24"/>
                <w:lang w:val="en-US"/>
              </w:rPr>
              <w:t xml:space="preserve"> Mousa &amp; Gürler (2024).</w:t>
            </w:r>
          </w:p>
        </w:tc>
        <w:tc>
          <w:tcPr>
            <w:tcW w:w="0" w:type="auto"/>
            <w:hideMark/>
          </w:tcPr>
          <w:p w14:paraId="03A0A37B"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lang w:val="en-US"/>
              </w:rPr>
              <w:t>Mousa &amp; Gürler (2024)</w:t>
            </w:r>
          </w:p>
        </w:tc>
        <w:tc>
          <w:tcPr>
            <w:tcW w:w="0" w:type="auto"/>
            <w:hideMark/>
          </w:tcPr>
          <w:p w14:paraId="44AC611A"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ليكرت خماسي</w:t>
            </w:r>
          </w:p>
        </w:tc>
        <w:tc>
          <w:tcPr>
            <w:tcW w:w="0" w:type="auto"/>
            <w:hideMark/>
          </w:tcPr>
          <w:p w14:paraId="2415FDDC" w14:textId="77777777" w:rsidR="00C952AB" w:rsidRPr="00C952AB" w:rsidRDefault="00C952AB" w:rsidP="00C952AB">
            <w:pPr>
              <w:bidi/>
              <w:rPr>
                <w:rFonts w:ascii="Traditional Arabic" w:eastAsia="Times New Roman" w:hAnsi="Traditional Arabic" w:cs="Traditional Arabic"/>
                <w:sz w:val="24"/>
                <w:szCs w:val="24"/>
                <w:lang w:val="en-US"/>
              </w:rPr>
            </w:pPr>
            <w:r w:rsidRPr="00C952AB">
              <w:rPr>
                <w:rFonts w:ascii="Traditional Arabic" w:eastAsia="Times New Roman" w:hAnsi="Traditional Arabic" w:cs="Traditional Arabic"/>
                <w:sz w:val="24"/>
                <w:szCs w:val="24"/>
                <w:rtl/>
                <w:lang w:val="en-US"/>
              </w:rPr>
              <w:t>تتوافق السياسات التشغيلية والإجراءات الداخلية مع التوجهات الاستراتيجية للمنظمة</w:t>
            </w:r>
            <w:r w:rsidRPr="008917EC">
              <w:rPr>
                <w:rFonts w:ascii="Traditional Arabic" w:eastAsia="Times New Roman" w:hAnsi="Traditional Arabic" w:cs="Traditional Arabic"/>
                <w:sz w:val="24"/>
                <w:szCs w:val="24"/>
                <w:rtl/>
                <w:lang w:val="en-US"/>
              </w:rPr>
              <w:t>.</w:t>
            </w:r>
          </w:p>
        </w:tc>
      </w:tr>
      <w:tr w:rsidR="00C952AB" w:rsidRPr="0001699E" w14:paraId="37CECFCB" w14:textId="77777777" w:rsidTr="00C952AB">
        <w:tc>
          <w:tcPr>
            <w:tcW w:w="0" w:type="auto"/>
            <w:hideMark/>
          </w:tcPr>
          <w:p w14:paraId="199736E6" w14:textId="77777777" w:rsidR="00C952AB" w:rsidRPr="0001699E" w:rsidRDefault="00C952AB" w:rsidP="00C952AB">
            <w:pPr>
              <w:bidi/>
              <w:rPr>
                <w:rFonts w:ascii="Traditional Arabic" w:eastAsia="Times New Roman" w:hAnsi="Traditional Arabic" w:cs="Traditional Arabic"/>
                <w:sz w:val="24"/>
                <w:szCs w:val="24"/>
                <w:lang w:val="en-US"/>
              </w:rPr>
            </w:pPr>
            <w:r w:rsidRPr="0001699E">
              <w:rPr>
                <w:rFonts w:ascii="Traditional Arabic" w:eastAsia="Times New Roman" w:hAnsi="Traditional Arabic" w:cs="Traditional Arabic"/>
                <w:b/>
                <w:bCs/>
                <w:sz w:val="24"/>
                <w:szCs w:val="24"/>
                <w:rtl/>
                <w:lang w:val="en-US"/>
              </w:rPr>
              <w:t>المتغير التابع: التكامل المؤسسي</w:t>
            </w:r>
          </w:p>
        </w:tc>
        <w:tc>
          <w:tcPr>
            <w:tcW w:w="0" w:type="auto"/>
            <w:hideMark/>
          </w:tcPr>
          <w:p w14:paraId="5921C56F" w14:textId="77777777" w:rsidR="00C952AB" w:rsidRPr="0001699E" w:rsidRDefault="00C952AB" w:rsidP="00C952AB">
            <w:pPr>
              <w:bidi/>
              <w:rPr>
                <w:rFonts w:ascii="Traditional Arabic" w:eastAsia="Times New Roman" w:hAnsi="Traditional Arabic" w:cs="Traditional Arabic"/>
                <w:sz w:val="24"/>
                <w:szCs w:val="24"/>
                <w:lang w:val="en-US"/>
              </w:rPr>
            </w:pPr>
            <w:r w:rsidRPr="0001699E">
              <w:rPr>
                <w:rFonts w:ascii="Traditional Arabic" w:eastAsia="Times New Roman" w:hAnsi="Traditional Arabic" w:cs="Traditional Arabic"/>
                <w:sz w:val="24"/>
                <w:szCs w:val="24"/>
                <w:rtl/>
                <w:lang w:val="en-US"/>
              </w:rPr>
              <w:t>يمثل التكامل المؤسسي مستوى التنسيق والتعاون وتوحيد العمليات بين المنظمات العاملة تحت مظلة مشتركة، وفق نماذج الإدارة الشبكية</w:t>
            </w:r>
            <w:r w:rsidRPr="0001699E">
              <w:rPr>
                <w:rFonts w:ascii="Traditional Arabic" w:eastAsia="Times New Roman" w:hAnsi="Traditional Arabic" w:cs="Traditional Arabic"/>
                <w:sz w:val="24"/>
                <w:szCs w:val="24"/>
                <w:lang w:val="en-US"/>
              </w:rPr>
              <w:t xml:space="preserve"> (Keast et al., 2021).</w:t>
            </w:r>
          </w:p>
        </w:tc>
        <w:tc>
          <w:tcPr>
            <w:tcW w:w="0" w:type="auto"/>
            <w:hideMark/>
          </w:tcPr>
          <w:p w14:paraId="7FA00FC8" w14:textId="5D998480" w:rsidR="00C952AB" w:rsidRPr="0001699E" w:rsidRDefault="00C952AB" w:rsidP="00786EC0">
            <w:pPr>
              <w:bidi/>
              <w:rPr>
                <w:rFonts w:ascii="Traditional Arabic" w:eastAsia="Times New Roman" w:hAnsi="Traditional Arabic" w:cs="Traditional Arabic"/>
                <w:sz w:val="24"/>
                <w:szCs w:val="24"/>
                <w:lang w:val="en-US"/>
              </w:rPr>
            </w:pPr>
            <w:r w:rsidRPr="0001699E">
              <w:rPr>
                <w:rFonts w:ascii="Traditional Arabic" w:eastAsia="Times New Roman" w:hAnsi="Traditional Arabic" w:cs="Traditional Arabic"/>
                <w:sz w:val="24"/>
                <w:szCs w:val="24"/>
                <w:rtl/>
                <w:lang w:val="en-US"/>
              </w:rPr>
              <w:t xml:space="preserve">يقاس ببنود تتناول التنسيق بين الوحدات التنظيمية، وتبادل المعلومات، وتنفيذ المبادرات المشتركة، ودرجة انسجام السياسات والإجراءات بين المنظمات، وذلك باستخدام مقياس </w:t>
            </w:r>
            <w:r w:rsidRPr="0001699E">
              <w:rPr>
                <w:rFonts w:ascii="Traditional Arabic" w:eastAsia="Times New Roman" w:hAnsi="Traditional Arabic" w:cs="Traditional Arabic"/>
                <w:sz w:val="24"/>
                <w:szCs w:val="24"/>
                <w:rtl/>
                <w:lang w:val="en-US"/>
              </w:rPr>
              <w:lastRenderedPageBreak/>
              <w:t>ليكرت الخماسي</w:t>
            </w:r>
            <w:r w:rsidRPr="0001699E">
              <w:rPr>
                <w:rFonts w:ascii="Traditional Arabic" w:eastAsia="Times New Roman" w:hAnsi="Traditional Arabic" w:cs="Traditional Arabic"/>
                <w:sz w:val="24"/>
                <w:szCs w:val="24"/>
                <w:lang w:val="en-US"/>
              </w:rPr>
              <w:t>.</w:t>
            </w:r>
          </w:p>
        </w:tc>
        <w:tc>
          <w:tcPr>
            <w:tcW w:w="0" w:type="auto"/>
            <w:hideMark/>
          </w:tcPr>
          <w:p w14:paraId="3A8A7167" w14:textId="77777777" w:rsidR="00C952AB" w:rsidRPr="0001699E" w:rsidRDefault="00C952AB" w:rsidP="00C952AB">
            <w:pPr>
              <w:bidi/>
              <w:rPr>
                <w:rFonts w:ascii="Traditional Arabic" w:eastAsia="Times New Roman" w:hAnsi="Traditional Arabic" w:cs="Traditional Arabic"/>
                <w:sz w:val="24"/>
                <w:szCs w:val="24"/>
                <w:lang w:val="en-US"/>
              </w:rPr>
            </w:pPr>
            <w:r w:rsidRPr="0001699E">
              <w:rPr>
                <w:rFonts w:ascii="Traditional Arabic" w:eastAsia="Times New Roman" w:hAnsi="Traditional Arabic" w:cs="Traditional Arabic"/>
                <w:sz w:val="24"/>
                <w:szCs w:val="24"/>
                <w:lang w:val="en-US"/>
              </w:rPr>
              <w:lastRenderedPageBreak/>
              <w:t xml:space="preserve">Keast et al. (2021) </w:t>
            </w:r>
          </w:p>
        </w:tc>
        <w:tc>
          <w:tcPr>
            <w:tcW w:w="0" w:type="auto"/>
            <w:hideMark/>
          </w:tcPr>
          <w:p w14:paraId="6C2D5F19" w14:textId="77777777" w:rsidR="00C952AB" w:rsidRPr="0001699E" w:rsidRDefault="00C952AB" w:rsidP="00C952AB">
            <w:pPr>
              <w:bidi/>
              <w:rPr>
                <w:rFonts w:ascii="Traditional Arabic" w:eastAsia="Times New Roman" w:hAnsi="Traditional Arabic" w:cs="Traditional Arabic"/>
                <w:sz w:val="24"/>
                <w:szCs w:val="24"/>
                <w:lang w:val="en-US"/>
              </w:rPr>
            </w:pPr>
            <w:r w:rsidRPr="0001699E">
              <w:rPr>
                <w:rFonts w:ascii="Traditional Arabic" w:eastAsia="Times New Roman" w:hAnsi="Traditional Arabic" w:cs="Traditional Arabic"/>
                <w:sz w:val="24"/>
                <w:szCs w:val="24"/>
                <w:rtl/>
                <w:lang w:val="en-US"/>
              </w:rPr>
              <w:t>ليكرت خماسي</w:t>
            </w:r>
          </w:p>
        </w:tc>
        <w:tc>
          <w:tcPr>
            <w:tcW w:w="0" w:type="auto"/>
            <w:hideMark/>
          </w:tcPr>
          <w:p w14:paraId="23A62464" w14:textId="48F71EB5" w:rsidR="00C952AB" w:rsidRPr="0001699E" w:rsidRDefault="00786EC0" w:rsidP="00786EC0">
            <w:pPr>
              <w:bidi/>
              <w:rPr>
                <w:rFonts w:ascii="Traditional Arabic" w:eastAsia="Times New Roman" w:hAnsi="Traditional Arabic" w:cs="Traditional Arabic"/>
                <w:sz w:val="24"/>
                <w:szCs w:val="24"/>
                <w:lang w:val="en-US"/>
              </w:rPr>
            </w:pPr>
            <w:r w:rsidRPr="0001699E">
              <w:rPr>
                <w:rFonts w:ascii="Traditional Arabic" w:eastAsia="Times New Roman" w:hAnsi="Traditional Arabic" w:cs="Traditional Arabic"/>
                <w:sz w:val="24"/>
                <w:szCs w:val="24"/>
                <w:rtl/>
                <w:lang w:val="en-US"/>
              </w:rPr>
              <w:t>يقاس التكامل المؤسسي كمتغير واحد كلي دون تجزئة إلى أبعاد فرعية، وذلك من خلال بنود تعكس مستوى التنسيق والتعاون بين المنظمات</w:t>
            </w:r>
            <w:r w:rsidR="00C952AB" w:rsidRPr="0001699E">
              <w:rPr>
                <w:rFonts w:ascii="Traditional Arabic" w:eastAsia="Times New Roman" w:hAnsi="Traditional Arabic" w:cs="Traditional Arabic"/>
                <w:sz w:val="24"/>
                <w:szCs w:val="24"/>
                <w:rtl/>
                <w:lang w:val="en-US"/>
              </w:rPr>
              <w:t>.</w:t>
            </w:r>
          </w:p>
        </w:tc>
      </w:tr>
    </w:tbl>
    <w:p w14:paraId="0483BF21" w14:textId="77777777" w:rsidR="00786EC0" w:rsidRPr="0001699E" w:rsidRDefault="00786EC0" w:rsidP="00786EC0">
      <w:pPr>
        <w:bidi/>
        <w:spacing w:after="0" w:line="360" w:lineRule="auto"/>
        <w:ind w:firstLine="720"/>
        <w:jc w:val="both"/>
        <w:rPr>
          <w:rFonts w:ascii="Traditional Arabic" w:eastAsia="Calibri" w:hAnsi="Traditional Arabic" w:cs="Traditional Arabic"/>
          <w:sz w:val="32"/>
          <w:szCs w:val="32"/>
          <w:rtl/>
          <w:lang w:val="en-US"/>
        </w:rPr>
      </w:pPr>
    </w:p>
    <w:p w14:paraId="74882FF6" w14:textId="2F806C55" w:rsidR="00786EC0" w:rsidRDefault="00786EC0" w:rsidP="00786EC0">
      <w:pPr>
        <w:bidi/>
        <w:spacing w:after="0" w:line="360" w:lineRule="auto"/>
        <w:ind w:firstLine="720"/>
        <w:jc w:val="both"/>
        <w:rPr>
          <w:rFonts w:ascii="Traditional Arabic" w:eastAsia="Calibri" w:hAnsi="Traditional Arabic" w:cs="Traditional Arabic"/>
          <w:b/>
          <w:bCs/>
          <w:sz w:val="36"/>
          <w:szCs w:val="36"/>
          <w:rtl/>
          <w:lang w:val="en-US" w:bidi="ar-JO"/>
        </w:rPr>
      </w:pPr>
      <w:r w:rsidRPr="0001699E">
        <w:rPr>
          <w:rFonts w:ascii="Traditional Arabic" w:eastAsia="Calibri" w:hAnsi="Traditional Arabic" w:cs="Traditional Arabic" w:hint="cs"/>
          <w:sz w:val="32"/>
          <w:szCs w:val="32"/>
          <w:rtl/>
          <w:lang w:val="en-US"/>
        </w:rPr>
        <w:t xml:space="preserve">تجدر الاشارة الى انه في هذه الدراسة </w:t>
      </w:r>
      <w:r w:rsidRPr="0001699E">
        <w:rPr>
          <w:rFonts w:ascii="Traditional Arabic" w:eastAsia="Calibri" w:hAnsi="Traditional Arabic" w:cs="Traditional Arabic"/>
          <w:sz w:val="32"/>
          <w:szCs w:val="32"/>
          <w:rtl/>
          <w:lang w:val="en-US"/>
        </w:rPr>
        <w:t>يقاس التكامل المؤسسي في هذه الدراسة باعتباره متغيرًا واحدًا كليًا دون تفريعه إلى أبعاد فرعية، وذلك من خلال مجموعة من البنود التي تعكس المستوى العام للتنسيق، وتبادل المعلومات، وتوحيد الإجراءات، وتنفيذ المبادرات المشتركة بين المنظمات التابعة للأمانة العامة. وتُستخدم هذه البنود مجتمعةً في تكوين مؤشر واحد للتكامل المؤسسي يُقاس وفق مقياس ليكرت الخماسي</w:t>
      </w:r>
      <w:r w:rsidRPr="0001699E">
        <w:rPr>
          <w:rFonts w:ascii="Traditional Arabic" w:eastAsia="Calibri" w:hAnsi="Traditional Arabic" w:cs="Traditional Arabic"/>
          <w:b/>
          <w:bCs/>
          <w:sz w:val="36"/>
          <w:szCs w:val="36"/>
          <w:lang w:bidi="ar-JO"/>
        </w:rPr>
        <w:t>.</w:t>
      </w:r>
    </w:p>
    <w:p w14:paraId="140672D2" w14:textId="77777777" w:rsidR="00F72BC0" w:rsidRPr="00397BAE" w:rsidRDefault="00F72BC0" w:rsidP="00786EC0">
      <w:pPr>
        <w:bidi/>
        <w:spacing w:after="0" w:line="360" w:lineRule="auto"/>
        <w:jc w:val="both"/>
        <w:rPr>
          <w:rFonts w:ascii="Traditional Arabic" w:eastAsia="Calibri" w:hAnsi="Traditional Arabic" w:cs="Traditional Arabic"/>
          <w:b/>
          <w:bCs/>
          <w:sz w:val="36"/>
          <w:szCs w:val="36"/>
          <w:lang w:val="en-US" w:bidi="ar-JO"/>
        </w:rPr>
      </w:pPr>
      <w:r w:rsidRPr="00397BAE">
        <w:rPr>
          <w:rFonts w:ascii="Traditional Arabic" w:eastAsia="Calibri" w:hAnsi="Traditional Arabic" w:cs="Traditional Arabic"/>
          <w:b/>
          <w:bCs/>
          <w:sz w:val="36"/>
          <w:szCs w:val="36"/>
          <w:rtl/>
          <w:lang w:val="en-US" w:bidi="ar-JO"/>
        </w:rPr>
        <w:t>حدود الدراسة</w:t>
      </w:r>
      <w:bookmarkStart w:id="5" w:name="_Toc205057552"/>
    </w:p>
    <w:p w14:paraId="61F6CEE2" w14:textId="77777777" w:rsidR="00786EC0" w:rsidRDefault="009A607F" w:rsidP="00397BAE">
      <w:pPr>
        <w:numPr>
          <w:ilvl w:val="0"/>
          <w:numId w:val="6"/>
        </w:numPr>
        <w:bidi/>
        <w:spacing w:after="0" w:line="360" w:lineRule="auto"/>
        <w:contextualSpacing/>
        <w:jc w:val="both"/>
        <w:rPr>
          <w:rFonts w:ascii="Traditional Arabic" w:eastAsia="Calibri" w:hAnsi="Traditional Arabic" w:cs="Traditional Arabic"/>
          <w:sz w:val="32"/>
          <w:szCs w:val="32"/>
          <w:lang w:val="en-US"/>
        </w:rPr>
      </w:pPr>
      <w:r w:rsidRPr="00397BAE">
        <w:rPr>
          <w:rFonts w:ascii="Traditional Arabic" w:eastAsia="Calibri" w:hAnsi="Traditional Arabic" w:cs="Traditional Arabic" w:hint="cs"/>
          <w:b/>
          <w:bCs/>
          <w:sz w:val="32"/>
          <w:szCs w:val="32"/>
          <w:rtl/>
          <w:lang w:val="en-US"/>
        </w:rPr>
        <w:t>الحدود</w:t>
      </w:r>
      <w:r w:rsidRPr="00397BAE">
        <w:rPr>
          <w:rFonts w:ascii="Traditional Arabic" w:eastAsia="Calibri" w:hAnsi="Traditional Arabic" w:cs="Traditional Arabic" w:hint="cs"/>
          <w:b/>
          <w:bCs/>
          <w:sz w:val="36"/>
          <w:szCs w:val="36"/>
          <w:rtl/>
          <w:lang w:val="en-US"/>
        </w:rPr>
        <w:t xml:space="preserve"> المكانية:</w:t>
      </w:r>
      <w:r w:rsidRPr="00397BAE">
        <w:rPr>
          <w:rFonts w:ascii="Traditional Arabic" w:eastAsia="Calibri" w:hAnsi="Traditional Arabic" w:cs="Traditional Arabic" w:hint="cs"/>
          <w:sz w:val="36"/>
          <w:szCs w:val="36"/>
          <w:rtl/>
          <w:lang w:val="en-US"/>
        </w:rPr>
        <w:t xml:space="preserve"> </w:t>
      </w:r>
      <w:r w:rsidR="00013229" w:rsidRPr="00397BAE">
        <w:rPr>
          <w:rFonts w:ascii="Traditional Arabic" w:eastAsia="Calibri" w:hAnsi="Traditional Arabic" w:cs="Traditional Arabic"/>
          <w:sz w:val="32"/>
          <w:szCs w:val="32"/>
          <w:rtl/>
          <w:lang w:val="en-US"/>
        </w:rPr>
        <w:t xml:space="preserve">تقتصر هذه الدراسة على الهيئات والمجالس والمكاتب المستقلة </w:t>
      </w:r>
      <w:r w:rsidR="00FB4006" w:rsidRPr="00397BAE">
        <w:rPr>
          <w:rFonts w:ascii="Traditional Arabic" w:eastAsia="Calibri" w:hAnsi="Traditional Arabic" w:cs="Traditional Arabic" w:hint="cs"/>
          <w:sz w:val="32"/>
          <w:szCs w:val="32"/>
          <w:rtl/>
          <w:lang w:val="en-US"/>
        </w:rPr>
        <w:t>عن</w:t>
      </w:r>
      <w:r w:rsidR="00013229" w:rsidRPr="00397BAE">
        <w:rPr>
          <w:rFonts w:ascii="Traditional Arabic" w:eastAsia="Calibri" w:hAnsi="Traditional Arabic" w:cs="Traditional Arabic"/>
          <w:sz w:val="32"/>
          <w:szCs w:val="32"/>
          <w:rtl/>
          <w:lang w:val="en-US"/>
        </w:rPr>
        <w:t xml:space="preserve"> الأمانة العامة لمجلس التعاون لدول الخليج العربية</w:t>
      </w:r>
      <w:r w:rsidR="00FB4006" w:rsidRPr="00397BAE">
        <w:rPr>
          <w:rFonts w:ascii="Traditional Arabic" w:eastAsia="Calibri" w:hAnsi="Traditional Arabic" w:cs="Traditional Arabic" w:hint="cs"/>
          <w:sz w:val="32"/>
          <w:szCs w:val="32"/>
          <w:rtl/>
          <w:lang w:val="en-US"/>
        </w:rPr>
        <w:t xml:space="preserve"> وتحت مض</w:t>
      </w:r>
      <w:r w:rsidR="00397BAE" w:rsidRPr="00397BAE">
        <w:rPr>
          <w:rFonts w:ascii="Traditional Arabic" w:eastAsia="Calibri" w:hAnsi="Traditional Arabic" w:cs="Traditional Arabic" w:hint="cs"/>
          <w:sz w:val="32"/>
          <w:szCs w:val="32"/>
          <w:rtl/>
          <w:lang w:val="en-US"/>
        </w:rPr>
        <w:t>لة مجلس التعاون الخليجي المشترك</w:t>
      </w:r>
      <w:r w:rsidR="00013229" w:rsidRPr="00397BAE">
        <w:rPr>
          <w:rFonts w:ascii="Traditional Arabic" w:eastAsia="Calibri" w:hAnsi="Traditional Arabic" w:cs="Traditional Arabic"/>
          <w:sz w:val="32"/>
          <w:szCs w:val="32"/>
          <w:rtl/>
          <w:lang w:val="en-US"/>
        </w:rPr>
        <w:t xml:space="preserve">، والتي تعمل ضمن منظومة العمل الخليجي المشترك وتخضع لإطار تنسيقي مؤسسي معتمد من قبل </w:t>
      </w:r>
      <w:r w:rsidR="00397BAE" w:rsidRPr="00397BAE">
        <w:rPr>
          <w:rFonts w:ascii="Traditional Arabic" w:eastAsia="Calibri" w:hAnsi="Traditional Arabic" w:cs="Traditional Arabic" w:hint="cs"/>
          <w:sz w:val="32"/>
          <w:szCs w:val="32"/>
          <w:rtl/>
          <w:lang w:val="en-US"/>
        </w:rPr>
        <w:t>مجلس التعاون الخليجي المشترك</w:t>
      </w:r>
      <w:r w:rsidR="00786EC0">
        <w:rPr>
          <w:rFonts w:ascii="Traditional Arabic" w:eastAsia="Calibri" w:hAnsi="Traditional Arabic" w:cs="Traditional Arabic"/>
          <w:sz w:val="32"/>
          <w:szCs w:val="32"/>
          <w:rtl/>
          <w:lang w:val="en-US"/>
        </w:rPr>
        <w:t xml:space="preserve">. </w:t>
      </w:r>
    </w:p>
    <w:p w14:paraId="26FA06C1" w14:textId="05565D22" w:rsidR="00786EC0" w:rsidRDefault="000C53FE" w:rsidP="000C53FE">
      <w:pPr>
        <w:bidi/>
        <w:spacing w:after="0" w:line="360" w:lineRule="auto"/>
        <w:ind w:left="720" w:firstLine="720"/>
        <w:contextualSpacing/>
        <w:jc w:val="both"/>
        <w:rPr>
          <w:rFonts w:ascii="Traditional Arabic" w:eastAsia="Calibri" w:hAnsi="Traditional Arabic" w:cs="Traditional Arabic"/>
          <w:sz w:val="32"/>
          <w:szCs w:val="32"/>
          <w:rtl/>
          <w:lang w:val="en-US"/>
        </w:rPr>
      </w:pPr>
      <w:r>
        <w:rPr>
          <w:rFonts w:ascii="Traditional Arabic" w:eastAsia="Calibri" w:hAnsi="Traditional Arabic" w:cs="Traditional Arabic" w:hint="cs"/>
          <w:sz w:val="32"/>
          <w:szCs w:val="32"/>
          <w:rtl/>
          <w:lang w:val="en-US"/>
        </w:rPr>
        <w:t xml:space="preserve">حسب </w:t>
      </w:r>
      <w:r w:rsidRPr="000C53FE">
        <w:rPr>
          <w:rFonts w:ascii="Traditional Arabic" w:eastAsia="Calibri" w:hAnsi="Traditional Arabic" w:cs="Traditional Arabic"/>
          <w:sz w:val="32"/>
          <w:szCs w:val="32"/>
          <w:rtl/>
          <w:lang w:val="en-US"/>
        </w:rPr>
        <w:t>المجلس الأعلى لدول الخليج العربية</w:t>
      </w:r>
      <w:r>
        <w:rPr>
          <w:rFonts w:ascii="Traditional Arabic" w:eastAsia="Calibri" w:hAnsi="Traditional Arabic" w:cs="Traditional Arabic" w:hint="cs"/>
          <w:sz w:val="32"/>
          <w:szCs w:val="32"/>
          <w:rtl/>
          <w:lang w:val="en-US"/>
        </w:rPr>
        <w:t>، (2025)</w:t>
      </w:r>
      <w:r w:rsidRPr="000C53FE">
        <w:rPr>
          <w:rFonts w:ascii="Traditional Arabic" w:eastAsia="Calibri" w:hAnsi="Traditional Arabic" w:cs="Traditional Arabic"/>
          <w:sz w:val="32"/>
          <w:szCs w:val="32"/>
          <w:rtl/>
          <w:lang w:val="en-US"/>
        </w:rPr>
        <w:t xml:space="preserve"> </w:t>
      </w:r>
      <w:r w:rsidR="00013229" w:rsidRPr="00397BAE">
        <w:rPr>
          <w:rFonts w:ascii="Traditional Arabic" w:eastAsia="Calibri" w:hAnsi="Traditional Arabic" w:cs="Traditional Arabic"/>
          <w:sz w:val="32"/>
          <w:szCs w:val="32"/>
          <w:rtl/>
          <w:lang w:val="en-US"/>
        </w:rPr>
        <w:t>تشمل هذه الكيانات كلًا من: المجلس الصحي الخليجي، المجلس النقدي الخليجي، هيئة التقييس الخليجية، هيئة ربط السكك الحديدية الخليجية، هيئة الربط الكهربائي الخليجي، شركة المدفوعات الخليجية، مكتب الإحصاء الخليجي، جهاز إذاعة وتلفزيون الخليج، مكتب العمل والشؤون الاجتماعية الخليجي، مؤسسة الإنتاج البرامجي المشترك، وهيئة الاتحاد الجمركي الخليجي</w:t>
      </w:r>
      <w:r w:rsidR="00013229" w:rsidRPr="00397BAE">
        <w:rPr>
          <w:rFonts w:ascii="Traditional Arabic" w:eastAsia="Calibri" w:hAnsi="Traditional Arabic" w:cs="Traditional Arabic"/>
          <w:sz w:val="32"/>
          <w:szCs w:val="32"/>
          <w:lang w:val="en-US"/>
        </w:rPr>
        <w:t>.</w:t>
      </w:r>
      <w:r w:rsidR="00013229" w:rsidRPr="00397BAE">
        <w:rPr>
          <w:rFonts w:ascii="Traditional Arabic" w:eastAsia="Calibri" w:hAnsi="Traditional Arabic" w:cs="Traditional Arabic" w:hint="cs"/>
          <w:sz w:val="32"/>
          <w:szCs w:val="32"/>
          <w:rtl/>
          <w:lang w:val="en-US" w:bidi="ar-JO"/>
        </w:rPr>
        <w:t xml:space="preserve"> </w:t>
      </w:r>
    </w:p>
    <w:p w14:paraId="10AC1F12" w14:textId="0F9F5B53" w:rsidR="000D1D6F" w:rsidRPr="00703F41" w:rsidRDefault="00013229" w:rsidP="00703F41">
      <w:pPr>
        <w:bidi/>
        <w:spacing w:after="0" w:line="360" w:lineRule="auto"/>
        <w:ind w:left="720" w:firstLine="720"/>
        <w:contextualSpacing/>
        <w:jc w:val="both"/>
        <w:rPr>
          <w:rFonts w:ascii="Traditional Arabic" w:eastAsia="Calibri" w:hAnsi="Traditional Arabic" w:cs="Traditional Arabic"/>
          <w:sz w:val="32"/>
          <w:szCs w:val="32"/>
          <w:lang w:val="en-US"/>
        </w:rPr>
      </w:pPr>
      <w:r w:rsidRPr="00397BAE">
        <w:rPr>
          <w:rFonts w:ascii="Traditional Arabic" w:eastAsia="Calibri" w:hAnsi="Traditional Arabic" w:cs="Traditional Arabic"/>
          <w:sz w:val="32"/>
          <w:szCs w:val="32"/>
          <w:rtl/>
          <w:lang w:val="en-US"/>
        </w:rPr>
        <w:t xml:space="preserve">يمثل هذا القيد المكاني الإطار الجغرافي والمؤسسي للدراسة، إذ يعكس خصائص بيئة عمل هذه </w:t>
      </w:r>
      <w:r w:rsidR="00B1427D" w:rsidRPr="00397BAE">
        <w:rPr>
          <w:rFonts w:ascii="Traditional Arabic" w:eastAsia="Calibri" w:hAnsi="Traditional Arabic" w:cs="Traditional Arabic" w:hint="cs"/>
          <w:sz w:val="32"/>
          <w:szCs w:val="32"/>
          <w:rtl/>
          <w:lang w:val="en-US"/>
        </w:rPr>
        <w:t>المنظمات</w:t>
      </w:r>
      <w:r w:rsidRPr="00397BAE">
        <w:rPr>
          <w:rFonts w:ascii="Traditional Arabic" w:eastAsia="Calibri" w:hAnsi="Traditional Arabic" w:cs="Traditional Arabic"/>
          <w:sz w:val="32"/>
          <w:szCs w:val="32"/>
          <w:rtl/>
          <w:lang w:val="en-US"/>
        </w:rPr>
        <w:t xml:space="preserve"> تحديدًا، بوصفها وحدات تمارس التخطيط الاستراتيجي وتشارك في تنسيق المبادرات والبرامج الخليجية المشتركة. وبناء على ذلك، فإن إمكانية تعميم نتائج الدراسة على مؤسسات خليجية أخرى—</w:t>
      </w:r>
      <w:r w:rsidRPr="00397BAE">
        <w:rPr>
          <w:rFonts w:ascii="Traditional Arabic" w:eastAsia="Calibri" w:hAnsi="Traditional Arabic" w:cs="Traditional Arabic"/>
          <w:sz w:val="32"/>
          <w:szCs w:val="32"/>
          <w:rtl/>
          <w:lang w:val="en-US"/>
        </w:rPr>
        <w:lastRenderedPageBreak/>
        <w:t xml:space="preserve">وطنية أو إقليمية غير مرتبطة </w:t>
      </w:r>
      <w:r w:rsidR="00B1427D" w:rsidRPr="00397BAE">
        <w:rPr>
          <w:rFonts w:ascii="Traditional Arabic" w:eastAsia="Calibri" w:hAnsi="Traditional Arabic" w:cs="Traditional Arabic" w:hint="cs"/>
          <w:sz w:val="32"/>
          <w:szCs w:val="32"/>
          <w:rtl/>
          <w:lang w:val="en-US"/>
        </w:rPr>
        <w:t>بمجلس</w:t>
      </w:r>
      <w:r w:rsidR="00FB4006" w:rsidRPr="00397BAE">
        <w:rPr>
          <w:rFonts w:ascii="Traditional Arabic" w:eastAsia="Calibri" w:hAnsi="Traditional Arabic" w:cs="Traditional Arabic"/>
          <w:sz w:val="32"/>
          <w:szCs w:val="32"/>
          <w:rtl/>
          <w:lang w:val="en-US"/>
        </w:rPr>
        <w:t xml:space="preserve"> التعاون لدول الخليج العربية </w:t>
      </w:r>
      <w:r w:rsidRPr="00397BAE">
        <w:rPr>
          <w:rFonts w:ascii="Traditional Arabic" w:eastAsia="Calibri" w:hAnsi="Traditional Arabic" w:cs="Traditional Arabic"/>
          <w:sz w:val="32"/>
          <w:szCs w:val="32"/>
          <w:rtl/>
          <w:lang w:val="en-US"/>
        </w:rPr>
        <w:t>—ستبقى محدودة بسبب اختلاف الهياكل التنظيمية والإطار التشغيلي الذي تعمل في نطاق</w:t>
      </w:r>
      <w:r w:rsidR="00FB4006" w:rsidRPr="00397BAE">
        <w:rPr>
          <w:rFonts w:ascii="Traditional Arabic" w:eastAsia="Calibri" w:hAnsi="Traditional Arabic" w:cs="Traditional Arabic" w:hint="cs"/>
          <w:sz w:val="32"/>
          <w:szCs w:val="32"/>
          <w:rtl/>
          <w:lang w:val="en-US"/>
        </w:rPr>
        <w:t>ه</w:t>
      </w:r>
      <w:r w:rsidRPr="00397BAE">
        <w:rPr>
          <w:rFonts w:ascii="Traditional Arabic" w:eastAsia="Calibri" w:hAnsi="Traditional Arabic" w:cs="Traditional Arabic"/>
          <w:sz w:val="32"/>
          <w:szCs w:val="32"/>
          <w:rtl/>
          <w:lang w:val="en-US"/>
        </w:rPr>
        <w:t xml:space="preserve"> تلك </w:t>
      </w:r>
      <w:r w:rsidR="00FB4006" w:rsidRPr="00397BAE">
        <w:rPr>
          <w:rFonts w:ascii="Traditional Arabic" w:eastAsia="Calibri" w:hAnsi="Traditional Arabic" w:cs="Traditional Arabic" w:hint="cs"/>
          <w:sz w:val="32"/>
          <w:szCs w:val="32"/>
          <w:rtl/>
          <w:lang w:val="en-US"/>
        </w:rPr>
        <w:t>المنظمات</w:t>
      </w:r>
      <w:r w:rsidRPr="00397BAE">
        <w:rPr>
          <w:rFonts w:ascii="Traditional Arabic" w:eastAsia="Calibri" w:hAnsi="Traditional Arabic" w:cs="Traditional Arabic"/>
          <w:sz w:val="32"/>
          <w:szCs w:val="32"/>
          <w:rtl/>
          <w:lang w:val="en-US"/>
        </w:rPr>
        <w:t xml:space="preserve"> مقارنة </w:t>
      </w:r>
      <w:r w:rsidR="00FB4006" w:rsidRPr="00397BAE">
        <w:rPr>
          <w:rFonts w:ascii="Traditional Arabic" w:eastAsia="Calibri" w:hAnsi="Traditional Arabic" w:cs="Traditional Arabic" w:hint="cs"/>
          <w:sz w:val="32"/>
          <w:szCs w:val="32"/>
          <w:rtl/>
          <w:lang w:val="en-US"/>
        </w:rPr>
        <w:t xml:space="preserve">بالمنظمات </w:t>
      </w:r>
      <w:r w:rsidR="00B1427D" w:rsidRPr="00397BAE">
        <w:rPr>
          <w:rFonts w:ascii="Traditional Arabic" w:eastAsia="Calibri" w:hAnsi="Traditional Arabic" w:cs="Traditional Arabic" w:hint="cs"/>
          <w:sz w:val="32"/>
          <w:szCs w:val="32"/>
          <w:rtl/>
          <w:lang w:val="en-US"/>
        </w:rPr>
        <w:t>ضمن</w:t>
      </w:r>
      <w:r w:rsidR="00FB4006" w:rsidRPr="00397BAE">
        <w:rPr>
          <w:rFonts w:ascii="Traditional Arabic" w:eastAsia="Calibri" w:hAnsi="Traditional Arabic" w:cs="Traditional Arabic" w:hint="cs"/>
          <w:sz w:val="32"/>
          <w:szCs w:val="32"/>
          <w:rtl/>
          <w:lang w:val="en-US"/>
        </w:rPr>
        <w:t xml:space="preserve"> </w:t>
      </w:r>
      <w:r w:rsidR="00B1427D" w:rsidRPr="00397BAE">
        <w:rPr>
          <w:rFonts w:ascii="Traditional Arabic" w:eastAsia="Calibri" w:hAnsi="Traditional Arabic" w:cs="Traditional Arabic" w:hint="cs"/>
          <w:sz w:val="32"/>
          <w:szCs w:val="32"/>
          <w:rtl/>
          <w:lang w:val="en-US"/>
        </w:rPr>
        <w:t>مضلة مجلس</w:t>
      </w:r>
      <w:r w:rsidR="00FB4006" w:rsidRPr="00397BAE">
        <w:rPr>
          <w:rFonts w:ascii="Traditional Arabic" w:eastAsia="Calibri" w:hAnsi="Traditional Arabic" w:cs="Traditional Arabic" w:hint="cs"/>
          <w:sz w:val="32"/>
          <w:szCs w:val="32"/>
          <w:rtl/>
          <w:lang w:val="en-US"/>
        </w:rPr>
        <w:t xml:space="preserve"> التعاون الخليجي المشترك.</w:t>
      </w:r>
    </w:p>
    <w:p w14:paraId="56EB6E3A" w14:textId="788B35E4" w:rsidR="00786EC0" w:rsidRPr="00703F41" w:rsidRDefault="00F72BC0" w:rsidP="00703F41">
      <w:pPr>
        <w:numPr>
          <w:ilvl w:val="0"/>
          <w:numId w:val="6"/>
        </w:numPr>
        <w:bidi/>
        <w:spacing w:after="0" w:line="360" w:lineRule="auto"/>
        <w:contextualSpacing/>
        <w:jc w:val="both"/>
        <w:rPr>
          <w:rFonts w:ascii="Traditional Arabic" w:eastAsia="Calibri" w:hAnsi="Traditional Arabic" w:cs="Traditional Arabic"/>
          <w:color w:val="000000"/>
          <w:sz w:val="36"/>
          <w:szCs w:val="36"/>
          <w:lang w:val="en-US"/>
        </w:rPr>
      </w:pPr>
      <w:r w:rsidRPr="00164D36">
        <w:rPr>
          <w:rFonts w:ascii="Traditional Arabic" w:eastAsia="Calibri" w:hAnsi="Traditional Arabic" w:cs="Traditional Arabic"/>
          <w:b/>
          <w:bCs/>
          <w:color w:val="000000"/>
          <w:sz w:val="32"/>
          <w:szCs w:val="32"/>
          <w:rtl/>
          <w:lang w:val="en-US"/>
        </w:rPr>
        <w:t>الحد</w:t>
      </w:r>
      <w:r w:rsidRPr="00EE0E2D">
        <w:rPr>
          <w:rFonts w:ascii="Traditional Arabic" w:eastAsia="Calibri" w:hAnsi="Traditional Arabic" w:cs="Traditional Arabic"/>
          <w:b/>
          <w:bCs/>
          <w:color w:val="000000"/>
          <w:sz w:val="32"/>
          <w:szCs w:val="32"/>
          <w:rtl/>
          <w:lang w:val="en-US"/>
        </w:rPr>
        <w:t>ود الزمانية</w:t>
      </w:r>
      <w:r w:rsidR="00734A9F" w:rsidRPr="00EE0E2D">
        <w:rPr>
          <w:rFonts w:ascii="Traditional Arabic" w:eastAsia="Calibri" w:hAnsi="Traditional Arabic" w:cs="Traditional Arabic" w:hint="cs"/>
          <w:color w:val="000000"/>
          <w:sz w:val="32"/>
          <w:szCs w:val="32"/>
          <w:rtl/>
          <w:lang w:val="en-US" w:bidi="ar-JO"/>
        </w:rPr>
        <w:t>:</w:t>
      </w:r>
      <w:r w:rsidRPr="00EE0E2D">
        <w:rPr>
          <w:rFonts w:ascii="Traditional Arabic" w:eastAsia="Calibri" w:hAnsi="Traditional Arabic" w:cs="Traditional Arabic"/>
          <w:color w:val="000000"/>
          <w:sz w:val="32"/>
          <w:szCs w:val="32"/>
          <w:lang w:val="en-US" w:bidi="ar-JO"/>
        </w:rPr>
        <w:t xml:space="preserve"> </w:t>
      </w:r>
      <w:r w:rsidRPr="00EE0E2D">
        <w:rPr>
          <w:rFonts w:ascii="Traditional Arabic" w:eastAsia="Calibri" w:hAnsi="Traditional Arabic" w:cs="Traditional Arabic" w:hint="cs"/>
          <w:color w:val="000000"/>
          <w:sz w:val="32"/>
          <w:szCs w:val="32"/>
          <w:rtl/>
          <w:lang w:val="en-US" w:bidi="ar-JO"/>
        </w:rPr>
        <w:t xml:space="preserve"> </w:t>
      </w:r>
      <w:r w:rsidR="009A607F" w:rsidRPr="00EE0E2D">
        <w:rPr>
          <w:rFonts w:ascii="Traditional Arabic" w:eastAsia="Calibri" w:hAnsi="Traditional Arabic" w:cs="Traditional Arabic"/>
          <w:color w:val="000000"/>
          <w:sz w:val="32"/>
          <w:szCs w:val="32"/>
          <w:rtl/>
          <w:lang w:val="en-US"/>
        </w:rPr>
        <w:t xml:space="preserve">تم تحديد الإطار الزمني </w:t>
      </w:r>
      <w:r w:rsidR="009A607F" w:rsidRPr="00017E38">
        <w:rPr>
          <w:rFonts w:ascii="Traditional Arabic" w:eastAsia="Calibri" w:hAnsi="Traditional Arabic" w:cs="Traditional Arabic"/>
          <w:color w:val="000000"/>
          <w:sz w:val="32"/>
          <w:szCs w:val="32"/>
          <w:rtl/>
          <w:lang w:val="en-US"/>
        </w:rPr>
        <w:t xml:space="preserve">للدراسة خلال الفترة الممتدة من مارس إلى أغسطس 2026، وهي الفترة التي سيجري خلالها جمع البيانات من </w:t>
      </w:r>
      <w:r w:rsidR="00EE0E2D" w:rsidRPr="00017E38">
        <w:rPr>
          <w:rFonts w:ascii="Traditional Arabic" w:eastAsia="Calibri" w:hAnsi="Traditional Arabic" w:cs="Traditional Arabic" w:hint="cs"/>
          <w:color w:val="000000"/>
          <w:sz w:val="32"/>
          <w:szCs w:val="32"/>
          <w:rtl/>
          <w:lang w:val="en-US"/>
        </w:rPr>
        <w:t>المنظمات</w:t>
      </w:r>
      <w:r w:rsidR="009A607F" w:rsidRPr="00017E38">
        <w:rPr>
          <w:rFonts w:ascii="Traditional Arabic" w:eastAsia="Calibri" w:hAnsi="Traditional Arabic" w:cs="Traditional Arabic"/>
          <w:color w:val="000000"/>
          <w:sz w:val="32"/>
          <w:szCs w:val="32"/>
          <w:rtl/>
          <w:lang w:val="en-US"/>
        </w:rPr>
        <w:t xml:space="preserve"> التابعة </w:t>
      </w:r>
      <w:r w:rsidR="00EE0E2D" w:rsidRPr="00017E38">
        <w:rPr>
          <w:rFonts w:ascii="Traditional Arabic" w:eastAsia="Calibri" w:hAnsi="Traditional Arabic" w:cs="Traditional Arabic" w:hint="cs"/>
          <w:color w:val="000000"/>
          <w:sz w:val="32"/>
          <w:szCs w:val="32"/>
          <w:rtl/>
          <w:lang w:val="en-US"/>
        </w:rPr>
        <w:t>ل</w:t>
      </w:r>
      <w:r w:rsidR="009A607F" w:rsidRPr="00017E38">
        <w:rPr>
          <w:rFonts w:ascii="Traditional Arabic" w:eastAsia="Calibri" w:hAnsi="Traditional Arabic" w:cs="Traditional Arabic"/>
          <w:color w:val="000000"/>
          <w:sz w:val="32"/>
          <w:szCs w:val="32"/>
          <w:rtl/>
          <w:lang w:val="en-US"/>
        </w:rPr>
        <w:t>مجلس التعاون لدول الخليج العربية.</w:t>
      </w:r>
      <w:r w:rsidR="009A607F" w:rsidRPr="00EE0E2D">
        <w:rPr>
          <w:rFonts w:ascii="Traditional Arabic" w:eastAsia="Calibri" w:hAnsi="Traditional Arabic" w:cs="Traditional Arabic"/>
          <w:color w:val="000000"/>
          <w:sz w:val="32"/>
          <w:szCs w:val="32"/>
          <w:rtl/>
          <w:lang w:val="en-US"/>
        </w:rPr>
        <w:t xml:space="preserve"> ويعتمد اختيار هذه المدة الزمنية على كونها تمثل دورة عمل استراتيجية سنوية تتضمن تحديث الخطط ومراجعة المبادرات المشتركة، مما يجعلها مناسبة لقياس مستوى نضج التخطيط الاستراتيجي والتكامل المؤسسي في سياق زمني فعلي يعكس إجراءات التخطيط والمتابعة المعتمدة. وبناءً على ذلك، </w:t>
      </w:r>
      <w:r w:rsidR="00703F41" w:rsidRPr="008917EC">
        <w:rPr>
          <w:rFonts w:ascii="Traditional Arabic" w:eastAsia="Calibri" w:hAnsi="Traditional Arabic" w:cs="Traditional Arabic"/>
          <w:color w:val="000000"/>
          <w:sz w:val="32"/>
          <w:szCs w:val="32"/>
          <w:rtl/>
          <w:lang w:val="en-US"/>
        </w:rPr>
        <w:t>فإن النتائج التي ستخلص إليها الدراسة ستكون مرتبطة بهذه الفترة الزمنية تحديدًا، وقد تختلف في حال إعادة تنفيذ الدراسة في دورات زمنية لاحقة أو في سياقات تخطيطية مختلفة</w:t>
      </w:r>
      <w:r w:rsidR="00703F41" w:rsidRPr="008917EC">
        <w:rPr>
          <w:rFonts w:ascii="Traditional Arabic" w:eastAsia="Calibri" w:hAnsi="Traditional Arabic" w:cs="Traditional Arabic"/>
          <w:color w:val="000000"/>
          <w:sz w:val="32"/>
          <w:szCs w:val="32"/>
          <w:lang w:bidi="ar-JO"/>
        </w:rPr>
        <w:t>.</w:t>
      </w:r>
    </w:p>
    <w:p w14:paraId="038053C0" w14:textId="77777777" w:rsidR="00013229" w:rsidRPr="00397BAE" w:rsidRDefault="00F72BC0" w:rsidP="00013229">
      <w:pPr>
        <w:numPr>
          <w:ilvl w:val="0"/>
          <w:numId w:val="6"/>
        </w:numPr>
        <w:bidi/>
        <w:spacing w:line="360" w:lineRule="auto"/>
        <w:contextualSpacing/>
        <w:jc w:val="both"/>
        <w:rPr>
          <w:rFonts w:ascii="Traditional Arabic" w:eastAsia="Calibri" w:hAnsi="Traditional Arabic" w:cs="Traditional Arabic"/>
          <w:sz w:val="32"/>
          <w:szCs w:val="32"/>
          <w:lang w:val="en-US"/>
        </w:rPr>
      </w:pPr>
      <w:r w:rsidRPr="00397BAE">
        <w:rPr>
          <w:rFonts w:ascii="Traditional Arabic" w:eastAsia="Calibri" w:hAnsi="Traditional Arabic" w:cs="Traditional Arabic"/>
          <w:b/>
          <w:bCs/>
          <w:sz w:val="32"/>
          <w:szCs w:val="32"/>
          <w:rtl/>
          <w:lang w:val="en-US"/>
        </w:rPr>
        <w:t>الحدود البشرية</w:t>
      </w:r>
      <w:r w:rsidR="00734A9F" w:rsidRPr="00397BAE">
        <w:rPr>
          <w:rFonts w:ascii="Traditional Arabic" w:eastAsia="Calibri" w:hAnsi="Traditional Arabic" w:cs="Traditional Arabic" w:hint="cs"/>
          <w:b/>
          <w:bCs/>
          <w:sz w:val="32"/>
          <w:szCs w:val="32"/>
          <w:rtl/>
          <w:lang w:val="en-US" w:bidi="ar-JO"/>
        </w:rPr>
        <w:t>:</w:t>
      </w:r>
      <w:r w:rsidR="00013229" w:rsidRPr="00397BAE">
        <w:rPr>
          <w:rFonts w:ascii="Traditional Arabic" w:eastAsia="Calibri" w:hAnsi="Traditional Arabic" w:cs="Traditional Arabic" w:hint="cs"/>
          <w:sz w:val="32"/>
          <w:szCs w:val="32"/>
          <w:rtl/>
          <w:lang w:val="en-US" w:bidi="ar-JO"/>
        </w:rPr>
        <w:t xml:space="preserve"> </w:t>
      </w:r>
      <w:r w:rsidR="00013229" w:rsidRPr="00397BAE">
        <w:rPr>
          <w:rFonts w:ascii="Traditional Arabic" w:eastAsia="Calibri" w:hAnsi="Traditional Arabic" w:cs="Traditional Arabic"/>
          <w:sz w:val="32"/>
          <w:szCs w:val="32"/>
          <w:rtl/>
          <w:lang w:val="en-US"/>
        </w:rPr>
        <w:t>تعتمد هذه الدراسة على معاينة طبقية ثنائية المستويات لضمان تمثيل شامل ودقيق لمجتمع الدراسة، وذلك على النحو الآتي</w:t>
      </w:r>
      <w:r w:rsidR="00013229" w:rsidRPr="00397BAE">
        <w:rPr>
          <w:rFonts w:ascii="Traditional Arabic" w:eastAsia="Calibri" w:hAnsi="Traditional Arabic" w:cs="Traditional Arabic"/>
          <w:sz w:val="32"/>
          <w:szCs w:val="32"/>
          <w:lang w:val="en-US"/>
        </w:rPr>
        <w:t>:</w:t>
      </w:r>
    </w:p>
    <w:p w14:paraId="6D19A013" w14:textId="6F79CBAB" w:rsidR="00013229" w:rsidRPr="00397BAE" w:rsidRDefault="00013229" w:rsidP="00013229">
      <w:pPr>
        <w:pStyle w:val="ListParagraph"/>
        <w:numPr>
          <w:ilvl w:val="0"/>
          <w:numId w:val="11"/>
        </w:numPr>
        <w:spacing w:line="360" w:lineRule="auto"/>
        <w:jc w:val="both"/>
        <w:rPr>
          <w:rFonts w:ascii="Traditional Arabic" w:eastAsia="Calibri" w:hAnsi="Traditional Arabic" w:cs="Traditional Arabic"/>
          <w:sz w:val="32"/>
          <w:szCs w:val="32"/>
        </w:rPr>
      </w:pPr>
      <w:r w:rsidRPr="00397BAE">
        <w:rPr>
          <w:rFonts w:ascii="Traditional Arabic" w:eastAsia="Calibri" w:hAnsi="Traditional Arabic" w:cs="Traditional Arabic"/>
          <w:sz w:val="32"/>
          <w:szCs w:val="32"/>
          <w:rtl/>
        </w:rPr>
        <w:t>طبقة المنظمات</w:t>
      </w:r>
      <w:r w:rsidRPr="00397BAE">
        <w:rPr>
          <w:rFonts w:ascii="Traditional Arabic" w:eastAsia="Calibri" w:hAnsi="Traditional Arabic" w:cs="Traditional Arabic"/>
          <w:sz w:val="32"/>
          <w:szCs w:val="32"/>
        </w:rPr>
        <w:t xml:space="preserve">: </w:t>
      </w:r>
      <w:r w:rsidRPr="00397BAE">
        <w:rPr>
          <w:rFonts w:ascii="Traditional Arabic" w:eastAsia="Calibri" w:hAnsi="Traditional Arabic" w:cs="Traditional Arabic"/>
          <w:sz w:val="32"/>
          <w:szCs w:val="32"/>
          <w:rtl/>
        </w:rPr>
        <w:t xml:space="preserve">وتشمل </w:t>
      </w:r>
      <w:r w:rsidR="00F51004" w:rsidRPr="00397BAE">
        <w:rPr>
          <w:rFonts w:ascii="Traditional Arabic" w:eastAsia="Calibri" w:hAnsi="Traditional Arabic" w:cs="Traditional Arabic"/>
          <w:sz w:val="32"/>
          <w:szCs w:val="32"/>
          <w:rtl/>
        </w:rPr>
        <w:t xml:space="preserve">الهيئات والمجالس والمكاتب المستقلة </w:t>
      </w:r>
      <w:r w:rsidR="00F51004" w:rsidRPr="00397BAE">
        <w:rPr>
          <w:rFonts w:ascii="Traditional Arabic" w:eastAsia="Calibri" w:hAnsi="Traditional Arabic" w:cs="Traditional Arabic" w:hint="cs"/>
          <w:sz w:val="32"/>
          <w:szCs w:val="32"/>
          <w:rtl/>
        </w:rPr>
        <w:t>عن</w:t>
      </w:r>
      <w:r w:rsidR="00F51004" w:rsidRPr="00397BAE">
        <w:rPr>
          <w:rFonts w:ascii="Traditional Arabic" w:eastAsia="Calibri" w:hAnsi="Traditional Arabic" w:cs="Traditional Arabic"/>
          <w:sz w:val="32"/>
          <w:szCs w:val="32"/>
          <w:rtl/>
        </w:rPr>
        <w:t xml:space="preserve"> الأمانة العامة لمجلس التعاون لدول الخليج العربية</w:t>
      </w:r>
      <w:r w:rsidR="00F51004" w:rsidRPr="00397BAE">
        <w:rPr>
          <w:rFonts w:ascii="Traditional Arabic" w:eastAsia="Calibri" w:hAnsi="Traditional Arabic" w:cs="Traditional Arabic" w:hint="cs"/>
          <w:sz w:val="32"/>
          <w:szCs w:val="32"/>
          <w:rtl/>
        </w:rPr>
        <w:t xml:space="preserve"> وتحت مضلة مجلس التعاون الخليجي المشترك</w:t>
      </w:r>
      <w:r w:rsidR="00F51004" w:rsidRPr="00397BAE">
        <w:rPr>
          <w:rFonts w:ascii="Traditional Arabic" w:eastAsia="Calibri" w:hAnsi="Traditional Arabic" w:cs="Traditional Arabic"/>
          <w:sz w:val="32"/>
          <w:szCs w:val="32"/>
          <w:rtl/>
        </w:rPr>
        <w:t xml:space="preserve"> </w:t>
      </w:r>
      <w:r w:rsidRPr="00397BAE">
        <w:rPr>
          <w:rFonts w:ascii="Traditional Arabic" w:eastAsia="Calibri" w:hAnsi="Traditional Arabic" w:cs="Traditional Arabic"/>
          <w:sz w:val="32"/>
          <w:szCs w:val="32"/>
          <w:rtl/>
        </w:rPr>
        <w:t>، وهي الوحدات المؤسسية الرئيسة التي تمثل مجتمع الدراسة وتمارس أدوارًا مباشرة في التخطيط الاستراتيجي والتكامل المؤسسي ضمن منظومة العمل الخليجي المشترك</w:t>
      </w:r>
      <w:r w:rsidRPr="00397BAE">
        <w:rPr>
          <w:rFonts w:ascii="Traditional Arabic" w:eastAsia="Calibri" w:hAnsi="Traditional Arabic" w:cs="Traditional Arabic"/>
          <w:sz w:val="32"/>
          <w:szCs w:val="32"/>
        </w:rPr>
        <w:t>.</w:t>
      </w:r>
    </w:p>
    <w:p w14:paraId="0B1EE301" w14:textId="1300F13F" w:rsidR="00013229" w:rsidRPr="00397BAE" w:rsidRDefault="00013229" w:rsidP="00397BAE">
      <w:pPr>
        <w:pStyle w:val="ListParagraph"/>
        <w:numPr>
          <w:ilvl w:val="0"/>
          <w:numId w:val="11"/>
        </w:numPr>
        <w:spacing w:line="360" w:lineRule="auto"/>
        <w:jc w:val="both"/>
        <w:rPr>
          <w:rFonts w:ascii="Traditional Arabic" w:eastAsia="Calibri" w:hAnsi="Traditional Arabic" w:cs="Traditional Arabic"/>
          <w:sz w:val="32"/>
          <w:szCs w:val="32"/>
        </w:rPr>
      </w:pPr>
      <w:r w:rsidRPr="00397BAE">
        <w:rPr>
          <w:rFonts w:ascii="Traditional Arabic" w:eastAsia="Calibri" w:hAnsi="Traditional Arabic" w:cs="Traditional Arabic"/>
          <w:sz w:val="32"/>
          <w:szCs w:val="32"/>
          <w:rtl/>
        </w:rPr>
        <w:t xml:space="preserve">طبقة المستويات الوظيفية: وتشمل جميع شاغلي المناصب القيادية والتنفيذية ذات العلاقة المباشرة بعمليات التخطيط والتنسيق المؤسسي داخل كل </w:t>
      </w:r>
      <w:r w:rsidR="00D312E8" w:rsidRPr="00397BAE">
        <w:rPr>
          <w:rFonts w:ascii="Traditional Arabic" w:eastAsia="Calibri" w:hAnsi="Traditional Arabic" w:cs="Traditional Arabic" w:hint="cs"/>
          <w:sz w:val="32"/>
          <w:szCs w:val="32"/>
          <w:rtl/>
        </w:rPr>
        <w:t>منظمة</w:t>
      </w:r>
      <w:r w:rsidRPr="00397BAE">
        <w:rPr>
          <w:rFonts w:ascii="Traditional Arabic" w:eastAsia="Calibri" w:hAnsi="Traditional Arabic" w:cs="Traditional Arabic"/>
          <w:sz w:val="32"/>
          <w:szCs w:val="32"/>
          <w:rtl/>
        </w:rPr>
        <w:t xml:space="preserve">، وهم: الأمناء والمديرون التنفيذيون، </w:t>
      </w:r>
      <w:r w:rsidRPr="00397BAE">
        <w:rPr>
          <w:rFonts w:ascii="Traditional Arabic" w:eastAsia="Calibri" w:hAnsi="Traditional Arabic" w:cs="Traditional Arabic"/>
          <w:sz w:val="32"/>
          <w:szCs w:val="32"/>
          <w:rtl/>
        </w:rPr>
        <w:lastRenderedPageBreak/>
        <w:t>نوابهم، مدراء الإدارات، ورؤساء الوحدات المعنية بالتخطيط الاستراتيجي، وإدارة البرامج، والمتابعة والتقييم، والجودة</w:t>
      </w:r>
      <w:r w:rsidR="00397BAE" w:rsidRPr="00397BAE">
        <w:rPr>
          <w:rFonts w:ascii="Traditional Arabic" w:eastAsia="Calibri" w:hAnsi="Traditional Arabic" w:cs="Traditional Arabic"/>
          <w:sz w:val="32"/>
          <w:szCs w:val="32"/>
        </w:rPr>
        <w:t>.</w:t>
      </w:r>
    </w:p>
    <w:p w14:paraId="3AF758A2" w14:textId="514E9AF4" w:rsidR="00013229" w:rsidRPr="00397BAE" w:rsidRDefault="00013229" w:rsidP="00013229">
      <w:pPr>
        <w:bidi/>
        <w:spacing w:after="0" w:line="360" w:lineRule="auto"/>
        <w:ind w:left="720" w:firstLine="720"/>
        <w:contextualSpacing/>
        <w:jc w:val="both"/>
        <w:rPr>
          <w:rFonts w:ascii="Traditional Arabic" w:eastAsia="Calibri" w:hAnsi="Traditional Arabic" w:cs="Traditional Arabic"/>
          <w:sz w:val="32"/>
          <w:szCs w:val="32"/>
          <w:rtl/>
          <w:lang w:val="en-US" w:bidi="ar-JO"/>
        </w:rPr>
      </w:pPr>
      <w:r w:rsidRPr="00397BAE">
        <w:rPr>
          <w:rFonts w:ascii="Traditional Arabic" w:eastAsia="Calibri" w:hAnsi="Traditional Arabic" w:cs="Traditional Arabic"/>
          <w:sz w:val="32"/>
          <w:szCs w:val="32"/>
          <w:rtl/>
          <w:lang w:val="en-US"/>
        </w:rPr>
        <w:t xml:space="preserve">نظرًا لكون عدد هذه </w:t>
      </w:r>
      <w:r w:rsidR="00D312E8" w:rsidRPr="00397BAE">
        <w:rPr>
          <w:rFonts w:ascii="Traditional Arabic" w:eastAsia="Calibri" w:hAnsi="Traditional Arabic" w:cs="Traditional Arabic" w:hint="cs"/>
          <w:sz w:val="32"/>
          <w:szCs w:val="32"/>
          <w:rtl/>
          <w:lang w:val="en-US"/>
        </w:rPr>
        <w:t>المنظمات</w:t>
      </w:r>
      <w:r w:rsidRPr="00397BAE">
        <w:rPr>
          <w:rFonts w:ascii="Traditional Arabic" w:eastAsia="Calibri" w:hAnsi="Traditional Arabic" w:cs="Traditional Arabic"/>
          <w:sz w:val="32"/>
          <w:szCs w:val="32"/>
          <w:rtl/>
          <w:lang w:val="en-US"/>
        </w:rPr>
        <w:t xml:space="preserve"> محدودًا، ولأن الفئات الوظيفية المستهدفة داخل كل </w:t>
      </w:r>
      <w:r w:rsidR="00D312E8" w:rsidRPr="00397BAE">
        <w:rPr>
          <w:rFonts w:ascii="Traditional Arabic" w:eastAsia="Calibri" w:hAnsi="Traditional Arabic" w:cs="Traditional Arabic" w:hint="cs"/>
          <w:sz w:val="32"/>
          <w:szCs w:val="32"/>
          <w:rtl/>
          <w:lang w:val="en-US"/>
        </w:rPr>
        <w:t>منها</w:t>
      </w:r>
      <w:r w:rsidRPr="00397BAE">
        <w:rPr>
          <w:rFonts w:ascii="Traditional Arabic" w:eastAsia="Calibri" w:hAnsi="Traditional Arabic" w:cs="Traditional Arabic"/>
          <w:sz w:val="32"/>
          <w:szCs w:val="32"/>
          <w:rtl/>
          <w:lang w:val="en-US"/>
        </w:rPr>
        <w:t xml:space="preserve"> قليلة نسبيًا وتمثل أصحاب القرار والمسؤولين بصورة مباشرة عن عمليات التخطيط والتكامل، فقد اعتمدت الدراسة أسلوب التعداد الشامل داخل كل </w:t>
      </w:r>
      <w:r w:rsidR="00D312E8" w:rsidRPr="00397BAE">
        <w:rPr>
          <w:rFonts w:ascii="Traditional Arabic" w:eastAsia="Calibri" w:hAnsi="Traditional Arabic" w:cs="Traditional Arabic" w:hint="cs"/>
          <w:sz w:val="32"/>
          <w:szCs w:val="32"/>
          <w:rtl/>
          <w:lang w:val="en-US"/>
        </w:rPr>
        <w:t>منظمة</w:t>
      </w:r>
      <w:r w:rsidRPr="00397BAE">
        <w:rPr>
          <w:rFonts w:ascii="Traditional Arabic" w:eastAsia="Calibri" w:hAnsi="Traditional Arabic" w:cs="Traditional Arabic"/>
          <w:sz w:val="32"/>
          <w:szCs w:val="32"/>
          <w:rtl/>
          <w:lang w:val="en-US"/>
        </w:rPr>
        <w:t>، بحيث يتم استهداف جميع القيادات ذات الصلة دون اللجوء إلى نسب مئوية أو عينات جزئية. ويضمن هذا الأسلوب تمثيلًا مؤسسيًا كاملاً للفئات المسؤولة عن التخطيط، ويعزز من دقة النتائج وقوتها التفسيرية</w:t>
      </w:r>
      <w:r w:rsidRPr="00397BAE">
        <w:rPr>
          <w:rFonts w:ascii="Traditional Arabic" w:eastAsia="Calibri" w:hAnsi="Traditional Arabic" w:cs="Traditional Arabic"/>
          <w:sz w:val="32"/>
          <w:szCs w:val="32"/>
          <w:lang w:val="en-US"/>
        </w:rPr>
        <w:t>.</w:t>
      </w:r>
    </w:p>
    <w:p w14:paraId="20F0839C" w14:textId="6F7F3D6A" w:rsidR="00786EC0" w:rsidRPr="00397BAE" w:rsidRDefault="00013229" w:rsidP="00703F41">
      <w:pPr>
        <w:bidi/>
        <w:spacing w:after="0" w:line="360" w:lineRule="auto"/>
        <w:ind w:left="720" w:firstLine="720"/>
        <w:contextualSpacing/>
        <w:jc w:val="both"/>
        <w:rPr>
          <w:rFonts w:ascii="Traditional Arabic" w:eastAsia="Calibri" w:hAnsi="Traditional Arabic" w:cs="Traditional Arabic"/>
          <w:sz w:val="32"/>
          <w:szCs w:val="32"/>
          <w:lang w:val="en-US"/>
        </w:rPr>
      </w:pPr>
      <w:r w:rsidRPr="00397BAE">
        <w:rPr>
          <w:rFonts w:ascii="Traditional Arabic" w:eastAsia="Calibri" w:hAnsi="Traditional Arabic" w:cs="Traditional Arabic"/>
          <w:sz w:val="32"/>
          <w:szCs w:val="32"/>
          <w:rtl/>
          <w:lang w:val="en-US"/>
        </w:rPr>
        <w:t>وبناءً على ذلك، فإن نتائج الدراسة ستعكس بدقة خصائص هذه الفئات القيادية والتنفيذية تحديدًا، ولا يمكن تعميمها على الموظفين خارج نطاق الوحدات أو المستويات الوظيفية التي شملتها المعاينة</w:t>
      </w:r>
      <w:r w:rsidRPr="00397BAE">
        <w:rPr>
          <w:rFonts w:ascii="Traditional Arabic" w:eastAsia="Calibri" w:hAnsi="Traditional Arabic" w:cs="Traditional Arabic"/>
          <w:sz w:val="32"/>
          <w:szCs w:val="32"/>
          <w:lang w:val="en-US"/>
        </w:rPr>
        <w:t>.</w:t>
      </w:r>
    </w:p>
    <w:p w14:paraId="08B5C551" w14:textId="77777777" w:rsidR="00F72BC0" w:rsidRPr="002068E6" w:rsidRDefault="00F72BC0" w:rsidP="00013229">
      <w:pPr>
        <w:numPr>
          <w:ilvl w:val="0"/>
          <w:numId w:val="6"/>
        </w:numPr>
        <w:bidi/>
        <w:spacing w:after="0" w:line="360" w:lineRule="auto"/>
        <w:contextualSpacing/>
        <w:rPr>
          <w:rFonts w:ascii="Traditional Arabic" w:eastAsia="Calibri" w:hAnsi="Traditional Arabic" w:cs="Traditional Arabic"/>
          <w:color w:val="000000"/>
          <w:sz w:val="32"/>
          <w:szCs w:val="32"/>
          <w:lang w:val="en-US"/>
        </w:rPr>
      </w:pPr>
      <w:r w:rsidRPr="008917EC">
        <w:rPr>
          <w:rFonts w:ascii="Traditional Arabic" w:eastAsia="Calibri" w:hAnsi="Traditional Arabic" w:cs="Traditional Arabic"/>
          <w:b/>
          <w:bCs/>
          <w:color w:val="000000"/>
          <w:sz w:val="32"/>
          <w:szCs w:val="32"/>
          <w:rtl/>
          <w:lang w:val="en-US"/>
        </w:rPr>
        <w:t>الحدود الموضوعية</w:t>
      </w:r>
      <w:r w:rsidR="00734A9F" w:rsidRPr="008917EC">
        <w:rPr>
          <w:rFonts w:ascii="Traditional Arabic" w:eastAsia="Calibri" w:hAnsi="Traditional Arabic" w:cs="Traditional Arabic" w:hint="cs"/>
          <w:b/>
          <w:bCs/>
          <w:color w:val="000000"/>
          <w:sz w:val="32"/>
          <w:szCs w:val="32"/>
          <w:rtl/>
          <w:lang w:val="en-US" w:bidi="ar-JO"/>
        </w:rPr>
        <w:t>:</w:t>
      </w:r>
      <w:r w:rsidRPr="008917EC">
        <w:rPr>
          <w:rFonts w:ascii="Traditional Arabic" w:eastAsia="Calibri" w:hAnsi="Traditional Arabic" w:cs="Traditional Arabic"/>
          <w:b/>
          <w:bCs/>
          <w:color w:val="000000"/>
          <w:sz w:val="32"/>
          <w:szCs w:val="32"/>
          <w:lang w:val="en-US" w:bidi="ar-JO"/>
        </w:rPr>
        <w:t xml:space="preserve"> </w:t>
      </w:r>
      <w:r w:rsidR="009A607F" w:rsidRPr="008917EC">
        <w:rPr>
          <w:rFonts w:ascii="Traditional Arabic" w:eastAsia="Calibri" w:hAnsi="Traditional Arabic" w:cs="Traditional Arabic"/>
          <w:color w:val="000000"/>
          <w:sz w:val="32"/>
          <w:szCs w:val="32"/>
          <w:rtl/>
          <w:lang w:val="en-US"/>
        </w:rPr>
        <w:t>تقتصر هذه الدراسة من حيث حدودها الموضوعية على تحليل نضج التخطيط الاستراتيجي بأبعاده الخمسة، وقياس أثره في التكامل المؤسسي داخل الهيئات والمراكز التابعة للأمانة العامة لمجلس التعاون لدول الخليج العربية، دون التطرق إلى الجوانب القانونية أو السياسية أو الدبلوماسية المرتبطة بعمل المجلس. ويؤثر هذا الاستبعاد على نطاق تعميم النتائج بحيث يحدّ من إمكانية استخدامها في تفسير التكامل القائم على اعتبارات تشريعية أو سياسية، نظرًا لتركّز الدراسة على الجوانب الإدارية والتنظيمية فحسب</w:t>
      </w:r>
      <w:r w:rsidR="009A607F" w:rsidRPr="008917EC">
        <w:rPr>
          <w:rFonts w:ascii="Traditional Arabic" w:eastAsia="Calibri" w:hAnsi="Traditional Arabic" w:cs="Traditional Arabic"/>
          <w:color w:val="000000"/>
          <w:sz w:val="32"/>
          <w:szCs w:val="32"/>
          <w:lang w:val="en-US"/>
        </w:rPr>
        <w:t>.</w:t>
      </w:r>
    </w:p>
    <w:p w14:paraId="257B4D9A" w14:textId="04216B5B" w:rsidR="00A857C7" w:rsidRPr="003122C5" w:rsidRDefault="00F72BC0" w:rsidP="00703F41">
      <w:pPr>
        <w:pStyle w:val="ListParagraph"/>
        <w:numPr>
          <w:ilvl w:val="0"/>
          <w:numId w:val="6"/>
        </w:numPr>
        <w:spacing w:line="360" w:lineRule="auto"/>
        <w:jc w:val="both"/>
        <w:rPr>
          <w:rFonts w:ascii="Traditional Arabic" w:eastAsia="Calibri" w:hAnsi="Traditional Arabic" w:cs="Traditional Arabic"/>
          <w:color w:val="000000"/>
          <w:sz w:val="32"/>
          <w:szCs w:val="32"/>
        </w:rPr>
      </w:pPr>
      <w:r w:rsidRPr="003122C5">
        <w:rPr>
          <w:rFonts w:ascii="Traditional Arabic" w:eastAsia="Calibri" w:hAnsi="Traditional Arabic" w:cs="Traditional Arabic"/>
          <w:b/>
          <w:bCs/>
          <w:color w:val="000000"/>
          <w:sz w:val="32"/>
          <w:szCs w:val="32"/>
          <w:rtl/>
        </w:rPr>
        <w:t>الحدود المنهجية</w:t>
      </w:r>
      <w:r w:rsidR="00734A9F" w:rsidRPr="003122C5">
        <w:rPr>
          <w:rFonts w:ascii="Traditional Arabic" w:eastAsia="Calibri" w:hAnsi="Traditional Arabic" w:cs="Traditional Arabic" w:hint="cs"/>
          <w:b/>
          <w:bCs/>
          <w:color w:val="000000"/>
          <w:sz w:val="32"/>
          <w:szCs w:val="32"/>
          <w:rtl/>
          <w:lang w:bidi="ar-JO"/>
        </w:rPr>
        <w:t>:</w:t>
      </w:r>
      <w:r w:rsidRPr="003122C5">
        <w:rPr>
          <w:rFonts w:ascii="Traditional Arabic" w:eastAsia="Calibri" w:hAnsi="Traditional Arabic" w:cs="Traditional Arabic"/>
          <w:color w:val="000000"/>
          <w:sz w:val="32"/>
          <w:szCs w:val="32"/>
          <w:lang w:bidi="ar-JO"/>
        </w:rPr>
        <w:t xml:space="preserve"> </w:t>
      </w:r>
      <w:bookmarkEnd w:id="5"/>
      <w:r w:rsidR="00C04087" w:rsidRPr="003122C5">
        <w:rPr>
          <w:rFonts w:ascii="Traditional Arabic" w:eastAsia="Calibri" w:hAnsi="Traditional Arabic" w:cs="Traditional Arabic"/>
          <w:color w:val="000000"/>
          <w:sz w:val="32"/>
          <w:szCs w:val="32"/>
          <w:rtl/>
        </w:rPr>
        <w:t>تتبنى الدراسة تصميمًا مقطعيًا</w:t>
      </w:r>
      <w:r w:rsidR="00C04087" w:rsidRPr="003122C5">
        <w:rPr>
          <w:rFonts w:ascii="Traditional Arabic" w:eastAsia="Calibri" w:hAnsi="Traditional Arabic" w:cs="Traditional Arabic"/>
          <w:color w:val="000000"/>
          <w:sz w:val="32"/>
          <w:szCs w:val="32"/>
          <w:lang w:val="en-GB"/>
        </w:rPr>
        <w:t xml:space="preserve"> (Cross-Sectional Design) </w:t>
      </w:r>
      <w:r w:rsidR="00C04087" w:rsidRPr="003122C5">
        <w:rPr>
          <w:rFonts w:ascii="Traditional Arabic" w:eastAsia="Calibri" w:hAnsi="Traditional Arabic" w:cs="Traditional Arabic"/>
          <w:color w:val="000000"/>
          <w:sz w:val="32"/>
          <w:szCs w:val="32"/>
          <w:rtl/>
        </w:rPr>
        <w:t xml:space="preserve">يعتمد على استبانة موجهة للعاملين في المستويات الإدارية ذات العلاقة بعمليات التخطيط والتنسيق المؤسسي. ويُعد هذا التصميم مناسبًا لقياس العلاقات كما هي في لحظة زمنية واحدة، إلا أنه بطبيعته لا يسمح باستنتاج السببية </w:t>
      </w:r>
      <w:r w:rsidR="00C04087" w:rsidRPr="003122C5">
        <w:rPr>
          <w:rFonts w:ascii="Traditional Arabic" w:eastAsia="Calibri" w:hAnsi="Traditional Arabic" w:cs="Traditional Arabic"/>
          <w:color w:val="000000"/>
          <w:sz w:val="32"/>
          <w:szCs w:val="32"/>
          <w:rtl/>
        </w:rPr>
        <w:lastRenderedPageBreak/>
        <w:t>الزمنية أو تتبع التغيرات في مستوى نضج التخطيط أو التكامل المؤسسي عبر الزمن</w:t>
      </w:r>
      <w:r w:rsidR="00C04087" w:rsidRPr="003122C5">
        <w:rPr>
          <w:rFonts w:ascii="Traditional Arabic" w:eastAsia="Calibri" w:hAnsi="Traditional Arabic" w:cs="Traditional Arabic"/>
          <w:color w:val="000000"/>
          <w:sz w:val="32"/>
          <w:szCs w:val="32"/>
          <w:lang w:val="en-GB"/>
        </w:rPr>
        <w:t xml:space="preserve">. </w:t>
      </w:r>
      <w:r w:rsidR="00C04087" w:rsidRPr="003122C5">
        <w:rPr>
          <w:rFonts w:ascii="Traditional Arabic" w:eastAsia="Calibri" w:hAnsi="Traditional Arabic" w:cs="Traditional Arabic"/>
          <w:color w:val="000000"/>
          <w:sz w:val="32"/>
          <w:szCs w:val="32"/>
          <w:rtl/>
        </w:rPr>
        <w:t>وبناءً على ذلك، توصي الدراسة بأن تتجه البحوث المستقبلية إلى استخدام تصميم طولي</w:t>
      </w:r>
      <w:r w:rsidR="00C04087" w:rsidRPr="003122C5">
        <w:rPr>
          <w:rFonts w:ascii="Traditional Arabic" w:eastAsia="Calibri" w:hAnsi="Traditional Arabic" w:cs="Traditional Arabic"/>
          <w:color w:val="000000"/>
          <w:sz w:val="32"/>
          <w:szCs w:val="32"/>
          <w:lang w:val="en-GB"/>
        </w:rPr>
        <w:t xml:space="preserve"> (Longitudinal Design) </w:t>
      </w:r>
      <w:r w:rsidR="00C04087" w:rsidRPr="003122C5">
        <w:rPr>
          <w:rFonts w:ascii="Traditional Arabic" w:eastAsia="Calibri" w:hAnsi="Traditional Arabic" w:cs="Traditional Arabic"/>
          <w:color w:val="000000"/>
          <w:sz w:val="32"/>
          <w:szCs w:val="32"/>
          <w:rtl/>
        </w:rPr>
        <w:t>أو أسلوب مختلط</w:t>
      </w:r>
      <w:r w:rsidR="00C04087" w:rsidRPr="003122C5">
        <w:rPr>
          <w:rFonts w:ascii="Traditional Arabic" w:eastAsia="Calibri" w:hAnsi="Traditional Arabic" w:cs="Traditional Arabic"/>
          <w:color w:val="000000"/>
          <w:sz w:val="32"/>
          <w:szCs w:val="32"/>
          <w:lang w:val="en-GB"/>
        </w:rPr>
        <w:t xml:space="preserve"> (Mixed-Methods) </w:t>
      </w:r>
      <w:r w:rsidR="00C04087" w:rsidRPr="003122C5">
        <w:rPr>
          <w:rFonts w:ascii="Traditional Arabic" w:eastAsia="Calibri" w:hAnsi="Traditional Arabic" w:cs="Traditional Arabic"/>
          <w:color w:val="000000"/>
          <w:sz w:val="32"/>
          <w:szCs w:val="32"/>
          <w:rtl/>
        </w:rPr>
        <w:t>لتعزيز القدرة على تتبّع التطور الزمني وفهم العوامل المؤثرة بشكل أكثر دقة</w:t>
      </w:r>
      <w:r w:rsidR="00C04087" w:rsidRPr="003122C5">
        <w:rPr>
          <w:rFonts w:ascii="Traditional Arabic" w:eastAsia="Calibri" w:hAnsi="Traditional Arabic" w:cs="Traditional Arabic"/>
          <w:color w:val="000000"/>
          <w:sz w:val="32"/>
          <w:szCs w:val="32"/>
          <w:lang w:val="en-GB"/>
        </w:rPr>
        <w:t>.</w:t>
      </w:r>
    </w:p>
    <w:p w14:paraId="7CEC1F7E" w14:textId="77777777" w:rsidR="00703F41" w:rsidRPr="00703F41" w:rsidRDefault="00703F41" w:rsidP="00703F41">
      <w:pPr>
        <w:pStyle w:val="ListParagraph"/>
        <w:spacing w:line="360" w:lineRule="auto"/>
        <w:jc w:val="both"/>
        <w:rPr>
          <w:rFonts w:ascii="Traditional Arabic" w:eastAsia="Calibri" w:hAnsi="Traditional Arabic" w:cs="Traditional Arabic"/>
          <w:color w:val="000000"/>
          <w:sz w:val="32"/>
          <w:szCs w:val="32"/>
          <w:highlight w:val="cyan"/>
        </w:rPr>
      </w:pPr>
    </w:p>
    <w:p w14:paraId="065CDE52" w14:textId="77777777" w:rsidR="00A61E97" w:rsidRPr="008917EC" w:rsidRDefault="00A61E97" w:rsidP="00A857C7">
      <w:pPr>
        <w:bidi/>
        <w:spacing w:after="0" w:line="360" w:lineRule="auto"/>
        <w:jc w:val="both"/>
        <w:rPr>
          <w:rFonts w:ascii="Traditional Arabic" w:hAnsi="Traditional Arabic" w:cs="Traditional Arabic"/>
          <w:b/>
          <w:bCs/>
          <w:sz w:val="32"/>
          <w:szCs w:val="32"/>
          <w:lang w:val="en-US"/>
        </w:rPr>
      </w:pPr>
      <w:r w:rsidRPr="008917EC">
        <w:rPr>
          <w:rFonts w:ascii="Traditional Arabic" w:hAnsi="Traditional Arabic" w:cs="Traditional Arabic"/>
          <w:b/>
          <w:bCs/>
          <w:sz w:val="32"/>
          <w:szCs w:val="32"/>
          <w:rtl/>
        </w:rPr>
        <w:t xml:space="preserve"> نموذج الدراسة المفاهيمي</w:t>
      </w:r>
      <w:r w:rsidRPr="008917EC">
        <w:rPr>
          <w:rFonts w:ascii="Traditional Arabic" w:hAnsi="Traditional Arabic" w:cs="Traditional Arabic"/>
          <w:b/>
          <w:bCs/>
          <w:sz w:val="32"/>
          <w:szCs w:val="32"/>
          <w:lang w:val="en-US"/>
        </w:rPr>
        <w:t xml:space="preserve"> </w:t>
      </w:r>
    </w:p>
    <w:p w14:paraId="5B0A680B" w14:textId="112023EE" w:rsidR="00A857C7" w:rsidRDefault="00A61E97" w:rsidP="00703F41">
      <w:pPr>
        <w:bidi/>
        <w:spacing w:after="0" w:line="360" w:lineRule="auto"/>
        <w:ind w:firstLine="720"/>
        <w:jc w:val="both"/>
        <w:rPr>
          <w:rFonts w:ascii="Traditional Arabic" w:hAnsi="Traditional Arabic" w:cs="Traditional Arabic"/>
          <w:sz w:val="32"/>
          <w:szCs w:val="32"/>
          <w:rtl/>
          <w:lang w:val="en-US"/>
        </w:rPr>
      </w:pPr>
      <w:r w:rsidRPr="008917EC">
        <w:rPr>
          <w:rFonts w:ascii="Traditional Arabic" w:hAnsi="Traditional Arabic" w:cs="Traditional Arabic"/>
          <w:sz w:val="32"/>
          <w:szCs w:val="32"/>
          <w:rtl/>
        </w:rPr>
        <w:t>يوضّح الشكل رقم (1) النموذج المفاهيمي للدراسة الذي يعبّر عن العلاقة بين المتغيرات الرئيسة، حيث يمثّل نضج التخطيط الاستراتيجي المتغير المستقل بأبعاده الخمسة (وضوح الرؤية والأهداف الاستراتيجية، تحليل البيئة الداخلية والخارجية، تخصيص الموارد والقدرات التنظيمية، متابعة وتقييم الأداء الاستراتيجي، وربط الاستراتيجية بالسياسات والإجراءات الداخلية)، بينما يمثّل التكامل المؤسسي المتغير التابع</w:t>
      </w:r>
      <w:r w:rsidRPr="008917EC">
        <w:rPr>
          <w:rFonts w:ascii="Traditional Arabic" w:hAnsi="Traditional Arabic" w:cs="Traditional Arabic"/>
          <w:sz w:val="32"/>
          <w:szCs w:val="32"/>
          <w:lang w:val="en-US"/>
        </w:rPr>
        <w:t>.</w:t>
      </w:r>
    </w:p>
    <w:p w14:paraId="5A7EAFA0" w14:textId="77777777" w:rsidR="00703F41" w:rsidRDefault="00703F41" w:rsidP="00703F41">
      <w:pPr>
        <w:bidi/>
        <w:spacing w:after="0" w:line="360" w:lineRule="auto"/>
        <w:ind w:firstLine="720"/>
        <w:jc w:val="both"/>
        <w:rPr>
          <w:rFonts w:ascii="Traditional Arabic" w:hAnsi="Traditional Arabic" w:cs="Traditional Arabic"/>
          <w:sz w:val="32"/>
          <w:szCs w:val="32"/>
          <w:rtl/>
          <w:lang w:val="en-US"/>
        </w:rPr>
      </w:pPr>
    </w:p>
    <w:p w14:paraId="03826BEC" w14:textId="77777777" w:rsidR="00703F41" w:rsidRPr="00703F41" w:rsidRDefault="00703F41" w:rsidP="00703F41">
      <w:pPr>
        <w:bidi/>
        <w:spacing w:after="0" w:line="360" w:lineRule="auto"/>
        <w:ind w:firstLine="720"/>
        <w:jc w:val="both"/>
        <w:rPr>
          <w:rFonts w:ascii="Traditional Arabic" w:hAnsi="Traditional Arabic" w:cs="Traditional Arabic"/>
          <w:sz w:val="32"/>
          <w:szCs w:val="32"/>
          <w:lang w:val="en-US"/>
        </w:rPr>
      </w:pPr>
    </w:p>
    <w:p w14:paraId="5BA88719" w14:textId="190F18D6" w:rsidR="00A857C7" w:rsidRPr="00703F41" w:rsidRDefault="00A61E97" w:rsidP="00703F41">
      <w:pPr>
        <w:bidi/>
        <w:spacing w:after="0" w:line="360" w:lineRule="auto"/>
        <w:ind w:firstLine="720"/>
        <w:jc w:val="both"/>
        <w:rPr>
          <w:rFonts w:ascii="Traditional Arabic" w:hAnsi="Traditional Arabic" w:cs="Traditional Arabic"/>
          <w:sz w:val="32"/>
          <w:szCs w:val="32"/>
          <w:lang w:val="en-US"/>
        </w:rPr>
      </w:pPr>
      <w:r w:rsidRPr="008917EC">
        <w:rPr>
          <w:rFonts w:ascii="Traditional Arabic" w:hAnsi="Traditional Arabic" w:cs="Traditional Arabic"/>
          <w:sz w:val="32"/>
          <w:szCs w:val="32"/>
          <w:rtl/>
        </w:rPr>
        <w:t>يستند النموذج إلى عد</w:t>
      </w:r>
      <w:r w:rsidRPr="008917EC">
        <w:rPr>
          <w:rtl/>
        </w:rPr>
        <w:t xml:space="preserve"> </w:t>
      </w:r>
      <w:r w:rsidRPr="008917EC">
        <w:rPr>
          <w:rFonts w:ascii="Traditional Arabic" w:hAnsi="Traditional Arabic" w:cs="Traditional Arabic"/>
          <w:sz w:val="32"/>
          <w:szCs w:val="32"/>
          <w:rtl/>
        </w:rPr>
        <w:t xml:space="preserve">د من الدراسات السابقة التي أكدت أهمية التخطيط الاستراتيجي كأداة لتعزيز الأداء المؤسسي وتحقيق التكامل </w:t>
      </w:r>
      <w:r w:rsidR="00B37299" w:rsidRPr="008917EC">
        <w:rPr>
          <w:rFonts w:ascii="Traditional Arabic" w:hAnsi="Traditional Arabic" w:cs="Traditional Arabic"/>
          <w:sz w:val="32"/>
          <w:szCs w:val="32"/>
          <w:rtl/>
        </w:rPr>
        <w:t xml:space="preserve">الإداري والتنظيمي بين المؤسسات (فريد وعامر، 2021؛ </w:t>
      </w:r>
      <w:r w:rsidR="00B37299" w:rsidRPr="008917EC">
        <w:rPr>
          <w:rFonts w:ascii="Traditional Arabic" w:hAnsi="Traditional Arabic" w:cs="Traditional Arabic"/>
          <w:sz w:val="32"/>
          <w:szCs w:val="32"/>
        </w:rPr>
        <w:t>Elwakel, 2025</w:t>
      </w:r>
      <w:r w:rsidR="00B37299" w:rsidRPr="008917EC">
        <w:rPr>
          <w:rFonts w:ascii="Traditional Arabic" w:hAnsi="Traditional Arabic" w:cs="Traditional Arabic"/>
          <w:sz w:val="32"/>
          <w:szCs w:val="32"/>
          <w:rtl/>
        </w:rPr>
        <w:t xml:space="preserve">؛ </w:t>
      </w:r>
      <w:r w:rsidR="00B37299" w:rsidRPr="008917EC">
        <w:rPr>
          <w:rFonts w:ascii="Traditional Arabic" w:hAnsi="Traditional Arabic" w:cs="Traditional Arabic"/>
          <w:sz w:val="32"/>
          <w:szCs w:val="32"/>
        </w:rPr>
        <w:t>Mardiani et al., 2023</w:t>
      </w:r>
      <w:r w:rsidR="00B37299" w:rsidRPr="008917EC">
        <w:rPr>
          <w:rFonts w:ascii="Traditional Arabic" w:hAnsi="Traditional Arabic" w:cs="Traditional Arabic"/>
          <w:sz w:val="32"/>
          <w:szCs w:val="32"/>
          <w:rtl/>
        </w:rPr>
        <w:t>).</w:t>
      </w:r>
      <w:r w:rsidR="00A857C7">
        <w:rPr>
          <w:rFonts w:ascii="Traditional Arabic" w:hAnsi="Traditional Arabic" w:cs="Traditional Arabic"/>
          <w:sz w:val="32"/>
          <w:szCs w:val="32"/>
          <w:lang w:val="en-US"/>
        </w:rPr>
        <w:t xml:space="preserve"> </w:t>
      </w:r>
    </w:p>
    <w:p w14:paraId="7E93ACE0" w14:textId="025C0F74" w:rsidR="00786EC0" w:rsidRPr="00786EC0" w:rsidRDefault="00A61E97" w:rsidP="00786EC0">
      <w:pPr>
        <w:bidi/>
        <w:spacing w:after="0" w:line="360" w:lineRule="auto"/>
        <w:ind w:firstLine="720"/>
        <w:jc w:val="both"/>
        <w:rPr>
          <w:rFonts w:ascii="Traditional Arabic" w:hAnsi="Traditional Arabic" w:cs="Traditional Arabic"/>
          <w:sz w:val="32"/>
          <w:szCs w:val="32"/>
          <w:rtl/>
          <w:lang w:val="en-US"/>
        </w:rPr>
      </w:pPr>
      <w:r w:rsidRPr="008917EC">
        <w:rPr>
          <w:rFonts w:ascii="Traditional Arabic" w:hAnsi="Traditional Arabic" w:cs="Traditional Arabic"/>
          <w:sz w:val="32"/>
          <w:szCs w:val="32"/>
          <w:rtl/>
        </w:rPr>
        <w:t>وفقاً لفرضيات الدراسة، يُتوقع أن يكون لكل بعد من أبعاد التخطيط الاستراتيجي تأثير إيجابي ودال إحصائيًا عند مستوى الدلالة</w:t>
      </w:r>
      <w:r w:rsidRPr="008917EC">
        <w:rPr>
          <w:rFonts w:ascii="Traditional Arabic" w:hAnsi="Traditional Arabic" w:cs="Traditional Arabic"/>
          <w:sz w:val="32"/>
          <w:szCs w:val="32"/>
          <w:lang w:val="en-US"/>
        </w:rPr>
        <w:t xml:space="preserve"> (</w:t>
      </w:r>
      <w:r w:rsidRPr="008917EC">
        <w:rPr>
          <w:rFonts w:ascii="Times New Roman" w:hAnsi="Times New Roman" w:cs="Times New Roman"/>
          <w:sz w:val="32"/>
          <w:szCs w:val="32"/>
          <w:lang w:val="en-US"/>
        </w:rPr>
        <w:t>α</w:t>
      </w:r>
      <w:r w:rsidRPr="008917EC">
        <w:rPr>
          <w:rFonts w:ascii="Traditional Arabic" w:hAnsi="Traditional Arabic" w:cs="Traditional Arabic"/>
          <w:sz w:val="32"/>
          <w:szCs w:val="32"/>
          <w:lang w:val="en-US"/>
        </w:rPr>
        <w:t xml:space="preserve"> = 0.05) </w:t>
      </w:r>
      <w:r w:rsidR="00B37299" w:rsidRPr="008917EC">
        <w:rPr>
          <w:rFonts w:ascii="Traditional Arabic" w:hAnsi="Traditional Arabic" w:cs="Traditional Arabic"/>
          <w:sz w:val="32"/>
          <w:szCs w:val="32"/>
          <w:rtl/>
        </w:rPr>
        <w:t>على مستوى التكامل المؤسسي</w:t>
      </w:r>
      <w:r w:rsidRPr="008917EC">
        <w:rPr>
          <w:rFonts w:ascii="Traditional Arabic" w:hAnsi="Traditional Arabic" w:cs="Traditional Arabic"/>
          <w:sz w:val="32"/>
          <w:szCs w:val="32"/>
          <w:rtl/>
        </w:rPr>
        <w:t>، وهو ما سيتم اختباره باستخدام تحليل الانحدار البسيط والمتعدد لقياس قوة واتجاه العلاقة بين هذه المتغيرات</w:t>
      </w:r>
      <w:r w:rsidRPr="008917EC">
        <w:rPr>
          <w:rFonts w:ascii="Traditional Arabic" w:hAnsi="Traditional Arabic" w:cs="Traditional Arabic"/>
          <w:sz w:val="32"/>
          <w:szCs w:val="32"/>
          <w:lang w:val="en-US"/>
        </w:rPr>
        <w:t>.</w:t>
      </w:r>
    </w:p>
    <w:p w14:paraId="04AD106D" w14:textId="77777777" w:rsidR="007E1848" w:rsidRPr="008917EC" w:rsidRDefault="007E1848" w:rsidP="007E1848">
      <w:pPr>
        <w:bidi/>
        <w:spacing w:after="0" w:line="360" w:lineRule="auto"/>
        <w:ind w:firstLine="720"/>
        <w:jc w:val="both"/>
        <w:rPr>
          <w:rFonts w:ascii="Traditional Arabic" w:hAnsi="Traditional Arabic" w:cs="Traditional Arabic"/>
          <w:sz w:val="32"/>
          <w:szCs w:val="32"/>
          <w:lang w:val="en-US"/>
        </w:rPr>
      </w:pPr>
      <w:r w:rsidRPr="008917EC">
        <w:rPr>
          <w:rFonts w:ascii="Calibri" w:eastAsia="Calibri" w:hAnsi="Calibri" w:cs="Arial"/>
          <w:noProof/>
          <w:lang w:val="en-US"/>
        </w:rPr>
        <w:lastRenderedPageBreak/>
        <mc:AlternateContent>
          <mc:Choice Requires="wpg">
            <w:drawing>
              <wp:anchor distT="0" distB="0" distL="114300" distR="114300" simplePos="0" relativeHeight="251659264" behindDoc="0" locked="0" layoutInCell="1" allowOverlap="1" wp14:anchorId="49947F42" wp14:editId="6AB8C95E">
                <wp:simplePos x="0" y="0"/>
                <wp:positionH relativeFrom="column">
                  <wp:posOffset>125361</wp:posOffset>
                </wp:positionH>
                <wp:positionV relativeFrom="paragraph">
                  <wp:posOffset>196809</wp:posOffset>
                </wp:positionV>
                <wp:extent cx="5648325" cy="4630994"/>
                <wp:effectExtent l="0" t="0" r="28575" b="17780"/>
                <wp:wrapNone/>
                <wp:docPr id="56" name="مجموعة 56"/>
                <wp:cNvGraphicFramePr/>
                <a:graphic xmlns:a="http://schemas.openxmlformats.org/drawingml/2006/main">
                  <a:graphicData uri="http://schemas.microsoft.com/office/word/2010/wordprocessingGroup">
                    <wpg:wgp>
                      <wpg:cNvGrpSpPr/>
                      <wpg:grpSpPr>
                        <a:xfrm>
                          <a:off x="0" y="0"/>
                          <a:ext cx="5648325" cy="4630994"/>
                          <a:chOff x="0" y="314886"/>
                          <a:chExt cx="5715581" cy="3363394"/>
                        </a:xfrm>
                      </wpg:grpSpPr>
                      <wpg:grpSp>
                        <wpg:cNvPr id="57" name="مجموعة 57"/>
                        <wpg:cNvGrpSpPr/>
                        <wpg:grpSpPr>
                          <a:xfrm>
                            <a:off x="3990975" y="1022670"/>
                            <a:ext cx="1602809" cy="2655298"/>
                            <a:chOff x="-4082" y="-131216"/>
                            <a:chExt cx="1602809" cy="2655298"/>
                          </a:xfrm>
                        </wpg:grpSpPr>
                        <wps:wsp>
                          <wps:cNvPr id="58" name="مستطيل مستدير الزوايا 58"/>
                          <wps:cNvSpPr/>
                          <wps:spPr>
                            <a:xfrm>
                              <a:off x="10886" y="-131216"/>
                              <a:ext cx="1581150" cy="476250"/>
                            </a:xfrm>
                            <a:prstGeom prst="roundRect">
                              <a:avLst/>
                            </a:prstGeom>
                            <a:solidFill>
                              <a:sysClr val="window" lastClr="FFFFFF"/>
                            </a:solidFill>
                            <a:ln w="25400" cap="flat" cmpd="sng" algn="ctr">
                              <a:solidFill>
                                <a:sysClr val="windowText" lastClr="000000"/>
                              </a:solidFill>
                              <a:prstDash val="solid"/>
                            </a:ln>
                            <a:effectLst/>
                          </wps:spPr>
                          <wps:txbx>
                            <w:txbxContent>
                              <w:p w14:paraId="7548152D" w14:textId="77777777" w:rsidR="00EE28CE" w:rsidRPr="00786EC0" w:rsidRDefault="00EE28CE" w:rsidP="00A61E97">
                                <w:pPr>
                                  <w:jc w:val="center"/>
                                  <w:rPr>
                                    <w:rFonts w:asciiTheme="majorBidi" w:hAnsiTheme="majorBidi" w:cstheme="majorBidi"/>
                                    <w:b/>
                                    <w:bCs/>
                                    <w:sz w:val="24"/>
                                    <w:szCs w:val="24"/>
                                  </w:rPr>
                                </w:pPr>
                                <w:r w:rsidRPr="00786EC0">
                                  <w:rPr>
                                    <w:rFonts w:asciiTheme="majorBidi" w:hAnsiTheme="majorBidi" w:cstheme="majorBidi"/>
                                    <w:b/>
                                    <w:bCs/>
                                    <w:sz w:val="24"/>
                                    <w:szCs w:val="24"/>
                                    <w:rtl/>
                                  </w:rPr>
                                  <w:t>وضوح الرؤية والأهداف الاستراتيجية</w:t>
                                </w:r>
                              </w:p>
                              <w:p w14:paraId="696142DA" w14:textId="77777777" w:rsidR="00EE28CE" w:rsidRDefault="00EE28CE" w:rsidP="00A61E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 name="مستطيل مستدير الزوايا 59"/>
                          <wps:cNvSpPr/>
                          <wps:spPr>
                            <a:xfrm>
                              <a:off x="-4081" y="398362"/>
                              <a:ext cx="1602808" cy="476250"/>
                            </a:xfrm>
                            <a:prstGeom prst="roundRect">
                              <a:avLst/>
                            </a:prstGeom>
                            <a:solidFill>
                              <a:sysClr val="window" lastClr="FFFFFF"/>
                            </a:solidFill>
                            <a:ln w="25400" cap="flat" cmpd="sng" algn="ctr">
                              <a:solidFill>
                                <a:sysClr val="windowText" lastClr="000000"/>
                              </a:solidFill>
                              <a:prstDash val="solid"/>
                            </a:ln>
                            <a:effectLst/>
                          </wps:spPr>
                          <wps:txbx>
                            <w:txbxContent>
                              <w:p w14:paraId="06AE3F76" w14:textId="77777777" w:rsidR="00EE28CE" w:rsidRPr="00786EC0" w:rsidRDefault="00EE28CE" w:rsidP="00A61E97">
                                <w:pPr>
                                  <w:jc w:val="center"/>
                                  <w:rPr>
                                    <w:rFonts w:asciiTheme="majorBidi" w:hAnsiTheme="majorBidi" w:cstheme="majorBidi"/>
                                    <w:b/>
                                    <w:bCs/>
                                    <w:sz w:val="24"/>
                                    <w:szCs w:val="24"/>
                                  </w:rPr>
                                </w:pPr>
                                <w:r w:rsidRPr="00786EC0">
                                  <w:rPr>
                                    <w:rFonts w:asciiTheme="majorBidi" w:hAnsiTheme="majorBidi" w:cstheme="majorBidi"/>
                                    <w:b/>
                                    <w:bCs/>
                                    <w:sz w:val="24"/>
                                    <w:szCs w:val="24"/>
                                    <w:rtl/>
                                  </w:rPr>
                                  <w:t>تحليل البيئة الداخلية والخارجية</w:t>
                                </w:r>
                              </w:p>
                              <w:p w14:paraId="65C543B1" w14:textId="77777777" w:rsidR="00EE28CE" w:rsidRDefault="00EE28CE" w:rsidP="00A61E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مستطيل مستدير الزوايا 60"/>
                          <wps:cNvSpPr/>
                          <wps:spPr>
                            <a:xfrm>
                              <a:off x="17576" y="917078"/>
                              <a:ext cx="1581150" cy="476250"/>
                            </a:xfrm>
                            <a:prstGeom prst="roundRect">
                              <a:avLst/>
                            </a:prstGeom>
                            <a:solidFill>
                              <a:sysClr val="window" lastClr="FFFFFF"/>
                            </a:solidFill>
                            <a:ln w="25400" cap="flat" cmpd="sng" algn="ctr">
                              <a:solidFill>
                                <a:sysClr val="windowText" lastClr="000000"/>
                              </a:solidFill>
                              <a:prstDash val="solid"/>
                            </a:ln>
                            <a:effectLst/>
                          </wps:spPr>
                          <wps:txbx>
                            <w:txbxContent>
                              <w:p w14:paraId="5C84DD5F" w14:textId="77777777" w:rsidR="00EE28CE" w:rsidRPr="002068E6" w:rsidRDefault="00EE28CE" w:rsidP="00A61E97">
                                <w:pPr>
                                  <w:jc w:val="center"/>
                                  <w:rPr>
                                    <w:rFonts w:asciiTheme="majorBidi" w:hAnsiTheme="majorBidi" w:cstheme="majorBidi"/>
                                    <w:b/>
                                    <w:bCs/>
                                    <w:sz w:val="24"/>
                                    <w:szCs w:val="24"/>
                                  </w:rPr>
                                </w:pPr>
                                <w:r w:rsidRPr="002068E6">
                                  <w:rPr>
                                    <w:rFonts w:asciiTheme="majorBidi" w:hAnsiTheme="majorBidi" w:cstheme="majorBidi"/>
                                    <w:b/>
                                    <w:bCs/>
                                    <w:sz w:val="24"/>
                                    <w:szCs w:val="24"/>
                                    <w:rtl/>
                                  </w:rPr>
                                  <w:t>تخصيص الموارد والقدرات التنظيمية</w:t>
                                </w:r>
                              </w:p>
                              <w:p w14:paraId="702D71DB" w14:textId="77777777" w:rsidR="00EE28CE" w:rsidRDefault="00EE28CE" w:rsidP="00A61E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 name="مستطيل مستدير الزوايا 61"/>
                          <wps:cNvSpPr/>
                          <wps:spPr>
                            <a:xfrm>
                              <a:off x="-4082" y="1431863"/>
                              <a:ext cx="1596118" cy="476250"/>
                            </a:xfrm>
                            <a:prstGeom prst="roundRect">
                              <a:avLst/>
                            </a:prstGeom>
                            <a:solidFill>
                              <a:sysClr val="window" lastClr="FFFFFF"/>
                            </a:solidFill>
                            <a:ln w="25400" cap="flat" cmpd="sng" algn="ctr">
                              <a:solidFill>
                                <a:sysClr val="windowText" lastClr="000000"/>
                              </a:solidFill>
                              <a:prstDash val="solid"/>
                            </a:ln>
                            <a:effectLst/>
                          </wps:spPr>
                          <wps:txbx>
                            <w:txbxContent>
                              <w:p w14:paraId="34F0079C" w14:textId="77777777" w:rsidR="00EE28CE" w:rsidRPr="002068E6" w:rsidRDefault="00EE28CE" w:rsidP="00A61E97">
                                <w:pPr>
                                  <w:jc w:val="center"/>
                                  <w:rPr>
                                    <w:rFonts w:asciiTheme="majorBidi" w:hAnsiTheme="majorBidi" w:cstheme="majorBidi"/>
                                    <w:b/>
                                    <w:bCs/>
                                    <w:sz w:val="24"/>
                                    <w:szCs w:val="24"/>
                                  </w:rPr>
                                </w:pPr>
                                <w:r w:rsidRPr="002068E6">
                                  <w:rPr>
                                    <w:rFonts w:asciiTheme="majorBidi" w:hAnsiTheme="majorBidi" w:cstheme="majorBidi"/>
                                    <w:b/>
                                    <w:bCs/>
                                    <w:sz w:val="24"/>
                                    <w:szCs w:val="24"/>
                                    <w:rtl/>
                                  </w:rPr>
                                  <w:t>متابعة وتقييم الأداء الاستراتيجي</w:t>
                                </w:r>
                              </w:p>
                              <w:p w14:paraId="7760AA4F" w14:textId="77777777" w:rsidR="00EE28CE" w:rsidRDefault="00EE28CE" w:rsidP="00A61E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 name="مستطيل مستدير الزوايا 62"/>
                          <wps:cNvSpPr/>
                          <wps:spPr>
                            <a:xfrm>
                              <a:off x="17009" y="1982860"/>
                              <a:ext cx="1574800" cy="541222"/>
                            </a:xfrm>
                            <a:prstGeom prst="roundRect">
                              <a:avLst/>
                            </a:prstGeom>
                            <a:solidFill>
                              <a:sysClr val="window" lastClr="FFFFFF"/>
                            </a:solidFill>
                            <a:ln w="25400" cap="flat" cmpd="sng" algn="ctr">
                              <a:solidFill>
                                <a:sysClr val="windowText" lastClr="000000"/>
                              </a:solidFill>
                              <a:prstDash val="solid"/>
                            </a:ln>
                            <a:effectLst/>
                          </wps:spPr>
                          <wps:txbx>
                            <w:txbxContent>
                              <w:p w14:paraId="1086317F" w14:textId="77777777" w:rsidR="00EE28CE" w:rsidRPr="002068E6" w:rsidRDefault="00EE28CE" w:rsidP="00A61E97">
                                <w:pPr>
                                  <w:jc w:val="center"/>
                                  <w:rPr>
                                    <w:rFonts w:asciiTheme="majorBidi" w:hAnsiTheme="majorBidi" w:cstheme="majorBidi"/>
                                    <w:b/>
                                    <w:bCs/>
                                    <w:sz w:val="24"/>
                                    <w:szCs w:val="24"/>
                                    <w:rtl/>
                                  </w:rPr>
                                </w:pPr>
                                <w:r w:rsidRPr="002068E6">
                                  <w:rPr>
                                    <w:rFonts w:asciiTheme="majorBidi" w:hAnsiTheme="majorBidi" w:cstheme="majorBidi"/>
                                    <w:b/>
                                    <w:bCs/>
                                    <w:sz w:val="24"/>
                                    <w:szCs w:val="24"/>
                                    <w:rtl/>
                                  </w:rPr>
                                  <w:t>ربط الاستراتيجية بالسياسات والإجراءات الداخلية</w:t>
                                </w:r>
                              </w:p>
                              <w:p w14:paraId="0725956E" w14:textId="77777777" w:rsidR="00EE28CE" w:rsidRDefault="00EE28CE" w:rsidP="00A61E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63" name="مجموعة 63"/>
                        <wpg:cNvGrpSpPr/>
                        <wpg:grpSpPr>
                          <a:xfrm>
                            <a:off x="0" y="314886"/>
                            <a:ext cx="5715581" cy="3363394"/>
                            <a:chOff x="0" y="314886"/>
                            <a:chExt cx="5715581" cy="3363394"/>
                          </a:xfrm>
                        </wpg:grpSpPr>
                        <wpg:grpSp>
                          <wpg:cNvPr id="64" name="مجموعة 64"/>
                          <wpg:cNvGrpSpPr/>
                          <wpg:grpSpPr>
                            <a:xfrm>
                              <a:off x="0" y="314886"/>
                              <a:ext cx="4022724" cy="3363394"/>
                              <a:chOff x="0" y="455999"/>
                              <a:chExt cx="4022724" cy="1818486"/>
                            </a:xfrm>
                          </wpg:grpSpPr>
                          <wpg:grpSp>
                            <wpg:cNvPr id="65" name="مجموعة 65"/>
                            <wpg:cNvGrpSpPr/>
                            <wpg:grpSpPr>
                              <a:xfrm>
                                <a:off x="0" y="455999"/>
                                <a:ext cx="3853045" cy="1818486"/>
                                <a:chOff x="0" y="455999"/>
                                <a:chExt cx="3853045" cy="1818486"/>
                              </a:xfrm>
                            </wpg:grpSpPr>
                            <wps:wsp>
                              <wps:cNvPr id="66" name="مستطيل 66"/>
                              <wps:cNvSpPr/>
                              <wps:spPr>
                                <a:xfrm>
                                  <a:off x="0" y="455999"/>
                                  <a:ext cx="1682750" cy="1818486"/>
                                </a:xfrm>
                                <a:prstGeom prst="rect">
                                  <a:avLst/>
                                </a:prstGeom>
                                <a:solidFill>
                                  <a:sysClr val="window" lastClr="FFFFFF"/>
                                </a:solidFill>
                                <a:ln w="25400" cap="flat" cmpd="sng" algn="ctr">
                                  <a:solidFill>
                                    <a:srgbClr val="F79646"/>
                                  </a:solidFill>
                                  <a:prstDash val="solid"/>
                                </a:ln>
                                <a:effectLst/>
                              </wps:spPr>
                              <wps:txbx>
                                <w:txbxContent>
                                  <w:p w14:paraId="4F547472" w14:textId="77777777" w:rsidR="00EE28CE" w:rsidRDefault="00EE28CE" w:rsidP="00A61E97">
                                    <w:pPr>
                                      <w:jc w:val="center"/>
                                      <w:rPr>
                                        <w:rFonts w:asciiTheme="majorBidi" w:hAnsiTheme="majorBidi" w:cstheme="majorBidi"/>
                                        <w:b/>
                                        <w:bCs/>
                                        <w:sz w:val="28"/>
                                        <w:szCs w:val="28"/>
                                      </w:rPr>
                                    </w:pPr>
                                    <w:r>
                                      <w:rPr>
                                        <w:rFonts w:asciiTheme="majorBidi" w:hAnsiTheme="majorBidi" w:cstheme="majorBidi" w:hint="cs"/>
                                        <w:b/>
                                        <w:bCs/>
                                        <w:sz w:val="28"/>
                                        <w:szCs w:val="28"/>
                                        <w:rtl/>
                                      </w:rPr>
                                      <w:t>المتغير التابع</w:t>
                                    </w:r>
                                  </w:p>
                                  <w:p w14:paraId="76042156" w14:textId="77777777" w:rsidR="00EE28CE" w:rsidRDefault="00EE28CE" w:rsidP="00A61E97">
                                    <w:pPr>
                                      <w:jc w:val="center"/>
                                      <w:rPr>
                                        <w:rFonts w:asciiTheme="majorBidi" w:hAnsiTheme="majorBidi" w:cstheme="majorBidi"/>
                                        <w:b/>
                                        <w:bCs/>
                                        <w:sz w:val="28"/>
                                        <w:szCs w:val="28"/>
                                        <w:rtl/>
                                      </w:rPr>
                                    </w:pPr>
                                  </w:p>
                                  <w:p w14:paraId="177FDDFA" w14:textId="77777777" w:rsidR="00EE28CE" w:rsidRPr="00315D1D" w:rsidRDefault="00EE28CE" w:rsidP="00B37299">
                                    <w:pPr>
                                      <w:jc w:val="center"/>
                                      <w:rPr>
                                        <w:rFonts w:asciiTheme="majorBidi" w:hAnsiTheme="majorBidi" w:cstheme="majorBidi"/>
                                        <w:b/>
                                        <w:bCs/>
                                        <w:sz w:val="28"/>
                                        <w:szCs w:val="28"/>
                                        <w:rtl/>
                                      </w:rPr>
                                    </w:pPr>
                                    <w:r w:rsidRPr="007E633A">
                                      <w:rPr>
                                        <w:rFonts w:asciiTheme="majorBidi" w:hAnsiTheme="majorBidi" w:cstheme="majorBidi"/>
                                        <w:b/>
                                        <w:bCs/>
                                        <w:sz w:val="28"/>
                                        <w:szCs w:val="28"/>
                                        <w:rtl/>
                                      </w:rPr>
                                      <w:t xml:space="preserve">التكامل المؤسسي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رابط كسهم مستقيم 67"/>
                              <wps:cNvCnPr/>
                              <wps:spPr>
                                <a:xfrm flipH="1">
                                  <a:off x="1682750" y="608025"/>
                                  <a:ext cx="2170295" cy="0"/>
                                </a:xfrm>
                                <a:prstGeom prst="straightConnector1">
                                  <a:avLst/>
                                </a:prstGeom>
                                <a:noFill/>
                                <a:ln w="38100" cap="flat" cmpd="sng" algn="ctr">
                                  <a:solidFill>
                                    <a:srgbClr val="F79646"/>
                                  </a:solidFill>
                                  <a:prstDash val="solid"/>
                                  <a:tailEnd type="arrow"/>
                                </a:ln>
                                <a:effectLst>
                                  <a:outerShdw blurRad="40000" dist="23000" dir="5400000" rotWithShape="0">
                                    <a:srgbClr val="000000">
                                      <a:alpha val="35000"/>
                                    </a:srgbClr>
                                  </a:outerShdw>
                                </a:effectLst>
                              </wps:spPr>
                              <wps:bodyPr/>
                            </wps:wsp>
                            <wps:wsp>
                              <wps:cNvPr id="68" name="Oval 2024668143"/>
                              <wps:cNvSpPr/>
                              <wps:spPr>
                                <a:xfrm>
                                  <a:off x="2469635" y="504438"/>
                                  <a:ext cx="706669" cy="208669"/>
                                </a:xfrm>
                                <a:prstGeom prst="ellipse">
                                  <a:avLst/>
                                </a:prstGeom>
                                <a:solidFill>
                                  <a:sysClr val="window" lastClr="FFFFFF"/>
                                </a:solidFill>
                                <a:ln w="25400" cap="flat" cmpd="sng" algn="ctr">
                                  <a:solidFill>
                                    <a:srgbClr val="F79646"/>
                                  </a:solidFill>
                                  <a:prstDash val="solid"/>
                                </a:ln>
                                <a:effectLst/>
                              </wps:spPr>
                              <wps:txbx>
                                <w:txbxContent>
                                  <w:p w14:paraId="29F009BC" w14:textId="77777777" w:rsidR="00EE28CE" w:rsidRPr="0083336A" w:rsidRDefault="00EE28CE" w:rsidP="00A61E97">
                                    <w:pPr>
                                      <w:rPr>
                                        <w:rFonts w:ascii="Times New Roman" w:hAnsi="Times New Roman" w:cs="Times New Roman"/>
                                        <w:lang w:val="en-US" w:bidi="ar-AE"/>
                                        <w14:textOutline w14:w="9525" w14:cap="rnd" w14:cmpd="sng" w14:algn="ctr">
                                          <w14:solidFill>
                                            <w14:srgbClr w14:val="000000"/>
                                          </w14:solidFill>
                                          <w14:prstDash w14:val="solid"/>
                                          <w14:bevel/>
                                        </w14:textOutline>
                                      </w:rPr>
                                    </w:pPr>
                                    <w:r w:rsidRPr="00564C77">
                                      <w:rPr>
                                        <w:rFonts w:ascii="Times New Roman" w:hAnsi="Times New Roman" w:cs="Times New Roman"/>
                                        <w:b/>
                                        <w:bCs/>
                                        <w:lang w:bidi="ar-JO"/>
                                        <w14:textOutline w14:w="9525" w14:cap="rnd" w14:cmpd="sng" w14:algn="ctr">
                                          <w14:solidFill>
                                            <w14:srgbClr w14:val="000000"/>
                                          </w14:solidFill>
                                          <w14:prstDash w14:val="solid"/>
                                          <w14:bevel/>
                                        </w14:textOutline>
                                      </w:rPr>
                                      <w:t>H</w:t>
                                    </w:r>
                                    <w:r>
                                      <w:rPr>
                                        <w:rFonts w:ascii="Times New Roman" w:hAnsi="Times New Roman" w:cs="Times New Roman"/>
                                        <w:b/>
                                        <w:bCs/>
                                        <w:lang w:val="en-US" w:bidi="ar-AE"/>
                                        <w14:textOutline w14:w="9525" w14:cap="rnd" w14:cmpd="sng" w14:algn="ctr">
                                          <w14:solidFill>
                                            <w14:srgbClr w14:val="000000"/>
                                          </w14:solidFill>
                                          <w14:prstDash w14:val="solid"/>
                                          <w14:bevel/>
                                        </w14:textOutline>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69" name="مجموعة 69"/>
                            <wpg:cNvGrpSpPr/>
                            <wpg:grpSpPr>
                              <a:xfrm>
                                <a:off x="1685925" y="852015"/>
                                <a:ext cx="2336799" cy="1387259"/>
                                <a:chOff x="0" y="99540"/>
                                <a:chExt cx="2336799" cy="1387259"/>
                              </a:xfrm>
                            </wpg:grpSpPr>
                            <wps:wsp>
                              <wps:cNvPr id="70" name="رابط كسهم مستقيم 70"/>
                              <wps:cNvCnPr/>
                              <wps:spPr>
                                <a:xfrm flipH="1">
                                  <a:off x="1" y="204808"/>
                                  <a:ext cx="2305049" cy="0"/>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71" name="رابط كسهم مستقيم 71"/>
                              <wps:cNvCnPr/>
                              <wps:spPr>
                                <a:xfrm flipH="1">
                                  <a:off x="1813" y="499885"/>
                                  <a:ext cx="2305050" cy="5080"/>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72" name="رابط كسهم مستقيم 72"/>
                              <wps:cNvCnPr/>
                              <wps:spPr>
                                <a:xfrm flipH="1" flipV="1">
                                  <a:off x="0" y="770986"/>
                                  <a:ext cx="2314575" cy="12063"/>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73" name="رابط كسهم مستقيم 73"/>
                              <wps:cNvCnPr/>
                              <wps:spPr>
                                <a:xfrm flipH="1">
                                  <a:off x="9525" y="1064237"/>
                                  <a:ext cx="2305050" cy="0"/>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74" name="Oval 2024668143"/>
                              <wps:cNvSpPr/>
                              <wps:spPr>
                                <a:xfrm>
                                  <a:off x="1329690" y="99540"/>
                                  <a:ext cx="634365" cy="167721"/>
                                </a:xfrm>
                                <a:prstGeom prst="ellipse">
                                  <a:avLst/>
                                </a:prstGeom>
                                <a:solidFill>
                                  <a:sysClr val="window" lastClr="FFFFFF"/>
                                </a:solidFill>
                                <a:ln w="25400" cap="flat" cmpd="sng" algn="ctr">
                                  <a:solidFill>
                                    <a:srgbClr val="F79646"/>
                                  </a:solidFill>
                                  <a:prstDash val="solid"/>
                                </a:ln>
                                <a:effectLst/>
                              </wps:spPr>
                              <wps:txbx>
                                <w:txbxContent>
                                  <w:p w14:paraId="662546FF" w14:textId="77777777" w:rsidR="00EE28CE" w:rsidRPr="006179AE" w:rsidRDefault="00EE28CE" w:rsidP="00A61E97">
                                    <w:pPr>
                                      <w:rPr>
                                        <w:rFonts w:ascii="Times New Roman" w:hAnsi="Times New Roman" w:cs="Times New Roman"/>
                                        <w:sz w:val="16"/>
                                        <w:szCs w:val="16"/>
                                        <w:lang w:bidi="ar-AE"/>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AE"/>
                                        <w14:textOutline w14:w="9525" w14:cap="rnd" w14:cmpd="sng" w14:algn="ctr">
                                          <w14:solidFill>
                                            <w14:srgbClr w14:val="000000"/>
                                          </w14:solidFill>
                                          <w14:prstDash w14:val="solid"/>
                                          <w14:bevel/>
                                        </w14:textOutline>
                                      </w:rPr>
                                      <w:t>1a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 name="Oval 2024668143"/>
                              <wps:cNvSpPr/>
                              <wps:spPr>
                                <a:xfrm>
                                  <a:off x="1324089" y="415404"/>
                                  <a:ext cx="624840" cy="179851"/>
                                </a:xfrm>
                                <a:prstGeom prst="ellipse">
                                  <a:avLst/>
                                </a:prstGeom>
                                <a:solidFill>
                                  <a:sysClr val="window" lastClr="FFFFFF"/>
                                </a:solidFill>
                                <a:ln w="25400" cap="flat" cmpd="sng" algn="ctr">
                                  <a:solidFill>
                                    <a:srgbClr val="F79646"/>
                                  </a:solidFill>
                                  <a:prstDash val="solid"/>
                                </a:ln>
                                <a:effectLst/>
                              </wps:spPr>
                              <wps:txbx>
                                <w:txbxContent>
                                  <w:p w14:paraId="04065419" w14:textId="77777777" w:rsidR="00EE28CE" w:rsidRPr="006179AE" w:rsidRDefault="00EE28CE" w:rsidP="00A61E97">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Oval 2024668143"/>
                              <wps:cNvSpPr/>
                              <wps:spPr>
                                <a:xfrm>
                                  <a:off x="1308848" y="670087"/>
                                  <a:ext cx="624840" cy="177423"/>
                                </a:xfrm>
                                <a:prstGeom prst="ellipse">
                                  <a:avLst/>
                                </a:prstGeom>
                                <a:solidFill>
                                  <a:sysClr val="window" lastClr="FFFFFF"/>
                                </a:solidFill>
                                <a:ln w="25400" cap="flat" cmpd="sng" algn="ctr">
                                  <a:solidFill>
                                    <a:srgbClr val="F79646"/>
                                  </a:solidFill>
                                  <a:prstDash val="solid"/>
                                </a:ln>
                                <a:effectLst/>
                              </wps:spPr>
                              <wps:txbx>
                                <w:txbxContent>
                                  <w:p w14:paraId="629ED6A3" w14:textId="77777777" w:rsidR="00EE28CE" w:rsidRPr="006179AE" w:rsidRDefault="00EE28CE" w:rsidP="00A61E97">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 name="Oval 2024668143"/>
                              <wps:cNvSpPr/>
                              <wps:spPr>
                                <a:xfrm>
                                  <a:off x="1314450" y="966907"/>
                                  <a:ext cx="609600" cy="191709"/>
                                </a:xfrm>
                                <a:prstGeom prst="ellipse">
                                  <a:avLst/>
                                </a:prstGeom>
                                <a:solidFill>
                                  <a:sysClr val="window" lastClr="FFFFFF"/>
                                </a:solidFill>
                                <a:ln w="25400" cap="flat" cmpd="sng" algn="ctr">
                                  <a:solidFill>
                                    <a:srgbClr val="F79646"/>
                                  </a:solidFill>
                                  <a:prstDash val="solid"/>
                                </a:ln>
                                <a:effectLst/>
                              </wps:spPr>
                              <wps:txbx>
                                <w:txbxContent>
                                  <w:p w14:paraId="5DEBC658" w14:textId="77777777" w:rsidR="00EE28CE" w:rsidRPr="006179AE" w:rsidRDefault="00EE28CE" w:rsidP="00A61E97">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8" name="رابط كسهم مستقيم 78"/>
                              <wps:cNvCnPr/>
                              <wps:spPr>
                                <a:xfrm flipH="1">
                                  <a:off x="9524" y="1381051"/>
                                  <a:ext cx="2327275" cy="0"/>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79" name="Oval 2024668143"/>
                              <wps:cNvSpPr/>
                              <wps:spPr>
                                <a:xfrm>
                                  <a:off x="1328280" y="1296243"/>
                                  <a:ext cx="588645" cy="190556"/>
                                </a:xfrm>
                                <a:prstGeom prst="ellipse">
                                  <a:avLst/>
                                </a:prstGeom>
                                <a:solidFill>
                                  <a:sysClr val="window" lastClr="FFFFFF"/>
                                </a:solidFill>
                                <a:ln w="25400" cap="flat" cmpd="sng" algn="ctr">
                                  <a:solidFill>
                                    <a:srgbClr val="F79646"/>
                                  </a:solidFill>
                                  <a:prstDash val="solid"/>
                                </a:ln>
                                <a:effectLst/>
                              </wps:spPr>
                              <wps:txbx>
                                <w:txbxContent>
                                  <w:p w14:paraId="5CCA6BC6" w14:textId="77777777" w:rsidR="00EE28CE" w:rsidRPr="006179AE" w:rsidRDefault="00EE28CE" w:rsidP="00A61E97">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80" name="مستطيل 80"/>
                          <wps:cNvSpPr/>
                          <wps:spPr>
                            <a:xfrm>
                              <a:off x="3856068" y="314908"/>
                              <a:ext cx="1859513" cy="599343"/>
                            </a:xfrm>
                            <a:prstGeom prst="rect">
                              <a:avLst/>
                            </a:prstGeom>
                            <a:solidFill>
                              <a:sysClr val="window" lastClr="FFFFFF"/>
                            </a:solidFill>
                            <a:ln w="25400" cap="flat" cmpd="sng" algn="ctr">
                              <a:solidFill>
                                <a:srgbClr val="F79646"/>
                              </a:solidFill>
                              <a:prstDash val="solid"/>
                            </a:ln>
                            <a:effectLst/>
                          </wps:spPr>
                          <wps:txbx>
                            <w:txbxContent>
                              <w:p w14:paraId="6DA044B2" w14:textId="77777777" w:rsidR="00EE28CE" w:rsidRPr="007E633A" w:rsidRDefault="00EE28CE" w:rsidP="00A61E97">
                                <w:pPr>
                                  <w:jc w:val="center"/>
                                  <w:rPr>
                                    <w:rFonts w:asciiTheme="majorBidi" w:hAnsiTheme="majorBidi" w:cstheme="majorBidi"/>
                                    <w:b/>
                                    <w:bCs/>
                                    <w:sz w:val="28"/>
                                    <w:szCs w:val="28"/>
                                    <w:rtl/>
                                  </w:rPr>
                                </w:pPr>
                                <w:r w:rsidRPr="007E633A">
                                  <w:rPr>
                                    <w:rFonts w:asciiTheme="majorBidi" w:hAnsiTheme="majorBidi" w:cstheme="majorBidi" w:hint="cs"/>
                                    <w:b/>
                                    <w:bCs/>
                                    <w:sz w:val="28"/>
                                    <w:szCs w:val="28"/>
                                    <w:rtl/>
                                  </w:rPr>
                                  <w:t>المتغير المستقل</w:t>
                                </w:r>
                              </w:p>
                              <w:p w14:paraId="38785FF8" w14:textId="77777777" w:rsidR="00EE28CE" w:rsidRPr="007E633A" w:rsidRDefault="00EE28CE" w:rsidP="00A61E97">
                                <w:pPr>
                                  <w:jc w:val="center"/>
                                  <w:rPr>
                                    <w:rFonts w:asciiTheme="majorBidi" w:hAnsiTheme="majorBidi" w:cstheme="majorBidi"/>
                                    <w:b/>
                                    <w:bCs/>
                                    <w:sz w:val="28"/>
                                    <w:szCs w:val="28"/>
                                    <w:rtl/>
                                  </w:rPr>
                                </w:pPr>
                                <w:r w:rsidRPr="007E633A">
                                  <w:rPr>
                                    <w:rFonts w:asciiTheme="majorBidi" w:hAnsiTheme="majorBidi" w:cstheme="majorBidi" w:hint="cs"/>
                                    <w:b/>
                                    <w:bCs/>
                                    <w:sz w:val="28"/>
                                    <w:szCs w:val="28"/>
                                    <w:rtl/>
                                  </w:rPr>
                                  <w:t>التخطيط الاستراتيجي</w:t>
                                </w:r>
                              </w:p>
                              <w:p w14:paraId="7D0677F2" w14:textId="77777777" w:rsidR="00EE28CE" w:rsidRDefault="00EE28CE" w:rsidP="00A61E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49947F42" id="مجموعة 56" o:spid="_x0000_s1026" style="position:absolute;left:0;text-align:left;margin-left:9.85pt;margin-top:15.5pt;width:444.75pt;height:364.65pt;z-index:251659264;mso-width-relative:margin;mso-height-relative:margin" coordorigin=",3148" coordsize="57155,336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">
                <v:group id="مجموعة 57" o:spid="_x0000_s1027" style="position:absolute;left:39909;top:10226;width:16028;height:26553" coordorigin="-40,-1312" coordsize="16028,26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">
                  <v:roundrect id="مستطيل مستدير الزوايا 58" o:spid="_x0000_s1028" style="position:absolute;left:108;top:-1312;width:15812;height:476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" fillcolor="window" strokecolor="windowText" strokeweight="2pt">
                    <v:textbox>
                      <w:txbxContent>
                        <w:p w14:paraId="7548152D" w14:textId="77777777" w:rsidR="00EE28CE" w:rsidRPr="00786EC0" w:rsidRDefault="00EE28CE" w:rsidP="00A61E97">
                          <w:pPr>
                            <w:jc w:val="center"/>
                            <w:rPr>
                              <w:rFonts w:asciiTheme="majorBidi" w:hAnsiTheme="majorBidi" w:cstheme="majorBidi"/>
                              <w:b/>
                              <w:bCs/>
                              <w:sz w:val="24"/>
                              <w:szCs w:val="24"/>
                            </w:rPr>
                          </w:pPr>
                          <w:r w:rsidRPr="00786EC0">
                            <w:rPr>
                              <w:rFonts w:asciiTheme="majorBidi" w:hAnsiTheme="majorBidi" w:cstheme="majorBidi"/>
                              <w:b/>
                              <w:bCs/>
                              <w:sz w:val="24"/>
                              <w:szCs w:val="24"/>
                              <w:rtl/>
                            </w:rPr>
                            <w:t>وضوح الرؤية والأهداف الاستراتيجية</w:t>
                          </w:r>
                        </w:p>
                        <w:p w14:paraId="696142DA" w14:textId="77777777" w:rsidR="00EE28CE" w:rsidRDefault="00EE28CE" w:rsidP="00A61E97">
                          <w:pPr>
                            <w:jc w:val="center"/>
                          </w:pPr>
                        </w:p>
                      </w:txbxContent>
                    </v:textbox>
                  </v:roundrect>
                  <v:roundrect id="مستطيل مستدير الزوايا 59" o:spid="_x0000_s1029" style="position:absolute;left:-40;top:3983;width:16027;height:47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" fillcolor="window" strokecolor="windowText" strokeweight="2pt">
                    <v:textbox>
                      <w:txbxContent>
                        <w:p w14:paraId="06AE3F76" w14:textId="77777777" w:rsidR="00EE28CE" w:rsidRPr="00786EC0" w:rsidRDefault="00EE28CE" w:rsidP="00A61E97">
                          <w:pPr>
                            <w:jc w:val="center"/>
                            <w:rPr>
                              <w:rFonts w:asciiTheme="majorBidi" w:hAnsiTheme="majorBidi" w:cstheme="majorBidi"/>
                              <w:b/>
                              <w:bCs/>
                              <w:sz w:val="24"/>
                              <w:szCs w:val="24"/>
                            </w:rPr>
                          </w:pPr>
                          <w:r w:rsidRPr="00786EC0">
                            <w:rPr>
                              <w:rFonts w:asciiTheme="majorBidi" w:hAnsiTheme="majorBidi" w:cstheme="majorBidi"/>
                              <w:b/>
                              <w:bCs/>
                              <w:sz w:val="24"/>
                              <w:szCs w:val="24"/>
                              <w:rtl/>
                            </w:rPr>
                            <w:t>تحليل البيئة الداخلية والخارجية</w:t>
                          </w:r>
                        </w:p>
                        <w:p w14:paraId="65C543B1" w14:textId="77777777" w:rsidR="00EE28CE" w:rsidRDefault="00EE28CE" w:rsidP="00A61E97">
                          <w:pPr>
                            <w:jc w:val="center"/>
                          </w:pPr>
                        </w:p>
                      </w:txbxContent>
                    </v:textbox>
                  </v:roundrect>
                  <v:roundrect id="مستطيل مستدير الزوايا 60" o:spid="_x0000_s1030" style="position:absolute;left:175;top:9170;width:15812;height:47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" fillcolor="window" strokecolor="windowText" strokeweight="2pt">
                    <v:textbox>
                      <w:txbxContent>
                        <w:p w14:paraId="5C84DD5F" w14:textId="77777777" w:rsidR="00EE28CE" w:rsidRPr="002068E6" w:rsidRDefault="00EE28CE" w:rsidP="00A61E97">
                          <w:pPr>
                            <w:jc w:val="center"/>
                            <w:rPr>
                              <w:rFonts w:asciiTheme="majorBidi" w:hAnsiTheme="majorBidi" w:cstheme="majorBidi"/>
                              <w:b/>
                              <w:bCs/>
                              <w:sz w:val="24"/>
                              <w:szCs w:val="24"/>
                            </w:rPr>
                          </w:pPr>
                          <w:r w:rsidRPr="002068E6">
                            <w:rPr>
                              <w:rFonts w:asciiTheme="majorBidi" w:hAnsiTheme="majorBidi" w:cstheme="majorBidi"/>
                              <w:b/>
                              <w:bCs/>
                              <w:sz w:val="24"/>
                              <w:szCs w:val="24"/>
                              <w:rtl/>
                            </w:rPr>
                            <w:t>تخصيص الموارد والقدرات التنظيمية</w:t>
                          </w:r>
                        </w:p>
                        <w:p w14:paraId="702D71DB" w14:textId="77777777" w:rsidR="00EE28CE" w:rsidRDefault="00EE28CE" w:rsidP="00A61E97">
                          <w:pPr>
                            <w:jc w:val="center"/>
                          </w:pPr>
                        </w:p>
                      </w:txbxContent>
                    </v:textbox>
                  </v:roundrect>
                  <v:roundrect id="مستطيل مستدير الزوايا 61" o:spid="_x0000_s1031" style="position:absolute;left:-40;top:14318;width:15960;height:47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" fillcolor="window" strokecolor="windowText" strokeweight="2pt">
                    <v:textbox>
                      <w:txbxContent>
                        <w:p w14:paraId="34F0079C" w14:textId="77777777" w:rsidR="00EE28CE" w:rsidRPr="002068E6" w:rsidRDefault="00EE28CE" w:rsidP="00A61E97">
                          <w:pPr>
                            <w:jc w:val="center"/>
                            <w:rPr>
                              <w:rFonts w:asciiTheme="majorBidi" w:hAnsiTheme="majorBidi" w:cstheme="majorBidi"/>
                              <w:b/>
                              <w:bCs/>
                              <w:sz w:val="24"/>
                              <w:szCs w:val="24"/>
                            </w:rPr>
                          </w:pPr>
                          <w:r w:rsidRPr="002068E6">
                            <w:rPr>
                              <w:rFonts w:asciiTheme="majorBidi" w:hAnsiTheme="majorBidi" w:cstheme="majorBidi"/>
                              <w:b/>
                              <w:bCs/>
                              <w:sz w:val="24"/>
                              <w:szCs w:val="24"/>
                              <w:rtl/>
                            </w:rPr>
                            <w:t>متابعة وتقييم الأداء الاستراتيجي</w:t>
                          </w:r>
                        </w:p>
                        <w:p w14:paraId="7760AA4F" w14:textId="77777777" w:rsidR="00EE28CE" w:rsidRDefault="00EE28CE" w:rsidP="00A61E97">
                          <w:pPr>
                            <w:jc w:val="center"/>
                          </w:pPr>
                        </w:p>
                      </w:txbxContent>
                    </v:textbox>
                  </v:roundrect>
                  <v:roundrect id="مستطيل مستدير الزوايا 62" o:spid="_x0000_s1032" style="position:absolute;left:170;top:19828;width:15748;height:541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" fillcolor="window" strokecolor="windowText" strokeweight="2pt">
                    <v:textbox>
                      <w:txbxContent>
                        <w:p w14:paraId="1086317F" w14:textId="77777777" w:rsidR="00EE28CE" w:rsidRPr="002068E6" w:rsidRDefault="00EE28CE" w:rsidP="00A61E97">
                          <w:pPr>
                            <w:jc w:val="center"/>
                            <w:rPr>
                              <w:rFonts w:asciiTheme="majorBidi" w:hAnsiTheme="majorBidi" w:cstheme="majorBidi"/>
                              <w:b/>
                              <w:bCs/>
                              <w:sz w:val="24"/>
                              <w:szCs w:val="24"/>
                              <w:rtl/>
                            </w:rPr>
                          </w:pPr>
                          <w:r w:rsidRPr="002068E6">
                            <w:rPr>
                              <w:rFonts w:asciiTheme="majorBidi" w:hAnsiTheme="majorBidi" w:cstheme="majorBidi"/>
                              <w:b/>
                              <w:bCs/>
                              <w:sz w:val="24"/>
                              <w:szCs w:val="24"/>
                              <w:rtl/>
                            </w:rPr>
                            <w:t>ربط الاستراتيجية بالسياسات والإجراءات الداخلية</w:t>
                          </w:r>
                        </w:p>
                        <w:p w14:paraId="0725956E" w14:textId="77777777" w:rsidR="00EE28CE" w:rsidRDefault="00EE28CE" w:rsidP="00A61E97">
                          <w:pPr>
                            <w:jc w:val="center"/>
                          </w:pPr>
                        </w:p>
                      </w:txbxContent>
                    </v:textbox>
                  </v:roundrect>
                </v:group>
                <v:group id="مجموعة 63" o:spid="_x0000_s1033" style="position:absolute;top:3148;width:57155;height:33634" coordorigin=",3148" coordsize="57155,336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">
                  <v:group id="مجموعة 64" o:spid="_x0000_s1034" style="position:absolute;top:3148;width:40227;height:33634" coordorigin=",4559" coordsize="40227,18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">
                    <v:group id="مجموعة 65" o:spid="_x0000_s1035" style="position:absolute;top:4559;width:38530;height:18185" coordorigin=",4559" coordsize="38530,18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">
                      <v:rect id="مستطيل 66" o:spid="_x0000_s1036" style="position:absolute;top:4559;width:16827;height:181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" fillcolor="window" strokecolor="#f79646" strokeweight="2pt">
                        <v:textbox>
                          <w:txbxContent>
                            <w:p w14:paraId="4F547472" w14:textId="77777777" w:rsidR="00EE28CE" w:rsidRDefault="00EE28CE" w:rsidP="00A61E97">
                              <w:pPr>
                                <w:jc w:val="center"/>
                                <w:rPr>
                                  <w:rFonts w:asciiTheme="majorBidi" w:hAnsiTheme="majorBidi" w:cstheme="majorBidi"/>
                                  <w:b/>
                                  <w:bCs/>
                                  <w:sz w:val="28"/>
                                  <w:szCs w:val="28"/>
                                </w:rPr>
                              </w:pPr>
                              <w:r>
                                <w:rPr>
                                  <w:rFonts w:asciiTheme="majorBidi" w:hAnsiTheme="majorBidi" w:cstheme="majorBidi" w:hint="cs"/>
                                  <w:b/>
                                  <w:bCs/>
                                  <w:sz w:val="28"/>
                                  <w:szCs w:val="28"/>
                                  <w:rtl/>
                                </w:rPr>
                                <w:t>المتغير التابع</w:t>
                              </w:r>
                            </w:p>
                            <w:p w14:paraId="76042156" w14:textId="77777777" w:rsidR="00EE28CE" w:rsidRDefault="00EE28CE" w:rsidP="00A61E97">
                              <w:pPr>
                                <w:jc w:val="center"/>
                                <w:rPr>
                                  <w:rFonts w:asciiTheme="majorBidi" w:hAnsiTheme="majorBidi" w:cstheme="majorBidi"/>
                                  <w:b/>
                                  <w:bCs/>
                                  <w:sz w:val="28"/>
                                  <w:szCs w:val="28"/>
                                  <w:rtl/>
                                </w:rPr>
                              </w:pPr>
                            </w:p>
                            <w:p w14:paraId="177FDDFA" w14:textId="77777777" w:rsidR="00EE28CE" w:rsidRPr="00315D1D" w:rsidRDefault="00EE28CE" w:rsidP="00B37299">
                              <w:pPr>
                                <w:jc w:val="center"/>
                                <w:rPr>
                                  <w:rFonts w:asciiTheme="majorBidi" w:hAnsiTheme="majorBidi" w:cstheme="majorBidi"/>
                                  <w:b/>
                                  <w:bCs/>
                                  <w:sz w:val="28"/>
                                  <w:szCs w:val="28"/>
                                  <w:rtl/>
                                </w:rPr>
                              </w:pPr>
                              <w:r w:rsidRPr="007E633A">
                                <w:rPr>
                                  <w:rFonts w:asciiTheme="majorBidi" w:hAnsiTheme="majorBidi" w:cstheme="majorBidi"/>
                                  <w:b/>
                                  <w:bCs/>
                                  <w:sz w:val="28"/>
                                  <w:szCs w:val="28"/>
                                  <w:rtl/>
                                </w:rPr>
                                <w:t xml:space="preserve">التكامل المؤسسي </w:t>
                              </w:r>
                            </w:p>
                          </w:txbxContent>
                        </v:textbox>
                      </v:rect>
                      <v:shapetype id="_x0000_t32" coordsize="21600,21600" o:spt="32" o:oned="t" path="m,l21600,21600e" filled="f">
                        <v:path arrowok="t" fillok="f" o:connecttype="none"/>
                        <o:lock v:ext="edit" shapetype="t"/>
                      </v:shapetype>
                      <v:shape id="رابط كسهم مستقيم 67" o:spid="_x0000_s1037" type="#_x0000_t32" style="position:absolute;left:16827;top:6080;width:21703;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" strokecolor="#f79646" strokeweight="3pt">
                        <v:stroke endarrow="open"/>
                        <v:shadow on="t" color="black" opacity="22937f" origin=",.5" offset="0,.63889mm"/>
                      </v:shape>
                      <v:oval id="Oval 2024668143" o:spid="_x0000_s1038" style="position:absolute;left:24696;top:5044;width:7067;height:20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" fillcolor="window" strokecolor="#f79646" strokeweight="2pt">
                        <v:textbox>
                          <w:txbxContent>
                            <w:p w14:paraId="29F009BC" w14:textId="77777777" w:rsidR="00EE28CE" w:rsidRPr="0083336A" w:rsidRDefault="00EE28CE" w:rsidP="00A61E97">
                              <w:pPr>
                                <w:rPr>
                                  <w:rFonts w:ascii="Times New Roman" w:hAnsi="Times New Roman" w:cs="Times New Roman"/>
                                  <w:lang w:val="en-US" w:bidi="ar-AE"/>
                                  <w14:textOutline w14:w="9525" w14:cap="rnd" w14:cmpd="sng" w14:algn="ctr">
                                    <w14:solidFill>
                                      <w14:srgbClr w14:val="000000"/>
                                    </w14:solidFill>
                                    <w14:prstDash w14:val="solid"/>
                                    <w14:bevel/>
                                  </w14:textOutline>
                                </w:rPr>
                              </w:pPr>
                              <w:r w:rsidRPr="00564C77">
                                <w:rPr>
                                  <w:rFonts w:ascii="Times New Roman" w:hAnsi="Times New Roman" w:cs="Times New Roman"/>
                                  <w:b/>
                                  <w:bCs/>
                                  <w:lang w:bidi="ar-JO"/>
                                  <w14:textOutline w14:w="9525" w14:cap="rnd" w14:cmpd="sng" w14:algn="ctr">
                                    <w14:solidFill>
                                      <w14:srgbClr w14:val="000000"/>
                                    </w14:solidFill>
                                    <w14:prstDash w14:val="solid"/>
                                    <w14:bevel/>
                                  </w14:textOutline>
                                </w:rPr>
                                <w:t>H</w:t>
                              </w:r>
                              <w:r>
                                <w:rPr>
                                  <w:rFonts w:ascii="Times New Roman" w:hAnsi="Times New Roman" w:cs="Times New Roman"/>
                                  <w:b/>
                                  <w:bCs/>
                                  <w:lang w:val="en-US" w:bidi="ar-AE"/>
                                  <w14:textOutline w14:w="9525" w14:cap="rnd" w14:cmpd="sng" w14:algn="ctr">
                                    <w14:solidFill>
                                      <w14:srgbClr w14:val="000000"/>
                                    </w14:solidFill>
                                    <w14:prstDash w14:val="solid"/>
                                    <w14:bevel/>
                                  </w14:textOutline>
                                </w:rPr>
                                <w:t>.1</w:t>
                              </w:r>
                            </w:p>
                          </w:txbxContent>
                        </v:textbox>
                      </v:oval>
                    </v:group>
                    <v:group id="مجموعة 69" o:spid="_x0000_s1039" style="position:absolute;left:16859;top:8520;width:23368;height:13872" coordorigin=",995" coordsize="23367,13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">
                      <v:shape id="رابط كسهم مستقيم 70" o:spid="_x0000_s1040" type="#_x0000_t32" style="position:absolute;top:2048;width:2305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" strokecolor="windowText" strokeweight="2pt">
                        <v:stroke endarrow="open"/>
                        <v:shadow on="t" color="black" opacity="24903f" origin=",.5" offset="0,.55556mm"/>
                      </v:shape>
                      <v:shape id="رابط كسهم مستقيم 71" o:spid="_x0000_s1041" type="#_x0000_t32" style="position:absolute;left:18;top:4998;width:23050;height:5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" strokecolor="windowText" strokeweight="2pt">
                        <v:stroke endarrow="open"/>
                        <v:shadow on="t" color="black" opacity="24903f" origin=",.5" offset="0,.55556mm"/>
                      </v:shape>
                      <v:shape id="رابط كسهم مستقيم 72" o:spid="_x0000_s1042" type="#_x0000_t32" style="position:absolute;top:7709;width:23145;height:12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" strokecolor="windowText" strokeweight="2pt">
                        <v:stroke endarrow="open"/>
                        <v:shadow on="t" color="black" opacity="24903f" origin=",.5" offset="0,.55556mm"/>
                      </v:shape>
                      <v:shape id="رابط كسهم مستقيم 73" o:spid="_x0000_s1043" type="#_x0000_t32" style="position:absolute;left:95;top:10642;width:2305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" strokecolor="windowText" strokeweight="2pt">
                        <v:stroke endarrow="open"/>
                        <v:shadow on="t" color="black" opacity="24903f" origin=",.5" offset="0,.55556mm"/>
                      </v:shape>
                      <v:oval id="Oval 2024668143" o:spid="_x0000_s1044" style="position:absolute;left:13296;top:995;width:6344;height:16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" fillcolor="window" strokecolor="#f79646" strokeweight="2pt">
                        <v:textbox>
                          <w:txbxContent>
                            <w:p w14:paraId="662546FF" w14:textId="77777777" w:rsidR="00EE28CE" w:rsidRPr="006179AE" w:rsidRDefault="00EE28CE" w:rsidP="00A61E97">
                              <w:pPr>
                                <w:rPr>
                                  <w:rFonts w:ascii="Times New Roman" w:hAnsi="Times New Roman" w:cs="Times New Roman"/>
                                  <w:sz w:val="16"/>
                                  <w:szCs w:val="16"/>
                                  <w:lang w:bidi="ar-AE"/>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AE"/>
                                  <w14:textOutline w14:w="9525" w14:cap="rnd" w14:cmpd="sng" w14:algn="ctr">
                                    <w14:solidFill>
                                      <w14:srgbClr w14:val="000000"/>
                                    </w14:solidFill>
                                    <w14:prstDash w14:val="solid"/>
                                    <w14:bevel/>
                                  </w14:textOutline>
                                </w:rPr>
                                <w:t>1a</w:t>
                              </w:r>
                            </w:p>
                          </w:txbxContent>
                        </v:textbox>
                      </v:oval>
                      <v:oval id="Oval 2024668143" o:spid="_x0000_s1045" style="position:absolute;left:13240;top:4154;width:6249;height:17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" fillcolor="window" strokecolor="#f79646" strokeweight="2pt">
                        <v:textbox>
                          <w:txbxContent>
                            <w:p w14:paraId="04065419" w14:textId="77777777" w:rsidR="00EE28CE" w:rsidRPr="006179AE" w:rsidRDefault="00EE28CE" w:rsidP="00A61E97">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1b</w:t>
                              </w:r>
                            </w:p>
                          </w:txbxContent>
                        </v:textbox>
                      </v:oval>
                      <v:oval id="Oval 2024668143" o:spid="_x0000_s1046" style="position:absolute;left:13088;top:6700;width:6248;height:17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" fillcolor="window" strokecolor="#f79646" strokeweight="2pt">
                        <v:textbox>
                          <w:txbxContent>
                            <w:p w14:paraId="629ED6A3" w14:textId="77777777" w:rsidR="00EE28CE" w:rsidRPr="006179AE" w:rsidRDefault="00EE28CE" w:rsidP="00A61E97">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1c</w:t>
                              </w:r>
                            </w:p>
                          </w:txbxContent>
                        </v:textbox>
                      </v:oval>
                      <v:oval id="Oval 2024668143" o:spid="_x0000_s1047" style="position:absolute;left:13144;top:9669;width:6096;height:19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" fillcolor="window" strokecolor="#f79646" strokeweight="2pt">
                        <v:textbox>
                          <w:txbxContent>
                            <w:p w14:paraId="5DEBC658" w14:textId="77777777" w:rsidR="00EE28CE" w:rsidRPr="006179AE" w:rsidRDefault="00EE28CE" w:rsidP="00A61E97">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1d</w:t>
                              </w:r>
                            </w:p>
                          </w:txbxContent>
                        </v:textbox>
                      </v:oval>
                      <v:shape id="رابط كسهم مستقيم 78" o:spid="_x0000_s1048" type="#_x0000_t32" style="position:absolute;left:95;top:13810;width:2327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" strokecolor="windowText" strokeweight="2pt">
                        <v:stroke endarrow="open"/>
                        <v:shadow on="t" color="black" opacity="24903f" origin=",.5" offset="0,.55556mm"/>
                      </v:shape>
                      <v:oval id="Oval 2024668143" o:spid="_x0000_s1049" style="position:absolute;left:13282;top:12962;width:5887;height:1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" fillcolor="window" strokecolor="#f79646" strokeweight="2pt">
                        <v:textbox>
                          <w:txbxContent>
                            <w:p w14:paraId="5CCA6BC6" w14:textId="77777777" w:rsidR="00EE28CE" w:rsidRPr="006179AE" w:rsidRDefault="00EE28CE" w:rsidP="00A61E97">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1e</w:t>
                              </w:r>
                            </w:p>
                          </w:txbxContent>
                        </v:textbox>
                      </v:oval>
                    </v:group>
                  </v:group>
                  <v:rect id="مستطيل 80" o:spid="_x0000_s1050" style="position:absolute;left:38560;top:3149;width:18595;height:59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" fillcolor="window" strokecolor="#f79646" strokeweight="2pt">
                    <v:textbox>
                      <w:txbxContent>
                        <w:p w14:paraId="6DA044B2" w14:textId="77777777" w:rsidR="00EE28CE" w:rsidRPr="007E633A" w:rsidRDefault="00EE28CE" w:rsidP="00A61E97">
                          <w:pPr>
                            <w:jc w:val="center"/>
                            <w:rPr>
                              <w:rFonts w:asciiTheme="majorBidi" w:hAnsiTheme="majorBidi" w:cstheme="majorBidi"/>
                              <w:b/>
                              <w:bCs/>
                              <w:sz w:val="28"/>
                              <w:szCs w:val="28"/>
                              <w:rtl/>
                            </w:rPr>
                          </w:pPr>
                          <w:r w:rsidRPr="007E633A">
                            <w:rPr>
                              <w:rFonts w:asciiTheme="majorBidi" w:hAnsiTheme="majorBidi" w:cstheme="majorBidi" w:hint="cs"/>
                              <w:b/>
                              <w:bCs/>
                              <w:sz w:val="28"/>
                              <w:szCs w:val="28"/>
                              <w:rtl/>
                            </w:rPr>
                            <w:t>المتغير المستقل</w:t>
                          </w:r>
                        </w:p>
                        <w:p w14:paraId="38785FF8" w14:textId="77777777" w:rsidR="00EE28CE" w:rsidRPr="007E633A" w:rsidRDefault="00EE28CE" w:rsidP="00A61E97">
                          <w:pPr>
                            <w:jc w:val="center"/>
                            <w:rPr>
                              <w:rFonts w:asciiTheme="majorBidi" w:hAnsiTheme="majorBidi" w:cstheme="majorBidi"/>
                              <w:b/>
                              <w:bCs/>
                              <w:sz w:val="28"/>
                              <w:szCs w:val="28"/>
                              <w:rtl/>
                            </w:rPr>
                          </w:pPr>
                          <w:r w:rsidRPr="007E633A">
                            <w:rPr>
                              <w:rFonts w:asciiTheme="majorBidi" w:hAnsiTheme="majorBidi" w:cstheme="majorBidi" w:hint="cs"/>
                              <w:b/>
                              <w:bCs/>
                              <w:sz w:val="28"/>
                              <w:szCs w:val="28"/>
                              <w:rtl/>
                            </w:rPr>
                            <w:t>التخطيط الاستراتيجي</w:t>
                          </w:r>
                        </w:p>
                        <w:p w14:paraId="7D0677F2" w14:textId="77777777" w:rsidR="00EE28CE" w:rsidRDefault="00EE28CE" w:rsidP="00A61E97">
                          <w:pPr>
                            <w:jc w:val="center"/>
                          </w:pPr>
                        </w:p>
                      </w:txbxContent>
                    </v:textbox>
                  </v:rect>
                </v:group>
              </v:group>
            </w:pict>
          </mc:Fallback>
        </mc:AlternateContent>
      </w:r>
    </w:p>
    <w:p w14:paraId="7E5BCE94" w14:textId="77777777" w:rsidR="007E1848" w:rsidRPr="008917EC" w:rsidRDefault="007E1848" w:rsidP="007E1848">
      <w:pPr>
        <w:bidi/>
        <w:spacing w:after="0" w:line="360" w:lineRule="auto"/>
        <w:ind w:firstLine="720"/>
        <w:jc w:val="both"/>
        <w:rPr>
          <w:rFonts w:ascii="Traditional Arabic" w:hAnsi="Traditional Arabic" w:cs="Traditional Arabic"/>
          <w:sz w:val="32"/>
          <w:szCs w:val="32"/>
          <w:lang w:val="en-US"/>
        </w:rPr>
      </w:pPr>
    </w:p>
    <w:p w14:paraId="231111AF" w14:textId="77777777" w:rsidR="007E1848" w:rsidRPr="008917EC" w:rsidRDefault="007E1848" w:rsidP="007E1848">
      <w:pPr>
        <w:bidi/>
        <w:spacing w:after="0" w:line="360" w:lineRule="auto"/>
        <w:ind w:firstLine="720"/>
        <w:jc w:val="both"/>
        <w:rPr>
          <w:rFonts w:ascii="Traditional Arabic" w:hAnsi="Traditional Arabic" w:cs="Traditional Arabic"/>
          <w:sz w:val="32"/>
          <w:szCs w:val="32"/>
          <w:lang w:val="en-US"/>
        </w:rPr>
      </w:pPr>
    </w:p>
    <w:p w14:paraId="60E01B3F" w14:textId="77777777" w:rsidR="007E1848" w:rsidRPr="008917EC" w:rsidRDefault="007E1848" w:rsidP="007E1848">
      <w:pPr>
        <w:bidi/>
        <w:spacing w:after="0" w:line="360" w:lineRule="auto"/>
        <w:ind w:firstLine="720"/>
        <w:jc w:val="both"/>
        <w:rPr>
          <w:rFonts w:ascii="Traditional Arabic" w:hAnsi="Traditional Arabic" w:cs="Traditional Arabic"/>
          <w:sz w:val="32"/>
          <w:szCs w:val="32"/>
          <w:lang w:val="en-US"/>
        </w:rPr>
      </w:pPr>
    </w:p>
    <w:p w14:paraId="10823454" w14:textId="77777777" w:rsidR="00A61E97" w:rsidRPr="008917EC" w:rsidRDefault="00A61E97" w:rsidP="00A61E97">
      <w:pPr>
        <w:bidi/>
        <w:spacing w:after="0" w:line="360" w:lineRule="auto"/>
        <w:jc w:val="both"/>
        <w:rPr>
          <w:rFonts w:ascii="Traditional Arabic" w:hAnsi="Traditional Arabic" w:cs="Traditional Arabic"/>
          <w:sz w:val="28"/>
          <w:szCs w:val="28"/>
          <w:rtl/>
          <w:lang w:val="en-US"/>
        </w:rPr>
      </w:pPr>
    </w:p>
    <w:p w14:paraId="6E1E3854" w14:textId="77777777" w:rsidR="00A61E97" w:rsidRPr="008917EC" w:rsidRDefault="00A61E97" w:rsidP="00A61E97">
      <w:pPr>
        <w:spacing w:after="0" w:line="360" w:lineRule="auto"/>
        <w:jc w:val="both"/>
        <w:rPr>
          <w:rFonts w:ascii="Traditional Arabic" w:hAnsi="Traditional Arabic" w:cs="Traditional Arabic"/>
          <w:sz w:val="28"/>
          <w:szCs w:val="28"/>
          <w:rtl/>
        </w:rPr>
      </w:pPr>
    </w:p>
    <w:p w14:paraId="1863E91A" w14:textId="77777777" w:rsidR="00A61E97" w:rsidRPr="008917EC" w:rsidRDefault="00A61E97" w:rsidP="00A61E97">
      <w:pPr>
        <w:spacing w:after="0" w:line="360" w:lineRule="auto"/>
        <w:jc w:val="both"/>
        <w:rPr>
          <w:rFonts w:ascii="Traditional Arabic" w:hAnsi="Traditional Arabic" w:cs="Traditional Arabic"/>
          <w:sz w:val="28"/>
          <w:szCs w:val="28"/>
        </w:rPr>
      </w:pPr>
    </w:p>
    <w:p w14:paraId="29478DD0" w14:textId="77777777" w:rsidR="00786EC0" w:rsidRDefault="00786EC0" w:rsidP="00A61E97">
      <w:pPr>
        <w:pStyle w:val="Heading1"/>
        <w:spacing w:before="0" w:line="360" w:lineRule="auto"/>
        <w:jc w:val="center"/>
        <w:rPr>
          <w:rFonts w:ascii="Traditional Arabic" w:eastAsia="Times New Roman" w:hAnsi="Traditional Arabic" w:cs="Traditional Arabic"/>
          <w:b/>
          <w:bCs/>
          <w:color w:val="auto"/>
          <w:sz w:val="28"/>
          <w:szCs w:val="28"/>
          <w:rtl/>
          <w:lang w:val="en-GB" w:eastAsia="en-GB"/>
        </w:rPr>
      </w:pPr>
      <w:bookmarkStart w:id="6" w:name="_Toc205057544"/>
    </w:p>
    <w:p w14:paraId="39181FE8" w14:textId="77777777" w:rsidR="00786EC0" w:rsidRDefault="00786EC0" w:rsidP="00A61E97">
      <w:pPr>
        <w:pStyle w:val="Heading1"/>
        <w:spacing w:before="0" w:line="360" w:lineRule="auto"/>
        <w:jc w:val="center"/>
        <w:rPr>
          <w:rFonts w:ascii="Traditional Arabic" w:eastAsia="Times New Roman" w:hAnsi="Traditional Arabic" w:cs="Traditional Arabic"/>
          <w:b/>
          <w:bCs/>
          <w:color w:val="auto"/>
          <w:sz w:val="28"/>
          <w:szCs w:val="28"/>
          <w:rtl/>
          <w:lang w:val="en-GB" w:eastAsia="en-GB"/>
        </w:rPr>
      </w:pPr>
    </w:p>
    <w:p w14:paraId="436A5171" w14:textId="77777777" w:rsidR="00786EC0" w:rsidRDefault="00786EC0" w:rsidP="00A61E97">
      <w:pPr>
        <w:pStyle w:val="Heading1"/>
        <w:spacing w:before="0" w:line="360" w:lineRule="auto"/>
        <w:jc w:val="center"/>
        <w:rPr>
          <w:rFonts w:ascii="Traditional Arabic" w:eastAsia="Times New Roman" w:hAnsi="Traditional Arabic" w:cs="Traditional Arabic"/>
          <w:b/>
          <w:bCs/>
          <w:color w:val="auto"/>
          <w:sz w:val="28"/>
          <w:szCs w:val="28"/>
          <w:rtl/>
          <w:lang w:val="en-GB" w:eastAsia="en-GB"/>
        </w:rPr>
      </w:pPr>
    </w:p>
    <w:p w14:paraId="3EB7DAFD" w14:textId="77777777" w:rsidR="00786EC0" w:rsidRDefault="00786EC0" w:rsidP="00A61E97">
      <w:pPr>
        <w:pStyle w:val="Heading1"/>
        <w:spacing w:before="0" w:line="360" w:lineRule="auto"/>
        <w:jc w:val="center"/>
        <w:rPr>
          <w:rFonts w:ascii="Traditional Arabic" w:eastAsia="Times New Roman" w:hAnsi="Traditional Arabic" w:cs="Traditional Arabic"/>
          <w:b/>
          <w:bCs/>
          <w:color w:val="auto"/>
          <w:sz w:val="28"/>
          <w:szCs w:val="28"/>
          <w:rtl/>
          <w:lang w:val="en-GB" w:eastAsia="en-GB"/>
        </w:rPr>
      </w:pPr>
    </w:p>
    <w:p w14:paraId="2E58F141" w14:textId="77777777" w:rsidR="00786EC0" w:rsidRDefault="00786EC0" w:rsidP="00A61E97">
      <w:pPr>
        <w:pStyle w:val="Heading1"/>
        <w:spacing w:before="0" w:line="360" w:lineRule="auto"/>
        <w:jc w:val="center"/>
        <w:rPr>
          <w:rFonts w:ascii="Traditional Arabic" w:eastAsia="Times New Roman" w:hAnsi="Traditional Arabic" w:cs="Traditional Arabic"/>
          <w:b/>
          <w:bCs/>
          <w:color w:val="auto"/>
          <w:sz w:val="28"/>
          <w:szCs w:val="28"/>
          <w:rtl/>
          <w:lang w:val="en-GB" w:eastAsia="en-GB"/>
        </w:rPr>
      </w:pPr>
    </w:p>
    <w:p w14:paraId="4BF24437" w14:textId="77777777" w:rsidR="00A61E97" w:rsidRPr="008917EC" w:rsidRDefault="00A61E97" w:rsidP="00A61E97">
      <w:pPr>
        <w:pStyle w:val="Heading1"/>
        <w:spacing w:before="0" w:line="360" w:lineRule="auto"/>
        <w:jc w:val="center"/>
        <w:rPr>
          <w:rFonts w:ascii="Traditional Arabic" w:eastAsia="Times New Roman" w:hAnsi="Traditional Arabic" w:cs="Traditional Arabic"/>
          <w:b/>
          <w:bCs/>
          <w:color w:val="auto"/>
          <w:sz w:val="28"/>
          <w:szCs w:val="28"/>
          <w:rtl/>
          <w:lang w:eastAsia="en-GB"/>
        </w:rPr>
      </w:pPr>
      <w:r w:rsidRPr="008917EC">
        <w:rPr>
          <w:rFonts w:ascii="Traditional Arabic" w:eastAsia="Times New Roman" w:hAnsi="Traditional Arabic" w:cs="Traditional Arabic"/>
          <w:b/>
          <w:bCs/>
          <w:color w:val="auto"/>
          <w:sz w:val="28"/>
          <w:szCs w:val="28"/>
          <w:rtl/>
          <w:lang w:val="en-GB" w:eastAsia="en-GB"/>
        </w:rPr>
        <w:t>الشكل</w:t>
      </w:r>
      <w:r w:rsidRPr="008917EC">
        <w:rPr>
          <w:rFonts w:ascii="Traditional Arabic" w:eastAsia="Times New Roman" w:hAnsi="Traditional Arabic" w:cs="Traditional Arabic" w:hint="cs"/>
          <w:b/>
          <w:bCs/>
          <w:color w:val="auto"/>
          <w:sz w:val="28"/>
          <w:szCs w:val="28"/>
          <w:rtl/>
          <w:lang w:val="en-GB" w:eastAsia="en-GB"/>
        </w:rPr>
        <w:t xml:space="preserve"> رقم </w:t>
      </w:r>
      <w:r w:rsidRPr="008917EC">
        <w:rPr>
          <w:rFonts w:ascii="Traditional Arabic" w:eastAsia="Times New Roman" w:hAnsi="Traditional Arabic" w:cs="Traditional Arabic"/>
          <w:b/>
          <w:bCs/>
          <w:color w:val="auto"/>
          <w:sz w:val="28"/>
          <w:szCs w:val="28"/>
          <w:rtl/>
          <w:lang w:eastAsia="en-GB"/>
        </w:rPr>
        <w:t>(</w:t>
      </w:r>
      <w:r w:rsidRPr="008917EC">
        <w:rPr>
          <w:rFonts w:ascii="Traditional Arabic" w:eastAsia="Times New Roman" w:hAnsi="Traditional Arabic" w:cs="Traditional Arabic" w:hint="cs"/>
          <w:b/>
          <w:bCs/>
          <w:color w:val="auto"/>
          <w:sz w:val="28"/>
          <w:szCs w:val="28"/>
          <w:rtl/>
          <w:lang w:eastAsia="en-GB"/>
        </w:rPr>
        <w:t>1</w:t>
      </w:r>
      <w:r w:rsidRPr="008917EC">
        <w:rPr>
          <w:rFonts w:ascii="Traditional Arabic" w:eastAsia="Times New Roman" w:hAnsi="Traditional Arabic" w:cs="Traditional Arabic"/>
          <w:b/>
          <w:bCs/>
          <w:color w:val="auto"/>
          <w:sz w:val="28"/>
          <w:szCs w:val="28"/>
          <w:rtl/>
          <w:lang w:eastAsia="en-GB"/>
        </w:rPr>
        <w:t xml:space="preserve">) </w:t>
      </w:r>
      <w:r w:rsidRPr="008917EC">
        <w:rPr>
          <w:rFonts w:ascii="Traditional Arabic" w:eastAsia="Times New Roman" w:hAnsi="Traditional Arabic" w:cs="Traditional Arabic" w:hint="cs"/>
          <w:b/>
          <w:bCs/>
          <w:color w:val="auto"/>
          <w:sz w:val="28"/>
          <w:szCs w:val="28"/>
          <w:rtl/>
          <w:lang w:eastAsia="en-GB"/>
        </w:rPr>
        <w:t xml:space="preserve">نموذج الدراسة والذي </w:t>
      </w:r>
      <w:r w:rsidRPr="008917EC">
        <w:rPr>
          <w:rFonts w:ascii="Traditional Arabic" w:eastAsia="Times New Roman" w:hAnsi="Traditional Arabic" w:cs="Traditional Arabic"/>
          <w:b/>
          <w:bCs/>
          <w:color w:val="auto"/>
          <w:sz w:val="28"/>
          <w:szCs w:val="28"/>
          <w:rtl/>
          <w:lang w:val="en-GB" w:eastAsia="en-GB"/>
        </w:rPr>
        <w:t>يوضح الارتباط بين أبعاد المتغير المستقل والمتغير التابع</w:t>
      </w:r>
      <w:r w:rsidRPr="008917EC">
        <w:rPr>
          <w:rFonts w:ascii="Traditional Arabic" w:eastAsia="Times New Roman" w:hAnsi="Traditional Arabic" w:cs="Traditional Arabic" w:hint="cs"/>
          <w:b/>
          <w:bCs/>
          <w:color w:val="auto"/>
          <w:sz w:val="28"/>
          <w:szCs w:val="28"/>
          <w:rtl/>
          <w:lang w:val="en-GB" w:eastAsia="en-GB"/>
        </w:rPr>
        <w:t xml:space="preserve"> </w:t>
      </w:r>
      <w:r w:rsidRPr="008917EC">
        <w:rPr>
          <w:rFonts w:ascii="Traditional Arabic" w:eastAsia="Times New Roman" w:hAnsi="Traditional Arabic" w:cs="Traditional Arabic"/>
          <w:b/>
          <w:bCs/>
          <w:color w:val="auto"/>
          <w:sz w:val="28"/>
          <w:szCs w:val="28"/>
          <w:rtl/>
          <w:lang w:val="en-GB" w:eastAsia="en-GB"/>
        </w:rPr>
        <w:t>وفق</w:t>
      </w:r>
      <w:r w:rsidRPr="008917EC">
        <w:rPr>
          <w:rFonts w:ascii="Traditional Arabic" w:eastAsia="Times New Roman" w:hAnsi="Traditional Arabic" w:cs="Traditional Arabic" w:hint="cs"/>
          <w:b/>
          <w:bCs/>
          <w:color w:val="auto"/>
          <w:sz w:val="28"/>
          <w:szCs w:val="28"/>
          <w:rtl/>
          <w:lang w:val="en-GB" w:eastAsia="en-GB"/>
        </w:rPr>
        <w:t>ا</w:t>
      </w:r>
      <w:r w:rsidRPr="008917EC">
        <w:rPr>
          <w:rFonts w:ascii="Traditional Arabic" w:eastAsia="Times New Roman" w:hAnsi="Traditional Arabic" w:cs="Traditional Arabic"/>
          <w:b/>
          <w:bCs/>
          <w:color w:val="auto"/>
          <w:sz w:val="28"/>
          <w:szCs w:val="28"/>
          <w:rtl/>
          <w:lang w:eastAsia="en-GB"/>
        </w:rPr>
        <w:t xml:space="preserve"> الفروض</w:t>
      </w:r>
      <w:bookmarkEnd w:id="6"/>
    </w:p>
    <w:p w14:paraId="282FCD8B" w14:textId="77777777" w:rsidR="00A61E97" w:rsidRPr="008917EC" w:rsidRDefault="00A61E97" w:rsidP="002068E6">
      <w:pPr>
        <w:pStyle w:val="Heading1"/>
        <w:spacing w:before="0" w:line="360" w:lineRule="auto"/>
        <w:jc w:val="center"/>
        <w:rPr>
          <w:rFonts w:ascii="Traditional Arabic" w:eastAsia="Times New Roman" w:hAnsi="Traditional Arabic" w:cs="Traditional Arabic"/>
          <w:b/>
          <w:bCs/>
          <w:color w:val="auto"/>
          <w:sz w:val="28"/>
          <w:szCs w:val="28"/>
          <w:rtl/>
          <w:lang w:eastAsia="en-GB"/>
        </w:rPr>
      </w:pPr>
      <w:r w:rsidRPr="008917EC">
        <w:rPr>
          <w:rFonts w:ascii="Traditional Arabic" w:eastAsia="Times New Roman" w:hAnsi="Traditional Arabic" w:cs="Traditional Arabic" w:hint="cs"/>
          <w:b/>
          <w:bCs/>
          <w:color w:val="auto"/>
          <w:sz w:val="28"/>
          <w:szCs w:val="28"/>
          <w:rtl/>
          <w:lang w:eastAsia="en-GB"/>
        </w:rPr>
        <w:t>*</w:t>
      </w:r>
      <w:r w:rsidRPr="008917EC">
        <w:rPr>
          <w:rFonts w:ascii="Traditional Arabic" w:eastAsia="Times New Roman" w:hAnsi="Traditional Arabic" w:cs="Traditional Arabic"/>
          <w:color w:val="auto"/>
          <w:sz w:val="28"/>
          <w:szCs w:val="28"/>
          <w:rtl/>
          <w:lang w:eastAsia="en-GB"/>
        </w:rPr>
        <w:t>من إعداد الباحثة مستنداً للمصدر</w:t>
      </w:r>
      <w:r w:rsidRPr="008917EC">
        <w:rPr>
          <w:rFonts w:ascii="Traditional Arabic" w:eastAsia="Times New Roman" w:hAnsi="Traditional Arabic" w:cs="Traditional Arabic" w:hint="cs"/>
          <w:color w:val="auto"/>
          <w:sz w:val="28"/>
          <w:szCs w:val="28"/>
          <w:rtl/>
          <w:lang w:eastAsia="en-GB"/>
        </w:rPr>
        <w:t xml:space="preserve"> </w:t>
      </w:r>
      <w:r w:rsidRPr="008917EC">
        <w:rPr>
          <w:rFonts w:ascii="Traditional Arabic" w:eastAsia="Times New Roman" w:hAnsi="Traditional Arabic" w:cs="Traditional Arabic"/>
          <w:color w:val="auto"/>
          <w:sz w:val="28"/>
          <w:szCs w:val="28"/>
          <w:rtl/>
          <w:lang w:eastAsia="en-GB"/>
        </w:rPr>
        <w:t>(</w:t>
      </w:r>
      <w:r w:rsidRPr="008917EC">
        <w:rPr>
          <w:rFonts w:ascii="Traditional Arabic" w:hAnsi="Traditional Arabic" w:cs="Traditional Arabic"/>
          <w:color w:val="auto"/>
          <w:sz w:val="28"/>
          <w:szCs w:val="28"/>
        </w:rPr>
        <w:t>Elwakel, 2025; Mardiani et al., 2023</w:t>
      </w:r>
      <w:r w:rsidRPr="008917EC">
        <w:rPr>
          <w:rFonts w:ascii="Traditional Arabic" w:hAnsi="Traditional Arabic" w:cs="Traditional Arabic"/>
          <w:color w:val="auto"/>
          <w:sz w:val="28"/>
          <w:szCs w:val="28"/>
          <w:rtl/>
        </w:rPr>
        <w:t>).</w:t>
      </w:r>
    </w:p>
    <w:p w14:paraId="4CED25FC" w14:textId="77777777" w:rsidR="00F72BC0" w:rsidRPr="008917EC" w:rsidRDefault="00F72BC0" w:rsidP="00F72BC0">
      <w:pPr>
        <w:bidi/>
        <w:jc w:val="both"/>
        <w:rPr>
          <w:rFonts w:ascii="Traditional Arabic" w:hAnsi="Traditional Arabic" w:cs="Traditional Arabic"/>
          <w:sz w:val="28"/>
          <w:szCs w:val="28"/>
          <w:lang w:val="en-US"/>
        </w:rPr>
      </w:pPr>
    </w:p>
    <w:p w14:paraId="7FF40C01" w14:textId="77777777" w:rsidR="00C04087" w:rsidRDefault="00C04087" w:rsidP="00236B3F">
      <w:pPr>
        <w:bidi/>
        <w:spacing w:line="360" w:lineRule="auto"/>
        <w:jc w:val="both"/>
        <w:rPr>
          <w:rFonts w:ascii="Traditional Arabic" w:hAnsi="Traditional Arabic" w:cs="Traditional Arabic"/>
          <w:b/>
          <w:bCs/>
          <w:sz w:val="32"/>
          <w:szCs w:val="32"/>
          <w:rtl/>
          <w:lang w:val="en-US"/>
        </w:rPr>
      </w:pPr>
    </w:p>
    <w:p w14:paraId="16C80E0A" w14:textId="77777777" w:rsidR="003335B5" w:rsidRDefault="003335B5" w:rsidP="00C04087">
      <w:pPr>
        <w:bidi/>
        <w:spacing w:line="360" w:lineRule="auto"/>
        <w:jc w:val="both"/>
        <w:rPr>
          <w:rFonts w:ascii="Traditional Arabic" w:hAnsi="Traditional Arabic" w:cs="Traditional Arabic"/>
          <w:b/>
          <w:bCs/>
          <w:sz w:val="32"/>
          <w:szCs w:val="32"/>
          <w:highlight w:val="cyan"/>
          <w:rtl/>
          <w:lang w:val="en-US"/>
        </w:rPr>
      </w:pPr>
    </w:p>
    <w:p w14:paraId="168A16ED" w14:textId="77777777" w:rsidR="003335B5" w:rsidRDefault="003335B5" w:rsidP="003335B5">
      <w:pPr>
        <w:bidi/>
        <w:spacing w:line="360" w:lineRule="auto"/>
        <w:jc w:val="both"/>
        <w:rPr>
          <w:rFonts w:ascii="Traditional Arabic" w:hAnsi="Traditional Arabic" w:cs="Traditional Arabic"/>
          <w:b/>
          <w:bCs/>
          <w:sz w:val="32"/>
          <w:szCs w:val="32"/>
          <w:highlight w:val="cyan"/>
          <w:rtl/>
          <w:lang w:val="en-US"/>
        </w:rPr>
      </w:pPr>
    </w:p>
    <w:p w14:paraId="0020801B" w14:textId="13CF6609" w:rsidR="00C04087" w:rsidRPr="003335B5" w:rsidRDefault="00C04087" w:rsidP="003335B5">
      <w:pPr>
        <w:bidi/>
        <w:spacing w:line="360" w:lineRule="auto"/>
        <w:jc w:val="both"/>
        <w:rPr>
          <w:rFonts w:ascii="Traditional Arabic" w:hAnsi="Traditional Arabic" w:cs="Traditional Arabic"/>
          <w:b/>
          <w:bCs/>
          <w:sz w:val="32"/>
          <w:szCs w:val="32"/>
          <w:lang w:val="en-US"/>
        </w:rPr>
      </w:pPr>
      <w:r w:rsidRPr="003335B5">
        <w:rPr>
          <w:rFonts w:ascii="Traditional Arabic" w:hAnsi="Traditional Arabic" w:cs="Traditional Arabic"/>
          <w:b/>
          <w:bCs/>
          <w:sz w:val="32"/>
          <w:szCs w:val="32"/>
          <w:rtl/>
          <w:lang w:val="en-US"/>
        </w:rPr>
        <w:lastRenderedPageBreak/>
        <w:t>ملامح منهجية الدراسة وخطة التحليل الإحصائي</w:t>
      </w:r>
    </w:p>
    <w:p w14:paraId="79DF407B" w14:textId="1C643CF5" w:rsidR="00C04087" w:rsidRPr="003335B5" w:rsidRDefault="00C04087" w:rsidP="00C04087">
      <w:pPr>
        <w:bidi/>
        <w:spacing w:line="360" w:lineRule="auto"/>
        <w:jc w:val="both"/>
        <w:rPr>
          <w:rFonts w:ascii="Traditional Arabic" w:hAnsi="Traditional Arabic" w:cs="Traditional Arabic"/>
          <w:sz w:val="32"/>
          <w:szCs w:val="32"/>
          <w:lang w:val="en-US"/>
        </w:rPr>
      </w:pPr>
      <w:r w:rsidRPr="003335B5">
        <w:rPr>
          <w:rFonts w:ascii="Traditional Arabic" w:hAnsi="Traditional Arabic" w:cs="Traditional Arabic"/>
          <w:sz w:val="32"/>
          <w:szCs w:val="32"/>
          <w:rtl/>
          <w:lang w:val="en-US"/>
        </w:rPr>
        <w:t>تعتمد هذه الدراسة تصميمًا مقطعيًا</w:t>
      </w:r>
      <w:r w:rsidRPr="003335B5">
        <w:rPr>
          <w:rFonts w:ascii="Traditional Arabic" w:hAnsi="Traditional Arabic" w:cs="Traditional Arabic"/>
          <w:sz w:val="32"/>
          <w:szCs w:val="32"/>
          <w:lang w:val="en-US"/>
        </w:rPr>
        <w:t xml:space="preserve"> (Cross-Sectional Design) </w:t>
      </w:r>
      <w:r w:rsidRPr="003335B5">
        <w:rPr>
          <w:rFonts w:ascii="Traditional Arabic" w:hAnsi="Traditional Arabic" w:cs="Traditional Arabic"/>
          <w:sz w:val="32"/>
          <w:szCs w:val="32"/>
          <w:rtl/>
          <w:lang w:val="en-US"/>
        </w:rPr>
        <w:t xml:space="preserve">لقياس العلاقة بين مستوى نضج التخطيط الاستراتيجي والتكامل المؤسسي كما تظهر في نقطة زمنية واحدة. وتم تطوير أداة القياس في صورة استبانة موجهة إلى القيادات الإدارية والعاملين في وحدات التخطيط والتنسيق المؤسسي داخل المنظمات التابعة </w:t>
      </w:r>
      <w:r w:rsidR="003335B5">
        <w:rPr>
          <w:rFonts w:ascii="Traditional Arabic" w:hAnsi="Traditional Arabic" w:cs="Traditional Arabic" w:hint="cs"/>
          <w:sz w:val="32"/>
          <w:szCs w:val="32"/>
          <w:rtl/>
          <w:lang w:val="en-US"/>
        </w:rPr>
        <w:t xml:space="preserve">لمجلس التعاون الخليجي </w:t>
      </w:r>
      <w:r w:rsidRPr="003335B5">
        <w:rPr>
          <w:rFonts w:ascii="Traditional Arabic" w:hAnsi="Traditional Arabic" w:cs="Traditional Arabic"/>
          <w:sz w:val="32"/>
          <w:szCs w:val="32"/>
          <w:rtl/>
          <w:lang w:val="en-US"/>
        </w:rPr>
        <w:t>، نظرًا لارتباطهم المباشر بموضوع الدراسة. ونظرًا لمحدودية عدد هذه المنظمات ومحدودية الفئات الوظيفية المستهدفة داخل كل منها، فقد تم اعتماد أسلوب التعداد الشامل بوصفه الحد الأدنى المقبول للحصول على حجم عينة يسمح بإجراء التحليلات الإحصائية المطلوبة</w:t>
      </w:r>
      <w:r w:rsidRPr="003335B5">
        <w:rPr>
          <w:rFonts w:ascii="Traditional Arabic" w:hAnsi="Traditional Arabic" w:cs="Traditional Arabic"/>
          <w:sz w:val="32"/>
          <w:szCs w:val="32"/>
          <w:lang w:val="en-US"/>
        </w:rPr>
        <w:t>.</w:t>
      </w:r>
    </w:p>
    <w:p w14:paraId="04B9A321" w14:textId="77777777" w:rsidR="00C04087" w:rsidRPr="003335B5" w:rsidRDefault="00C04087" w:rsidP="00C04087">
      <w:pPr>
        <w:bidi/>
        <w:spacing w:line="360" w:lineRule="auto"/>
        <w:jc w:val="both"/>
        <w:rPr>
          <w:rFonts w:ascii="Traditional Arabic" w:hAnsi="Traditional Arabic" w:cs="Traditional Arabic"/>
          <w:sz w:val="32"/>
          <w:szCs w:val="32"/>
          <w:lang w:val="en-US"/>
        </w:rPr>
      </w:pPr>
      <w:r w:rsidRPr="003335B5">
        <w:rPr>
          <w:rFonts w:ascii="Traditional Arabic" w:hAnsi="Traditional Arabic" w:cs="Traditional Arabic"/>
          <w:sz w:val="32"/>
          <w:szCs w:val="32"/>
          <w:rtl/>
          <w:lang w:val="en-US"/>
        </w:rPr>
        <w:t>وسيتم تحليل البيانات باستخدام الإحصاءات الوصفية لقياس مستوى نضج التخطيط الاستراتيجي ومستوى التكامل المؤسسي، يليها تحليل الارتباط لفحص العلاقات الأولية بين المتغيرات. كما سيتم اختبار الفرضية الرئيسة والفرضيات الفرعية باستخدام تحليل الانحدار البسيط والمتعدد من أجل تحديد قوة الأثر واتجاهه ومستوى الدلالة الإحصائية</w:t>
      </w:r>
      <w:r w:rsidRPr="003335B5">
        <w:rPr>
          <w:rFonts w:ascii="Traditional Arabic" w:hAnsi="Traditional Arabic" w:cs="Traditional Arabic"/>
          <w:sz w:val="32"/>
          <w:szCs w:val="32"/>
          <w:lang w:val="en-US"/>
        </w:rPr>
        <w:t>.</w:t>
      </w:r>
    </w:p>
    <w:p w14:paraId="507D809E" w14:textId="77777777" w:rsidR="00C04087" w:rsidRPr="00C04087" w:rsidRDefault="00C04087" w:rsidP="00C04087">
      <w:pPr>
        <w:bidi/>
        <w:spacing w:line="360" w:lineRule="auto"/>
        <w:jc w:val="both"/>
        <w:rPr>
          <w:rFonts w:ascii="Traditional Arabic" w:hAnsi="Traditional Arabic" w:cs="Traditional Arabic"/>
          <w:b/>
          <w:bCs/>
          <w:sz w:val="32"/>
          <w:szCs w:val="32"/>
          <w:rtl/>
          <w:lang w:val="en-US"/>
        </w:rPr>
      </w:pPr>
    </w:p>
    <w:p w14:paraId="40D7223E" w14:textId="77777777" w:rsidR="00236B3F" w:rsidRPr="008917EC" w:rsidRDefault="00236B3F" w:rsidP="00C04087">
      <w:pPr>
        <w:bidi/>
        <w:spacing w:line="360" w:lineRule="auto"/>
        <w:jc w:val="both"/>
        <w:rPr>
          <w:rFonts w:ascii="Traditional Arabic" w:hAnsi="Traditional Arabic" w:cs="Traditional Arabic"/>
          <w:b/>
          <w:bCs/>
          <w:sz w:val="32"/>
          <w:szCs w:val="32"/>
          <w:lang w:val="en-US"/>
        </w:rPr>
      </w:pPr>
      <w:r w:rsidRPr="008917EC">
        <w:rPr>
          <w:rFonts w:ascii="Traditional Arabic" w:hAnsi="Traditional Arabic" w:cs="Traditional Arabic"/>
          <w:b/>
          <w:bCs/>
          <w:sz w:val="32"/>
          <w:szCs w:val="32"/>
          <w:rtl/>
          <w:lang w:val="en-US"/>
        </w:rPr>
        <w:t>تنظيم الفصول</w:t>
      </w:r>
    </w:p>
    <w:p w14:paraId="18497B5E" w14:textId="77777777" w:rsidR="00236B3F" w:rsidRPr="008917EC" w:rsidRDefault="00236B3F" w:rsidP="00236B3F">
      <w:pPr>
        <w:bidi/>
        <w:spacing w:line="360" w:lineRule="auto"/>
        <w:ind w:firstLine="720"/>
        <w:jc w:val="both"/>
        <w:rPr>
          <w:rFonts w:ascii="Traditional Arabic" w:hAnsi="Traditional Arabic" w:cs="Traditional Arabic"/>
          <w:sz w:val="32"/>
          <w:szCs w:val="32"/>
          <w:lang w:val="en-US"/>
        </w:rPr>
      </w:pPr>
      <w:r w:rsidRPr="008917EC">
        <w:rPr>
          <w:rFonts w:ascii="Traditional Arabic" w:hAnsi="Traditional Arabic" w:cs="Traditional Arabic"/>
          <w:sz w:val="32"/>
          <w:szCs w:val="32"/>
          <w:rtl/>
          <w:lang w:val="en-US"/>
        </w:rPr>
        <w:t xml:space="preserve">يتكون هذا البحث من خمسة فصول رئيسية. يتناول الفصل الثاني الأدبيات والدراسات السابقة ذات الصلة بمستوى نضج التخطيط الاستراتيجي والتكامل المؤسسي، إضافة إلى تطوير النموذج المفاهيمي للدراسة والمتغيرات وأبعادها. ويعرض الفصل الثالث منهجية الدراسة، وعينة البحث، وأداة القياس، وإجراءات جمع البيانات، إضافة إلى اختبارات الصدق والثبات الخاصة بالمقياس المستخدم. أما الفصل الرابع فيقدم النتائج الإحصائية المستخلصة من </w:t>
      </w:r>
      <w:r w:rsidRPr="008917EC">
        <w:rPr>
          <w:rFonts w:ascii="Traditional Arabic" w:hAnsi="Traditional Arabic" w:cs="Traditional Arabic"/>
          <w:sz w:val="32"/>
          <w:szCs w:val="32"/>
          <w:rtl/>
          <w:lang w:val="en-US"/>
        </w:rPr>
        <w:lastRenderedPageBreak/>
        <w:t>تحليل البيانات، بما في ذلك نتائج الاختبارات المتعلقة بفرضيات الدراسة. ويختص الفصل الخامس بمناقشة النتائج وربطها بالأدبيات السابقة، إضافة إلى تقديم التوصيات العملية والمقترحات البحثية المستقبلية</w:t>
      </w:r>
      <w:r w:rsidRPr="008917EC">
        <w:rPr>
          <w:rFonts w:ascii="Traditional Arabic" w:hAnsi="Traditional Arabic" w:cs="Traditional Arabic"/>
          <w:sz w:val="32"/>
          <w:szCs w:val="32"/>
          <w:lang w:val="en-US"/>
        </w:rPr>
        <w:t>.</w:t>
      </w:r>
    </w:p>
    <w:p w14:paraId="560E8CA1" w14:textId="77777777" w:rsidR="007E1848" w:rsidRPr="008917EC" w:rsidRDefault="007E1848" w:rsidP="007E1848">
      <w:pPr>
        <w:bidi/>
        <w:jc w:val="both"/>
        <w:rPr>
          <w:rFonts w:ascii="Traditional Arabic" w:hAnsi="Traditional Arabic" w:cs="Traditional Arabic"/>
          <w:sz w:val="28"/>
          <w:szCs w:val="28"/>
          <w:lang w:val="en-US"/>
        </w:rPr>
      </w:pPr>
    </w:p>
    <w:p w14:paraId="0735E145" w14:textId="77777777" w:rsidR="007E1848" w:rsidRDefault="007E1848" w:rsidP="007E1848">
      <w:pPr>
        <w:bidi/>
        <w:jc w:val="both"/>
        <w:rPr>
          <w:rFonts w:ascii="Traditional Arabic" w:hAnsi="Traditional Arabic" w:cs="Traditional Arabic"/>
          <w:sz w:val="28"/>
          <w:szCs w:val="28"/>
          <w:rtl/>
          <w:lang w:val="en-US"/>
        </w:rPr>
      </w:pPr>
    </w:p>
    <w:p w14:paraId="1E866018" w14:textId="77777777" w:rsidR="00EF1F40" w:rsidRDefault="00EF1F40" w:rsidP="00EF1F40">
      <w:pPr>
        <w:bidi/>
        <w:jc w:val="both"/>
        <w:rPr>
          <w:rFonts w:ascii="Traditional Arabic" w:hAnsi="Traditional Arabic" w:cs="Traditional Arabic"/>
          <w:sz w:val="28"/>
          <w:szCs w:val="28"/>
          <w:rtl/>
          <w:lang w:val="en-US"/>
        </w:rPr>
      </w:pPr>
    </w:p>
    <w:p w14:paraId="242144B3" w14:textId="77777777" w:rsidR="00EF1F40" w:rsidRDefault="00EF1F40" w:rsidP="00EF1F40">
      <w:pPr>
        <w:bidi/>
        <w:jc w:val="both"/>
        <w:rPr>
          <w:rFonts w:ascii="Traditional Arabic" w:hAnsi="Traditional Arabic" w:cs="Traditional Arabic"/>
          <w:sz w:val="28"/>
          <w:szCs w:val="28"/>
          <w:rtl/>
          <w:lang w:val="en-US"/>
        </w:rPr>
      </w:pPr>
    </w:p>
    <w:p w14:paraId="2B55418C" w14:textId="77777777" w:rsidR="00EF1F40" w:rsidRDefault="00EF1F40" w:rsidP="00EF1F40">
      <w:pPr>
        <w:bidi/>
        <w:jc w:val="both"/>
        <w:rPr>
          <w:rFonts w:ascii="Traditional Arabic" w:hAnsi="Traditional Arabic" w:cs="Traditional Arabic"/>
          <w:sz w:val="28"/>
          <w:szCs w:val="28"/>
          <w:rtl/>
          <w:lang w:val="en-US"/>
        </w:rPr>
      </w:pPr>
    </w:p>
    <w:p w14:paraId="00C06C62" w14:textId="77777777" w:rsidR="00EF1F40" w:rsidRDefault="00EF1F40" w:rsidP="00EF1F40">
      <w:pPr>
        <w:bidi/>
        <w:jc w:val="both"/>
        <w:rPr>
          <w:rFonts w:ascii="Traditional Arabic" w:hAnsi="Traditional Arabic" w:cs="Traditional Arabic"/>
          <w:sz w:val="28"/>
          <w:szCs w:val="28"/>
          <w:rtl/>
          <w:lang w:val="en-US"/>
        </w:rPr>
      </w:pPr>
    </w:p>
    <w:p w14:paraId="710A9AE1" w14:textId="77777777" w:rsidR="00EF1F40" w:rsidRDefault="00EF1F40" w:rsidP="00EF1F40">
      <w:pPr>
        <w:bidi/>
        <w:jc w:val="both"/>
        <w:rPr>
          <w:rFonts w:ascii="Traditional Arabic" w:hAnsi="Traditional Arabic" w:cs="Traditional Arabic"/>
          <w:sz w:val="28"/>
          <w:szCs w:val="28"/>
          <w:rtl/>
          <w:lang w:val="en-US"/>
        </w:rPr>
      </w:pPr>
    </w:p>
    <w:p w14:paraId="3EE49B2E" w14:textId="77777777" w:rsidR="00EF1F40" w:rsidRDefault="00EF1F40" w:rsidP="00EF1F40">
      <w:pPr>
        <w:bidi/>
        <w:jc w:val="both"/>
        <w:rPr>
          <w:rFonts w:ascii="Traditional Arabic" w:hAnsi="Traditional Arabic" w:cs="Traditional Arabic"/>
          <w:sz w:val="28"/>
          <w:szCs w:val="28"/>
          <w:rtl/>
          <w:lang w:val="en-US"/>
        </w:rPr>
      </w:pPr>
    </w:p>
    <w:p w14:paraId="6322193D" w14:textId="77777777" w:rsidR="00EF1F40" w:rsidRDefault="00EF1F40" w:rsidP="00EF1F40">
      <w:pPr>
        <w:bidi/>
        <w:jc w:val="both"/>
        <w:rPr>
          <w:rFonts w:ascii="Traditional Arabic" w:hAnsi="Traditional Arabic" w:cs="Traditional Arabic"/>
          <w:sz w:val="28"/>
          <w:szCs w:val="28"/>
          <w:rtl/>
          <w:lang w:val="en-US"/>
        </w:rPr>
      </w:pPr>
    </w:p>
    <w:p w14:paraId="2E2F17B9" w14:textId="77777777" w:rsidR="00EF1F40" w:rsidRDefault="00EF1F40" w:rsidP="00EF1F40">
      <w:pPr>
        <w:bidi/>
        <w:jc w:val="both"/>
        <w:rPr>
          <w:rFonts w:ascii="Traditional Arabic" w:hAnsi="Traditional Arabic" w:cs="Traditional Arabic"/>
          <w:sz w:val="28"/>
          <w:szCs w:val="28"/>
          <w:rtl/>
          <w:lang w:val="en-US"/>
        </w:rPr>
      </w:pPr>
    </w:p>
    <w:p w14:paraId="5FADD086" w14:textId="77777777" w:rsidR="00EF1F40" w:rsidRDefault="00EF1F40" w:rsidP="00EF1F40">
      <w:pPr>
        <w:bidi/>
        <w:jc w:val="both"/>
        <w:rPr>
          <w:rFonts w:ascii="Traditional Arabic" w:hAnsi="Traditional Arabic" w:cs="Traditional Arabic"/>
          <w:sz w:val="28"/>
          <w:szCs w:val="28"/>
          <w:rtl/>
          <w:lang w:val="en-US"/>
        </w:rPr>
      </w:pPr>
    </w:p>
    <w:p w14:paraId="2A2586FD" w14:textId="77777777" w:rsidR="00EF1F40" w:rsidRDefault="00EF1F40" w:rsidP="00EF1F40">
      <w:pPr>
        <w:bidi/>
        <w:jc w:val="both"/>
        <w:rPr>
          <w:rFonts w:ascii="Traditional Arabic" w:hAnsi="Traditional Arabic" w:cs="Traditional Arabic"/>
          <w:sz w:val="28"/>
          <w:szCs w:val="28"/>
          <w:rtl/>
          <w:lang w:val="en-US"/>
        </w:rPr>
      </w:pPr>
    </w:p>
    <w:p w14:paraId="7CB8575F" w14:textId="77777777" w:rsidR="00EF1F40" w:rsidRDefault="00EF1F40" w:rsidP="00EF1F40">
      <w:pPr>
        <w:bidi/>
        <w:jc w:val="both"/>
        <w:rPr>
          <w:rFonts w:ascii="Traditional Arabic" w:hAnsi="Traditional Arabic" w:cs="Traditional Arabic"/>
          <w:sz w:val="28"/>
          <w:szCs w:val="28"/>
          <w:rtl/>
          <w:lang w:val="en-US"/>
        </w:rPr>
      </w:pPr>
    </w:p>
    <w:p w14:paraId="46FCD1F2" w14:textId="77777777" w:rsidR="00EF1F40" w:rsidRDefault="00EF1F40" w:rsidP="00EF1F40">
      <w:pPr>
        <w:bidi/>
        <w:jc w:val="both"/>
        <w:rPr>
          <w:rFonts w:ascii="Traditional Arabic" w:hAnsi="Traditional Arabic" w:cs="Traditional Arabic"/>
          <w:sz w:val="28"/>
          <w:szCs w:val="28"/>
          <w:rtl/>
          <w:lang w:val="en-US"/>
        </w:rPr>
      </w:pPr>
    </w:p>
    <w:p w14:paraId="6C0F031C" w14:textId="77777777" w:rsidR="00EF1F40" w:rsidRPr="008917EC" w:rsidRDefault="00EF1F40" w:rsidP="00EF1F40">
      <w:pPr>
        <w:bidi/>
        <w:jc w:val="both"/>
        <w:rPr>
          <w:rFonts w:ascii="Traditional Arabic" w:hAnsi="Traditional Arabic" w:cs="Traditional Arabic"/>
          <w:sz w:val="28"/>
          <w:szCs w:val="28"/>
          <w:lang w:val="en-US"/>
        </w:rPr>
      </w:pPr>
    </w:p>
    <w:p w14:paraId="390FD34E" w14:textId="77777777" w:rsidR="007E1848" w:rsidRPr="00EF1F40" w:rsidRDefault="007E1848" w:rsidP="007E1848">
      <w:pPr>
        <w:bidi/>
        <w:jc w:val="both"/>
        <w:rPr>
          <w:rFonts w:ascii="Traditional Arabic" w:hAnsi="Traditional Arabic" w:cs="Traditional Arabic"/>
          <w:sz w:val="28"/>
          <w:szCs w:val="28"/>
          <w:lang w:val="en-US"/>
        </w:rPr>
      </w:pPr>
    </w:p>
    <w:p w14:paraId="11789F19" w14:textId="77777777" w:rsidR="00EF1F40" w:rsidRPr="00EF1F40" w:rsidRDefault="00EF1F40" w:rsidP="00EE28CE">
      <w:pPr>
        <w:pageBreakBefore/>
        <w:bidi/>
        <w:jc w:val="center"/>
        <w:rPr>
          <w:rFonts w:ascii="Traditional Arabic" w:eastAsia="Calibri" w:hAnsi="Traditional Arabic" w:cs="Traditional Arabic"/>
          <w:b/>
          <w:bCs/>
          <w:sz w:val="40"/>
          <w:szCs w:val="40"/>
          <w:rtl/>
        </w:rPr>
      </w:pPr>
      <w:r w:rsidRPr="00EF1F40">
        <w:rPr>
          <w:rFonts w:ascii="Traditional Arabic" w:eastAsia="Calibri" w:hAnsi="Traditional Arabic" w:cs="Traditional Arabic"/>
          <w:b/>
          <w:bCs/>
          <w:sz w:val="40"/>
          <w:szCs w:val="40"/>
          <w:rtl/>
        </w:rPr>
        <w:lastRenderedPageBreak/>
        <w:t>الفصل الثاني</w:t>
      </w:r>
    </w:p>
    <w:p w14:paraId="5B7C3E53" w14:textId="77777777" w:rsidR="00EF1F40" w:rsidRPr="00EF1F40" w:rsidRDefault="00EF1F40" w:rsidP="00EF1F40">
      <w:pPr>
        <w:bidi/>
        <w:spacing w:line="360" w:lineRule="auto"/>
        <w:jc w:val="center"/>
        <w:rPr>
          <w:rFonts w:ascii="Traditional Arabic" w:eastAsia="Calibri" w:hAnsi="Traditional Arabic" w:cs="Traditional Arabic"/>
          <w:b/>
          <w:bCs/>
          <w:sz w:val="40"/>
          <w:szCs w:val="40"/>
          <w:lang w:val="en-US"/>
        </w:rPr>
      </w:pPr>
      <w:r w:rsidRPr="00EF1F40">
        <w:rPr>
          <w:rFonts w:ascii="Traditional Arabic" w:eastAsia="Calibri" w:hAnsi="Traditional Arabic" w:cs="Traditional Arabic" w:hint="cs"/>
          <w:b/>
          <w:bCs/>
          <w:sz w:val="40"/>
          <w:szCs w:val="40"/>
          <w:rtl/>
        </w:rPr>
        <w:t>الاطار النظري والدراسات السابقة</w:t>
      </w:r>
    </w:p>
    <w:p w14:paraId="486FD17D"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bidi="ar-JO"/>
        </w:rPr>
      </w:pPr>
    </w:p>
    <w:p w14:paraId="04C4925D" w14:textId="77777777" w:rsidR="00EF1F40" w:rsidRPr="00EF1F40" w:rsidRDefault="00EF1F40" w:rsidP="00EF1F40">
      <w:pPr>
        <w:bidi/>
        <w:spacing w:line="360" w:lineRule="auto"/>
        <w:jc w:val="both"/>
        <w:rPr>
          <w:rFonts w:ascii="Traditional Arabic" w:eastAsia="Calibri" w:hAnsi="Traditional Arabic" w:cs="Traditional Arabic"/>
          <w:b/>
          <w:bCs/>
          <w:sz w:val="36"/>
          <w:szCs w:val="36"/>
          <w:rtl/>
          <w:lang w:val="en-US" w:bidi="ar-JO"/>
        </w:rPr>
      </w:pPr>
      <w:r w:rsidRPr="00EF1F40">
        <w:rPr>
          <w:rFonts w:ascii="Traditional Arabic" w:eastAsia="Calibri" w:hAnsi="Traditional Arabic" w:cs="Traditional Arabic" w:hint="cs"/>
          <w:b/>
          <w:bCs/>
          <w:sz w:val="36"/>
          <w:szCs w:val="36"/>
          <w:rtl/>
        </w:rPr>
        <w:t xml:space="preserve">المبحث الاول: </w:t>
      </w:r>
      <w:r w:rsidRPr="00EF1F40">
        <w:rPr>
          <w:rFonts w:ascii="Traditional Arabic" w:eastAsia="Calibri" w:hAnsi="Traditional Arabic" w:cs="Traditional Arabic"/>
          <w:b/>
          <w:bCs/>
          <w:sz w:val="36"/>
          <w:szCs w:val="36"/>
          <w:rtl/>
        </w:rPr>
        <w:t>الإطار النظري للدراسة</w:t>
      </w:r>
    </w:p>
    <w:p w14:paraId="042FA71F" w14:textId="77777777" w:rsidR="00EF1F40" w:rsidRPr="00EF1F40" w:rsidRDefault="00EF1F40" w:rsidP="00EF1F40">
      <w:pPr>
        <w:bidi/>
        <w:spacing w:line="360" w:lineRule="auto"/>
        <w:jc w:val="both"/>
        <w:rPr>
          <w:rFonts w:ascii="Traditional Arabic" w:eastAsia="Calibri" w:hAnsi="Traditional Arabic" w:cs="Traditional Arabic"/>
          <w:b/>
          <w:bCs/>
          <w:sz w:val="36"/>
          <w:szCs w:val="36"/>
          <w:rtl/>
        </w:rPr>
      </w:pPr>
      <w:r w:rsidRPr="00EF1F40">
        <w:rPr>
          <w:rFonts w:ascii="Traditional Arabic" w:eastAsia="Calibri" w:hAnsi="Traditional Arabic" w:cs="Traditional Arabic" w:hint="cs"/>
          <w:b/>
          <w:bCs/>
          <w:sz w:val="36"/>
          <w:szCs w:val="36"/>
          <w:rtl/>
        </w:rPr>
        <w:t xml:space="preserve">اولا: </w:t>
      </w:r>
      <w:r w:rsidRPr="00EF1F40">
        <w:rPr>
          <w:rFonts w:ascii="Traditional Arabic" w:eastAsia="Calibri" w:hAnsi="Traditional Arabic" w:cs="Traditional Arabic"/>
          <w:b/>
          <w:bCs/>
          <w:sz w:val="36"/>
          <w:szCs w:val="36"/>
          <w:rtl/>
        </w:rPr>
        <w:t>نضج التخطيط الاستراتيجي</w:t>
      </w:r>
    </w:p>
    <w:p w14:paraId="332AFF9E" w14:textId="77777777" w:rsidR="00EF1F40" w:rsidRPr="00EF1F40" w:rsidRDefault="00EF1F40" w:rsidP="00EF1F40">
      <w:p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hint="cs"/>
          <w:b/>
          <w:bCs/>
          <w:sz w:val="32"/>
          <w:szCs w:val="32"/>
          <w:rtl/>
        </w:rPr>
        <w:t>م</w:t>
      </w:r>
      <w:r w:rsidRPr="00EF1F40">
        <w:rPr>
          <w:rFonts w:ascii="Traditional Arabic" w:eastAsia="Calibri" w:hAnsi="Traditional Arabic" w:cs="Traditional Arabic"/>
          <w:b/>
          <w:bCs/>
          <w:sz w:val="32"/>
          <w:szCs w:val="32"/>
          <w:rtl/>
        </w:rPr>
        <w:t>فهوم نضج التخطيط الاستراتيجي</w:t>
      </w:r>
    </w:p>
    <w:p w14:paraId="139D2273"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شهد مفهوم التخطيط الاستراتيجي تطورًا نوعيًا في الأدبيات الإدارية المعاصرة، حيث انتقل من كونه نشاطًا دوريًا يقتصر على إعداد خطط مكتوبة طويلة المدى، إلى منظومة مؤسسية متكاملة تعكس درجة الوعي التنظيمي والقدرة على إدارة المستقبل بصورة منهجية. ولم يعد الحكم على فاعلية التخطيط الاستراتيجي مرتبطًا بوجود خطة رسمية فحسب، بل بمدى ترابط عناصر العملية الاستراتيجية، واتساقها، وقدرتها على التفاعل مع البيئة الداخلية والخارجية، وهو ما أفرز مفهوم "نضج التخطيط الاستراتيجي</w:t>
      </w:r>
      <w:r w:rsidRPr="00EF1F40">
        <w:rPr>
          <w:rFonts w:ascii="Traditional Arabic" w:eastAsia="Calibri" w:hAnsi="Traditional Arabic" w:cs="Traditional Arabic"/>
          <w:sz w:val="32"/>
          <w:szCs w:val="32"/>
          <w:lang w:val="en-US"/>
        </w:rPr>
        <w:t>".</w:t>
      </w:r>
    </w:p>
    <w:p w14:paraId="0E3F4549"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يعبر نضج التخطيط الاستراتيجي عن مستوى التطور الذي وصلت إليه المنظمة في تبني الممارسات الاستراتيجية بصورة متكاملة ومنهجية، بحيث تتسم الرؤية بالوضوح، والتحليل بالدقة، والموارد بالمواءمة، والتنفيذ بالمتابعة المستمرة، والسياسات بالتكامل مع التوجهات الاستراتيجية. وقد أكدت دراسة</w:t>
      </w:r>
      <w:r w:rsidRPr="00EF1F40">
        <w:rPr>
          <w:rFonts w:ascii="Traditional Arabic" w:eastAsia="Calibri" w:hAnsi="Traditional Arabic" w:cs="Traditional Arabic"/>
          <w:sz w:val="32"/>
          <w:szCs w:val="32"/>
          <w:lang w:val="en-US"/>
        </w:rPr>
        <w:t xml:space="preserve"> (Alotaibi, 2023) </w:t>
      </w:r>
      <w:r w:rsidRPr="00EF1F40">
        <w:rPr>
          <w:rFonts w:ascii="Traditional Arabic" w:eastAsia="Calibri" w:hAnsi="Traditional Arabic" w:cs="Traditional Arabic"/>
          <w:sz w:val="32"/>
          <w:szCs w:val="32"/>
          <w:rtl/>
        </w:rPr>
        <w:t xml:space="preserve">أن فاعلية التخطيط </w:t>
      </w:r>
      <w:r w:rsidRPr="00EF1F40">
        <w:rPr>
          <w:rFonts w:ascii="Traditional Arabic" w:eastAsia="Calibri" w:hAnsi="Traditional Arabic" w:cs="Traditional Arabic"/>
          <w:sz w:val="32"/>
          <w:szCs w:val="32"/>
          <w:rtl/>
        </w:rPr>
        <w:lastRenderedPageBreak/>
        <w:t>الاستراتيجي تتعزز عندما يتم تبنيه ضمن إطار تنظيمي شامل يأخذ في الاعتبار العوامل التنظيمية والاجتماعية والفردية، مما يعكس درجة متقدمة من النضج المؤسسي</w:t>
      </w:r>
      <w:r w:rsidRPr="00EF1F40">
        <w:rPr>
          <w:rFonts w:ascii="Traditional Arabic" w:eastAsia="Calibri" w:hAnsi="Traditional Arabic" w:cs="Traditional Arabic"/>
          <w:sz w:val="32"/>
          <w:szCs w:val="32"/>
          <w:lang w:val="en-US"/>
        </w:rPr>
        <w:t>.</w:t>
      </w:r>
    </w:p>
    <w:p w14:paraId="2C51BB24"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كما أظهرت دراسة</w:t>
      </w:r>
      <w:r w:rsidRPr="00EF1F40">
        <w:rPr>
          <w:rFonts w:ascii="Traditional Arabic" w:eastAsia="Calibri" w:hAnsi="Traditional Arabic" w:cs="Traditional Arabic"/>
          <w:sz w:val="32"/>
          <w:szCs w:val="32"/>
          <w:lang w:val="en-US"/>
        </w:rPr>
        <w:t xml:space="preserve"> (Elbanna et al., 2025) </w:t>
      </w:r>
      <w:r w:rsidRPr="00EF1F40">
        <w:rPr>
          <w:rFonts w:ascii="Traditional Arabic" w:eastAsia="Calibri" w:hAnsi="Traditional Arabic" w:cs="Traditional Arabic"/>
          <w:sz w:val="32"/>
          <w:szCs w:val="32"/>
          <w:rtl/>
        </w:rPr>
        <w:t>أن جودة صياغة الخطط لا تكفي لضمان نجاحها، بل إن قدرة المنظمة على التنفيذ الفعال، ومواءمة الموارد، وتعزيز الثقة والتعلم التنظيمي، تمثل مؤشرات حقيقية على مستوى النضج التخطيطي. ويشير ذلك إلى أن النضج ليس مرحلة نظرية، بل حالة مؤسسية تتجسد في الممارسة الفعلية</w:t>
      </w:r>
      <w:r w:rsidRPr="00EF1F40">
        <w:rPr>
          <w:rFonts w:ascii="Traditional Arabic" w:eastAsia="Calibri" w:hAnsi="Traditional Arabic" w:cs="Traditional Arabic"/>
          <w:sz w:val="32"/>
          <w:szCs w:val="32"/>
          <w:lang w:val="en-US"/>
        </w:rPr>
        <w:t>.</w:t>
      </w:r>
    </w:p>
    <w:p w14:paraId="568521B4"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وفي السياق ذاته، بينت دراسة (الحاتمي، 2020) أن التخطيط الاستراتيجي يؤثر بصورة مباشرة وغير مباشرة في الأداء المؤسسي من خلال متغيرات وسيطة مثل المرونة الاستراتيجية، مما يعكس أن النضج التخطيطي يرتبط بقدرة المنظمة على التكيف مع المتغيرات البيئية. كما أظهرت نتائج</w:t>
      </w:r>
      <w:r w:rsidRPr="00EF1F40">
        <w:rPr>
          <w:rFonts w:ascii="Traditional Arabic" w:eastAsia="Calibri" w:hAnsi="Traditional Arabic" w:cs="Traditional Arabic"/>
          <w:sz w:val="32"/>
          <w:szCs w:val="32"/>
          <w:lang w:val="en-US"/>
        </w:rPr>
        <w:t xml:space="preserve"> (Mardiani et al., 2023) </w:t>
      </w:r>
      <w:r w:rsidRPr="00EF1F40">
        <w:rPr>
          <w:rFonts w:ascii="Traditional Arabic" w:eastAsia="Calibri" w:hAnsi="Traditional Arabic" w:cs="Traditional Arabic"/>
          <w:sz w:val="32"/>
          <w:szCs w:val="32"/>
          <w:rtl/>
        </w:rPr>
        <w:t>أن التكامل بين التخطيط الاستراتيجي والنضج التحليلي يعزز الأداء التنظيمي، مما يدل على أن النضج يتطلب بناء قدرات تحليلية داعمة لصناعة القرار الاستراتيجي</w:t>
      </w:r>
      <w:r w:rsidRPr="00EF1F40">
        <w:rPr>
          <w:rFonts w:ascii="Traditional Arabic" w:eastAsia="Calibri" w:hAnsi="Traditional Arabic" w:cs="Traditional Arabic"/>
          <w:sz w:val="32"/>
          <w:szCs w:val="32"/>
          <w:lang w:val="en-US"/>
        </w:rPr>
        <w:t>.</w:t>
      </w:r>
    </w:p>
    <w:p w14:paraId="55C0A823" w14:textId="16F72CFB" w:rsidR="00EF1F40" w:rsidRPr="00EF1F40" w:rsidRDefault="00EF1F40" w:rsidP="00EF1F40">
      <w:pPr>
        <w:bidi/>
        <w:spacing w:line="360" w:lineRule="auto"/>
        <w:jc w:val="both"/>
        <w:rPr>
          <w:rFonts w:ascii="Traditional Arabic" w:eastAsia="Calibri" w:hAnsi="Traditional Arabic" w:cs="Traditional Arabic"/>
          <w:sz w:val="32"/>
          <w:szCs w:val="32"/>
          <w:rtl/>
          <w:lang w:val="en-US" w:bidi="ar-JO"/>
        </w:rPr>
      </w:pPr>
      <w:r w:rsidRPr="00EF1F40">
        <w:rPr>
          <w:rFonts w:ascii="Traditional Arabic" w:eastAsia="Calibri" w:hAnsi="Traditional Arabic" w:cs="Traditional Arabic"/>
          <w:sz w:val="32"/>
          <w:szCs w:val="32"/>
          <w:rtl/>
        </w:rPr>
        <w:t>وانطلاقًا من ذلك، يُعرّف نضج التخطيط الاستراتيجي في هذه الدراسة بأنه</w:t>
      </w:r>
      <w:r w:rsidRPr="00EF1F40">
        <w:rPr>
          <w:rFonts w:ascii="Traditional Arabic" w:eastAsia="Calibri" w:hAnsi="Traditional Arabic" w:cs="Traditional Arabic"/>
          <w:sz w:val="32"/>
          <w:szCs w:val="32"/>
          <w:lang w:val="en-US"/>
        </w:rPr>
        <w:t>:</w:t>
      </w:r>
      <w:r w:rsidRPr="00EF1F40">
        <w:rPr>
          <w:rFonts w:ascii="Traditional Arabic" w:eastAsia="Calibri" w:hAnsi="Traditional Arabic" w:cs="Traditional Arabic" w:hint="cs"/>
          <w:sz w:val="32"/>
          <w:szCs w:val="32"/>
          <w:rtl/>
          <w:lang w:val="en-US"/>
        </w:rPr>
        <w:t xml:space="preserve"> </w:t>
      </w:r>
      <w:r w:rsidRPr="00EF1F40">
        <w:rPr>
          <w:rFonts w:ascii="Traditional Arabic" w:eastAsia="Calibri" w:hAnsi="Traditional Arabic" w:cs="Traditional Arabic"/>
          <w:sz w:val="32"/>
          <w:szCs w:val="32"/>
          <w:rtl/>
        </w:rPr>
        <w:t>درجة التطور المؤسسي في ممارسة عناصر التخطيط الاستراتيجي بصورة مترابطة ومتكاملة، بما يحقق الاتساق بين الرؤية والتحليل والموارد والتنفيذ والسياسات الداخلية، ويعزز قدرة المنظمة على تحقيق أهدافها طويلة المدى بكفاءة واستدامة</w:t>
      </w:r>
      <w:r w:rsidRPr="00EF1F40">
        <w:rPr>
          <w:rFonts w:ascii="Traditional Arabic" w:eastAsia="Calibri" w:hAnsi="Traditional Arabic" w:cs="Traditional Arabic"/>
          <w:sz w:val="32"/>
          <w:szCs w:val="32"/>
          <w:lang w:val="en-US"/>
        </w:rPr>
        <w:t>.</w:t>
      </w:r>
    </w:p>
    <w:p w14:paraId="5AFF3768" w14:textId="77777777" w:rsidR="00EF1F40" w:rsidRPr="00EF1F40" w:rsidRDefault="00EF1F40" w:rsidP="00EF1F40">
      <w:p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rPr>
        <w:t>أبعاد نضج التخطيط الاستراتيجي</w:t>
      </w:r>
    </w:p>
    <w:p w14:paraId="0BFD71D1"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استنادًا إلى تحليل الأدبيات السابقة، وبصورة استقرائية متوازنة، تم تحديد خمسة أبعاد رئيسة تعكس مستوى نضج التخطيط الاستراتيجي، وهي</w:t>
      </w:r>
      <w:r w:rsidRPr="00EF1F40">
        <w:rPr>
          <w:rFonts w:ascii="Traditional Arabic" w:eastAsia="Calibri" w:hAnsi="Traditional Arabic" w:cs="Traditional Arabic"/>
          <w:sz w:val="32"/>
          <w:szCs w:val="32"/>
          <w:lang w:val="en-US"/>
        </w:rPr>
        <w:t>:</w:t>
      </w:r>
    </w:p>
    <w:p w14:paraId="15041B05" w14:textId="77777777" w:rsidR="00EF1F40" w:rsidRPr="00EF1F40" w:rsidRDefault="00EF1F40" w:rsidP="00EF1F40">
      <w:pPr>
        <w:numPr>
          <w:ilvl w:val="0"/>
          <w:numId w:val="14"/>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lastRenderedPageBreak/>
        <w:t>وضوح الرؤية والأهداف الاستراتيجية</w:t>
      </w:r>
    </w:p>
    <w:p w14:paraId="598D5C37" w14:textId="77777777" w:rsidR="00EF1F40" w:rsidRPr="00EF1F40" w:rsidRDefault="00EF1F40" w:rsidP="00EF1F40">
      <w:pPr>
        <w:numPr>
          <w:ilvl w:val="0"/>
          <w:numId w:val="14"/>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تحليل البيئة الداخلية والخارجية</w:t>
      </w:r>
    </w:p>
    <w:p w14:paraId="1F179C2C" w14:textId="77777777" w:rsidR="00EF1F40" w:rsidRPr="00EF1F40" w:rsidRDefault="00EF1F40" w:rsidP="00EF1F40">
      <w:pPr>
        <w:numPr>
          <w:ilvl w:val="0"/>
          <w:numId w:val="14"/>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تخصيص الموارد والقدرات التنظيمية</w:t>
      </w:r>
    </w:p>
    <w:p w14:paraId="67CF16EE" w14:textId="77777777" w:rsidR="00EF1F40" w:rsidRPr="00EF1F40" w:rsidRDefault="00EF1F40" w:rsidP="00EF1F40">
      <w:pPr>
        <w:numPr>
          <w:ilvl w:val="0"/>
          <w:numId w:val="14"/>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متابعة وتقييم الأداء الاستراتيجي</w:t>
      </w:r>
    </w:p>
    <w:p w14:paraId="0EAF853A" w14:textId="77777777" w:rsidR="00EF1F40" w:rsidRPr="00EF1F40" w:rsidRDefault="00EF1F40" w:rsidP="00EF1F40">
      <w:pPr>
        <w:numPr>
          <w:ilvl w:val="0"/>
          <w:numId w:val="14"/>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ربط الاستراتيجية بالسياسات والإجراءات الداخلية</w:t>
      </w:r>
    </w:p>
    <w:p w14:paraId="7E96B099"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bidi="ar-JO"/>
        </w:rPr>
      </w:pPr>
      <w:r w:rsidRPr="00EF1F40">
        <w:rPr>
          <w:rFonts w:ascii="Traditional Arabic" w:eastAsia="Calibri" w:hAnsi="Traditional Arabic" w:cs="Traditional Arabic"/>
          <w:sz w:val="32"/>
          <w:szCs w:val="32"/>
          <w:rtl/>
        </w:rPr>
        <w:t>ويمثل كل بعد من هذه الأبعاد مستوى من مستويات التكامل داخل العملية الاستراتيجية</w:t>
      </w:r>
      <w:r w:rsidRPr="00EF1F40">
        <w:rPr>
          <w:rFonts w:ascii="Traditional Arabic" w:eastAsia="Calibri" w:hAnsi="Traditional Arabic" w:cs="Traditional Arabic"/>
          <w:sz w:val="32"/>
          <w:szCs w:val="32"/>
          <w:lang w:val="en-US"/>
        </w:rPr>
        <w:t>.</w:t>
      </w:r>
    </w:p>
    <w:p w14:paraId="7601D610"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r w:rsidRPr="00EF1F40">
        <w:rPr>
          <w:rFonts w:ascii="Traditional Arabic" w:eastAsia="Calibri" w:hAnsi="Traditional Arabic" w:cs="Traditional Arabic"/>
          <w:b/>
          <w:bCs/>
          <w:sz w:val="32"/>
          <w:szCs w:val="32"/>
          <w:rtl/>
          <w:lang w:val="en-US"/>
        </w:rPr>
        <w:t>1. وضوح الرؤية والأهداف الاستراتيجية</w:t>
      </w:r>
    </w:p>
    <w:p w14:paraId="3F7E2703"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تمثل الرؤية الاستراتيجية نقطة الانطلاق لأي عملية تخطيط ناضجة، إذ تعكس قدرة المنظمة على تحديد اتجاهها المستقبلي وصياغة أهداف قابلة للتحقيق. وقد أكدت دراسة (العرفي والكردي، 2025) أن وضوح التوجه الاستراتيجي يرتبط إيجابيًا بالأداء المؤسسي، بينما أظهرت</w:t>
      </w:r>
      <w:r w:rsidRPr="00EF1F40">
        <w:rPr>
          <w:rFonts w:ascii="Traditional Arabic" w:eastAsia="Calibri" w:hAnsi="Traditional Arabic" w:cs="Traditional Arabic"/>
          <w:sz w:val="32"/>
          <w:szCs w:val="32"/>
          <w:lang w:val="en-US"/>
        </w:rPr>
        <w:t xml:space="preserve"> (Alswidan, 2024) </w:t>
      </w:r>
      <w:r w:rsidRPr="00EF1F40">
        <w:rPr>
          <w:rFonts w:ascii="Traditional Arabic" w:eastAsia="Calibri" w:hAnsi="Traditional Arabic" w:cs="Traditional Arabic"/>
          <w:sz w:val="32"/>
          <w:szCs w:val="32"/>
          <w:rtl/>
        </w:rPr>
        <w:t>أن جودة الإطار الاستراتيجي تسهم في تحسين جودة المخرجات التعليمية ورفع مستوى رضا المستفيدين</w:t>
      </w:r>
      <w:r w:rsidRPr="00EF1F40">
        <w:rPr>
          <w:rFonts w:ascii="Traditional Arabic" w:eastAsia="Calibri" w:hAnsi="Traditional Arabic" w:cs="Traditional Arabic"/>
          <w:sz w:val="32"/>
          <w:szCs w:val="32"/>
          <w:lang w:val="en-US"/>
        </w:rPr>
        <w:t>.</w:t>
      </w:r>
    </w:p>
    <w:p w14:paraId="65AB7A06"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bidi="ar-JO"/>
        </w:rPr>
      </w:pPr>
      <w:r w:rsidRPr="00EF1F40">
        <w:rPr>
          <w:rFonts w:ascii="Traditional Arabic" w:eastAsia="Calibri" w:hAnsi="Traditional Arabic" w:cs="Traditional Arabic"/>
          <w:sz w:val="32"/>
          <w:szCs w:val="32"/>
          <w:rtl/>
        </w:rPr>
        <w:t>كما أشار</w:t>
      </w:r>
      <w:r w:rsidRPr="00EF1F40">
        <w:rPr>
          <w:rFonts w:ascii="Traditional Arabic" w:eastAsia="Calibri" w:hAnsi="Traditional Arabic" w:cs="Traditional Arabic"/>
          <w:sz w:val="32"/>
          <w:szCs w:val="32"/>
          <w:lang w:val="en-US"/>
        </w:rPr>
        <w:t xml:space="preserve"> (Khalilov et al., 2024) </w:t>
      </w:r>
      <w:r w:rsidRPr="00EF1F40">
        <w:rPr>
          <w:rFonts w:ascii="Traditional Arabic" w:eastAsia="Calibri" w:hAnsi="Traditional Arabic" w:cs="Traditional Arabic"/>
          <w:sz w:val="32"/>
          <w:szCs w:val="32"/>
          <w:rtl/>
        </w:rPr>
        <w:t>إلى أن مواءمة الأهداف الاستراتيجية مع المتطلبات المحلية والعالمية تعزز الاستدامة المؤسسية. وعليه، فإن وضوح الرؤية لا يمثل مجرد صياغة لغوية، بل مؤشرًا جوهريًا على نضج التخطيط وقدرته على توجيه السلوك التنظيمي</w:t>
      </w:r>
      <w:r w:rsidRPr="00EF1F40">
        <w:rPr>
          <w:rFonts w:ascii="Traditional Arabic" w:eastAsia="Calibri" w:hAnsi="Traditional Arabic" w:cs="Traditional Arabic"/>
          <w:sz w:val="32"/>
          <w:szCs w:val="32"/>
          <w:lang w:val="en-US"/>
        </w:rPr>
        <w:t>.</w:t>
      </w:r>
    </w:p>
    <w:p w14:paraId="7E753382"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r w:rsidRPr="00EF1F40">
        <w:rPr>
          <w:rFonts w:ascii="Traditional Arabic" w:eastAsia="Calibri" w:hAnsi="Traditional Arabic" w:cs="Traditional Arabic"/>
          <w:b/>
          <w:bCs/>
          <w:sz w:val="32"/>
          <w:szCs w:val="32"/>
          <w:rtl/>
          <w:lang w:val="en-US"/>
        </w:rPr>
        <w:t>2. تحليل البيئة الداخلية والخارجية</w:t>
      </w:r>
    </w:p>
    <w:p w14:paraId="714601AD"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lastRenderedPageBreak/>
        <w:t>يعد التحليل البيئي حجر الزاوية في التخطيط الاستراتيجي الناضج، إذ يمكّن المنظمة من فهم نقاط قوتها وضعفها، ورصد الفرص والتهديدات. وقد أبرزت دراسة</w:t>
      </w:r>
      <w:r w:rsidRPr="00EF1F40">
        <w:rPr>
          <w:rFonts w:ascii="Traditional Arabic" w:eastAsia="Calibri" w:hAnsi="Traditional Arabic" w:cs="Traditional Arabic"/>
          <w:sz w:val="32"/>
          <w:szCs w:val="32"/>
          <w:lang w:val="en-US"/>
        </w:rPr>
        <w:t xml:space="preserve"> (Arif &amp; Aldosary, 2023) </w:t>
      </w:r>
      <w:r w:rsidRPr="00EF1F40">
        <w:rPr>
          <w:rFonts w:ascii="Traditional Arabic" w:eastAsia="Calibri" w:hAnsi="Traditional Arabic" w:cs="Traditional Arabic"/>
          <w:sz w:val="32"/>
          <w:szCs w:val="32"/>
          <w:rtl/>
        </w:rPr>
        <w:t>أهمية أدوات التحليل الاستراتيجي مثل</w:t>
      </w:r>
      <w:r w:rsidRPr="00EF1F40">
        <w:rPr>
          <w:rFonts w:ascii="Traditional Arabic" w:eastAsia="Calibri" w:hAnsi="Traditional Arabic" w:cs="Traditional Arabic"/>
          <w:sz w:val="32"/>
          <w:szCs w:val="32"/>
          <w:lang w:val="en-US"/>
        </w:rPr>
        <w:t xml:space="preserve"> SWOT </w:t>
      </w:r>
      <w:r w:rsidRPr="00EF1F40">
        <w:rPr>
          <w:rFonts w:ascii="Traditional Arabic" w:eastAsia="Calibri" w:hAnsi="Traditional Arabic" w:cs="Traditional Arabic"/>
          <w:sz w:val="32"/>
          <w:szCs w:val="32"/>
          <w:rtl/>
        </w:rPr>
        <w:t>في تحسين جودة القرارات الاستراتيجية</w:t>
      </w:r>
      <w:r w:rsidRPr="00EF1F40">
        <w:rPr>
          <w:rFonts w:ascii="Traditional Arabic" w:eastAsia="Calibri" w:hAnsi="Traditional Arabic" w:cs="Traditional Arabic"/>
          <w:sz w:val="32"/>
          <w:szCs w:val="32"/>
          <w:lang w:val="en-US"/>
        </w:rPr>
        <w:t>.</w:t>
      </w:r>
    </w:p>
    <w:p w14:paraId="25BB4901"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كما أشارت (الدقن، 2019) إلى أن ضعف التحليل الاستراتيجي يمثل أحد أبرز معوقات نجاح التخطيط في المنظمات العامة. وأكد</w:t>
      </w:r>
      <w:r w:rsidRPr="00EF1F40">
        <w:rPr>
          <w:rFonts w:ascii="Traditional Arabic" w:eastAsia="Calibri" w:hAnsi="Traditional Arabic" w:cs="Traditional Arabic"/>
          <w:sz w:val="32"/>
          <w:szCs w:val="32"/>
          <w:lang w:val="en-US"/>
        </w:rPr>
        <w:t xml:space="preserve"> (Alotaibi, 2023) </w:t>
      </w:r>
      <w:r w:rsidRPr="00EF1F40">
        <w:rPr>
          <w:rFonts w:ascii="Traditional Arabic" w:eastAsia="Calibri" w:hAnsi="Traditional Arabic" w:cs="Traditional Arabic"/>
          <w:sz w:val="32"/>
          <w:szCs w:val="32"/>
          <w:rtl/>
        </w:rPr>
        <w:t>أن التحليل الداخلي والخارجي يؤثر معنويًا في اتجاهات الموظفين نحو التخطيط ويسهم في تحسين الأداء</w:t>
      </w:r>
      <w:r w:rsidRPr="00EF1F40">
        <w:rPr>
          <w:rFonts w:ascii="Traditional Arabic" w:eastAsia="Calibri" w:hAnsi="Traditional Arabic" w:cs="Traditional Arabic"/>
          <w:sz w:val="32"/>
          <w:szCs w:val="32"/>
          <w:lang w:val="en-US"/>
        </w:rPr>
        <w:t>.</w:t>
      </w:r>
    </w:p>
    <w:p w14:paraId="1CEC6848"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bidi="ar-JO"/>
        </w:rPr>
      </w:pPr>
      <w:r w:rsidRPr="00EF1F40">
        <w:rPr>
          <w:rFonts w:ascii="Traditional Arabic" w:eastAsia="Calibri" w:hAnsi="Traditional Arabic" w:cs="Traditional Arabic"/>
          <w:sz w:val="32"/>
          <w:szCs w:val="32"/>
          <w:rtl/>
        </w:rPr>
        <w:t>ومن ثم فإن التحليل البيئي يعكس مستوى متقدمًا من النضج، حيث تنتقل المنظمة من التخطيط الحدسي إلى التخطيط القائم على الأدلة</w:t>
      </w:r>
      <w:r w:rsidRPr="00EF1F40">
        <w:rPr>
          <w:rFonts w:ascii="Traditional Arabic" w:eastAsia="Calibri" w:hAnsi="Traditional Arabic" w:cs="Traditional Arabic"/>
          <w:sz w:val="32"/>
          <w:szCs w:val="32"/>
          <w:lang w:val="en-US"/>
        </w:rPr>
        <w:t>.</w:t>
      </w:r>
    </w:p>
    <w:p w14:paraId="34695F7C"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r w:rsidRPr="00EF1F40">
        <w:rPr>
          <w:rFonts w:ascii="Traditional Arabic" w:eastAsia="Calibri" w:hAnsi="Traditional Arabic" w:cs="Traditional Arabic"/>
          <w:b/>
          <w:bCs/>
          <w:sz w:val="32"/>
          <w:szCs w:val="32"/>
          <w:rtl/>
          <w:lang w:val="en-US"/>
        </w:rPr>
        <w:t>3. تخصيص الموارد والقدرات التنظيمية</w:t>
      </w:r>
    </w:p>
    <w:p w14:paraId="4980DCE8"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لا يتحقق النضج التخطيطي إلا بمواءمة الموارد مع الأهداف الاستراتيجية. وقد بينت (</w:t>
      </w:r>
      <w:r w:rsidRPr="00EF1F40">
        <w:rPr>
          <w:rFonts w:ascii="Traditional Arabic" w:eastAsia="Calibri" w:hAnsi="Traditional Arabic" w:cs="Traditional Arabic"/>
          <w:sz w:val="32"/>
          <w:szCs w:val="32"/>
        </w:rPr>
        <w:t>Elbanna et al., 2025</w:t>
      </w:r>
      <w:r w:rsidRPr="00EF1F40">
        <w:rPr>
          <w:rFonts w:ascii="Traditional Arabic" w:eastAsia="Calibri" w:hAnsi="Traditional Arabic" w:cs="Traditional Arabic"/>
          <w:sz w:val="32"/>
          <w:szCs w:val="32"/>
          <w:rtl/>
        </w:rPr>
        <w:t>) أن ضعف الربط بين الاستراتيجية ونظم الحوافز يمثل عائقًا جوهريًا أمام التنفيذ الفعال</w:t>
      </w:r>
      <w:r w:rsidRPr="00EF1F40">
        <w:rPr>
          <w:rFonts w:ascii="Traditional Arabic" w:eastAsia="Calibri" w:hAnsi="Traditional Arabic" w:cs="Traditional Arabic"/>
          <w:sz w:val="32"/>
          <w:szCs w:val="32"/>
          <w:lang w:val="en-US"/>
        </w:rPr>
        <w:t>.</w:t>
      </w:r>
    </w:p>
    <w:p w14:paraId="6FA78758"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كما أوضحت</w:t>
      </w:r>
      <w:r w:rsidRPr="00EF1F40">
        <w:rPr>
          <w:rFonts w:ascii="Traditional Arabic" w:eastAsia="Calibri" w:hAnsi="Traditional Arabic" w:cs="Traditional Arabic"/>
          <w:sz w:val="32"/>
          <w:szCs w:val="32"/>
          <w:lang w:val="en-US"/>
        </w:rPr>
        <w:t xml:space="preserve"> (Molete et al., 2025) </w:t>
      </w:r>
      <w:r w:rsidRPr="00EF1F40">
        <w:rPr>
          <w:rFonts w:ascii="Traditional Arabic" w:eastAsia="Calibri" w:hAnsi="Traditional Arabic" w:cs="Traditional Arabic"/>
          <w:sz w:val="32"/>
          <w:szCs w:val="32"/>
          <w:rtl/>
        </w:rPr>
        <w:t>أن مواءمة استراتيجية تكنولوجيا المعلومات مع الأهداف التنظيمية تسهم في خفض التكاليف وتحقيق ميزة تنافسية، بينما أكدت</w:t>
      </w:r>
      <w:r w:rsidRPr="00EF1F40">
        <w:rPr>
          <w:rFonts w:ascii="Traditional Arabic" w:eastAsia="Calibri" w:hAnsi="Traditional Arabic" w:cs="Traditional Arabic"/>
          <w:sz w:val="32"/>
          <w:szCs w:val="32"/>
          <w:lang w:val="en-US"/>
        </w:rPr>
        <w:t xml:space="preserve"> (Mardiani et al., 2023) </w:t>
      </w:r>
      <w:r w:rsidRPr="00EF1F40">
        <w:rPr>
          <w:rFonts w:ascii="Traditional Arabic" w:eastAsia="Calibri" w:hAnsi="Traditional Arabic" w:cs="Traditional Arabic"/>
          <w:sz w:val="32"/>
          <w:szCs w:val="32"/>
          <w:rtl/>
        </w:rPr>
        <w:t>أن التكامل بين التخطيط والنضج التحليلي يعزز الأداء</w:t>
      </w:r>
      <w:r w:rsidRPr="00EF1F40">
        <w:rPr>
          <w:rFonts w:ascii="Traditional Arabic" w:eastAsia="Calibri" w:hAnsi="Traditional Arabic" w:cs="Traditional Arabic"/>
          <w:sz w:val="32"/>
          <w:szCs w:val="32"/>
          <w:lang w:val="en-US"/>
        </w:rPr>
        <w:t>.</w:t>
      </w:r>
    </w:p>
    <w:p w14:paraId="09003DB9"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bidi="ar-JO"/>
        </w:rPr>
      </w:pPr>
      <w:r w:rsidRPr="00EF1F40">
        <w:rPr>
          <w:rFonts w:ascii="Traditional Arabic" w:eastAsia="Calibri" w:hAnsi="Traditional Arabic" w:cs="Traditional Arabic"/>
          <w:sz w:val="32"/>
          <w:szCs w:val="32"/>
          <w:rtl/>
        </w:rPr>
        <w:t>وعليه، فإن تخصيص الموارد بصورة استراتيجية يعكس انتقال المنظمة من التخطيط النظري إلى التخطيط التشغيلي المتكامل</w:t>
      </w:r>
      <w:r w:rsidRPr="00EF1F40">
        <w:rPr>
          <w:rFonts w:ascii="Traditional Arabic" w:eastAsia="Calibri" w:hAnsi="Traditional Arabic" w:cs="Traditional Arabic"/>
          <w:sz w:val="32"/>
          <w:szCs w:val="32"/>
          <w:lang w:val="en-US"/>
        </w:rPr>
        <w:t>.</w:t>
      </w:r>
    </w:p>
    <w:p w14:paraId="694C9455"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r w:rsidRPr="00EF1F40">
        <w:rPr>
          <w:rFonts w:ascii="Traditional Arabic" w:eastAsia="Calibri" w:hAnsi="Traditional Arabic" w:cs="Traditional Arabic"/>
          <w:b/>
          <w:bCs/>
          <w:sz w:val="32"/>
          <w:szCs w:val="32"/>
          <w:rtl/>
          <w:lang w:val="en-US"/>
        </w:rPr>
        <w:lastRenderedPageBreak/>
        <w:t>4. متابعة وتقييم الأداء الاستراتيجي</w:t>
      </w:r>
    </w:p>
    <w:p w14:paraId="39E36E93"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تمثل المتابعة والتقييم الحلقة الضابطة لعملية التخطيط الاستراتيجي. وقد أكدت (الحاتمي، 2020) أهمية تحليل المسار لقياس أثر التخطيط على الأداء، في حين أشارت (الدقن، 2019) إلى أهمية التغذية الراجعة في تعزيز فاعلية التخطيط</w:t>
      </w:r>
      <w:r w:rsidRPr="00EF1F40">
        <w:rPr>
          <w:rFonts w:ascii="Traditional Arabic" w:eastAsia="Calibri" w:hAnsi="Traditional Arabic" w:cs="Traditional Arabic"/>
          <w:sz w:val="32"/>
          <w:szCs w:val="32"/>
          <w:lang w:val="en-US"/>
        </w:rPr>
        <w:t>.</w:t>
      </w:r>
    </w:p>
    <w:p w14:paraId="6515D43E"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bidi="ar-JO"/>
        </w:rPr>
      </w:pPr>
      <w:r w:rsidRPr="00EF1F40">
        <w:rPr>
          <w:rFonts w:ascii="Traditional Arabic" w:eastAsia="Calibri" w:hAnsi="Traditional Arabic" w:cs="Traditional Arabic"/>
          <w:sz w:val="32"/>
          <w:szCs w:val="32"/>
          <w:rtl/>
        </w:rPr>
        <w:t>كما بينت</w:t>
      </w:r>
      <w:r w:rsidRPr="00EF1F40">
        <w:rPr>
          <w:rFonts w:ascii="Traditional Arabic" w:eastAsia="Calibri" w:hAnsi="Traditional Arabic" w:cs="Traditional Arabic"/>
          <w:sz w:val="32"/>
          <w:szCs w:val="32"/>
          <w:lang w:val="en-US"/>
        </w:rPr>
        <w:t xml:space="preserve"> (Elbanna et al., 2025) </w:t>
      </w:r>
      <w:r w:rsidRPr="00EF1F40">
        <w:rPr>
          <w:rFonts w:ascii="Traditional Arabic" w:eastAsia="Calibri" w:hAnsi="Traditional Arabic" w:cs="Traditional Arabic"/>
          <w:sz w:val="32"/>
          <w:szCs w:val="32"/>
          <w:rtl/>
        </w:rPr>
        <w:t>أن غياب المتابعة يؤدي إلى بطء التنفيذ وضعف تحقيق الأهداف، مما يعكس أن النضج لا يكتمل دون نظام رقابي فعال</w:t>
      </w:r>
      <w:r w:rsidRPr="00EF1F40">
        <w:rPr>
          <w:rFonts w:ascii="Traditional Arabic" w:eastAsia="Calibri" w:hAnsi="Traditional Arabic" w:cs="Traditional Arabic"/>
          <w:sz w:val="32"/>
          <w:szCs w:val="32"/>
          <w:lang w:val="en-US"/>
        </w:rPr>
        <w:t>.</w:t>
      </w:r>
    </w:p>
    <w:p w14:paraId="117C3C5F"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r w:rsidRPr="00EF1F40">
        <w:rPr>
          <w:rFonts w:ascii="Traditional Arabic" w:eastAsia="Calibri" w:hAnsi="Traditional Arabic" w:cs="Traditional Arabic"/>
          <w:b/>
          <w:bCs/>
          <w:sz w:val="32"/>
          <w:szCs w:val="32"/>
          <w:rtl/>
          <w:lang w:val="en-US"/>
        </w:rPr>
        <w:t>5. ربط الاستراتيجية بالسياسات والإجراءات الداخلية</w:t>
      </w:r>
    </w:p>
    <w:p w14:paraId="6624C6ED"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يمثل هذا البعد المرحلة الأعلى في نضج التخطيط، حيث تتحول الاستراتيجية من وثيقة إلى ممارسة يومية. وقد أظهرت</w:t>
      </w:r>
      <w:r w:rsidRPr="00EF1F40">
        <w:rPr>
          <w:rFonts w:ascii="Traditional Arabic" w:eastAsia="Calibri" w:hAnsi="Traditional Arabic" w:cs="Traditional Arabic"/>
          <w:sz w:val="32"/>
          <w:szCs w:val="32"/>
          <w:lang w:val="en-US"/>
        </w:rPr>
        <w:t xml:space="preserve"> (Asbari et al., 2025) </w:t>
      </w:r>
      <w:r w:rsidRPr="00EF1F40">
        <w:rPr>
          <w:rFonts w:ascii="Traditional Arabic" w:eastAsia="Calibri" w:hAnsi="Traditional Arabic" w:cs="Traditional Arabic"/>
          <w:sz w:val="32"/>
          <w:szCs w:val="32"/>
          <w:rtl/>
        </w:rPr>
        <w:t>أن دمج الإدارة الاستراتيجية في العمليات الأكاديمية يعزز الاتساق المؤسسي</w:t>
      </w:r>
      <w:r w:rsidRPr="00EF1F40">
        <w:rPr>
          <w:rFonts w:ascii="Traditional Arabic" w:eastAsia="Calibri" w:hAnsi="Traditional Arabic" w:cs="Traditional Arabic"/>
          <w:sz w:val="32"/>
          <w:szCs w:val="32"/>
          <w:lang w:val="en-US"/>
        </w:rPr>
        <w:t>.</w:t>
      </w:r>
    </w:p>
    <w:p w14:paraId="2BF057B4"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كما أشار</w:t>
      </w:r>
      <w:r w:rsidRPr="00EF1F40">
        <w:rPr>
          <w:rFonts w:ascii="Traditional Arabic" w:eastAsia="Calibri" w:hAnsi="Traditional Arabic" w:cs="Traditional Arabic"/>
          <w:sz w:val="32"/>
          <w:szCs w:val="32"/>
          <w:lang w:val="en-US"/>
        </w:rPr>
        <w:t xml:space="preserve"> (Feng, 2024) </w:t>
      </w:r>
      <w:r w:rsidRPr="00EF1F40">
        <w:rPr>
          <w:rFonts w:ascii="Traditional Arabic" w:eastAsia="Calibri" w:hAnsi="Traditional Arabic" w:cs="Traditional Arabic"/>
          <w:sz w:val="32"/>
          <w:szCs w:val="32"/>
          <w:rtl/>
        </w:rPr>
        <w:t>إلى أن الاستراتيجية التكاملية تسهم في تقليل المخاطر وتعزيز التنمية المؤسسية، بينما أكد</w:t>
      </w:r>
      <w:r w:rsidRPr="00EF1F40">
        <w:rPr>
          <w:rFonts w:ascii="Traditional Arabic" w:eastAsia="Calibri" w:hAnsi="Traditional Arabic" w:cs="Traditional Arabic"/>
          <w:sz w:val="32"/>
          <w:szCs w:val="32"/>
          <w:lang w:val="en-US"/>
        </w:rPr>
        <w:t xml:space="preserve"> (Al-Dhaafr, 2019) </w:t>
      </w:r>
      <w:r w:rsidRPr="00EF1F40">
        <w:rPr>
          <w:rFonts w:ascii="Traditional Arabic" w:eastAsia="Calibri" w:hAnsi="Traditional Arabic" w:cs="Traditional Arabic"/>
          <w:sz w:val="32"/>
          <w:szCs w:val="32"/>
          <w:rtl/>
        </w:rPr>
        <w:t>أن دمج التخطيط مع الابتكار يحسن الأداء التنظيمي</w:t>
      </w:r>
      <w:r w:rsidRPr="00EF1F40">
        <w:rPr>
          <w:rFonts w:ascii="Traditional Arabic" w:eastAsia="Calibri" w:hAnsi="Traditional Arabic" w:cs="Traditional Arabic"/>
          <w:sz w:val="32"/>
          <w:szCs w:val="32"/>
          <w:lang w:val="en-US"/>
        </w:rPr>
        <w:t>.</w:t>
      </w:r>
    </w:p>
    <w:p w14:paraId="3E61538E" w14:textId="77777777" w:rsid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rPr>
        <w:t>ومن ثم فإن ربط الاستراتيجية بالسياسات والإجراءات يعكس مستوى نضج مرتفع، حيث تصبح الاستراتيجية جزءًا من الثقافة المؤسسية</w:t>
      </w:r>
      <w:r w:rsidRPr="00EF1F40">
        <w:rPr>
          <w:rFonts w:ascii="Traditional Arabic" w:eastAsia="Calibri" w:hAnsi="Traditional Arabic" w:cs="Traditional Arabic"/>
          <w:sz w:val="32"/>
          <w:szCs w:val="32"/>
          <w:lang w:val="en-US"/>
        </w:rPr>
        <w:t>.</w:t>
      </w:r>
    </w:p>
    <w:p w14:paraId="23854A90" w14:textId="77777777" w:rsidR="00EF1F40" w:rsidRDefault="00EF1F40" w:rsidP="00EF1F40">
      <w:pPr>
        <w:bidi/>
        <w:spacing w:line="360" w:lineRule="auto"/>
        <w:jc w:val="both"/>
        <w:rPr>
          <w:rFonts w:ascii="Traditional Arabic" w:eastAsia="Calibri" w:hAnsi="Traditional Arabic" w:cs="Traditional Arabic"/>
          <w:sz w:val="32"/>
          <w:szCs w:val="32"/>
          <w:rtl/>
          <w:lang w:val="en-US"/>
        </w:rPr>
      </w:pPr>
    </w:p>
    <w:p w14:paraId="4B8A44B0"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bidi="ar-JO"/>
        </w:rPr>
      </w:pPr>
    </w:p>
    <w:p w14:paraId="36CF4D25" w14:textId="77777777" w:rsidR="00EF1F40" w:rsidRPr="00EF1F40" w:rsidRDefault="00EF1F40" w:rsidP="00EF1F40">
      <w:p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rPr>
        <w:lastRenderedPageBreak/>
        <w:t>خلاصة تحليلية</w:t>
      </w:r>
    </w:p>
    <w:p w14:paraId="49CF671F"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يتضح من العرض السابق أن نضج التخطيط الاستراتيجي يمثل حالة تنظيمية متكاملة تتجسد في وضوح الاتجاه، ودقة التحليل، وكفاءة تخصيص الموارد، وفعالية المتابعة، والتكامل بين الاستراتيجية والعمليات الداخلية. كما تشير الأدبيات إلى أن هذا النضج يرتبط بتحسين الأداء المؤسسي وتعزيز القدرة على التكيف والاستدامة</w:t>
      </w:r>
      <w:r w:rsidRPr="00EF1F40">
        <w:rPr>
          <w:rFonts w:ascii="Traditional Arabic" w:eastAsia="Calibri" w:hAnsi="Traditional Arabic" w:cs="Traditional Arabic"/>
          <w:sz w:val="32"/>
          <w:szCs w:val="32"/>
          <w:lang w:val="en-US"/>
        </w:rPr>
        <w:t>.</w:t>
      </w:r>
    </w:p>
    <w:p w14:paraId="37A5F49F" w14:textId="1279EDA1" w:rsidR="00EF1F40" w:rsidRDefault="00EF1F40" w:rsidP="00EF1F40">
      <w:pPr>
        <w:bidi/>
        <w:spacing w:line="360" w:lineRule="auto"/>
        <w:jc w:val="both"/>
        <w:rPr>
          <w:rFonts w:ascii="Traditional Arabic" w:eastAsia="Calibri" w:hAnsi="Traditional Arabic" w:cs="Traditional Arabic"/>
          <w:sz w:val="32"/>
          <w:szCs w:val="32"/>
          <w:rtl/>
          <w:lang w:val="en-US" w:bidi="ar-JO"/>
        </w:rPr>
      </w:pPr>
      <w:r w:rsidRPr="00EF1F40">
        <w:rPr>
          <w:rFonts w:ascii="Traditional Arabic" w:eastAsia="Calibri" w:hAnsi="Traditional Arabic" w:cs="Traditional Arabic"/>
          <w:sz w:val="32"/>
          <w:szCs w:val="32"/>
          <w:rtl/>
        </w:rPr>
        <w:t>غير أن معظم الدراسات السابقة ركزت على أثر التخطيط في الأداء أو التميز المؤسسي، بينما لم تتناول بصورة مباشرة العلاقة بين نضج التخطيط الاستراتيجي وتعزيز التكامل المؤسسي داخل منظمات مجلس التعاون الخليجي، وهو ما تسعى هذه الدراسة إلى معالجته</w:t>
      </w:r>
      <w:r w:rsidRPr="00EF1F40">
        <w:rPr>
          <w:rFonts w:ascii="Traditional Arabic" w:eastAsia="Calibri" w:hAnsi="Traditional Arabic" w:cs="Traditional Arabic"/>
          <w:sz w:val="32"/>
          <w:szCs w:val="32"/>
          <w:lang w:val="en-US"/>
        </w:rPr>
        <w:t>.</w:t>
      </w:r>
    </w:p>
    <w:p w14:paraId="6A9DFD39"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bidi="ar-JO"/>
        </w:rPr>
      </w:pPr>
    </w:p>
    <w:p w14:paraId="74A64F80" w14:textId="77777777" w:rsidR="00EF1F40" w:rsidRPr="00EF1F40" w:rsidRDefault="00EF1F40" w:rsidP="00EF1F40">
      <w:pPr>
        <w:bidi/>
        <w:spacing w:line="360" w:lineRule="auto"/>
        <w:jc w:val="both"/>
        <w:rPr>
          <w:rFonts w:ascii="Traditional Arabic" w:eastAsia="Calibri" w:hAnsi="Traditional Arabic" w:cs="Traditional Arabic"/>
          <w:b/>
          <w:bCs/>
          <w:sz w:val="36"/>
          <w:szCs w:val="36"/>
          <w:lang w:val="en-US"/>
        </w:rPr>
      </w:pPr>
      <w:r w:rsidRPr="00EF1F40">
        <w:rPr>
          <w:rFonts w:ascii="Traditional Arabic" w:eastAsia="Calibri" w:hAnsi="Traditional Arabic" w:cs="Traditional Arabic"/>
          <w:b/>
          <w:bCs/>
          <w:sz w:val="36"/>
          <w:szCs w:val="36"/>
          <w:rtl/>
          <w:lang w:val="en-US"/>
        </w:rPr>
        <w:t>ثانياً:</w:t>
      </w:r>
      <w:r w:rsidRPr="00EF1F40">
        <w:rPr>
          <w:rFonts w:ascii="Traditional Arabic" w:eastAsia="Calibri" w:hAnsi="Traditional Arabic" w:cs="Traditional Arabic" w:hint="cs"/>
          <w:b/>
          <w:bCs/>
          <w:sz w:val="36"/>
          <w:szCs w:val="36"/>
          <w:rtl/>
          <w:lang w:val="en-US"/>
        </w:rPr>
        <w:t xml:space="preserve"> </w:t>
      </w:r>
      <w:r w:rsidRPr="00EF1F40">
        <w:rPr>
          <w:rFonts w:ascii="Traditional Arabic" w:eastAsia="Calibri" w:hAnsi="Traditional Arabic" w:cs="Traditional Arabic"/>
          <w:b/>
          <w:bCs/>
          <w:sz w:val="36"/>
          <w:szCs w:val="36"/>
          <w:rtl/>
          <w:lang w:val="en-US"/>
        </w:rPr>
        <w:t>التكامل المؤسسي</w:t>
      </w:r>
    </w:p>
    <w:p w14:paraId="2B44D63D"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r w:rsidRPr="00EF1F40">
        <w:rPr>
          <w:rFonts w:ascii="Traditional Arabic" w:eastAsia="Calibri" w:hAnsi="Traditional Arabic" w:cs="Traditional Arabic"/>
          <w:b/>
          <w:bCs/>
          <w:sz w:val="32"/>
          <w:szCs w:val="32"/>
          <w:rtl/>
          <w:lang w:val="en-US"/>
        </w:rPr>
        <w:t>1. التطور المفاهيمي للتكامل المؤسسي</w:t>
      </w:r>
    </w:p>
    <w:p w14:paraId="0ADBBBDA"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يُعد التكامل المؤسسي من المفاهيم التنظيمية التي برزت في الأدبيات الإدارية الحديثة بوصفه استجابة للتعقيد المتزايد في بيئات العمل، وتعدد أصحاب المصلحة، وتسارع التحولات الاقتصادية والتكنولوجية. ولم يعد ينظر إلى المنظمة المعاصرة باعتبارها وحدات أو إدارات منفصلة تعمل بصورة مستقلة، بل كنظام مترابط تتكامل فيه الرؤية والاستراتيجية والعمليات والهياكل والموارد لتحقيق أهداف مشتركة</w:t>
      </w:r>
      <w:r w:rsidRPr="00EF1F40">
        <w:rPr>
          <w:rFonts w:ascii="Traditional Arabic" w:eastAsia="Calibri" w:hAnsi="Traditional Arabic" w:cs="Traditional Arabic"/>
          <w:sz w:val="32"/>
          <w:szCs w:val="32"/>
          <w:lang w:val="en-US"/>
        </w:rPr>
        <w:t>.</w:t>
      </w:r>
    </w:p>
    <w:p w14:paraId="2AC25DEF"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 xml:space="preserve">ويشير التكامل المؤسسي إلى درجة الانسجام والترابط بين مكونات المنظمة، سواء على المستوى الاستراتيجي أو الهيكلي أو الإجرائي أو الثقافي، بحيث تعمل الوحدات المختلفة ضمن إطار موحد يحقق الاتساق الداخلي ويعزز </w:t>
      </w:r>
      <w:r w:rsidRPr="00EF1F40">
        <w:rPr>
          <w:rFonts w:ascii="Traditional Arabic" w:eastAsia="Calibri" w:hAnsi="Traditional Arabic" w:cs="Traditional Arabic"/>
          <w:sz w:val="32"/>
          <w:szCs w:val="32"/>
          <w:rtl/>
          <w:lang w:val="en-US"/>
        </w:rPr>
        <w:lastRenderedPageBreak/>
        <w:t>الفاعلية التنظيمية. وقد أوضح</w:t>
      </w:r>
      <w:r w:rsidRPr="00EF1F40">
        <w:rPr>
          <w:rFonts w:ascii="Traditional Arabic" w:eastAsia="Calibri" w:hAnsi="Traditional Arabic" w:cs="Traditional Arabic"/>
          <w:sz w:val="32"/>
          <w:szCs w:val="32"/>
          <w:lang w:val="en-US"/>
        </w:rPr>
        <w:t xml:space="preserve"> (Feng, 2024) </w:t>
      </w:r>
      <w:r w:rsidRPr="00EF1F40">
        <w:rPr>
          <w:rFonts w:ascii="Traditional Arabic" w:eastAsia="Calibri" w:hAnsi="Traditional Arabic" w:cs="Traditional Arabic"/>
          <w:sz w:val="32"/>
          <w:szCs w:val="32"/>
          <w:rtl/>
          <w:lang w:val="en-US"/>
        </w:rPr>
        <w:t>أن التنمية التكاملية تمثل خيارا استراتيجيا يعكس عمق التفاعل بين الكيانات التنظيمية، ويسهم في تقليل المخاطر التشغيلية وتعزيز الاستدامة التنافسية، مما يعكس أن التكامل ليس مجرد تنسيق إداري، بل توجه استراتيجي شامل</w:t>
      </w:r>
      <w:r w:rsidRPr="00EF1F40">
        <w:rPr>
          <w:rFonts w:ascii="Traditional Arabic" w:eastAsia="Calibri" w:hAnsi="Traditional Arabic" w:cs="Traditional Arabic"/>
          <w:sz w:val="32"/>
          <w:szCs w:val="32"/>
          <w:lang w:val="en-US"/>
        </w:rPr>
        <w:t>.</w:t>
      </w:r>
    </w:p>
    <w:p w14:paraId="7D9A5517"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كما أكدت دراسة</w:t>
      </w:r>
      <w:r w:rsidRPr="00EF1F40">
        <w:rPr>
          <w:rFonts w:ascii="Traditional Arabic" w:eastAsia="Calibri" w:hAnsi="Traditional Arabic" w:cs="Traditional Arabic"/>
          <w:sz w:val="32"/>
          <w:szCs w:val="32"/>
          <w:lang w:val="en-US"/>
        </w:rPr>
        <w:t xml:space="preserve"> (Biondi &amp; Russo, 2022) </w:t>
      </w:r>
      <w:r w:rsidRPr="00EF1F40">
        <w:rPr>
          <w:rFonts w:ascii="Traditional Arabic" w:eastAsia="Calibri" w:hAnsi="Traditional Arabic" w:cs="Traditional Arabic"/>
          <w:sz w:val="32"/>
          <w:szCs w:val="32"/>
          <w:rtl/>
          <w:lang w:val="en-US"/>
        </w:rPr>
        <w:t>أن التكامل بين التخطيط الاستراتيجي ونظم إدارة الأداء يعزز الحوكمة الجامعية، ويرفع مستوى المساءلة والشفافية، ويؤدي إلى تحسين تخصيص الموارد. ويعكس هذا الطرح أن التكامل المؤسسي يتحقق عندما ترتبط مكونات الإدارة المختلفة ضمن إطار موحد يقود إلى نتائج قابلة للقياس</w:t>
      </w:r>
      <w:r w:rsidRPr="00EF1F40">
        <w:rPr>
          <w:rFonts w:ascii="Traditional Arabic" w:eastAsia="Calibri" w:hAnsi="Traditional Arabic" w:cs="Traditional Arabic"/>
          <w:sz w:val="32"/>
          <w:szCs w:val="32"/>
          <w:lang w:val="en-US"/>
        </w:rPr>
        <w:t>.</w:t>
      </w:r>
    </w:p>
    <w:p w14:paraId="24BF4732"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وفي السياق ذاته، بينت دراسة</w:t>
      </w:r>
      <w:r w:rsidRPr="00EF1F40">
        <w:rPr>
          <w:rFonts w:ascii="Traditional Arabic" w:eastAsia="Calibri" w:hAnsi="Traditional Arabic" w:cs="Traditional Arabic"/>
          <w:sz w:val="32"/>
          <w:szCs w:val="32"/>
          <w:lang w:val="en-US"/>
        </w:rPr>
        <w:t xml:space="preserve"> (Asbari et al., 2025) </w:t>
      </w:r>
      <w:r w:rsidRPr="00EF1F40">
        <w:rPr>
          <w:rFonts w:ascii="Traditional Arabic" w:eastAsia="Calibri" w:hAnsi="Traditional Arabic" w:cs="Traditional Arabic"/>
          <w:sz w:val="32"/>
          <w:szCs w:val="32"/>
          <w:rtl/>
          <w:lang w:val="en-US"/>
        </w:rPr>
        <w:t>أن دمج الإدارة الاستراتيجية في الإدارة الأكاديمية يسهم في تحقيق الاتساق المؤسسي وتعزيز القدرة على التكيف مع المتغيرات، وهو ما يشير إلى أن التكامل يمثل حالة تنظيمية تتجاوز التنسيق الشكلي إلى تحقيق الانسجام الوظيفي والثقافي داخل المؤسسة</w:t>
      </w:r>
      <w:r w:rsidRPr="00EF1F40">
        <w:rPr>
          <w:rFonts w:ascii="Traditional Arabic" w:eastAsia="Calibri" w:hAnsi="Traditional Arabic" w:cs="Traditional Arabic"/>
          <w:sz w:val="32"/>
          <w:szCs w:val="32"/>
          <w:lang w:val="en-US"/>
        </w:rPr>
        <w:t>.</w:t>
      </w:r>
    </w:p>
    <w:p w14:paraId="591B1BF5"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bidi="ar-JO"/>
        </w:rPr>
      </w:pPr>
      <w:r w:rsidRPr="00EF1F40">
        <w:rPr>
          <w:rFonts w:ascii="Traditional Arabic" w:eastAsia="Calibri" w:hAnsi="Traditional Arabic" w:cs="Traditional Arabic"/>
          <w:sz w:val="32"/>
          <w:szCs w:val="32"/>
          <w:rtl/>
          <w:lang w:val="en-US"/>
        </w:rPr>
        <w:t>وبناء على ما سبق، يمكن تعريف التكامل المؤسسي في هذه الدراسة بأنه</w:t>
      </w:r>
      <w:r w:rsidRPr="00EF1F40">
        <w:rPr>
          <w:rFonts w:ascii="Traditional Arabic" w:eastAsia="Calibri" w:hAnsi="Traditional Arabic" w:cs="Traditional Arabic"/>
          <w:sz w:val="32"/>
          <w:szCs w:val="32"/>
          <w:lang w:val="en-US"/>
        </w:rPr>
        <w:t>:</w:t>
      </w:r>
      <w:r w:rsidRPr="00EF1F40">
        <w:rPr>
          <w:rFonts w:ascii="Traditional Arabic" w:eastAsia="Calibri" w:hAnsi="Traditional Arabic" w:cs="Traditional Arabic" w:hint="cs"/>
          <w:sz w:val="32"/>
          <w:szCs w:val="32"/>
          <w:rtl/>
          <w:lang w:val="en-US"/>
        </w:rPr>
        <w:t xml:space="preserve"> </w:t>
      </w:r>
      <w:r w:rsidRPr="00EF1F40">
        <w:rPr>
          <w:rFonts w:ascii="Traditional Arabic" w:eastAsia="Calibri" w:hAnsi="Traditional Arabic" w:cs="Traditional Arabic"/>
          <w:sz w:val="32"/>
          <w:szCs w:val="32"/>
          <w:rtl/>
          <w:lang w:val="en-US"/>
        </w:rPr>
        <w:t>درجة الاتساق والترابط بين الاستراتيجية والهياكل والسياسات والعمليات والموارد داخل المنظمة، بما يضمن توحيد الجهود وتحقيق الانسجام الوظيفي والتنظيمي نحو تحقيق الأهداف المؤسسية</w:t>
      </w:r>
      <w:r w:rsidRPr="00EF1F40">
        <w:rPr>
          <w:rFonts w:ascii="Traditional Arabic" w:eastAsia="Calibri" w:hAnsi="Traditional Arabic" w:cs="Traditional Arabic"/>
          <w:b/>
          <w:bCs/>
          <w:sz w:val="32"/>
          <w:szCs w:val="32"/>
          <w:lang w:val="en-US"/>
        </w:rPr>
        <w:t>.</w:t>
      </w:r>
    </w:p>
    <w:p w14:paraId="000C7B32"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r w:rsidRPr="00EF1F40">
        <w:rPr>
          <w:rFonts w:ascii="Traditional Arabic" w:eastAsia="Calibri" w:hAnsi="Traditional Arabic" w:cs="Traditional Arabic"/>
          <w:b/>
          <w:bCs/>
          <w:sz w:val="32"/>
          <w:szCs w:val="32"/>
          <w:rtl/>
          <w:lang w:val="en-US"/>
        </w:rPr>
        <w:t>2. أبعاد التكامل المؤسسي</w:t>
      </w:r>
    </w:p>
    <w:p w14:paraId="79DEE3EF"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استنادا إلى تحليل الدراسات السابقة، يمكن استنباط مجموعة من الأبعاد النظرية التي تعكس جوهر التكامل المؤسسي، والتي تتلاءم مع طبيعة منظمات مجلس التعاون الخليجي، وهي</w:t>
      </w:r>
      <w:r w:rsidRPr="00EF1F40">
        <w:rPr>
          <w:rFonts w:ascii="Traditional Arabic" w:eastAsia="Calibri" w:hAnsi="Traditional Arabic" w:cs="Traditional Arabic"/>
          <w:sz w:val="32"/>
          <w:szCs w:val="32"/>
          <w:lang w:val="en-US"/>
        </w:rPr>
        <w:t>:</w:t>
      </w:r>
    </w:p>
    <w:p w14:paraId="76DB3F8F" w14:textId="77777777" w:rsidR="00EF1F40" w:rsidRPr="00EF1F40" w:rsidRDefault="00EF1F40" w:rsidP="00EF1F40">
      <w:pPr>
        <w:numPr>
          <w:ilvl w:val="0"/>
          <w:numId w:val="15"/>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التكامل الاستراتيجي</w:t>
      </w:r>
    </w:p>
    <w:p w14:paraId="54224277" w14:textId="77777777" w:rsidR="00EF1F40" w:rsidRPr="00EF1F40" w:rsidRDefault="00EF1F40" w:rsidP="00EF1F40">
      <w:pPr>
        <w:numPr>
          <w:ilvl w:val="0"/>
          <w:numId w:val="15"/>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lastRenderedPageBreak/>
        <w:t>التكامل الهيكلي والتنظيمي</w:t>
      </w:r>
    </w:p>
    <w:p w14:paraId="415CB043" w14:textId="77777777" w:rsidR="00EF1F40" w:rsidRPr="00EF1F40" w:rsidRDefault="00EF1F40" w:rsidP="00EF1F40">
      <w:pPr>
        <w:numPr>
          <w:ilvl w:val="0"/>
          <w:numId w:val="15"/>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التكامل التشغيلي والإجرائي</w:t>
      </w:r>
    </w:p>
    <w:p w14:paraId="1BE2DCCC" w14:textId="77777777" w:rsidR="00EF1F40" w:rsidRPr="00EF1F40" w:rsidRDefault="00EF1F40" w:rsidP="00EF1F40">
      <w:pPr>
        <w:numPr>
          <w:ilvl w:val="0"/>
          <w:numId w:val="15"/>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التكامل المعلوماتي والتحليلي</w:t>
      </w:r>
    </w:p>
    <w:p w14:paraId="693D4B82" w14:textId="77777777" w:rsidR="00EF1F40" w:rsidRPr="00EF1F40" w:rsidRDefault="00EF1F40" w:rsidP="00EF1F40">
      <w:pPr>
        <w:numPr>
          <w:ilvl w:val="0"/>
          <w:numId w:val="15"/>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التكامل الثقافي والمؤسسي</w:t>
      </w:r>
    </w:p>
    <w:p w14:paraId="6F86AC6A"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lang w:val="en-US"/>
        </w:rPr>
        <w:t>وسيتم عرض كل بعد بصورة تحليلية</w:t>
      </w:r>
      <w:r w:rsidRPr="00EF1F40">
        <w:rPr>
          <w:rFonts w:ascii="Traditional Arabic" w:eastAsia="Calibri" w:hAnsi="Traditional Arabic" w:cs="Traditional Arabic"/>
          <w:sz w:val="32"/>
          <w:szCs w:val="32"/>
          <w:lang w:val="en-US"/>
        </w:rPr>
        <w:t>.</w:t>
      </w:r>
    </w:p>
    <w:p w14:paraId="1C9157D2" w14:textId="77777777" w:rsidR="00EF1F40" w:rsidRPr="00EF1F40" w:rsidRDefault="00EF1F40" w:rsidP="00EF1F40">
      <w:pPr>
        <w:numPr>
          <w:ilvl w:val="0"/>
          <w:numId w:val="18"/>
        </w:num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lang w:val="en-US"/>
        </w:rPr>
        <w:t>التكامل الاستراتيجي</w:t>
      </w:r>
    </w:p>
    <w:p w14:paraId="0EE2C9C4"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يشير التكامل الاستراتيجي إلى درجة مواءمة الخطط والسياسات والأهداف عبر مستويات المنظمة المختلفة. فكلما كانت الأهداف التشغيلية ومؤشرات الأداء متسقة مع الرؤية الاستراتيجية، تحقق مستوى أعلى من التكامل</w:t>
      </w:r>
      <w:r w:rsidRPr="00EF1F40">
        <w:rPr>
          <w:rFonts w:ascii="Traditional Arabic" w:eastAsia="Calibri" w:hAnsi="Traditional Arabic" w:cs="Traditional Arabic"/>
          <w:sz w:val="32"/>
          <w:szCs w:val="32"/>
          <w:lang w:val="en-US"/>
        </w:rPr>
        <w:t>.</w:t>
      </w:r>
    </w:p>
    <w:p w14:paraId="2D6319B4"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lang w:val="en-US"/>
        </w:rPr>
        <w:t>وقد أوضحت دراسة</w:t>
      </w:r>
      <w:r w:rsidRPr="00EF1F40">
        <w:rPr>
          <w:rFonts w:ascii="Traditional Arabic" w:eastAsia="Calibri" w:hAnsi="Traditional Arabic" w:cs="Traditional Arabic"/>
          <w:sz w:val="32"/>
          <w:szCs w:val="32"/>
          <w:lang w:val="en-US"/>
        </w:rPr>
        <w:t xml:space="preserve"> (Biondi &amp; Russo, 2022) </w:t>
      </w:r>
      <w:r w:rsidRPr="00EF1F40">
        <w:rPr>
          <w:rFonts w:ascii="Traditional Arabic" w:eastAsia="Calibri" w:hAnsi="Traditional Arabic" w:cs="Traditional Arabic"/>
          <w:sz w:val="32"/>
          <w:szCs w:val="32"/>
          <w:rtl/>
          <w:lang w:val="en-US"/>
        </w:rPr>
        <w:t>أن ربط التخطيط الاستراتيجي بإدارة الأداء يسهم في تعزيز الاتساق المؤسسي، حيث تصبح مؤشرات الأداء انعكاسا مباشرا للتوجهات الاستراتيجية. كما بينت (مسعود وعلماوي، 2025) أن التكامل بين أبعاد التخطيط الاستراتيجي ومعايير التميز المؤسسي وفق نموذج</w:t>
      </w:r>
      <w:r w:rsidRPr="00EF1F40">
        <w:rPr>
          <w:rFonts w:ascii="Traditional Arabic" w:eastAsia="Calibri" w:hAnsi="Traditional Arabic" w:cs="Traditional Arabic"/>
          <w:sz w:val="32"/>
          <w:szCs w:val="32"/>
          <w:lang w:val="en-US"/>
        </w:rPr>
        <w:t xml:space="preserve"> </w:t>
      </w:r>
      <w:r w:rsidRPr="00EF1F40">
        <w:rPr>
          <w:rFonts w:ascii="Traditional Arabic" w:eastAsia="Calibri" w:hAnsi="Traditional Arabic" w:cs="Traditional Arabic" w:hint="cs"/>
          <w:sz w:val="32"/>
          <w:szCs w:val="32"/>
          <w:rtl/>
          <w:lang w:val="en-US"/>
        </w:rPr>
        <w:t xml:space="preserve">  </w:t>
      </w:r>
      <w:r w:rsidRPr="00EF1F40">
        <w:rPr>
          <w:rFonts w:ascii="Traditional Arabic" w:eastAsia="Calibri" w:hAnsi="Traditional Arabic" w:cs="Traditional Arabic"/>
          <w:sz w:val="32"/>
          <w:szCs w:val="32"/>
          <w:lang w:val="en-US"/>
        </w:rPr>
        <w:t xml:space="preserve">EFQM </w:t>
      </w:r>
      <w:r w:rsidRPr="00EF1F40">
        <w:rPr>
          <w:rFonts w:ascii="Traditional Arabic" w:eastAsia="Calibri" w:hAnsi="Traditional Arabic" w:cs="Traditional Arabic"/>
          <w:sz w:val="32"/>
          <w:szCs w:val="32"/>
          <w:rtl/>
          <w:lang w:val="en-US"/>
        </w:rPr>
        <w:t>يعزز التفوق التنظيمي، مما يدل على أن التكامل الاستراتيجي يمثل شرطا لتحقيق التميز</w:t>
      </w:r>
      <w:r w:rsidRPr="00EF1F40">
        <w:rPr>
          <w:rFonts w:ascii="Traditional Arabic" w:eastAsia="Calibri" w:hAnsi="Traditional Arabic" w:cs="Traditional Arabic"/>
          <w:sz w:val="32"/>
          <w:szCs w:val="32"/>
          <w:lang w:val="en-US"/>
        </w:rPr>
        <w:t>.</w:t>
      </w:r>
    </w:p>
    <w:p w14:paraId="4DDDDC64"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ويعكس ذلك أن التكامل الاستراتيجي يمثل البنية العليا التي توجه بقية أشكال التكامل داخل المؤسسة</w:t>
      </w:r>
      <w:r w:rsidRPr="00EF1F40">
        <w:rPr>
          <w:rFonts w:ascii="Traditional Arabic" w:eastAsia="Calibri" w:hAnsi="Traditional Arabic" w:cs="Traditional Arabic"/>
          <w:sz w:val="32"/>
          <w:szCs w:val="32"/>
          <w:lang w:val="en-US"/>
        </w:rPr>
        <w:t>.</w:t>
      </w:r>
    </w:p>
    <w:p w14:paraId="535CC58A" w14:textId="77777777" w:rsidR="00EF1F40" w:rsidRPr="00EF1F40" w:rsidRDefault="00EF1F40" w:rsidP="00EF1F40">
      <w:pPr>
        <w:numPr>
          <w:ilvl w:val="0"/>
          <w:numId w:val="18"/>
        </w:num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lang w:val="en-US"/>
        </w:rPr>
        <w:t>التكامل الهيكلي والتنظيمي</w:t>
      </w:r>
    </w:p>
    <w:p w14:paraId="2913177A"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lastRenderedPageBreak/>
        <w:t>يتعلق التكامل الهيكلي بمدى انسجام الهياكل التنظيمية مع الأهداف الاستراتيجية، وتجنب الازدواجية والتجزئة الإدارية. وقد أشارت</w:t>
      </w:r>
      <w:r w:rsidRPr="00EF1F40">
        <w:rPr>
          <w:rFonts w:ascii="Traditional Arabic" w:eastAsia="Calibri" w:hAnsi="Traditional Arabic" w:cs="Traditional Arabic"/>
          <w:sz w:val="32"/>
          <w:szCs w:val="32"/>
          <w:lang w:val="en-US"/>
        </w:rPr>
        <w:t xml:space="preserve"> (Elbanna et al., 2025) </w:t>
      </w:r>
      <w:r w:rsidRPr="00EF1F40">
        <w:rPr>
          <w:rFonts w:ascii="Traditional Arabic" w:eastAsia="Calibri" w:hAnsi="Traditional Arabic" w:cs="Traditional Arabic"/>
          <w:sz w:val="32"/>
          <w:szCs w:val="32"/>
          <w:rtl/>
          <w:lang w:val="en-US"/>
        </w:rPr>
        <w:t>إلى أن عدم ملاءمة الهياكل التنظيمية يمثل أحد معوقات تنفيذ الاستراتيجيات، مما يعكس أن ضعف التكامل الهيكلي يؤدي إلى تآكل فاعلية التخطيط</w:t>
      </w:r>
      <w:r w:rsidRPr="00EF1F40">
        <w:rPr>
          <w:rFonts w:ascii="Traditional Arabic" w:eastAsia="Calibri" w:hAnsi="Traditional Arabic" w:cs="Traditional Arabic"/>
          <w:sz w:val="32"/>
          <w:szCs w:val="32"/>
          <w:lang w:val="en-US"/>
        </w:rPr>
        <w:t>.</w:t>
      </w:r>
    </w:p>
    <w:p w14:paraId="5C785CB7"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كما بينت</w:t>
      </w:r>
      <w:r w:rsidRPr="00EF1F40">
        <w:rPr>
          <w:rFonts w:ascii="Traditional Arabic" w:eastAsia="Calibri" w:hAnsi="Traditional Arabic" w:cs="Traditional Arabic"/>
          <w:sz w:val="32"/>
          <w:szCs w:val="32"/>
          <w:lang w:val="en-US"/>
        </w:rPr>
        <w:t xml:space="preserve"> (Asbari et al., 2025) </w:t>
      </w:r>
      <w:r w:rsidRPr="00EF1F40">
        <w:rPr>
          <w:rFonts w:ascii="Traditional Arabic" w:eastAsia="Calibri" w:hAnsi="Traditional Arabic" w:cs="Traditional Arabic"/>
          <w:sz w:val="32"/>
          <w:szCs w:val="32"/>
          <w:rtl/>
          <w:lang w:val="en-US"/>
        </w:rPr>
        <w:t>أن وجود هياكل إدارية مجزأة يمثل تحديا أمام تحقيق الاتساق المؤسسي، في حين أن المؤسسات التي تتبنى نهجا تشاركيا تظهر مستوى أعلى من النضج الاستراتيجي والتكامل</w:t>
      </w:r>
      <w:r w:rsidRPr="00EF1F40">
        <w:rPr>
          <w:rFonts w:ascii="Traditional Arabic" w:eastAsia="Calibri" w:hAnsi="Traditional Arabic" w:cs="Traditional Arabic"/>
          <w:sz w:val="32"/>
          <w:szCs w:val="32"/>
          <w:lang w:val="en-US"/>
        </w:rPr>
        <w:t>.</w:t>
      </w:r>
    </w:p>
    <w:p w14:paraId="1089B791"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bidi="ar-JO"/>
        </w:rPr>
      </w:pPr>
      <w:r w:rsidRPr="00EF1F40">
        <w:rPr>
          <w:rFonts w:ascii="Traditional Arabic" w:eastAsia="Calibri" w:hAnsi="Traditional Arabic" w:cs="Traditional Arabic"/>
          <w:sz w:val="32"/>
          <w:szCs w:val="32"/>
          <w:rtl/>
          <w:lang w:val="en-US"/>
        </w:rPr>
        <w:t>ويشير ذلك إلى أن التكامل الهيكلي يعكس قدرة المنظمة على تصميم هياكل مرنة تدعم تنفيذ الاستراتيجية بدلا من إعاقتها</w:t>
      </w:r>
      <w:r w:rsidRPr="00EF1F40">
        <w:rPr>
          <w:rFonts w:ascii="Traditional Arabic" w:eastAsia="Calibri" w:hAnsi="Traditional Arabic" w:cs="Traditional Arabic"/>
          <w:sz w:val="32"/>
          <w:szCs w:val="32"/>
          <w:lang w:val="en-US"/>
        </w:rPr>
        <w:t>.</w:t>
      </w:r>
    </w:p>
    <w:p w14:paraId="0E53FC69" w14:textId="77777777" w:rsidR="00EF1F40" w:rsidRPr="00EF1F40" w:rsidRDefault="00EF1F40" w:rsidP="00EF1F40">
      <w:pPr>
        <w:numPr>
          <w:ilvl w:val="0"/>
          <w:numId w:val="18"/>
        </w:num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lang w:val="en-US"/>
        </w:rPr>
        <w:t>التكامل التشغيلي والإجرائي</w:t>
      </w:r>
    </w:p>
    <w:p w14:paraId="47070D9A"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يتمثل هذا البعد في مدى اتساق الإجراءات والسياسات الداخلية مع التوجهات الاستراتيجية، بحيث لا تعمل الإدارات بصورة منفصلة، بل ضمن منظومة تشغيلية مترابطة</w:t>
      </w:r>
      <w:r w:rsidRPr="00EF1F40">
        <w:rPr>
          <w:rFonts w:ascii="Traditional Arabic" w:eastAsia="Calibri" w:hAnsi="Traditional Arabic" w:cs="Traditional Arabic"/>
          <w:sz w:val="32"/>
          <w:szCs w:val="32"/>
          <w:lang w:val="en-US"/>
        </w:rPr>
        <w:t>.</w:t>
      </w:r>
    </w:p>
    <w:p w14:paraId="74A1B564"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وقد أظهرت</w:t>
      </w:r>
      <w:r w:rsidRPr="00EF1F40">
        <w:rPr>
          <w:rFonts w:ascii="Traditional Arabic" w:eastAsia="Calibri" w:hAnsi="Traditional Arabic" w:cs="Traditional Arabic"/>
          <w:sz w:val="32"/>
          <w:szCs w:val="32"/>
          <w:lang w:val="en-US"/>
        </w:rPr>
        <w:t xml:space="preserve"> (Al-Dhaafr, 2019) </w:t>
      </w:r>
      <w:r w:rsidRPr="00EF1F40">
        <w:rPr>
          <w:rFonts w:ascii="Traditional Arabic" w:eastAsia="Calibri" w:hAnsi="Traditional Arabic" w:cs="Traditional Arabic"/>
          <w:sz w:val="32"/>
          <w:szCs w:val="32"/>
          <w:rtl/>
          <w:lang w:val="en-US"/>
        </w:rPr>
        <w:t>أن الجمع بين التخطيط الاستراتيجي والابتكار يعزز الأداء التنظيمي، مما يعكس وجود تكامل بين التوجه الاستراتيجي والممارسات التشغيلية. كما أكدت (الحاتمي، 2020) أن المرونة الاستراتيجية تسهم في تحسين الأداء، وهو ما يدل على أهمية تكييف الإجراءات التشغيلية بما يخدم الأهداف الاستراتيجية</w:t>
      </w:r>
      <w:r w:rsidRPr="00EF1F40">
        <w:rPr>
          <w:rFonts w:ascii="Traditional Arabic" w:eastAsia="Calibri" w:hAnsi="Traditional Arabic" w:cs="Traditional Arabic"/>
          <w:sz w:val="32"/>
          <w:szCs w:val="32"/>
          <w:lang w:val="en-US"/>
        </w:rPr>
        <w:t>.</w:t>
      </w:r>
    </w:p>
    <w:p w14:paraId="7AB8C578"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bidi="ar-JO"/>
        </w:rPr>
      </w:pPr>
      <w:r w:rsidRPr="00EF1F40">
        <w:rPr>
          <w:rFonts w:ascii="Traditional Arabic" w:eastAsia="Calibri" w:hAnsi="Traditional Arabic" w:cs="Traditional Arabic"/>
          <w:sz w:val="32"/>
          <w:szCs w:val="32"/>
          <w:rtl/>
          <w:lang w:val="en-US"/>
        </w:rPr>
        <w:t>وعليه فإن التكامل التشغيلي يمثل ترجمة عملية للاستراتيجية داخل الأنشطة اليومية للمنظمة</w:t>
      </w:r>
      <w:r w:rsidRPr="00EF1F40">
        <w:rPr>
          <w:rFonts w:ascii="Traditional Arabic" w:eastAsia="Calibri" w:hAnsi="Traditional Arabic" w:cs="Traditional Arabic"/>
          <w:sz w:val="32"/>
          <w:szCs w:val="32"/>
          <w:lang w:val="en-US"/>
        </w:rPr>
        <w:t>.</w:t>
      </w:r>
    </w:p>
    <w:p w14:paraId="1D7C8E72" w14:textId="77777777" w:rsidR="00EF1F40" w:rsidRPr="00EF1F40" w:rsidRDefault="00EF1F40" w:rsidP="00EF1F40">
      <w:pPr>
        <w:numPr>
          <w:ilvl w:val="0"/>
          <w:numId w:val="18"/>
        </w:num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lang w:val="en-US"/>
        </w:rPr>
        <w:t>التكامل المعلوماتي والتحليلي</w:t>
      </w:r>
    </w:p>
    <w:p w14:paraId="4E717D03"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lastRenderedPageBreak/>
        <w:t>في ظل التحول الرقمي، أصبح التكامل المعلوماتي أحد أهم مظاهر التكامل المؤسسي. ويشير إلى توحيد مصادر البيانات، وربط أنظمة المعلومات، ودعم القرارات برؤى تحليلية متكاملة</w:t>
      </w:r>
      <w:r w:rsidRPr="00EF1F40">
        <w:rPr>
          <w:rFonts w:ascii="Traditional Arabic" w:eastAsia="Calibri" w:hAnsi="Traditional Arabic" w:cs="Traditional Arabic"/>
          <w:sz w:val="32"/>
          <w:szCs w:val="32"/>
          <w:lang w:val="en-US"/>
        </w:rPr>
        <w:t>.</w:t>
      </w:r>
    </w:p>
    <w:p w14:paraId="72D5AE82"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وقد بينت (</w:t>
      </w:r>
      <w:r w:rsidRPr="00EF1F40">
        <w:rPr>
          <w:rFonts w:ascii="Traditional Arabic" w:eastAsia="Calibri" w:hAnsi="Traditional Arabic" w:cs="Traditional Arabic"/>
          <w:sz w:val="32"/>
          <w:szCs w:val="32"/>
          <w:lang w:val="en-US"/>
        </w:rPr>
        <w:t>Mardiani et al., 2023</w:t>
      </w:r>
      <w:r w:rsidRPr="00EF1F40">
        <w:rPr>
          <w:rFonts w:ascii="Traditional Arabic" w:eastAsia="Calibri" w:hAnsi="Traditional Arabic" w:cs="Traditional Arabic"/>
          <w:sz w:val="32"/>
          <w:szCs w:val="32"/>
          <w:rtl/>
          <w:lang w:val="en-US"/>
        </w:rPr>
        <w:t>) أن النضج التحليلي يعزز الأداء التنظيمي عند تكامله مع التخطيط الاستراتيجي، مما يعكس أن التكامل المعلوماتي يمثل دعامة رئيسة للاتساق المؤسسي. كما أوضحت (</w:t>
      </w:r>
      <w:r w:rsidRPr="00EF1F40">
        <w:rPr>
          <w:rFonts w:ascii="Traditional Arabic" w:eastAsia="Calibri" w:hAnsi="Traditional Arabic" w:cs="Traditional Arabic"/>
          <w:sz w:val="32"/>
          <w:szCs w:val="32"/>
          <w:lang w:val="en-US"/>
        </w:rPr>
        <w:t>Molete et al., 2025</w:t>
      </w:r>
      <w:r w:rsidRPr="00EF1F40">
        <w:rPr>
          <w:rFonts w:ascii="Traditional Arabic" w:eastAsia="Calibri" w:hAnsi="Traditional Arabic" w:cs="Traditional Arabic"/>
          <w:sz w:val="32"/>
          <w:szCs w:val="32"/>
          <w:rtl/>
          <w:lang w:val="en-US"/>
        </w:rPr>
        <w:t>) أن مواءمة استراتيجية تكنولوجيا المعلومات مع الأهداف التنظيمية تسهم في تعزيز الاستدامة التنافسية.</w:t>
      </w:r>
    </w:p>
    <w:p w14:paraId="044827A5" w14:textId="4A085557" w:rsidR="00EF1F40" w:rsidRPr="00EF1F40" w:rsidRDefault="00EF1F40" w:rsidP="00EF1F40">
      <w:pPr>
        <w:bidi/>
        <w:spacing w:line="360" w:lineRule="auto"/>
        <w:jc w:val="both"/>
        <w:rPr>
          <w:rFonts w:ascii="Traditional Arabic" w:eastAsia="Calibri" w:hAnsi="Traditional Arabic" w:cs="Traditional Arabic"/>
          <w:sz w:val="32"/>
          <w:szCs w:val="32"/>
          <w:rtl/>
          <w:lang w:val="en-US" w:bidi="ar-JO"/>
        </w:rPr>
      </w:pPr>
      <w:r w:rsidRPr="00EF1F40">
        <w:rPr>
          <w:rFonts w:ascii="Traditional Arabic" w:eastAsia="Calibri" w:hAnsi="Traditional Arabic" w:cs="Traditional Arabic"/>
          <w:sz w:val="32"/>
          <w:szCs w:val="32"/>
          <w:rtl/>
          <w:lang w:val="en-US"/>
        </w:rPr>
        <w:t>كما أشارت (الدقن، 2019) إلى أن ضعف التحليل الرقمي يمثل عائقا أمام التخطيط الفعال، وهو ما يدل على أن التكامل المعلوماتي شرط جوهري لنجاح المنظمات المعاصرة</w:t>
      </w:r>
      <w:r w:rsidRPr="00EF1F40">
        <w:rPr>
          <w:rFonts w:ascii="Traditional Arabic" w:eastAsia="Calibri" w:hAnsi="Traditional Arabic" w:cs="Traditional Arabic"/>
          <w:sz w:val="32"/>
          <w:szCs w:val="32"/>
          <w:lang w:val="en-US"/>
        </w:rPr>
        <w:t>.</w:t>
      </w:r>
    </w:p>
    <w:p w14:paraId="5F25950B" w14:textId="77777777" w:rsidR="00EF1F40" w:rsidRPr="00EF1F40" w:rsidRDefault="00EF1F40" w:rsidP="00EF1F40">
      <w:pPr>
        <w:numPr>
          <w:ilvl w:val="0"/>
          <w:numId w:val="18"/>
        </w:num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lang w:val="en-US"/>
        </w:rPr>
        <w:t>التكامل الثقافي والمؤسسي</w:t>
      </w:r>
    </w:p>
    <w:p w14:paraId="3FD3B85D"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لا يكتمل التكامل المؤسسي دون وجود ثقافة تنظيمية داعمة. وقد أكدت (</w:t>
      </w:r>
      <w:r w:rsidRPr="00EF1F40">
        <w:rPr>
          <w:rFonts w:ascii="Traditional Arabic" w:eastAsia="Calibri" w:hAnsi="Traditional Arabic" w:cs="Traditional Arabic"/>
          <w:sz w:val="32"/>
          <w:szCs w:val="32"/>
          <w:lang w:val="en-US"/>
        </w:rPr>
        <w:t>Elbanna et al., 2025</w:t>
      </w:r>
      <w:r w:rsidRPr="00EF1F40">
        <w:rPr>
          <w:rFonts w:ascii="Traditional Arabic" w:eastAsia="Calibri" w:hAnsi="Traditional Arabic" w:cs="Traditional Arabic"/>
          <w:sz w:val="32"/>
          <w:szCs w:val="32"/>
          <w:rtl/>
          <w:lang w:val="en-US"/>
        </w:rPr>
        <w:t>) أن الثقة التنظيمية والتعلم المؤسسي يمثلان عوامل مخففة لمعوقات التنفيذ، مما يعكس أن الثقافة التنظيمية تؤدي دورا محوريا في تحقيق الانسجام المؤسسي.</w:t>
      </w:r>
    </w:p>
    <w:p w14:paraId="38549ACE"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كما بينت (الشريف وشعبان، 2022) أن دعم الإدارة العليا يعزز فاعلية الممارسات الاستراتيجية، وهو ما يشير إلى أن التكامل الثقافي يتجسد في التزام القيادات وتبنيها للتوجهات الاستراتيجية بصورة عملية</w:t>
      </w:r>
      <w:r w:rsidRPr="00EF1F40">
        <w:rPr>
          <w:rFonts w:ascii="Traditional Arabic" w:eastAsia="Calibri" w:hAnsi="Traditional Arabic" w:cs="Traditional Arabic"/>
          <w:sz w:val="32"/>
          <w:szCs w:val="32"/>
          <w:lang w:val="en-US"/>
        </w:rPr>
        <w:t>.</w:t>
      </w:r>
    </w:p>
    <w:p w14:paraId="20C3B491" w14:textId="77777777" w:rsid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lang w:val="en-US"/>
        </w:rPr>
        <w:t>ويعكس ذلك أن التكامل المؤسسي ليس عملية فنية فحسب، بل حالة ثقافية تتجسد في سلوك الأفراد والجماعات داخل المنظمة</w:t>
      </w:r>
      <w:r w:rsidRPr="00EF1F40">
        <w:rPr>
          <w:rFonts w:ascii="Traditional Arabic" w:eastAsia="Calibri" w:hAnsi="Traditional Arabic" w:cs="Traditional Arabic"/>
          <w:sz w:val="32"/>
          <w:szCs w:val="32"/>
          <w:lang w:val="en-US"/>
        </w:rPr>
        <w:t>.</w:t>
      </w:r>
    </w:p>
    <w:p w14:paraId="3CBEB815"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bidi="ar-JO"/>
        </w:rPr>
      </w:pPr>
    </w:p>
    <w:p w14:paraId="0EF2EF74" w14:textId="77777777" w:rsidR="00EF1F40" w:rsidRPr="00EF1F40" w:rsidRDefault="00EF1F40" w:rsidP="00EF1F40">
      <w:p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lang w:val="en-US"/>
        </w:rPr>
        <w:lastRenderedPageBreak/>
        <w:t>خلاصة تحليلية</w:t>
      </w:r>
    </w:p>
    <w:p w14:paraId="18D8E147"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يتضح من العرض السابق أن التكامل المؤسسي يمثل حالة تنظيمية متقدمة تعكس انسجام الأبعاد الاستراتيجية والهيكلية والتشغيلية والمعلوماتية والثقافية داخل المنظمة. كما تشير الأدبيات إلى أن غياب هذا التكامل يؤدي إلى ضعف التنفيذ، وتشتت الموارد، وتراجع الأداء، في حين أن تعزيزه يسهم في تحسين الكفاءة والاستدامة والقدرة التنافسية</w:t>
      </w:r>
      <w:r w:rsidRPr="00EF1F40">
        <w:rPr>
          <w:rFonts w:ascii="Traditional Arabic" w:eastAsia="Calibri" w:hAnsi="Traditional Arabic" w:cs="Traditional Arabic"/>
          <w:sz w:val="32"/>
          <w:szCs w:val="32"/>
          <w:lang w:val="en-US"/>
        </w:rPr>
        <w:t>.</w:t>
      </w:r>
    </w:p>
    <w:p w14:paraId="534713BE"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lang w:val="en-US"/>
        </w:rPr>
        <w:t>غير أن معظم الدراسات السابقة تناولت التكامل ضمن سياقات تعليمية أو أمنية أو قطاعية محددة، أو ركزت على العلاقة بين التخطيط والأداء، دون اختبار العلاقة بين مستوى نضج التخطيط الاستراتيجي وتعزيز التكامل المؤسسي بصورة مباشرة، خاصة في سياق منظمات مجلس التعاون الخليجي، وهو ما يمنح الدراسة الحالية خصوصيتها وأهميتها العلمية</w:t>
      </w:r>
      <w:r w:rsidRPr="00EF1F40">
        <w:rPr>
          <w:rFonts w:ascii="Traditional Arabic" w:eastAsia="Calibri" w:hAnsi="Traditional Arabic" w:cs="Traditional Arabic"/>
          <w:sz w:val="32"/>
          <w:szCs w:val="32"/>
          <w:lang w:val="en-US"/>
        </w:rPr>
        <w:t>.</w:t>
      </w:r>
    </w:p>
    <w:p w14:paraId="68CD4DA4"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p>
    <w:p w14:paraId="272882D1" w14:textId="77777777" w:rsidR="00EF1F40" w:rsidRPr="00EF1F40" w:rsidRDefault="00EF1F40" w:rsidP="00EF1F40">
      <w:pPr>
        <w:bidi/>
        <w:spacing w:line="360" w:lineRule="auto"/>
        <w:jc w:val="both"/>
        <w:rPr>
          <w:rFonts w:ascii="Traditional Arabic" w:eastAsia="Calibri" w:hAnsi="Traditional Arabic" w:cs="Traditional Arabic"/>
          <w:b/>
          <w:bCs/>
          <w:sz w:val="36"/>
          <w:szCs w:val="36"/>
          <w:rtl/>
          <w:lang w:val="en-US"/>
        </w:rPr>
      </w:pPr>
      <w:r w:rsidRPr="00EF1F40">
        <w:rPr>
          <w:rFonts w:ascii="Traditional Arabic" w:eastAsia="Calibri" w:hAnsi="Traditional Arabic" w:cs="Traditional Arabic" w:hint="cs"/>
          <w:b/>
          <w:bCs/>
          <w:sz w:val="36"/>
          <w:szCs w:val="36"/>
          <w:rtl/>
          <w:lang w:val="en-US"/>
        </w:rPr>
        <w:t xml:space="preserve">ثالثا: </w:t>
      </w:r>
      <w:r w:rsidRPr="00EF1F40">
        <w:rPr>
          <w:rFonts w:ascii="Traditional Arabic" w:eastAsia="Calibri" w:hAnsi="Traditional Arabic" w:cs="Traditional Arabic"/>
          <w:b/>
          <w:bCs/>
          <w:sz w:val="36"/>
          <w:szCs w:val="36"/>
          <w:rtl/>
          <w:lang w:val="en-US"/>
        </w:rPr>
        <w:t>الأسس والنظريات المفسرة للعلاقة بين نضج التخطيط الاستراتيجي والتكامل المؤسسي</w:t>
      </w:r>
    </w:p>
    <w:p w14:paraId="582F5787"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لا يمكن تفسير العلاقة بين نضج التخطيط الاستراتيجي والتكامل المؤسسي في إطار وصفي أو إجرائي فحسب، بل تتطلب هذه العلاقة تأسيسًا نظريًا عميقًا يوضح الأساس التفسيري الذي يجعل من النضج التخطيطي مدخلًا مؤثرًا في تحقيق الاتساق والتكامل داخل المنظمة. ويستند البناء النظري للدراسة الحالية إلى مجموعة من النظريات الإدارية والتنظيمية التي تفسر آليات الربط بين الاستراتيجية والبنية والموارد والعمليات، وتوضح كيف يتحول التخطيط من نشاط إداري إلى قدرة تنظيمية تولد التكامل المؤسسي</w:t>
      </w:r>
      <w:r w:rsidRPr="00EF1F40">
        <w:rPr>
          <w:rFonts w:ascii="Traditional Arabic" w:eastAsia="Calibri" w:hAnsi="Traditional Arabic" w:cs="Traditional Arabic"/>
          <w:sz w:val="32"/>
          <w:szCs w:val="32"/>
          <w:lang w:val="en-US"/>
        </w:rPr>
        <w:t>.</w:t>
      </w:r>
    </w:p>
    <w:p w14:paraId="2B3DBA73"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bidi="ar-JO"/>
        </w:rPr>
      </w:pPr>
      <w:r w:rsidRPr="00EF1F40">
        <w:rPr>
          <w:rFonts w:ascii="Traditional Arabic" w:eastAsia="Calibri" w:hAnsi="Traditional Arabic" w:cs="Traditional Arabic"/>
          <w:sz w:val="32"/>
          <w:szCs w:val="32"/>
          <w:rtl/>
        </w:rPr>
        <w:lastRenderedPageBreak/>
        <w:t>وانطلاقًا من طبيعة متغيرات الدراسة وأبعادها، تم اعتماد أربع نظريات رئيسة تمثل الإطار التفسيري للدراسة، وهي: نظرية النظم، ونظرية الموارد والقدرات، ونظرية المواءمة الاستراتيجية، ونظرية القدرات الديناميكية</w:t>
      </w:r>
      <w:r w:rsidRPr="00EF1F40">
        <w:rPr>
          <w:rFonts w:ascii="Traditional Arabic" w:eastAsia="Calibri" w:hAnsi="Traditional Arabic" w:cs="Traditional Arabic"/>
          <w:sz w:val="32"/>
          <w:szCs w:val="32"/>
          <w:lang w:val="en-US"/>
        </w:rPr>
        <w:t>.</w:t>
      </w:r>
    </w:p>
    <w:p w14:paraId="7A269089" w14:textId="77777777" w:rsidR="00EF1F40" w:rsidRPr="00EF1F40" w:rsidRDefault="00EF1F40" w:rsidP="00EF1F40">
      <w:pPr>
        <w:numPr>
          <w:ilvl w:val="0"/>
          <w:numId w:val="19"/>
        </w:num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rPr>
        <w:t>نظرية النظم (</w:t>
      </w:r>
      <w:r w:rsidRPr="00EF1F40">
        <w:rPr>
          <w:rFonts w:ascii="Traditional Arabic" w:eastAsia="Calibri" w:hAnsi="Traditional Arabic" w:cs="Traditional Arabic"/>
          <w:b/>
          <w:bCs/>
          <w:sz w:val="32"/>
          <w:szCs w:val="32"/>
        </w:rPr>
        <w:t>Systems Theory</w:t>
      </w:r>
      <w:r w:rsidRPr="00EF1F40">
        <w:rPr>
          <w:rFonts w:ascii="Traditional Arabic" w:eastAsia="Calibri" w:hAnsi="Traditional Arabic" w:cs="Traditional Arabic"/>
          <w:b/>
          <w:bCs/>
          <w:sz w:val="32"/>
          <w:szCs w:val="32"/>
          <w:rtl/>
        </w:rPr>
        <w:t>)</w:t>
      </w:r>
    </w:p>
    <w:p w14:paraId="3483D1E7"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تعد نظرية النظم من أقدم وأهم النظريات التي فسرت عمل المنظمات بوصفها كيانات مفتوحة تتفاعل مع بيئتها، حيث طرح</w:t>
      </w:r>
      <w:r w:rsidRPr="00EF1F40">
        <w:rPr>
          <w:rFonts w:ascii="Traditional Arabic" w:eastAsia="Calibri" w:hAnsi="Traditional Arabic" w:cs="Traditional Arabic"/>
          <w:sz w:val="32"/>
          <w:szCs w:val="32"/>
          <w:lang w:val="en-US"/>
        </w:rPr>
        <w:t xml:space="preserve"> Bertalanffy (1968) </w:t>
      </w:r>
      <w:r w:rsidRPr="00EF1F40">
        <w:rPr>
          <w:rFonts w:ascii="Traditional Arabic" w:eastAsia="Calibri" w:hAnsi="Traditional Arabic" w:cs="Traditional Arabic"/>
          <w:sz w:val="32"/>
          <w:szCs w:val="32"/>
          <w:rtl/>
        </w:rPr>
        <w:t>الأساس العام للنظرية من خلال مفهوم “النظام المفتوح”، الذي يتكون من مدخلات وعمليات تحويل ومخرجات وتغذية راجعة. وقد طُبقت هذه النظرية على التنظيمات الإدارية لاحقًا بواسطة</w:t>
      </w:r>
      <w:r w:rsidRPr="00EF1F40">
        <w:rPr>
          <w:rFonts w:ascii="Traditional Arabic" w:eastAsia="Calibri" w:hAnsi="Traditional Arabic" w:cs="Traditional Arabic"/>
          <w:sz w:val="32"/>
          <w:szCs w:val="32"/>
          <w:lang w:val="en-US"/>
        </w:rPr>
        <w:t xml:space="preserve"> Katz and Kahn (1978) </w:t>
      </w:r>
      <w:r w:rsidRPr="00EF1F40">
        <w:rPr>
          <w:rFonts w:ascii="Traditional Arabic" w:eastAsia="Calibri" w:hAnsi="Traditional Arabic" w:cs="Traditional Arabic"/>
          <w:sz w:val="32"/>
          <w:szCs w:val="32"/>
          <w:rtl/>
        </w:rPr>
        <w:t>الذين أكدوا أن المنظمة لا يمكن فهمها من خلال تحليل أجزائها منفصلة، بل من خلال دراسة العلاقات والتفاعلات بين مكوناتها</w:t>
      </w:r>
      <w:r w:rsidRPr="00EF1F40">
        <w:rPr>
          <w:rFonts w:ascii="Traditional Arabic" w:eastAsia="Calibri" w:hAnsi="Traditional Arabic" w:cs="Traditional Arabic"/>
          <w:sz w:val="32"/>
          <w:szCs w:val="32"/>
          <w:lang w:val="en-US"/>
        </w:rPr>
        <w:t>.</w:t>
      </w:r>
    </w:p>
    <w:p w14:paraId="4018679B"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في ضوء هذه النظرية، يُنظر إلى التخطيط الاستراتيجي بوصفه آلية تنظيمية تنسق بين عناصر النظام المختلفة، وتربط المدخلات البيئية بالعمليات الداخلية، بما يضمن اتساق المخرجات مع الأهداف طويلة المدى. وكلما ارتفع مستوى نضج التخطيط، زادت قدرة المنظمة على تحقيق التوازن بين أجزائها، وتقليل التعارض بين الوحدات، وتعزيز الانسجام الهيكلي والوظيفي</w:t>
      </w:r>
      <w:r w:rsidRPr="00EF1F40">
        <w:rPr>
          <w:rFonts w:ascii="Traditional Arabic" w:eastAsia="Calibri" w:hAnsi="Traditional Arabic" w:cs="Traditional Arabic"/>
          <w:sz w:val="32"/>
          <w:szCs w:val="32"/>
          <w:lang w:val="en-US"/>
        </w:rPr>
        <w:t>.</w:t>
      </w:r>
    </w:p>
    <w:p w14:paraId="034B733D"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وقد دعمت دراسة الدقن (2019) هذا المنظور عند استخدامها مدخل تحليل النظم في تشخيص التخطيط الاستراتيجي الرقمي، مؤكدة أن ضعف التكامل بين المدخلات والعمليات والمخرجات يمثل أحد أبرز أسباب قصور الأداء المؤسسي. كما أشارت</w:t>
      </w:r>
      <w:r w:rsidRPr="00EF1F40">
        <w:rPr>
          <w:rFonts w:ascii="Traditional Arabic" w:eastAsia="Calibri" w:hAnsi="Traditional Arabic" w:cs="Traditional Arabic"/>
          <w:sz w:val="32"/>
          <w:szCs w:val="32"/>
          <w:lang w:val="en-US"/>
        </w:rPr>
        <w:t xml:space="preserve"> Elbanna et al. (2025) </w:t>
      </w:r>
      <w:r w:rsidRPr="00EF1F40">
        <w:rPr>
          <w:rFonts w:ascii="Traditional Arabic" w:eastAsia="Calibri" w:hAnsi="Traditional Arabic" w:cs="Traditional Arabic"/>
          <w:sz w:val="32"/>
          <w:szCs w:val="32"/>
          <w:rtl/>
        </w:rPr>
        <w:t>إلى أن ضعف الربط بين الاستراتيجية والهياكل التنظيمية يؤدي إلى بطء التنفيذ وتشتت الجهود، وهو ما ينسجم مع منطق نظرية النظم</w:t>
      </w:r>
      <w:r w:rsidRPr="00EF1F40">
        <w:rPr>
          <w:rFonts w:ascii="Traditional Arabic" w:eastAsia="Calibri" w:hAnsi="Traditional Arabic" w:cs="Traditional Arabic"/>
          <w:sz w:val="32"/>
          <w:szCs w:val="32"/>
          <w:lang w:val="en-US"/>
        </w:rPr>
        <w:t>.</w:t>
      </w:r>
    </w:p>
    <w:p w14:paraId="1E6BE1E1" w14:textId="7BA8D06C"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rPr>
        <w:lastRenderedPageBreak/>
        <w:t>وبناءً عليه، تفسر نظرية النظم أن نضج التخطيط الاستراتيجي يعزز التكامل المؤسسي من خلال تحسين الترابط بين مكونات النظام التنظيمي وتقوية آليات التغذية الراجعة</w:t>
      </w:r>
      <w:r w:rsidRPr="00EF1F40">
        <w:rPr>
          <w:rFonts w:ascii="Traditional Arabic" w:eastAsia="Calibri" w:hAnsi="Traditional Arabic" w:cs="Traditional Arabic"/>
          <w:sz w:val="32"/>
          <w:szCs w:val="32"/>
          <w:lang w:val="en-US"/>
        </w:rPr>
        <w:t>.</w:t>
      </w:r>
    </w:p>
    <w:p w14:paraId="2BC544B0" w14:textId="77777777" w:rsidR="00EF1F40" w:rsidRPr="00EF1F40" w:rsidRDefault="00EF1F40" w:rsidP="00EF1F40">
      <w:pPr>
        <w:numPr>
          <w:ilvl w:val="0"/>
          <w:numId w:val="19"/>
        </w:num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rPr>
        <w:t>نظرية الموارد والقدرات (</w:t>
      </w:r>
      <w:r w:rsidRPr="00EF1F40">
        <w:rPr>
          <w:rFonts w:ascii="Traditional Arabic" w:eastAsia="Calibri" w:hAnsi="Traditional Arabic" w:cs="Traditional Arabic"/>
          <w:b/>
          <w:bCs/>
          <w:sz w:val="32"/>
          <w:szCs w:val="32"/>
        </w:rPr>
        <w:t>Resource-Based View – RBV</w:t>
      </w:r>
      <w:r w:rsidRPr="00EF1F40">
        <w:rPr>
          <w:rFonts w:ascii="Traditional Arabic" w:eastAsia="Calibri" w:hAnsi="Traditional Arabic" w:cs="Traditional Arabic"/>
          <w:b/>
          <w:bCs/>
          <w:sz w:val="32"/>
          <w:szCs w:val="32"/>
          <w:rtl/>
        </w:rPr>
        <w:t>)</w:t>
      </w:r>
    </w:p>
    <w:p w14:paraId="49E8E682"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 xml:space="preserve">ترجع جذور نظرية الموارد والقدرات إلى أعمال </w:t>
      </w:r>
      <w:r w:rsidRPr="00EF1F40">
        <w:rPr>
          <w:rFonts w:ascii="Traditional Arabic" w:eastAsia="Calibri" w:hAnsi="Traditional Arabic" w:cs="Traditional Arabic" w:hint="cs"/>
          <w:sz w:val="32"/>
          <w:szCs w:val="32"/>
          <w:rtl/>
        </w:rPr>
        <w:t>(</w:t>
      </w:r>
      <w:r w:rsidRPr="00EF1F40">
        <w:rPr>
          <w:rFonts w:ascii="Traditional Arabic" w:eastAsia="Calibri" w:hAnsi="Traditional Arabic" w:cs="Traditional Arabic"/>
          <w:sz w:val="32"/>
          <w:szCs w:val="32"/>
        </w:rPr>
        <w:t>Penrose, 1959</w:t>
      </w:r>
      <w:r w:rsidRPr="00EF1F40">
        <w:rPr>
          <w:rFonts w:ascii="Traditional Arabic" w:eastAsia="Calibri" w:hAnsi="Traditional Arabic" w:cs="Traditional Arabic"/>
          <w:sz w:val="32"/>
          <w:szCs w:val="32"/>
          <w:rtl/>
        </w:rPr>
        <w:t xml:space="preserve">) التي رأت أن نمو المنظمة يعتمد على مواردها الداخلية، ثم تطورت بصورة أكثر وضوحًا مع </w:t>
      </w:r>
      <w:r w:rsidRPr="00EF1F40">
        <w:rPr>
          <w:rFonts w:ascii="Traditional Arabic" w:eastAsia="Calibri" w:hAnsi="Traditional Arabic" w:cs="Traditional Arabic"/>
          <w:sz w:val="32"/>
          <w:szCs w:val="32"/>
        </w:rPr>
        <w:t>Wernerfelt, 1984)</w:t>
      </w:r>
      <w:r w:rsidRPr="00EF1F40">
        <w:rPr>
          <w:rFonts w:ascii="Traditional Arabic" w:eastAsia="Calibri" w:hAnsi="Traditional Arabic" w:cs="Traditional Arabic"/>
          <w:sz w:val="32"/>
          <w:szCs w:val="32"/>
          <w:rtl/>
        </w:rPr>
        <w:t>) و</w:t>
      </w:r>
      <w:r w:rsidRPr="00EF1F40">
        <w:rPr>
          <w:rFonts w:ascii="Traditional Arabic" w:eastAsia="Calibri" w:hAnsi="Traditional Arabic" w:cs="Traditional Arabic"/>
          <w:sz w:val="32"/>
          <w:szCs w:val="32"/>
        </w:rPr>
        <w:t>Barney, 1991)</w:t>
      </w:r>
      <w:r w:rsidRPr="00EF1F40">
        <w:rPr>
          <w:rFonts w:ascii="Traditional Arabic" w:eastAsia="Calibri" w:hAnsi="Traditional Arabic" w:cs="Traditional Arabic"/>
          <w:sz w:val="32"/>
          <w:szCs w:val="32"/>
          <w:rtl/>
        </w:rPr>
        <w:t>) الذين أكدوا أن الميزة التنافسية المستدامة تتحقق عندما تمتلك المنظمة موارد ذات قيمة ونادرة وغير قابلة للتقليد</w:t>
      </w:r>
      <w:r w:rsidRPr="00EF1F40">
        <w:rPr>
          <w:rFonts w:ascii="Traditional Arabic" w:eastAsia="Calibri" w:hAnsi="Traditional Arabic" w:cs="Traditional Arabic"/>
          <w:sz w:val="32"/>
          <w:szCs w:val="32"/>
          <w:lang w:val="en-US"/>
        </w:rPr>
        <w:t>.</w:t>
      </w:r>
    </w:p>
    <w:p w14:paraId="06DFE983"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في سياق التخطيط الاستراتيجي، تعني هذه النظرية أن النضج التخطيطي يتجلى في قدرة المنظمة على تحديد مواردها الجوهرية، وتخصيصها بصورة فعالة، ومواءمتها مع أهدافها الاستراتيجية. وكلما كان تخصيص الموارد أكثر انسجامًا مع التوجه الاستراتيجي، زاد مستوى التكامل المؤسسي</w:t>
      </w:r>
      <w:r w:rsidRPr="00EF1F40">
        <w:rPr>
          <w:rFonts w:ascii="Traditional Arabic" w:eastAsia="Calibri" w:hAnsi="Traditional Arabic" w:cs="Traditional Arabic"/>
          <w:sz w:val="32"/>
          <w:szCs w:val="32"/>
          <w:lang w:val="en-US"/>
        </w:rPr>
        <w:t>.</w:t>
      </w:r>
    </w:p>
    <w:p w14:paraId="570E09B9"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وقد أكدت</w:t>
      </w:r>
      <w:r w:rsidRPr="00EF1F40">
        <w:rPr>
          <w:rFonts w:ascii="Traditional Arabic" w:eastAsia="Calibri" w:hAnsi="Traditional Arabic" w:cs="Traditional Arabic"/>
          <w:sz w:val="32"/>
          <w:szCs w:val="32"/>
          <w:lang w:val="en-US"/>
        </w:rPr>
        <w:t xml:space="preserve"> Molete et al. (2025) </w:t>
      </w:r>
      <w:r w:rsidRPr="00EF1F40">
        <w:rPr>
          <w:rFonts w:ascii="Traditional Arabic" w:eastAsia="Calibri" w:hAnsi="Traditional Arabic" w:cs="Traditional Arabic"/>
          <w:sz w:val="32"/>
          <w:szCs w:val="32"/>
          <w:rtl/>
        </w:rPr>
        <w:t>أن مواءمة استراتيجية تكنولوجيا المعلومات مع الأهداف التنظيمية تسهم في خفض التكاليف وتحسين الأداء، بينما أوضحت</w:t>
      </w:r>
      <w:r w:rsidRPr="00EF1F40">
        <w:rPr>
          <w:rFonts w:ascii="Traditional Arabic" w:eastAsia="Calibri" w:hAnsi="Traditional Arabic" w:cs="Traditional Arabic"/>
          <w:sz w:val="32"/>
          <w:szCs w:val="32"/>
          <w:lang w:val="en-US"/>
        </w:rPr>
        <w:t xml:space="preserve"> Mardiani et al. (2023) </w:t>
      </w:r>
      <w:r w:rsidRPr="00EF1F40">
        <w:rPr>
          <w:rFonts w:ascii="Traditional Arabic" w:eastAsia="Calibri" w:hAnsi="Traditional Arabic" w:cs="Traditional Arabic"/>
          <w:sz w:val="32"/>
          <w:szCs w:val="32"/>
          <w:rtl/>
        </w:rPr>
        <w:t>أن التكامل بين التخطيط الاستراتيجي والنضج التحليلي يعزز الأداء التنظيمي من خلال تحسين استخدام الموارد المعرفية والتحليلية</w:t>
      </w:r>
      <w:r w:rsidRPr="00EF1F40">
        <w:rPr>
          <w:rFonts w:ascii="Traditional Arabic" w:eastAsia="Calibri" w:hAnsi="Traditional Arabic" w:cs="Traditional Arabic"/>
          <w:sz w:val="32"/>
          <w:szCs w:val="32"/>
          <w:lang w:val="en-US"/>
        </w:rPr>
        <w:t>.</w:t>
      </w:r>
    </w:p>
    <w:p w14:paraId="5097F4D1" w14:textId="77777777" w:rsid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rPr>
        <w:t>وبذلك، تفسر نظرية الموارد والقدرات العلاقة بين نضج التخطيط والتكامل المؤسسي من خلال الدور الحاسم للموارد والقدرات في تحقيق الانسجام بين الوحدات التنظيمية</w:t>
      </w:r>
      <w:r w:rsidRPr="00EF1F40">
        <w:rPr>
          <w:rFonts w:ascii="Traditional Arabic" w:eastAsia="Calibri" w:hAnsi="Traditional Arabic" w:cs="Traditional Arabic"/>
          <w:sz w:val="32"/>
          <w:szCs w:val="32"/>
          <w:lang w:val="en-US"/>
        </w:rPr>
        <w:t>.</w:t>
      </w:r>
    </w:p>
    <w:p w14:paraId="1650B46D" w14:textId="77777777" w:rsidR="00EF1F40" w:rsidRDefault="00EF1F40" w:rsidP="00EF1F40">
      <w:pPr>
        <w:bidi/>
        <w:spacing w:line="360" w:lineRule="auto"/>
        <w:jc w:val="both"/>
        <w:rPr>
          <w:rFonts w:ascii="Traditional Arabic" w:eastAsia="Calibri" w:hAnsi="Traditional Arabic" w:cs="Traditional Arabic"/>
          <w:sz w:val="32"/>
          <w:szCs w:val="32"/>
          <w:rtl/>
          <w:lang w:val="en-US"/>
        </w:rPr>
      </w:pPr>
    </w:p>
    <w:p w14:paraId="3126705F"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p>
    <w:p w14:paraId="7097E45E" w14:textId="77777777" w:rsidR="00EF1F40" w:rsidRPr="00EF1F40" w:rsidRDefault="00EF1F40" w:rsidP="00EF1F40">
      <w:pPr>
        <w:numPr>
          <w:ilvl w:val="0"/>
          <w:numId w:val="19"/>
        </w:numPr>
        <w:bidi/>
        <w:spacing w:line="360" w:lineRule="auto"/>
        <w:jc w:val="both"/>
        <w:rPr>
          <w:rFonts w:ascii="Traditional Arabic" w:eastAsia="Calibri" w:hAnsi="Traditional Arabic" w:cs="Traditional Arabic"/>
          <w:b/>
          <w:bCs/>
          <w:sz w:val="32"/>
          <w:szCs w:val="32"/>
        </w:rPr>
      </w:pPr>
      <w:r w:rsidRPr="00EF1F40">
        <w:rPr>
          <w:rFonts w:ascii="Traditional Arabic" w:eastAsia="Calibri" w:hAnsi="Traditional Arabic" w:cs="Traditional Arabic"/>
          <w:b/>
          <w:bCs/>
          <w:sz w:val="32"/>
          <w:szCs w:val="32"/>
          <w:rtl/>
        </w:rPr>
        <w:lastRenderedPageBreak/>
        <w:t>نظرية المواءمة الاستراتيجية (</w:t>
      </w:r>
      <w:r w:rsidRPr="00EF1F40">
        <w:rPr>
          <w:rFonts w:ascii="Traditional Arabic" w:eastAsia="Calibri" w:hAnsi="Traditional Arabic" w:cs="Traditional Arabic"/>
          <w:b/>
          <w:bCs/>
          <w:sz w:val="32"/>
          <w:szCs w:val="32"/>
        </w:rPr>
        <w:t>Strategic Alignment Theory</w:t>
      </w:r>
      <w:r w:rsidRPr="00EF1F40">
        <w:rPr>
          <w:rFonts w:ascii="Traditional Arabic" w:eastAsia="Calibri" w:hAnsi="Traditional Arabic" w:cs="Traditional Arabic"/>
          <w:b/>
          <w:bCs/>
          <w:sz w:val="32"/>
          <w:szCs w:val="32"/>
          <w:rtl/>
        </w:rPr>
        <w:t>)</w:t>
      </w:r>
    </w:p>
    <w:p w14:paraId="0E20E050" w14:textId="77777777" w:rsidR="00EF1F40" w:rsidRPr="00EF1F40" w:rsidRDefault="00EF1F40" w:rsidP="00EF1F40">
      <w:pPr>
        <w:bidi/>
        <w:spacing w:line="360" w:lineRule="auto"/>
        <w:jc w:val="both"/>
        <w:rPr>
          <w:rFonts w:ascii="Traditional Arabic" w:eastAsia="Calibri" w:hAnsi="Traditional Arabic" w:cs="Traditional Arabic"/>
          <w:sz w:val="32"/>
          <w:szCs w:val="32"/>
        </w:rPr>
      </w:pPr>
      <w:r w:rsidRPr="00EF1F40">
        <w:rPr>
          <w:rFonts w:ascii="Traditional Arabic" w:eastAsia="Calibri" w:hAnsi="Traditional Arabic" w:cs="Traditional Arabic"/>
          <w:sz w:val="32"/>
          <w:szCs w:val="32"/>
          <w:rtl/>
        </w:rPr>
        <w:t xml:space="preserve">تُعد نظرية المواءمة الاستراتيجية من أكثر النظريات ارتباطًا بموضوع الدراسة، حيث قدم </w:t>
      </w:r>
      <w:r w:rsidRPr="00EF1F40">
        <w:rPr>
          <w:rFonts w:ascii="Traditional Arabic" w:eastAsia="Calibri" w:hAnsi="Traditional Arabic" w:cs="Traditional Arabic"/>
          <w:sz w:val="32"/>
          <w:szCs w:val="32"/>
        </w:rPr>
        <w:t>Henderson and Venkatraman, 1993)</w:t>
      </w:r>
      <w:r w:rsidRPr="00EF1F40">
        <w:rPr>
          <w:rFonts w:ascii="Traditional Arabic" w:eastAsia="Calibri" w:hAnsi="Traditional Arabic" w:cs="Traditional Arabic"/>
          <w:sz w:val="32"/>
          <w:szCs w:val="32"/>
          <w:rtl/>
        </w:rPr>
        <w:t>) نموذج المواءمة الاستراتيجية الذي يربط بين الاستراتيجية والهيكل والبنية التحتية والعمليات. ويرى هذا النموذج أن الأداء المؤسسي يتعزز عندما تكون هناك مواءمة داخلية بين مكونات المنظمة ومواءمة خارجية مع البيئة</w:t>
      </w:r>
      <w:r w:rsidRPr="00EF1F40">
        <w:rPr>
          <w:rFonts w:ascii="Traditional Arabic" w:eastAsia="Calibri" w:hAnsi="Traditional Arabic" w:cs="Traditional Arabic"/>
          <w:sz w:val="32"/>
          <w:szCs w:val="32"/>
          <w:lang w:val="en-US"/>
        </w:rPr>
        <w:t>.</w:t>
      </w:r>
    </w:p>
    <w:p w14:paraId="1E4A21C6"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في هذا الإطار، يمثل نضج التخطيط الاستراتيجي القدرة المؤسسية على تحقيق هذه المواءمة. فوضوح الرؤية، وتحليل البيئة، وربط الاستراتيجية بالسياسات، وتخصيص الموارد، كلها عناصر تعزز الاتساق التنظيمي</w:t>
      </w:r>
      <w:r w:rsidRPr="00EF1F40">
        <w:rPr>
          <w:rFonts w:ascii="Traditional Arabic" w:eastAsia="Calibri" w:hAnsi="Traditional Arabic" w:cs="Traditional Arabic"/>
          <w:sz w:val="32"/>
          <w:szCs w:val="32"/>
          <w:lang w:val="en-US"/>
        </w:rPr>
        <w:t>.</w:t>
      </w:r>
    </w:p>
    <w:p w14:paraId="1CFE7210" w14:textId="77777777" w:rsidR="00EF1F40" w:rsidRPr="00EF1F40" w:rsidRDefault="00EF1F40" w:rsidP="00EF1F40">
      <w:pPr>
        <w:bidi/>
        <w:spacing w:line="360" w:lineRule="auto"/>
        <w:jc w:val="both"/>
        <w:rPr>
          <w:rFonts w:ascii="Traditional Arabic" w:eastAsia="Calibri" w:hAnsi="Traditional Arabic" w:cs="Traditional Arabic"/>
          <w:sz w:val="32"/>
          <w:szCs w:val="32"/>
        </w:rPr>
      </w:pPr>
      <w:r w:rsidRPr="00EF1F40">
        <w:rPr>
          <w:rFonts w:ascii="Traditional Arabic" w:eastAsia="Calibri" w:hAnsi="Traditional Arabic" w:cs="Traditional Arabic"/>
          <w:sz w:val="32"/>
          <w:szCs w:val="32"/>
          <w:rtl/>
        </w:rPr>
        <w:t>وقد أكدت</w:t>
      </w:r>
      <w:r w:rsidRPr="00EF1F40">
        <w:rPr>
          <w:rFonts w:ascii="Traditional Arabic" w:eastAsia="Calibri" w:hAnsi="Traditional Arabic" w:cs="Traditional Arabic"/>
          <w:sz w:val="32"/>
          <w:szCs w:val="32"/>
          <w:lang w:val="en-US"/>
        </w:rPr>
        <w:t xml:space="preserve"> Biondi and Russo (2022) </w:t>
      </w:r>
      <w:r w:rsidRPr="00EF1F40">
        <w:rPr>
          <w:rFonts w:ascii="Traditional Arabic" w:eastAsia="Calibri" w:hAnsi="Traditional Arabic" w:cs="Traditional Arabic"/>
          <w:sz w:val="32"/>
          <w:szCs w:val="32"/>
          <w:rtl/>
        </w:rPr>
        <w:t xml:space="preserve">أن التكامل بين التخطيط الاستراتيجي ونظم إدارة الأداء يسهم في تعزيز الشفافية والمساءلة وتحسين تخصيص الموارد داخل الجامعات. كما بينت </w:t>
      </w:r>
      <w:r w:rsidRPr="00EF1F40">
        <w:rPr>
          <w:rFonts w:ascii="Traditional Arabic" w:eastAsia="Calibri" w:hAnsi="Traditional Arabic" w:cs="Traditional Arabic"/>
          <w:sz w:val="32"/>
          <w:szCs w:val="32"/>
        </w:rPr>
        <w:t>Asbari et al. 2025)</w:t>
      </w:r>
      <w:r w:rsidRPr="00EF1F40">
        <w:rPr>
          <w:rFonts w:ascii="Traditional Arabic" w:eastAsia="Calibri" w:hAnsi="Traditional Arabic" w:cs="Traditional Arabic"/>
          <w:sz w:val="32"/>
          <w:szCs w:val="32"/>
          <w:rtl/>
        </w:rPr>
        <w:t>) أن دمج الإدارة الاستراتيجية في الإدارة الأكاديمية يعزز الاتساق المؤسسي ويرفع مؤشرات الأداء</w:t>
      </w:r>
      <w:r w:rsidRPr="00EF1F40">
        <w:rPr>
          <w:rFonts w:ascii="Traditional Arabic" w:eastAsia="Calibri" w:hAnsi="Traditional Arabic" w:cs="Traditional Arabic"/>
          <w:sz w:val="32"/>
          <w:szCs w:val="32"/>
          <w:lang w:val="en-US"/>
        </w:rPr>
        <w:t>.</w:t>
      </w:r>
    </w:p>
    <w:p w14:paraId="686A8E13" w14:textId="77777777" w:rsid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rPr>
        <w:t>وعليه، فإن نظرية المواءمة الاستراتيجية تقدم التفسير الأكثر مباشرة للعلاقة محل الدراسة، إذ تفسر كيف يؤدي ارتفاع مستوى النضج التخطيطي إلى تعزيز التكامل المؤسسي من خلال تحقيق الاتساق بين الاستراتيجية والعمليات والهياكل</w:t>
      </w:r>
      <w:r w:rsidRPr="00EF1F40">
        <w:rPr>
          <w:rFonts w:ascii="Traditional Arabic" w:eastAsia="Calibri" w:hAnsi="Traditional Arabic" w:cs="Traditional Arabic"/>
          <w:sz w:val="32"/>
          <w:szCs w:val="32"/>
          <w:lang w:val="en-US"/>
        </w:rPr>
        <w:t>.</w:t>
      </w:r>
    </w:p>
    <w:p w14:paraId="2AB1BDE3" w14:textId="77777777" w:rsidR="00EF1F40" w:rsidRDefault="00EF1F40" w:rsidP="00EF1F40">
      <w:pPr>
        <w:bidi/>
        <w:spacing w:line="360" w:lineRule="auto"/>
        <w:jc w:val="both"/>
        <w:rPr>
          <w:rFonts w:ascii="Traditional Arabic" w:eastAsia="Calibri" w:hAnsi="Traditional Arabic" w:cs="Traditional Arabic"/>
          <w:sz w:val="32"/>
          <w:szCs w:val="32"/>
          <w:rtl/>
          <w:lang w:val="en-US"/>
        </w:rPr>
      </w:pPr>
    </w:p>
    <w:p w14:paraId="7FCE6AFA" w14:textId="77777777" w:rsidR="00EF1F40" w:rsidRDefault="00EF1F40" w:rsidP="00EF1F40">
      <w:pPr>
        <w:bidi/>
        <w:spacing w:line="360" w:lineRule="auto"/>
        <w:jc w:val="both"/>
        <w:rPr>
          <w:rFonts w:ascii="Traditional Arabic" w:eastAsia="Calibri" w:hAnsi="Traditional Arabic" w:cs="Traditional Arabic"/>
          <w:sz w:val="32"/>
          <w:szCs w:val="32"/>
          <w:rtl/>
          <w:lang w:val="en-US"/>
        </w:rPr>
      </w:pPr>
    </w:p>
    <w:p w14:paraId="2CEAFDE5"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p>
    <w:p w14:paraId="5AD96CEE" w14:textId="77777777" w:rsidR="00EF1F40" w:rsidRPr="00EF1F40" w:rsidRDefault="00EF1F40" w:rsidP="00EF1F40">
      <w:pPr>
        <w:numPr>
          <w:ilvl w:val="0"/>
          <w:numId w:val="19"/>
        </w:num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rPr>
        <w:lastRenderedPageBreak/>
        <w:t>نظرية القدرات الديناميكية (</w:t>
      </w:r>
      <w:r w:rsidRPr="00EF1F40">
        <w:rPr>
          <w:rFonts w:ascii="Traditional Arabic" w:eastAsia="Calibri" w:hAnsi="Traditional Arabic" w:cs="Traditional Arabic"/>
          <w:b/>
          <w:bCs/>
          <w:sz w:val="32"/>
          <w:szCs w:val="32"/>
        </w:rPr>
        <w:t>Dynamic Capabilities Theory</w:t>
      </w:r>
      <w:r w:rsidRPr="00EF1F40">
        <w:rPr>
          <w:rFonts w:ascii="Traditional Arabic" w:eastAsia="Calibri" w:hAnsi="Traditional Arabic" w:cs="Traditional Arabic"/>
          <w:b/>
          <w:bCs/>
          <w:sz w:val="32"/>
          <w:szCs w:val="32"/>
          <w:rtl/>
        </w:rPr>
        <w:t>)</w:t>
      </w:r>
    </w:p>
    <w:p w14:paraId="6234D43B" w14:textId="77777777" w:rsidR="00EF1F40" w:rsidRPr="00EF1F40" w:rsidRDefault="00EF1F40" w:rsidP="00EF1F40">
      <w:pPr>
        <w:bidi/>
        <w:spacing w:line="360" w:lineRule="auto"/>
        <w:jc w:val="both"/>
        <w:rPr>
          <w:rFonts w:ascii="Traditional Arabic" w:eastAsia="Calibri" w:hAnsi="Traditional Arabic" w:cs="Traditional Arabic"/>
          <w:sz w:val="32"/>
          <w:szCs w:val="32"/>
        </w:rPr>
      </w:pPr>
      <w:r w:rsidRPr="00EF1F40">
        <w:rPr>
          <w:rFonts w:ascii="Traditional Arabic" w:eastAsia="Calibri" w:hAnsi="Traditional Arabic" w:cs="Traditional Arabic"/>
          <w:sz w:val="32"/>
          <w:szCs w:val="32"/>
          <w:rtl/>
        </w:rPr>
        <w:t xml:space="preserve">طوّر </w:t>
      </w:r>
      <w:r w:rsidRPr="00EF1F40">
        <w:rPr>
          <w:rFonts w:ascii="Traditional Arabic" w:eastAsia="Calibri" w:hAnsi="Traditional Arabic" w:cs="Traditional Arabic"/>
          <w:sz w:val="32"/>
          <w:szCs w:val="32"/>
        </w:rPr>
        <w:t>Teece et al. 1997)</w:t>
      </w:r>
      <w:r w:rsidRPr="00EF1F40">
        <w:rPr>
          <w:rFonts w:ascii="Traditional Arabic" w:eastAsia="Calibri" w:hAnsi="Traditional Arabic" w:cs="Traditional Arabic"/>
          <w:sz w:val="32"/>
          <w:szCs w:val="32"/>
          <w:rtl/>
        </w:rPr>
        <w:t xml:space="preserve">) مفهوم القدرات الديناميكية للإشارة إلى قدرة المنظمة على إعادة تشكيل مواردها استجابة للتغيرات البيئية. وأكد </w:t>
      </w:r>
      <w:r w:rsidRPr="00EF1F40">
        <w:rPr>
          <w:rFonts w:ascii="Traditional Arabic" w:eastAsia="Calibri" w:hAnsi="Traditional Arabic" w:cs="Traditional Arabic"/>
          <w:sz w:val="32"/>
          <w:szCs w:val="32"/>
        </w:rPr>
        <w:t>Teece, 2007)</w:t>
      </w:r>
      <w:r w:rsidRPr="00EF1F40">
        <w:rPr>
          <w:rFonts w:ascii="Traditional Arabic" w:eastAsia="Calibri" w:hAnsi="Traditional Arabic" w:cs="Traditional Arabic"/>
          <w:sz w:val="32"/>
          <w:szCs w:val="32"/>
          <w:rtl/>
        </w:rPr>
        <w:t>) أن المنظمات الناجحة هي تلك القادرة على الاستشعار (</w:t>
      </w:r>
      <w:r w:rsidRPr="00EF1F40">
        <w:rPr>
          <w:rFonts w:ascii="Traditional Arabic" w:eastAsia="Calibri" w:hAnsi="Traditional Arabic" w:cs="Traditional Arabic"/>
          <w:sz w:val="32"/>
          <w:szCs w:val="32"/>
        </w:rPr>
        <w:t>Sensing</w:t>
      </w:r>
      <w:r w:rsidRPr="00EF1F40">
        <w:rPr>
          <w:rFonts w:ascii="Traditional Arabic" w:eastAsia="Calibri" w:hAnsi="Traditional Arabic" w:cs="Traditional Arabic"/>
          <w:sz w:val="32"/>
          <w:szCs w:val="32"/>
          <w:rtl/>
        </w:rPr>
        <w:t>)، والاستحواذ (</w:t>
      </w:r>
      <w:r w:rsidRPr="00EF1F40">
        <w:rPr>
          <w:rFonts w:ascii="Traditional Arabic" w:eastAsia="Calibri" w:hAnsi="Traditional Arabic" w:cs="Traditional Arabic"/>
          <w:sz w:val="32"/>
          <w:szCs w:val="32"/>
        </w:rPr>
        <w:t>Seizing</w:t>
      </w:r>
      <w:r w:rsidRPr="00EF1F40">
        <w:rPr>
          <w:rFonts w:ascii="Traditional Arabic" w:eastAsia="Calibri" w:hAnsi="Traditional Arabic" w:cs="Traditional Arabic"/>
          <w:sz w:val="32"/>
          <w:szCs w:val="32"/>
          <w:rtl/>
        </w:rPr>
        <w:t>)، وإعادة التهيئة (</w:t>
      </w:r>
      <w:r w:rsidRPr="00EF1F40">
        <w:rPr>
          <w:rFonts w:ascii="Traditional Arabic" w:eastAsia="Calibri" w:hAnsi="Traditional Arabic" w:cs="Traditional Arabic"/>
          <w:sz w:val="32"/>
          <w:szCs w:val="32"/>
        </w:rPr>
        <w:t>Reconfiguring</w:t>
      </w:r>
      <w:r w:rsidRPr="00EF1F40">
        <w:rPr>
          <w:rFonts w:ascii="Traditional Arabic" w:eastAsia="Calibri" w:hAnsi="Traditional Arabic" w:cs="Traditional Arabic"/>
          <w:sz w:val="32"/>
          <w:szCs w:val="32"/>
          <w:rtl/>
        </w:rPr>
        <w:t>).</w:t>
      </w:r>
    </w:p>
    <w:p w14:paraId="1FBEB93F"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في ضوء هذه النظرية، يُعد نضج التخطيط الاستراتيجي تعبيرًا عن امتلاك المنظمة لقدرات ديناميكية متقدمة، تمكنها من</w:t>
      </w:r>
      <w:r w:rsidRPr="00EF1F40">
        <w:rPr>
          <w:rFonts w:ascii="Traditional Arabic" w:eastAsia="Calibri" w:hAnsi="Traditional Arabic" w:cs="Traditional Arabic"/>
          <w:sz w:val="32"/>
          <w:szCs w:val="32"/>
          <w:lang w:val="en-US"/>
        </w:rPr>
        <w:t>:</w:t>
      </w:r>
    </w:p>
    <w:p w14:paraId="72D5693F" w14:textId="77777777" w:rsidR="00EF1F40" w:rsidRPr="00EF1F40" w:rsidRDefault="00EF1F40" w:rsidP="00EF1F40">
      <w:pPr>
        <w:numPr>
          <w:ilvl w:val="0"/>
          <w:numId w:val="16"/>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تحليل البيئة بفاعلية</w:t>
      </w:r>
    </w:p>
    <w:p w14:paraId="00337B0B" w14:textId="77777777" w:rsidR="00EF1F40" w:rsidRPr="00EF1F40" w:rsidRDefault="00EF1F40" w:rsidP="00EF1F40">
      <w:pPr>
        <w:numPr>
          <w:ilvl w:val="0"/>
          <w:numId w:val="16"/>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إعادة تخصيص الموارد</w:t>
      </w:r>
    </w:p>
    <w:p w14:paraId="520410B7" w14:textId="77777777" w:rsidR="00EF1F40" w:rsidRPr="00EF1F40" w:rsidRDefault="00EF1F40" w:rsidP="00EF1F40">
      <w:pPr>
        <w:numPr>
          <w:ilvl w:val="0"/>
          <w:numId w:val="16"/>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تعديل السياسات</w:t>
      </w:r>
    </w:p>
    <w:p w14:paraId="01020D69" w14:textId="77777777" w:rsidR="00EF1F40" w:rsidRPr="00EF1F40" w:rsidRDefault="00EF1F40" w:rsidP="00EF1F40">
      <w:pPr>
        <w:numPr>
          <w:ilvl w:val="0"/>
          <w:numId w:val="16"/>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تحسين التكامل بين الوحدات</w:t>
      </w:r>
    </w:p>
    <w:p w14:paraId="46C9173D"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وقد دعمت الحاتمي (2020) هذا الطرح بإثبات الدور الوسيط للمرونة الاستراتيجية في العلاقة بين التخطيط والأداء، كما أشارت</w:t>
      </w:r>
      <w:r w:rsidRPr="00EF1F40">
        <w:rPr>
          <w:rFonts w:ascii="Traditional Arabic" w:eastAsia="Calibri" w:hAnsi="Traditional Arabic" w:cs="Traditional Arabic"/>
          <w:sz w:val="32"/>
          <w:szCs w:val="32"/>
          <w:lang w:val="en-US"/>
        </w:rPr>
        <w:t xml:space="preserve"> Mardiani et al. (2023) </w:t>
      </w:r>
      <w:r w:rsidRPr="00EF1F40">
        <w:rPr>
          <w:rFonts w:ascii="Traditional Arabic" w:eastAsia="Calibri" w:hAnsi="Traditional Arabic" w:cs="Traditional Arabic"/>
          <w:sz w:val="32"/>
          <w:szCs w:val="32"/>
          <w:rtl/>
        </w:rPr>
        <w:t>إلى أهمية النضج التحليلي في تعزيز نجاح التخطيط الاستراتيجي</w:t>
      </w:r>
      <w:r w:rsidRPr="00EF1F40">
        <w:rPr>
          <w:rFonts w:ascii="Traditional Arabic" w:eastAsia="Calibri" w:hAnsi="Traditional Arabic" w:cs="Traditional Arabic"/>
          <w:sz w:val="32"/>
          <w:szCs w:val="32"/>
          <w:lang w:val="en-US"/>
        </w:rPr>
        <w:t>.</w:t>
      </w:r>
    </w:p>
    <w:p w14:paraId="2B8D4B71"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bidi="ar-JO"/>
        </w:rPr>
      </w:pPr>
      <w:r w:rsidRPr="00EF1F40">
        <w:rPr>
          <w:rFonts w:ascii="Traditional Arabic" w:eastAsia="Calibri" w:hAnsi="Traditional Arabic" w:cs="Traditional Arabic"/>
          <w:sz w:val="32"/>
          <w:szCs w:val="32"/>
          <w:rtl/>
        </w:rPr>
        <w:t>ومن ثم، تفسر نظرية القدرات الديناميكية أن التكامل المؤسسي ليس حالة ثابتة، بل نتيجة لقدرة المنظمة على إعادة تنظيم مواردها وعملياتها بصورة مستمرة في ضوء التخطيط الناضج</w:t>
      </w:r>
      <w:r w:rsidRPr="00EF1F40">
        <w:rPr>
          <w:rFonts w:ascii="Traditional Arabic" w:eastAsia="Calibri" w:hAnsi="Traditional Arabic" w:cs="Traditional Arabic"/>
          <w:sz w:val="32"/>
          <w:szCs w:val="32"/>
          <w:lang w:val="en-US"/>
        </w:rPr>
        <w:t>.</w:t>
      </w:r>
    </w:p>
    <w:p w14:paraId="6693E98B" w14:textId="77777777" w:rsidR="00EF1F40" w:rsidRPr="00EF1F40" w:rsidRDefault="00EF1F40" w:rsidP="00EF1F40">
      <w:p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rPr>
        <w:lastRenderedPageBreak/>
        <w:t>الخلاصة النظرية</w:t>
      </w:r>
    </w:p>
    <w:p w14:paraId="53735BE0"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يتضح من العرض السابق أن العلاقة بين نضج التخطيط الاستراتيجي والتكامل المؤسسي تستند إلى أساس نظري متعدد الأبعاد</w:t>
      </w:r>
      <w:r w:rsidRPr="00EF1F40">
        <w:rPr>
          <w:rFonts w:ascii="Traditional Arabic" w:eastAsia="Calibri" w:hAnsi="Traditional Arabic" w:cs="Traditional Arabic"/>
          <w:sz w:val="32"/>
          <w:szCs w:val="32"/>
          <w:lang w:val="en-US"/>
        </w:rPr>
        <w:t>:</w:t>
      </w:r>
    </w:p>
    <w:p w14:paraId="0B988D2D" w14:textId="77777777" w:rsidR="00EF1F40" w:rsidRPr="00EF1F40" w:rsidRDefault="00EF1F40" w:rsidP="00EF1F40">
      <w:pPr>
        <w:numPr>
          <w:ilvl w:val="0"/>
          <w:numId w:val="17"/>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نظرية النظم تفسر الترابط الهيكلي</w:t>
      </w:r>
    </w:p>
    <w:p w14:paraId="766CA0EE" w14:textId="77777777" w:rsidR="00EF1F40" w:rsidRPr="00EF1F40" w:rsidRDefault="00EF1F40" w:rsidP="00EF1F40">
      <w:pPr>
        <w:numPr>
          <w:ilvl w:val="0"/>
          <w:numId w:val="17"/>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نظرية الموارد تفسر كفاءة التخصيص</w:t>
      </w:r>
    </w:p>
    <w:p w14:paraId="4066C365" w14:textId="77777777" w:rsidR="00EF1F40" w:rsidRPr="00EF1F40" w:rsidRDefault="00EF1F40" w:rsidP="00EF1F40">
      <w:pPr>
        <w:numPr>
          <w:ilvl w:val="0"/>
          <w:numId w:val="17"/>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نظرية المواءمة تفسر الاتساق التنظيمي</w:t>
      </w:r>
    </w:p>
    <w:p w14:paraId="4162D9F9" w14:textId="77777777" w:rsidR="00EF1F40" w:rsidRPr="00EF1F40" w:rsidRDefault="00EF1F40" w:rsidP="00EF1F40">
      <w:pPr>
        <w:numPr>
          <w:ilvl w:val="0"/>
          <w:numId w:val="17"/>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نظرية القدرات الديناميكية تفسر الاستجابة والتكيف</w:t>
      </w:r>
    </w:p>
    <w:p w14:paraId="08510EF6"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bidi="ar-JO"/>
        </w:rPr>
      </w:pPr>
      <w:r w:rsidRPr="00EF1F40">
        <w:rPr>
          <w:rFonts w:ascii="Traditional Arabic" w:eastAsia="Calibri" w:hAnsi="Traditional Arabic" w:cs="Traditional Arabic"/>
          <w:sz w:val="32"/>
          <w:szCs w:val="32"/>
          <w:rtl/>
        </w:rPr>
        <w:t>وعليه، فإن الدراسة الحالية تستند إلى إطار نظري تكاملي يبرر منطقيًا وسببيًا اختبار أثر نضج التخطيط الاستراتيجي بأبعاده المختلفة في تعزيز التكامل المؤسسي داخل المنظمات التابعة لمجلس التعاون الخليجي</w:t>
      </w:r>
      <w:r w:rsidRPr="00EF1F40">
        <w:rPr>
          <w:rFonts w:ascii="Traditional Arabic" w:eastAsia="Calibri" w:hAnsi="Traditional Arabic" w:cs="Traditional Arabic"/>
          <w:sz w:val="32"/>
          <w:szCs w:val="32"/>
          <w:lang w:val="en-US"/>
        </w:rPr>
        <w:t>.</w:t>
      </w:r>
    </w:p>
    <w:p w14:paraId="28B79D41" w14:textId="77777777" w:rsidR="00EF1F40" w:rsidRDefault="00EF1F40" w:rsidP="00EF1F40">
      <w:pPr>
        <w:bidi/>
        <w:spacing w:line="360" w:lineRule="auto"/>
        <w:jc w:val="both"/>
        <w:rPr>
          <w:rFonts w:ascii="Traditional Arabic" w:eastAsia="Calibri" w:hAnsi="Traditional Arabic" w:cs="Traditional Arabic"/>
          <w:b/>
          <w:bCs/>
          <w:sz w:val="36"/>
          <w:szCs w:val="36"/>
          <w:rtl/>
        </w:rPr>
      </w:pPr>
    </w:p>
    <w:p w14:paraId="4E1B0472" w14:textId="77777777" w:rsidR="00EF1F40" w:rsidRDefault="00EF1F40" w:rsidP="00EF1F40">
      <w:pPr>
        <w:bidi/>
        <w:spacing w:line="360" w:lineRule="auto"/>
        <w:jc w:val="both"/>
        <w:rPr>
          <w:rFonts w:ascii="Traditional Arabic" w:eastAsia="Calibri" w:hAnsi="Traditional Arabic" w:cs="Traditional Arabic"/>
          <w:b/>
          <w:bCs/>
          <w:sz w:val="36"/>
          <w:szCs w:val="36"/>
          <w:rtl/>
        </w:rPr>
      </w:pPr>
    </w:p>
    <w:p w14:paraId="7D866379" w14:textId="77777777" w:rsidR="00EF1F40" w:rsidRDefault="00EF1F40" w:rsidP="00EF1F40">
      <w:pPr>
        <w:bidi/>
        <w:spacing w:line="360" w:lineRule="auto"/>
        <w:jc w:val="both"/>
        <w:rPr>
          <w:rFonts w:ascii="Traditional Arabic" w:eastAsia="Calibri" w:hAnsi="Traditional Arabic" w:cs="Traditional Arabic"/>
          <w:b/>
          <w:bCs/>
          <w:sz w:val="36"/>
          <w:szCs w:val="36"/>
          <w:rtl/>
        </w:rPr>
      </w:pPr>
    </w:p>
    <w:p w14:paraId="27A325E6" w14:textId="77777777" w:rsidR="00EF1F40" w:rsidRDefault="00EF1F40" w:rsidP="00EF1F40">
      <w:pPr>
        <w:bidi/>
        <w:spacing w:line="360" w:lineRule="auto"/>
        <w:jc w:val="both"/>
        <w:rPr>
          <w:rFonts w:ascii="Traditional Arabic" w:eastAsia="Calibri" w:hAnsi="Traditional Arabic" w:cs="Traditional Arabic"/>
          <w:b/>
          <w:bCs/>
          <w:sz w:val="36"/>
          <w:szCs w:val="36"/>
          <w:rtl/>
        </w:rPr>
      </w:pPr>
    </w:p>
    <w:p w14:paraId="2BD2C45A" w14:textId="77777777" w:rsidR="00EF1F40" w:rsidRPr="00EF1F40" w:rsidRDefault="00EF1F40" w:rsidP="00EF1F40">
      <w:pPr>
        <w:bidi/>
        <w:spacing w:line="360" w:lineRule="auto"/>
        <w:jc w:val="both"/>
        <w:rPr>
          <w:rFonts w:ascii="Traditional Arabic" w:eastAsia="Calibri" w:hAnsi="Traditional Arabic" w:cs="Traditional Arabic"/>
          <w:b/>
          <w:bCs/>
          <w:sz w:val="36"/>
          <w:szCs w:val="36"/>
          <w:rtl/>
        </w:rPr>
      </w:pPr>
    </w:p>
    <w:p w14:paraId="27188EB2" w14:textId="77777777" w:rsidR="00EF1F40" w:rsidRPr="00EF1F40" w:rsidRDefault="00EF1F40" w:rsidP="00EF1F40">
      <w:pPr>
        <w:bidi/>
        <w:spacing w:line="360" w:lineRule="auto"/>
        <w:jc w:val="both"/>
        <w:rPr>
          <w:rFonts w:ascii="Traditional Arabic" w:eastAsia="Calibri" w:hAnsi="Traditional Arabic" w:cs="Traditional Arabic"/>
          <w:b/>
          <w:bCs/>
          <w:sz w:val="36"/>
          <w:szCs w:val="36"/>
          <w:rtl/>
        </w:rPr>
      </w:pPr>
      <w:r w:rsidRPr="00EF1F40">
        <w:rPr>
          <w:rFonts w:ascii="Traditional Arabic" w:eastAsia="Calibri" w:hAnsi="Traditional Arabic" w:cs="Traditional Arabic" w:hint="cs"/>
          <w:b/>
          <w:bCs/>
          <w:sz w:val="36"/>
          <w:szCs w:val="36"/>
          <w:rtl/>
        </w:rPr>
        <w:lastRenderedPageBreak/>
        <w:t xml:space="preserve">المبحث الثاني: </w:t>
      </w:r>
      <w:r w:rsidRPr="00EF1F40">
        <w:rPr>
          <w:rFonts w:ascii="Traditional Arabic" w:eastAsia="Calibri" w:hAnsi="Traditional Arabic" w:cs="Traditional Arabic"/>
          <w:b/>
          <w:bCs/>
          <w:sz w:val="36"/>
          <w:szCs w:val="36"/>
          <w:rtl/>
        </w:rPr>
        <w:t>الدراسات ال</w:t>
      </w:r>
      <w:r w:rsidRPr="00EF1F40">
        <w:rPr>
          <w:rFonts w:ascii="Traditional Arabic" w:eastAsia="Calibri" w:hAnsi="Traditional Arabic" w:cs="Traditional Arabic" w:hint="cs"/>
          <w:b/>
          <w:bCs/>
          <w:sz w:val="36"/>
          <w:szCs w:val="36"/>
          <w:rtl/>
        </w:rPr>
        <w:t>سابقة</w:t>
      </w:r>
    </w:p>
    <w:p w14:paraId="3F5BFF4E" w14:textId="6762A933" w:rsidR="00EE28CE" w:rsidRPr="00017E38" w:rsidRDefault="00EE28CE" w:rsidP="00EE28CE">
      <w:pPr>
        <w:bidi/>
        <w:spacing w:line="360" w:lineRule="auto"/>
        <w:jc w:val="both"/>
        <w:rPr>
          <w:rFonts w:ascii="Traditional Arabic" w:eastAsia="Calibri" w:hAnsi="Traditional Arabic" w:cs="Traditional Arabic"/>
          <w:b/>
          <w:bCs/>
          <w:sz w:val="32"/>
          <w:szCs w:val="32"/>
          <w:rtl/>
        </w:rPr>
      </w:pPr>
      <w:r w:rsidRPr="00017E38">
        <w:rPr>
          <w:rFonts w:ascii="Traditional Arabic" w:eastAsia="Calibri" w:hAnsi="Traditional Arabic" w:cs="Traditional Arabic"/>
          <w:b/>
          <w:bCs/>
          <w:sz w:val="32"/>
          <w:szCs w:val="32"/>
          <w:rtl/>
        </w:rPr>
        <w:t>أسس اختيار الدراسات السابقة</w:t>
      </w:r>
    </w:p>
    <w:p w14:paraId="5C087986" w14:textId="77777777" w:rsidR="00EE28CE" w:rsidRPr="00017E38" w:rsidRDefault="00EE28CE" w:rsidP="00EE28CE">
      <w:pPr>
        <w:bidi/>
        <w:spacing w:line="360" w:lineRule="auto"/>
        <w:jc w:val="both"/>
        <w:rPr>
          <w:rFonts w:ascii="Traditional Arabic" w:eastAsia="Calibri" w:hAnsi="Traditional Arabic" w:cs="Traditional Arabic"/>
          <w:sz w:val="32"/>
          <w:szCs w:val="32"/>
          <w:lang w:val="en-US"/>
        </w:rPr>
      </w:pPr>
      <w:r w:rsidRPr="00017E38">
        <w:rPr>
          <w:rFonts w:ascii="Traditional Arabic" w:eastAsia="Calibri" w:hAnsi="Traditional Arabic" w:cs="Traditional Arabic"/>
          <w:sz w:val="32"/>
          <w:szCs w:val="32"/>
          <w:rtl/>
        </w:rPr>
        <w:t>تم اختيار الدراسات السابقة في هذه الدراسة وفق مجموعة من المعايير العلمية التي تضمن ملاءمتها لموضوع البحث وأهدافه، حيث تم التركيز على الدراسات التي ترتبط بشكل مباشر بمتغيرات الدراسة الرئيسة، بما يسهم في دعم الإطار النظري وتفسير العلاقات بينها. كما تم الاعتماد على الدراسات التي استندت إلى أطر نظرية ونماذج علمية ذات صلة بموضوع الدراسة، وذلك لتعزيز البناء المفاهيمي للنموذج المستخدم</w:t>
      </w:r>
      <w:r w:rsidRPr="00017E38">
        <w:rPr>
          <w:rFonts w:ascii="Traditional Arabic" w:eastAsia="Calibri" w:hAnsi="Traditional Arabic" w:cs="Traditional Arabic"/>
          <w:sz w:val="32"/>
          <w:szCs w:val="32"/>
          <w:lang w:val="en-US"/>
        </w:rPr>
        <w:t>.</w:t>
      </w:r>
    </w:p>
    <w:p w14:paraId="4C2AE338" w14:textId="2E6D4F8C" w:rsidR="00EE28CE" w:rsidRPr="008B13C0" w:rsidRDefault="00EE28CE" w:rsidP="00EE28CE">
      <w:pPr>
        <w:bidi/>
        <w:spacing w:line="360" w:lineRule="auto"/>
        <w:jc w:val="both"/>
        <w:rPr>
          <w:rFonts w:ascii="Traditional Arabic" w:eastAsia="Calibri" w:hAnsi="Traditional Arabic" w:cs="Traditional Arabic"/>
          <w:sz w:val="32"/>
          <w:szCs w:val="32"/>
          <w:lang w:val="en-US"/>
        </w:rPr>
      </w:pPr>
      <w:r w:rsidRPr="008B13C0">
        <w:rPr>
          <w:rFonts w:ascii="Traditional Arabic" w:eastAsia="Calibri" w:hAnsi="Traditional Arabic" w:cs="Traditional Arabic"/>
          <w:sz w:val="32"/>
          <w:szCs w:val="32"/>
          <w:rtl/>
        </w:rPr>
        <w:t>كذلك روعي حداثة الدراسات قدر الإمكان، خاصة في ظل التطورات المتسارعة في مجال (</w:t>
      </w:r>
      <w:r w:rsidR="00017E38" w:rsidRPr="008B13C0">
        <w:rPr>
          <w:rFonts w:ascii="Traditional Arabic" w:eastAsia="Calibri" w:hAnsi="Traditional Arabic" w:cs="Traditional Arabic" w:hint="cs"/>
          <w:sz w:val="32"/>
          <w:szCs w:val="32"/>
          <w:rtl/>
        </w:rPr>
        <w:t>التخطيط الاستراتيجي والتكامل المؤسسي</w:t>
      </w:r>
      <w:r w:rsidRPr="008B13C0">
        <w:rPr>
          <w:rFonts w:ascii="Traditional Arabic" w:eastAsia="Calibri" w:hAnsi="Traditional Arabic" w:cs="Traditional Arabic"/>
          <w:sz w:val="32"/>
          <w:szCs w:val="32"/>
          <w:rtl/>
        </w:rPr>
        <w:t>)، بما يضمن مواكبة الاتجاهات البحثية الحديثة</w:t>
      </w:r>
      <w:r w:rsidR="00017E38" w:rsidRPr="008B13C0">
        <w:rPr>
          <w:rFonts w:ascii="Traditional Arabic" w:eastAsia="Calibri" w:hAnsi="Traditional Arabic" w:cs="Traditional Arabic" w:hint="cs"/>
          <w:sz w:val="32"/>
          <w:szCs w:val="32"/>
          <w:rtl/>
        </w:rPr>
        <w:t xml:space="preserve"> ،</w:t>
      </w:r>
      <w:r w:rsidRPr="008B13C0">
        <w:rPr>
          <w:rFonts w:ascii="Traditional Arabic" w:eastAsia="Calibri" w:hAnsi="Traditional Arabic" w:cs="Traditional Arabic"/>
          <w:sz w:val="32"/>
          <w:szCs w:val="32"/>
          <w:rtl/>
        </w:rPr>
        <w:t>وتم التركيز على الدراسات المنشورة في مجلات علمية محكمة ورسائل جامعية معتمدة، لضمان جودة المصادر ومصداقيتها العلمية</w:t>
      </w:r>
      <w:r w:rsidRPr="008B13C0">
        <w:rPr>
          <w:rFonts w:ascii="Traditional Arabic" w:eastAsia="Calibri" w:hAnsi="Traditional Arabic" w:cs="Traditional Arabic"/>
          <w:sz w:val="32"/>
          <w:szCs w:val="32"/>
          <w:lang w:val="en-US"/>
        </w:rPr>
        <w:t>.</w:t>
      </w:r>
    </w:p>
    <w:p w14:paraId="245BB782" w14:textId="275DD37A" w:rsidR="00EE28CE" w:rsidRPr="00EE28CE" w:rsidRDefault="00EE28CE" w:rsidP="00EE28CE">
      <w:pPr>
        <w:bidi/>
        <w:spacing w:line="360" w:lineRule="auto"/>
        <w:jc w:val="both"/>
        <w:rPr>
          <w:rFonts w:ascii="Traditional Arabic" w:eastAsia="Calibri" w:hAnsi="Traditional Arabic" w:cs="Traditional Arabic"/>
          <w:sz w:val="32"/>
          <w:szCs w:val="32"/>
          <w:lang w:val="en-US"/>
        </w:rPr>
      </w:pPr>
      <w:r w:rsidRPr="008B13C0">
        <w:rPr>
          <w:rFonts w:ascii="Traditional Arabic" w:eastAsia="Calibri" w:hAnsi="Traditional Arabic" w:cs="Traditional Arabic"/>
          <w:sz w:val="32"/>
          <w:szCs w:val="32"/>
          <w:rtl/>
        </w:rPr>
        <w:t>إضافة إلى ذلك، تم اختيار الدراسات التي تتقاطع مع بيئة الدراسة أو يمكن الاستفادة من نتائجها حتى وإن اختلفت في القطاع أو البيئة الجغرافية، مع توضيح أوجه الشبه والاختلاف عند عرضها</w:t>
      </w:r>
      <w:r w:rsidR="00017E38" w:rsidRPr="008B13C0">
        <w:rPr>
          <w:rFonts w:ascii="Traditional Arabic" w:eastAsia="Calibri" w:hAnsi="Traditional Arabic" w:cs="Traditional Arabic" w:hint="cs"/>
          <w:sz w:val="32"/>
          <w:szCs w:val="32"/>
          <w:rtl/>
        </w:rPr>
        <w:t xml:space="preserve"> ومناقشتها في الدراسة الحالية</w:t>
      </w:r>
      <w:r w:rsidRPr="008B13C0">
        <w:rPr>
          <w:rFonts w:ascii="Traditional Arabic" w:eastAsia="Calibri" w:hAnsi="Traditional Arabic" w:cs="Traditional Arabic"/>
          <w:sz w:val="32"/>
          <w:szCs w:val="32"/>
          <w:rtl/>
        </w:rPr>
        <w:t xml:space="preserve"> كما تم الاستفادة من الدراسات التي تناولت متغيرات الدراسة بشكل منفصل في حال عدم توفر دراسات جمعت بينها، وذلك بهدف بناء تصور متكامل يدعم الدراسة الحالية</w:t>
      </w:r>
      <w:r w:rsidRPr="008B13C0">
        <w:rPr>
          <w:rFonts w:ascii="Traditional Arabic" w:eastAsia="Calibri" w:hAnsi="Traditional Arabic" w:cs="Traditional Arabic"/>
          <w:sz w:val="32"/>
          <w:szCs w:val="32"/>
          <w:lang w:val="en-US"/>
        </w:rPr>
        <w:t>.</w:t>
      </w:r>
    </w:p>
    <w:p w14:paraId="5BF466C1" w14:textId="77777777" w:rsidR="00EE28CE" w:rsidRPr="00EE28CE" w:rsidRDefault="00EE28CE" w:rsidP="00EF1F40">
      <w:pPr>
        <w:bidi/>
        <w:spacing w:line="360" w:lineRule="auto"/>
        <w:jc w:val="both"/>
        <w:rPr>
          <w:rFonts w:ascii="Traditional Arabic" w:eastAsia="Calibri" w:hAnsi="Traditional Arabic" w:cs="Traditional Arabic"/>
          <w:b/>
          <w:bCs/>
          <w:sz w:val="32"/>
          <w:szCs w:val="32"/>
          <w:rtl/>
          <w:lang w:val="en-US"/>
        </w:rPr>
      </w:pPr>
    </w:p>
    <w:p w14:paraId="74271276" w14:textId="77777777" w:rsidR="00EF1F40" w:rsidRPr="00EF1F40" w:rsidRDefault="00EF1F40" w:rsidP="00EE28CE">
      <w:pPr>
        <w:bidi/>
        <w:spacing w:line="360" w:lineRule="auto"/>
        <w:jc w:val="both"/>
        <w:rPr>
          <w:rFonts w:ascii="Traditional Arabic" w:eastAsia="Calibri" w:hAnsi="Traditional Arabic" w:cs="Traditional Arabic"/>
          <w:b/>
          <w:bCs/>
          <w:sz w:val="32"/>
          <w:szCs w:val="32"/>
          <w:rtl/>
        </w:rPr>
      </w:pPr>
      <w:r w:rsidRPr="00EF1F40">
        <w:rPr>
          <w:rFonts w:ascii="Traditional Arabic" w:eastAsia="Calibri" w:hAnsi="Traditional Arabic" w:cs="Traditional Arabic" w:hint="cs"/>
          <w:b/>
          <w:bCs/>
          <w:sz w:val="32"/>
          <w:szCs w:val="32"/>
          <w:rtl/>
        </w:rPr>
        <w:t>اولا: الدراسات المتعلقة بالمتغير المستقل</w:t>
      </w:r>
    </w:p>
    <w:p w14:paraId="19FC23DE"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rPr>
        <w:lastRenderedPageBreak/>
        <w:t xml:space="preserve">هدفت دراسة </w:t>
      </w:r>
      <w:r w:rsidRPr="00EF1F40">
        <w:rPr>
          <w:rFonts w:ascii="Traditional Arabic" w:eastAsia="Calibri" w:hAnsi="Traditional Arabic" w:cs="Traditional Arabic"/>
          <w:b/>
          <w:bCs/>
          <w:sz w:val="32"/>
          <w:szCs w:val="32"/>
          <w:lang w:val="en-US"/>
        </w:rPr>
        <w:t>Elbanna et al. 2025)</w:t>
      </w:r>
      <w:r w:rsidRPr="00EF1F40">
        <w:rPr>
          <w:rFonts w:ascii="Traditional Arabic" w:eastAsia="Calibri" w:hAnsi="Traditional Arabic" w:cs="Traditional Arabic"/>
          <w:b/>
          <w:bCs/>
          <w:sz w:val="32"/>
          <w:szCs w:val="32"/>
          <w:rtl/>
        </w:rPr>
        <w:t xml:space="preserve">) بعنوان </w:t>
      </w:r>
      <w:r w:rsidRPr="00EF1F40">
        <w:rPr>
          <w:rFonts w:ascii="Traditional Arabic" w:eastAsia="Calibri" w:hAnsi="Traditional Arabic" w:cs="Traditional Arabic"/>
          <w:b/>
          <w:bCs/>
          <w:sz w:val="32"/>
          <w:szCs w:val="32"/>
          <w:lang w:val="en-US"/>
        </w:rPr>
        <w:t>Challenges and Mitigating Factors in Strategic Plan Implementation: Insights from the GCC Public-Sector Organizations</w:t>
      </w:r>
      <w:r w:rsidRPr="00EF1F40">
        <w:rPr>
          <w:rFonts w:ascii="Traditional Arabic" w:eastAsia="Calibri" w:hAnsi="Traditional Arabic" w:cs="Traditional Arabic"/>
          <w:b/>
          <w:bCs/>
          <w:sz w:val="32"/>
          <w:szCs w:val="32"/>
          <w:rtl/>
        </w:rPr>
        <w:t xml:space="preserve"> </w:t>
      </w:r>
      <w:r w:rsidRPr="00EF1F40">
        <w:rPr>
          <w:rFonts w:ascii="Traditional Arabic" w:eastAsia="Calibri" w:hAnsi="Traditional Arabic" w:cs="Traditional Arabic"/>
          <w:sz w:val="32"/>
          <w:szCs w:val="32"/>
          <w:rtl/>
        </w:rPr>
        <w:t>إلى التحقيق في التحديات التي تواجه منظمات القطاع العام عند تنفيذ خططها الاستراتيجية، مع</w:t>
      </w:r>
      <w:r w:rsidRPr="00EF1F40">
        <w:rPr>
          <w:rFonts w:ascii="Traditional Arabic" w:eastAsia="Calibri" w:hAnsi="Traditional Arabic" w:cs="Traditional Arabic"/>
          <w:b/>
          <w:bCs/>
          <w:sz w:val="32"/>
          <w:szCs w:val="32"/>
          <w:rtl/>
        </w:rPr>
        <w:t xml:space="preserve"> </w:t>
      </w:r>
      <w:r w:rsidRPr="00EF1F40">
        <w:rPr>
          <w:rFonts w:ascii="Traditional Arabic" w:eastAsia="Calibri" w:hAnsi="Traditional Arabic" w:cs="Traditional Arabic"/>
          <w:sz w:val="32"/>
          <w:szCs w:val="32"/>
          <w:rtl/>
        </w:rPr>
        <w:t>التركيز على العوامل الحاسمة التي يمكن أن تسهم في التخفيف من هذه التحديات وتعزيز فاعلية التنفيذ. كما سعت الدراسة إلى تقديم فهم أعمق للديناميكيات المرتبطة بعملية تنفيذ الاستراتيجيات داخل المنظمات العامة، من خلال تحليل كل من العقبات والحلول الممكنة</w:t>
      </w:r>
      <w:r w:rsidRPr="00EF1F40">
        <w:rPr>
          <w:rFonts w:ascii="Traditional Arabic" w:eastAsia="Calibri" w:hAnsi="Traditional Arabic" w:cs="Traditional Arabic"/>
          <w:sz w:val="32"/>
          <w:szCs w:val="32"/>
          <w:lang w:val="en-US"/>
        </w:rPr>
        <w:t>.</w:t>
      </w:r>
    </w:p>
    <w:p w14:paraId="78F8BDCF"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واعتمدت الدراسة على المنهج الكمي، حيث تم جمع البيانات من 125 منظمة عامة في دولة الإمارات العربية المتحدة باستخدام استبيانات منظمة استهدفت متخصصين ذوي خبرة في التخطيط الاستراتيجي، شملت الرؤساء التنفيذيين، والمديرين العامين، والمديرين، وكبار المحللين الاستراتيجيين، والمستشارين الاستراتيجيين. وركزت أداة الدراسة على تحديد معوقات التنفيذ والعوامل التنظيمية المرتبطة بها مثل الثقة والتعلم التنظيمي وسرعة التنفيذ</w:t>
      </w:r>
      <w:r w:rsidRPr="00EF1F40">
        <w:rPr>
          <w:rFonts w:ascii="Traditional Arabic" w:eastAsia="Calibri" w:hAnsi="Traditional Arabic" w:cs="Traditional Arabic"/>
          <w:sz w:val="32"/>
          <w:szCs w:val="32"/>
          <w:lang w:val="en-US"/>
        </w:rPr>
        <w:t>.</w:t>
      </w:r>
    </w:p>
    <w:p w14:paraId="799696F2"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وأظهرت نتائج الدراسة أن من أبرز معوقات تنفيذ الخطط الاستراتيجية ضعف الربط بين الاستراتيجية ونظم الحوافز، والتشتت عن التركيز الاستراتيجي، وقصور مهارات إدارة المشاريع، وتأثير العوامل البيئية الخارجية غير القابلة للتحكم، إضافة إلى عدم ملاءمة الهياكل التنظيمية. كما بينت النتائج أن تعزيز الثقة داخل المنظمة، ودعم التعلم التنظيمي، ومواءمة الموارد مع الأهداف الاستراتيجية تمثل عوامل رئيسة للتغلب على هذه العقبات. كذلك أكدت الدراسة أن وجود هذه المعوقات يؤدي إلى إبطاء سرعة تنفيذ الخطط الاستراتيجية، مما يبرز أهمية بناء بيئة تنظيمية داعمة للتنفيذ الفعال</w:t>
      </w:r>
      <w:r w:rsidRPr="00EF1F40">
        <w:rPr>
          <w:rFonts w:ascii="Traditional Arabic" w:eastAsia="Calibri" w:hAnsi="Traditional Arabic" w:cs="Traditional Arabic"/>
          <w:sz w:val="32"/>
          <w:szCs w:val="32"/>
          <w:lang w:val="en-US"/>
        </w:rPr>
        <w:t>.</w:t>
      </w:r>
    </w:p>
    <w:p w14:paraId="2129BF92" w14:textId="77777777" w:rsidR="00EF1F40" w:rsidRPr="00EF1F40" w:rsidRDefault="00EF1F40" w:rsidP="00EF1F40">
      <w:pPr>
        <w:bidi/>
        <w:spacing w:line="360" w:lineRule="auto"/>
        <w:jc w:val="both"/>
        <w:rPr>
          <w:rFonts w:ascii="Traditional Arabic" w:eastAsia="Calibri" w:hAnsi="Traditional Arabic" w:cs="Traditional Arabic"/>
          <w:sz w:val="32"/>
          <w:szCs w:val="32"/>
          <w:rtl/>
        </w:rPr>
      </w:pPr>
      <w:r w:rsidRPr="00EF1F40">
        <w:rPr>
          <w:rFonts w:ascii="Traditional Arabic" w:eastAsia="Calibri" w:hAnsi="Traditional Arabic" w:cs="Traditional Arabic"/>
          <w:sz w:val="32"/>
          <w:szCs w:val="32"/>
          <w:rtl/>
        </w:rPr>
        <w:lastRenderedPageBreak/>
        <w:t>وتتفق هذه الدراسة مع الأدبيات التي تؤكد أن نجاح التخطيط الاستراتيجي لا يعتمد على جودة صياغة الخطط فحسب، بل يرتبط بقدرة المنظمة على تنفيذها بكفاءة. وتميزت الدراسة بربطها التجريبي بين معوقات التنفيذ وعوامل مثل الثقة والتعلم، وهو ما يثري الأدبيات المتعلقة بتنفيذ الاستراتيجيات في القطاع العام بدول مجلس التعاون الخليجي. ومع ذلك، فقد اقتصرت على سياق جغرافي محدد، مما قد يحد من تعميم نتائجها على قطاعات أو بيئات تنظيمية مختلفة. ومن ثم تبرز فجوة بحثية تتمثل في الحاجة إلى دراسات مقارنة تختبر معوقات تنفيذ التخطيط الاستراتيجي في قطاعات متنوعة، وتقيس أثرها في الأداء المؤسسي باستخدام نماذج تحليلية أكثر شمولا</w:t>
      </w:r>
      <w:r w:rsidRPr="00EF1F40">
        <w:rPr>
          <w:rFonts w:ascii="Traditional Arabic" w:eastAsia="Calibri" w:hAnsi="Traditional Arabic" w:cs="Traditional Arabic"/>
          <w:sz w:val="32"/>
          <w:szCs w:val="32"/>
          <w:lang w:val="en-US"/>
        </w:rPr>
        <w:t>.</w:t>
      </w:r>
    </w:p>
    <w:p w14:paraId="59A70F0B"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rPr>
      </w:pPr>
    </w:p>
    <w:p w14:paraId="78F8EC03" w14:textId="77777777" w:rsidR="00EF1F40" w:rsidRPr="00EF1F40" w:rsidRDefault="00EF1F40" w:rsidP="00EF1F40">
      <w:pPr>
        <w:bidi/>
        <w:spacing w:line="360" w:lineRule="auto"/>
        <w:jc w:val="both"/>
        <w:rPr>
          <w:rFonts w:ascii="Traditional Arabic" w:eastAsia="Calibri" w:hAnsi="Traditional Arabic" w:cs="Traditional Arabic"/>
          <w:sz w:val="32"/>
          <w:szCs w:val="32"/>
        </w:rPr>
      </w:pPr>
      <w:r w:rsidRPr="00EF1F40">
        <w:rPr>
          <w:rFonts w:ascii="Traditional Arabic" w:eastAsia="Calibri" w:hAnsi="Traditional Arabic" w:cs="Traditional Arabic"/>
          <w:b/>
          <w:bCs/>
          <w:sz w:val="32"/>
          <w:szCs w:val="32"/>
          <w:rtl/>
        </w:rPr>
        <w:t xml:space="preserve">هدفت دراسة </w:t>
      </w:r>
      <w:r w:rsidRPr="00EF1F40">
        <w:rPr>
          <w:rFonts w:ascii="Traditional Arabic" w:eastAsia="Calibri" w:hAnsi="Traditional Arabic" w:cs="Traditional Arabic" w:hint="cs"/>
          <w:b/>
          <w:bCs/>
          <w:sz w:val="32"/>
          <w:szCs w:val="32"/>
          <w:rtl/>
        </w:rPr>
        <w:t>(</w:t>
      </w:r>
      <w:r w:rsidRPr="00EF1F40">
        <w:rPr>
          <w:rFonts w:ascii="Traditional Arabic" w:eastAsia="Calibri" w:hAnsi="Traditional Arabic" w:cs="Traditional Arabic"/>
          <w:b/>
          <w:bCs/>
          <w:sz w:val="32"/>
          <w:szCs w:val="32"/>
          <w:lang w:val="en-US"/>
        </w:rPr>
        <w:t>Abunaser and Almustafa 2025</w:t>
      </w:r>
      <w:r w:rsidRPr="00EF1F40">
        <w:rPr>
          <w:rFonts w:ascii="Traditional Arabic" w:eastAsia="Calibri" w:hAnsi="Traditional Arabic" w:cs="Traditional Arabic"/>
          <w:b/>
          <w:bCs/>
          <w:sz w:val="32"/>
          <w:szCs w:val="32"/>
          <w:rtl/>
        </w:rPr>
        <w:t xml:space="preserve">) بعنوان </w:t>
      </w:r>
      <w:r w:rsidRPr="00EF1F40">
        <w:rPr>
          <w:rFonts w:ascii="Traditional Arabic" w:eastAsia="Calibri" w:hAnsi="Traditional Arabic" w:cs="Traditional Arabic"/>
          <w:b/>
          <w:bCs/>
          <w:sz w:val="32"/>
          <w:szCs w:val="32"/>
          <w:lang w:val="en-US"/>
        </w:rPr>
        <w:t>Developing an Integrated Model for Talent Nurturing in Gulf Higher Education Institutions: An Analytical Foresight</w:t>
      </w:r>
      <w:r w:rsidRPr="00EF1F40">
        <w:rPr>
          <w:rFonts w:ascii="Traditional Arabic" w:eastAsia="Calibri" w:hAnsi="Traditional Arabic" w:cs="Traditional Arabic"/>
          <w:sz w:val="32"/>
          <w:szCs w:val="32"/>
          <w:lang w:val="en-US"/>
        </w:rPr>
        <w:t xml:space="preserve"> </w:t>
      </w:r>
      <w:r w:rsidRPr="00EF1F40">
        <w:rPr>
          <w:rFonts w:ascii="Traditional Arabic" w:eastAsia="Calibri" w:hAnsi="Traditional Arabic" w:cs="Traditional Arabic"/>
          <w:b/>
          <w:bCs/>
          <w:sz w:val="32"/>
          <w:szCs w:val="32"/>
          <w:lang w:val="en-US"/>
        </w:rPr>
        <w:t>Approach</w:t>
      </w:r>
      <w:r w:rsidRPr="00EF1F40">
        <w:rPr>
          <w:rFonts w:ascii="Traditional Arabic" w:eastAsia="Calibri" w:hAnsi="Traditional Arabic" w:cs="Traditional Arabic"/>
          <w:b/>
          <w:bCs/>
          <w:sz w:val="32"/>
          <w:szCs w:val="32"/>
          <w:rtl/>
        </w:rPr>
        <w:t xml:space="preserve"> </w:t>
      </w:r>
      <w:r w:rsidRPr="00EF1F40">
        <w:rPr>
          <w:rFonts w:ascii="Traditional Arabic" w:eastAsia="Calibri" w:hAnsi="Traditional Arabic" w:cs="Traditional Arabic"/>
          <w:sz w:val="32"/>
          <w:szCs w:val="32"/>
          <w:rtl/>
        </w:rPr>
        <w:t>إلى تطوير نموذج مستدام قائم على الاستشراف الاستراتيجي لرعاية المواهب في مؤسسات التعليم العالي بدول مجلس التعاون الخليجي، كما هدفت إلى تحليل التجارب الدولية والعربية والخليجية في تنمية المواهب الجامعية وبناء إطار مؤسسي يدعم الابتكار والتميز الأكاديمي</w:t>
      </w:r>
      <w:r w:rsidRPr="00EF1F40">
        <w:rPr>
          <w:rFonts w:ascii="Traditional Arabic" w:eastAsia="Calibri" w:hAnsi="Traditional Arabic" w:cs="Traditional Arabic"/>
          <w:sz w:val="32"/>
          <w:szCs w:val="32"/>
          <w:lang w:val="en-US"/>
        </w:rPr>
        <w:t>.</w:t>
      </w:r>
    </w:p>
    <w:p w14:paraId="00833930"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 xml:space="preserve">واعتمدت الدراسة على المنهج المختلط الوصفي التحليلي، حيث جمعت بين تحليل الوثائق والاستعانة بآراء الخبراء. وتمثلت عينة الدراسة في </w:t>
      </w:r>
      <w:r w:rsidRPr="00EF1F40">
        <w:rPr>
          <w:rFonts w:ascii="Traditional Arabic" w:eastAsia="Calibri" w:hAnsi="Traditional Arabic" w:cs="Traditional Arabic"/>
          <w:sz w:val="32"/>
          <w:szCs w:val="32"/>
          <w:lang w:val="en-US"/>
        </w:rPr>
        <w:t xml:space="preserve">53 </w:t>
      </w:r>
      <w:r w:rsidRPr="00EF1F40">
        <w:rPr>
          <w:rFonts w:ascii="Traditional Arabic" w:eastAsia="Calibri" w:hAnsi="Traditional Arabic" w:cs="Traditional Arabic"/>
          <w:sz w:val="32"/>
          <w:szCs w:val="32"/>
          <w:rtl/>
        </w:rPr>
        <w:t xml:space="preserve">خبيرا من العاملين في الجامعات الخليجية تم اختيارهم قصديا بناء على تخصصاتهم الأكاديمية وخبراتهم المهنية ومشاركتهم في مبادرات التميز وتنمية المواهب. كما استخدمت الدراسة إجراءات تحليلية </w:t>
      </w:r>
      <w:r w:rsidRPr="00EF1F40">
        <w:rPr>
          <w:rFonts w:ascii="Traditional Arabic" w:eastAsia="Calibri" w:hAnsi="Traditional Arabic" w:cs="Traditional Arabic"/>
          <w:sz w:val="32"/>
          <w:szCs w:val="32"/>
          <w:rtl/>
        </w:rPr>
        <w:lastRenderedPageBreak/>
        <w:t>كمية ونوعية، من أبرزها التحليل الموضوعي، بهدف تحديد المؤشرات والممارسات الرئيسة المرتبطة بالتنمية المستدامة للمواهب</w:t>
      </w:r>
      <w:r w:rsidRPr="00EF1F40">
        <w:rPr>
          <w:rFonts w:ascii="Traditional Arabic" w:eastAsia="Calibri" w:hAnsi="Traditional Arabic" w:cs="Traditional Arabic"/>
          <w:sz w:val="32"/>
          <w:szCs w:val="32"/>
          <w:lang w:val="en-US"/>
        </w:rPr>
        <w:t>.</w:t>
      </w:r>
    </w:p>
    <w:p w14:paraId="453590EC"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وأظهرت نتائج الدراسة أهمية وجود رؤية مؤسسية واضحة لتنمية المواهب داخل الجامعات، مدعومة بهيكل تنظيمي متكامل وسياسات تسهم في الاكتشاف المبكر للطلبة الموهوبين وتنمية قدراتهم الأكاديمية والبحثية والقيادية، إلى جانب تطبيق تقويم مستمر لبرامج رعاية المواهب. كما بينت النتائج أن دمج برامج تنمية المواهب ضمن الأطر الاستراتيجية للجامعة يعزز الابتكار والإنتاجية البحثية ويرفع من مستوى التأثير المجتمعي للمؤسسات التعليمية.</w:t>
      </w:r>
      <w:r w:rsidRPr="00EF1F40">
        <w:rPr>
          <w:rFonts w:ascii="Traditional Arabic" w:eastAsia="Calibri" w:hAnsi="Traditional Arabic" w:cs="Traditional Arabic" w:hint="cs"/>
          <w:sz w:val="32"/>
          <w:szCs w:val="32"/>
          <w:rtl/>
        </w:rPr>
        <w:t xml:space="preserve"> </w:t>
      </w:r>
      <w:r w:rsidRPr="00EF1F40">
        <w:rPr>
          <w:rFonts w:ascii="Traditional Arabic" w:eastAsia="Calibri" w:hAnsi="Traditional Arabic" w:cs="Traditional Arabic"/>
          <w:sz w:val="32"/>
          <w:szCs w:val="32"/>
          <w:rtl/>
        </w:rPr>
        <w:t>وانتهت الدراسة إلى تطوير نموذج استشرافي متكامل قائم على ترابط المدخلات والعمليات والمخرجات، ويرتكز على مبادئ الاستدامة والتمكين والابتكار، بما يحقق مواءمة بين برامج تنمية المواهب واحتياجات المؤسسات الأكاديمية والمجتمعية</w:t>
      </w:r>
      <w:r w:rsidRPr="00EF1F40">
        <w:rPr>
          <w:rFonts w:ascii="Traditional Arabic" w:eastAsia="Calibri" w:hAnsi="Traditional Arabic" w:cs="Traditional Arabic"/>
          <w:sz w:val="32"/>
          <w:szCs w:val="32"/>
          <w:lang w:val="en-US"/>
        </w:rPr>
        <w:t>.</w:t>
      </w:r>
    </w:p>
    <w:p w14:paraId="33058733"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وتتفق هذه الدراسة مع الأدبيات التي تؤكد الدور الاستراتيجي للتخطيط المؤسسي في دعم التميز الجامعي، إلا أنها تميزت بتقديم نموذج استشرافي متكامل يربط تنمية المواهب بالإطار الاستراتيجي للمؤسسات التعليمية في السياق الخليجي. ومع ذلك، فقد ركزت الدراسة على بناء نموذج تحليلي دون اختباره ميدانيا على نطاق واسع، مما يحد من إمكانية التحقق من فاعليته التطبيقية. ومن ثم تبرز فجوة بحثية تتمثل في الحاجة إلى دراسات ميدانية تختبر أثر دمج استراتيجيات تنمية المواهب في الخطط الاستراتيجية للجامعات، وتقيس انعكاس ذلك على الأداء المؤسسي والابتكار في بيئات تعليمية مختلفة</w:t>
      </w:r>
      <w:r w:rsidRPr="00EF1F40">
        <w:rPr>
          <w:rFonts w:ascii="Traditional Arabic" w:eastAsia="Calibri" w:hAnsi="Traditional Arabic" w:cs="Traditional Arabic"/>
          <w:sz w:val="32"/>
          <w:szCs w:val="32"/>
          <w:lang w:val="en-US"/>
        </w:rPr>
        <w:t>.</w:t>
      </w:r>
    </w:p>
    <w:p w14:paraId="7620902F"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p>
    <w:p w14:paraId="5A48410D"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lastRenderedPageBreak/>
        <w:t>دراسة (</w:t>
      </w:r>
      <w:r w:rsidRPr="00EF1F40">
        <w:rPr>
          <w:rFonts w:ascii="Traditional Arabic" w:eastAsia="Calibri" w:hAnsi="Traditional Arabic" w:cs="Traditional Arabic"/>
          <w:b/>
          <w:bCs/>
          <w:sz w:val="32"/>
          <w:szCs w:val="32"/>
          <w:lang w:val="en-US"/>
        </w:rPr>
        <w:t>Khalilov et al., 2024</w:t>
      </w:r>
      <w:r w:rsidRPr="00EF1F40">
        <w:rPr>
          <w:rFonts w:ascii="Traditional Arabic" w:eastAsia="Calibri" w:hAnsi="Traditional Arabic" w:cs="Traditional Arabic"/>
          <w:b/>
          <w:bCs/>
          <w:sz w:val="32"/>
          <w:szCs w:val="32"/>
          <w:rtl/>
          <w:lang w:val="en-US"/>
        </w:rPr>
        <w:t>) بعنوان “</w:t>
      </w:r>
      <w:r w:rsidRPr="00EF1F40">
        <w:rPr>
          <w:rFonts w:ascii="Traditional Arabic" w:eastAsia="Calibri" w:hAnsi="Traditional Arabic" w:cs="Traditional Arabic"/>
          <w:b/>
          <w:bCs/>
          <w:sz w:val="32"/>
          <w:szCs w:val="32"/>
          <w:lang w:val="en-US"/>
        </w:rPr>
        <w:t>The Role of Strategic Planning in the Organization of Management Systems in Higher Education Institutions: Insights from International Practice</w:t>
      </w:r>
      <w:r w:rsidRPr="00EF1F40">
        <w:rPr>
          <w:rFonts w:ascii="Traditional Arabic" w:eastAsia="Calibri" w:hAnsi="Traditional Arabic" w:cs="Traditional Arabic"/>
          <w:b/>
          <w:bCs/>
          <w:sz w:val="32"/>
          <w:szCs w:val="32"/>
          <w:rtl/>
          <w:lang w:val="en-US"/>
        </w:rPr>
        <w:t xml:space="preserve">” </w:t>
      </w:r>
      <w:r w:rsidRPr="00EF1F40">
        <w:rPr>
          <w:rFonts w:ascii="Traditional Arabic" w:eastAsia="Calibri" w:hAnsi="Traditional Arabic" w:cs="Traditional Arabic"/>
          <w:sz w:val="32"/>
          <w:szCs w:val="32"/>
          <w:rtl/>
          <w:lang w:val="en-US"/>
        </w:rPr>
        <w:t>هدفت إلى استكشاف الدور المحوري للتخطيط الاستراتيجي في تنظيم أنظمة الإدارة داخل مؤسسات التعليم العالي، كما هدفت إلى تحليل الممارسات الدولية الرائدة وتحديد أفضل الأساليب التي تمكن الجامعات من التكيف مع البيئة العالمية المتغيرة وتحقيق الاستدامة المؤسسية</w:t>
      </w:r>
      <w:r w:rsidRPr="00EF1F40">
        <w:rPr>
          <w:rFonts w:ascii="Traditional Arabic" w:eastAsia="Calibri" w:hAnsi="Traditional Arabic" w:cs="Traditional Arabic"/>
          <w:sz w:val="32"/>
          <w:szCs w:val="32"/>
          <w:lang w:val="en-US"/>
        </w:rPr>
        <w:t>.</w:t>
      </w:r>
    </w:p>
    <w:p w14:paraId="20F471CE"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واعتمدت الدراسة على المنهج التحليلي القائم على مراجعة الخبرات والممارسات الدولية، حيث تناولت المبادئ الأساسية للتخطيط الاستراتيجي، والتحديات الشائعة التي تواجه مؤسسات التعليم العالي، إضافة إلى الممارسات الفعالة التي تسهم في تطوير أنظمة الإدارة الجامعية. وأظهرت نتائج الدراسة أن تبني التخطيط الاستراتيجي يسهم في تعزيز المرونة المؤسسية، والتميز الأكاديمي، والتنمية المستدامة، كما أكدت أهمية اتخاذ القرارات المبنية على البيانات، وإشراك أصحاب المصلحة في العملية التخطيطية، وتطبيق التقييم المستمر لضمان تحقيق الأهداف الاستراتيجية. كذلك بينت النتائج أن مواءمة الأهداف الاستراتيجية مع المتطلبات المحلية والعالمية تمثل عاملا حاسما في تعزيز القدرة التنافسية للمؤسسات التعليمية</w:t>
      </w:r>
      <w:r w:rsidRPr="00EF1F40">
        <w:rPr>
          <w:rFonts w:ascii="Traditional Arabic" w:eastAsia="Calibri" w:hAnsi="Traditional Arabic" w:cs="Traditional Arabic"/>
          <w:sz w:val="32"/>
          <w:szCs w:val="32"/>
          <w:lang w:val="en-US"/>
        </w:rPr>
        <w:t>.</w:t>
      </w:r>
    </w:p>
    <w:p w14:paraId="5CBEBCC2"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 xml:space="preserve">وتتفق هذه الدراسة مع الأدبيات التي تؤكد أن التخطيط الاستراتيجي يمثل أداة أساسية لتحسين فاعلية الأنظمة الإدارية، إلا أنها تميزت بطرح منظور دولي يدمج بين الخبرات العالمية والتطبيقات المؤسسية في قطاع التعليم العالي. ومع ذلك، فقد ركزت على التحليل المفاهيمي والممارسات العامة دون اختبار العلاقات بين المتغيرات بصورة كمية، مما يحد من إمكانية قياس حجم التأثير بدقة. ومن ثم تبرز فجوة بحثية تتمثل في الحاجة إلى دراسات ميدانية تقيس أثر </w:t>
      </w:r>
      <w:r w:rsidRPr="00EF1F40">
        <w:rPr>
          <w:rFonts w:ascii="Traditional Arabic" w:eastAsia="Calibri" w:hAnsi="Traditional Arabic" w:cs="Traditional Arabic"/>
          <w:sz w:val="32"/>
          <w:szCs w:val="32"/>
          <w:rtl/>
          <w:lang w:val="en-US"/>
        </w:rPr>
        <w:lastRenderedPageBreak/>
        <w:t>التخطيط الاستراتيجي في تطوير أنظمة الإدارة والأداء المؤسسي باستخدام نماذج تحليلية تسمح بتفسير هذه العلاقة في سياقات تعليمية مختلفة</w:t>
      </w:r>
      <w:r w:rsidRPr="00EF1F40">
        <w:rPr>
          <w:rFonts w:ascii="Traditional Arabic" w:eastAsia="Calibri" w:hAnsi="Traditional Arabic" w:cs="Traditional Arabic"/>
          <w:sz w:val="32"/>
          <w:szCs w:val="32"/>
          <w:lang w:val="en-US"/>
        </w:rPr>
        <w:t>.</w:t>
      </w:r>
    </w:p>
    <w:p w14:paraId="1C5C3EE9" w14:textId="77777777" w:rsidR="00EF1F40" w:rsidRPr="00EF1F40" w:rsidRDefault="00EF1F40" w:rsidP="00EF1F40">
      <w:pPr>
        <w:bidi/>
        <w:spacing w:line="360" w:lineRule="auto"/>
        <w:jc w:val="both"/>
        <w:rPr>
          <w:rFonts w:ascii="Traditional Arabic" w:eastAsia="Calibri" w:hAnsi="Traditional Arabic" w:cs="Traditional Arabic"/>
          <w:b/>
          <w:bCs/>
          <w:sz w:val="32"/>
          <w:szCs w:val="32"/>
          <w:lang w:val="en-US"/>
        </w:rPr>
      </w:pPr>
    </w:p>
    <w:p w14:paraId="19E641B8"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t>دراسة (</w:t>
      </w:r>
      <w:r w:rsidRPr="00EF1F40">
        <w:rPr>
          <w:rFonts w:ascii="Traditional Arabic" w:eastAsia="Calibri" w:hAnsi="Traditional Arabic" w:cs="Traditional Arabic"/>
          <w:b/>
          <w:bCs/>
          <w:sz w:val="32"/>
          <w:szCs w:val="32"/>
          <w:lang w:val="en-US"/>
        </w:rPr>
        <w:t>Sanches et al., 2023</w:t>
      </w:r>
      <w:r w:rsidRPr="00EF1F40">
        <w:rPr>
          <w:rFonts w:ascii="Traditional Arabic" w:eastAsia="Calibri" w:hAnsi="Traditional Arabic" w:cs="Traditional Arabic"/>
          <w:b/>
          <w:bCs/>
          <w:sz w:val="32"/>
          <w:szCs w:val="32"/>
          <w:rtl/>
          <w:lang w:val="en-US"/>
        </w:rPr>
        <w:t>) بعنوان “</w:t>
      </w:r>
      <w:r w:rsidRPr="00EF1F40">
        <w:rPr>
          <w:rFonts w:ascii="Traditional Arabic" w:eastAsia="Calibri" w:hAnsi="Traditional Arabic" w:cs="Traditional Arabic"/>
          <w:b/>
          <w:bCs/>
          <w:sz w:val="32"/>
          <w:szCs w:val="32"/>
          <w:lang w:val="en-US"/>
        </w:rPr>
        <w:t>Developing a Method for Incorporating Sustainability into the Strategic Planning of Higher Education Institutions</w:t>
      </w:r>
      <w:r w:rsidRPr="00EF1F40">
        <w:rPr>
          <w:rFonts w:ascii="Traditional Arabic" w:eastAsia="Calibri" w:hAnsi="Traditional Arabic" w:cs="Traditional Arabic"/>
          <w:b/>
          <w:bCs/>
          <w:sz w:val="32"/>
          <w:szCs w:val="32"/>
          <w:rtl/>
          <w:lang w:val="en-US"/>
        </w:rPr>
        <w:t xml:space="preserve">” </w:t>
      </w:r>
      <w:r w:rsidRPr="00EF1F40">
        <w:rPr>
          <w:rFonts w:ascii="Traditional Arabic" w:eastAsia="Calibri" w:hAnsi="Traditional Arabic" w:cs="Traditional Arabic"/>
          <w:sz w:val="32"/>
          <w:szCs w:val="32"/>
          <w:rtl/>
          <w:lang w:val="en-US"/>
        </w:rPr>
        <w:t>هدفت إلى تطوير منهجية تساعد مؤسسات التعليم العالي على دمج الاستدامة ضمن عملية التخطيط الاستراتيجي بصورة شمولية، كما هدفت إلى تمكين هذه المؤسسات من تبني دور قيادي في تحقيق التنمية المستدامة من خلال مواءمة أهدافها الاستراتيجية مع متطلبات الاستدامة</w:t>
      </w:r>
      <w:r w:rsidRPr="00EF1F40">
        <w:rPr>
          <w:rFonts w:ascii="Traditional Arabic" w:eastAsia="Calibri" w:hAnsi="Traditional Arabic" w:cs="Traditional Arabic"/>
          <w:sz w:val="32"/>
          <w:szCs w:val="32"/>
          <w:lang w:val="en-US"/>
        </w:rPr>
        <w:t>.</w:t>
      </w:r>
    </w:p>
    <w:p w14:paraId="3173F7DA"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واعتمدت الدراسة على منهجية تجمع بين المراجعة المنهجية للأدبيات لتطوير النموذج المقترح، ثم تطبيق هذا النموذج في إحدى مؤسسات التعليم العالي في البرازيل بهدف التحقق من صلاحيته وإجراء التعديلات اللازمة عليه. وأظهرت نتائج الدراسة تقديم طريقة قائمة على المشاركة التنظيمية لدمج الاستدامة في التخطيط الاستراتيجي، بما يسهم في اختيار الأهداف والإجراءات المستدامة ومواءمتها مع الخطط المؤسسية. كما بينت النتائج أن استخدام إطار "نماذج العمل للاستدامة في مؤسسات التعليم العالي" يساعد القادة الأكاديميين على إعداد خطط استراتيجية أكثر تكاملا، ويدعم تحقيق الاستدامة المؤسسية وتحسين عملية اتخاذ القرار</w:t>
      </w:r>
      <w:r w:rsidRPr="00EF1F40">
        <w:rPr>
          <w:rFonts w:ascii="Traditional Arabic" w:eastAsia="Calibri" w:hAnsi="Traditional Arabic" w:cs="Traditional Arabic"/>
          <w:sz w:val="32"/>
          <w:szCs w:val="32"/>
          <w:lang w:val="en-US"/>
        </w:rPr>
        <w:t>.</w:t>
      </w:r>
    </w:p>
    <w:p w14:paraId="48F82F07"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bidi="ar-JO"/>
        </w:rPr>
      </w:pPr>
      <w:r w:rsidRPr="00EF1F40">
        <w:rPr>
          <w:rFonts w:ascii="Traditional Arabic" w:eastAsia="Calibri" w:hAnsi="Traditional Arabic" w:cs="Traditional Arabic"/>
          <w:sz w:val="32"/>
          <w:szCs w:val="32"/>
          <w:rtl/>
          <w:lang w:val="en-US"/>
        </w:rPr>
        <w:t xml:space="preserve">وتتفق هذه الدراسة مع الأدبيات التي تؤكد أهمية التخطيط الاستراتيجي بوصفه أداة لتحقيق التحول المؤسسي، إلا أنها تميزت بتركيزها على دمج الاستدامة داخل العملية التخطيطية من خلال إطار منهجي تطبيقي. ومع ذلك، فقد اقتصر تطبيق النموذج على مؤسسة واحدة، مما يحد من إمكانية تعميم نتائجه. ومن ثم تبرز فجوة بحثية تتمثل في </w:t>
      </w:r>
      <w:r w:rsidRPr="00EF1F40">
        <w:rPr>
          <w:rFonts w:ascii="Traditional Arabic" w:eastAsia="Calibri" w:hAnsi="Traditional Arabic" w:cs="Traditional Arabic"/>
          <w:sz w:val="32"/>
          <w:szCs w:val="32"/>
          <w:rtl/>
          <w:lang w:val="en-US"/>
        </w:rPr>
        <w:lastRenderedPageBreak/>
        <w:t>الحاجة إلى دراسات تطبيقية تختبر أثر دمج الاستدامة في التخطيط الاستراتيجي على الأداء المؤسسي عبر مؤسسات تعليمية متعددة وباستخدام أساليب تحليل كمية تدعم قابلية التعميم</w:t>
      </w:r>
      <w:r w:rsidRPr="00EF1F40">
        <w:rPr>
          <w:rFonts w:ascii="Traditional Arabic" w:eastAsia="Calibri" w:hAnsi="Traditional Arabic" w:cs="Traditional Arabic"/>
          <w:sz w:val="32"/>
          <w:szCs w:val="32"/>
          <w:lang w:val="en-US"/>
        </w:rPr>
        <w:t>.</w:t>
      </w:r>
    </w:p>
    <w:p w14:paraId="7430E84C"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p>
    <w:p w14:paraId="134C93C3"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t xml:space="preserve">هدفت دراسة </w:t>
      </w:r>
      <w:r w:rsidRPr="00EF1F40">
        <w:rPr>
          <w:rFonts w:ascii="Traditional Arabic" w:eastAsia="Calibri" w:hAnsi="Traditional Arabic" w:cs="Traditional Arabic"/>
          <w:b/>
          <w:bCs/>
          <w:sz w:val="32"/>
          <w:szCs w:val="32"/>
          <w:lang w:val="en-US"/>
        </w:rPr>
        <w:t>Arif and Aldosary 2023)</w:t>
      </w:r>
      <w:r w:rsidRPr="00EF1F40">
        <w:rPr>
          <w:rFonts w:ascii="Traditional Arabic" w:eastAsia="Calibri" w:hAnsi="Traditional Arabic" w:cs="Traditional Arabic"/>
          <w:b/>
          <w:bCs/>
          <w:sz w:val="32"/>
          <w:szCs w:val="32"/>
          <w:rtl/>
          <w:lang w:val="en-US"/>
        </w:rPr>
        <w:t xml:space="preserve">) بعنوان </w:t>
      </w:r>
      <w:r w:rsidRPr="00EF1F40">
        <w:rPr>
          <w:rFonts w:ascii="Traditional Arabic" w:eastAsia="Calibri" w:hAnsi="Traditional Arabic" w:cs="Traditional Arabic"/>
          <w:b/>
          <w:bCs/>
          <w:sz w:val="32"/>
          <w:szCs w:val="32"/>
          <w:lang w:val="en-US"/>
        </w:rPr>
        <w:t>Urban Spatial Strategies of the Gulf Cooperation Council: A Comparative Analysis and Lessons Learned</w:t>
      </w:r>
      <w:r w:rsidRPr="00EF1F40">
        <w:rPr>
          <w:rFonts w:ascii="Traditional Arabic" w:eastAsia="Calibri" w:hAnsi="Traditional Arabic" w:cs="Traditional Arabic"/>
          <w:b/>
          <w:bCs/>
          <w:sz w:val="32"/>
          <w:szCs w:val="32"/>
          <w:rtl/>
          <w:lang w:val="en-US"/>
        </w:rPr>
        <w:t xml:space="preserve"> </w:t>
      </w:r>
      <w:r w:rsidRPr="00EF1F40">
        <w:rPr>
          <w:rFonts w:ascii="Traditional Arabic" w:eastAsia="Calibri" w:hAnsi="Traditional Arabic" w:cs="Traditional Arabic"/>
          <w:sz w:val="32"/>
          <w:szCs w:val="32"/>
          <w:rtl/>
          <w:lang w:val="en-US"/>
        </w:rPr>
        <w:t>إلى تحليل الاستراتيجيات المكانية الوطنية وخطط الرؤية في دول مجلس التعاون الخليجي، كما هدفت إلى إجراء مقارنة شاملة بين التجارب الوطنية لاستخلاص الدروس المستفادة، وتحديد الفرص والتحديات المرتبطة بالتخطيط الحضري والتنمية المكانية المستدامة في المنطقة</w:t>
      </w:r>
      <w:r w:rsidRPr="00EF1F40">
        <w:rPr>
          <w:rFonts w:ascii="Traditional Arabic" w:eastAsia="Calibri" w:hAnsi="Traditional Arabic" w:cs="Traditional Arabic"/>
          <w:sz w:val="32"/>
          <w:szCs w:val="32"/>
          <w:lang w:val="en-US"/>
        </w:rPr>
        <w:t>.</w:t>
      </w:r>
    </w:p>
    <w:p w14:paraId="7BCD65BF"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واعتمدت الدراسة على المنهج الوصفي التحليلي المقارن، حيث تم تحليل الوثائق الرسمية للاستراتيجيات الوطنية وخطط الرؤية في دول مجلس التعاون الخليجي، واستخدام أسلوب التحليل الرباعي</w:t>
      </w:r>
      <w:r w:rsidRPr="00EF1F40">
        <w:rPr>
          <w:rFonts w:ascii="Traditional Arabic" w:eastAsia="Calibri" w:hAnsi="Traditional Arabic" w:cs="Traditional Arabic"/>
          <w:sz w:val="32"/>
          <w:szCs w:val="32"/>
          <w:lang w:val="en-US"/>
        </w:rPr>
        <w:t xml:space="preserve"> (SWOT) </w:t>
      </w:r>
      <w:r w:rsidRPr="00EF1F40">
        <w:rPr>
          <w:rFonts w:ascii="Traditional Arabic" w:eastAsia="Calibri" w:hAnsi="Traditional Arabic" w:cs="Traditional Arabic"/>
          <w:sz w:val="32"/>
          <w:szCs w:val="32"/>
          <w:rtl/>
          <w:lang w:val="en-US"/>
        </w:rPr>
        <w:t>لتقييم نقاط القوة والضعف والفرص والتهديدات المرتبطة بهذه الخطط. كما ركزت الدراسة على تحليل الأطر المؤسسية للتخطيط الحضري ودور الجهات المختصة في إدارة النمو العمراني والتحول نحو المدن الذكية والمستدامة</w:t>
      </w:r>
      <w:r w:rsidRPr="00EF1F40">
        <w:rPr>
          <w:rFonts w:ascii="Traditional Arabic" w:eastAsia="Calibri" w:hAnsi="Traditional Arabic" w:cs="Traditional Arabic"/>
          <w:sz w:val="32"/>
          <w:szCs w:val="32"/>
          <w:lang w:val="en-US"/>
        </w:rPr>
        <w:t>.</w:t>
      </w:r>
    </w:p>
    <w:p w14:paraId="11C53C49"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 xml:space="preserve">وأظهرت النتائج أن دول مجلس التعاون الخليجي حققت تقدما ملحوظا في تطوير استراتيجياتها المكانية الوطنية، خاصة فيما يتعلق بتحديث البنية التحتية الحضرية وتعزيز مفاهيم المدن الذكية. كما بينت النتائج أن من أبرز نقاط الضعف استمرار الاعتماد على النفط كمصدر رئيس للدخل، في حين تمثل السياحة أحد أهم الفرص الواعدة التي ينبغي استثمارها بصورة أكبر. وأشارت الدراسة إلى أن التوترات الإقليمية تمثل تهديدا محتملا لاستدامة النمو الحضري، </w:t>
      </w:r>
      <w:r w:rsidRPr="00EF1F40">
        <w:rPr>
          <w:rFonts w:ascii="Traditional Arabic" w:eastAsia="Calibri" w:hAnsi="Traditional Arabic" w:cs="Traditional Arabic"/>
          <w:sz w:val="32"/>
          <w:szCs w:val="32"/>
          <w:rtl/>
          <w:lang w:val="en-US"/>
        </w:rPr>
        <w:lastRenderedPageBreak/>
        <w:t>مؤكدة ضرورة الإدارة الفعالة للتوسع المكاني من قبل السلطات البلدية، وتنفيذ البرامج التي تحددها الوزارات المختصة لضمان تحقيق الأهداف الاستراتيجية الوطنية</w:t>
      </w:r>
      <w:r w:rsidRPr="00EF1F40">
        <w:rPr>
          <w:rFonts w:ascii="Traditional Arabic" w:eastAsia="Calibri" w:hAnsi="Traditional Arabic" w:cs="Traditional Arabic"/>
          <w:sz w:val="32"/>
          <w:szCs w:val="32"/>
          <w:lang w:val="en-US"/>
        </w:rPr>
        <w:t>.</w:t>
      </w:r>
    </w:p>
    <w:p w14:paraId="56A68593"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وتتفق هذه الدراسة مع الأدبيات التي تؤكد أهمية التخطيط الاستراتيجي المكاني في دعم التنمية المستدامة، إلا أنها تميزت بطابعها المقارن العابر للحدود، مما أتاح فهما أعمق لديناميكيات التخطيط الحضري في دول الخليج. ومع ذلك، فقد ركزت على التحليل الوثائقي واستخدام أداة</w:t>
      </w:r>
      <w:r w:rsidRPr="00EF1F40">
        <w:rPr>
          <w:rFonts w:ascii="Traditional Arabic" w:eastAsia="Calibri" w:hAnsi="Traditional Arabic" w:cs="Traditional Arabic"/>
          <w:sz w:val="32"/>
          <w:szCs w:val="32"/>
          <w:lang w:val="en-US"/>
        </w:rPr>
        <w:t xml:space="preserve"> SWOT </w:t>
      </w:r>
      <w:r w:rsidRPr="00EF1F40">
        <w:rPr>
          <w:rFonts w:ascii="Traditional Arabic" w:eastAsia="Calibri" w:hAnsi="Traditional Arabic" w:cs="Traditional Arabic"/>
          <w:sz w:val="32"/>
          <w:szCs w:val="32"/>
          <w:rtl/>
          <w:lang w:val="en-US"/>
        </w:rPr>
        <w:t>دون اختبار العلاقات بين المتغيرات بصورة كمية، مما يحد من إمكانية قياس أثر الاستراتيجيات المكانية على الأداء الحضري أو المؤسسي بدقة. ومن ثم تبرز فجوة بحثية تتمثل في الحاجة إلى دراسات كمية أو تطبيقية تقيس أثر الاستراتيجيات المكانية الوطنية في تحقيق مؤشرات التنمية المستدامة والقدرة التنافسية في مدن دول الخليج</w:t>
      </w:r>
      <w:r w:rsidRPr="00EF1F40">
        <w:rPr>
          <w:rFonts w:ascii="Traditional Arabic" w:eastAsia="Calibri" w:hAnsi="Traditional Arabic" w:cs="Traditional Arabic"/>
          <w:sz w:val="32"/>
          <w:szCs w:val="32"/>
          <w:lang w:val="en-US"/>
        </w:rPr>
        <w:t>.</w:t>
      </w:r>
    </w:p>
    <w:p w14:paraId="4D5F3610"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rPr>
      </w:pPr>
    </w:p>
    <w:p w14:paraId="58A9DF99"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rPr>
        <w:t>دراسة (الدقن، 2019) بعنوان "معوقات التخطيط الاستراتيجي للتحول الرقمي في المنظمات العامة العربية وآليات التغلب عليها" هدفت إلى التعرف على أبرز المعوقات التي تواجه التخطيط الاستراتيجي للتحول الرقمي في المنظمات العامة العربية</w:t>
      </w:r>
      <w:r w:rsidRPr="00EF1F40">
        <w:rPr>
          <w:rFonts w:ascii="Traditional Arabic" w:eastAsia="Calibri" w:hAnsi="Traditional Arabic" w:cs="Traditional Arabic" w:hint="cs"/>
          <w:b/>
          <w:bCs/>
          <w:sz w:val="32"/>
          <w:szCs w:val="32"/>
          <w:rtl/>
        </w:rPr>
        <w:t xml:space="preserve">. </w:t>
      </w:r>
      <w:r w:rsidRPr="00EF1F40">
        <w:rPr>
          <w:rFonts w:ascii="Traditional Arabic" w:eastAsia="Calibri" w:hAnsi="Traditional Arabic" w:cs="Traditional Arabic"/>
          <w:b/>
          <w:bCs/>
          <w:sz w:val="32"/>
          <w:szCs w:val="32"/>
          <w:rtl/>
        </w:rPr>
        <w:t xml:space="preserve"> </w:t>
      </w:r>
      <w:r w:rsidRPr="00EF1F40">
        <w:rPr>
          <w:rFonts w:ascii="Traditional Arabic" w:eastAsia="Calibri" w:hAnsi="Traditional Arabic" w:cs="Traditional Arabic"/>
          <w:sz w:val="32"/>
          <w:szCs w:val="32"/>
          <w:rtl/>
        </w:rPr>
        <w:t>هدفت إلى تحديد الآليات المناسبة للتغلب على هذه المعوقات بما يسهم في تعزيز فاعلية التحول الرقمي. واعتمدت الدراسة على منهج تحليل النظم بوصفه مدخلا يساعد في تشخيص عناصر العملية التخطيطية الرقمية من حيث المدخلات والعمليات والمخرجات والتغذية الراجعة</w:t>
      </w:r>
      <w:r w:rsidRPr="00EF1F40">
        <w:rPr>
          <w:rFonts w:ascii="Traditional Arabic" w:eastAsia="Calibri" w:hAnsi="Traditional Arabic" w:cs="Traditional Arabic"/>
          <w:sz w:val="32"/>
          <w:szCs w:val="32"/>
          <w:lang w:val="en-US"/>
        </w:rPr>
        <w:t>.</w:t>
      </w:r>
    </w:p>
    <w:p w14:paraId="07F3DDFB"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 xml:space="preserve">وأظهرت نتائج الدراسة وجود مجموعة من المعوقات المرتبطة بمدخلات التخطيط الاستراتيجي الرقمي، تمثلت في قصور توافر القيادات الاستراتيجية الرقمية، وضعف رأس المال التنظيمي، ومحدودية الأمن السيبراني، إضافة إلى ضعف الثقافة الرقمية والتنظيمية وعدم وضوح التوجه الاستراتيجي الرقمي. كما كشفت النتائج عن معوقات تتعلق بالعمليات، من </w:t>
      </w:r>
      <w:r w:rsidRPr="00EF1F40">
        <w:rPr>
          <w:rFonts w:ascii="Traditional Arabic" w:eastAsia="Calibri" w:hAnsi="Traditional Arabic" w:cs="Traditional Arabic"/>
          <w:sz w:val="32"/>
          <w:szCs w:val="32"/>
          <w:rtl/>
        </w:rPr>
        <w:lastRenderedPageBreak/>
        <w:t>أبرزها ضعف التحليل الاستراتيجي الرقمي، وعدم وضوح الخارطة الاستراتيجية، والاعتماد على التخطيط من أعلى إلى أسفل مع محدودية المشاركة التنظيمية. وفيما يتعلق بالمخرجات، أشارت الدراسة إلى قصور تطبيق منهجيات إدارة الأداء القائمة على المخاطر الرقمية، وضعف التركيز على بناء منظمات موجهة بالاستراتيجية الرقمية، إلى جانب محدودية المراجعة والتقويم الاستراتيجي كجزء من التغذية الراجعة</w:t>
      </w:r>
      <w:r w:rsidRPr="00EF1F40">
        <w:rPr>
          <w:rFonts w:ascii="Traditional Arabic" w:eastAsia="Calibri" w:hAnsi="Traditional Arabic" w:cs="Traditional Arabic"/>
          <w:sz w:val="32"/>
          <w:szCs w:val="32"/>
          <w:lang w:val="en-US"/>
        </w:rPr>
        <w:t>.</w:t>
      </w:r>
    </w:p>
    <w:p w14:paraId="3197A127"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وتتفق هذه الدراسة مع الأدبيات التي تؤكد أن نجاح التحول الرقمي يرتبط بفاعلية التخطيط الاستراتيجي وتكامل مكوناته، إلا أنها تميزت بتقديم تحليل شامل لمعوقات التخطيط عبر مراحل العملية الاستراتيجية. ومع ذلك، ركزت الدراسة على تشخيص المعوقات دون التوسع في اختبار العلاقات الكمية بين التخطيط الاستراتيجي ونتائج الأداء التنظيمي. ومن ثم تبرز فجوة بحثية تتمثل في الحاجة إلى دراسات ميدانية تقيس أثر التخطيط الاستراتيجي للتحول الرقمي على الأداء المؤسسي باستخدام نماذج تحليلية تسمح بتفسير هذه العلاقة بصورة أكثر دقة</w:t>
      </w:r>
      <w:r w:rsidRPr="00EF1F40">
        <w:rPr>
          <w:rFonts w:ascii="Traditional Arabic" w:eastAsia="Calibri" w:hAnsi="Traditional Arabic" w:cs="Traditional Arabic"/>
          <w:sz w:val="32"/>
          <w:szCs w:val="32"/>
          <w:lang w:val="en-US"/>
        </w:rPr>
        <w:t>.</w:t>
      </w:r>
    </w:p>
    <w:p w14:paraId="634470D7" w14:textId="67CB2BF6" w:rsidR="00EE28CE" w:rsidRDefault="00EE28CE" w:rsidP="00EF1F40">
      <w:pPr>
        <w:bidi/>
        <w:spacing w:line="360" w:lineRule="auto"/>
        <w:jc w:val="both"/>
        <w:rPr>
          <w:rFonts w:ascii="Traditional Arabic" w:eastAsia="Calibri" w:hAnsi="Traditional Arabic" w:cs="Traditional Arabic"/>
          <w:sz w:val="32"/>
          <w:szCs w:val="32"/>
          <w:lang w:val="en-US"/>
        </w:rPr>
      </w:pPr>
      <w:r w:rsidRPr="00616AFC">
        <w:rPr>
          <w:rFonts w:ascii="Traditional Arabic" w:eastAsia="Calibri" w:hAnsi="Traditional Arabic" w:cs="Traditional Arabic"/>
          <w:sz w:val="32"/>
          <w:szCs w:val="32"/>
          <w:rtl/>
          <w:lang w:val="en-US"/>
        </w:rPr>
        <w:t xml:space="preserve">يتضح من خلال استعراض الدراسات السابقة المتعلقة بالمتغير المستقل وجود اهتمام بحثي واضح بدور التخطيط الاستراتيجي في تحسين كفاءة الأداء المؤسسي وتعزيز القدرة على التكيف مع التغيرات البيئية والتنظيمية. فقد أظهرت هذه الدراسات، مثل دراسة </w:t>
      </w:r>
      <w:r w:rsidRPr="00616AFC">
        <w:rPr>
          <w:rFonts w:ascii="Traditional Arabic" w:eastAsia="Calibri" w:hAnsi="Traditional Arabic" w:cs="Traditional Arabic"/>
          <w:sz w:val="32"/>
          <w:szCs w:val="32"/>
          <w:lang w:val="en-US"/>
        </w:rPr>
        <w:t>Elbanna et al. 2025</w:t>
      </w:r>
      <w:r w:rsidRPr="00616AFC">
        <w:rPr>
          <w:rFonts w:ascii="Traditional Arabic" w:eastAsia="Calibri" w:hAnsi="Traditional Arabic" w:cs="Traditional Arabic"/>
          <w:sz w:val="32"/>
          <w:szCs w:val="32"/>
          <w:lang w:val="en-US" w:bidi="ar-AE"/>
        </w:rPr>
        <w:t>)</w:t>
      </w:r>
      <w:r w:rsidRPr="00616AFC">
        <w:rPr>
          <w:rFonts w:ascii="Traditional Arabic" w:eastAsia="Calibri" w:hAnsi="Traditional Arabic" w:cs="Traditional Arabic"/>
          <w:sz w:val="32"/>
          <w:szCs w:val="32"/>
          <w:rtl/>
          <w:lang w:val="en-US"/>
        </w:rPr>
        <w:t xml:space="preserve">) ودراسة </w:t>
      </w:r>
      <w:r w:rsidRPr="00616AFC">
        <w:rPr>
          <w:rFonts w:ascii="Traditional Arabic" w:eastAsia="Calibri" w:hAnsi="Traditional Arabic" w:cs="Traditional Arabic"/>
          <w:sz w:val="32"/>
          <w:szCs w:val="32"/>
          <w:lang w:val="en-US"/>
        </w:rPr>
        <w:t>Khalilov et al. 2024)</w:t>
      </w:r>
      <w:r w:rsidRPr="00616AFC">
        <w:rPr>
          <w:rFonts w:ascii="Traditional Arabic" w:eastAsia="Calibri" w:hAnsi="Traditional Arabic" w:cs="Traditional Arabic"/>
          <w:sz w:val="32"/>
          <w:szCs w:val="32"/>
          <w:rtl/>
          <w:lang w:val="en-US"/>
        </w:rPr>
        <w:t xml:space="preserve">) ودراسة </w:t>
      </w:r>
      <w:r w:rsidRPr="00616AFC">
        <w:rPr>
          <w:rFonts w:ascii="Traditional Arabic" w:eastAsia="Calibri" w:hAnsi="Traditional Arabic" w:cs="Traditional Arabic"/>
          <w:sz w:val="32"/>
          <w:szCs w:val="32"/>
          <w:lang w:val="en-US"/>
        </w:rPr>
        <w:t>Sanches et al. 2023)</w:t>
      </w:r>
      <w:r w:rsidRPr="00616AFC">
        <w:rPr>
          <w:rFonts w:ascii="Traditional Arabic" w:eastAsia="Calibri" w:hAnsi="Traditional Arabic" w:cs="Traditional Arabic"/>
          <w:sz w:val="32"/>
          <w:szCs w:val="32"/>
          <w:rtl/>
          <w:lang w:val="en-US"/>
        </w:rPr>
        <w:t>)، أن التخطيط الاستراتيجي يسهم في دعم اتخاذ القرار وتحقيق المرونة المؤسسية وتعزيز الاستدامة. كما أشارت بعض الدراسات إلى وجود تحديات ومعوقات تحد من فاعلية التخطيط الاستراتيجي، كما في دراسة (الدقن، 2019)، مما يعكس وجود تباين في نتائج الدراسات تبعًا لاختلاف البيئات التنظيمية. ويشكل ذلك أساسًا علميًا يدعم أهمية دراسة هذا المتغير ضمن السياق الحالي.</w:t>
      </w:r>
    </w:p>
    <w:p w14:paraId="78625CB9" w14:textId="77777777" w:rsidR="00EE28CE" w:rsidRPr="00EE28CE" w:rsidRDefault="00EE28CE" w:rsidP="00EE28CE">
      <w:pPr>
        <w:bidi/>
        <w:spacing w:line="360" w:lineRule="auto"/>
        <w:jc w:val="both"/>
        <w:rPr>
          <w:rFonts w:ascii="Traditional Arabic" w:eastAsia="Calibri" w:hAnsi="Traditional Arabic" w:cs="Traditional Arabic"/>
          <w:sz w:val="32"/>
          <w:szCs w:val="32"/>
          <w:rtl/>
          <w:lang w:val="en-US"/>
        </w:rPr>
      </w:pPr>
    </w:p>
    <w:p w14:paraId="37E654A2" w14:textId="53A9D4C0" w:rsidR="00EF1F40" w:rsidRPr="00EF1F40" w:rsidRDefault="00EF1F40" w:rsidP="00EE28CE">
      <w:pPr>
        <w:bidi/>
        <w:spacing w:line="360" w:lineRule="auto"/>
        <w:jc w:val="both"/>
        <w:rPr>
          <w:rFonts w:ascii="Traditional Arabic" w:eastAsia="Calibri" w:hAnsi="Traditional Arabic" w:cs="Traditional Arabic"/>
          <w:b/>
          <w:bCs/>
          <w:sz w:val="32"/>
          <w:szCs w:val="32"/>
          <w:rtl/>
        </w:rPr>
      </w:pPr>
      <w:r w:rsidRPr="00EF1F40">
        <w:rPr>
          <w:rFonts w:ascii="Traditional Arabic" w:eastAsia="Calibri" w:hAnsi="Traditional Arabic" w:cs="Traditional Arabic" w:hint="cs"/>
          <w:b/>
          <w:bCs/>
          <w:sz w:val="32"/>
          <w:szCs w:val="32"/>
          <w:rtl/>
        </w:rPr>
        <w:lastRenderedPageBreak/>
        <w:t>ثانيا: الدراسات المتعلقة بالمتغير التابع</w:t>
      </w:r>
    </w:p>
    <w:p w14:paraId="1A49982E"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rPr>
        <w:t xml:space="preserve">هدفت دراسة </w:t>
      </w:r>
      <w:r w:rsidRPr="00EF1F40">
        <w:rPr>
          <w:rFonts w:ascii="Traditional Arabic" w:eastAsia="Calibri" w:hAnsi="Traditional Arabic" w:cs="Traditional Arabic"/>
          <w:b/>
          <w:bCs/>
          <w:sz w:val="32"/>
          <w:szCs w:val="32"/>
          <w:lang w:val="en-US"/>
        </w:rPr>
        <w:t>Feng (2024)</w:t>
      </w:r>
      <w:r w:rsidRPr="00EF1F40">
        <w:rPr>
          <w:rFonts w:ascii="Traditional Arabic" w:eastAsia="Calibri" w:hAnsi="Traditional Arabic" w:cs="Traditional Arabic"/>
          <w:b/>
          <w:bCs/>
          <w:sz w:val="32"/>
          <w:szCs w:val="32"/>
          <w:rtl/>
        </w:rPr>
        <w:t xml:space="preserve">) بعنوان </w:t>
      </w:r>
      <w:r w:rsidRPr="00EF1F40">
        <w:rPr>
          <w:rFonts w:ascii="Traditional Arabic" w:eastAsia="Calibri" w:hAnsi="Traditional Arabic" w:cs="Traditional Arabic"/>
          <w:b/>
          <w:bCs/>
          <w:sz w:val="32"/>
          <w:szCs w:val="32"/>
          <w:lang w:val="en-US"/>
        </w:rPr>
        <w:t>Strategic Planning for the Corporate Enterprise’s Integrative Development</w:t>
      </w:r>
      <w:r w:rsidRPr="00EF1F40">
        <w:rPr>
          <w:rFonts w:ascii="Traditional Arabic" w:eastAsia="Calibri" w:hAnsi="Traditional Arabic" w:cs="Traditional Arabic"/>
          <w:b/>
          <w:bCs/>
          <w:sz w:val="32"/>
          <w:szCs w:val="32"/>
          <w:rtl/>
        </w:rPr>
        <w:t xml:space="preserve"> </w:t>
      </w:r>
      <w:r w:rsidRPr="00EF1F40">
        <w:rPr>
          <w:rFonts w:ascii="Traditional Arabic" w:eastAsia="Calibri" w:hAnsi="Traditional Arabic" w:cs="Traditional Arabic"/>
          <w:sz w:val="32"/>
          <w:szCs w:val="32"/>
          <w:rtl/>
        </w:rPr>
        <w:t xml:space="preserve">إلى تنظيم الأسس النظرية المتعلقة بالتخطيط الاستراتيجي للتنمية التكاملية في المؤسسات </w:t>
      </w:r>
      <w:r w:rsidRPr="00EF1F40">
        <w:rPr>
          <w:rFonts w:ascii="Traditional Arabic" w:eastAsia="Calibri" w:hAnsi="Traditional Arabic" w:cs="Traditional Arabic"/>
          <w:sz w:val="32"/>
          <w:szCs w:val="32"/>
          <w:lang w:val="en-US"/>
        </w:rPr>
        <w:t>corporate</w:t>
      </w:r>
      <w:r w:rsidRPr="00EF1F40">
        <w:rPr>
          <w:rFonts w:ascii="Traditional Arabic" w:eastAsia="Calibri" w:hAnsi="Traditional Arabic" w:cs="Traditional Arabic"/>
          <w:sz w:val="32"/>
          <w:szCs w:val="32"/>
          <w:rtl/>
        </w:rPr>
        <w:t>، كما هدفت إلى تطوير مداخل منهجية توضح دور الاستراتيجية التكاملية بوصفها مجموعة من القرارات الاستراتيجية التي تحدد طبيعة وعمق التفاعل بين المؤسسة وغيرها من الكيانات الاقتصادية، بما يدعم تحقيق التنمية المستدامة وتقليل مستويات عدم اليقين والمخاطر</w:t>
      </w:r>
      <w:r w:rsidRPr="00EF1F40">
        <w:rPr>
          <w:rFonts w:ascii="Traditional Arabic" w:eastAsia="Calibri" w:hAnsi="Traditional Arabic" w:cs="Traditional Arabic"/>
          <w:sz w:val="32"/>
          <w:szCs w:val="32"/>
          <w:lang w:val="en-US"/>
        </w:rPr>
        <w:t>.</w:t>
      </w:r>
    </w:p>
    <w:p w14:paraId="145FE193"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واعتمدت الدراسة على المنهج التحليلي النظري من خلال مراجعة الأدبيات وتفسير المفاهيم المرتبطة بالتخطيط الاستراتيجي والتكامل المؤسسي، حيث ركزت على تحديد موقع الاستراتيجية التكاملية ضمن منظومة التخطيط الاستراتيجي للمؤسسات</w:t>
      </w:r>
      <w:r w:rsidRPr="00EF1F40">
        <w:rPr>
          <w:rFonts w:ascii="Traditional Arabic" w:eastAsia="Calibri" w:hAnsi="Traditional Arabic" w:cs="Traditional Arabic"/>
          <w:sz w:val="32"/>
          <w:szCs w:val="32"/>
          <w:lang w:val="en-US"/>
        </w:rPr>
        <w:t xml:space="preserve"> corporate</w:t>
      </w:r>
      <w:r w:rsidRPr="00EF1F40">
        <w:rPr>
          <w:rFonts w:ascii="Traditional Arabic" w:eastAsia="Calibri" w:hAnsi="Traditional Arabic" w:cs="Traditional Arabic"/>
          <w:sz w:val="32"/>
          <w:szCs w:val="32"/>
          <w:rtl/>
        </w:rPr>
        <w:t>، وبيان آليات مواءمتها مع بقية مكونات التخطيط الاستراتيجي. كما تناولت الدراسة تسلسل مراحل بناء الاستراتيجية التكاملية وطبيعة القرارات الاستراتيجية اللازمة لتنفيذها، إضافة إلى تحديد المتطلبات الأساسية لنجاح عمليات التكامل مثل اختيار الشركاء، وتحديد مصادر التمويل، وتنظيم المصالح المشتركة بين أطراف التكامل</w:t>
      </w:r>
      <w:r w:rsidRPr="00EF1F40">
        <w:rPr>
          <w:rFonts w:ascii="Traditional Arabic" w:eastAsia="Calibri" w:hAnsi="Traditional Arabic" w:cs="Traditional Arabic"/>
          <w:sz w:val="32"/>
          <w:szCs w:val="32"/>
          <w:lang w:val="en-US"/>
        </w:rPr>
        <w:t>.</w:t>
      </w:r>
    </w:p>
    <w:p w14:paraId="3D5D751B"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t>وأظهرت النتائج أن تبني استراتيجية تكاملية متسقة مع الخطة الاستراتيجية الشاملة يسهم في تعزيز فرص التوسع في الأسواق الجديدة، وتحقيق وفورات الحجم، وتحسين التكنولوجيا، وخفض تكاليف تطوير المنتجات، إضافة إلى تقليل المخاطر التشغيلية. كما بينت الدراسة أن نجاح التخطيط للتنمية التكاملية يعتمد على تحديد معايير كمية ونوعية واضحة لأداء المؤسسة، ووضع قواعد تنظيمية تحكم علاقات الشراكة، وتبني آليات فعالة لإدارة مشروعات التكامل</w:t>
      </w:r>
      <w:r w:rsidRPr="00EF1F40">
        <w:rPr>
          <w:rFonts w:ascii="Traditional Arabic" w:eastAsia="Calibri" w:hAnsi="Traditional Arabic" w:cs="Traditional Arabic"/>
          <w:sz w:val="32"/>
          <w:szCs w:val="32"/>
          <w:lang w:val="en-US"/>
        </w:rPr>
        <w:t>.</w:t>
      </w:r>
    </w:p>
    <w:p w14:paraId="45626932"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rPr>
        <w:lastRenderedPageBreak/>
        <w:t>وتتفق هذه الدراسة مع الأدبيات التي تؤكد أهمية التخطيط الاستراتيجي في دعم النمو المؤسسي، إلا أنها تميزت بتركيزها على مفهوم التنمية التكاملية بوصفه مدخلا استراتيجيا لتحقيق الاستدامة التنافسية. ومع ذلك، فقد اقتصرت على الطرح النظري دون اختبار النموذج في بيئة تطبيقية، مما يحد من إمكانية التحقق من فاعليته العملية. ومن ثم تبرز فجوة بحثية تتمثل في الحاجة إلى دراسات ميدانية تقيس أثر الاستراتيجيات التكاملية في تحسين الأداء التنظيمي والميزة التنافسية باستخدام نماذج تحليلية كمية</w:t>
      </w:r>
      <w:r w:rsidRPr="00EF1F40">
        <w:rPr>
          <w:rFonts w:ascii="Traditional Arabic" w:eastAsia="Calibri" w:hAnsi="Traditional Arabic" w:cs="Traditional Arabic"/>
          <w:sz w:val="32"/>
          <w:szCs w:val="32"/>
          <w:lang w:val="en-US"/>
        </w:rPr>
        <w:t>.</w:t>
      </w:r>
    </w:p>
    <w:p w14:paraId="6B6A7B94"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p>
    <w:p w14:paraId="6F13C37D"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t xml:space="preserve">هدفت دراسة </w:t>
      </w:r>
      <w:r w:rsidRPr="00EF1F40">
        <w:rPr>
          <w:rFonts w:ascii="Traditional Arabic" w:eastAsia="Calibri" w:hAnsi="Traditional Arabic" w:cs="Traditional Arabic"/>
          <w:b/>
          <w:bCs/>
          <w:sz w:val="32"/>
          <w:szCs w:val="32"/>
          <w:lang w:val="en-US"/>
        </w:rPr>
        <w:t>Biondi and Russo, 2022)</w:t>
      </w:r>
      <w:r w:rsidRPr="00EF1F40">
        <w:rPr>
          <w:rFonts w:ascii="Traditional Arabic" w:eastAsia="Calibri" w:hAnsi="Traditional Arabic" w:cs="Traditional Arabic"/>
          <w:b/>
          <w:bCs/>
          <w:sz w:val="32"/>
          <w:szCs w:val="32"/>
          <w:rtl/>
          <w:lang w:val="en-US"/>
        </w:rPr>
        <w:t xml:space="preserve">) بعنوان </w:t>
      </w:r>
      <w:r w:rsidRPr="00EF1F40">
        <w:rPr>
          <w:rFonts w:ascii="Traditional Arabic" w:eastAsia="Calibri" w:hAnsi="Traditional Arabic" w:cs="Traditional Arabic"/>
          <w:b/>
          <w:bCs/>
          <w:sz w:val="32"/>
          <w:szCs w:val="32"/>
          <w:lang w:val="en-US"/>
        </w:rPr>
        <w:t>Integrating Strategic Planning and Performance Management in Universities: A Multiple Case-Study Analysis</w:t>
      </w:r>
      <w:r w:rsidRPr="00EF1F40">
        <w:rPr>
          <w:rFonts w:ascii="Traditional Arabic" w:eastAsia="Calibri" w:hAnsi="Traditional Arabic" w:cs="Traditional Arabic"/>
          <w:b/>
          <w:bCs/>
          <w:sz w:val="32"/>
          <w:szCs w:val="32"/>
          <w:rtl/>
          <w:lang w:val="en-US"/>
        </w:rPr>
        <w:t xml:space="preserve"> </w:t>
      </w:r>
      <w:r w:rsidRPr="00EF1F40">
        <w:rPr>
          <w:rFonts w:ascii="Traditional Arabic" w:eastAsia="Calibri" w:hAnsi="Traditional Arabic" w:cs="Traditional Arabic"/>
          <w:sz w:val="32"/>
          <w:szCs w:val="32"/>
          <w:rtl/>
          <w:lang w:val="en-US"/>
        </w:rPr>
        <w:t>إلى استكشاف العلاقة بين نظم التخطيط الاستراتيجي ونظم إدارة الأداء في الجامعات، وذلك من خلال تحليل مدى إسهام أدوات التخطيط الاستراتيجي في دعم إدارة الأداء، وكذلك قدرة نظم إدارة الأداء على إعادة تشكيل الاستراتيجيات الجامعية. كما سعت الدراسة إلى تقديم فهم أعمق لكيفية تحقيق التكامل بين هذين البعدين بما يدعم فاعلية الحوكمة الجامعية ويعزز عمليات اتخاذ القرار طويلة المدى</w:t>
      </w:r>
      <w:r w:rsidRPr="00EF1F40">
        <w:rPr>
          <w:rFonts w:ascii="Traditional Arabic" w:eastAsia="Calibri" w:hAnsi="Traditional Arabic" w:cs="Traditional Arabic"/>
          <w:sz w:val="32"/>
          <w:szCs w:val="32"/>
          <w:lang w:val="en-US"/>
        </w:rPr>
        <w:t>.</w:t>
      </w:r>
    </w:p>
    <w:p w14:paraId="643F93CF"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واعتمدت الدراسة على المنهج النوعي باستخدام تحليل دراسات حالة متعددة لثلاث جامعات حكومية إيطالية، حيث تم جمع البيانات من خلال تحليل الوثائق الرسمية وإجراء مقابلات شبه منظمة مع القيادات الإدارية والأكاديمية المعنية بعمليات التخطيط وإدارة الأداء. وركز التحليل على تطور عمليات التخطيط الاستراتيجي، ومحتوى الوثائق التخطيطية، وآليات الربط بين الخطط الاستراتيجية ودورات إدارة الأداء وتخصيص الموارد المالية</w:t>
      </w:r>
      <w:r w:rsidRPr="00EF1F40">
        <w:rPr>
          <w:rFonts w:ascii="Traditional Arabic" w:eastAsia="Calibri" w:hAnsi="Traditional Arabic" w:cs="Traditional Arabic"/>
          <w:sz w:val="32"/>
          <w:szCs w:val="32"/>
          <w:lang w:val="en-US"/>
        </w:rPr>
        <w:t>.</w:t>
      </w:r>
    </w:p>
    <w:p w14:paraId="761660B6"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lastRenderedPageBreak/>
        <w:t>وأظهرت النتائج وجود ارتباط واضح بين التخطيط الاستراتيجي وإدارة الأداء، حيث تسهم الخطط الاستراتيجية في توجيه الأهداف التشغيلية ومؤشرات الأداء، بما يعزز كفاءة العمليات المؤسسية ويزيد من مستوى المساءلة والشفافية. كما بينت الدراسة أن التكامل بين التخطيط والأداء يدعم تخصيص الموارد بصورة أكثر فاعلية، ويعزز القدرة المؤسسية على تحسين جودة الخدمات واتخاذ قرارات مبنية على معلومات دقيقة. ومع ذلك، كشفت النتائج أن نظم إدارة الأداء غالبا ما تُستخدم لتقييم الأداء السابق أكثر من استخدامها في إعادة صياغة الاستراتيجيات المستقبلية، مما يشير إلى ضعف توظيف التغذية الراجعة الاستراتيجية داخل الجامعات</w:t>
      </w:r>
      <w:r w:rsidRPr="00EF1F40">
        <w:rPr>
          <w:rFonts w:ascii="Traditional Arabic" w:eastAsia="Calibri" w:hAnsi="Traditional Arabic" w:cs="Traditional Arabic"/>
          <w:sz w:val="32"/>
          <w:szCs w:val="32"/>
          <w:lang w:val="en-US"/>
        </w:rPr>
        <w:t>.</w:t>
      </w:r>
    </w:p>
    <w:p w14:paraId="53891144"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وتتفق هذه الدراسة مع الأدبيات التي تؤكد أهمية التخطيط الاستراتيجي كأداة محورية لتحسين الأداء المؤسسي، إلا أنها تميزت بربطها المباشر بين التخطيط الاستراتيجي وإدارة الأداء ضمن إطار الحوكمة الجامعية، وهو مجال لا يزال محدود التناول في الدراسات السابقة. ومع ذلك، اقتصرت الدراسة على منهج نوعي وفي سياق جامعات إيطالية، مما قد يحد من تعميم نتائجها على بيئات تعليمية أخرى. ومن ثم تبرز فجوة بحثية تتمثل في الحاجة إلى دراسات كمية تختبر طبيعة العلاقة التكاملية بين التخطيط الاستراتيجي وإدارة الأداء، وتقيس أثر هذا التكامل في تحسين الأداء المؤسسي عبر سياقات جامعية متنوعة</w:t>
      </w:r>
      <w:r w:rsidRPr="00EF1F40">
        <w:rPr>
          <w:rFonts w:ascii="Traditional Arabic" w:eastAsia="Calibri" w:hAnsi="Traditional Arabic" w:cs="Traditional Arabic"/>
          <w:sz w:val="32"/>
          <w:szCs w:val="32"/>
          <w:lang w:val="en-US"/>
        </w:rPr>
        <w:t>.</w:t>
      </w:r>
    </w:p>
    <w:p w14:paraId="4C682DCD"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p>
    <w:p w14:paraId="53B1F1FB"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t xml:space="preserve">هدفت دراسة </w:t>
      </w:r>
      <w:r w:rsidRPr="00EF1F40">
        <w:rPr>
          <w:rFonts w:ascii="Traditional Arabic" w:eastAsia="Calibri" w:hAnsi="Traditional Arabic" w:cs="Traditional Arabic"/>
          <w:b/>
          <w:bCs/>
          <w:sz w:val="32"/>
          <w:szCs w:val="32"/>
          <w:lang w:val="en-US"/>
        </w:rPr>
        <w:t>Ayodeji et al. 2022)</w:t>
      </w:r>
      <w:r w:rsidRPr="00EF1F40">
        <w:rPr>
          <w:rFonts w:ascii="Traditional Arabic" w:eastAsia="Calibri" w:hAnsi="Traditional Arabic" w:cs="Traditional Arabic"/>
          <w:b/>
          <w:bCs/>
          <w:sz w:val="32"/>
          <w:szCs w:val="32"/>
          <w:rtl/>
          <w:lang w:val="en-US"/>
        </w:rPr>
        <w:t xml:space="preserve">) بعنوان </w:t>
      </w:r>
      <w:r w:rsidRPr="00EF1F40">
        <w:rPr>
          <w:rFonts w:ascii="Traditional Arabic" w:eastAsia="Calibri" w:hAnsi="Traditional Arabic" w:cs="Traditional Arabic"/>
          <w:b/>
          <w:bCs/>
          <w:sz w:val="32"/>
          <w:szCs w:val="32"/>
          <w:lang w:val="en-US"/>
        </w:rPr>
        <w:t>Operationalizing Analytics to Improve Strategic Planning: A Business Intelligence Case Study in Digital Finance</w:t>
      </w:r>
      <w:r w:rsidRPr="00EF1F40">
        <w:rPr>
          <w:rFonts w:ascii="Traditional Arabic" w:eastAsia="Calibri" w:hAnsi="Traditional Arabic" w:cs="Traditional Arabic"/>
          <w:b/>
          <w:bCs/>
          <w:sz w:val="32"/>
          <w:szCs w:val="32"/>
          <w:rtl/>
          <w:lang w:val="en-US"/>
        </w:rPr>
        <w:t xml:space="preserve"> </w:t>
      </w:r>
      <w:r w:rsidRPr="00EF1F40">
        <w:rPr>
          <w:rFonts w:ascii="Traditional Arabic" w:eastAsia="Calibri" w:hAnsi="Traditional Arabic" w:cs="Traditional Arabic"/>
          <w:sz w:val="32"/>
          <w:szCs w:val="32"/>
          <w:rtl/>
          <w:lang w:val="en-US"/>
        </w:rPr>
        <w:t xml:space="preserve">إلى استكشاف كيفية توظيف التحليلات المتقدمة وأدوات ذكاء الأعمال في تحسين </w:t>
      </w:r>
      <w:r w:rsidRPr="00EF1F40">
        <w:rPr>
          <w:rFonts w:ascii="Traditional Arabic" w:eastAsia="Calibri" w:hAnsi="Traditional Arabic" w:cs="Traditional Arabic"/>
          <w:sz w:val="32"/>
          <w:szCs w:val="32"/>
          <w:rtl/>
          <w:lang w:val="en-US"/>
        </w:rPr>
        <w:lastRenderedPageBreak/>
        <w:t>عمليات التخطيط الاستراتيجي داخل مؤسسات التمويل الرقمي، كما هدفت إلى بيان دور البنية التحليلية القائمة على البيانات في دعم اتخاذ القرار وتعزيز الابتكار المؤسسي في بيئة مالية تتسم بالتنافسية والتعقيد</w:t>
      </w:r>
      <w:r w:rsidRPr="00EF1F40">
        <w:rPr>
          <w:rFonts w:ascii="Traditional Arabic" w:eastAsia="Calibri" w:hAnsi="Traditional Arabic" w:cs="Traditional Arabic"/>
          <w:sz w:val="32"/>
          <w:szCs w:val="32"/>
          <w:lang w:val="en-US"/>
        </w:rPr>
        <w:t>.</w:t>
      </w:r>
    </w:p>
    <w:p w14:paraId="6C9D0239"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واعتمدت الدراسة على منهج دراسة الحالة، حيث تناولت منصة مالية رقمية متوسطة الحجم قامت بتصميم وتنفيذ بنية تحليلية متكاملة جمعت بيانات متعددة المصادر، شملت سجلات المعاملات، وأنظمة إدارة علاقات العملاء، ومنصات التفاعل الرقمي. وتم استخدام لوحات معلومات فورية، ونماذج تنبؤية، ومؤشرات أداء مشتركة بين الإدارات بهدف تحويل البيانات الخام إلى رؤى استراتيجية تدعم الإدارة العليا في التخطيط وتخصيص الموارد وتطوير المنتجات</w:t>
      </w:r>
      <w:r w:rsidRPr="00EF1F40">
        <w:rPr>
          <w:rFonts w:ascii="Traditional Arabic" w:eastAsia="Calibri" w:hAnsi="Traditional Arabic" w:cs="Traditional Arabic"/>
          <w:sz w:val="32"/>
          <w:szCs w:val="32"/>
          <w:lang w:val="en-US"/>
        </w:rPr>
        <w:t>.</w:t>
      </w:r>
    </w:p>
    <w:p w14:paraId="5E6B2EF4"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وأظهرت النتائج أن تفعيل التحليلات في إطار التخطيط الاستراتيجي أسهم في زيادة دقة التنبؤات، وخفض معدلات التعثر في القروض، وتسريع دورات تطوير المبادرات الاستراتيجية. كما بينت الدراسة أن استخدام ذكاء الأعمال عزز القدرة على تقييم قيمة العميل، وتحسين أداء القنوات التسويقية، ورفع مستوى الرؤية التنظيمية للمخاطر والفرص. وفي المقابل، كشفت النتائج عن تحديات تمثلت في ضمان جودة البيانات، وإدارة التغيير لدى المستخدمين، وبناء هيكل حوكمة مستدام للبيانات. وأكدت الدراسة أن مواءمة الجهود التحليلية مع الأولويات الاستراتيجية ونشر ثقافة اتخاذ القرار المبني على البيانات يعدان عاملين حاسمين لنجاح التحول الرقمي</w:t>
      </w:r>
      <w:r w:rsidRPr="00EF1F40">
        <w:rPr>
          <w:rFonts w:ascii="Traditional Arabic" w:eastAsia="Calibri" w:hAnsi="Traditional Arabic" w:cs="Traditional Arabic"/>
          <w:sz w:val="32"/>
          <w:szCs w:val="32"/>
          <w:lang w:val="en-US"/>
        </w:rPr>
        <w:t>.</w:t>
      </w:r>
    </w:p>
    <w:p w14:paraId="50F53635"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 xml:space="preserve">وتتفق هذه الدراسة مع الأدبيات التي تؤكد أهمية ذكاء الأعمال في دعم التخطيط الاستراتيجي وتحسين الأداء التنظيمي، إلا أنها تميزت بتقديم دليل تطبيقي من قطاع التمويل الرقمي يوضح كيفية تحويل التحليلات إلى أداة تشغيلية تدعم القرارات الاستراتيجية. ومع ذلك، فقد اقتصرت على حالة واحدة، مما قد يحد من تعميم نتائجها على قطاعات مالية أخرى. ومن ثم تبرز فجوة بحثية تتمثل في الحاجة إلى دراسات مقارنة تختبر أثر توظيف التحليلات </w:t>
      </w:r>
      <w:r w:rsidRPr="00EF1F40">
        <w:rPr>
          <w:rFonts w:ascii="Traditional Arabic" w:eastAsia="Calibri" w:hAnsi="Traditional Arabic" w:cs="Traditional Arabic"/>
          <w:sz w:val="32"/>
          <w:szCs w:val="32"/>
          <w:rtl/>
          <w:lang w:val="en-US"/>
        </w:rPr>
        <w:lastRenderedPageBreak/>
        <w:t>وذكاء الأعمال في التخطيط الاستراتيجي عبر مؤسسات مالية متعددة، وقياس انعكاس ذلك على الأداء المؤسسي والاستدامة التنافسية</w:t>
      </w:r>
      <w:r w:rsidRPr="00EF1F40">
        <w:rPr>
          <w:rFonts w:ascii="Traditional Arabic" w:eastAsia="Calibri" w:hAnsi="Traditional Arabic" w:cs="Traditional Arabic"/>
          <w:sz w:val="32"/>
          <w:szCs w:val="32"/>
          <w:lang w:val="en-US"/>
        </w:rPr>
        <w:t>.</w:t>
      </w:r>
    </w:p>
    <w:p w14:paraId="6A2D7AD9"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p>
    <w:p w14:paraId="6DCED0BD"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t xml:space="preserve">هدفت دراسة </w:t>
      </w:r>
      <w:r w:rsidRPr="00EF1F40">
        <w:rPr>
          <w:rFonts w:ascii="Traditional Arabic" w:eastAsia="Calibri" w:hAnsi="Traditional Arabic" w:cs="Traditional Arabic" w:hint="cs"/>
          <w:b/>
          <w:bCs/>
          <w:sz w:val="32"/>
          <w:szCs w:val="32"/>
          <w:rtl/>
          <w:lang w:val="en-US"/>
        </w:rPr>
        <w:t>(</w:t>
      </w:r>
      <w:r w:rsidRPr="00EF1F40">
        <w:rPr>
          <w:rFonts w:ascii="Traditional Arabic" w:eastAsia="Calibri" w:hAnsi="Traditional Arabic" w:cs="Traditional Arabic"/>
          <w:b/>
          <w:bCs/>
          <w:sz w:val="32"/>
          <w:szCs w:val="32"/>
          <w:lang w:val="en-US"/>
        </w:rPr>
        <w:t>Karim et al. 2022</w:t>
      </w:r>
      <w:r w:rsidRPr="00EF1F40">
        <w:rPr>
          <w:rFonts w:ascii="Traditional Arabic" w:eastAsia="Calibri" w:hAnsi="Traditional Arabic" w:cs="Traditional Arabic"/>
          <w:b/>
          <w:bCs/>
          <w:sz w:val="32"/>
          <w:szCs w:val="32"/>
          <w:rtl/>
          <w:lang w:val="en-US"/>
        </w:rPr>
        <w:t xml:space="preserve">) بعنوان </w:t>
      </w:r>
      <w:r w:rsidRPr="00EF1F40">
        <w:rPr>
          <w:rFonts w:ascii="Traditional Arabic" w:eastAsia="Calibri" w:hAnsi="Traditional Arabic" w:cs="Traditional Arabic"/>
          <w:b/>
          <w:bCs/>
          <w:sz w:val="32"/>
          <w:szCs w:val="32"/>
          <w:lang w:val="en-US"/>
        </w:rPr>
        <w:t>Organizational Aspects and Practices for Enhancing Organizational Project Management Maturity</w:t>
      </w:r>
      <w:r w:rsidRPr="00EF1F40">
        <w:rPr>
          <w:rFonts w:ascii="Traditional Arabic" w:eastAsia="Calibri" w:hAnsi="Traditional Arabic" w:cs="Traditional Arabic"/>
          <w:b/>
          <w:bCs/>
          <w:sz w:val="32"/>
          <w:szCs w:val="32"/>
          <w:rtl/>
          <w:lang w:val="en-US"/>
        </w:rPr>
        <w:t xml:space="preserve"> </w:t>
      </w:r>
      <w:r w:rsidRPr="00EF1F40">
        <w:rPr>
          <w:rFonts w:ascii="Traditional Arabic" w:eastAsia="Calibri" w:hAnsi="Traditional Arabic" w:cs="Traditional Arabic"/>
          <w:sz w:val="32"/>
          <w:szCs w:val="32"/>
          <w:rtl/>
          <w:lang w:val="en-US"/>
        </w:rPr>
        <w:t>إلى تحديد الجوانب التنظيمية والممارسات الإدارية التي تسهم في تعزيز نضج إدارة المشروعات داخل المنظمات، كما هدفت إ إلى تحليل العوامل التي تؤثر في نجاح تطبيق نماذج نضج إدارة المشروعات، انطلاقا من فرضية مفادها أن ارتفاع مستوى النضج التنظيمي يرتبط بزيادة قدرة المنظمة على تنفيذ المشروعات بنجاح</w:t>
      </w:r>
      <w:r w:rsidRPr="00EF1F40">
        <w:rPr>
          <w:rFonts w:ascii="Traditional Arabic" w:eastAsia="Calibri" w:hAnsi="Traditional Arabic" w:cs="Traditional Arabic"/>
          <w:sz w:val="32"/>
          <w:szCs w:val="32"/>
          <w:lang w:val="en-US"/>
        </w:rPr>
        <w:t>.</w:t>
      </w:r>
      <w:r w:rsidRPr="00EF1F40">
        <w:rPr>
          <w:rFonts w:ascii="Traditional Arabic" w:eastAsia="Calibri" w:hAnsi="Traditional Arabic" w:cs="Traditional Arabic" w:hint="cs"/>
          <w:sz w:val="32"/>
          <w:szCs w:val="32"/>
          <w:rtl/>
          <w:lang w:val="en-US" w:bidi="ar-JO"/>
        </w:rPr>
        <w:t xml:space="preserve"> </w:t>
      </w:r>
      <w:r w:rsidRPr="00EF1F40">
        <w:rPr>
          <w:rFonts w:ascii="Traditional Arabic" w:eastAsia="Calibri" w:hAnsi="Traditional Arabic" w:cs="Traditional Arabic"/>
          <w:sz w:val="32"/>
          <w:szCs w:val="32"/>
          <w:rtl/>
          <w:lang w:val="en-US"/>
        </w:rPr>
        <w:t xml:space="preserve">اعتمدت الدراسة على منهج المراجعة المنهجية للأدبيات، حيث تم تحليل 23 دراسة منشورة خلال الفترة (2011–2021) تناولت موضوع نضج إدارة المشروعات. واستخدم الباحثون تحليل المحتوى بمساعدة برنامج </w:t>
      </w:r>
      <w:r w:rsidRPr="00EF1F40">
        <w:rPr>
          <w:rFonts w:ascii="Traditional Arabic" w:eastAsia="Calibri" w:hAnsi="Traditional Arabic" w:cs="Traditional Arabic"/>
          <w:sz w:val="32"/>
          <w:szCs w:val="32"/>
          <w:lang w:val="en-US"/>
        </w:rPr>
        <w:t>ATLAS.ti</w:t>
      </w:r>
      <w:r w:rsidRPr="00EF1F40">
        <w:rPr>
          <w:rFonts w:ascii="Traditional Arabic" w:eastAsia="Calibri" w:hAnsi="Traditional Arabic" w:cs="Traditional Arabic"/>
          <w:sz w:val="32"/>
          <w:szCs w:val="32"/>
          <w:rtl/>
          <w:lang w:val="en-US"/>
        </w:rPr>
        <w:t xml:space="preserve"> لاستخلاص الموضوعات الرئيسة وتصنيفها، مما أسفر عن تحديد عشرة موضوعات فرعية توزعت على جانبين رئيسين هما الجوانب التنظيمية والممارسات الإدارية المرتبطة بتطبيق نماذج النضج.</w:t>
      </w:r>
    </w:p>
    <w:p w14:paraId="322AD0CE"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 xml:space="preserve">وأظهرت النتائج أن الثقافة التنظيمية والتكامل مع المبادرات الاستراتيجية يعدان من أكثر العوامل تأثيرا في تطوير نضج إدارة المشروعات، كما بينت أن وجود آليات تكامل فعالة، ومكاتب لإدارة المشروعات، وإدارة اختلافات أصحاب المصلحة، يسهم في تحسين أداء تسليم المشروعات. كذلك أشارت الدراسة إلى أن قطاع تكنولوجيا المعلومات كان الأكثر بروزا في تبني ممارسات نضج إدارة المشروعات، مما يعكس أهمية البيئة التقنية في دعم التطوير التنظيمي. </w:t>
      </w:r>
      <w:r w:rsidRPr="00EF1F40">
        <w:rPr>
          <w:rFonts w:ascii="Traditional Arabic" w:eastAsia="Calibri" w:hAnsi="Traditional Arabic" w:cs="Traditional Arabic"/>
          <w:sz w:val="32"/>
          <w:szCs w:val="32"/>
          <w:rtl/>
          <w:lang w:val="en-US"/>
        </w:rPr>
        <w:lastRenderedPageBreak/>
        <w:t>وأكدت النتائج أن تداخل الجوانب التنظيمية مع الممارسات الإدارية يؤدي إلى تأثير إيجابي في أداء المشروعات ونجاح تنفيذها</w:t>
      </w:r>
      <w:r w:rsidRPr="00EF1F40">
        <w:rPr>
          <w:rFonts w:ascii="Traditional Arabic" w:eastAsia="Calibri" w:hAnsi="Traditional Arabic" w:cs="Traditional Arabic"/>
          <w:sz w:val="32"/>
          <w:szCs w:val="32"/>
          <w:lang w:val="en-US"/>
        </w:rPr>
        <w:t>.</w:t>
      </w:r>
    </w:p>
    <w:p w14:paraId="2F994920"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وتتفق هذه الدراسة مع الأدبيات التي تؤكد أهمية التكامل بين المبادرات الاستراتيجية والممارسات التنظيمية في تحسين الأداء المؤسسي، إلا أنها تميزت بتقديم إطار تحليلي شامل يوضح محددات نضج إدارة المشروعات عبر قطاعات مختلفة. ومع ذلك، فقد اعتمدت على مراجعة نظرية دون اختبار ميداني مباشر، مما يحد من إمكانية التحقق من قوة العلاقات السببية بين المتغيرات. ومن ثم تبرز فجوة بحثية تتمثل في الحاجة إلى دراسات تطبيقية تقيس أثر نضج إدارة المشروعات في الأداء التنظيمي باستخدام نماذج تحليلية كمية وفي سياقات صناعية متنوعة</w:t>
      </w:r>
      <w:r w:rsidRPr="00EF1F40">
        <w:rPr>
          <w:rFonts w:ascii="Traditional Arabic" w:eastAsia="Calibri" w:hAnsi="Traditional Arabic" w:cs="Traditional Arabic"/>
          <w:sz w:val="32"/>
          <w:szCs w:val="32"/>
          <w:lang w:val="en-US"/>
        </w:rPr>
        <w:t>.</w:t>
      </w:r>
    </w:p>
    <w:p w14:paraId="269725BF" w14:textId="4CDC6FD3" w:rsidR="00EF1F40" w:rsidRPr="00EE28CE" w:rsidRDefault="00EE28CE" w:rsidP="00EE28CE">
      <w:pPr>
        <w:bidi/>
        <w:spacing w:line="360" w:lineRule="auto"/>
        <w:jc w:val="both"/>
        <w:rPr>
          <w:rFonts w:ascii="Traditional Arabic" w:eastAsia="Calibri" w:hAnsi="Traditional Arabic" w:cs="Traditional Arabic"/>
          <w:sz w:val="32"/>
          <w:szCs w:val="32"/>
          <w:rtl/>
          <w:lang w:val="en-US"/>
        </w:rPr>
      </w:pPr>
      <w:r w:rsidRPr="00616AFC">
        <w:rPr>
          <w:rFonts w:ascii="Traditional Arabic" w:eastAsia="Calibri" w:hAnsi="Traditional Arabic" w:cs="Traditional Arabic"/>
          <w:sz w:val="32"/>
          <w:szCs w:val="32"/>
          <w:rtl/>
          <w:lang w:val="en-US"/>
        </w:rPr>
        <w:t xml:space="preserve">تشير نتائج الدراسات السابقة المتعلقة بالمتغير التابع إلى أن الأداء المؤسسي يتأثر بعدد من العوامل الاستراتيجية والتنظيمية، حيث أكدت الدراسات مثل </w:t>
      </w:r>
      <w:r w:rsidRPr="00616AFC">
        <w:rPr>
          <w:rFonts w:ascii="Traditional Arabic" w:eastAsia="Calibri" w:hAnsi="Traditional Arabic" w:cs="Traditional Arabic"/>
          <w:sz w:val="32"/>
          <w:szCs w:val="32"/>
          <w:lang w:val="en-US"/>
        </w:rPr>
        <w:t>Feng, 2024)</w:t>
      </w:r>
      <w:r w:rsidRPr="00616AFC">
        <w:rPr>
          <w:rFonts w:ascii="Traditional Arabic" w:eastAsia="Calibri" w:hAnsi="Traditional Arabic" w:cs="Traditional Arabic"/>
          <w:sz w:val="32"/>
          <w:szCs w:val="32"/>
          <w:rtl/>
          <w:lang w:val="en-US"/>
        </w:rPr>
        <w:t>) و</w:t>
      </w:r>
      <w:r w:rsidRPr="00616AFC">
        <w:rPr>
          <w:rFonts w:ascii="Traditional Arabic" w:eastAsia="Calibri" w:hAnsi="Traditional Arabic" w:cs="Traditional Arabic"/>
          <w:sz w:val="32"/>
          <w:szCs w:val="32"/>
          <w:lang w:val="en-US"/>
        </w:rPr>
        <w:t>Biondi and Russo, 2022)</w:t>
      </w:r>
      <w:r w:rsidRPr="00616AFC">
        <w:rPr>
          <w:rFonts w:ascii="Traditional Arabic" w:eastAsia="Calibri" w:hAnsi="Traditional Arabic" w:cs="Traditional Arabic"/>
          <w:sz w:val="32"/>
          <w:szCs w:val="32"/>
          <w:rtl/>
          <w:lang w:val="en-US"/>
        </w:rPr>
        <w:t xml:space="preserve">) أن تحسين الأداء يرتبط بفاعلية التخطيط، والتكامل المؤسسي، وتبني الممارسات الإدارية الحديثة. كما أظهرت بعض الدراسات أهمية استخدام التحليلات وذكاء الأعمال في دعم الأداء المؤسسي، كما في دراسة </w:t>
      </w:r>
      <w:r w:rsidRPr="00616AFC">
        <w:rPr>
          <w:rFonts w:ascii="Traditional Arabic" w:eastAsia="Calibri" w:hAnsi="Traditional Arabic" w:cs="Traditional Arabic"/>
          <w:sz w:val="32"/>
          <w:szCs w:val="32"/>
          <w:lang w:val="en-US"/>
        </w:rPr>
        <w:t>Ayodeji et al. 2022)</w:t>
      </w:r>
      <w:r w:rsidRPr="00616AFC">
        <w:rPr>
          <w:rFonts w:ascii="Traditional Arabic" w:eastAsia="Calibri" w:hAnsi="Traditional Arabic" w:cs="Traditional Arabic"/>
          <w:sz w:val="32"/>
          <w:szCs w:val="32"/>
          <w:rtl/>
          <w:lang w:val="en-US"/>
        </w:rPr>
        <w:t>)، مما يعكس تنوع العوامل المؤثرة في الأداء. ويؤكد هذا الاتجاه أهمية تناول الأداء المؤسسي بوصفه متغيرًا تابعًا يتأثر بعدة مداخل استراتيجية، وهو ما يعزز من أهمية اختباره في الدراسة الحالية.</w:t>
      </w:r>
    </w:p>
    <w:p w14:paraId="0F8FD10E"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rPr>
      </w:pPr>
      <w:r w:rsidRPr="00EF1F40">
        <w:rPr>
          <w:rFonts w:ascii="Traditional Arabic" w:eastAsia="Calibri" w:hAnsi="Traditional Arabic" w:cs="Traditional Arabic" w:hint="cs"/>
          <w:b/>
          <w:bCs/>
          <w:sz w:val="32"/>
          <w:szCs w:val="32"/>
          <w:rtl/>
        </w:rPr>
        <w:t>ثالثا: الدراسات التي ربطت بين المتغيرين</w:t>
      </w:r>
    </w:p>
    <w:p w14:paraId="1B53B033"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b/>
          <w:bCs/>
          <w:sz w:val="32"/>
          <w:szCs w:val="32"/>
          <w:rtl/>
          <w:lang w:val="en-US"/>
        </w:rPr>
        <w:t xml:space="preserve">دراسة (مسعود وعلماوي، 2025) بعنوان "أثر أبعاد التخطيط الاستراتيجي على تحقيق التميز المؤسسي وفق معايير النموذج الأوروبي للتميز </w:t>
      </w:r>
      <w:r w:rsidRPr="00EF1F40">
        <w:rPr>
          <w:rFonts w:ascii="Traditional Arabic" w:eastAsia="Calibri" w:hAnsi="Traditional Arabic" w:cs="Traditional Arabic"/>
          <w:b/>
          <w:bCs/>
          <w:sz w:val="32"/>
          <w:szCs w:val="32"/>
          <w:lang w:val="en-US"/>
        </w:rPr>
        <w:t>EFQM 2020</w:t>
      </w:r>
      <w:r w:rsidRPr="00EF1F40">
        <w:rPr>
          <w:rFonts w:ascii="Traditional Arabic" w:eastAsia="Calibri" w:hAnsi="Traditional Arabic" w:cs="Traditional Arabic"/>
          <w:b/>
          <w:bCs/>
          <w:sz w:val="32"/>
          <w:szCs w:val="32"/>
          <w:rtl/>
          <w:lang w:val="en-US"/>
        </w:rPr>
        <w:t>: دراسة حالة مؤسسة الورود بولاية الوادي"</w:t>
      </w:r>
      <w:r w:rsidRPr="00EF1F40">
        <w:rPr>
          <w:rFonts w:ascii="Traditional Arabic" w:eastAsia="Calibri" w:hAnsi="Traditional Arabic" w:cs="Traditional Arabic"/>
          <w:sz w:val="32"/>
          <w:szCs w:val="32"/>
          <w:rtl/>
          <w:lang w:val="en-US"/>
        </w:rPr>
        <w:t xml:space="preserve"> هدفت إلى التعرف على أثر أبعاد التخطيط الاستراتيجي في تحقيق التميز المؤسسي وفق معايير النموذج الأوروبي للتميز </w:t>
      </w:r>
      <w:r w:rsidRPr="00EF1F40">
        <w:rPr>
          <w:rFonts w:ascii="Traditional Arabic" w:eastAsia="Calibri" w:hAnsi="Traditional Arabic" w:cs="Traditional Arabic"/>
          <w:sz w:val="32"/>
          <w:szCs w:val="32"/>
          <w:lang w:val="en-US"/>
        </w:rPr>
        <w:lastRenderedPageBreak/>
        <w:t>EFQM 2020</w:t>
      </w:r>
      <w:r w:rsidRPr="00EF1F40">
        <w:rPr>
          <w:rFonts w:ascii="Traditional Arabic" w:eastAsia="Calibri" w:hAnsi="Traditional Arabic" w:cs="Traditional Arabic"/>
          <w:sz w:val="32"/>
          <w:szCs w:val="32"/>
          <w:rtl/>
          <w:lang w:val="en-US"/>
        </w:rPr>
        <w:t xml:space="preserve">، كما هدفت إلى تحليل واقع التخطيط الاستراتيجي داخل المؤسسة محل الدراسة وتحديد مدى إسهامه في تعزيز مستويات التميز التنظيمي. واعتمدت الدراسة على المنهج الوصفي التحليلي، حيث تم جمع البيانات من عينة مكونة من 40 عاملا في الإدارة، باستخدام استبانة، وتحليل البيانات عبر برنامج </w:t>
      </w:r>
      <w:r w:rsidRPr="00EF1F40">
        <w:rPr>
          <w:rFonts w:ascii="Traditional Arabic" w:eastAsia="Calibri" w:hAnsi="Traditional Arabic" w:cs="Traditional Arabic"/>
          <w:sz w:val="32"/>
          <w:szCs w:val="32"/>
          <w:lang w:val="en-US"/>
        </w:rPr>
        <w:t>SMART PLS 4</w:t>
      </w:r>
      <w:r w:rsidRPr="00EF1F40">
        <w:rPr>
          <w:rFonts w:ascii="Traditional Arabic" w:eastAsia="Calibri" w:hAnsi="Traditional Arabic" w:cs="Traditional Arabic"/>
          <w:sz w:val="32"/>
          <w:szCs w:val="32"/>
          <w:rtl/>
          <w:lang w:val="en-US"/>
        </w:rPr>
        <w:t xml:space="preserve"> لاختبار العلاقات بين متغيرات الدراسة.</w:t>
      </w:r>
    </w:p>
    <w:p w14:paraId="749B4B26"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 xml:space="preserve">وأظهرت نتائج الدراسة وجود تباين في تأثير أبعاد التخطيط الاستراتيجي على التميز المؤسسي؛ إذ تبين أن بعدي تحديد الأهداف والتحليل البيئي كان تأثيرهما ضعيفا، في حين أظهرت أبعاد الرؤية والرسالة والتنفيذ تأثيرا ذا دلالة إحصائية. كما أكدت النتائج وجود أثر إجمالي دال إحصائيا للتخطيط الاستراتيجي بأبعاده المختلفة على تحقيق التميز المؤسسي وفقا لمعايير </w:t>
      </w:r>
      <w:r w:rsidRPr="00EF1F40">
        <w:rPr>
          <w:rFonts w:ascii="Traditional Arabic" w:eastAsia="Calibri" w:hAnsi="Traditional Arabic" w:cs="Traditional Arabic"/>
          <w:sz w:val="32"/>
          <w:szCs w:val="32"/>
          <w:lang w:val="en-US"/>
        </w:rPr>
        <w:t>EFQM 2020</w:t>
      </w:r>
      <w:r w:rsidRPr="00EF1F40">
        <w:rPr>
          <w:rFonts w:ascii="Traditional Arabic" w:eastAsia="Calibri" w:hAnsi="Traditional Arabic" w:cs="Traditional Arabic"/>
          <w:sz w:val="32"/>
          <w:szCs w:val="32"/>
          <w:rtl/>
          <w:lang w:val="en-US"/>
        </w:rPr>
        <w:t xml:space="preserve"> عند مستوى معنوية (0.05)، مما يعكس أهمية تبني ممارسات تخطيط استراتيجية متكاملة لدعم التفوق التنظيمي.</w:t>
      </w:r>
    </w:p>
    <w:p w14:paraId="049EDA9B"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lang w:val="en-US"/>
        </w:rPr>
        <w:t xml:space="preserve">وتتفق هذه الدراسة مع الأدبيات التي تؤكد الدور الحيوي للتخطيط الاستراتيجي في تحقيق التميز المؤسسي، إلا أنها تميزت بتطبيق نموذج </w:t>
      </w:r>
      <w:r w:rsidRPr="00EF1F40">
        <w:rPr>
          <w:rFonts w:ascii="Traditional Arabic" w:eastAsia="Calibri" w:hAnsi="Traditional Arabic" w:cs="Traditional Arabic"/>
          <w:sz w:val="32"/>
          <w:szCs w:val="32"/>
          <w:lang w:val="en-US"/>
        </w:rPr>
        <w:t>EFQM 2020</w:t>
      </w:r>
      <w:r w:rsidRPr="00EF1F40">
        <w:rPr>
          <w:rFonts w:ascii="Traditional Arabic" w:eastAsia="Calibri" w:hAnsi="Traditional Arabic" w:cs="Traditional Arabic"/>
          <w:sz w:val="32"/>
          <w:szCs w:val="32"/>
          <w:rtl/>
          <w:lang w:val="en-US"/>
        </w:rPr>
        <w:t xml:space="preserve"> بوصفه إطارا معياريا لقياس التميز التنظيمي. ومع ذلك، فقد اقتصرت على دراسة حالة واحدة وبعينة محدودة نسبيا، مما قد يحد من تعميم نتائجها. ومن ثم تبرز فجوة بحثية تتمثل في الحاجة إلى دراسات ميدانية أوسع تختبر أثر أبعاد التخطيط الاستراتيجي على التميز المؤسسي في قطاعات تنظيمية متعددة، وباستخدام عينات أكبر ونماذج تحليلية أكثر شمولا</w:t>
      </w:r>
      <w:r w:rsidRPr="00EF1F40">
        <w:rPr>
          <w:rFonts w:ascii="Traditional Arabic" w:eastAsia="Calibri" w:hAnsi="Traditional Arabic" w:cs="Traditional Arabic"/>
          <w:sz w:val="32"/>
          <w:szCs w:val="32"/>
          <w:lang w:val="en-US"/>
        </w:rPr>
        <w:t>.</w:t>
      </w:r>
    </w:p>
    <w:p w14:paraId="5D353211"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p>
    <w:p w14:paraId="5CCE9422"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t xml:space="preserve">دراسة (العرفي والكردي، 2025) بعنوان "أثر التخطيط الاستراتيجي في تطوير الأداء المؤسسي – دراسة تطبيقية على وزارة التربية والتعليم الليبية" </w:t>
      </w:r>
      <w:r w:rsidRPr="00EF1F40">
        <w:rPr>
          <w:rFonts w:ascii="Traditional Arabic" w:eastAsia="Calibri" w:hAnsi="Traditional Arabic" w:cs="Traditional Arabic"/>
          <w:sz w:val="32"/>
          <w:szCs w:val="32"/>
          <w:rtl/>
          <w:lang w:val="en-US"/>
        </w:rPr>
        <w:t xml:space="preserve">هدفت إلى التعرف على أثر التخطيط الاستراتيجي بأبعاده المتمثلة في </w:t>
      </w:r>
      <w:r w:rsidRPr="00EF1F40">
        <w:rPr>
          <w:rFonts w:ascii="Traditional Arabic" w:eastAsia="Calibri" w:hAnsi="Traditional Arabic" w:cs="Traditional Arabic"/>
          <w:sz w:val="32"/>
          <w:szCs w:val="32"/>
          <w:rtl/>
          <w:lang w:val="en-US"/>
        </w:rPr>
        <w:lastRenderedPageBreak/>
        <w:t>التحليل الاستراتيجي، وتحديد التوجه الاستراتيجي، والاختيار الاستراتيجي في الأداء المؤسسي بأبعاده المتمثلة في البعد المالي، والعمليات الداخلية، ورضا متلقي الخدمة، والابتكار والنمو داخل وزارة التربية والتعليم الليبية. كما هدفت إلى قياس مستوى ممارسة التخطيط الاستراتيجي ومدى انعكاسه على تحسين مؤشرات الأداء المؤسسي في القطاع الحكومي التعليمي</w:t>
      </w:r>
      <w:r w:rsidRPr="00EF1F40">
        <w:rPr>
          <w:rFonts w:ascii="Traditional Arabic" w:eastAsia="Calibri" w:hAnsi="Traditional Arabic" w:cs="Traditional Arabic"/>
          <w:sz w:val="32"/>
          <w:szCs w:val="32"/>
          <w:lang w:val="en-US"/>
        </w:rPr>
        <w:t>.</w:t>
      </w:r>
    </w:p>
    <w:p w14:paraId="7C15D402"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واعتمدت الدراسة على المنهج الوصفي التحليلي، حيث تم استخدام أسلوب المسح الشامل لمجتمع الدراسة المكون من 236 موظفا من القيادات الإدارية العليا والوسطى في الوزارة، وتم توزيع 236 استبانة واسترداد 209 استبانات صالحة للتحليل بنسبة استجابة بلغت 87.4٪. وأظهرت نتائج الدراسة وجود أثر ذي دلالة إحصائية للتخطيط الاستراتيجي بأبعاده مجتمعة على الأداء المؤسسي بأبعاده المختلفة في وزارة التربية والتعليم الليبية، مما يؤكد أهمية التكامل بين مراحل التخطيط الاستراتيجي في تعزيز النتائج المالية والتشغيلية والخدمية والتنموية للمؤسسة. وأوصت الدراسة بضرورة إعداد خطط استراتيجية شاملة تراعي أبعاد الأداء المؤسسي الأربعة بما يسهم في تحقيق التطوير المستدام.</w:t>
      </w:r>
    </w:p>
    <w:p w14:paraId="6C735400"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وتتفق هذه الدراسة مع الدراسات التي أكدت وجود علاقة إيجابية بين التخطيط الاستراتيجي والأداء المؤسسي، إلا أنها تميزت بتحديد أبعاد واضحة لكلا المتغيرين وقياسها في قطاع حكومي تعليمي باستخدام أسلوب المسح الشامل، مما يعزز قوة نتائجها. ومع ذلك، فقد اقتصرت على بيئة تنظيمية واحدة، الأمر الذي يحد من إمكانية تعميم النتائج على قطاعات أخرى. ومن ثم تبرز فجوة بحثية تتمثل في الحاجة إلى اختبار العلاقة بين أبعاد التخطيط الاستراتيجي والأداء المؤسسي في قطاعات حكومية متعددة، مع دراسة تأثير متغيرات وسيطة أو معدلة قد تسهم في تفسير قوة هذه العلاقة</w:t>
      </w:r>
      <w:r w:rsidRPr="00EF1F40">
        <w:rPr>
          <w:rFonts w:ascii="Traditional Arabic" w:eastAsia="Calibri" w:hAnsi="Traditional Arabic" w:cs="Traditional Arabic"/>
          <w:sz w:val="32"/>
          <w:szCs w:val="32"/>
          <w:lang w:val="en-US"/>
        </w:rPr>
        <w:t>.</w:t>
      </w:r>
    </w:p>
    <w:p w14:paraId="1F6A66D5"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p>
    <w:p w14:paraId="4FF7C355"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t>هدفت دراسة (</w:t>
      </w:r>
      <w:r w:rsidRPr="00EF1F40">
        <w:rPr>
          <w:rFonts w:ascii="Traditional Arabic" w:eastAsia="Calibri" w:hAnsi="Traditional Arabic" w:cs="Traditional Arabic"/>
          <w:b/>
          <w:bCs/>
          <w:sz w:val="32"/>
          <w:szCs w:val="32"/>
          <w:lang w:val="en-US"/>
        </w:rPr>
        <w:t>Alswidan 2024</w:t>
      </w:r>
      <w:r w:rsidRPr="00EF1F40">
        <w:rPr>
          <w:rFonts w:ascii="Traditional Arabic" w:eastAsia="Calibri" w:hAnsi="Traditional Arabic" w:cs="Traditional Arabic"/>
          <w:b/>
          <w:bCs/>
          <w:sz w:val="32"/>
          <w:szCs w:val="32"/>
          <w:rtl/>
          <w:lang w:val="en-US"/>
        </w:rPr>
        <w:t xml:space="preserve">) بعنوان </w:t>
      </w:r>
      <w:r w:rsidRPr="00EF1F40">
        <w:rPr>
          <w:rFonts w:ascii="Traditional Arabic" w:eastAsia="Calibri" w:hAnsi="Traditional Arabic" w:cs="Traditional Arabic"/>
          <w:b/>
          <w:bCs/>
          <w:sz w:val="32"/>
          <w:szCs w:val="32"/>
          <w:lang w:val="en-US"/>
        </w:rPr>
        <w:t>An Empirical Investigation of the Effects of Strategic</w:t>
      </w:r>
      <w:r w:rsidRPr="00EF1F40">
        <w:rPr>
          <w:rFonts w:ascii="Traditional Arabic" w:eastAsia="Calibri" w:hAnsi="Traditional Arabic" w:cs="Traditional Arabic"/>
          <w:b/>
          <w:bCs/>
          <w:sz w:val="32"/>
          <w:szCs w:val="32"/>
          <w:lang w:val="en-US" w:bidi="ar-AE"/>
        </w:rPr>
        <w:t>”</w:t>
      </w:r>
      <w:r w:rsidRPr="00EF1F40">
        <w:rPr>
          <w:rFonts w:ascii="Traditional Arabic" w:eastAsia="Calibri" w:hAnsi="Traditional Arabic" w:cs="Traditional Arabic"/>
          <w:b/>
          <w:bCs/>
          <w:sz w:val="32"/>
          <w:szCs w:val="32"/>
          <w:lang w:val="en-US"/>
        </w:rPr>
        <w:t xml:space="preserve"> Planning in the Higher Public Education of Information Technology in Riyadh, Saudi Arabia</w:t>
      </w:r>
      <w:r w:rsidRPr="00EF1F40">
        <w:rPr>
          <w:rFonts w:ascii="Traditional Arabic" w:eastAsia="Calibri" w:hAnsi="Traditional Arabic" w:cs="Traditional Arabic"/>
          <w:b/>
          <w:bCs/>
          <w:sz w:val="32"/>
          <w:szCs w:val="32"/>
          <w:rtl/>
          <w:lang w:val="en-US"/>
        </w:rPr>
        <w:t xml:space="preserve">" </w:t>
      </w:r>
      <w:r w:rsidRPr="00EF1F40">
        <w:rPr>
          <w:rFonts w:ascii="Traditional Arabic" w:eastAsia="Calibri" w:hAnsi="Traditional Arabic" w:cs="Traditional Arabic"/>
          <w:sz w:val="32"/>
          <w:szCs w:val="32"/>
          <w:rtl/>
          <w:lang w:val="en-US"/>
        </w:rPr>
        <w:t>إلى تقصي أثر التخطيط الاستراتيجي في مؤسسات التعليم العالي الحكومية المتخصصة في تقنية المعلومات بمدينة الرياض، كما هدفت إلى تقييم كفاءة الإطار الاستراتيجي التعليمي من منظور الطلبة بوصفهم مستفيدين مباشرين من خدمات التعليم العام، والكشف عن الفجوة بين تصورات الطلبة ورؤى صناع القرار في القطاع التعليمي</w:t>
      </w:r>
      <w:r w:rsidRPr="00EF1F40">
        <w:rPr>
          <w:rFonts w:ascii="Traditional Arabic" w:eastAsia="Calibri" w:hAnsi="Traditional Arabic" w:cs="Traditional Arabic"/>
          <w:sz w:val="32"/>
          <w:szCs w:val="32"/>
          <w:lang w:val="en-US"/>
        </w:rPr>
        <w:t>.</w:t>
      </w:r>
    </w:p>
    <w:p w14:paraId="6F0D786E"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واعتمدت الدراسة على المنهج الكمي المدعوم بأساليب نوعية، حيث تم جمع البيانات الأولية من طلبة السنوات النهائية في أقسام تقنية المعلومات بعدد من الجامعات الحكومية في الرياض، شملت جامعة الإمام محمد بن سعود الإسلامية، وجامعة الملك سعود، وجامعة الأميرة نورة بنت عبد الرحمن. واستخدمت الدراسة الاستبانات الإلكترونية، إضافة إلى مجموعات نقاش ومقابلات فردية للحصول على بيانات تعكس تقييم الطلبة لجودة التعليم وفاعلية التخطيط الاستراتيجي</w:t>
      </w:r>
      <w:r w:rsidRPr="00EF1F40">
        <w:rPr>
          <w:rFonts w:ascii="Traditional Arabic" w:eastAsia="Calibri" w:hAnsi="Traditional Arabic" w:cs="Traditional Arabic"/>
          <w:sz w:val="32"/>
          <w:szCs w:val="32"/>
          <w:lang w:val="en-US"/>
        </w:rPr>
        <w:t>.</w:t>
      </w:r>
    </w:p>
    <w:p w14:paraId="72D20B05"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 xml:space="preserve">وأظهرت النتائج أن الخيارات الاستراتيجية السابقة للجهات الحكومية كان لها تأثير ملحوظ في مستوى جودة برامج تقنية المعلومات، لا سيما فيما يتعلق بتعزيز المهارات الأساسية والمعايير الأكاديمية. كما بينت النتائج أن الإنفاق الحكومي أسهم في رفع مستوى البنية التحتية التعليمية إلى حد مقبول، إلا أن هناك قصورا في تبني أساليب التعليم الحديثة، وتوظيف التقنيات الرقمية، وتطوير المناهج بما يتواءم مع التحولات المعاصرة. وأشارت الدراسة إلى أن مستوى </w:t>
      </w:r>
      <w:r w:rsidRPr="00EF1F40">
        <w:rPr>
          <w:rFonts w:ascii="Traditional Arabic" w:eastAsia="Calibri" w:hAnsi="Traditional Arabic" w:cs="Traditional Arabic"/>
          <w:sz w:val="32"/>
          <w:szCs w:val="32"/>
          <w:rtl/>
          <w:lang w:val="en-US"/>
        </w:rPr>
        <w:lastRenderedPageBreak/>
        <w:t>رضا الطلبة عن جودة المختبرات والتجهيزات وتطبيقية المهارات المكتسبة كان متوسطا، مع وجود حاجة ملحة لتحديث المناهج، وتعزيز التدريب التطبيقي، ودعم أعضاء هيئة التدريس ببرامج تطوير مهني مستمرة</w:t>
      </w:r>
      <w:r w:rsidRPr="00EF1F40">
        <w:rPr>
          <w:rFonts w:ascii="Traditional Arabic" w:eastAsia="Calibri" w:hAnsi="Traditional Arabic" w:cs="Traditional Arabic"/>
          <w:sz w:val="32"/>
          <w:szCs w:val="32"/>
          <w:lang w:val="en-US"/>
        </w:rPr>
        <w:t>.</w:t>
      </w:r>
    </w:p>
    <w:p w14:paraId="7EFDB0C7"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وتتفق هذه الدراسة مع الأدبيات التي تؤكد أن التخطيط الاستراتيجي يمثل أداة محورية لتحسين جودة التعليم العالي ورفع كفاءة مخرجاته، إلا أنها تميزت بتركيزها على قطاع تخصصي محدد وهو تعليم تقنية المعلومات في الجامعات الحكومية السعودية، ومن خلال منظور الطلبة أنفسهم. ومع ذلك، فقد اقتصرت على نطاق جغرافي وتخصصي محدد، مما يحد من إمكانية تعميم نتائجها على بقية التخصصات أو المناطق. ومن ثم تبرز فجوة بحثية تتمثل في الحاجة إلى دراسات مقارنة تشمل تخصصات أكاديمية متعددة، وتختبر بصورة كمية العلاقة بين ممارسات التخطيط الاستراتيجي ومؤشرات الأداء المؤسسي وجودة المخرجات التعليمية في سياقات تعليمية أوسع</w:t>
      </w:r>
      <w:r w:rsidRPr="00EF1F40">
        <w:rPr>
          <w:rFonts w:ascii="Traditional Arabic" w:eastAsia="Calibri" w:hAnsi="Traditional Arabic" w:cs="Traditional Arabic"/>
          <w:sz w:val="32"/>
          <w:szCs w:val="32"/>
          <w:lang w:val="en-US"/>
        </w:rPr>
        <w:t>.</w:t>
      </w:r>
    </w:p>
    <w:p w14:paraId="6573CD22"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p>
    <w:p w14:paraId="26918185"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t xml:space="preserve">هدفت دراسة </w:t>
      </w:r>
      <w:r w:rsidRPr="00EF1F40">
        <w:rPr>
          <w:rFonts w:ascii="Traditional Arabic" w:eastAsia="Calibri" w:hAnsi="Traditional Arabic" w:cs="Traditional Arabic"/>
          <w:b/>
          <w:bCs/>
          <w:sz w:val="32"/>
          <w:szCs w:val="32"/>
          <w:lang w:val="en-US"/>
        </w:rPr>
        <w:t>Alotaibi 2023</w:t>
      </w:r>
      <w:r w:rsidRPr="00EF1F40">
        <w:rPr>
          <w:rFonts w:ascii="Traditional Arabic" w:eastAsia="Calibri" w:hAnsi="Traditional Arabic" w:cs="Traditional Arabic"/>
          <w:b/>
          <w:bCs/>
          <w:sz w:val="32"/>
          <w:szCs w:val="32"/>
          <w:lang w:val="en-US" w:bidi="ar-AE"/>
        </w:rPr>
        <w:t>)</w:t>
      </w:r>
      <w:r w:rsidRPr="00EF1F40">
        <w:rPr>
          <w:rFonts w:ascii="Traditional Arabic" w:eastAsia="Calibri" w:hAnsi="Traditional Arabic" w:cs="Traditional Arabic"/>
          <w:b/>
          <w:bCs/>
          <w:sz w:val="32"/>
          <w:szCs w:val="32"/>
          <w:rtl/>
          <w:lang w:val="en-US"/>
        </w:rPr>
        <w:t xml:space="preserve">) بعنوان </w:t>
      </w:r>
      <w:r w:rsidRPr="00EF1F40">
        <w:rPr>
          <w:rFonts w:ascii="Traditional Arabic" w:eastAsia="Calibri" w:hAnsi="Traditional Arabic" w:cs="Traditional Arabic"/>
          <w:b/>
          <w:bCs/>
          <w:sz w:val="32"/>
          <w:szCs w:val="32"/>
          <w:lang w:val="en-US"/>
        </w:rPr>
        <w:t>Strategic Planning Issues and Their Impact on Organizational Performance in the Kingdom of Saudi Arabia’s Public Sector Organizations</w:t>
      </w:r>
      <w:r w:rsidRPr="00EF1F40">
        <w:rPr>
          <w:rFonts w:ascii="Traditional Arabic" w:eastAsia="Calibri" w:hAnsi="Traditional Arabic" w:cs="Traditional Arabic"/>
          <w:sz w:val="32"/>
          <w:szCs w:val="32"/>
          <w:rtl/>
          <w:lang w:val="en-US"/>
        </w:rPr>
        <w:t xml:space="preserve"> إلى تقصي أثر التخطيط الاستراتيجي في الأداء التنظيمي داخل منظمات القطاع العام في المملكة العربية السعودية، كما هدفت إلى تحديد العوامل التنظيمية والاجتماعية والفردية التي تؤثر في تبني التخطيط الاستراتيجي وتشكيل تصورات الموظفين تجاهه. وسعت الدراسة كذلك إلى بناء إطار تفسيري يوضح العلاقة بين استخدام التخطيط الاستراتيجي وتحسين مؤشرات الأداء المؤسسي</w:t>
      </w:r>
      <w:r w:rsidRPr="00EF1F40">
        <w:rPr>
          <w:rFonts w:ascii="Traditional Arabic" w:eastAsia="Calibri" w:hAnsi="Traditional Arabic" w:cs="Traditional Arabic"/>
          <w:sz w:val="32"/>
          <w:szCs w:val="32"/>
          <w:lang w:val="en-US"/>
        </w:rPr>
        <w:t>.</w:t>
      </w:r>
    </w:p>
    <w:p w14:paraId="3722A1EF"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اعتمدت الدراسة على المنهج الكمي، حيث تم تطوير نموذج نظري يجمع بين نموذج قبول التكنولوجيا (</w:t>
      </w:r>
      <w:r w:rsidRPr="00EF1F40">
        <w:rPr>
          <w:rFonts w:ascii="Traditional Arabic" w:eastAsia="Calibri" w:hAnsi="Traditional Arabic" w:cs="Traditional Arabic"/>
          <w:sz w:val="32"/>
          <w:szCs w:val="32"/>
          <w:lang w:val="en-US"/>
        </w:rPr>
        <w:t>TAM</w:t>
      </w:r>
      <w:r w:rsidRPr="00EF1F40">
        <w:rPr>
          <w:rFonts w:ascii="Traditional Arabic" w:eastAsia="Calibri" w:hAnsi="Traditional Arabic" w:cs="Traditional Arabic"/>
          <w:sz w:val="32"/>
          <w:szCs w:val="32"/>
          <w:rtl/>
          <w:lang w:val="en-US"/>
        </w:rPr>
        <w:t>)، والنظرية الموحدة لقبول واستخدام التكنولوجيا (</w:t>
      </w:r>
      <w:r w:rsidRPr="00EF1F40">
        <w:rPr>
          <w:rFonts w:ascii="Traditional Arabic" w:eastAsia="Calibri" w:hAnsi="Traditional Arabic" w:cs="Traditional Arabic"/>
          <w:sz w:val="32"/>
          <w:szCs w:val="32"/>
          <w:lang w:val="en-US"/>
        </w:rPr>
        <w:t>UTAUT</w:t>
      </w:r>
      <w:r w:rsidRPr="00EF1F40">
        <w:rPr>
          <w:rFonts w:ascii="Traditional Arabic" w:eastAsia="Calibri" w:hAnsi="Traditional Arabic" w:cs="Traditional Arabic"/>
          <w:sz w:val="32"/>
          <w:szCs w:val="32"/>
          <w:rtl/>
          <w:lang w:val="en-US"/>
        </w:rPr>
        <w:t>)، ونظرية الفعل المبرر (</w:t>
      </w:r>
      <w:r w:rsidRPr="00EF1F40">
        <w:rPr>
          <w:rFonts w:ascii="Traditional Arabic" w:eastAsia="Calibri" w:hAnsi="Traditional Arabic" w:cs="Traditional Arabic"/>
          <w:sz w:val="32"/>
          <w:szCs w:val="32"/>
          <w:lang w:val="en-US"/>
        </w:rPr>
        <w:t>TRA</w:t>
      </w:r>
      <w:r w:rsidRPr="00EF1F40">
        <w:rPr>
          <w:rFonts w:ascii="Traditional Arabic" w:eastAsia="Calibri" w:hAnsi="Traditional Arabic" w:cs="Traditional Arabic"/>
          <w:sz w:val="32"/>
          <w:szCs w:val="32"/>
          <w:rtl/>
          <w:lang w:val="en-US"/>
        </w:rPr>
        <w:t xml:space="preserve">) لتفسير العوامل المؤثرة </w:t>
      </w:r>
      <w:r w:rsidRPr="00EF1F40">
        <w:rPr>
          <w:rFonts w:ascii="Traditional Arabic" w:eastAsia="Calibri" w:hAnsi="Traditional Arabic" w:cs="Traditional Arabic"/>
          <w:sz w:val="32"/>
          <w:szCs w:val="32"/>
          <w:rtl/>
          <w:lang w:val="en-US"/>
        </w:rPr>
        <w:lastRenderedPageBreak/>
        <w:t xml:space="preserve">في تبني التخطيط الاستراتيجي. وتم جمع البيانات باستخدام استبانة إلكترونية وفق مقياس ليكرت، وزعت على موظفين يمتلكون خبرة في استخدام الخطط الاستراتيجية في ثلاث وزارات حكومية هي وزارة الشؤون البلدية والقروية والإسكان، ووزارة النقل والخدمات اللوجستية، ووزارة البيئة والمياه والزراعة. وقد خضعت الأداة لدراسة استطلاعية على 50 مفردة للتحقق من الصدق والثبات، ثم وزعت 1600 استبانة استرد منها 421، وكان الصالح للتحليل 373 استبانة. واستخدم برنامج </w:t>
      </w:r>
      <w:r w:rsidRPr="00EF1F40">
        <w:rPr>
          <w:rFonts w:ascii="Traditional Arabic" w:eastAsia="Calibri" w:hAnsi="Traditional Arabic" w:cs="Traditional Arabic"/>
          <w:sz w:val="32"/>
          <w:szCs w:val="32"/>
          <w:lang w:val="en-US"/>
        </w:rPr>
        <w:t>SPSS</w:t>
      </w:r>
      <w:r w:rsidRPr="00EF1F40">
        <w:rPr>
          <w:rFonts w:ascii="Traditional Arabic" w:eastAsia="Calibri" w:hAnsi="Traditional Arabic" w:cs="Traditional Arabic"/>
          <w:sz w:val="32"/>
          <w:szCs w:val="32"/>
          <w:rtl/>
          <w:lang w:val="en-US"/>
        </w:rPr>
        <w:t xml:space="preserve"> لإجراء تحليل الانحدار المتعدد واختبار فرضيات الدراسة.</w:t>
      </w:r>
    </w:p>
    <w:p w14:paraId="46AB26C4"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وأظهرت النتائج أن عددا من العوامل التنظيمية، مثل وضوح الأهداف، والتحليل الداخلي والخارجي، وفاعلية التنفيذ، تؤثر تأثيرا معنويا في اتجاهات الموظفين نحو التخطيط الاستراتيجي. كما تبين أن العوامل الاجتماعية، ومنها الثقافة التنظيمية والسياسات الحكومية والضغوط الخارجية، تلعب دورا في تشكيل هذه الاتجاهات، في حين كان للعوامل الفردية كالتدريب والحوافز والمزايا أثر دال في تعزيز تقبل التخطيط الاستراتيجي. كذلك كشفت النتائج عن وجود علاقة ذات دلالة إحصائية بين استخدام التخطيط الاستراتيجي وتحسن مؤشرات الأداء التنظيمي مثل الابتكار، والكفاءة، والربحية، وجودة الخدمات</w:t>
      </w:r>
      <w:r w:rsidRPr="00EF1F40">
        <w:rPr>
          <w:rFonts w:ascii="Traditional Arabic" w:eastAsia="Calibri" w:hAnsi="Traditional Arabic" w:cs="Traditional Arabic"/>
          <w:sz w:val="32"/>
          <w:szCs w:val="32"/>
          <w:lang w:val="en-US"/>
        </w:rPr>
        <w:t>.</w:t>
      </w:r>
    </w:p>
    <w:p w14:paraId="2EFAF7FC"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وتتفق هذه الدراسة مع الأدبيات التي تؤكد أن التخطيط الاستراتيجي يعد محركا أساسيا لتحسين الأداء المؤسسي، إلا أنها تميزت بتقديم إطار نظري تكاملي يجمع عدة نماذج تفسيرية لدراسة تبني التخطيط الاستراتيجي في سياق القطاع العام السعودي. ومع ذلك، فقد ركزت على ثلاث وزارات فقط، مما قد يحد من تعميم النتائج على بقية الجهات الحكومية. ومن ثم تبرز فجوة بحثية تتمثل في الحاجة إلى دراسات أوسع تشمل قطاعات حكومية متعددة، وتختبر نماذج تحليلية أكثر شمولا لقياس أثر التخطيط الاستراتيجي في الأداء المؤسسي عبر بيئات تنظيمية مختلفة</w:t>
      </w:r>
      <w:r w:rsidRPr="00EF1F40">
        <w:rPr>
          <w:rFonts w:ascii="Traditional Arabic" w:eastAsia="Calibri" w:hAnsi="Traditional Arabic" w:cs="Traditional Arabic"/>
          <w:sz w:val="32"/>
          <w:szCs w:val="32"/>
          <w:lang w:val="en-US"/>
        </w:rPr>
        <w:t>.</w:t>
      </w:r>
    </w:p>
    <w:p w14:paraId="6D083CA9" w14:textId="77777777" w:rsidR="00EF1F40" w:rsidRPr="00EF1F40" w:rsidRDefault="00EF1F40" w:rsidP="00EF1F40">
      <w:pPr>
        <w:bidi/>
        <w:rPr>
          <w:rFonts w:ascii="Traditional Arabic" w:eastAsia="Calibri" w:hAnsi="Traditional Arabic" w:cs="Traditional Arabic"/>
          <w:sz w:val="32"/>
          <w:szCs w:val="32"/>
          <w:rtl/>
          <w:lang w:val="en-US"/>
        </w:rPr>
      </w:pPr>
    </w:p>
    <w:p w14:paraId="700C0F7C"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b/>
          <w:bCs/>
          <w:sz w:val="32"/>
          <w:szCs w:val="32"/>
          <w:rtl/>
          <w:lang w:val="en-US"/>
        </w:rPr>
        <w:lastRenderedPageBreak/>
        <w:t>دراسة (الشريف وشعبان، 2022) بعنوان "أثر ممارسة التخطيط الاستراتيجي على تحسين جودة الأداء المؤسسي: دراسة ميدانية بالتطبيق على جامعة القاهرة والمعهد العالي للدراسات التعاونية والإدارية"</w:t>
      </w:r>
      <w:r w:rsidRPr="00EF1F40">
        <w:rPr>
          <w:rFonts w:ascii="Traditional Arabic" w:eastAsia="Calibri" w:hAnsi="Traditional Arabic" w:cs="Traditional Arabic"/>
          <w:sz w:val="32"/>
          <w:szCs w:val="32"/>
          <w:rtl/>
          <w:lang w:val="en-US"/>
        </w:rPr>
        <w:t xml:space="preserve"> هدفت إلى التعرف على أثر ممارسة التخطيط الاستراتيجي في تحسين جودة الأداء المؤسسي، كما هدفت إلى تحليل دور دعم الإدارة العليا في تعزيز فاعلية الممارسات الاستراتيجية داخل المؤسسات التعليمية. واعتمدت الدراسة على المنهج الوصفي التحليلي، حيث تم جمع البيانات من خلال استبانة وزعت باستخدام العينة العشوائية الطبقية على موظفي الإدارة المركزية للجودة والعاملين في القطاعين المالي والموارد البشرية. وقد بلغ عدد الاستبانات الموزعة 152 استبانة، تم استرداد 118 استبانة صالحة للتحليل بنسبة استجابة بلغت 78٪.</w:t>
      </w:r>
    </w:p>
    <w:p w14:paraId="19BAFE10"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 xml:space="preserve">وأظهرت نتائج الدراسة وجود دلالة إحصائية لممارسة التخطيط الاستراتيجي في تحسين جودة الأداء المؤسسي عند مستوى معنوية </w:t>
      </w:r>
      <w:r w:rsidRPr="00EF1F40">
        <w:rPr>
          <w:rFonts w:ascii="Traditional Arabic" w:eastAsia="Calibri" w:hAnsi="Traditional Arabic" w:cs="Traditional Arabic"/>
          <w:b/>
          <w:bCs/>
          <w:sz w:val="32"/>
          <w:szCs w:val="32"/>
          <w:lang w:val="en-US"/>
        </w:rPr>
        <w:t>(</w:t>
      </w:r>
      <w:r w:rsidRPr="00EF1F40">
        <w:rPr>
          <w:rFonts w:ascii="Times New Roman" w:eastAsia="Calibri" w:hAnsi="Times New Roman" w:cs="Times New Roman"/>
          <w:b/>
          <w:bCs/>
          <w:sz w:val="32"/>
          <w:szCs w:val="32"/>
          <w:lang w:val="en-US"/>
        </w:rPr>
        <w:t>α</w:t>
      </w:r>
      <w:r w:rsidRPr="00EF1F40">
        <w:rPr>
          <w:rFonts w:ascii="Traditional Arabic" w:eastAsia="Calibri" w:hAnsi="Traditional Arabic" w:cs="Traditional Arabic"/>
          <w:b/>
          <w:bCs/>
          <w:sz w:val="32"/>
          <w:szCs w:val="32"/>
          <w:lang w:val="en-US"/>
        </w:rPr>
        <w:t xml:space="preserve"> </w:t>
      </w:r>
      <w:r w:rsidRPr="00EF1F40">
        <w:rPr>
          <w:rFonts w:ascii="Times New Roman" w:eastAsia="Calibri" w:hAnsi="Times New Roman" w:cs="Times New Roman"/>
          <w:b/>
          <w:bCs/>
          <w:sz w:val="32"/>
          <w:szCs w:val="32"/>
          <w:lang w:val="en-US"/>
        </w:rPr>
        <w:t>≤</w:t>
      </w:r>
      <w:r w:rsidRPr="00EF1F40">
        <w:rPr>
          <w:rFonts w:ascii="Traditional Arabic" w:eastAsia="Calibri" w:hAnsi="Traditional Arabic" w:cs="Traditional Arabic"/>
          <w:b/>
          <w:bCs/>
          <w:sz w:val="32"/>
          <w:szCs w:val="32"/>
          <w:lang w:val="en-US"/>
        </w:rPr>
        <w:t xml:space="preserve"> 0.05)</w:t>
      </w:r>
      <w:r w:rsidRPr="00EF1F40">
        <w:rPr>
          <w:rFonts w:ascii="Traditional Arabic" w:eastAsia="Calibri" w:hAnsi="Traditional Arabic" w:cs="Traditional Arabic"/>
          <w:sz w:val="32"/>
          <w:szCs w:val="32"/>
          <w:rtl/>
          <w:lang w:val="en-US"/>
        </w:rPr>
        <w:t>، كما بينت النتائج أن مستوى ممارسة التخطيط الاستراتيجي جاء بدرجة موافقة محايدة، مما يشير إلى الحاجة لتعزيز تطبيق الممارسات الاستراتيجية داخل المؤسسات التعليمية. كذلك أكدت الدراسة أهمية دعم الإدارة العليا وتعميق وعي المديرين بمهارات التخطيط الاستراتيجي، من خلال تنمية قدراتهم على إعداد الخطط وتنفيذها ومتابعتها وتقييمها بصورة مستمرة</w:t>
      </w:r>
      <w:r w:rsidRPr="00EF1F40">
        <w:rPr>
          <w:rFonts w:ascii="Traditional Arabic" w:eastAsia="Calibri" w:hAnsi="Traditional Arabic" w:cs="Traditional Arabic"/>
          <w:sz w:val="32"/>
          <w:szCs w:val="32"/>
          <w:lang w:val="en-US"/>
        </w:rPr>
        <w:t>.</w:t>
      </w:r>
    </w:p>
    <w:p w14:paraId="35B16296"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lang w:val="en-US"/>
        </w:rPr>
        <w:t>وتتفق هذه الدراسة مع الأدبيات التي تؤكد أن التخطيط الاستراتيجي يمثل أداة رئيسة لتحسين الأداء المؤسسي، إلا أنها تميزت بتطبيقها في قطاع التعليم العالي وبتركيزها على جودة الأداء بوصفها مخرجا تنظيميا. ومع ذلك، فقد أظهرت النتائج مستوى ممارسة متوسطا، مما يعكس وجود فجوة تطبيقية بين تبني التخطيط الاستراتيجي وتحقيق أثره الكامل في الأداء. ومن ثم تبرز فجوة بحثية تتمثل في الحاجة إلى دراسات أعمق تستكشف العوامل التي تعزز فاعلية التخطيط الاستراتيجي وتفسر تباين تأثيره على الأداء المؤسسي في بيئات تنظيمية مختلفة</w:t>
      </w:r>
      <w:r w:rsidRPr="00EF1F40">
        <w:rPr>
          <w:rFonts w:ascii="Traditional Arabic" w:eastAsia="Calibri" w:hAnsi="Traditional Arabic" w:cs="Traditional Arabic"/>
          <w:sz w:val="32"/>
          <w:szCs w:val="32"/>
          <w:lang w:val="en-US"/>
        </w:rPr>
        <w:t>.</w:t>
      </w:r>
    </w:p>
    <w:p w14:paraId="711FE5DD"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p>
    <w:p w14:paraId="6FC23329"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t>دراسة (اليماحي وعبد السلام، 2022) بعنوان "أثر القوة والاستراتيجية في مكانة الدولة عالميا: دراسة تطبيقية على دولة الإمارات العربية المتحدة"</w:t>
      </w:r>
      <w:r w:rsidRPr="00EF1F40">
        <w:rPr>
          <w:rFonts w:ascii="Traditional Arabic" w:eastAsia="Calibri" w:hAnsi="Traditional Arabic" w:cs="Traditional Arabic"/>
          <w:sz w:val="32"/>
          <w:szCs w:val="32"/>
          <w:rtl/>
          <w:lang w:val="en-US"/>
        </w:rPr>
        <w:t xml:space="preserve"> هدفت إلى التعرف على أثر القوة الوطنية والاستراتيجية في تعزيز مكانة الدولة على المستوى الإقليمي والدولي، كما هدفت إلى تحليل الآلية التي اعتمدتها دولة الإمارات العربية المتحدة في بناء استراتيجيتها وتخطيطها الاستراتيجي قصير ومتوسط وطويل الأمد، ومدى إسهام ذلك في وصولها إلى مصاف الدول المتقدمة. واعتمدت الدراسة على المنهج الوصفي التحليلي، من خلال استعراض وتحليل عدد من المناهج والنماذج المستخدمة في قياس قوة الدولة، وتطبيقها على حالة دولة الإمارات العربية المتحدة، إلى جانب تحليل خططها الاستراتيجية المستقبلية في المجالات الاقتصادية والسياسية والدبلوماسية</w:t>
      </w:r>
      <w:r w:rsidRPr="00EF1F40">
        <w:rPr>
          <w:rFonts w:ascii="Traditional Arabic" w:eastAsia="Calibri" w:hAnsi="Traditional Arabic" w:cs="Traditional Arabic"/>
          <w:sz w:val="32"/>
          <w:szCs w:val="32"/>
          <w:lang w:val="en-US"/>
        </w:rPr>
        <w:t>.</w:t>
      </w:r>
    </w:p>
    <w:p w14:paraId="0831B10C"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وأظهرت نتائج الدراسة أن دولة الإمارات العربية المتحدة تمكنت من تحقيق عدد من عناصر قوة الدولة على المستويين الإقليمي والدولي، من خلال بناء مؤسسات سياسية واجتماعية وتعليمية وإعلامية وصحية ودفاعية متكاملة. كما بينت النتائج أن الدولة وازنت بين قدراتها وإمكاناتها وأهدافها الاستراتيجية عبر تبني سياسة خارجية مرنة قائمة على تسوية النزاعات بالطرق السلمية، وتعزيز حضورها في المنظمات الدولية والإقليمية، وتوظيف قدراتها الدبلوماسية والاقتصادية والبشرية في دعم مكانتها العالمية</w:t>
      </w:r>
      <w:r w:rsidRPr="00EF1F40">
        <w:rPr>
          <w:rFonts w:ascii="Traditional Arabic" w:eastAsia="Calibri" w:hAnsi="Traditional Arabic" w:cs="Traditional Arabic"/>
          <w:sz w:val="32"/>
          <w:szCs w:val="32"/>
          <w:lang w:val="en-US"/>
        </w:rPr>
        <w:t>.</w:t>
      </w:r>
    </w:p>
    <w:p w14:paraId="7561C44A"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lang w:val="en-US"/>
        </w:rPr>
        <w:t xml:space="preserve">وتتفق هذه الدراسة مع الأدبيات التي تؤكد أهمية التخطيط الاستراتيجي طويل المدى في تعزيز مكانة الدول، إلا أنها تركز على البعد الكلي للدولة دون التعمق في تحليل آليات التنفيذ المؤسسي أو قياس أثر السياسات الاستراتيجية على مستوى القطاعات أو المؤسسات بشكل تفصيلي. ومن ثم تبرز فجوة بحثية تتمثل في الحاجة إلى دراسات تطبيقية </w:t>
      </w:r>
      <w:r w:rsidRPr="00EF1F40">
        <w:rPr>
          <w:rFonts w:ascii="Traditional Arabic" w:eastAsia="Calibri" w:hAnsi="Traditional Arabic" w:cs="Traditional Arabic"/>
          <w:sz w:val="32"/>
          <w:szCs w:val="32"/>
          <w:rtl/>
          <w:lang w:val="en-US"/>
        </w:rPr>
        <w:lastRenderedPageBreak/>
        <w:t>تقيس العلاقة بين التخطيط الاستراتيجي والأداء المؤسسي أو التنموي على مستوى محدد، بما يتيح فهما أعمق لآليات تحويل الاستراتيجية الوطنية إلى نتائج عملية قابلة للقياس</w:t>
      </w:r>
      <w:r w:rsidRPr="00EF1F40">
        <w:rPr>
          <w:rFonts w:ascii="Traditional Arabic" w:eastAsia="Calibri" w:hAnsi="Traditional Arabic" w:cs="Traditional Arabic"/>
          <w:sz w:val="32"/>
          <w:szCs w:val="32"/>
          <w:lang w:val="en-US"/>
        </w:rPr>
        <w:t>.</w:t>
      </w:r>
    </w:p>
    <w:p w14:paraId="42B44E28" w14:textId="77777777" w:rsidR="00EF1F40" w:rsidRPr="00EF1F40" w:rsidRDefault="00EF1F40" w:rsidP="00EF1F40">
      <w:pPr>
        <w:bidi/>
        <w:spacing w:line="360" w:lineRule="auto"/>
        <w:jc w:val="both"/>
        <w:rPr>
          <w:rFonts w:ascii="Traditional Arabic" w:eastAsia="Calibri" w:hAnsi="Traditional Arabic" w:cs="Traditional Arabic"/>
          <w:b/>
          <w:bCs/>
          <w:sz w:val="32"/>
          <w:szCs w:val="32"/>
          <w:rtl/>
          <w:lang w:val="en-US"/>
        </w:rPr>
      </w:pPr>
    </w:p>
    <w:p w14:paraId="1A27375D"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b/>
          <w:bCs/>
          <w:sz w:val="32"/>
          <w:szCs w:val="32"/>
          <w:rtl/>
          <w:lang w:val="en-US"/>
        </w:rPr>
        <w:t>دراسة (السلمي، 2021) بعنوان "دور التخطيط الاستراتيجي في تطوير الأداء الوظيفي في المؤسسات الأمنية"</w:t>
      </w:r>
      <w:r w:rsidRPr="00EF1F40">
        <w:rPr>
          <w:rFonts w:ascii="Traditional Arabic" w:eastAsia="Calibri" w:hAnsi="Traditional Arabic" w:cs="Traditional Arabic"/>
          <w:sz w:val="32"/>
          <w:szCs w:val="32"/>
          <w:rtl/>
          <w:lang w:val="en-US"/>
        </w:rPr>
        <w:t xml:space="preserve"> هدفت إلى التعرف على دور التخطيط الاستراتيجي في تحسين مستوى الأداء الوظيفي داخل المؤسسات الأمنية، كما هدفت إلى تحديد مقومات فاعلية التخطيط الاستراتيجي والمعوقات التي قد تحد من إسهامه في تطوير الأداء الوظيفي. واعتمدت الدراسة على المنهج الوصفي التحليلي القائم على تحليل أدبيات الموضوع والمقارنة والاستقراء للوصول إلى استنتاجات علمية تدعم أهداف الدراسة</w:t>
      </w:r>
      <w:r w:rsidRPr="00EF1F40">
        <w:rPr>
          <w:rFonts w:ascii="Traditional Arabic" w:eastAsia="Calibri" w:hAnsi="Traditional Arabic" w:cs="Traditional Arabic"/>
          <w:sz w:val="32"/>
          <w:szCs w:val="32"/>
          <w:lang w:val="en-US"/>
        </w:rPr>
        <w:t>.</w:t>
      </w:r>
    </w:p>
    <w:p w14:paraId="6D83B4A9"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وأظهرت نتائج الدراسة وجود علاقة إيجابية بين التخطيط الاستراتيجي وتطوير الأداء الوظيفي في المؤسسات الأمنية، كما بينت أن فاعلية التخطيط الاستراتيجي ترتبط بتوافر عدد من المقومات التنظيمية والإدارية، في حين تمثلت أبرز المعوقات في ضعف تطبيق الممارسات الإدارية الحديثة وعدم كفاية التأهيل في مجال التخطيط. كذلك توصلت الدراسة إلى تصور استراتيجي مقترح لتفعيل دور التخطيط الاستراتيجي في تطوير الأداء الوظيفي. وأوصت بضرورة تبني تخطيط استراتيجي مرن قابل للتعديل وفقا للمتغيرات، والاهتمام بتدريب الموظفين وتنميتهم، وتطبيق نظم إدارة الأداء الحديثة، واستخدام الأساليب المعاصرة في تحليل الوظائف وتصميم الهياكل التنظيمية، إلى جانب ترسيخ ثقافة العمل المؤسسي بما يدعم تحقيق مستويات الأداء المستهدفة</w:t>
      </w:r>
      <w:r w:rsidRPr="00EF1F40">
        <w:rPr>
          <w:rFonts w:ascii="Traditional Arabic" w:eastAsia="Calibri" w:hAnsi="Traditional Arabic" w:cs="Traditional Arabic"/>
          <w:sz w:val="32"/>
          <w:szCs w:val="32"/>
          <w:lang w:val="en-US"/>
        </w:rPr>
        <w:t>.</w:t>
      </w:r>
    </w:p>
    <w:p w14:paraId="70B6BB57"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lang w:val="en-US"/>
        </w:rPr>
        <w:t xml:space="preserve">وتتفق هذه الدراسة مع الأدبيات التي تؤكد أهمية التخطيط الاستراتيجي كمدخل لتحسين الأداء التنظيمي، إلا أنها ركزت على المؤسسات الأمنية، مما قد يحد من إمكانية تعميم نتائجها على قطاعات أخرى. كما أنها اعتمدت بصورة </w:t>
      </w:r>
      <w:r w:rsidRPr="00EF1F40">
        <w:rPr>
          <w:rFonts w:ascii="Traditional Arabic" w:eastAsia="Calibri" w:hAnsi="Traditional Arabic" w:cs="Traditional Arabic"/>
          <w:sz w:val="32"/>
          <w:szCs w:val="32"/>
          <w:rtl/>
          <w:lang w:val="en-US"/>
        </w:rPr>
        <w:lastRenderedPageBreak/>
        <w:t>أساسية على التحليل النظري دون التوسع في القياس الميداني للعلاقات بين متغيرات الدراسة. ومن ثم تبرز فجوة بحثية تتمثل في الحاجة إلى دراسات تطبيقية تتناول أثر التخطيط الاستراتيجي على الأداء في سياقات تنظيمية مختلفة، وباستخدام أدوات كمية تسهم في تقديم نتائج أكثر دقة وقابلية للتعميم</w:t>
      </w:r>
      <w:r w:rsidRPr="00EF1F40">
        <w:rPr>
          <w:rFonts w:ascii="Traditional Arabic" w:eastAsia="Calibri" w:hAnsi="Traditional Arabic" w:cs="Traditional Arabic"/>
          <w:sz w:val="32"/>
          <w:szCs w:val="32"/>
          <w:lang w:val="en-US"/>
        </w:rPr>
        <w:t>.</w:t>
      </w:r>
    </w:p>
    <w:p w14:paraId="2D3DF3DD"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p>
    <w:p w14:paraId="3CC1377B"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b/>
          <w:bCs/>
          <w:sz w:val="32"/>
          <w:szCs w:val="32"/>
          <w:rtl/>
          <w:lang w:val="en-US"/>
        </w:rPr>
        <w:t>دراسة (الحاتمي، 2020) بعنوان "التخطيط الاستراتيجي وأثره في الأداء المؤسسي: المرونة الاستراتيجية متغيرا وسيطا – دراسة ميدانية على الهيئات العامة في سلطنة عمان"</w:t>
      </w:r>
      <w:r w:rsidRPr="00EF1F40">
        <w:rPr>
          <w:rFonts w:ascii="Traditional Arabic" w:eastAsia="Calibri" w:hAnsi="Traditional Arabic" w:cs="Traditional Arabic"/>
          <w:sz w:val="32"/>
          <w:szCs w:val="32"/>
          <w:rtl/>
          <w:lang w:val="en-US"/>
        </w:rPr>
        <w:t xml:space="preserve"> هدفت إلى التعرف على أثر التخطيط الاستراتيجي في كل من الأداء المؤسسي والمرونة الاستراتيجية داخل الهيئات العامة بسلطنة عمان، كما هدفت إلى اختبار الدور الوسيط للمرونة الاستراتيجية في العلاقة بين التخطيط الاستراتيجي والأداء المؤسسي. واعتمدت الدراسة على المنهج الوصفي التحليلي، حيث تم تطوير استبانة وتوزيعها على عينة مكونة من 207 موظفين من القيادات الإدارية العليا والوسطى والإشرافية، تم استرداد 177 استبانة صالحة للتحليل بنسبة بلغت 85.5٪. ولتحليل البيانات استخدمت الدراسة الإحصاء الوصفي، وتحليل الانحدار الخطي المتعدد والمتدرج، بالإضافة إلى تحليل المسار باستخدام برنامج </w:t>
      </w:r>
      <w:r w:rsidRPr="00EF1F40">
        <w:rPr>
          <w:rFonts w:ascii="Traditional Arabic" w:eastAsia="Calibri" w:hAnsi="Traditional Arabic" w:cs="Traditional Arabic"/>
          <w:sz w:val="32"/>
          <w:szCs w:val="32"/>
          <w:lang w:val="en-US"/>
        </w:rPr>
        <w:t>AMOS</w:t>
      </w:r>
      <w:r w:rsidRPr="00EF1F40">
        <w:rPr>
          <w:rFonts w:ascii="Traditional Arabic" w:eastAsia="Calibri" w:hAnsi="Traditional Arabic" w:cs="Traditional Arabic"/>
          <w:sz w:val="32"/>
          <w:szCs w:val="32"/>
          <w:rtl/>
          <w:lang w:val="en-US"/>
        </w:rPr>
        <w:t xml:space="preserve"> لاختبار فرضيات الدراسة.</w:t>
      </w:r>
    </w:p>
    <w:p w14:paraId="5B7A4D7D"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 xml:space="preserve">وأظهرت نتائج الدراسة وجود أثر دال إحصائيا للتخطيط الاستراتيجي في كل من الأداء المؤسسي والمرونة الاستراتيجية، كما بينت وجود تأثير معنوي للمرونة الاستراتيجية في تحسين الأداء المؤسسي. كذلك أكدت النتائج وجود أثر غير مباشر للتخطيط الاستراتيجي على الأداء من خلال المرونة الاستراتيجية بوصفها متغيرا وسيطا، مما يعكس أهمية تعزيز قدرة المؤسسات على التكيف مع المتغيرات البيئية. وأوصت الدراسة بضرورة زيادة اهتمام الهيئات </w:t>
      </w:r>
      <w:r w:rsidRPr="00EF1F40">
        <w:rPr>
          <w:rFonts w:ascii="Traditional Arabic" w:eastAsia="Calibri" w:hAnsi="Traditional Arabic" w:cs="Traditional Arabic"/>
          <w:sz w:val="32"/>
          <w:szCs w:val="32"/>
          <w:rtl/>
          <w:lang w:val="en-US"/>
        </w:rPr>
        <w:lastRenderedPageBreak/>
        <w:t>العامة بممارسة التخطيط الاستراتيجي لما له من دور في رفع مستوى الأداء وتحسين القدرة التنظيمية على الاستجابة للتغيرات</w:t>
      </w:r>
      <w:r w:rsidRPr="00EF1F40">
        <w:rPr>
          <w:rFonts w:ascii="Traditional Arabic" w:eastAsia="Calibri" w:hAnsi="Traditional Arabic" w:cs="Traditional Arabic"/>
          <w:sz w:val="32"/>
          <w:szCs w:val="32"/>
          <w:lang w:val="en-US"/>
        </w:rPr>
        <w:t>.</w:t>
      </w:r>
    </w:p>
    <w:p w14:paraId="7DFB8C26"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وتتفق هذه الدراسة مع الأدبيات التي تؤكد الدور المحوري للتخطيط الاستراتيجي في تحسين الأداء المؤسسي، إلا أنها تميزت بإدخال المرونة الاستراتيجية كمتغير وسيط، الأمر الذي يسهم في تفسير آلية تأثير التخطيط على الأداء بصورة أكثر عمقا. ومع ذلك، فقد اقتصرت على الهيئات العامة في سلطنة عمان، مما قد يحد من تعميم نتائجها على قطاعات أخرى. ومن ثم تبرز فجوة بحثية تتمثل في الحاجة إلى دراسات تستكشف متغيرات وسيطة أو معدلة أخرى قد تعزز العلاقة بين التخطيط الاستراتيجي والأداء المؤسسي في بيئات تنظيمية متنوعة</w:t>
      </w:r>
      <w:r w:rsidRPr="00EF1F40">
        <w:rPr>
          <w:rFonts w:ascii="Traditional Arabic" w:eastAsia="Calibri" w:hAnsi="Traditional Arabic" w:cs="Traditional Arabic"/>
          <w:sz w:val="32"/>
          <w:szCs w:val="32"/>
          <w:lang w:val="en-US"/>
        </w:rPr>
        <w:t>.</w:t>
      </w:r>
    </w:p>
    <w:p w14:paraId="363C828B"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p>
    <w:p w14:paraId="4A68E82F"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t>دراسة (</w:t>
      </w:r>
      <w:r w:rsidRPr="00EF1F40">
        <w:rPr>
          <w:rFonts w:ascii="Traditional Arabic" w:eastAsia="Calibri" w:hAnsi="Traditional Arabic" w:cs="Traditional Arabic"/>
          <w:b/>
          <w:bCs/>
          <w:sz w:val="32"/>
          <w:szCs w:val="32"/>
          <w:lang w:val="en-US"/>
        </w:rPr>
        <w:t>Alosani et al., 2020</w:t>
      </w:r>
      <w:r w:rsidRPr="00EF1F40">
        <w:rPr>
          <w:rFonts w:ascii="Traditional Arabic" w:eastAsia="Calibri" w:hAnsi="Traditional Arabic" w:cs="Traditional Arabic"/>
          <w:b/>
          <w:bCs/>
          <w:sz w:val="32"/>
          <w:szCs w:val="32"/>
          <w:rtl/>
          <w:lang w:val="en-US"/>
        </w:rPr>
        <w:t>) بعنوان "تأثير الابتكار والتخطيط الاستراتيجي على الأداء التنظيمي لشرطة دبي"</w:t>
      </w:r>
      <w:r w:rsidRPr="00EF1F40">
        <w:rPr>
          <w:rFonts w:ascii="Traditional Arabic" w:eastAsia="Calibri" w:hAnsi="Traditional Arabic" w:cs="Traditional Arabic"/>
          <w:sz w:val="32"/>
          <w:szCs w:val="32"/>
          <w:rtl/>
          <w:lang w:val="en-US"/>
        </w:rPr>
        <w:t xml:space="preserve"> هدفت إلى تحليل التأثير المشترك لكل من الابتكار والتخطيط الاستراتيجي في تحسين الأداء التنظيمي، كما هدفت إلى اختبار النموذج المفترض الذي يربط بين هذه المتغيرات داخل بيئة العمل الشرطي. واعتمدت الدراسة على المنهج الكمي ذي الطابع التجريبي، حيث تم استخدام استبانة مسحية لجمع البيانات من العاملين في الإدارة العامة للجودة الشاملة بشرطة دبي. وقد بلغ عدد الاستبانات الموزعة 150 استبانة، في حين تم استرداد 95 استبانة صالحة للتحليل.</w:t>
      </w:r>
    </w:p>
    <w:p w14:paraId="35A03D2C"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 xml:space="preserve">وأظهرت النتائج الإحصائية وجود تأثير إيجابي ذي دلالة معنوية لكل من التخطيط الاستراتيجي والابتكار على الأداء التنظيمي، مما يشير إلى أهمية تبني ممارسات إدارية حديثة تجمع بين التخطيط طويل المدى وتعزيز الابتكار لتحقيق </w:t>
      </w:r>
      <w:r w:rsidRPr="00EF1F40">
        <w:rPr>
          <w:rFonts w:ascii="Traditional Arabic" w:eastAsia="Calibri" w:hAnsi="Traditional Arabic" w:cs="Traditional Arabic"/>
          <w:sz w:val="32"/>
          <w:szCs w:val="32"/>
          <w:rtl/>
          <w:lang w:val="en-US"/>
        </w:rPr>
        <w:lastRenderedPageBreak/>
        <w:t>مستويات مرتفعة من الكفاءة التنظيمية. كما أكدت النتائج فاعلية النموذج المقترح في تفسير العلاقة بين المتغيرات، بما يدعم توجه المؤسسات نحو دمج الابتكار ضمن عملياتها الاستراتيجية</w:t>
      </w:r>
      <w:r w:rsidRPr="00EF1F40">
        <w:rPr>
          <w:rFonts w:ascii="Traditional Arabic" w:eastAsia="Calibri" w:hAnsi="Traditional Arabic" w:cs="Traditional Arabic"/>
          <w:sz w:val="32"/>
          <w:szCs w:val="32"/>
          <w:lang w:val="en-US"/>
        </w:rPr>
        <w:t>.</w:t>
      </w:r>
    </w:p>
    <w:p w14:paraId="5F57A29D"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lang w:val="en-US"/>
        </w:rPr>
        <w:t>وتتفق هذه الدراسة مع الأدبيات التي تؤكد الدور المحوري للتخطيط الاستراتيجي في تحسين الأداء، إلا أنها تميزت بدمج متغير الابتكار بوصفه عاملا داعما للأداء التنظيمي. ومع ذلك، فقد اقتصرت على مؤسسة أمنية واحدة، مما قد يحد من تعميم نتائجها على قطاعات تنظيمية أخرى. ومن ثم تبرز فجوة بحثية تتمثل في الحاجة إلى توسيع نطاق البحث ليشمل بيئات تنظيمية متعددة، ودراسة أثر التخطيط الاستراتيجي بصورة أكثر استقلالا للكشف عن إسهامه المباشر في تحسين الأداء المؤسسي</w:t>
      </w:r>
      <w:r w:rsidRPr="00EF1F40">
        <w:rPr>
          <w:rFonts w:ascii="Traditional Arabic" w:eastAsia="Calibri" w:hAnsi="Traditional Arabic" w:cs="Traditional Arabic"/>
          <w:sz w:val="32"/>
          <w:szCs w:val="32"/>
          <w:lang w:val="en-US"/>
        </w:rPr>
        <w:t>.</w:t>
      </w:r>
    </w:p>
    <w:p w14:paraId="400654E0"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p>
    <w:p w14:paraId="4DF2E82C"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t>دراسة (</w:t>
      </w:r>
      <w:r w:rsidRPr="00EF1F40">
        <w:rPr>
          <w:rFonts w:ascii="Traditional Arabic" w:eastAsia="Calibri" w:hAnsi="Traditional Arabic" w:cs="Traditional Arabic"/>
          <w:b/>
          <w:bCs/>
          <w:sz w:val="32"/>
          <w:szCs w:val="32"/>
          <w:lang w:val="en-US"/>
        </w:rPr>
        <w:t>Asbari et al., 2025</w:t>
      </w:r>
      <w:r w:rsidRPr="00EF1F40">
        <w:rPr>
          <w:rFonts w:ascii="Traditional Arabic" w:eastAsia="Calibri" w:hAnsi="Traditional Arabic" w:cs="Traditional Arabic"/>
          <w:b/>
          <w:bCs/>
          <w:sz w:val="32"/>
          <w:szCs w:val="32"/>
          <w:rtl/>
          <w:lang w:val="en-US"/>
        </w:rPr>
        <w:t>) بعنوان “</w:t>
      </w:r>
      <w:r w:rsidRPr="00EF1F40">
        <w:rPr>
          <w:rFonts w:ascii="Traditional Arabic" w:eastAsia="Calibri" w:hAnsi="Traditional Arabic" w:cs="Traditional Arabic"/>
          <w:b/>
          <w:bCs/>
          <w:sz w:val="32"/>
          <w:szCs w:val="32"/>
          <w:lang w:val="en-US"/>
        </w:rPr>
        <w:t>Integrating Strategic Management into Academic Administration: Enhancing Institutional Performance in Universities</w:t>
      </w:r>
      <w:r w:rsidRPr="00EF1F40">
        <w:rPr>
          <w:rFonts w:ascii="Traditional Arabic" w:eastAsia="Calibri" w:hAnsi="Traditional Arabic" w:cs="Traditional Arabic"/>
          <w:sz w:val="32"/>
          <w:szCs w:val="32"/>
          <w:rtl/>
          <w:lang w:val="en-US"/>
        </w:rPr>
        <w:t>” هدفت إلى استكشاف ديناميكيات دمج الإدارة الاستراتيجية في الإدارة الأكاديمية، وبيان أثر هذا التكامل في تحسين الأداء المؤسسي في الجامعات. كما هدفت إلى تحليل دور القيادة الاستراتيجية، وآليات المواءمة الاستراتيجية، والتمكين الرقمي في دعم العمليات الأكاديمية وتعزيز الاستجابة للتغيرات التنظيمية. واعتمدت الدراسة على المنهج النوعي متعدد الحالات، حيث تم جمع البيانات من عدد من الجامعات الإندونيسية باستخدام المقابلات شبه المنظمة، وتحليل الوثائق، ومجموعات النقاش المركزة، ثم تحليلها وفق أسلوب التحليل الموضوعي ومبادئ النظرية المجذرة</w:t>
      </w:r>
      <w:r w:rsidRPr="00EF1F40">
        <w:rPr>
          <w:rFonts w:ascii="Traditional Arabic" w:eastAsia="Calibri" w:hAnsi="Traditional Arabic" w:cs="Traditional Arabic"/>
          <w:sz w:val="32"/>
          <w:szCs w:val="32"/>
          <w:lang w:val="en-US"/>
        </w:rPr>
        <w:t>.</w:t>
      </w:r>
    </w:p>
    <w:p w14:paraId="7AC1AECE"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lastRenderedPageBreak/>
        <w:t>وأظهرت نتائج الدراسة أن التكامل الاستراتيجي يسهم في تحقيق الاتساق المؤسسي وتعزيز القدرة على التكيف مع المتغيرات، كما يؤدي إلى تحسين مؤشرات الأداء الرئيسة مثل الاعتماد الأكاديمي، والإنتاج البحثي، ورضا أصحاب المصلحة. وبينت النتائج أن القيادة تؤدي دورا محوريا في الربط بين التوجه الاستراتيجي والتنفيذ الإداري، في حين تدعم الأدوات الرقمية الشفافية وتسهم في تحسين عملية اتخاذ القرار. وعلى الرغم من ذلك، كشفت الدراسة عن وجود تحديات تنظيمية وثقافية، من أبرزها ضعف الثقافة الاستراتيجية ووجود هياكل إدارية مجزأة، إلا أن المؤسسات التي تتبنى نهجا تشاركيا وتكيفيا تظهر مستوى أعلى من النضج الاستراتيجي</w:t>
      </w:r>
      <w:r w:rsidRPr="00EF1F40">
        <w:rPr>
          <w:rFonts w:ascii="Traditional Arabic" w:eastAsia="Calibri" w:hAnsi="Traditional Arabic" w:cs="Traditional Arabic"/>
          <w:sz w:val="32"/>
          <w:szCs w:val="32"/>
          <w:lang w:val="en-US"/>
        </w:rPr>
        <w:t>.</w:t>
      </w:r>
    </w:p>
    <w:p w14:paraId="735C1855"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lang w:val="en-US"/>
        </w:rPr>
        <w:t>وتتفق هذه الدراسة مع الأدبيات التي تؤكد أهمية الإدارة الاستراتيجية في تحسين الأداء المؤسسي، إلا أنها تميزت بتقديم إطار متعدد المستويات لدمج الاستراتيجية في سير العمل الأكاديمي. ومع ذلك، فقد اعتمدت على المنهج النوعي، مما يحد من إمكانية تعميم نتائجها إحصائيا. ومن ثم تبرز فجوة بحثية تتمثل في الحاجة إلى دراسات كمية تختبر أثر التكامل الاستراتيجي في الأداء المؤسسي باستخدام نماذج تحليلية تسمح بقياس قوة العلاقات بين المتغيرات في سياقات تعليمية مختلفة</w:t>
      </w:r>
      <w:r w:rsidRPr="00EF1F40">
        <w:rPr>
          <w:rFonts w:ascii="Traditional Arabic" w:eastAsia="Calibri" w:hAnsi="Traditional Arabic" w:cs="Traditional Arabic"/>
          <w:sz w:val="32"/>
          <w:szCs w:val="32"/>
          <w:lang w:val="en-US"/>
        </w:rPr>
        <w:t>.</w:t>
      </w:r>
    </w:p>
    <w:p w14:paraId="2F1E6CB1"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p>
    <w:p w14:paraId="3D3C86DC"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t xml:space="preserve">هدفت دراسة </w:t>
      </w:r>
      <w:r w:rsidRPr="00EF1F40">
        <w:rPr>
          <w:rFonts w:ascii="Traditional Arabic" w:eastAsia="Calibri" w:hAnsi="Traditional Arabic" w:cs="Traditional Arabic"/>
          <w:b/>
          <w:bCs/>
          <w:sz w:val="32"/>
          <w:szCs w:val="32"/>
          <w:lang w:val="en-US"/>
        </w:rPr>
        <w:t>Molete et al. 2025</w:t>
      </w:r>
      <w:r w:rsidRPr="00EF1F40">
        <w:rPr>
          <w:rFonts w:ascii="Traditional Arabic" w:eastAsia="Calibri" w:hAnsi="Traditional Arabic" w:cs="Traditional Arabic"/>
          <w:b/>
          <w:bCs/>
          <w:sz w:val="32"/>
          <w:szCs w:val="32"/>
          <w:lang w:val="en-US" w:bidi="ar-AE"/>
        </w:rPr>
        <w:t>)</w:t>
      </w:r>
      <w:r w:rsidRPr="00EF1F40">
        <w:rPr>
          <w:rFonts w:ascii="Traditional Arabic" w:eastAsia="Calibri" w:hAnsi="Traditional Arabic" w:cs="Traditional Arabic"/>
          <w:b/>
          <w:bCs/>
          <w:sz w:val="32"/>
          <w:szCs w:val="32"/>
          <w:rtl/>
          <w:lang w:val="en-US"/>
        </w:rPr>
        <w:t xml:space="preserve">) بعنوان </w:t>
      </w:r>
      <w:r w:rsidRPr="00EF1F40">
        <w:rPr>
          <w:rFonts w:ascii="Traditional Arabic" w:eastAsia="Calibri" w:hAnsi="Traditional Arabic" w:cs="Traditional Arabic"/>
          <w:b/>
          <w:bCs/>
          <w:sz w:val="32"/>
          <w:szCs w:val="32"/>
          <w:lang w:val="en-US"/>
        </w:rPr>
        <w:t>The Impact of IT Strategic Planning Process on SME Performance: A Systematic Review</w:t>
      </w:r>
      <w:r w:rsidRPr="00EF1F40">
        <w:rPr>
          <w:rFonts w:ascii="Traditional Arabic" w:eastAsia="Calibri" w:hAnsi="Traditional Arabic" w:cs="Traditional Arabic"/>
          <w:sz w:val="32"/>
          <w:szCs w:val="32"/>
          <w:rtl/>
          <w:lang w:val="en-US"/>
        </w:rPr>
        <w:t xml:space="preserve"> إلى تحليل أثر التخطيط الاستراتيجي لتكنولوجيا المعلومات في أداء المشروعات الصغيرة والمتوسطة، كما هدفت إلى تجميع الأدلة العلمية المتعلقة بدور هذا النوع من التخطيط في تحسين الكفاءة التشغيلية، ودعم اتخاذ القرار، وتعزيز الابتكار وتحقيق النمو المستدام</w:t>
      </w:r>
      <w:r w:rsidRPr="00EF1F40">
        <w:rPr>
          <w:rFonts w:ascii="Traditional Arabic" w:eastAsia="Calibri" w:hAnsi="Traditional Arabic" w:cs="Traditional Arabic"/>
          <w:sz w:val="32"/>
          <w:szCs w:val="32"/>
          <w:lang w:val="en-US"/>
        </w:rPr>
        <w:t>.</w:t>
      </w:r>
    </w:p>
    <w:p w14:paraId="560E877A"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lastRenderedPageBreak/>
        <w:t>واعتمدت الدراسة على منهج المراجعة المنهجية، حيث تم تحليل 80 دراسة علمية تناولت العلاقة بين التخطيط الاستراتيجي لتكنولوجيا المعلومات وأداء المشروعات. وأظهرت مراجعة المنهجيات المستخدمة أن 45% من الدراسات اعتمدت الأساليب الكمية، في حين استخدمت 25% منها التحليل الموضوعي. كما تناولت الدراسة دور الحلول التقنية الحديثة مثل الحوسبة السحابية والأنظمة الهجينة في دعم المرونة التشغيلية وخفض التكاليف.</w:t>
      </w:r>
    </w:p>
    <w:p w14:paraId="06704032"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وأظهرت النتائج أن مواءمة استراتيجية تكنولوجيا المعلومات مع الأهداف التنظيمية تسهم في خفض التكاليف التشغيلية بنسبة قد تصل إلى 20%، وزيادة رضا العملاء بنحو 15%. كما بينت النتائج أن التخطيط الفعال لتكنولوجيا المعلومات يعزز الاستدامة طويلة المدى والميزة التنافسية في نحو 60% من الدراسات التي تمت مراجعتها. وفي المقابل، كشفت الدراسة أن محدودية الموارد تمثل أحد أبرز التحديات التي تواجه المشروعات الصغيرة والمتوسطة عند تطبيق التخطيط الاستراتيجي الرقمي.</w:t>
      </w:r>
    </w:p>
    <w:p w14:paraId="1B5B6EB8"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وتتفق هذه الدراسة مع الأدبيات التي تؤكد الدور المتزايد للتخطيط الاستراتيجي الرقمي في تحسين الأداء المؤسسي، إلا أنها تميزت بتقديم تحليل تكاملي قائم على عدد كبير من الدراسات، مما يعزز موثوقية نتائجها ويوفر إطارا استراتيجيا يمكن الاستفادة منه في توجيه الاستثمارات التقنية. ومع ذلك، فإن اعتمادها على المراجعة النظرية دون تطبيق ميداني مباشر قد يحد من قدرتها على تفسير الفروق السياقية بين القطاعات. ومن ثم تبرز فجوة بحثية تتمثل في الحاجة إلى دراسات تطبيقية تختبر أثر التخطيط الاستراتيجي لتكنولوجيا المعلومات في الأداء الفعلي للمؤسسات، خاصة في البيئات النامية</w:t>
      </w:r>
      <w:r w:rsidRPr="00EF1F40">
        <w:rPr>
          <w:rFonts w:ascii="Traditional Arabic" w:eastAsia="Calibri" w:hAnsi="Traditional Arabic" w:cs="Traditional Arabic"/>
          <w:sz w:val="32"/>
          <w:szCs w:val="32"/>
          <w:lang w:val="en-US"/>
        </w:rPr>
        <w:t>.</w:t>
      </w:r>
    </w:p>
    <w:p w14:paraId="1DB3574C"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p>
    <w:p w14:paraId="0428B8E8" w14:textId="77777777" w:rsidR="00EF1F40" w:rsidRPr="00EF1F40" w:rsidRDefault="00EF1F40" w:rsidP="00EF1F40">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b/>
          <w:bCs/>
          <w:sz w:val="32"/>
          <w:szCs w:val="32"/>
          <w:rtl/>
          <w:lang w:val="en-US"/>
        </w:rPr>
        <w:lastRenderedPageBreak/>
        <w:t>دراسة (</w:t>
      </w:r>
      <w:r w:rsidRPr="00EF1F40">
        <w:rPr>
          <w:rFonts w:ascii="Traditional Arabic" w:eastAsia="Calibri" w:hAnsi="Traditional Arabic" w:cs="Traditional Arabic"/>
          <w:b/>
          <w:bCs/>
          <w:sz w:val="32"/>
          <w:szCs w:val="32"/>
          <w:lang w:val="en-US"/>
        </w:rPr>
        <w:t>Mardiani et al., 2023</w:t>
      </w:r>
      <w:r w:rsidRPr="00EF1F40">
        <w:rPr>
          <w:rFonts w:ascii="Traditional Arabic" w:eastAsia="Calibri" w:hAnsi="Traditional Arabic" w:cs="Traditional Arabic"/>
          <w:b/>
          <w:bCs/>
          <w:sz w:val="32"/>
          <w:szCs w:val="32"/>
          <w:rtl/>
          <w:lang w:val="en-US"/>
        </w:rPr>
        <w:t>) بعنوان “</w:t>
      </w:r>
      <w:r w:rsidRPr="00EF1F40">
        <w:rPr>
          <w:rFonts w:ascii="Traditional Arabic" w:eastAsia="Calibri" w:hAnsi="Traditional Arabic" w:cs="Traditional Arabic"/>
          <w:b/>
          <w:bCs/>
          <w:sz w:val="32"/>
          <w:szCs w:val="32"/>
          <w:lang w:val="en-US"/>
        </w:rPr>
        <w:t>The Influence of Strategic Planning and Analytical Maturity on Organizational Performance in Implementing Business Intelligence in Indonesia</w:t>
      </w:r>
      <w:r w:rsidRPr="00EF1F40">
        <w:rPr>
          <w:rFonts w:ascii="Traditional Arabic" w:eastAsia="Calibri" w:hAnsi="Traditional Arabic" w:cs="Traditional Arabic"/>
          <w:b/>
          <w:bCs/>
          <w:sz w:val="32"/>
          <w:szCs w:val="32"/>
          <w:rtl/>
          <w:lang w:val="en-US"/>
        </w:rPr>
        <w:t>”</w:t>
      </w:r>
      <w:r w:rsidRPr="00EF1F40">
        <w:rPr>
          <w:rFonts w:ascii="Traditional Arabic" w:eastAsia="Calibri" w:hAnsi="Traditional Arabic" w:cs="Traditional Arabic"/>
          <w:sz w:val="32"/>
          <w:szCs w:val="32"/>
          <w:rtl/>
          <w:lang w:val="en-US"/>
        </w:rPr>
        <w:t xml:space="preserve"> هدفت إلى تحليل أثر كل من التخطيط الاستراتيجي والنضج التحليلي في تحسين الأداء التنظيمي، إضافة إلى استكشاف العلاقة بين التخطيط الاستراتيجي ومستوى النضج التحليلي في بيئة تطبيق ذكاء الأعمال داخل الشركات الناشئة في إندونيسيا. واعتمدت الدراسة على المنهج الكمي باستخدام نموذج المعادلات الهيكلية بطريقة المربعات الصغرى الجزئية (</w:t>
      </w:r>
      <w:r w:rsidRPr="00EF1F40">
        <w:rPr>
          <w:rFonts w:ascii="Traditional Arabic" w:eastAsia="Calibri" w:hAnsi="Traditional Arabic" w:cs="Traditional Arabic"/>
          <w:sz w:val="32"/>
          <w:szCs w:val="32"/>
          <w:lang w:val="en-US"/>
        </w:rPr>
        <w:t>SEM-PLS</w:t>
      </w:r>
      <w:r w:rsidRPr="00EF1F40">
        <w:rPr>
          <w:rFonts w:ascii="Traditional Arabic" w:eastAsia="Calibri" w:hAnsi="Traditional Arabic" w:cs="Traditional Arabic"/>
          <w:sz w:val="32"/>
          <w:szCs w:val="32"/>
          <w:rtl/>
          <w:lang w:val="en-US"/>
        </w:rPr>
        <w:t>)، حيث شملت العينة 187 مشاركا من قطاعات صناعية متعددة بهدف اختبار العلاقات بين متغيرات الدراسة واستخلاص نتائج ذات دلالة إحصائية.</w:t>
      </w:r>
    </w:p>
    <w:p w14:paraId="294A5BE6"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وأظهرت نتائج الدراسة وجود علاقات إيجابية قوية بين التخطيط الاستراتيجي والأداء التنظيمي، كما تبين أن النضج التحليلي يؤثر تأثيرا معنويا في تعزيز الأداء التنظيمي. كذلك أكدت النتائج أن التخطيط الاستراتيجي يسهم في رفع مستوى النضج التحليلي داخل المنظمات، وهو ما ينعكس بدوره على تحقيق نجاح تنظيمي أكبر. وتشير أحجام التأثير المرتفعة والصلابة الإحصائية إلى الأهمية العملية لتكامل التخطيط الاستراتيجي مع القدرات التحليلية في دعم تطبيقات ذكاء الأعمال وتحسين النتائج المؤسسية</w:t>
      </w:r>
      <w:r w:rsidRPr="00EF1F40">
        <w:rPr>
          <w:rFonts w:ascii="Traditional Arabic" w:eastAsia="Calibri" w:hAnsi="Traditional Arabic" w:cs="Traditional Arabic"/>
          <w:sz w:val="32"/>
          <w:szCs w:val="32"/>
          <w:lang w:val="en-US"/>
        </w:rPr>
        <w:t>.</w:t>
      </w:r>
    </w:p>
    <w:p w14:paraId="24B44233" w14:textId="77777777" w:rsid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 xml:space="preserve">وتتفق هذه الدراسة مع الأدبيات التي تؤكد الدور الحيوي للتخطيط الاستراتيجي في تحسين الأداء، إلا أنها تميزت بإدخال النضج التحليلي كمتغير تفسيري يعزز فهم آلية تأثير التخطيط في الأداء التنظيمي ضمن سياق التحول الرقمي. ومع ذلك، فقد ركزت على الشركات الناشئة، مما قد يحد من تعميم نتائجها على المؤسسات التقليدية أو </w:t>
      </w:r>
      <w:r w:rsidRPr="00EF1F40">
        <w:rPr>
          <w:rFonts w:ascii="Traditional Arabic" w:eastAsia="Calibri" w:hAnsi="Traditional Arabic" w:cs="Traditional Arabic"/>
          <w:sz w:val="32"/>
          <w:szCs w:val="32"/>
          <w:rtl/>
          <w:lang w:val="en-US"/>
        </w:rPr>
        <w:lastRenderedPageBreak/>
        <w:t>الحكومية. ومن ثم تبرز فجوة بحثية تتمثل في الحاجة إلى دراسات تستكشف دور النضج التنظيمي أو التحليلي في تعزيز العلاقة بين التخطيط الاستراتيجي والأداء داخل قطاعات تنظيمية مختلفة</w:t>
      </w:r>
      <w:r w:rsidRPr="00EF1F40">
        <w:rPr>
          <w:rFonts w:ascii="Traditional Arabic" w:eastAsia="Calibri" w:hAnsi="Traditional Arabic" w:cs="Traditional Arabic"/>
          <w:sz w:val="32"/>
          <w:szCs w:val="32"/>
          <w:lang w:val="en-US"/>
        </w:rPr>
        <w:t>.</w:t>
      </w:r>
    </w:p>
    <w:p w14:paraId="6653CE6B" w14:textId="251423C2" w:rsidR="00EE28CE" w:rsidRPr="00C110EB" w:rsidRDefault="00EE28CE" w:rsidP="00EE28CE">
      <w:pPr>
        <w:bidi/>
        <w:spacing w:line="360" w:lineRule="auto"/>
        <w:jc w:val="both"/>
        <w:rPr>
          <w:rFonts w:ascii="Traditional Arabic" w:eastAsia="Calibri" w:hAnsi="Traditional Arabic" w:cs="Traditional Arabic"/>
          <w:sz w:val="32"/>
          <w:szCs w:val="32"/>
          <w:lang w:val="en-US"/>
        </w:rPr>
      </w:pPr>
      <w:r w:rsidRPr="00C110EB">
        <w:rPr>
          <w:rFonts w:ascii="Traditional Arabic" w:eastAsia="Calibri" w:hAnsi="Traditional Arabic" w:cs="Traditional Arabic"/>
          <w:sz w:val="32"/>
          <w:szCs w:val="32"/>
          <w:rtl/>
          <w:lang w:val="en-US"/>
        </w:rPr>
        <w:t xml:space="preserve">يتضح من خلال الدراسات التي تناولت العلاقة بين المتغيرين وجود اتجاه عام يؤكد وجود تأثير إيجابي للتخطيط الاستراتيجي في الأداء المؤسسي، كما في دراسة (مسعود وعلماوي، 2025) ودراسة (العرفي والكردي، 2025) ودراسة </w:t>
      </w:r>
      <w:r w:rsidRPr="00C110EB">
        <w:rPr>
          <w:rFonts w:ascii="Traditional Arabic" w:eastAsia="Calibri" w:hAnsi="Traditional Arabic" w:cs="Traditional Arabic"/>
          <w:sz w:val="32"/>
          <w:szCs w:val="32"/>
          <w:lang w:val="en-US"/>
        </w:rPr>
        <w:t>Alotaibi, 2023)</w:t>
      </w:r>
      <w:r w:rsidRPr="00C110EB">
        <w:rPr>
          <w:rFonts w:ascii="Traditional Arabic" w:eastAsia="Calibri" w:hAnsi="Traditional Arabic" w:cs="Traditional Arabic"/>
          <w:sz w:val="32"/>
          <w:szCs w:val="32"/>
          <w:rtl/>
          <w:lang w:val="en-US"/>
        </w:rPr>
        <w:t>)، حيث بينت هذه الدراسات أن التخطيط الاستراتيجي يسهم في تحسين مؤشرات الأداء المالي والتشغيلي وجودة الخدمات. كما أشارت دراسات أخرى مثل (الحاتمي، 2020) و</w:t>
      </w:r>
      <w:r w:rsidRPr="00C110EB">
        <w:rPr>
          <w:rFonts w:ascii="Traditional Arabic" w:eastAsia="Calibri" w:hAnsi="Traditional Arabic" w:cs="Traditional Arabic" w:hint="cs"/>
          <w:sz w:val="32"/>
          <w:szCs w:val="32"/>
          <w:rtl/>
          <w:lang w:val="en-US"/>
        </w:rPr>
        <w:t xml:space="preserve"> دراسات مختلفة مثل </w:t>
      </w:r>
    </w:p>
    <w:p w14:paraId="3FBAD65B" w14:textId="20A2769C" w:rsidR="00EE28CE" w:rsidRPr="00EF1F40" w:rsidRDefault="00EE28CE" w:rsidP="00EE28CE">
      <w:pPr>
        <w:bidi/>
        <w:spacing w:line="360" w:lineRule="auto"/>
        <w:jc w:val="both"/>
        <w:rPr>
          <w:rFonts w:ascii="Traditional Arabic" w:eastAsia="Calibri" w:hAnsi="Traditional Arabic" w:cs="Traditional Arabic"/>
          <w:sz w:val="32"/>
          <w:szCs w:val="32"/>
          <w:rtl/>
          <w:lang w:val="en-US"/>
        </w:rPr>
      </w:pPr>
      <w:r w:rsidRPr="00C110EB">
        <w:rPr>
          <w:rFonts w:ascii="Traditional Arabic" w:eastAsia="Calibri" w:hAnsi="Traditional Arabic" w:cs="Traditional Arabic"/>
          <w:sz w:val="32"/>
          <w:szCs w:val="32"/>
          <w:lang w:val="en-US"/>
        </w:rPr>
        <w:t>Alosani et al. 2020)</w:t>
      </w:r>
      <w:r w:rsidRPr="00C110EB">
        <w:rPr>
          <w:rFonts w:ascii="Traditional Arabic" w:eastAsia="Calibri" w:hAnsi="Traditional Arabic" w:cs="Traditional Arabic"/>
          <w:sz w:val="32"/>
          <w:szCs w:val="32"/>
          <w:rtl/>
          <w:lang w:val="en-US"/>
        </w:rPr>
        <w:t>) إلى وجود تأثيرات مباشرة وغير مباشرة من خلال متغيرات وسيطة مثل المرونة الاستراتيجية والابتكار. ورغم هذا الاتفاق العام، إلا أن بعض الدراسات أظهرت تباينًا في قوة التأثير تبعًا لاختلاف السياقات التنظيمية، مما يبرز أهمية اختبار هذه العلاقة في بيئة الدراسة الحالية.</w:t>
      </w:r>
    </w:p>
    <w:p w14:paraId="325C687C" w14:textId="77777777" w:rsidR="00EF1F40" w:rsidRPr="00EF1F40" w:rsidRDefault="00EF1F40" w:rsidP="00EF1F40">
      <w:pPr>
        <w:bidi/>
        <w:spacing w:line="360" w:lineRule="auto"/>
        <w:jc w:val="both"/>
        <w:rPr>
          <w:rFonts w:ascii="Traditional Arabic" w:eastAsia="Calibri" w:hAnsi="Traditional Arabic" w:cs="Traditional Arabic"/>
          <w:sz w:val="24"/>
          <w:szCs w:val="24"/>
          <w:rtl/>
          <w:lang w:val="en-US"/>
        </w:rPr>
      </w:pPr>
    </w:p>
    <w:p w14:paraId="1E211B3D" w14:textId="77777777" w:rsidR="00EF1F40" w:rsidRPr="00EF1F40" w:rsidRDefault="00EF1F40" w:rsidP="00EF1F40">
      <w:pPr>
        <w:bidi/>
        <w:spacing w:line="360" w:lineRule="auto"/>
        <w:jc w:val="both"/>
        <w:rPr>
          <w:rFonts w:ascii="Traditional Arabic" w:eastAsia="Calibri" w:hAnsi="Traditional Arabic" w:cs="Traditional Arabic"/>
          <w:b/>
          <w:bCs/>
          <w:sz w:val="36"/>
          <w:szCs w:val="36"/>
          <w:rtl/>
          <w:lang w:val="en-US"/>
        </w:rPr>
      </w:pPr>
      <w:r w:rsidRPr="00EF1F40">
        <w:rPr>
          <w:rFonts w:ascii="Traditional Arabic" w:eastAsia="Calibri" w:hAnsi="Traditional Arabic" w:cs="Traditional Arabic" w:hint="cs"/>
          <w:b/>
          <w:bCs/>
          <w:sz w:val="36"/>
          <w:szCs w:val="36"/>
          <w:rtl/>
          <w:lang w:val="en-US"/>
        </w:rPr>
        <w:t>المبحث الثالث: التعقيب على الدراسات السابقة</w:t>
      </w:r>
    </w:p>
    <w:p w14:paraId="771EC3DB" w14:textId="77777777" w:rsidR="00EF1F40" w:rsidRPr="00EF1F40" w:rsidRDefault="00EF1F40" w:rsidP="00EF1F40">
      <w:pPr>
        <w:numPr>
          <w:ilvl w:val="0"/>
          <w:numId w:val="13"/>
        </w:num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lang w:val="en-US"/>
        </w:rPr>
        <w:t>أوجه التشابه بين الدراسة الحالية والدراسات السابقة</w:t>
      </w:r>
    </w:p>
    <w:p w14:paraId="724C9A72"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يتضح من تحليل الدراسات السابقة وجود تقاطعات جوهرية مع الدراسة الحالية في عدد من المحاور الرئيسة</w:t>
      </w:r>
      <w:r w:rsidRPr="00EF1F40">
        <w:rPr>
          <w:rFonts w:ascii="Traditional Arabic" w:eastAsia="Calibri" w:hAnsi="Traditional Arabic" w:cs="Traditional Arabic"/>
          <w:sz w:val="32"/>
          <w:szCs w:val="32"/>
          <w:lang w:val="en-US"/>
        </w:rPr>
        <w:t>.</w:t>
      </w:r>
      <w:r w:rsidRPr="00EF1F40">
        <w:rPr>
          <w:rFonts w:ascii="Traditional Arabic" w:eastAsia="Calibri" w:hAnsi="Traditional Arabic" w:cs="Traditional Arabic" w:hint="cs"/>
          <w:sz w:val="32"/>
          <w:szCs w:val="32"/>
          <w:rtl/>
          <w:lang w:val="en-US"/>
        </w:rPr>
        <w:t xml:space="preserve"> </w:t>
      </w:r>
      <w:r w:rsidRPr="00EF1F40">
        <w:rPr>
          <w:rFonts w:ascii="Traditional Arabic" w:eastAsia="Calibri" w:hAnsi="Traditional Arabic" w:cs="Traditional Arabic"/>
          <w:sz w:val="32"/>
          <w:szCs w:val="32"/>
          <w:rtl/>
          <w:lang w:val="en-US"/>
        </w:rPr>
        <w:t>ففي محور التخطيط الاستراتيجي وتنفيذه، تتفق الدراسة الحالية مع دراسات (</w:t>
      </w:r>
      <w:r w:rsidRPr="00EF1F40">
        <w:rPr>
          <w:rFonts w:ascii="Traditional Arabic" w:eastAsia="Calibri" w:hAnsi="Traditional Arabic" w:cs="Traditional Arabic"/>
          <w:sz w:val="32"/>
          <w:szCs w:val="32"/>
          <w:lang w:val="en-US"/>
        </w:rPr>
        <w:t>Elbanna et al., 2025</w:t>
      </w:r>
      <w:r w:rsidRPr="00EF1F40">
        <w:rPr>
          <w:rFonts w:ascii="Traditional Arabic" w:eastAsia="Calibri" w:hAnsi="Traditional Arabic" w:cs="Traditional Arabic"/>
          <w:sz w:val="32"/>
          <w:szCs w:val="32"/>
          <w:rtl/>
          <w:lang w:val="en-US"/>
        </w:rPr>
        <w:t>) و(</w:t>
      </w:r>
      <w:r w:rsidRPr="00EF1F40">
        <w:rPr>
          <w:rFonts w:ascii="Traditional Arabic" w:eastAsia="Calibri" w:hAnsi="Traditional Arabic" w:cs="Traditional Arabic"/>
          <w:sz w:val="32"/>
          <w:szCs w:val="32"/>
          <w:lang w:val="en-US"/>
        </w:rPr>
        <w:t>Albanna et al., 2025</w:t>
      </w:r>
      <w:r w:rsidRPr="00EF1F40">
        <w:rPr>
          <w:rFonts w:ascii="Traditional Arabic" w:eastAsia="Calibri" w:hAnsi="Traditional Arabic" w:cs="Traditional Arabic"/>
          <w:sz w:val="32"/>
          <w:szCs w:val="32"/>
          <w:rtl/>
          <w:lang w:val="en-US"/>
        </w:rPr>
        <w:t>) و(الدقن، 2019) في التأكيد على أن فاعلية التخطيط لا تقف عند مرحلة الصياغة، بل تمتد إلى جودة التنفيذ، ومواءمة الموارد، وتكامل الهياكل التنظيمية، ووجود ثقافة داعمة للاستراتيجية.</w:t>
      </w:r>
    </w:p>
    <w:p w14:paraId="7FCE0B36"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lastRenderedPageBreak/>
        <w:t>وفي محور المواءمة المؤسسية والتكامل التنظيمي، تتقاطع الدراسة الحالية مع (</w:t>
      </w:r>
      <w:r w:rsidRPr="00EF1F40">
        <w:rPr>
          <w:rFonts w:ascii="Traditional Arabic" w:eastAsia="Calibri" w:hAnsi="Traditional Arabic" w:cs="Traditional Arabic"/>
          <w:sz w:val="32"/>
          <w:szCs w:val="32"/>
          <w:lang w:val="en-US"/>
        </w:rPr>
        <w:t>Khalilov et al., 2024</w:t>
      </w:r>
      <w:r w:rsidRPr="00EF1F40">
        <w:rPr>
          <w:rFonts w:ascii="Traditional Arabic" w:eastAsia="Calibri" w:hAnsi="Traditional Arabic" w:cs="Traditional Arabic"/>
          <w:sz w:val="32"/>
          <w:szCs w:val="32"/>
          <w:rtl/>
          <w:lang w:val="en-US"/>
        </w:rPr>
        <w:t>) و(</w:t>
      </w:r>
      <w:r w:rsidRPr="00EF1F40">
        <w:rPr>
          <w:rFonts w:ascii="Traditional Arabic" w:eastAsia="Calibri" w:hAnsi="Traditional Arabic" w:cs="Traditional Arabic"/>
          <w:sz w:val="32"/>
          <w:szCs w:val="32"/>
          <w:lang w:val="en-US"/>
        </w:rPr>
        <w:t>Sanches et al., 2023</w:t>
      </w:r>
      <w:r w:rsidRPr="00EF1F40">
        <w:rPr>
          <w:rFonts w:ascii="Traditional Arabic" w:eastAsia="Calibri" w:hAnsi="Traditional Arabic" w:cs="Traditional Arabic"/>
          <w:sz w:val="32"/>
          <w:szCs w:val="32"/>
          <w:rtl/>
          <w:lang w:val="en-US"/>
        </w:rPr>
        <w:t>) و(</w:t>
      </w:r>
      <w:r w:rsidRPr="00EF1F40">
        <w:rPr>
          <w:rFonts w:ascii="Traditional Arabic" w:eastAsia="Calibri" w:hAnsi="Traditional Arabic" w:cs="Traditional Arabic"/>
          <w:sz w:val="32"/>
          <w:szCs w:val="32"/>
          <w:lang w:val="en-US"/>
        </w:rPr>
        <w:t>Abunaser &amp; Almustafa, 2025</w:t>
      </w:r>
      <w:r w:rsidRPr="00EF1F40">
        <w:rPr>
          <w:rFonts w:ascii="Traditional Arabic" w:eastAsia="Calibri" w:hAnsi="Traditional Arabic" w:cs="Traditional Arabic"/>
          <w:sz w:val="32"/>
          <w:szCs w:val="32"/>
          <w:rtl/>
          <w:lang w:val="en-US"/>
        </w:rPr>
        <w:t>) في إبراز أهمية الاتساق بين الرؤية الاستراتيجية والأنظمة الإدارية والهياكل التنظيمية، وأهمية إشراك أصحاب المصلحة وتعزيز الحوكمة المؤسسية لضمان تحقيق الاستدامة والتنافسية.</w:t>
      </w:r>
      <w:r w:rsidRPr="00EF1F40">
        <w:rPr>
          <w:rFonts w:ascii="Traditional Arabic" w:eastAsia="Calibri" w:hAnsi="Traditional Arabic" w:cs="Traditional Arabic" w:hint="cs"/>
          <w:sz w:val="32"/>
          <w:szCs w:val="32"/>
          <w:rtl/>
          <w:lang w:val="en-US" w:bidi="ar-JO"/>
        </w:rPr>
        <w:t xml:space="preserve"> </w:t>
      </w:r>
      <w:r w:rsidRPr="00EF1F40">
        <w:rPr>
          <w:rFonts w:ascii="Traditional Arabic" w:eastAsia="Calibri" w:hAnsi="Traditional Arabic" w:cs="Traditional Arabic"/>
          <w:sz w:val="32"/>
          <w:szCs w:val="32"/>
          <w:rtl/>
          <w:lang w:val="en-US"/>
        </w:rPr>
        <w:t>أما في محور العلاقة بين التخطيط والأداء المؤسسي، فتتفق الدراسة الحالية مع (العرفي والكردي، 2025)، و(</w:t>
      </w:r>
      <w:r w:rsidRPr="00EF1F40">
        <w:rPr>
          <w:rFonts w:ascii="Traditional Arabic" w:eastAsia="Calibri" w:hAnsi="Traditional Arabic" w:cs="Traditional Arabic"/>
          <w:sz w:val="32"/>
          <w:szCs w:val="32"/>
          <w:lang w:val="en-US"/>
        </w:rPr>
        <w:t>Alotaibi, 2023</w:t>
      </w:r>
      <w:r w:rsidRPr="00EF1F40">
        <w:rPr>
          <w:rFonts w:ascii="Traditional Arabic" w:eastAsia="Calibri" w:hAnsi="Traditional Arabic" w:cs="Traditional Arabic"/>
          <w:sz w:val="32"/>
          <w:szCs w:val="32"/>
          <w:rtl/>
          <w:lang w:val="en-US"/>
        </w:rPr>
        <w:t>)، و(الحاتمي، 2020)، و(</w:t>
      </w:r>
      <w:r w:rsidRPr="00EF1F40">
        <w:rPr>
          <w:rFonts w:ascii="Traditional Arabic" w:eastAsia="Calibri" w:hAnsi="Traditional Arabic" w:cs="Traditional Arabic"/>
          <w:b/>
          <w:bCs/>
          <w:sz w:val="32"/>
          <w:szCs w:val="32"/>
          <w:lang w:val="en-US"/>
        </w:rPr>
        <w:t>Alosani et al., 2020</w:t>
      </w:r>
      <w:r w:rsidRPr="00EF1F40">
        <w:rPr>
          <w:rFonts w:ascii="Traditional Arabic" w:eastAsia="Calibri" w:hAnsi="Traditional Arabic" w:cs="Traditional Arabic"/>
          <w:sz w:val="32"/>
          <w:szCs w:val="32"/>
          <w:rtl/>
          <w:lang w:val="en-US"/>
        </w:rPr>
        <w:t>)، و(مسعود وعلماوي، 2025) في التأكيد على وجود علاقة إيجابية بين التخطيط الاستراتيجي ومؤشرات الأداء المؤسسي أو التميز التنظيمي.</w:t>
      </w:r>
      <w:r w:rsidRPr="00EF1F40">
        <w:rPr>
          <w:rFonts w:ascii="Traditional Arabic" w:eastAsia="Calibri" w:hAnsi="Traditional Arabic" w:cs="Traditional Arabic" w:hint="cs"/>
          <w:sz w:val="32"/>
          <w:szCs w:val="32"/>
          <w:rtl/>
          <w:lang w:val="en-US" w:bidi="ar-JO"/>
        </w:rPr>
        <w:t xml:space="preserve"> </w:t>
      </w:r>
      <w:r w:rsidRPr="00EF1F40">
        <w:rPr>
          <w:rFonts w:ascii="Traditional Arabic" w:eastAsia="Calibri" w:hAnsi="Traditional Arabic" w:cs="Traditional Arabic"/>
          <w:sz w:val="32"/>
          <w:szCs w:val="32"/>
          <w:rtl/>
          <w:lang w:val="en-US"/>
        </w:rPr>
        <w:t>كما تتقاطع الدراسة الحالية مع دراسات التحول الرقمي والنضج التحليلي مثل (</w:t>
      </w:r>
      <w:r w:rsidRPr="00EF1F40">
        <w:rPr>
          <w:rFonts w:ascii="Traditional Arabic" w:eastAsia="Calibri" w:hAnsi="Traditional Arabic" w:cs="Traditional Arabic"/>
          <w:sz w:val="32"/>
          <w:szCs w:val="32"/>
          <w:lang w:val="en-US"/>
        </w:rPr>
        <w:t>Mardiani et al., 2023</w:t>
      </w:r>
      <w:r w:rsidRPr="00EF1F40">
        <w:rPr>
          <w:rFonts w:ascii="Traditional Arabic" w:eastAsia="Calibri" w:hAnsi="Traditional Arabic" w:cs="Traditional Arabic"/>
          <w:sz w:val="32"/>
          <w:szCs w:val="32"/>
          <w:rtl/>
          <w:lang w:val="en-US"/>
        </w:rPr>
        <w:t>) و(</w:t>
      </w:r>
      <w:r w:rsidRPr="00EF1F40">
        <w:rPr>
          <w:rFonts w:ascii="Traditional Arabic" w:eastAsia="Calibri" w:hAnsi="Traditional Arabic" w:cs="Traditional Arabic"/>
          <w:sz w:val="32"/>
          <w:szCs w:val="32"/>
          <w:lang w:val="en-US"/>
        </w:rPr>
        <w:t>Molete et al., 2025</w:t>
      </w:r>
      <w:r w:rsidRPr="00EF1F40">
        <w:rPr>
          <w:rFonts w:ascii="Traditional Arabic" w:eastAsia="Calibri" w:hAnsi="Traditional Arabic" w:cs="Traditional Arabic"/>
          <w:sz w:val="32"/>
          <w:szCs w:val="32"/>
          <w:rtl/>
          <w:lang w:val="en-US"/>
        </w:rPr>
        <w:t>) و(</w:t>
      </w:r>
      <w:r w:rsidRPr="00EF1F40">
        <w:rPr>
          <w:rFonts w:ascii="Traditional Arabic" w:eastAsia="Calibri" w:hAnsi="Traditional Arabic" w:cs="Traditional Arabic"/>
          <w:sz w:val="32"/>
          <w:szCs w:val="32"/>
          <w:lang w:val="en-US"/>
        </w:rPr>
        <w:t>Ayodeji et al., 2022</w:t>
      </w:r>
      <w:r w:rsidRPr="00EF1F40">
        <w:rPr>
          <w:rFonts w:ascii="Traditional Arabic" w:eastAsia="Calibri" w:hAnsi="Traditional Arabic" w:cs="Traditional Arabic"/>
          <w:sz w:val="32"/>
          <w:szCs w:val="32"/>
          <w:rtl/>
          <w:lang w:val="en-US"/>
        </w:rPr>
        <w:t>) في التأكيد على أن التكامل بين التخطيط الاستراتيجي والقدرات التنظيمية والتحليلية يعزز النتائج المؤسسية ويقلل مستويات المخاطر وعدم اليقين.</w:t>
      </w:r>
    </w:p>
    <w:p w14:paraId="1E9103F1"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وبذلك، تنطلق الدراسة الحالية من أرضية علمية راسخة تؤكد أهمية التخطيط الاستراتيجي كمدخل لتحسين الأداء وتعزيز التكامل المؤسسي</w:t>
      </w:r>
      <w:r w:rsidRPr="00EF1F40">
        <w:rPr>
          <w:rFonts w:ascii="Traditional Arabic" w:eastAsia="Calibri" w:hAnsi="Traditional Arabic" w:cs="Traditional Arabic"/>
          <w:sz w:val="32"/>
          <w:szCs w:val="32"/>
          <w:lang w:val="en-US"/>
        </w:rPr>
        <w:t>.</w:t>
      </w:r>
    </w:p>
    <w:p w14:paraId="3C50E8A0"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p>
    <w:p w14:paraId="06F9252F" w14:textId="77777777" w:rsidR="00EF1F40" w:rsidRPr="00EF1F40" w:rsidRDefault="00EF1F40" w:rsidP="00EF1F40">
      <w:pPr>
        <w:numPr>
          <w:ilvl w:val="0"/>
          <w:numId w:val="13"/>
        </w:num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lang w:val="en-US"/>
        </w:rPr>
        <w:t>أوجه الاختلاف وتميّز الدراسة الحالية</w:t>
      </w:r>
    </w:p>
    <w:p w14:paraId="1F14347F"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على الرغم من هذا التقاطع، فإن الدراسة الحالية تتميز بعدة جوانب جوهرية تجعلها إضافة نوعية للأدبيات</w:t>
      </w:r>
      <w:r w:rsidRPr="00EF1F40">
        <w:rPr>
          <w:rFonts w:ascii="Traditional Arabic" w:eastAsia="Calibri" w:hAnsi="Traditional Arabic" w:cs="Traditional Arabic"/>
          <w:sz w:val="32"/>
          <w:szCs w:val="32"/>
          <w:lang w:val="en-US"/>
        </w:rPr>
        <w:t>:</w:t>
      </w:r>
    </w:p>
    <w:p w14:paraId="652EBD5B"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lastRenderedPageBreak/>
        <w:t>أولا:</w:t>
      </w:r>
      <w:r w:rsidRPr="00EF1F40">
        <w:rPr>
          <w:rFonts w:ascii="Traditional Arabic" w:eastAsia="Calibri" w:hAnsi="Traditional Arabic" w:cs="Traditional Arabic"/>
          <w:sz w:val="32"/>
          <w:szCs w:val="32"/>
          <w:rtl/>
          <w:lang w:val="en-US"/>
        </w:rPr>
        <w:t xml:space="preserve"> معظم الدراسات السابقة تناولت ممارسة التخطيط الاستراتيجي أو تنفيذه، بينما تركز الدراسة الحالية على تحليل مستوى نضج التخطيط الاستراتيجي بوصفه مؤشرا تراكميًا يعكس تطور العمليات الاستراتيجية ودرجة تكاملها المؤسسي</w:t>
      </w:r>
      <w:r w:rsidRPr="00EF1F40">
        <w:rPr>
          <w:rFonts w:ascii="Traditional Arabic" w:eastAsia="Calibri" w:hAnsi="Traditional Arabic" w:cs="Traditional Arabic"/>
          <w:sz w:val="32"/>
          <w:szCs w:val="32"/>
          <w:lang w:val="en-US"/>
        </w:rPr>
        <w:t>.</w:t>
      </w:r>
    </w:p>
    <w:p w14:paraId="4D23485D"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t>ثانيا</w:t>
      </w:r>
      <w:r w:rsidRPr="00EF1F40">
        <w:rPr>
          <w:rFonts w:ascii="Traditional Arabic" w:eastAsia="Calibri" w:hAnsi="Traditional Arabic" w:cs="Traditional Arabic"/>
          <w:sz w:val="32"/>
          <w:szCs w:val="32"/>
          <w:rtl/>
          <w:lang w:val="en-US"/>
        </w:rPr>
        <w:t>: ركزت غالبية الدراسات على متغيرات تابعة مثل الأداء المؤسسي أو الجودة أو التميز التنظيمي، في حين تتناول الدراسة الحالية التكامل المؤسسي بوصفه متغيرا تنظيميا مركبا يعكس درجة الاتساق والترابط بين الوحدات والهياكل والعمليات داخل المنظمة</w:t>
      </w:r>
      <w:r w:rsidRPr="00EF1F40">
        <w:rPr>
          <w:rFonts w:ascii="Traditional Arabic" w:eastAsia="Calibri" w:hAnsi="Traditional Arabic" w:cs="Traditional Arabic"/>
          <w:sz w:val="32"/>
          <w:szCs w:val="32"/>
          <w:lang w:val="en-US"/>
        </w:rPr>
        <w:t>.</w:t>
      </w:r>
    </w:p>
    <w:p w14:paraId="5D9BFEBC"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t>ثالثا:</w:t>
      </w:r>
      <w:r w:rsidRPr="00EF1F40">
        <w:rPr>
          <w:rFonts w:ascii="Traditional Arabic" w:eastAsia="Calibri" w:hAnsi="Traditional Arabic" w:cs="Traditional Arabic"/>
          <w:sz w:val="32"/>
          <w:szCs w:val="32"/>
          <w:rtl/>
          <w:lang w:val="en-US"/>
        </w:rPr>
        <w:t xml:space="preserve"> العديد من الدراسات اعتمدت منهجًا نوعيا أو مراجعات نظرية أو دراسات حالة محدودة، بينما تتبنى الدراسة الحالية منهجا تحليليا كميا يهدف إلى اختبار العلاقة بصورة مباشرة وقياس قوة التأثير إحصائيا</w:t>
      </w:r>
      <w:r w:rsidRPr="00EF1F40">
        <w:rPr>
          <w:rFonts w:ascii="Traditional Arabic" w:eastAsia="Calibri" w:hAnsi="Traditional Arabic" w:cs="Traditional Arabic"/>
          <w:sz w:val="32"/>
          <w:szCs w:val="32"/>
          <w:lang w:val="en-US"/>
        </w:rPr>
        <w:t>.</w:t>
      </w:r>
    </w:p>
    <w:p w14:paraId="4488622A"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b/>
          <w:bCs/>
          <w:sz w:val="32"/>
          <w:szCs w:val="32"/>
          <w:rtl/>
          <w:lang w:val="en-US"/>
        </w:rPr>
        <w:t>رابعا:</w:t>
      </w:r>
      <w:r w:rsidRPr="00EF1F40">
        <w:rPr>
          <w:rFonts w:ascii="Traditional Arabic" w:eastAsia="Calibri" w:hAnsi="Traditional Arabic" w:cs="Traditional Arabic"/>
          <w:sz w:val="32"/>
          <w:szCs w:val="32"/>
          <w:rtl/>
          <w:lang w:val="en-US"/>
        </w:rPr>
        <w:t xml:space="preserve"> على مستوى السياق، ركزت الدراسات السابقة إما على مؤسسات تعليمية أو وزارات محددة أو قطاعات أمنية أو حالات منفردة، في حين تستهدف الدراسة الحالية المنظمات التابعة لمجلس التعاون الخليجي بوصفها بيئة تنظيمية ذات خصوصية مؤسسية واقتصادية، تتسم بتسارع التحول الاستراتيجي والهيكلي</w:t>
      </w:r>
      <w:r w:rsidRPr="00EF1F40">
        <w:rPr>
          <w:rFonts w:ascii="Traditional Arabic" w:eastAsia="Calibri" w:hAnsi="Traditional Arabic" w:cs="Traditional Arabic"/>
          <w:sz w:val="32"/>
          <w:szCs w:val="32"/>
          <w:lang w:val="en-US"/>
        </w:rPr>
        <w:t>.</w:t>
      </w:r>
    </w:p>
    <w:p w14:paraId="3F2AC65E"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p>
    <w:p w14:paraId="6708C735" w14:textId="77777777" w:rsidR="00EF1F40" w:rsidRPr="00EF1F40" w:rsidRDefault="00EF1F40" w:rsidP="00EF1F40">
      <w:pPr>
        <w:bidi/>
        <w:spacing w:line="360" w:lineRule="auto"/>
        <w:jc w:val="both"/>
        <w:rPr>
          <w:rFonts w:ascii="Traditional Arabic" w:eastAsia="Calibri" w:hAnsi="Traditional Arabic" w:cs="Traditional Arabic"/>
          <w:b/>
          <w:bCs/>
          <w:sz w:val="32"/>
          <w:szCs w:val="32"/>
          <w:lang w:val="en-US"/>
        </w:rPr>
      </w:pPr>
      <w:r w:rsidRPr="00EF1F40">
        <w:rPr>
          <w:rFonts w:ascii="Traditional Arabic" w:eastAsia="Calibri" w:hAnsi="Traditional Arabic" w:cs="Traditional Arabic"/>
          <w:b/>
          <w:bCs/>
          <w:sz w:val="32"/>
          <w:szCs w:val="32"/>
          <w:rtl/>
          <w:lang w:val="en-US"/>
        </w:rPr>
        <w:t>الفجوة البحثية</w:t>
      </w:r>
    </w:p>
    <w:p w14:paraId="56CF2BE5"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بالرغم من كثرة الدراسات التي تناولت التخطيط الاستراتيجي وعلاقته بالأداء المؤسسي أو التميز التنظيمي، إلا أن التحليل يكشف عن فجوة علمية واضحة تتمثل في</w:t>
      </w:r>
      <w:r w:rsidRPr="00EF1F40">
        <w:rPr>
          <w:rFonts w:ascii="Traditional Arabic" w:eastAsia="Calibri" w:hAnsi="Traditional Arabic" w:cs="Traditional Arabic"/>
          <w:sz w:val="32"/>
          <w:szCs w:val="32"/>
          <w:lang w:val="en-US"/>
        </w:rPr>
        <w:t>:</w:t>
      </w:r>
    </w:p>
    <w:p w14:paraId="64D3E2C1"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lastRenderedPageBreak/>
        <w:t>ندرة الدراسات التي تقيس نضج التخطيط الاستراتيجي كمفهوم تراكمي متعدد الأبعاد، وتختبر أثره الكمي المباشر في تعزيز التكامل المؤسسي داخل منظمات مجلس التعاون الخليجي</w:t>
      </w:r>
      <w:r w:rsidRPr="00EF1F40">
        <w:rPr>
          <w:rFonts w:ascii="Traditional Arabic" w:eastAsia="Calibri" w:hAnsi="Traditional Arabic" w:cs="Traditional Arabic"/>
          <w:sz w:val="32"/>
          <w:szCs w:val="32"/>
          <w:lang w:val="en-US"/>
        </w:rPr>
        <w:t>.</w:t>
      </w:r>
    </w:p>
    <w:p w14:paraId="2FAEFBE7" w14:textId="77777777" w:rsidR="00EF1F40" w:rsidRPr="00EF1F40" w:rsidRDefault="00EF1F40" w:rsidP="00EF1F40">
      <w:p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وتتفرع عن هذه الفجوة ثلاثة أبعاد رئيسة</w:t>
      </w:r>
      <w:r w:rsidRPr="00EF1F40">
        <w:rPr>
          <w:rFonts w:ascii="Traditional Arabic" w:eastAsia="Calibri" w:hAnsi="Traditional Arabic" w:cs="Traditional Arabic"/>
          <w:sz w:val="32"/>
          <w:szCs w:val="32"/>
          <w:lang w:val="en-US"/>
        </w:rPr>
        <w:t>:</w:t>
      </w:r>
    </w:p>
    <w:p w14:paraId="67029512" w14:textId="77777777" w:rsidR="00EF1F40" w:rsidRPr="00EF1F40" w:rsidRDefault="00EF1F40" w:rsidP="00EF1F40">
      <w:pPr>
        <w:numPr>
          <w:ilvl w:val="0"/>
          <w:numId w:val="12"/>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فجوة مفاهيمية: حيث لم يتم تناول نضج التخطيط الاستراتيجي بصورة مستقلة عن مجرد ممارسته أو تنفيذه</w:t>
      </w:r>
      <w:r w:rsidRPr="00EF1F40">
        <w:rPr>
          <w:rFonts w:ascii="Traditional Arabic" w:eastAsia="Calibri" w:hAnsi="Traditional Arabic" w:cs="Traditional Arabic"/>
          <w:sz w:val="32"/>
          <w:szCs w:val="32"/>
          <w:lang w:val="en-US"/>
        </w:rPr>
        <w:t>.</w:t>
      </w:r>
    </w:p>
    <w:p w14:paraId="691DD0AB" w14:textId="77777777" w:rsidR="00EF1F40" w:rsidRPr="00EF1F40" w:rsidRDefault="00EF1F40" w:rsidP="00EF1F40">
      <w:pPr>
        <w:numPr>
          <w:ilvl w:val="0"/>
          <w:numId w:val="12"/>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فجوة منهجية: تميل معظم الدراسات إلى التحليل النوعي أو دراسة حالة واحدة، مع محدودية استخدام نماذج تحليلية تقيس قوة العلاقة بصورة كمية مباشرة</w:t>
      </w:r>
      <w:r w:rsidRPr="00EF1F40">
        <w:rPr>
          <w:rFonts w:ascii="Traditional Arabic" w:eastAsia="Calibri" w:hAnsi="Traditional Arabic" w:cs="Traditional Arabic"/>
          <w:sz w:val="32"/>
          <w:szCs w:val="32"/>
          <w:lang w:val="en-US"/>
        </w:rPr>
        <w:t>.</w:t>
      </w:r>
    </w:p>
    <w:p w14:paraId="37DB1700" w14:textId="77777777" w:rsidR="00EF1F40" w:rsidRPr="00EF1F40" w:rsidRDefault="00EF1F40" w:rsidP="00EF1F40">
      <w:pPr>
        <w:numPr>
          <w:ilvl w:val="0"/>
          <w:numId w:val="12"/>
        </w:numPr>
        <w:bidi/>
        <w:spacing w:line="360" w:lineRule="auto"/>
        <w:jc w:val="both"/>
        <w:rPr>
          <w:rFonts w:ascii="Traditional Arabic" w:eastAsia="Calibri" w:hAnsi="Traditional Arabic" w:cs="Traditional Arabic"/>
          <w:sz w:val="32"/>
          <w:szCs w:val="32"/>
          <w:lang w:val="en-US"/>
        </w:rPr>
      </w:pPr>
      <w:r w:rsidRPr="00EF1F40">
        <w:rPr>
          <w:rFonts w:ascii="Traditional Arabic" w:eastAsia="Calibri" w:hAnsi="Traditional Arabic" w:cs="Traditional Arabic"/>
          <w:sz w:val="32"/>
          <w:szCs w:val="32"/>
          <w:rtl/>
          <w:lang w:val="en-US"/>
        </w:rPr>
        <w:t>فجوة سياقية: ندرة الدراسات التي تناولت التكامل المؤسسي في بيئة المنظمات التابعة لمجلس التعاون الخليجي كإطار تحليلي مستقل</w:t>
      </w:r>
      <w:r w:rsidRPr="00EF1F40">
        <w:rPr>
          <w:rFonts w:ascii="Traditional Arabic" w:eastAsia="Calibri" w:hAnsi="Traditional Arabic" w:cs="Traditional Arabic"/>
          <w:sz w:val="32"/>
          <w:szCs w:val="32"/>
          <w:lang w:val="en-US"/>
        </w:rPr>
        <w:t>.</w:t>
      </w:r>
    </w:p>
    <w:p w14:paraId="1756AD1B" w14:textId="0EDBC350" w:rsidR="00EF1F40" w:rsidRDefault="00EF1F40" w:rsidP="00EE28CE">
      <w:pPr>
        <w:bidi/>
        <w:spacing w:line="360" w:lineRule="auto"/>
        <w:jc w:val="both"/>
        <w:rPr>
          <w:rFonts w:ascii="Traditional Arabic" w:eastAsia="Calibri" w:hAnsi="Traditional Arabic" w:cs="Traditional Arabic"/>
          <w:sz w:val="32"/>
          <w:szCs w:val="32"/>
          <w:rtl/>
          <w:lang w:val="en-US"/>
        </w:rPr>
      </w:pPr>
      <w:r w:rsidRPr="00EF1F40">
        <w:rPr>
          <w:rFonts w:ascii="Traditional Arabic" w:eastAsia="Calibri" w:hAnsi="Traditional Arabic" w:cs="Traditional Arabic"/>
          <w:sz w:val="32"/>
          <w:szCs w:val="32"/>
          <w:rtl/>
          <w:lang w:val="en-US"/>
        </w:rPr>
        <w:t>ومن ثم، تسعى الدراسة الحالية إلى سد هذه الفجوة من خلال بناء نموذج تحليلي يربط بين مستوى نضج التخطيط الاستراتيجي وتعزيز التكامل المؤسسي، بما يسهم في تقديم إطار علمي يمكن الاستفادة منه في تطوير الممارسات الاستراتيجية في المنظمات الخليجية</w:t>
      </w:r>
      <w:r w:rsidRPr="00EF1F40">
        <w:rPr>
          <w:rFonts w:ascii="Traditional Arabic" w:eastAsia="Calibri" w:hAnsi="Traditional Arabic" w:cs="Traditional Arabic"/>
          <w:sz w:val="32"/>
          <w:szCs w:val="32"/>
          <w:lang w:val="en-US"/>
        </w:rPr>
        <w:t>.</w:t>
      </w:r>
    </w:p>
    <w:p w14:paraId="09723F03" w14:textId="77777777" w:rsidR="008F3A2C" w:rsidRDefault="008F3A2C" w:rsidP="008F3A2C">
      <w:pPr>
        <w:bidi/>
        <w:spacing w:line="360" w:lineRule="auto"/>
        <w:jc w:val="both"/>
        <w:rPr>
          <w:rFonts w:ascii="Traditional Arabic" w:eastAsia="Calibri" w:hAnsi="Traditional Arabic" w:cs="Traditional Arabic"/>
          <w:sz w:val="32"/>
          <w:szCs w:val="32"/>
          <w:rtl/>
          <w:lang w:val="en-US"/>
        </w:rPr>
      </w:pPr>
    </w:p>
    <w:p w14:paraId="6D5199AC" w14:textId="7187AF56" w:rsidR="008F3A2C" w:rsidRPr="00C110EB" w:rsidRDefault="008F3A2C" w:rsidP="008F3A2C">
      <w:pPr>
        <w:bidi/>
        <w:spacing w:line="360" w:lineRule="auto"/>
        <w:jc w:val="both"/>
        <w:rPr>
          <w:rFonts w:ascii="Traditional Arabic" w:eastAsia="Calibri" w:hAnsi="Traditional Arabic" w:cs="Traditional Arabic"/>
          <w:b/>
          <w:bCs/>
          <w:sz w:val="32"/>
          <w:szCs w:val="32"/>
          <w:rtl/>
          <w:lang w:val="en-US" w:bidi="ar-JO"/>
        </w:rPr>
      </w:pPr>
      <w:r w:rsidRPr="00C110EB">
        <w:rPr>
          <w:rFonts w:ascii="Traditional Arabic" w:eastAsia="Calibri" w:hAnsi="Traditional Arabic" w:cs="Traditional Arabic" w:hint="cs"/>
          <w:b/>
          <w:bCs/>
          <w:sz w:val="32"/>
          <w:szCs w:val="32"/>
          <w:rtl/>
          <w:lang w:val="en-US"/>
        </w:rPr>
        <w:t>التحليل المقارن</w:t>
      </w:r>
    </w:p>
    <w:p w14:paraId="263EAC9D" w14:textId="1FE09421" w:rsidR="00EF1F40" w:rsidRPr="00C110EB" w:rsidRDefault="00EE28CE" w:rsidP="008F3A2C">
      <w:pPr>
        <w:bidi/>
        <w:spacing w:line="360" w:lineRule="auto"/>
        <w:jc w:val="both"/>
        <w:rPr>
          <w:rFonts w:ascii="Traditional Arabic" w:eastAsia="Calibri" w:hAnsi="Traditional Arabic" w:cs="Traditional Arabic"/>
          <w:sz w:val="32"/>
          <w:szCs w:val="32"/>
          <w:rtl/>
          <w:lang w:val="en-US"/>
        </w:rPr>
      </w:pPr>
      <w:r w:rsidRPr="00C110EB">
        <w:rPr>
          <w:rFonts w:ascii="Traditional Arabic" w:eastAsia="Calibri" w:hAnsi="Traditional Arabic" w:cs="Traditional Arabic"/>
          <w:sz w:val="32"/>
          <w:szCs w:val="32"/>
          <w:rtl/>
          <w:lang w:val="en-US"/>
        </w:rPr>
        <w:t xml:space="preserve">وبناءً على ما تم عرضه وتحليله من الدراسات السابقة، يتضح وجود اتجاه عام يدعم وجود علاقات تأثيرية بين التخطيط الاستراتيجي والأداء المؤسسي، رغم وجود تباين في نتائج بعض الدراسات تبعًا لاختلاف البيئات التطبيقية. </w:t>
      </w:r>
      <w:r w:rsidRPr="00C110EB">
        <w:rPr>
          <w:rFonts w:ascii="Traditional Arabic" w:eastAsia="Calibri" w:hAnsi="Traditional Arabic" w:cs="Traditional Arabic"/>
          <w:sz w:val="32"/>
          <w:szCs w:val="32"/>
          <w:rtl/>
          <w:lang w:val="en-US"/>
        </w:rPr>
        <w:lastRenderedPageBreak/>
        <w:t>ويشكل ذلك أساسًا علميًا لبناء فرضيات الدراسة الحالية واختبارها، دون الحاجة إلى تكرارها في هذا الفصل، حيث تم عرضها بشكل منهجي في الفصل الأول استنادًا إلى هذا الإطار النظري.</w:t>
      </w:r>
    </w:p>
    <w:p w14:paraId="7FF85EBB" w14:textId="27254BD1" w:rsidR="008F3A2C" w:rsidRPr="00C110EB" w:rsidRDefault="008F3A2C" w:rsidP="008F3A2C">
      <w:pPr>
        <w:bidi/>
        <w:spacing w:line="360" w:lineRule="auto"/>
        <w:jc w:val="both"/>
        <w:rPr>
          <w:rFonts w:ascii="Traditional Arabic" w:eastAsia="Calibri" w:hAnsi="Traditional Arabic" w:cs="Traditional Arabic"/>
          <w:sz w:val="32"/>
          <w:szCs w:val="32"/>
          <w:rtl/>
          <w:lang w:val="en-US"/>
        </w:rPr>
      </w:pPr>
      <w:r w:rsidRPr="00C110EB">
        <w:rPr>
          <w:rFonts w:ascii="Traditional Arabic" w:eastAsia="Calibri" w:hAnsi="Traditional Arabic" w:cs="Traditional Arabic"/>
          <w:sz w:val="32"/>
          <w:szCs w:val="32"/>
          <w:rtl/>
          <w:lang w:val="en-US"/>
        </w:rPr>
        <w:t>يتضح من خلال التحليل المقارن للدراسات السابقة وجود اهتمام متزايد بدراسة دور التخطيط الاستراتيجي في تحسين الأداء المؤسسي وتعزيز فاعلية النظم التنظيمية، حيث أجمعت معظم الدراسات على أهمية التخطيط الاستراتيجي بوصفه أداة محورية لتحقيق الكفاءة المؤسسية ودعم عمليات اتخاذ القرار. كما بينت عدد من الدراسات أن تطور ممارسات التخطيط الاستراتيجي وارتفاع مستوى نضجها يسهمان في تحسين التنسيق بين الوحدات التنظيمية وتعزيز التكامل بين مكونات المنظمة، وهو ما ظهر في دراسات تناولت العلاقة بين التخطيط الاستراتيجي والأداء أو التميز المؤسسي، مثل دراسات (مسعود وعلماوي، 2025) و</w:t>
      </w:r>
      <w:r w:rsidRPr="00C110EB">
        <w:rPr>
          <w:rFonts w:ascii="Traditional Arabic" w:eastAsia="Calibri" w:hAnsi="Traditional Arabic" w:cs="Traditional Arabic"/>
          <w:sz w:val="32"/>
          <w:szCs w:val="32"/>
          <w:lang w:val="en-US"/>
        </w:rPr>
        <w:t>Alotaibi, 2023</w:t>
      </w:r>
      <w:r w:rsidRPr="00C110EB">
        <w:rPr>
          <w:rFonts w:ascii="Traditional Arabic" w:eastAsia="Calibri" w:hAnsi="Traditional Arabic" w:cs="Traditional Arabic"/>
          <w:sz w:val="32"/>
          <w:szCs w:val="32"/>
          <w:rtl/>
          <w:lang w:val="en-US"/>
        </w:rPr>
        <w:t>).</w:t>
      </w:r>
    </w:p>
    <w:p w14:paraId="09AF7325" w14:textId="2DC2D9AB" w:rsidR="008F3A2C" w:rsidRPr="00C110EB" w:rsidRDefault="008F3A2C" w:rsidP="008F3A2C">
      <w:pPr>
        <w:bidi/>
        <w:spacing w:line="360" w:lineRule="auto"/>
        <w:jc w:val="both"/>
        <w:rPr>
          <w:rFonts w:ascii="Traditional Arabic" w:eastAsia="Calibri" w:hAnsi="Traditional Arabic" w:cs="Traditional Arabic"/>
          <w:sz w:val="32"/>
          <w:szCs w:val="32"/>
          <w:rtl/>
          <w:lang w:val="en-US"/>
        </w:rPr>
      </w:pPr>
      <w:r w:rsidRPr="00C110EB">
        <w:rPr>
          <w:rFonts w:ascii="Traditional Arabic" w:eastAsia="Calibri" w:hAnsi="Traditional Arabic" w:cs="Traditional Arabic"/>
          <w:sz w:val="32"/>
          <w:szCs w:val="32"/>
          <w:rtl/>
          <w:lang w:val="en-US"/>
        </w:rPr>
        <w:t>وفي المقابل، أظهرت بعض الدراسات تباينًا في نتائجها من حيث قوة التأثير أو طبيعة العلاقة، حيث أشارت دراسات مثل (الحاتمي، 2020) و</w:t>
      </w:r>
      <w:r w:rsidRPr="00C110EB">
        <w:rPr>
          <w:rFonts w:ascii="Traditional Arabic" w:eastAsia="Calibri" w:hAnsi="Traditional Arabic" w:cs="Traditional Arabic" w:hint="cs"/>
          <w:sz w:val="32"/>
          <w:szCs w:val="32"/>
          <w:rtl/>
          <w:lang w:val="en-US" w:bidi="ar-AE"/>
        </w:rPr>
        <w:t>(</w:t>
      </w:r>
      <w:r w:rsidRPr="00C110EB">
        <w:rPr>
          <w:rFonts w:ascii="Traditional Arabic" w:eastAsia="Calibri" w:hAnsi="Traditional Arabic" w:cs="Traditional Arabic"/>
          <w:sz w:val="32"/>
          <w:szCs w:val="32"/>
          <w:lang w:val="en-US"/>
        </w:rPr>
        <w:t>Alosani et al. 2020</w:t>
      </w:r>
      <w:r w:rsidRPr="00C110EB">
        <w:rPr>
          <w:rFonts w:ascii="Traditional Arabic" w:eastAsia="Calibri" w:hAnsi="Traditional Arabic" w:cs="Traditional Arabic"/>
          <w:sz w:val="32"/>
          <w:szCs w:val="32"/>
          <w:rtl/>
          <w:lang w:val="en-US"/>
        </w:rPr>
        <w:t>) إلى أن تأثير التخطيط الاستراتيجي قد يكون غير مباشر من خلال متغيرات وسيطة، مثل المرونة الاستراتيجية أو الابتكار، مما يعكس أن العلاقة بين التخطيط الاستراتيجي ونتائج الأداء أو التكامل المؤسسي ليست خطية دائمًا، بل تتأثر بعوامل تنظيمية وسياقية متعددة، مثل الثقافة التنظيمية، وهيكل الحوكمة، ومستوى نضج العمليات الإدارية.</w:t>
      </w:r>
    </w:p>
    <w:p w14:paraId="159B9AD2" w14:textId="4F55E86F" w:rsidR="008F3A2C" w:rsidRPr="00C110EB" w:rsidRDefault="008F3A2C" w:rsidP="008F3A2C">
      <w:pPr>
        <w:bidi/>
        <w:spacing w:line="360" w:lineRule="auto"/>
        <w:jc w:val="both"/>
        <w:rPr>
          <w:rFonts w:ascii="Traditional Arabic" w:eastAsia="Calibri" w:hAnsi="Traditional Arabic" w:cs="Traditional Arabic"/>
          <w:sz w:val="32"/>
          <w:szCs w:val="32"/>
          <w:rtl/>
          <w:lang w:val="en-US"/>
        </w:rPr>
      </w:pPr>
      <w:r w:rsidRPr="00C110EB">
        <w:rPr>
          <w:rFonts w:ascii="Traditional Arabic" w:eastAsia="Calibri" w:hAnsi="Traditional Arabic" w:cs="Traditional Arabic"/>
          <w:sz w:val="32"/>
          <w:szCs w:val="32"/>
          <w:rtl/>
          <w:lang w:val="en-US"/>
        </w:rPr>
        <w:t xml:space="preserve">وعلى الرغم من هذا التراكم المعرفي، إلا أن معظم الدراسات السابقة ركزت على أثر التخطيط الاستراتيجي بصورة عامة، دون التعمق في تحليل مستوى نضج التخطيط الاستراتيجي بوصفه متغيرًا تحليليًا يعكس درجة تطور الممارسات الاستراتيجية داخل المنظمة. كما أن عددًا محدودًا من الدراسات تناول مفهوم التكامل المؤسسي بصورة مباشرة أو </w:t>
      </w:r>
      <w:r w:rsidRPr="00C110EB">
        <w:rPr>
          <w:rFonts w:ascii="Traditional Arabic" w:eastAsia="Calibri" w:hAnsi="Traditional Arabic" w:cs="Traditional Arabic"/>
          <w:sz w:val="32"/>
          <w:szCs w:val="32"/>
          <w:rtl/>
          <w:lang w:val="en-US"/>
        </w:rPr>
        <w:lastRenderedPageBreak/>
        <w:t>ضمن إطار تحليلي واضح، في حين ركزت غالبية الدراسات على الأداء المؤسسي أو التميز التنظيمي كمخرجات رئيسة</w:t>
      </w:r>
      <w:r w:rsidRPr="00C110EB">
        <w:rPr>
          <w:rFonts w:ascii="Traditional Arabic" w:eastAsia="Calibri" w:hAnsi="Traditional Arabic" w:cs="Traditional Arabic"/>
          <w:sz w:val="32"/>
          <w:szCs w:val="32"/>
          <w:lang w:val="en-US"/>
        </w:rPr>
        <w:t>.</w:t>
      </w:r>
    </w:p>
    <w:p w14:paraId="4A190FF9" w14:textId="1BFCE124" w:rsidR="008F3A2C" w:rsidRPr="00C110EB" w:rsidRDefault="008F3A2C" w:rsidP="008F3A2C">
      <w:pPr>
        <w:bidi/>
        <w:spacing w:line="360" w:lineRule="auto"/>
        <w:jc w:val="both"/>
        <w:rPr>
          <w:rFonts w:ascii="Traditional Arabic" w:eastAsia="Calibri" w:hAnsi="Traditional Arabic" w:cs="Traditional Arabic"/>
          <w:sz w:val="32"/>
          <w:szCs w:val="32"/>
          <w:rtl/>
          <w:lang w:val="en-US"/>
        </w:rPr>
      </w:pPr>
      <w:r w:rsidRPr="00C110EB">
        <w:rPr>
          <w:rFonts w:ascii="Traditional Arabic" w:eastAsia="Calibri" w:hAnsi="Traditional Arabic" w:cs="Traditional Arabic"/>
          <w:sz w:val="32"/>
          <w:szCs w:val="32"/>
          <w:rtl/>
          <w:lang w:val="en-US"/>
        </w:rPr>
        <w:t>إضافة إلى ذلك، يلاحظ وجود نقص في الدراسات التي تناولت العلاقة بين نضج التخطيط الاستراتيجي والتكامل المؤسسي في المنظمات التابعة لمجلس التعاون الخليجي، على الرغم من خصوصية هذه البيئة من حيث البنية التنظيمية، والتوجهات التنموية، والتحولات الاستراتيجية المرتبطة برؤى التنمية الخليجية. كما أن بعض الدراسات اعتمدت على مناهج نوعية أو دراسات حالة محدودة، مما يحد من إمكانية تعميم نتائجها أو قياس قوة العلاقات بين المتغيرات بصورة دقيقة</w:t>
      </w:r>
      <w:r w:rsidRPr="00C110EB">
        <w:rPr>
          <w:rFonts w:ascii="Traditional Arabic" w:eastAsia="Calibri" w:hAnsi="Traditional Arabic" w:cs="Traditional Arabic"/>
          <w:sz w:val="32"/>
          <w:szCs w:val="32"/>
          <w:lang w:val="en-US"/>
        </w:rPr>
        <w:t>.</w:t>
      </w:r>
    </w:p>
    <w:p w14:paraId="4E5B7220" w14:textId="3FF458BB" w:rsidR="008F3A2C" w:rsidRPr="00C110EB" w:rsidRDefault="008F3A2C" w:rsidP="008F3A2C">
      <w:pPr>
        <w:bidi/>
        <w:spacing w:line="360" w:lineRule="auto"/>
        <w:jc w:val="both"/>
        <w:rPr>
          <w:rFonts w:ascii="Traditional Arabic" w:eastAsia="Calibri" w:hAnsi="Traditional Arabic" w:cs="Traditional Arabic"/>
          <w:sz w:val="32"/>
          <w:szCs w:val="32"/>
          <w:rtl/>
          <w:lang w:val="en-US"/>
        </w:rPr>
      </w:pPr>
      <w:r w:rsidRPr="00C110EB">
        <w:rPr>
          <w:rFonts w:ascii="Traditional Arabic" w:eastAsia="Calibri" w:hAnsi="Traditional Arabic" w:cs="Traditional Arabic"/>
          <w:sz w:val="32"/>
          <w:szCs w:val="32"/>
          <w:rtl/>
          <w:lang w:val="en-US"/>
        </w:rPr>
        <w:t>ومن هنا تنبع أهمية الدراسة الحالية في محاولة سد هذه الفجوة البحثية، من خلال تحليل مستوى نضج التخطيط الاستراتيجي، واختبار أثره في تعزيز التكامل المؤسسي ضمن سياق المنظمات التابعة لمجلس التعاون الخليجي، وباستخدام نموذج تحليلي كمي يسمح بقياس طبيعة العلاقة بين المتغيرات بصورة أكثر دقة وعمقًا</w:t>
      </w:r>
      <w:r w:rsidRPr="00C110EB">
        <w:rPr>
          <w:rFonts w:ascii="Traditional Arabic" w:eastAsia="Calibri" w:hAnsi="Traditional Arabic" w:cs="Traditional Arabic"/>
          <w:sz w:val="32"/>
          <w:szCs w:val="32"/>
          <w:lang w:val="en-US"/>
        </w:rPr>
        <w:t>.</w:t>
      </w:r>
    </w:p>
    <w:p w14:paraId="059F7515" w14:textId="25360B45" w:rsidR="00EE28CE" w:rsidRPr="00EE28CE" w:rsidRDefault="008F3A2C" w:rsidP="008F3A2C">
      <w:pPr>
        <w:bidi/>
        <w:spacing w:line="360" w:lineRule="auto"/>
        <w:jc w:val="both"/>
        <w:rPr>
          <w:rFonts w:ascii="Traditional Arabic" w:eastAsia="Calibri" w:hAnsi="Traditional Arabic" w:cs="Traditional Arabic"/>
          <w:sz w:val="32"/>
          <w:szCs w:val="32"/>
          <w:rtl/>
          <w:lang w:val="en-US"/>
        </w:rPr>
      </w:pPr>
      <w:r w:rsidRPr="00C110EB">
        <w:rPr>
          <w:rFonts w:ascii="Traditional Arabic" w:eastAsia="Calibri" w:hAnsi="Traditional Arabic" w:cs="Traditional Arabic"/>
          <w:sz w:val="32"/>
          <w:szCs w:val="32"/>
          <w:rtl/>
          <w:lang w:val="en-US"/>
        </w:rPr>
        <w:t>وبناءً على ما سبق، تم بناء نموذج الدراسة الحالية واستخلاص فرضياتها استنادًا إلى ما توصلت إليه الدراسات السابقة، مع الأخذ بعين الاعتبار الفجوة البحثية القائمة، وذلك بهدف تقديم إضافة علمية تسهم في تفسير دور نضج التخطيط الاستراتيجي في تحقيق التكامل المؤسسي في البيئة الخليجية.</w:t>
      </w:r>
    </w:p>
    <w:p w14:paraId="74E5BBB1" w14:textId="2B39AE9E" w:rsidR="00EF1F40" w:rsidRPr="00EF1F40" w:rsidRDefault="00EF1F40" w:rsidP="00EE28CE">
      <w:pPr>
        <w:pageBreakBefore/>
        <w:bidi/>
        <w:spacing w:line="360" w:lineRule="auto"/>
        <w:rPr>
          <w:rFonts w:ascii="Times New Roman" w:eastAsia="Calibri" w:hAnsi="Times New Roman" w:cs="Times New Roman"/>
          <w:b/>
          <w:bCs/>
          <w:sz w:val="28"/>
          <w:szCs w:val="28"/>
        </w:rPr>
      </w:pPr>
      <w:r w:rsidRPr="00EF1F40">
        <w:rPr>
          <w:rFonts w:ascii="Times New Roman" w:eastAsia="Calibri" w:hAnsi="Times New Roman" w:cs="Times New Roman"/>
          <w:b/>
          <w:bCs/>
          <w:sz w:val="28"/>
          <w:szCs w:val="28"/>
          <w:rtl/>
        </w:rPr>
        <w:lastRenderedPageBreak/>
        <w:t>قائمة المراجع</w:t>
      </w:r>
    </w:p>
    <w:p w14:paraId="6C64B60B" w14:textId="5254EFCE" w:rsidR="002068E6" w:rsidRPr="00EC2BDA" w:rsidRDefault="007E1848" w:rsidP="00EC2BDA">
      <w:pPr>
        <w:keepNext/>
        <w:keepLines/>
        <w:bidi/>
        <w:spacing w:after="0" w:line="360" w:lineRule="auto"/>
        <w:outlineLvl w:val="1"/>
        <w:rPr>
          <w:rFonts w:ascii="Traditional Arabic" w:eastAsia="等线 Light" w:hAnsi="Traditional Arabic" w:cs="Traditional Arabic"/>
          <w:b/>
          <w:bCs/>
          <w:color w:val="000000"/>
          <w:sz w:val="28"/>
          <w:szCs w:val="28"/>
          <w:rtl/>
          <w:lang w:val="en-US" w:bidi="ar-JO"/>
        </w:rPr>
      </w:pPr>
      <w:bookmarkStart w:id="7" w:name="_Toc205057561"/>
      <w:r w:rsidRPr="00FB712A">
        <w:rPr>
          <w:rFonts w:ascii="Traditional Arabic" w:eastAsia="等线 Light" w:hAnsi="Traditional Arabic" w:cs="Traditional Arabic"/>
          <w:b/>
          <w:bCs/>
          <w:color w:val="000000"/>
          <w:sz w:val="28"/>
          <w:szCs w:val="28"/>
          <w:rtl/>
          <w:lang w:val="en-US" w:bidi="ar-JO"/>
        </w:rPr>
        <w:t>أولاً: المراجع العربية</w:t>
      </w:r>
      <w:bookmarkEnd w:id="7"/>
    </w:p>
    <w:p w14:paraId="7B5AF25D" w14:textId="62785CE1" w:rsidR="00EF1F40" w:rsidRPr="00EF1F40" w:rsidRDefault="00EF1F40" w:rsidP="00EE28CE">
      <w:pPr>
        <w:bidi/>
        <w:spacing w:after="0" w:line="360" w:lineRule="auto"/>
        <w:ind w:left="720" w:hanging="720"/>
        <w:jc w:val="both"/>
        <w:rPr>
          <w:rFonts w:ascii="Traditional Arabic" w:eastAsia="Calibri" w:hAnsi="Traditional Arabic" w:cs="Traditional Arabic"/>
          <w:sz w:val="28"/>
          <w:szCs w:val="28"/>
          <w:lang w:val="en-US"/>
        </w:rPr>
      </w:pPr>
      <w:r w:rsidRPr="00EF1F40">
        <w:rPr>
          <w:rFonts w:ascii="Traditional Arabic" w:eastAsia="Calibri" w:hAnsi="Traditional Arabic" w:cs="Traditional Arabic"/>
          <w:sz w:val="28"/>
          <w:szCs w:val="28"/>
          <w:rtl/>
          <w:lang w:val="en-US"/>
        </w:rPr>
        <w:t>الحاتمي، بدر بن سيف بن علي. (2020</w:t>
      </w:r>
      <w:r w:rsidR="00EE28CE">
        <w:rPr>
          <w:rFonts w:ascii="Traditional Arabic" w:eastAsia="Calibri" w:hAnsi="Traditional Arabic" w:cs="Traditional Arabic" w:hint="cs"/>
          <w:sz w:val="28"/>
          <w:szCs w:val="28"/>
          <w:rtl/>
          <w:lang w:val="en-US"/>
        </w:rPr>
        <w:t>)</w:t>
      </w:r>
      <w:r w:rsidRPr="00EF1F40">
        <w:rPr>
          <w:rFonts w:ascii="Traditional Arabic" w:eastAsia="Calibri" w:hAnsi="Traditional Arabic" w:cs="Traditional Arabic"/>
          <w:sz w:val="28"/>
          <w:szCs w:val="28"/>
          <w:lang w:val="en-US"/>
        </w:rPr>
        <w:t xml:space="preserve">. </w:t>
      </w:r>
      <w:r w:rsidRPr="00EF1F40">
        <w:rPr>
          <w:rFonts w:ascii="Traditional Arabic" w:eastAsia="Calibri" w:hAnsi="Traditional Arabic" w:cs="Traditional Arabic"/>
          <w:i/>
          <w:iCs/>
          <w:sz w:val="28"/>
          <w:szCs w:val="28"/>
          <w:rtl/>
          <w:lang w:val="en-US"/>
        </w:rPr>
        <w:t>التخطيط الاستراتيجي وأثره في الأداء المؤسسي: المرونة الاستراتيجية متغيرا وسيطا – دراسة ميدانية على الهيئات العامة في سلطنة عمان</w:t>
      </w:r>
      <w:r w:rsidRPr="00EF1F40">
        <w:rPr>
          <w:rFonts w:ascii="Traditional Arabic" w:eastAsia="Calibri" w:hAnsi="Traditional Arabic" w:cs="Traditional Arabic"/>
          <w:sz w:val="28"/>
          <w:szCs w:val="28"/>
          <w:rtl/>
          <w:lang w:val="en-US"/>
        </w:rPr>
        <w:t xml:space="preserve"> (رسالة دكتوراه غير منشورة). جامعة مؤتة، كلية الدراسات العليا، الأردن</w:t>
      </w:r>
      <w:r w:rsidRPr="00EF1F40">
        <w:rPr>
          <w:rFonts w:ascii="Traditional Arabic" w:eastAsia="Calibri" w:hAnsi="Traditional Arabic" w:cs="Traditional Arabic"/>
          <w:sz w:val="28"/>
          <w:szCs w:val="28"/>
          <w:lang w:val="en-US"/>
        </w:rPr>
        <w:t>.</w:t>
      </w:r>
    </w:p>
    <w:p w14:paraId="6B10C741" w14:textId="1E3DDFB8" w:rsidR="00EF1F40" w:rsidRPr="00EF1F40" w:rsidRDefault="00EF1F40" w:rsidP="00EF1F40">
      <w:pPr>
        <w:bidi/>
        <w:spacing w:after="0" w:line="360" w:lineRule="auto"/>
        <w:ind w:left="720" w:hanging="720"/>
        <w:jc w:val="both"/>
        <w:rPr>
          <w:rFonts w:ascii="Traditional Arabic" w:eastAsia="Calibri" w:hAnsi="Traditional Arabic" w:cs="Traditional Arabic"/>
          <w:sz w:val="28"/>
          <w:szCs w:val="28"/>
          <w:lang w:val="en-US"/>
        </w:rPr>
      </w:pPr>
      <w:r w:rsidRPr="00EF1F40">
        <w:rPr>
          <w:rFonts w:ascii="Traditional Arabic" w:eastAsia="Calibri" w:hAnsi="Traditional Arabic" w:cs="Traditional Arabic"/>
          <w:sz w:val="28"/>
          <w:szCs w:val="28"/>
          <w:rtl/>
          <w:lang w:val="en-US"/>
        </w:rPr>
        <w:t>الدقن، أحمد. (2019). معوقات التخطيط الاستراتيجي للتحول الرقمي في المنظمات العامة العربية وآليات التغلب عليها</w:t>
      </w:r>
      <w:r w:rsidRPr="00EF1F40">
        <w:rPr>
          <w:rFonts w:ascii="Traditional Arabic" w:eastAsia="Calibri" w:hAnsi="Traditional Arabic" w:cs="Traditional Arabic"/>
          <w:sz w:val="28"/>
          <w:szCs w:val="28"/>
          <w:lang w:val="en-US"/>
        </w:rPr>
        <w:t xml:space="preserve">. </w:t>
      </w:r>
      <w:r w:rsidRPr="00EF1F40">
        <w:rPr>
          <w:rFonts w:ascii="Traditional Arabic" w:eastAsia="Calibri" w:hAnsi="Traditional Arabic" w:cs="Traditional Arabic"/>
          <w:i/>
          <w:iCs/>
          <w:sz w:val="28"/>
          <w:szCs w:val="28"/>
          <w:rtl/>
          <w:lang w:val="en-US"/>
        </w:rPr>
        <w:t>مجلة البحوث والدراسات العربية، 1</w:t>
      </w:r>
      <w:r w:rsidRPr="00EF1F40">
        <w:rPr>
          <w:rFonts w:ascii="Traditional Arabic" w:eastAsia="Calibri" w:hAnsi="Traditional Arabic" w:cs="Traditional Arabic"/>
          <w:sz w:val="28"/>
          <w:szCs w:val="28"/>
          <w:lang w:val="en-US"/>
        </w:rPr>
        <w:t>(70)</w:t>
      </w:r>
      <w:r w:rsidRPr="00EF1F40">
        <w:rPr>
          <w:rFonts w:ascii="Traditional Arabic" w:eastAsia="Calibri" w:hAnsi="Traditional Arabic" w:cs="Traditional Arabic"/>
          <w:sz w:val="28"/>
          <w:szCs w:val="28"/>
          <w:rtl/>
          <w:lang w:val="en-US"/>
        </w:rPr>
        <w:t>، 321–356.</w:t>
      </w:r>
    </w:p>
    <w:p w14:paraId="7DB8F0FC" w14:textId="08EFE658" w:rsidR="00EF1F40" w:rsidRPr="00EF1F40" w:rsidRDefault="00EF1F40" w:rsidP="00EF1F40">
      <w:pPr>
        <w:bidi/>
        <w:spacing w:after="0" w:line="360" w:lineRule="auto"/>
        <w:ind w:left="720" w:hanging="720"/>
        <w:jc w:val="both"/>
        <w:rPr>
          <w:rFonts w:ascii="Traditional Arabic" w:eastAsia="Calibri" w:hAnsi="Traditional Arabic" w:cs="Traditional Arabic"/>
          <w:sz w:val="28"/>
          <w:szCs w:val="28"/>
          <w:lang w:val="en-US"/>
        </w:rPr>
      </w:pPr>
      <w:r w:rsidRPr="00EF1F40">
        <w:rPr>
          <w:rFonts w:ascii="Traditional Arabic" w:eastAsia="Calibri" w:hAnsi="Traditional Arabic" w:cs="Traditional Arabic"/>
          <w:sz w:val="28"/>
          <w:szCs w:val="28"/>
          <w:rtl/>
          <w:lang w:val="en-US"/>
        </w:rPr>
        <w:t>السلمي، مفلح. (2021). التخطيط الاستراتيجي والأداء الوظيفي في المؤسسات الأمنية: دراسة تحليلية</w:t>
      </w:r>
      <w:r w:rsidRPr="00EF1F40">
        <w:rPr>
          <w:rFonts w:ascii="Traditional Arabic" w:eastAsia="Calibri" w:hAnsi="Traditional Arabic" w:cs="Traditional Arabic"/>
          <w:sz w:val="28"/>
          <w:szCs w:val="28"/>
          <w:lang w:val="en-US"/>
        </w:rPr>
        <w:t xml:space="preserve">. </w:t>
      </w:r>
      <w:r w:rsidRPr="00EF1F40">
        <w:rPr>
          <w:rFonts w:ascii="Traditional Arabic" w:eastAsia="Calibri" w:hAnsi="Traditional Arabic" w:cs="Traditional Arabic"/>
          <w:i/>
          <w:iCs/>
          <w:sz w:val="28"/>
          <w:szCs w:val="28"/>
          <w:rtl/>
          <w:lang w:val="en-US"/>
        </w:rPr>
        <w:t>مجلة البحوث الأمنية، 31</w:t>
      </w:r>
      <w:r w:rsidRPr="00EF1F40">
        <w:rPr>
          <w:rFonts w:ascii="Traditional Arabic" w:eastAsia="Calibri" w:hAnsi="Traditional Arabic" w:cs="Traditional Arabic"/>
          <w:sz w:val="28"/>
          <w:szCs w:val="28"/>
          <w:lang w:val="en-US"/>
        </w:rPr>
        <w:t>(81)</w:t>
      </w:r>
      <w:r w:rsidRPr="00EF1F40">
        <w:rPr>
          <w:rFonts w:ascii="Traditional Arabic" w:eastAsia="Calibri" w:hAnsi="Traditional Arabic" w:cs="Traditional Arabic"/>
          <w:sz w:val="28"/>
          <w:szCs w:val="28"/>
          <w:rtl/>
          <w:lang w:val="en-US"/>
        </w:rPr>
        <w:t>، 175–260.</w:t>
      </w:r>
    </w:p>
    <w:p w14:paraId="72804B5B" w14:textId="77777777" w:rsidR="00EC2BDA" w:rsidRDefault="00EF1F40" w:rsidP="00EF1F40">
      <w:pPr>
        <w:bidi/>
        <w:spacing w:after="0" w:line="360" w:lineRule="auto"/>
        <w:ind w:left="720" w:hanging="720"/>
        <w:jc w:val="both"/>
        <w:rPr>
          <w:rFonts w:ascii="Traditional Arabic" w:eastAsia="Calibri" w:hAnsi="Traditional Arabic" w:cs="Traditional Arabic"/>
          <w:sz w:val="28"/>
          <w:szCs w:val="28"/>
          <w:rtl/>
          <w:lang w:val="en-US"/>
        </w:rPr>
      </w:pPr>
      <w:r w:rsidRPr="00EF1F40">
        <w:rPr>
          <w:rFonts w:ascii="Traditional Arabic" w:eastAsia="Calibri" w:hAnsi="Traditional Arabic" w:cs="Traditional Arabic"/>
          <w:sz w:val="28"/>
          <w:szCs w:val="28"/>
          <w:rtl/>
          <w:lang w:val="en-US"/>
        </w:rPr>
        <w:t>السيد، منال، عثمان، أماني، وعلي، أحمد. (2024). أثر التخطيط الاستراتيجي على الأداء الاجتماعي في القطاع الحكومي: دراسة ميدانية على وزارة التخطيط والتنمية الاقتصادية</w:t>
      </w:r>
      <w:r w:rsidRPr="00EF1F40">
        <w:rPr>
          <w:rFonts w:ascii="Traditional Arabic" w:eastAsia="Calibri" w:hAnsi="Traditional Arabic" w:cs="Traditional Arabic"/>
          <w:sz w:val="28"/>
          <w:szCs w:val="28"/>
          <w:lang w:val="en-US"/>
        </w:rPr>
        <w:t xml:space="preserve">. </w:t>
      </w:r>
      <w:r w:rsidRPr="00EF1F40">
        <w:rPr>
          <w:rFonts w:ascii="Traditional Arabic" w:eastAsia="Calibri" w:hAnsi="Traditional Arabic" w:cs="Traditional Arabic"/>
          <w:i/>
          <w:iCs/>
          <w:sz w:val="28"/>
          <w:szCs w:val="28"/>
          <w:rtl/>
          <w:lang w:val="en-US"/>
        </w:rPr>
        <w:t>المجلة العلمية للاقتصاد والتجارة، 1</w:t>
      </w:r>
      <w:r w:rsidRPr="00EF1F40">
        <w:rPr>
          <w:rFonts w:ascii="Traditional Arabic" w:eastAsia="Calibri" w:hAnsi="Traditional Arabic" w:cs="Traditional Arabic"/>
          <w:sz w:val="28"/>
          <w:szCs w:val="28"/>
          <w:lang w:val="en-US"/>
        </w:rPr>
        <w:t>(1)</w:t>
      </w:r>
      <w:r w:rsidRPr="00EF1F40">
        <w:rPr>
          <w:rFonts w:ascii="Traditional Arabic" w:eastAsia="Calibri" w:hAnsi="Traditional Arabic" w:cs="Traditional Arabic"/>
          <w:sz w:val="28"/>
          <w:szCs w:val="28"/>
          <w:rtl/>
          <w:lang w:val="en-US"/>
        </w:rPr>
        <w:t>، 961–994.</w:t>
      </w:r>
    </w:p>
    <w:p w14:paraId="55191CAF" w14:textId="4F73CC81" w:rsidR="00EF1F40" w:rsidRPr="00EF1F40" w:rsidRDefault="00EF1F40" w:rsidP="00EC2BDA">
      <w:pPr>
        <w:bidi/>
        <w:spacing w:after="0" w:line="360" w:lineRule="auto"/>
        <w:ind w:left="720" w:hanging="720"/>
        <w:jc w:val="both"/>
        <w:rPr>
          <w:rFonts w:ascii="Traditional Arabic" w:eastAsia="Calibri" w:hAnsi="Traditional Arabic" w:cs="Traditional Arabic"/>
          <w:sz w:val="28"/>
          <w:szCs w:val="28"/>
          <w:lang w:val="en-US"/>
        </w:rPr>
      </w:pPr>
      <w:r w:rsidRPr="00EF1F40">
        <w:rPr>
          <w:rFonts w:ascii="Traditional Arabic" w:eastAsia="Calibri" w:hAnsi="Traditional Arabic" w:cs="Traditional Arabic"/>
          <w:sz w:val="28"/>
          <w:szCs w:val="28"/>
          <w:rtl/>
          <w:lang w:val="en-US"/>
        </w:rPr>
        <w:t>الشريف، إيهاب منصور أحمد إبراهيم، وشعبان، سعيد. (2022). أثر ممارسة التخطيط الاستراتيجي على تحسين جودة الأداء المؤسسي: دراسة ميدانية بالتطبيق على جامعة القاهرة والمعهد العالي للدراسات التعاونية والإدارية</w:t>
      </w:r>
      <w:r w:rsidRPr="00EF1F40">
        <w:rPr>
          <w:rFonts w:ascii="Traditional Arabic" w:eastAsia="Calibri" w:hAnsi="Traditional Arabic" w:cs="Traditional Arabic"/>
          <w:sz w:val="28"/>
          <w:szCs w:val="28"/>
          <w:lang w:val="en-US"/>
        </w:rPr>
        <w:t xml:space="preserve">. </w:t>
      </w:r>
      <w:r w:rsidRPr="00EF1F40">
        <w:rPr>
          <w:rFonts w:ascii="Traditional Arabic" w:eastAsia="Calibri" w:hAnsi="Traditional Arabic" w:cs="Traditional Arabic"/>
          <w:i/>
          <w:iCs/>
          <w:sz w:val="28"/>
          <w:szCs w:val="28"/>
          <w:rtl/>
          <w:lang w:val="en-US"/>
        </w:rPr>
        <w:t>المجلة العلمية للدراسات التجارية والبيئية، 13</w:t>
      </w:r>
      <w:r w:rsidRPr="00EF1F40">
        <w:rPr>
          <w:rFonts w:ascii="Traditional Arabic" w:eastAsia="Calibri" w:hAnsi="Traditional Arabic" w:cs="Traditional Arabic"/>
          <w:sz w:val="28"/>
          <w:szCs w:val="28"/>
          <w:lang w:val="en-US"/>
        </w:rPr>
        <w:t>(2)</w:t>
      </w:r>
      <w:r w:rsidRPr="00EF1F40">
        <w:rPr>
          <w:rFonts w:ascii="Traditional Arabic" w:eastAsia="Calibri" w:hAnsi="Traditional Arabic" w:cs="Traditional Arabic"/>
          <w:sz w:val="28"/>
          <w:szCs w:val="28"/>
          <w:rtl/>
          <w:lang w:val="en-US"/>
        </w:rPr>
        <w:t xml:space="preserve">، </w:t>
      </w:r>
      <w:r w:rsidR="00EC2BDA" w:rsidRPr="00EC2BDA">
        <w:rPr>
          <w:rFonts w:ascii="Traditional Arabic" w:eastAsia="Calibri" w:hAnsi="Traditional Arabic" w:cs="Traditional Arabic"/>
          <w:sz w:val="28"/>
          <w:szCs w:val="28"/>
          <w:rtl/>
          <w:lang w:val="en-US"/>
        </w:rPr>
        <w:t xml:space="preserve">131–170. </w:t>
      </w:r>
      <w:r w:rsidR="00EC2BDA" w:rsidRPr="00EC2BDA">
        <w:rPr>
          <w:rFonts w:ascii="Traditional Arabic" w:eastAsia="Calibri" w:hAnsi="Traditional Arabic" w:cs="Traditional Arabic"/>
          <w:sz w:val="28"/>
          <w:szCs w:val="28"/>
          <w:lang w:val="en-US"/>
        </w:rPr>
        <w:t>https://doi.org/10.21608/jces.2022.248182</w:t>
      </w:r>
    </w:p>
    <w:p w14:paraId="3F6E58F7" w14:textId="00292DB1" w:rsidR="00EF1F40" w:rsidRPr="00EF1F40" w:rsidRDefault="00EF1F40" w:rsidP="00EC2BDA">
      <w:pPr>
        <w:bidi/>
        <w:spacing w:after="0" w:line="360" w:lineRule="auto"/>
        <w:ind w:left="720" w:hanging="720"/>
        <w:jc w:val="both"/>
        <w:rPr>
          <w:rFonts w:ascii="Traditional Arabic" w:eastAsia="Calibri" w:hAnsi="Traditional Arabic" w:cs="Traditional Arabic"/>
          <w:sz w:val="28"/>
          <w:szCs w:val="28"/>
          <w:lang w:val="en-US"/>
        </w:rPr>
      </w:pPr>
      <w:r w:rsidRPr="00EF1F40">
        <w:rPr>
          <w:rFonts w:ascii="Traditional Arabic" w:eastAsia="Calibri" w:hAnsi="Traditional Arabic" w:cs="Traditional Arabic"/>
          <w:sz w:val="28"/>
          <w:szCs w:val="28"/>
          <w:rtl/>
          <w:lang w:val="en-US"/>
        </w:rPr>
        <w:t>العرفي، توفيق، والكردي، غازي. (2025). أثر التخطيط الاستراتيجي في تطوير الأداء المؤسسي: دراسة تطبيقية على وزارة التربية والتعليم الليبية</w:t>
      </w:r>
      <w:r w:rsidRPr="00EF1F40">
        <w:rPr>
          <w:rFonts w:ascii="Traditional Arabic" w:eastAsia="Calibri" w:hAnsi="Traditional Arabic" w:cs="Traditional Arabic"/>
          <w:sz w:val="28"/>
          <w:szCs w:val="28"/>
          <w:lang w:val="en-US"/>
        </w:rPr>
        <w:t xml:space="preserve">. </w:t>
      </w:r>
      <w:r w:rsidRPr="00EF1F40">
        <w:rPr>
          <w:rFonts w:ascii="Traditional Arabic" w:eastAsia="Calibri" w:hAnsi="Traditional Arabic" w:cs="Traditional Arabic"/>
          <w:i/>
          <w:iCs/>
          <w:sz w:val="28"/>
          <w:szCs w:val="28"/>
          <w:lang w:val="en-US"/>
        </w:rPr>
        <w:t>Business Series</w:t>
      </w:r>
      <w:r w:rsidRPr="00EF1F40">
        <w:rPr>
          <w:rFonts w:ascii="Traditional Arabic" w:eastAsia="Calibri" w:hAnsi="Traditional Arabic" w:cs="Traditional Arabic"/>
          <w:i/>
          <w:iCs/>
          <w:sz w:val="28"/>
          <w:szCs w:val="28"/>
          <w:rtl/>
          <w:lang w:val="en-US"/>
        </w:rPr>
        <w:t>،</w:t>
      </w:r>
      <w:r w:rsidR="00EC2BDA" w:rsidRPr="00EC2BDA">
        <w:rPr>
          <w:rFonts w:ascii="Traditional Arabic" w:eastAsia="Calibri" w:hAnsi="Traditional Arabic" w:cs="Traditional Arabic"/>
          <w:i/>
          <w:iCs/>
          <w:sz w:val="28"/>
          <w:szCs w:val="28"/>
          <w:rtl/>
          <w:lang w:val="en-US"/>
        </w:rPr>
        <w:t xml:space="preserve"> 4(2)، 187–226. </w:t>
      </w:r>
      <w:r w:rsidR="00EC2BDA" w:rsidRPr="00EC2BDA">
        <w:rPr>
          <w:rFonts w:ascii="Traditional Arabic" w:eastAsia="Calibri" w:hAnsi="Traditional Arabic" w:cs="Traditional Arabic"/>
          <w:i/>
          <w:iCs/>
          <w:sz w:val="28"/>
          <w:szCs w:val="28"/>
          <w:lang w:val="en-US"/>
        </w:rPr>
        <w:t>https://doi.org/10.59759/business.v4i2.873</w:t>
      </w:r>
    </w:p>
    <w:p w14:paraId="0757CB15" w14:textId="77777777" w:rsidR="00EF1F40" w:rsidRPr="00EF1F40" w:rsidRDefault="00EF1F40" w:rsidP="00EF1F40">
      <w:pPr>
        <w:bidi/>
        <w:spacing w:after="0" w:line="360" w:lineRule="auto"/>
        <w:ind w:left="720" w:hanging="720"/>
        <w:jc w:val="both"/>
        <w:rPr>
          <w:rFonts w:ascii="Traditional Arabic" w:eastAsia="Calibri" w:hAnsi="Traditional Arabic" w:cs="Traditional Arabic"/>
          <w:sz w:val="28"/>
          <w:szCs w:val="28"/>
          <w:lang w:val="en-US"/>
        </w:rPr>
      </w:pPr>
      <w:r w:rsidRPr="00EF1F40">
        <w:rPr>
          <w:rFonts w:ascii="Traditional Arabic" w:eastAsia="Calibri" w:hAnsi="Traditional Arabic" w:cs="Traditional Arabic"/>
          <w:sz w:val="28"/>
          <w:szCs w:val="28"/>
          <w:rtl/>
          <w:lang w:val="en-US"/>
        </w:rPr>
        <w:t>عشقي، أنور. (2012). التخطيط الاستراتيجي الشامل ودوره في صياغة السياسة الأمنية لدول مجلس التعاون الخليجي بمفهوميها الوطني والإقليمي. ورقة مقدمة إلى مؤتمر الأمن الوطني والإقليمي لدول مجلس التعاون لدول الخليج العربية: رؤية من الداخل، مركز البحرين للدراسات الاستراتيجية والدولية والطاقة</w:t>
      </w:r>
      <w:r w:rsidRPr="00EF1F40">
        <w:rPr>
          <w:rFonts w:ascii="Traditional Arabic" w:eastAsia="Calibri" w:hAnsi="Traditional Arabic" w:cs="Traditional Arabic"/>
          <w:sz w:val="28"/>
          <w:szCs w:val="28"/>
          <w:lang w:val="en-US"/>
        </w:rPr>
        <w:t>.</w:t>
      </w:r>
    </w:p>
    <w:p w14:paraId="4E16A5D1" w14:textId="4D093C4A" w:rsidR="00EF1F40" w:rsidRPr="00EF1F40" w:rsidRDefault="00EF1F40" w:rsidP="00EC2BDA">
      <w:pPr>
        <w:bidi/>
        <w:spacing w:after="0" w:line="360" w:lineRule="auto"/>
        <w:ind w:left="720" w:hanging="720"/>
        <w:jc w:val="both"/>
        <w:rPr>
          <w:rFonts w:ascii="Traditional Arabic" w:eastAsia="Calibri" w:hAnsi="Traditional Arabic" w:cs="Traditional Arabic"/>
          <w:sz w:val="28"/>
          <w:szCs w:val="28"/>
          <w:lang w:val="en-US"/>
        </w:rPr>
      </w:pPr>
      <w:r w:rsidRPr="00EF1F40">
        <w:rPr>
          <w:rFonts w:ascii="Traditional Arabic" w:eastAsia="Calibri" w:hAnsi="Traditional Arabic" w:cs="Traditional Arabic"/>
          <w:sz w:val="28"/>
          <w:szCs w:val="28"/>
          <w:rtl/>
          <w:lang w:val="en-US"/>
        </w:rPr>
        <w:lastRenderedPageBreak/>
        <w:t>فريد، شريف، وعامر، أحمد. (2021). العلاقة بين أبعاد الذكاء الاستراتيجي واتخاذ القرارات الاستراتيجية الرشيدة في ضوء الخبرة الدولية كمتغير معدل: دراسة تطبيقية على شركات التأمين بجمهورية مصر العربية</w:t>
      </w:r>
      <w:r w:rsidRPr="00EF1F40">
        <w:rPr>
          <w:rFonts w:ascii="Traditional Arabic" w:eastAsia="Calibri" w:hAnsi="Traditional Arabic" w:cs="Traditional Arabic"/>
          <w:sz w:val="28"/>
          <w:szCs w:val="28"/>
          <w:lang w:val="en-US"/>
        </w:rPr>
        <w:t xml:space="preserve">. </w:t>
      </w:r>
      <w:r w:rsidRPr="00EF1F40">
        <w:rPr>
          <w:rFonts w:ascii="Traditional Arabic" w:eastAsia="Calibri" w:hAnsi="Traditional Arabic" w:cs="Traditional Arabic"/>
          <w:i/>
          <w:iCs/>
          <w:sz w:val="28"/>
          <w:szCs w:val="28"/>
          <w:rtl/>
          <w:lang w:val="en-US"/>
        </w:rPr>
        <w:t>المجلة العلمية للدراسات التجارية والبيئية، 12</w:t>
      </w:r>
      <w:r w:rsidRPr="00EF1F40">
        <w:rPr>
          <w:rFonts w:ascii="Traditional Arabic" w:eastAsia="Calibri" w:hAnsi="Traditional Arabic" w:cs="Traditional Arabic"/>
          <w:sz w:val="28"/>
          <w:szCs w:val="28"/>
          <w:lang w:val="en-US"/>
        </w:rPr>
        <w:t>(4)</w:t>
      </w:r>
      <w:r w:rsidRPr="00EF1F40">
        <w:rPr>
          <w:rFonts w:ascii="Traditional Arabic" w:eastAsia="Calibri" w:hAnsi="Traditional Arabic" w:cs="Traditional Arabic"/>
          <w:sz w:val="28"/>
          <w:szCs w:val="28"/>
          <w:rtl/>
          <w:lang w:val="en-US"/>
        </w:rPr>
        <w:t xml:space="preserve">، </w:t>
      </w:r>
      <w:r w:rsidR="00EC2BDA" w:rsidRPr="00EC2BDA">
        <w:rPr>
          <w:rFonts w:ascii="Traditional Arabic" w:eastAsia="Calibri" w:hAnsi="Traditional Arabic" w:cs="Traditional Arabic"/>
          <w:sz w:val="28"/>
          <w:szCs w:val="28"/>
          <w:rtl/>
          <w:lang w:val="en-US"/>
        </w:rPr>
        <w:t xml:space="preserve">1–26. </w:t>
      </w:r>
      <w:r w:rsidR="00EC2BDA" w:rsidRPr="00EC2BDA">
        <w:rPr>
          <w:rFonts w:ascii="Traditional Arabic" w:eastAsia="Calibri" w:hAnsi="Traditional Arabic" w:cs="Traditional Arabic"/>
          <w:sz w:val="28"/>
          <w:szCs w:val="28"/>
          <w:lang w:val="en-US"/>
        </w:rPr>
        <w:t>https://doi.org/10.21608/jces.2021.218367</w:t>
      </w:r>
    </w:p>
    <w:p w14:paraId="55E41DD0" w14:textId="77777777" w:rsidR="00EF1F40" w:rsidRPr="00EF1F40" w:rsidRDefault="00EF1F40" w:rsidP="00EF1F40">
      <w:pPr>
        <w:bidi/>
        <w:spacing w:after="0" w:line="360" w:lineRule="auto"/>
        <w:ind w:left="720" w:hanging="720"/>
        <w:jc w:val="both"/>
        <w:rPr>
          <w:rFonts w:ascii="Traditional Arabic" w:eastAsia="Calibri" w:hAnsi="Traditional Arabic" w:cs="Traditional Arabic"/>
          <w:sz w:val="28"/>
          <w:szCs w:val="28"/>
          <w:lang w:val="en-US"/>
        </w:rPr>
      </w:pPr>
      <w:r w:rsidRPr="00EF1F40">
        <w:rPr>
          <w:rFonts w:ascii="Traditional Arabic" w:eastAsia="Calibri" w:hAnsi="Traditional Arabic" w:cs="Traditional Arabic"/>
          <w:sz w:val="28"/>
          <w:szCs w:val="28"/>
          <w:rtl/>
          <w:lang w:val="en-US"/>
        </w:rPr>
        <w:t>المجلس الأعلى لدول الخليج العربية. (2025</w:t>
      </w:r>
      <w:r w:rsidRPr="00EF1F40">
        <w:rPr>
          <w:rFonts w:ascii="Traditional Arabic" w:eastAsia="Calibri" w:hAnsi="Traditional Arabic" w:cs="Traditional Arabic"/>
          <w:sz w:val="28"/>
          <w:szCs w:val="28"/>
          <w:lang w:val="en-US"/>
        </w:rPr>
        <w:t xml:space="preserve">). </w:t>
      </w:r>
      <w:r w:rsidRPr="00EF1F40">
        <w:rPr>
          <w:rFonts w:ascii="Traditional Arabic" w:eastAsia="Calibri" w:hAnsi="Traditional Arabic" w:cs="Traditional Arabic"/>
          <w:i/>
          <w:iCs/>
          <w:sz w:val="28"/>
          <w:szCs w:val="28"/>
          <w:rtl/>
          <w:lang w:val="en-US"/>
        </w:rPr>
        <w:t>مجالات التعاون</w:t>
      </w:r>
      <w:r w:rsidRPr="00EF1F40">
        <w:rPr>
          <w:rFonts w:ascii="Traditional Arabic" w:eastAsia="Calibri" w:hAnsi="Traditional Arabic" w:cs="Traditional Arabic"/>
          <w:sz w:val="28"/>
          <w:szCs w:val="28"/>
          <w:lang w:val="en-US"/>
        </w:rPr>
        <w:t xml:space="preserve">. </w:t>
      </w:r>
      <w:hyperlink r:id="rId5" w:tgtFrame="_new" w:history="1">
        <w:r w:rsidRPr="00EF1F40">
          <w:rPr>
            <w:rStyle w:val="Hyperlink"/>
            <w:rFonts w:ascii="Traditional Arabic" w:eastAsia="Calibri" w:hAnsi="Traditional Arabic" w:cs="Traditional Arabic"/>
            <w:sz w:val="28"/>
            <w:szCs w:val="28"/>
            <w:lang w:val="en-US"/>
          </w:rPr>
          <w:t>https://www.gcc-sg.org/ar/JointGulf/Cooperation/Pages/default.aspx</w:t>
        </w:r>
      </w:hyperlink>
    </w:p>
    <w:p w14:paraId="2B589B11" w14:textId="04A18007" w:rsidR="00EF1F40" w:rsidRPr="00EF1F40" w:rsidRDefault="00EF1F40" w:rsidP="00EC2BDA">
      <w:pPr>
        <w:bidi/>
        <w:spacing w:after="0" w:line="360" w:lineRule="auto"/>
        <w:ind w:left="720" w:hanging="720"/>
        <w:jc w:val="both"/>
        <w:rPr>
          <w:rFonts w:ascii="Traditional Arabic" w:eastAsia="Calibri" w:hAnsi="Traditional Arabic" w:cs="Traditional Arabic"/>
          <w:sz w:val="28"/>
          <w:szCs w:val="28"/>
          <w:lang w:val="en-US"/>
        </w:rPr>
      </w:pPr>
      <w:r w:rsidRPr="00EF1F40">
        <w:rPr>
          <w:rFonts w:ascii="Traditional Arabic" w:eastAsia="Calibri" w:hAnsi="Traditional Arabic" w:cs="Traditional Arabic"/>
          <w:sz w:val="28"/>
          <w:szCs w:val="28"/>
          <w:rtl/>
          <w:lang w:val="en-US"/>
        </w:rPr>
        <w:t>المصري، ماهر. (2020). التخطيط الاستراتيجي وأثره في تحقيق التميز القيادي في الوزارات الفلسطينية</w:t>
      </w:r>
      <w:r w:rsidRPr="00EF1F40">
        <w:rPr>
          <w:rFonts w:ascii="Traditional Arabic" w:eastAsia="Calibri" w:hAnsi="Traditional Arabic" w:cs="Traditional Arabic"/>
          <w:sz w:val="28"/>
          <w:szCs w:val="28"/>
          <w:lang w:val="en-US"/>
        </w:rPr>
        <w:t xml:space="preserve">. </w:t>
      </w:r>
      <w:r w:rsidRPr="00EF1F40">
        <w:rPr>
          <w:rFonts w:ascii="Traditional Arabic" w:eastAsia="Calibri" w:hAnsi="Traditional Arabic" w:cs="Traditional Arabic"/>
          <w:i/>
          <w:iCs/>
          <w:sz w:val="28"/>
          <w:szCs w:val="28"/>
          <w:rtl/>
          <w:lang w:val="en-US"/>
        </w:rPr>
        <w:t>مجلة القانون الدستوري والعلوم الإدارية، 1</w:t>
      </w:r>
      <w:r w:rsidRPr="00EF1F40">
        <w:rPr>
          <w:rFonts w:ascii="Traditional Arabic" w:eastAsia="Calibri" w:hAnsi="Traditional Arabic" w:cs="Traditional Arabic"/>
          <w:sz w:val="28"/>
          <w:szCs w:val="28"/>
          <w:lang w:val="en-US"/>
        </w:rPr>
        <w:t>(5)</w:t>
      </w:r>
      <w:r w:rsidRPr="00EF1F40">
        <w:rPr>
          <w:rFonts w:ascii="Traditional Arabic" w:eastAsia="Calibri" w:hAnsi="Traditional Arabic" w:cs="Traditional Arabic"/>
          <w:sz w:val="28"/>
          <w:szCs w:val="28"/>
          <w:rtl/>
          <w:lang w:val="en-US"/>
        </w:rPr>
        <w:t xml:space="preserve">، </w:t>
      </w:r>
      <w:r w:rsidR="00EC2BDA" w:rsidRPr="00EC2BDA">
        <w:rPr>
          <w:rFonts w:ascii="Traditional Arabic" w:eastAsia="Calibri" w:hAnsi="Traditional Arabic" w:cs="Traditional Arabic"/>
          <w:sz w:val="28"/>
          <w:szCs w:val="28"/>
          <w:rtl/>
          <w:lang w:val="en-US"/>
        </w:rPr>
        <w:t>104–122.</w:t>
      </w:r>
    </w:p>
    <w:p w14:paraId="0141A13D" w14:textId="511F1683" w:rsidR="00EF1F40" w:rsidRPr="00EF1F40" w:rsidRDefault="00EF1F40" w:rsidP="00EC2BDA">
      <w:pPr>
        <w:bidi/>
        <w:spacing w:after="0" w:line="360" w:lineRule="auto"/>
        <w:ind w:left="720" w:hanging="720"/>
        <w:jc w:val="both"/>
        <w:rPr>
          <w:rFonts w:ascii="Traditional Arabic" w:eastAsia="Calibri" w:hAnsi="Traditional Arabic" w:cs="Traditional Arabic"/>
          <w:sz w:val="28"/>
          <w:szCs w:val="28"/>
          <w:lang w:val="en-US"/>
        </w:rPr>
      </w:pPr>
      <w:r w:rsidRPr="00EF1F40">
        <w:rPr>
          <w:rFonts w:ascii="Traditional Arabic" w:eastAsia="Calibri" w:hAnsi="Traditional Arabic" w:cs="Traditional Arabic"/>
          <w:sz w:val="28"/>
          <w:szCs w:val="28"/>
          <w:rtl/>
          <w:lang w:val="en-US"/>
        </w:rPr>
        <w:t>مسعود، مصباح، وعلماوي، أحمد. (2025). أثر أبعاد التخطيط الاستراتيجي على تحقيق التميز المؤسسي وفق معايير الجودة الأوروبية</w:t>
      </w:r>
      <w:r w:rsidRPr="00EF1F40">
        <w:rPr>
          <w:rFonts w:ascii="Traditional Arabic" w:eastAsia="Calibri" w:hAnsi="Traditional Arabic" w:cs="Traditional Arabic"/>
          <w:sz w:val="28"/>
          <w:szCs w:val="28"/>
          <w:lang w:val="en-US"/>
        </w:rPr>
        <w:t xml:space="preserve"> EFQM 2020: </w:t>
      </w:r>
      <w:r w:rsidRPr="00EF1F40">
        <w:rPr>
          <w:rFonts w:ascii="Traditional Arabic" w:eastAsia="Calibri" w:hAnsi="Traditional Arabic" w:cs="Traditional Arabic"/>
          <w:sz w:val="28"/>
          <w:szCs w:val="28"/>
          <w:rtl/>
          <w:lang w:val="en-US"/>
        </w:rPr>
        <w:t>دراسة حالة – مؤسسة الورود بولاية الوادي</w:t>
      </w:r>
      <w:r w:rsidRPr="00EF1F40">
        <w:rPr>
          <w:rFonts w:ascii="Traditional Arabic" w:eastAsia="Calibri" w:hAnsi="Traditional Arabic" w:cs="Traditional Arabic"/>
          <w:sz w:val="28"/>
          <w:szCs w:val="28"/>
          <w:lang w:val="en-US"/>
        </w:rPr>
        <w:t xml:space="preserve">. </w:t>
      </w:r>
      <w:r w:rsidRPr="00EF1F40">
        <w:rPr>
          <w:rFonts w:ascii="Traditional Arabic" w:eastAsia="Calibri" w:hAnsi="Traditional Arabic" w:cs="Traditional Arabic"/>
          <w:i/>
          <w:iCs/>
          <w:sz w:val="28"/>
          <w:szCs w:val="28"/>
          <w:rtl/>
          <w:lang w:val="en-US"/>
        </w:rPr>
        <w:t>مجلة المنتدى للدراسات والابحاث الاقتصادية، 9</w:t>
      </w:r>
      <w:r w:rsidRPr="00EF1F40">
        <w:rPr>
          <w:rFonts w:ascii="Traditional Arabic" w:eastAsia="Calibri" w:hAnsi="Traditional Arabic" w:cs="Traditional Arabic"/>
          <w:sz w:val="28"/>
          <w:szCs w:val="28"/>
          <w:lang w:val="en-US"/>
        </w:rPr>
        <w:t>(1)</w:t>
      </w:r>
      <w:r w:rsidRPr="00EF1F40">
        <w:rPr>
          <w:rFonts w:ascii="Traditional Arabic" w:eastAsia="Calibri" w:hAnsi="Traditional Arabic" w:cs="Traditional Arabic"/>
          <w:sz w:val="28"/>
          <w:szCs w:val="28"/>
          <w:rtl/>
          <w:lang w:val="en-US"/>
        </w:rPr>
        <w:t xml:space="preserve">، </w:t>
      </w:r>
      <w:r w:rsidR="00EC2BDA" w:rsidRPr="00EC2BDA">
        <w:rPr>
          <w:rFonts w:ascii="Traditional Arabic" w:eastAsia="Calibri" w:hAnsi="Traditional Arabic" w:cs="Traditional Arabic"/>
          <w:sz w:val="28"/>
          <w:szCs w:val="28"/>
          <w:rtl/>
          <w:lang w:val="en-US"/>
        </w:rPr>
        <w:t>1–16.</w:t>
      </w:r>
    </w:p>
    <w:p w14:paraId="55120D97" w14:textId="77777777" w:rsidR="00EC2BDA" w:rsidRDefault="00EF1F40" w:rsidP="00EC2BDA">
      <w:pPr>
        <w:bidi/>
        <w:spacing w:after="0" w:line="360" w:lineRule="auto"/>
        <w:ind w:left="720" w:hanging="720"/>
        <w:jc w:val="both"/>
        <w:rPr>
          <w:rFonts w:ascii="Traditional Arabic" w:eastAsia="Calibri" w:hAnsi="Traditional Arabic" w:cs="Traditional Arabic"/>
          <w:sz w:val="28"/>
          <w:szCs w:val="28"/>
          <w:rtl/>
          <w:lang w:val="en-US"/>
        </w:rPr>
      </w:pPr>
      <w:r w:rsidRPr="00EF1F40">
        <w:rPr>
          <w:rFonts w:ascii="Traditional Arabic" w:eastAsia="Calibri" w:hAnsi="Traditional Arabic" w:cs="Traditional Arabic"/>
          <w:sz w:val="28"/>
          <w:szCs w:val="28"/>
          <w:rtl/>
          <w:lang w:val="en-US"/>
        </w:rPr>
        <w:t>اليماحي، موزة. (2022). التخطيط الاستراتيجي وأثره في مكانة دولة الإمارات العربية المتحدة عالميًا</w:t>
      </w:r>
      <w:r w:rsidRPr="00EF1F40">
        <w:rPr>
          <w:rFonts w:ascii="Traditional Arabic" w:eastAsia="Calibri" w:hAnsi="Traditional Arabic" w:cs="Traditional Arabic"/>
          <w:sz w:val="28"/>
          <w:szCs w:val="28"/>
          <w:lang w:val="en-US"/>
        </w:rPr>
        <w:t xml:space="preserve">. </w:t>
      </w:r>
      <w:r w:rsidRPr="00EF1F40">
        <w:rPr>
          <w:rFonts w:ascii="Traditional Arabic" w:eastAsia="Calibri" w:hAnsi="Traditional Arabic" w:cs="Traditional Arabic"/>
          <w:i/>
          <w:iCs/>
          <w:sz w:val="28"/>
          <w:szCs w:val="28"/>
          <w:rtl/>
          <w:lang w:val="en-US"/>
        </w:rPr>
        <w:t>مجلة مركز الخدمة للاستشارات البحثية واللغات، 24</w:t>
      </w:r>
      <w:r w:rsidRPr="00EF1F40">
        <w:rPr>
          <w:rFonts w:ascii="Traditional Arabic" w:eastAsia="Calibri" w:hAnsi="Traditional Arabic" w:cs="Traditional Arabic"/>
          <w:sz w:val="28"/>
          <w:szCs w:val="28"/>
          <w:lang w:val="en-US"/>
        </w:rPr>
        <w:t>(71)</w:t>
      </w:r>
      <w:r w:rsidRPr="00EF1F40">
        <w:rPr>
          <w:rFonts w:ascii="Traditional Arabic" w:eastAsia="Calibri" w:hAnsi="Traditional Arabic" w:cs="Traditional Arabic"/>
          <w:sz w:val="28"/>
          <w:szCs w:val="28"/>
          <w:rtl/>
          <w:lang w:val="en-US"/>
        </w:rPr>
        <w:t xml:space="preserve">، </w:t>
      </w:r>
      <w:r w:rsidR="00EC2BDA" w:rsidRPr="00EC2BDA">
        <w:rPr>
          <w:rFonts w:ascii="Traditional Arabic" w:eastAsia="Calibri" w:hAnsi="Traditional Arabic" w:cs="Traditional Arabic"/>
          <w:sz w:val="28"/>
          <w:szCs w:val="28"/>
          <w:rtl/>
          <w:lang w:val="en-US"/>
        </w:rPr>
        <w:t>1–37.</w:t>
      </w:r>
    </w:p>
    <w:p w14:paraId="3E6E6DE2" w14:textId="52DDDCAD" w:rsidR="00EF1F40" w:rsidRPr="00EF1F40" w:rsidRDefault="00EF1F40" w:rsidP="00EC2BDA">
      <w:pPr>
        <w:bidi/>
        <w:spacing w:after="0" w:line="360" w:lineRule="auto"/>
        <w:ind w:left="720" w:hanging="720"/>
        <w:jc w:val="both"/>
        <w:rPr>
          <w:rFonts w:ascii="Traditional Arabic" w:eastAsia="Calibri" w:hAnsi="Traditional Arabic" w:cs="Traditional Arabic"/>
          <w:sz w:val="28"/>
          <w:szCs w:val="28"/>
          <w:lang w:val="en-US"/>
        </w:rPr>
      </w:pPr>
      <w:r w:rsidRPr="00EF1F40">
        <w:rPr>
          <w:rFonts w:ascii="Traditional Arabic" w:eastAsia="Calibri" w:hAnsi="Traditional Arabic" w:cs="Traditional Arabic"/>
          <w:sz w:val="28"/>
          <w:szCs w:val="28"/>
          <w:rtl/>
          <w:lang w:val="en-US"/>
        </w:rPr>
        <w:t>الزهراني، محمد. (2019</w:t>
      </w:r>
      <w:r w:rsidR="00EC2BDA">
        <w:rPr>
          <w:rFonts w:ascii="Traditional Arabic" w:eastAsia="Calibri" w:hAnsi="Traditional Arabic" w:cs="Traditional Arabic" w:hint="cs"/>
          <w:sz w:val="28"/>
          <w:szCs w:val="28"/>
          <w:rtl/>
          <w:lang w:val="en-US"/>
        </w:rPr>
        <w:t>).</w:t>
      </w:r>
      <w:r w:rsidRPr="00EF1F40">
        <w:rPr>
          <w:rFonts w:ascii="Traditional Arabic" w:eastAsia="Calibri" w:hAnsi="Traditional Arabic" w:cs="Traditional Arabic"/>
          <w:sz w:val="28"/>
          <w:szCs w:val="28"/>
          <w:lang w:val="en-US"/>
        </w:rPr>
        <w:t xml:space="preserve"> </w:t>
      </w:r>
      <w:r w:rsidRPr="00EF1F40">
        <w:rPr>
          <w:rFonts w:ascii="Traditional Arabic" w:eastAsia="Calibri" w:hAnsi="Traditional Arabic" w:cs="Traditional Arabic"/>
          <w:i/>
          <w:iCs/>
          <w:sz w:val="28"/>
          <w:szCs w:val="28"/>
          <w:rtl/>
          <w:lang w:val="en-US"/>
        </w:rPr>
        <w:t>دور التخطيط الاستراتيجي في تحسين أداء الإدارات الصحية: دراسة ميدانية في المديرية العامة للشؤون الصحية بمنطقة الباحة</w:t>
      </w:r>
      <w:r w:rsidRPr="00EF1F40">
        <w:rPr>
          <w:rFonts w:ascii="Traditional Arabic" w:eastAsia="Calibri" w:hAnsi="Traditional Arabic" w:cs="Traditional Arabic"/>
          <w:sz w:val="28"/>
          <w:szCs w:val="28"/>
          <w:rtl/>
          <w:lang w:val="en-US"/>
        </w:rPr>
        <w:t xml:space="preserve"> (رسالة ماجستير غير منشورة). جامعة بيشة، بيشة.</w:t>
      </w:r>
    </w:p>
    <w:p w14:paraId="647297E8" w14:textId="77777777" w:rsidR="00317CC3" w:rsidRPr="00EF1F40" w:rsidRDefault="00317CC3" w:rsidP="00317CC3">
      <w:pPr>
        <w:bidi/>
        <w:spacing w:after="0" w:line="360" w:lineRule="auto"/>
        <w:ind w:left="720" w:hanging="720"/>
        <w:jc w:val="both"/>
        <w:rPr>
          <w:rFonts w:ascii="Traditional Arabic" w:eastAsia="Calibri" w:hAnsi="Traditional Arabic" w:cs="Traditional Arabic"/>
          <w:sz w:val="28"/>
          <w:szCs w:val="28"/>
          <w:rtl/>
          <w:lang w:val="en-US"/>
        </w:rPr>
      </w:pPr>
    </w:p>
    <w:p w14:paraId="1B3A9838" w14:textId="77777777" w:rsidR="00317CC3" w:rsidRPr="00FB712A" w:rsidRDefault="00317CC3" w:rsidP="00317CC3">
      <w:pPr>
        <w:bidi/>
        <w:spacing w:after="0" w:line="360" w:lineRule="auto"/>
        <w:ind w:left="720" w:hanging="720"/>
        <w:jc w:val="both"/>
        <w:rPr>
          <w:rFonts w:ascii="Traditional Arabic" w:eastAsia="Calibri" w:hAnsi="Traditional Arabic" w:cs="Traditional Arabic"/>
          <w:sz w:val="28"/>
          <w:szCs w:val="28"/>
          <w:rtl/>
          <w:lang w:val="en-US"/>
        </w:rPr>
      </w:pPr>
    </w:p>
    <w:p w14:paraId="31EE5644" w14:textId="77777777" w:rsidR="00317CC3" w:rsidRPr="00FB712A" w:rsidRDefault="00317CC3" w:rsidP="00317CC3">
      <w:pPr>
        <w:bidi/>
        <w:spacing w:after="0" w:line="360" w:lineRule="auto"/>
        <w:ind w:left="720" w:hanging="720"/>
        <w:jc w:val="both"/>
        <w:rPr>
          <w:rFonts w:ascii="Traditional Arabic" w:eastAsia="Calibri" w:hAnsi="Traditional Arabic" w:cs="Traditional Arabic"/>
          <w:sz w:val="28"/>
          <w:szCs w:val="28"/>
          <w:rtl/>
          <w:lang w:val="en-US"/>
        </w:rPr>
      </w:pPr>
    </w:p>
    <w:p w14:paraId="1F7031D7" w14:textId="77777777" w:rsidR="00317CC3" w:rsidRPr="00FB712A" w:rsidRDefault="00317CC3" w:rsidP="00317CC3">
      <w:pPr>
        <w:bidi/>
        <w:spacing w:after="0" w:line="360" w:lineRule="auto"/>
        <w:ind w:left="720" w:hanging="720"/>
        <w:jc w:val="both"/>
        <w:rPr>
          <w:rFonts w:ascii="Traditional Arabic" w:eastAsia="Calibri" w:hAnsi="Traditional Arabic" w:cs="Traditional Arabic"/>
          <w:sz w:val="28"/>
          <w:szCs w:val="28"/>
          <w:rtl/>
          <w:lang w:val="en-US"/>
        </w:rPr>
      </w:pPr>
    </w:p>
    <w:p w14:paraId="6EA8C70B" w14:textId="77777777" w:rsidR="007E1848" w:rsidRPr="00FB712A" w:rsidRDefault="007E1848" w:rsidP="007E1848">
      <w:pPr>
        <w:keepNext/>
        <w:keepLines/>
        <w:bidi/>
        <w:spacing w:after="0" w:line="360" w:lineRule="auto"/>
        <w:outlineLvl w:val="1"/>
        <w:rPr>
          <w:rFonts w:ascii="Traditional Arabic" w:eastAsia="等线 Light" w:hAnsi="Traditional Arabic" w:cs="Traditional Arabic"/>
          <w:b/>
          <w:bCs/>
          <w:color w:val="000000"/>
          <w:sz w:val="28"/>
          <w:szCs w:val="28"/>
          <w:rtl/>
          <w:lang w:val="en-US" w:bidi="ar-JO"/>
        </w:rPr>
      </w:pPr>
      <w:bookmarkStart w:id="8" w:name="_Toc205057562"/>
      <w:r w:rsidRPr="00FB712A">
        <w:rPr>
          <w:rFonts w:ascii="Traditional Arabic" w:eastAsia="等线 Light" w:hAnsi="Traditional Arabic" w:cs="Traditional Arabic"/>
          <w:b/>
          <w:bCs/>
          <w:color w:val="000000"/>
          <w:sz w:val="28"/>
          <w:szCs w:val="28"/>
          <w:rtl/>
          <w:lang w:val="en-US" w:bidi="ar-JO"/>
        </w:rPr>
        <w:lastRenderedPageBreak/>
        <w:t>ثانياً: المراجع الأجنبية:</w:t>
      </w:r>
      <w:bookmarkEnd w:id="8"/>
    </w:p>
    <w:p w14:paraId="42200CFC"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Abunaser, F. M., &amp; Almustafa, S. S. (2025). Developing an integrated model for talent nurturing in Gulf higher education institutions: An analytical foresight approach. </w:t>
      </w:r>
      <w:r w:rsidRPr="00EF1F40">
        <w:rPr>
          <w:rFonts w:asciiTheme="majorBidi" w:hAnsiTheme="majorBidi" w:cstheme="majorBidi"/>
          <w:i/>
          <w:iCs/>
          <w:sz w:val="24"/>
          <w:szCs w:val="24"/>
          <w:lang w:val="en-US" w:bidi="ar-JO"/>
        </w:rPr>
        <w:t>Frontiers in Education, 10</w:t>
      </w:r>
      <w:r w:rsidRPr="00EF1F40">
        <w:rPr>
          <w:rFonts w:asciiTheme="majorBidi" w:hAnsiTheme="majorBidi" w:cstheme="majorBidi"/>
          <w:sz w:val="24"/>
          <w:szCs w:val="24"/>
          <w:lang w:val="en-US" w:bidi="ar-JO"/>
        </w:rPr>
        <w:t xml:space="preserve">, Article 1737185. </w:t>
      </w:r>
      <w:hyperlink r:id="rId6" w:tgtFrame="_new" w:history="1">
        <w:r w:rsidRPr="00EF1F40">
          <w:rPr>
            <w:rStyle w:val="Hyperlink"/>
            <w:rFonts w:asciiTheme="majorBidi" w:hAnsiTheme="majorBidi" w:cstheme="majorBidi"/>
            <w:sz w:val="24"/>
            <w:szCs w:val="24"/>
            <w:lang w:val="en-US" w:bidi="ar-JO"/>
          </w:rPr>
          <w:t>https://doi.org/10.3389/feduc.2025.1737185</w:t>
        </w:r>
      </w:hyperlink>
    </w:p>
    <w:p w14:paraId="629EF1D1"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Alosani, M. S., Yusoff, R., &amp; Al-Dhaafri, H. (2020). The effect of innovation and strategic planning on enhancing organizational performance of Dubai Police. </w:t>
      </w:r>
      <w:r w:rsidRPr="00EF1F40">
        <w:rPr>
          <w:rFonts w:asciiTheme="majorBidi" w:hAnsiTheme="majorBidi" w:cstheme="majorBidi"/>
          <w:i/>
          <w:iCs/>
          <w:sz w:val="24"/>
          <w:szCs w:val="24"/>
          <w:lang w:val="en-US" w:bidi="ar-JO"/>
        </w:rPr>
        <w:t>Innovation &amp; Management Review, 17</w:t>
      </w:r>
      <w:r w:rsidRPr="00EF1F40">
        <w:rPr>
          <w:rFonts w:asciiTheme="majorBidi" w:hAnsiTheme="majorBidi" w:cstheme="majorBidi"/>
          <w:sz w:val="24"/>
          <w:szCs w:val="24"/>
          <w:lang w:val="en-US" w:bidi="ar-JO"/>
        </w:rPr>
        <w:t xml:space="preserve">(1), 2–24. </w:t>
      </w:r>
      <w:hyperlink r:id="rId7" w:tgtFrame="_new" w:history="1">
        <w:r w:rsidRPr="00EF1F40">
          <w:rPr>
            <w:rStyle w:val="Hyperlink"/>
            <w:rFonts w:asciiTheme="majorBidi" w:hAnsiTheme="majorBidi" w:cstheme="majorBidi"/>
            <w:sz w:val="24"/>
            <w:szCs w:val="24"/>
            <w:lang w:val="en-US" w:bidi="ar-JO"/>
          </w:rPr>
          <w:t>https://doi.org/10.1108/INMR-06-2018-0039</w:t>
        </w:r>
      </w:hyperlink>
    </w:p>
    <w:p w14:paraId="06AFC9B4"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Alotaibi, N. M. (2023). </w:t>
      </w:r>
      <w:r w:rsidRPr="00EF1F40">
        <w:rPr>
          <w:rFonts w:asciiTheme="majorBidi" w:hAnsiTheme="majorBidi" w:cstheme="majorBidi"/>
          <w:i/>
          <w:iCs/>
          <w:sz w:val="24"/>
          <w:szCs w:val="24"/>
          <w:lang w:val="en-US" w:bidi="ar-JO"/>
        </w:rPr>
        <w:t>Strategic planning issues and their impact on organizational performance in the Kingdom of Saudi Arabia’s public sector organizations</w:t>
      </w:r>
      <w:r w:rsidRPr="00EF1F40">
        <w:rPr>
          <w:rFonts w:asciiTheme="majorBidi" w:hAnsiTheme="majorBidi" w:cstheme="majorBidi"/>
          <w:sz w:val="24"/>
          <w:szCs w:val="24"/>
          <w:lang w:val="en-US" w:bidi="ar-JO"/>
        </w:rPr>
        <w:t xml:space="preserve"> (Doctoral dissertation, University of Canberra).</w:t>
      </w:r>
    </w:p>
    <w:p w14:paraId="20D9ABA6"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Alswidan, I. (2024). </w:t>
      </w:r>
      <w:r w:rsidRPr="00EF1F40">
        <w:rPr>
          <w:rFonts w:asciiTheme="majorBidi" w:hAnsiTheme="majorBidi" w:cstheme="majorBidi"/>
          <w:i/>
          <w:iCs/>
          <w:sz w:val="24"/>
          <w:szCs w:val="24"/>
          <w:lang w:val="en-US" w:bidi="ar-JO"/>
        </w:rPr>
        <w:t>An empirical investigation of the effects of strategic planning in the higher public education of information technology in Riyadh, Saudi Arabia</w:t>
      </w:r>
      <w:r w:rsidRPr="00EF1F40">
        <w:rPr>
          <w:rFonts w:asciiTheme="majorBidi" w:hAnsiTheme="majorBidi" w:cstheme="majorBidi"/>
          <w:sz w:val="24"/>
          <w:szCs w:val="24"/>
          <w:lang w:val="en-US" w:bidi="ar-JO"/>
        </w:rPr>
        <w:t xml:space="preserve"> (Doctoral dissertation, University of Greater Manchester). </w:t>
      </w:r>
      <w:hyperlink r:id="rId8" w:tgtFrame="_new" w:history="1">
        <w:r w:rsidRPr="00EF1F40">
          <w:rPr>
            <w:rStyle w:val="Hyperlink"/>
            <w:rFonts w:asciiTheme="majorBidi" w:hAnsiTheme="majorBidi" w:cstheme="majorBidi"/>
            <w:sz w:val="24"/>
            <w:szCs w:val="24"/>
            <w:lang w:val="en-US" w:bidi="ar-JO"/>
          </w:rPr>
          <w:t>https://ub-ir.bolton.ac.uk/esploro/outputs/doctoral/An-empirical-investigation-of-the-effects/9944720608841</w:t>
        </w:r>
      </w:hyperlink>
    </w:p>
    <w:p w14:paraId="599ACE0E"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Arif, M., &amp; Aldosary, A. S. (2023). Urban spatial strategies of the Gulf Cooperation Council: A comparative analysis and lessons learned. </w:t>
      </w:r>
      <w:r w:rsidRPr="00EF1F40">
        <w:rPr>
          <w:rFonts w:asciiTheme="majorBidi" w:hAnsiTheme="majorBidi" w:cstheme="majorBidi"/>
          <w:i/>
          <w:iCs/>
          <w:sz w:val="24"/>
          <w:szCs w:val="24"/>
          <w:lang w:val="en-US" w:bidi="ar-JO"/>
        </w:rPr>
        <w:t>Sustainability, 15</w:t>
      </w:r>
      <w:r w:rsidRPr="00EF1F40">
        <w:rPr>
          <w:rFonts w:asciiTheme="majorBidi" w:hAnsiTheme="majorBidi" w:cstheme="majorBidi"/>
          <w:sz w:val="24"/>
          <w:szCs w:val="24"/>
          <w:lang w:val="en-US" w:bidi="ar-JO"/>
        </w:rPr>
        <w:t xml:space="preserve">(18), 13344. </w:t>
      </w:r>
      <w:hyperlink r:id="rId9" w:tgtFrame="_new" w:history="1">
        <w:r w:rsidRPr="00EF1F40">
          <w:rPr>
            <w:rStyle w:val="Hyperlink"/>
            <w:rFonts w:asciiTheme="majorBidi" w:hAnsiTheme="majorBidi" w:cstheme="majorBidi"/>
            <w:sz w:val="24"/>
            <w:szCs w:val="24"/>
            <w:lang w:val="en-US" w:bidi="ar-JO"/>
          </w:rPr>
          <w:t>https://doi.org/10.3390/su151813344</w:t>
        </w:r>
      </w:hyperlink>
    </w:p>
    <w:p w14:paraId="22DFC541"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Asbari, M., Pramono, T., Chidir, G., Kumoro, D. F. C., &amp; Chyrinne, E. (2025). Integrating strategic management into academic administration: Enhancing institutional performance in universities. </w:t>
      </w:r>
      <w:r w:rsidRPr="00EF1F40">
        <w:rPr>
          <w:rFonts w:asciiTheme="majorBidi" w:hAnsiTheme="majorBidi" w:cstheme="majorBidi"/>
          <w:i/>
          <w:iCs/>
          <w:sz w:val="24"/>
          <w:szCs w:val="24"/>
          <w:lang w:val="en-US" w:bidi="ar-JO"/>
        </w:rPr>
        <w:t>Indonesian Journal of Management and Economic Research, 2</w:t>
      </w:r>
      <w:r w:rsidRPr="00EF1F40">
        <w:rPr>
          <w:rFonts w:asciiTheme="majorBidi" w:hAnsiTheme="majorBidi" w:cstheme="majorBidi"/>
          <w:sz w:val="24"/>
          <w:szCs w:val="24"/>
          <w:lang w:val="en-US" w:bidi="ar-JO"/>
        </w:rPr>
        <w:t xml:space="preserve">(1), 83–89. </w:t>
      </w:r>
      <w:hyperlink r:id="rId10" w:tgtFrame="_new" w:history="1">
        <w:r w:rsidRPr="00EF1F40">
          <w:rPr>
            <w:rStyle w:val="Hyperlink"/>
            <w:rFonts w:asciiTheme="majorBidi" w:hAnsiTheme="majorBidi" w:cstheme="majorBidi"/>
            <w:sz w:val="24"/>
            <w:szCs w:val="24"/>
            <w:lang w:val="en-US" w:bidi="ar-JO"/>
          </w:rPr>
          <w:t>https://doi.org/10.70508/dwynbc96</w:t>
        </w:r>
      </w:hyperlink>
    </w:p>
    <w:p w14:paraId="7D9F241A"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Ayodeji, D. C., Oladimeji, O., Ajayi, J. O., Akindemowo, A. O., Eboseremen, B. O., Obuse, E., Ogedengbe, A. O., &amp; Erigha, E. D. (2022). Operationalizing analytics to improve strategic planning: A business intelligence case study in digital finance. </w:t>
      </w:r>
      <w:r w:rsidRPr="00EF1F40">
        <w:rPr>
          <w:rFonts w:asciiTheme="majorBidi" w:hAnsiTheme="majorBidi" w:cstheme="majorBidi"/>
          <w:i/>
          <w:iCs/>
          <w:sz w:val="24"/>
          <w:szCs w:val="24"/>
          <w:lang w:val="en-US" w:bidi="ar-JO"/>
        </w:rPr>
        <w:t>Journal of Frontiers in Multidisciplinary Research, 3</w:t>
      </w:r>
      <w:r w:rsidRPr="00EF1F40">
        <w:rPr>
          <w:rFonts w:asciiTheme="majorBidi" w:hAnsiTheme="majorBidi" w:cstheme="majorBidi"/>
          <w:sz w:val="24"/>
          <w:szCs w:val="24"/>
          <w:lang w:val="en-US" w:bidi="ar-JO"/>
        </w:rPr>
        <w:t xml:space="preserve">(1), 567–578. </w:t>
      </w:r>
      <w:hyperlink r:id="rId11" w:tgtFrame="_new" w:history="1">
        <w:r w:rsidRPr="00EF1F40">
          <w:rPr>
            <w:rStyle w:val="Hyperlink"/>
            <w:rFonts w:asciiTheme="majorBidi" w:hAnsiTheme="majorBidi" w:cstheme="majorBidi"/>
            <w:sz w:val="24"/>
            <w:szCs w:val="24"/>
            <w:lang w:val="en-US" w:bidi="ar-JO"/>
          </w:rPr>
          <w:t>https://doi.org/10.54660/JFMR.2022.3.1.567-578</w:t>
        </w:r>
      </w:hyperlink>
    </w:p>
    <w:p w14:paraId="5D390350"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017E38">
        <w:rPr>
          <w:rFonts w:asciiTheme="majorBidi" w:hAnsiTheme="majorBidi" w:cstheme="majorBidi"/>
          <w:sz w:val="24"/>
          <w:szCs w:val="24"/>
          <w:lang w:val="fi-FI" w:bidi="ar-JO"/>
        </w:rPr>
        <w:t xml:space="preserve">Aydın, E., Karakulle, İ., &amp; Polat, H. (2022). </w:t>
      </w:r>
      <w:r w:rsidRPr="00EF1F40">
        <w:rPr>
          <w:rFonts w:asciiTheme="majorBidi" w:hAnsiTheme="majorBidi" w:cstheme="majorBidi"/>
          <w:sz w:val="24"/>
          <w:szCs w:val="24"/>
          <w:lang w:val="en-US" w:bidi="ar-JO"/>
        </w:rPr>
        <w:t xml:space="preserve">Strategic plan perception scale: A scale development study. </w:t>
      </w:r>
      <w:r w:rsidRPr="00EF1F40">
        <w:rPr>
          <w:rFonts w:asciiTheme="majorBidi" w:hAnsiTheme="majorBidi" w:cstheme="majorBidi"/>
          <w:i/>
          <w:iCs/>
          <w:sz w:val="24"/>
          <w:szCs w:val="24"/>
          <w:lang w:val="en-US" w:bidi="ar-JO"/>
        </w:rPr>
        <w:t>Dumlupınar University Journal of Social Sciences, 72</w:t>
      </w:r>
      <w:r w:rsidRPr="00EF1F40">
        <w:rPr>
          <w:rFonts w:asciiTheme="majorBidi" w:hAnsiTheme="majorBidi" w:cstheme="majorBidi"/>
          <w:sz w:val="24"/>
          <w:szCs w:val="24"/>
          <w:lang w:val="en-US" w:bidi="ar-JO"/>
        </w:rPr>
        <w:t>, 172–181.</w:t>
      </w:r>
    </w:p>
    <w:p w14:paraId="6F40F64A"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Barney, J. (1991). Firm resources and sustained competitive advantage. </w:t>
      </w:r>
      <w:r w:rsidRPr="00EF1F40">
        <w:rPr>
          <w:rFonts w:asciiTheme="majorBidi" w:hAnsiTheme="majorBidi" w:cstheme="majorBidi"/>
          <w:i/>
          <w:iCs/>
          <w:sz w:val="24"/>
          <w:szCs w:val="24"/>
          <w:lang w:val="en-US" w:bidi="ar-JO"/>
        </w:rPr>
        <w:t>Journal of Management, 17</w:t>
      </w:r>
      <w:r w:rsidRPr="00EF1F40">
        <w:rPr>
          <w:rFonts w:asciiTheme="majorBidi" w:hAnsiTheme="majorBidi" w:cstheme="majorBidi"/>
          <w:sz w:val="24"/>
          <w:szCs w:val="24"/>
          <w:lang w:val="en-US" w:bidi="ar-JO"/>
        </w:rPr>
        <w:t>(1), 99–120.</w:t>
      </w:r>
    </w:p>
    <w:p w14:paraId="2A357A1B"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Bertalanffy, L. von. (1968). </w:t>
      </w:r>
      <w:r w:rsidRPr="00EF1F40">
        <w:rPr>
          <w:rFonts w:asciiTheme="majorBidi" w:hAnsiTheme="majorBidi" w:cstheme="majorBidi"/>
          <w:i/>
          <w:iCs/>
          <w:sz w:val="24"/>
          <w:szCs w:val="24"/>
          <w:lang w:val="en-US" w:bidi="ar-JO"/>
        </w:rPr>
        <w:t>General system theory: Foundations, development, applications</w:t>
      </w:r>
      <w:r w:rsidRPr="00EF1F40">
        <w:rPr>
          <w:rFonts w:asciiTheme="majorBidi" w:hAnsiTheme="majorBidi" w:cstheme="majorBidi"/>
          <w:sz w:val="24"/>
          <w:szCs w:val="24"/>
          <w:lang w:val="en-US" w:bidi="ar-JO"/>
        </w:rPr>
        <w:t>. George Braziller.</w:t>
      </w:r>
    </w:p>
    <w:p w14:paraId="609A35FF"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Biondi, L., &amp; Russo, S. (2022). Integrating strategic planning and performance management in universities: A multiple case-study analysis. </w:t>
      </w:r>
      <w:r w:rsidRPr="00EF1F40">
        <w:rPr>
          <w:rFonts w:asciiTheme="majorBidi" w:hAnsiTheme="majorBidi" w:cstheme="majorBidi"/>
          <w:i/>
          <w:iCs/>
          <w:sz w:val="24"/>
          <w:szCs w:val="24"/>
          <w:lang w:val="en-US" w:bidi="ar-JO"/>
        </w:rPr>
        <w:t>Journal of Management and Governance, 26</w:t>
      </w:r>
      <w:r w:rsidRPr="00EF1F40">
        <w:rPr>
          <w:rFonts w:asciiTheme="majorBidi" w:hAnsiTheme="majorBidi" w:cstheme="majorBidi"/>
          <w:sz w:val="24"/>
          <w:szCs w:val="24"/>
          <w:lang w:val="en-US" w:bidi="ar-JO"/>
        </w:rPr>
        <w:t xml:space="preserve">, 417–448. </w:t>
      </w:r>
      <w:hyperlink r:id="rId12" w:tgtFrame="_new" w:history="1">
        <w:r w:rsidRPr="00EF1F40">
          <w:rPr>
            <w:rStyle w:val="Hyperlink"/>
            <w:rFonts w:asciiTheme="majorBidi" w:hAnsiTheme="majorBidi" w:cstheme="majorBidi"/>
            <w:sz w:val="24"/>
            <w:szCs w:val="24"/>
            <w:lang w:val="en-US" w:bidi="ar-JO"/>
          </w:rPr>
          <w:t>https://doi.org/10.1007/s10997-022-09628-7</w:t>
        </w:r>
      </w:hyperlink>
    </w:p>
    <w:p w14:paraId="17166FD3"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lastRenderedPageBreak/>
        <w:t xml:space="preserve">Elbanna, S., Colak, M., &amp; AlQubaisi, F. (2025). Challenges and mitigating factors in strategic plan implementation: Insights from GCC public-sector organizations. </w:t>
      </w:r>
      <w:r w:rsidRPr="00EF1F40">
        <w:rPr>
          <w:rFonts w:asciiTheme="majorBidi" w:hAnsiTheme="majorBidi" w:cstheme="majorBidi"/>
          <w:i/>
          <w:iCs/>
          <w:sz w:val="24"/>
          <w:szCs w:val="24"/>
          <w:lang w:val="en-US" w:bidi="ar-JO"/>
        </w:rPr>
        <w:t>Management &amp; Sustainability: An Arab Review, 5</w:t>
      </w:r>
      <w:r w:rsidRPr="00EF1F40">
        <w:rPr>
          <w:rFonts w:asciiTheme="majorBidi" w:hAnsiTheme="majorBidi" w:cstheme="majorBidi"/>
          <w:sz w:val="24"/>
          <w:szCs w:val="24"/>
          <w:lang w:val="en-US" w:bidi="ar-JO"/>
        </w:rPr>
        <w:t xml:space="preserve">(1), 109–130. </w:t>
      </w:r>
      <w:hyperlink r:id="rId13" w:tgtFrame="_new" w:history="1">
        <w:r w:rsidRPr="00EF1F40">
          <w:rPr>
            <w:rStyle w:val="Hyperlink"/>
            <w:rFonts w:asciiTheme="majorBidi" w:hAnsiTheme="majorBidi" w:cstheme="majorBidi"/>
            <w:sz w:val="24"/>
            <w:szCs w:val="24"/>
            <w:lang w:val="en-US" w:bidi="ar-JO"/>
          </w:rPr>
          <w:t>https://doi.org/10.1108/MSAR-06-2024-0052</w:t>
        </w:r>
      </w:hyperlink>
    </w:p>
    <w:p w14:paraId="52CCB29D"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Elwakel, M. M. A. (2025). Strategic planning practices and their impact on activating financial governance in public organizations: An applied study on Telecom Egypt. </w:t>
      </w:r>
      <w:r w:rsidRPr="00EF1F40">
        <w:rPr>
          <w:rFonts w:asciiTheme="majorBidi" w:hAnsiTheme="majorBidi" w:cstheme="majorBidi"/>
          <w:i/>
          <w:iCs/>
          <w:sz w:val="24"/>
          <w:szCs w:val="24"/>
          <w:lang w:val="en-US" w:bidi="ar-JO"/>
        </w:rPr>
        <w:t>Arab Journal of Administration, 45</w:t>
      </w:r>
      <w:r w:rsidRPr="00EF1F40">
        <w:rPr>
          <w:rFonts w:asciiTheme="majorBidi" w:hAnsiTheme="majorBidi" w:cstheme="majorBidi"/>
          <w:sz w:val="24"/>
          <w:szCs w:val="24"/>
          <w:lang w:val="en-US" w:bidi="ar-JO"/>
        </w:rPr>
        <w:t>(2), 1–28.</w:t>
      </w:r>
    </w:p>
    <w:p w14:paraId="11ED1D62"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Feng, K. (2024). Strategic planning for the corporate enterprise’s integrative development. </w:t>
      </w:r>
      <w:r w:rsidRPr="00EF1F40">
        <w:rPr>
          <w:rFonts w:asciiTheme="majorBidi" w:hAnsiTheme="majorBidi" w:cstheme="majorBidi"/>
          <w:i/>
          <w:iCs/>
          <w:sz w:val="24"/>
          <w:szCs w:val="24"/>
          <w:lang w:val="en-US" w:bidi="ar-JO"/>
        </w:rPr>
        <w:t>Pidpryiemnytstvo, torhivlia ta birzhova diialnist, (1)</w:t>
      </w:r>
      <w:r w:rsidRPr="00EF1F40">
        <w:rPr>
          <w:rFonts w:asciiTheme="majorBidi" w:hAnsiTheme="majorBidi" w:cstheme="majorBidi"/>
          <w:sz w:val="24"/>
          <w:szCs w:val="24"/>
          <w:lang w:val="en-US" w:bidi="ar-JO"/>
        </w:rPr>
        <w:t xml:space="preserve">, 6–13. </w:t>
      </w:r>
      <w:hyperlink r:id="rId14" w:tgtFrame="_new" w:history="1">
        <w:r w:rsidRPr="00EF1F40">
          <w:rPr>
            <w:rStyle w:val="Hyperlink"/>
            <w:rFonts w:asciiTheme="majorBidi" w:hAnsiTheme="majorBidi" w:cstheme="majorBidi"/>
            <w:sz w:val="24"/>
            <w:szCs w:val="24"/>
            <w:lang w:val="en-US" w:bidi="ar-JO"/>
          </w:rPr>
          <w:t>https://doi.org/10.32752/1993-6788-2024-1-274-6-13</w:t>
        </w:r>
      </w:hyperlink>
    </w:p>
    <w:p w14:paraId="508D051A"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Henderson, J. C., &amp; Venkatraman, N. (1993). Strategic alignment: Leveraging information technology for transforming organizations. </w:t>
      </w:r>
      <w:r w:rsidRPr="00EF1F40">
        <w:rPr>
          <w:rFonts w:asciiTheme="majorBidi" w:hAnsiTheme="majorBidi" w:cstheme="majorBidi"/>
          <w:i/>
          <w:iCs/>
          <w:sz w:val="24"/>
          <w:szCs w:val="24"/>
          <w:lang w:val="en-US" w:bidi="ar-JO"/>
        </w:rPr>
        <w:t>IBM Systems Journal, 32</w:t>
      </w:r>
      <w:r w:rsidRPr="00EF1F40">
        <w:rPr>
          <w:rFonts w:asciiTheme="majorBidi" w:hAnsiTheme="majorBidi" w:cstheme="majorBidi"/>
          <w:sz w:val="24"/>
          <w:szCs w:val="24"/>
          <w:lang w:val="en-US" w:bidi="ar-JO"/>
        </w:rPr>
        <w:t>(1), 4–16.</w:t>
      </w:r>
    </w:p>
    <w:p w14:paraId="4D09A1BE"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Hill, C. W. L., Jones, G. R., &amp; Schilling, M. A. (2020). </w:t>
      </w:r>
      <w:r w:rsidRPr="00EF1F40">
        <w:rPr>
          <w:rFonts w:asciiTheme="majorBidi" w:hAnsiTheme="majorBidi" w:cstheme="majorBidi"/>
          <w:i/>
          <w:iCs/>
          <w:sz w:val="24"/>
          <w:szCs w:val="24"/>
          <w:lang w:val="en-US" w:bidi="ar-JO"/>
        </w:rPr>
        <w:t>Theory of strategic management with cases</w:t>
      </w:r>
      <w:r w:rsidRPr="00EF1F40">
        <w:rPr>
          <w:rFonts w:asciiTheme="majorBidi" w:hAnsiTheme="majorBidi" w:cstheme="majorBidi"/>
          <w:sz w:val="24"/>
          <w:szCs w:val="24"/>
          <w:lang w:val="en-US" w:bidi="ar-JO"/>
        </w:rPr>
        <w:t xml:space="preserve"> (12th ed.). Cengage Learning.</w:t>
      </w:r>
    </w:p>
    <w:p w14:paraId="058ED410"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Jordan, S., &amp; Zabukovšek, S. S. (2023). Organizational maturity and sustainability orientation influence on DMS life cycle—Case analysis. </w:t>
      </w:r>
      <w:r w:rsidRPr="00EF1F40">
        <w:rPr>
          <w:rFonts w:asciiTheme="majorBidi" w:hAnsiTheme="majorBidi" w:cstheme="majorBidi"/>
          <w:i/>
          <w:iCs/>
          <w:sz w:val="24"/>
          <w:szCs w:val="24"/>
          <w:lang w:val="en-US" w:bidi="ar-JO"/>
        </w:rPr>
        <w:t>Sustainability, 15</w:t>
      </w:r>
      <w:r w:rsidRPr="00EF1F40">
        <w:rPr>
          <w:rFonts w:asciiTheme="majorBidi" w:hAnsiTheme="majorBidi" w:cstheme="majorBidi"/>
          <w:sz w:val="24"/>
          <w:szCs w:val="24"/>
          <w:lang w:val="en-US" w:bidi="ar-JO"/>
        </w:rPr>
        <w:t xml:space="preserve">(5), 4308. </w:t>
      </w:r>
      <w:hyperlink r:id="rId15" w:tgtFrame="_new" w:history="1">
        <w:r w:rsidRPr="00EF1F40">
          <w:rPr>
            <w:rStyle w:val="Hyperlink"/>
            <w:rFonts w:asciiTheme="majorBidi" w:hAnsiTheme="majorBidi" w:cstheme="majorBidi"/>
            <w:sz w:val="24"/>
            <w:szCs w:val="24"/>
            <w:lang w:val="en-US" w:bidi="ar-JO"/>
          </w:rPr>
          <w:t>https://doi.org/10.3390/su15054308</w:t>
        </w:r>
      </w:hyperlink>
    </w:p>
    <w:p w14:paraId="536A1BB7" w14:textId="77777777" w:rsidR="00EF1F40" w:rsidRPr="00017E38" w:rsidRDefault="00EF1F40" w:rsidP="00EF1F40">
      <w:pPr>
        <w:spacing w:before="100" w:beforeAutospacing="1" w:after="100" w:afterAutospacing="1" w:line="240" w:lineRule="auto"/>
        <w:rPr>
          <w:rFonts w:asciiTheme="majorBidi" w:hAnsiTheme="majorBidi" w:cstheme="majorBidi"/>
          <w:sz w:val="24"/>
          <w:szCs w:val="24"/>
          <w:lang w:val="fi-FI" w:bidi="ar-JO"/>
        </w:rPr>
      </w:pPr>
      <w:r w:rsidRPr="00EF1F40">
        <w:rPr>
          <w:rFonts w:asciiTheme="majorBidi" w:hAnsiTheme="majorBidi" w:cstheme="majorBidi"/>
          <w:sz w:val="24"/>
          <w:szCs w:val="24"/>
          <w:lang w:val="en-US" w:bidi="ar-JO"/>
        </w:rPr>
        <w:t xml:space="preserve">Karim, M. A., Ong, T. S., Ng, S. H., Muhammad, H., &amp; Ali, N. A. (2022). Organizational aspects and practices for enhancing organizational project management maturity. </w:t>
      </w:r>
      <w:r w:rsidRPr="00017E38">
        <w:rPr>
          <w:rFonts w:asciiTheme="majorBidi" w:hAnsiTheme="majorBidi" w:cstheme="majorBidi"/>
          <w:i/>
          <w:iCs/>
          <w:sz w:val="24"/>
          <w:szCs w:val="24"/>
          <w:lang w:val="fi-FI" w:bidi="ar-JO"/>
        </w:rPr>
        <w:t>Sustainability, 14</w:t>
      </w:r>
      <w:r w:rsidRPr="00017E38">
        <w:rPr>
          <w:rFonts w:asciiTheme="majorBidi" w:hAnsiTheme="majorBidi" w:cstheme="majorBidi"/>
          <w:sz w:val="24"/>
          <w:szCs w:val="24"/>
          <w:lang w:val="fi-FI" w:bidi="ar-JO"/>
        </w:rPr>
        <w:t xml:space="preserve">(9), 5113. </w:t>
      </w:r>
      <w:hyperlink r:id="rId16" w:tgtFrame="_new" w:history="1">
        <w:r w:rsidRPr="00017E38">
          <w:rPr>
            <w:rStyle w:val="Hyperlink"/>
            <w:rFonts w:asciiTheme="majorBidi" w:hAnsiTheme="majorBidi" w:cstheme="majorBidi"/>
            <w:sz w:val="24"/>
            <w:szCs w:val="24"/>
            <w:lang w:val="fi-FI" w:bidi="ar-JO"/>
          </w:rPr>
          <w:t>https://doi.org/10.3390/su14095113</w:t>
        </w:r>
      </w:hyperlink>
    </w:p>
    <w:p w14:paraId="28B61446"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017E38">
        <w:rPr>
          <w:rFonts w:asciiTheme="majorBidi" w:hAnsiTheme="majorBidi" w:cstheme="majorBidi"/>
          <w:sz w:val="24"/>
          <w:szCs w:val="24"/>
          <w:lang w:val="fi-FI" w:bidi="ar-JO"/>
        </w:rPr>
        <w:t xml:space="preserve">Katz, D., &amp; Kahn, R. L. (1978). </w:t>
      </w:r>
      <w:r w:rsidRPr="00EF1F40">
        <w:rPr>
          <w:rFonts w:asciiTheme="majorBidi" w:hAnsiTheme="majorBidi" w:cstheme="majorBidi"/>
          <w:i/>
          <w:iCs/>
          <w:sz w:val="24"/>
          <w:szCs w:val="24"/>
          <w:lang w:val="en-US" w:bidi="ar-JO"/>
        </w:rPr>
        <w:t>The social psychology of organizations</w:t>
      </w:r>
      <w:r w:rsidRPr="00EF1F40">
        <w:rPr>
          <w:rFonts w:asciiTheme="majorBidi" w:hAnsiTheme="majorBidi" w:cstheme="majorBidi"/>
          <w:sz w:val="24"/>
          <w:szCs w:val="24"/>
          <w:lang w:val="en-US" w:bidi="ar-JO"/>
        </w:rPr>
        <w:t xml:space="preserve"> (2nd ed.). Wiley.</w:t>
      </w:r>
    </w:p>
    <w:p w14:paraId="6C347E45"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Keast, R., Mandell, M. P., &amp; Agranoff, R. (2021). </w:t>
      </w:r>
      <w:r w:rsidRPr="00EF1F40">
        <w:rPr>
          <w:rFonts w:asciiTheme="majorBidi" w:hAnsiTheme="majorBidi" w:cstheme="majorBidi"/>
          <w:i/>
          <w:iCs/>
          <w:sz w:val="24"/>
          <w:szCs w:val="24"/>
          <w:lang w:val="en-US" w:bidi="ar-JO"/>
        </w:rPr>
        <w:t>Collaborative networks and partnerships: A guide to network management</w:t>
      </w:r>
      <w:r w:rsidRPr="00EF1F40">
        <w:rPr>
          <w:rFonts w:asciiTheme="majorBidi" w:hAnsiTheme="majorBidi" w:cstheme="majorBidi"/>
          <w:sz w:val="24"/>
          <w:szCs w:val="24"/>
          <w:lang w:val="en-US" w:bidi="ar-JO"/>
        </w:rPr>
        <w:t>. Edward Elgar Publishing.</w:t>
      </w:r>
    </w:p>
    <w:p w14:paraId="34DD09CA" w14:textId="6E67FD2D" w:rsidR="00EF1F40" w:rsidRPr="00EF1F40" w:rsidRDefault="00EF1F40" w:rsidP="00EC2BDA">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Khalilov, T., Adilzade, I., Rzayev, O., &amp; Guliyev, N. (2024). The role of strategic planning in the organization of management systems in higher education institutions: Insights from international practice. </w:t>
      </w:r>
      <w:r w:rsidRPr="00EF1F40">
        <w:rPr>
          <w:rFonts w:asciiTheme="majorBidi" w:hAnsiTheme="majorBidi" w:cstheme="majorBidi"/>
          <w:i/>
          <w:iCs/>
          <w:sz w:val="24"/>
          <w:szCs w:val="24"/>
          <w:lang w:val="en-US" w:bidi="ar-JO"/>
        </w:rPr>
        <w:t>Edelweiss Applied Science and Technology, 8</w:t>
      </w:r>
      <w:r w:rsidRPr="00EF1F40">
        <w:rPr>
          <w:rFonts w:asciiTheme="majorBidi" w:hAnsiTheme="majorBidi" w:cstheme="majorBidi"/>
          <w:sz w:val="24"/>
          <w:szCs w:val="24"/>
          <w:lang w:val="en-US" w:bidi="ar-JO"/>
        </w:rPr>
        <w:t xml:space="preserve">(6), 6227–6235. </w:t>
      </w:r>
      <w:hyperlink r:id="rId17" w:tgtFrame="_new" w:history="1">
        <w:r w:rsidRPr="00EF1F40">
          <w:rPr>
            <w:rStyle w:val="Hyperlink"/>
            <w:rFonts w:asciiTheme="majorBidi" w:hAnsiTheme="majorBidi" w:cstheme="majorBidi"/>
            <w:sz w:val="24"/>
            <w:szCs w:val="24"/>
            <w:lang w:val="en-US" w:bidi="ar-JO"/>
          </w:rPr>
          <w:t>https://doi.org/10.55214/25768484.v8i6.3361</w:t>
        </w:r>
      </w:hyperlink>
    </w:p>
    <w:p w14:paraId="1F80A035" w14:textId="0B411A7D" w:rsidR="00EC2BDA" w:rsidRPr="00EF1F40" w:rsidRDefault="00EF1F40" w:rsidP="00EC2BDA">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Mardiani, E., Arisanti, I., Wardhani, D., &amp; Diwyarthi, N. D. M. S. (2023). The influence of strategic planning and analytical maturity on organizational performance in implementing business intelligence in Indonesia. </w:t>
      </w:r>
      <w:r w:rsidRPr="00EF1F40">
        <w:rPr>
          <w:rFonts w:asciiTheme="majorBidi" w:hAnsiTheme="majorBidi" w:cstheme="majorBidi"/>
          <w:i/>
          <w:iCs/>
          <w:sz w:val="24"/>
          <w:szCs w:val="24"/>
          <w:lang w:val="en-US" w:bidi="ar-JO"/>
        </w:rPr>
        <w:t>The Eastasouth Journal of Information System and Computer Science, 1</w:t>
      </w:r>
      <w:r w:rsidRPr="00EF1F40">
        <w:rPr>
          <w:rFonts w:asciiTheme="majorBidi" w:hAnsiTheme="majorBidi" w:cstheme="majorBidi"/>
          <w:sz w:val="24"/>
          <w:szCs w:val="24"/>
          <w:lang w:val="en-US" w:bidi="ar-JO"/>
        </w:rPr>
        <w:t xml:space="preserve">(2), 65–74. </w:t>
      </w:r>
      <w:hyperlink r:id="rId18" w:history="1">
        <w:r w:rsidR="00EC2BDA" w:rsidRPr="00EC2BDA">
          <w:rPr>
            <w:rStyle w:val="Hyperlink"/>
            <w:rFonts w:asciiTheme="majorBidi" w:hAnsiTheme="majorBidi" w:cstheme="majorBidi"/>
            <w:sz w:val="24"/>
            <w:szCs w:val="24"/>
            <w:lang w:bidi="ar-JO"/>
          </w:rPr>
          <w:t>https://doi.org/10.58812/esiscs.v1i02.180</w:t>
        </w:r>
      </w:hyperlink>
    </w:p>
    <w:p w14:paraId="4606CD59"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Molete, O. B., Mokhele, S. E., Ntombela, S. D., &amp; Thango, B. A. (2025). The impact of IT strategic planning process on SME performance: A systematic review. </w:t>
      </w:r>
      <w:r w:rsidRPr="00EF1F40">
        <w:rPr>
          <w:rFonts w:asciiTheme="majorBidi" w:hAnsiTheme="majorBidi" w:cstheme="majorBidi"/>
          <w:i/>
          <w:iCs/>
          <w:sz w:val="24"/>
          <w:szCs w:val="24"/>
          <w:lang w:val="en-US" w:bidi="ar-JO"/>
        </w:rPr>
        <w:t>Businesses, 5</w:t>
      </w:r>
      <w:r w:rsidRPr="00EF1F40">
        <w:rPr>
          <w:rFonts w:asciiTheme="majorBidi" w:hAnsiTheme="majorBidi" w:cstheme="majorBidi"/>
          <w:sz w:val="24"/>
          <w:szCs w:val="24"/>
          <w:lang w:val="en-US" w:bidi="ar-JO"/>
        </w:rPr>
        <w:t xml:space="preserve">(1), 2. </w:t>
      </w:r>
      <w:hyperlink r:id="rId19" w:tgtFrame="_new" w:history="1">
        <w:r w:rsidRPr="00EF1F40">
          <w:rPr>
            <w:rStyle w:val="Hyperlink"/>
            <w:rFonts w:asciiTheme="majorBidi" w:hAnsiTheme="majorBidi" w:cstheme="majorBidi"/>
            <w:sz w:val="24"/>
            <w:szCs w:val="24"/>
            <w:lang w:val="en-US" w:bidi="ar-JO"/>
          </w:rPr>
          <w:t>https://doi.org/10.3390/businesses5010002</w:t>
        </w:r>
      </w:hyperlink>
    </w:p>
    <w:p w14:paraId="0E00AB1F"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lastRenderedPageBreak/>
        <w:t xml:space="preserve">Mousa, K. M., &amp; Gürler, Ş. (2024). Strategic planning and organizational performance. </w:t>
      </w:r>
      <w:r w:rsidRPr="00EF1F40">
        <w:rPr>
          <w:rFonts w:asciiTheme="majorBidi" w:hAnsiTheme="majorBidi" w:cstheme="majorBidi"/>
          <w:i/>
          <w:iCs/>
          <w:sz w:val="24"/>
          <w:szCs w:val="24"/>
          <w:lang w:val="en-US" w:bidi="ar-JO"/>
        </w:rPr>
        <w:t>Sustainability, 16</w:t>
      </w:r>
      <w:r w:rsidRPr="00EF1F40">
        <w:rPr>
          <w:rFonts w:asciiTheme="majorBidi" w:hAnsiTheme="majorBidi" w:cstheme="majorBidi"/>
          <w:sz w:val="24"/>
          <w:szCs w:val="24"/>
          <w:lang w:val="en-US" w:bidi="ar-JO"/>
        </w:rPr>
        <w:t xml:space="preserve">(15), 6690. </w:t>
      </w:r>
      <w:hyperlink r:id="rId20" w:tgtFrame="_new" w:history="1">
        <w:r w:rsidRPr="00EF1F40">
          <w:rPr>
            <w:rStyle w:val="Hyperlink"/>
            <w:rFonts w:asciiTheme="majorBidi" w:hAnsiTheme="majorBidi" w:cstheme="majorBidi"/>
            <w:sz w:val="24"/>
            <w:szCs w:val="24"/>
            <w:lang w:val="en-US" w:bidi="ar-JO"/>
          </w:rPr>
          <w:t>https://doi.org/10.3390/su16156690</w:t>
        </w:r>
      </w:hyperlink>
    </w:p>
    <w:p w14:paraId="4AB18B4B"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Penrose, E. (1959). </w:t>
      </w:r>
      <w:r w:rsidRPr="00EF1F40">
        <w:rPr>
          <w:rFonts w:asciiTheme="majorBidi" w:hAnsiTheme="majorBidi" w:cstheme="majorBidi"/>
          <w:i/>
          <w:iCs/>
          <w:sz w:val="24"/>
          <w:szCs w:val="24"/>
          <w:lang w:val="en-US" w:bidi="ar-JO"/>
        </w:rPr>
        <w:t>The theory of the growth of the firm</w:t>
      </w:r>
      <w:r w:rsidRPr="00EF1F40">
        <w:rPr>
          <w:rFonts w:asciiTheme="majorBidi" w:hAnsiTheme="majorBidi" w:cstheme="majorBidi"/>
          <w:sz w:val="24"/>
          <w:szCs w:val="24"/>
          <w:lang w:val="en-US" w:bidi="ar-JO"/>
        </w:rPr>
        <w:t>. Oxford University Press.</w:t>
      </w:r>
    </w:p>
    <w:p w14:paraId="18399D95"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Sanches, F. E. F., Souza Junior, M. A. A., Massaro Junior, F. R., Povedano, R., &amp; Gaio, L. E. (2023). Developing a method for incorporating sustainability into the strategic planning of higher education institutions. </w:t>
      </w:r>
      <w:r w:rsidRPr="00EF1F40">
        <w:rPr>
          <w:rFonts w:asciiTheme="majorBidi" w:hAnsiTheme="majorBidi" w:cstheme="majorBidi"/>
          <w:i/>
          <w:iCs/>
          <w:sz w:val="24"/>
          <w:szCs w:val="24"/>
          <w:lang w:val="en-US" w:bidi="ar-JO"/>
        </w:rPr>
        <w:t>International Journal of Sustainability in Higher Education, 24</w:t>
      </w:r>
      <w:r w:rsidRPr="00EF1F40">
        <w:rPr>
          <w:rFonts w:asciiTheme="majorBidi" w:hAnsiTheme="majorBidi" w:cstheme="majorBidi"/>
          <w:sz w:val="24"/>
          <w:szCs w:val="24"/>
          <w:lang w:val="en-US" w:bidi="ar-JO"/>
        </w:rPr>
        <w:t xml:space="preserve">(4), 812–839. </w:t>
      </w:r>
      <w:hyperlink r:id="rId21" w:tgtFrame="_new" w:history="1">
        <w:r w:rsidRPr="00EF1F40">
          <w:rPr>
            <w:rStyle w:val="Hyperlink"/>
            <w:rFonts w:asciiTheme="majorBidi" w:hAnsiTheme="majorBidi" w:cstheme="majorBidi"/>
            <w:sz w:val="24"/>
            <w:szCs w:val="24"/>
            <w:lang w:val="en-US" w:bidi="ar-JO"/>
          </w:rPr>
          <w:t>https://doi.org/10.1108/IJSHE-10-2021-0439</w:t>
        </w:r>
      </w:hyperlink>
    </w:p>
    <w:p w14:paraId="755F0EBA"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Teece, D. J. (2007). Explicating dynamic capabilities: The nature and microfoundations of sustainable enterprise performance. </w:t>
      </w:r>
      <w:r w:rsidRPr="00EF1F40">
        <w:rPr>
          <w:rFonts w:asciiTheme="majorBidi" w:hAnsiTheme="majorBidi" w:cstheme="majorBidi"/>
          <w:i/>
          <w:iCs/>
          <w:sz w:val="24"/>
          <w:szCs w:val="24"/>
          <w:lang w:val="en-US" w:bidi="ar-JO"/>
        </w:rPr>
        <w:t>Strategic Management Journal, 28</w:t>
      </w:r>
      <w:r w:rsidRPr="00EF1F40">
        <w:rPr>
          <w:rFonts w:asciiTheme="majorBidi" w:hAnsiTheme="majorBidi" w:cstheme="majorBidi"/>
          <w:sz w:val="24"/>
          <w:szCs w:val="24"/>
          <w:lang w:val="en-US" w:bidi="ar-JO"/>
        </w:rPr>
        <w:t>(13), 1319–1350.</w:t>
      </w:r>
    </w:p>
    <w:p w14:paraId="5AC4FF36"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Teece, D. J., Pisano, G., &amp; Shuen, A. (1997). Dynamic capabilities and strategic management. </w:t>
      </w:r>
      <w:r w:rsidRPr="00EF1F40">
        <w:rPr>
          <w:rFonts w:asciiTheme="majorBidi" w:hAnsiTheme="majorBidi" w:cstheme="majorBidi"/>
          <w:i/>
          <w:iCs/>
          <w:sz w:val="24"/>
          <w:szCs w:val="24"/>
          <w:lang w:val="en-US" w:bidi="ar-JO"/>
        </w:rPr>
        <w:t>Strategic Management Journal, 18</w:t>
      </w:r>
      <w:r w:rsidRPr="00EF1F40">
        <w:rPr>
          <w:rFonts w:asciiTheme="majorBidi" w:hAnsiTheme="majorBidi" w:cstheme="majorBidi"/>
          <w:sz w:val="24"/>
          <w:szCs w:val="24"/>
          <w:lang w:val="en-US" w:bidi="ar-JO"/>
        </w:rPr>
        <w:t>(7), 509–533.</w:t>
      </w:r>
    </w:p>
    <w:p w14:paraId="527FAE61" w14:textId="77777777" w:rsidR="00EF1F40" w:rsidRPr="00EF1F40" w:rsidRDefault="00EF1F40" w:rsidP="00EF1F40">
      <w:pPr>
        <w:spacing w:before="100" w:beforeAutospacing="1" w:after="100" w:afterAutospacing="1" w:line="240" w:lineRule="auto"/>
        <w:rPr>
          <w:rFonts w:asciiTheme="majorBidi" w:hAnsiTheme="majorBidi" w:cstheme="majorBidi"/>
          <w:sz w:val="24"/>
          <w:szCs w:val="24"/>
          <w:lang w:val="en-US" w:bidi="ar-JO"/>
        </w:rPr>
      </w:pPr>
      <w:r w:rsidRPr="00EF1F40">
        <w:rPr>
          <w:rFonts w:asciiTheme="majorBidi" w:hAnsiTheme="majorBidi" w:cstheme="majorBidi"/>
          <w:sz w:val="24"/>
          <w:szCs w:val="24"/>
          <w:lang w:val="en-US" w:bidi="ar-JO"/>
        </w:rPr>
        <w:t xml:space="preserve">Wernerfelt, B. (1984). A resource-based view of the firm. </w:t>
      </w:r>
      <w:r w:rsidRPr="00EF1F40">
        <w:rPr>
          <w:rFonts w:asciiTheme="majorBidi" w:hAnsiTheme="majorBidi" w:cstheme="majorBidi"/>
          <w:i/>
          <w:iCs/>
          <w:sz w:val="24"/>
          <w:szCs w:val="24"/>
          <w:lang w:val="en-US" w:bidi="ar-JO"/>
        </w:rPr>
        <w:t>Strategic Management Journal, 5</w:t>
      </w:r>
      <w:r w:rsidRPr="00EF1F40">
        <w:rPr>
          <w:rFonts w:asciiTheme="majorBidi" w:hAnsiTheme="majorBidi" w:cstheme="majorBidi"/>
          <w:sz w:val="24"/>
          <w:szCs w:val="24"/>
          <w:lang w:val="en-US" w:bidi="ar-JO"/>
        </w:rPr>
        <w:t>(2), 171–180.</w:t>
      </w:r>
    </w:p>
    <w:p w14:paraId="73381542" w14:textId="77777777" w:rsidR="001A60CA" w:rsidRPr="00F72BC0" w:rsidRDefault="001A60CA" w:rsidP="008917EC">
      <w:pPr>
        <w:spacing w:before="100" w:beforeAutospacing="1" w:after="100" w:afterAutospacing="1" w:line="240" w:lineRule="auto"/>
        <w:rPr>
          <w:rFonts w:ascii="Traditional Arabic" w:hAnsi="Traditional Arabic" w:cs="Traditional Arabic"/>
          <w:sz w:val="28"/>
          <w:szCs w:val="28"/>
          <w:lang w:val="en-US" w:bidi="ar-JO"/>
        </w:rPr>
      </w:pPr>
    </w:p>
    <w:sectPr w:rsidR="001A60CA" w:rsidRPr="00F72BC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itional Arabic">
    <w:panose1 w:val="02020603050405020304"/>
    <w:charset w:val="00"/>
    <w:family w:val="roman"/>
    <w:pitch w:val="variable"/>
    <w:sig w:usb0="00002003" w:usb1="80000000" w:usb2="00000008" w:usb3="00000000" w:csb0="00000041" w:csb1="00000000"/>
  </w:font>
  <w:font w:name="等线 Light">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26933"/>
    <w:multiLevelType w:val="multilevel"/>
    <w:tmpl w:val="36CC9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0B38DF"/>
    <w:multiLevelType w:val="hybridMultilevel"/>
    <w:tmpl w:val="6720C1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0C1926"/>
    <w:multiLevelType w:val="multilevel"/>
    <w:tmpl w:val="E1481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8A648B"/>
    <w:multiLevelType w:val="hybridMultilevel"/>
    <w:tmpl w:val="25441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5D1E71"/>
    <w:multiLevelType w:val="multilevel"/>
    <w:tmpl w:val="27E04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070194"/>
    <w:multiLevelType w:val="hybridMultilevel"/>
    <w:tmpl w:val="8938C3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632FEB"/>
    <w:multiLevelType w:val="hybridMultilevel"/>
    <w:tmpl w:val="00BC6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7F37EC"/>
    <w:multiLevelType w:val="multilevel"/>
    <w:tmpl w:val="15E8B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DC1EFF"/>
    <w:multiLevelType w:val="hybridMultilevel"/>
    <w:tmpl w:val="814A665A"/>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E15C63"/>
    <w:multiLevelType w:val="hybridMultilevel"/>
    <w:tmpl w:val="A46E7A3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3E754655"/>
    <w:multiLevelType w:val="hybridMultilevel"/>
    <w:tmpl w:val="2F0099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C760DA3"/>
    <w:multiLevelType w:val="hybridMultilevel"/>
    <w:tmpl w:val="C90C49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18319E"/>
    <w:multiLevelType w:val="multilevel"/>
    <w:tmpl w:val="669AB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DA1F7A"/>
    <w:multiLevelType w:val="hybridMultilevel"/>
    <w:tmpl w:val="1A4C57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81124B"/>
    <w:multiLevelType w:val="hybridMultilevel"/>
    <w:tmpl w:val="50C29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0654D6F"/>
    <w:multiLevelType w:val="hybridMultilevel"/>
    <w:tmpl w:val="4990A6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D2A243E"/>
    <w:multiLevelType w:val="hybridMultilevel"/>
    <w:tmpl w:val="7CE844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F1D0C44"/>
    <w:multiLevelType w:val="hybridMultilevel"/>
    <w:tmpl w:val="DB8894FC"/>
    <w:lvl w:ilvl="0" w:tplc="FBDE2962">
      <w:start w:val="1"/>
      <w:numFmt w:val="decimal"/>
      <w:lvlText w:val="%1."/>
      <w:lvlJc w:val="left"/>
      <w:pPr>
        <w:ind w:left="720" w:hanging="360"/>
      </w:pPr>
      <w:rPr>
        <w:b/>
        <w:bCs/>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D10135C"/>
    <w:multiLevelType w:val="hybridMultilevel"/>
    <w:tmpl w:val="10303E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077284">
    <w:abstractNumId w:val="16"/>
  </w:num>
  <w:num w:numId="2" w16cid:durableId="585921010">
    <w:abstractNumId w:val="11"/>
  </w:num>
  <w:num w:numId="3" w16cid:durableId="1999772252">
    <w:abstractNumId w:val="10"/>
  </w:num>
  <w:num w:numId="4" w16cid:durableId="829709759">
    <w:abstractNumId w:val="5"/>
  </w:num>
  <w:num w:numId="5" w16cid:durableId="874730739">
    <w:abstractNumId w:val="3"/>
  </w:num>
  <w:num w:numId="6" w16cid:durableId="1789466918">
    <w:abstractNumId w:val="17"/>
  </w:num>
  <w:num w:numId="7" w16cid:durableId="1283197213">
    <w:abstractNumId w:val="18"/>
  </w:num>
  <w:num w:numId="8" w16cid:durableId="1932817230">
    <w:abstractNumId w:val="13"/>
  </w:num>
  <w:num w:numId="9" w16cid:durableId="763107609">
    <w:abstractNumId w:val="15"/>
  </w:num>
  <w:num w:numId="10" w16cid:durableId="1470905573">
    <w:abstractNumId w:val="9"/>
  </w:num>
  <w:num w:numId="11" w16cid:durableId="90123590">
    <w:abstractNumId w:val="8"/>
  </w:num>
  <w:num w:numId="12" w16cid:durableId="995841604">
    <w:abstractNumId w:val="12"/>
  </w:num>
  <w:num w:numId="13" w16cid:durableId="1011377624">
    <w:abstractNumId w:val="14"/>
  </w:num>
  <w:num w:numId="14" w16cid:durableId="825560421">
    <w:abstractNumId w:val="2"/>
  </w:num>
  <w:num w:numId="15" w16cid:durableId="936600982">
    <w:abstractNumId w:val="4"/>
  </w:num>
  <w:num w:numId="16" w16cid:durableId="77823836">
    <w:abstractNumId w:val="0"/>
  </w:num>
  <w:num w:numId="17" w16cid:durableId="623772591">
    <w:abstractNumId w:val="7"/>
  </w:num>
  <w:num w:numId="18" w16cid:durableId="521893272">
    <w:abstractNumId w:val="6"/>
  </w:num>
  <w:num w:numId="19" w16cid:durableId="3828720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F0D8B"/>
    <w:rsid w:val="00000A46"/>
    <w:rsid w:val="00013229"/>
    <w:rsid w:val="0001699E"/>
    <w:rsid w:val="00017E38"/>
    <w:rsid w:val="000C53FE"/>
    <w:rsid w:val="000D1D6F"/>
    <w:rsid w:val="00103084"/>
    <w:rsid w:val="00103922"/>
    <w:rsid w:val="00164D36"/>
    <w:rsid w:val="001A60CA"/>
    <w:rsid w:val="00203F9F"/>
    <w:rsid w:val="002068E6"/>
    <w:rsid w:val="00223B7F"/>
    <w:rsid w:val="00236B3F"/>
    <w:rsid w:val="003122C5"/>
    <w:rsid w:val="00315029"/>
    <w:rsid w:val="00317CC3"/>
    <w:rsid w:val="003335B5"/>
    <w:rsid w:val="00397BAE"/>
    <w:rsid w:val="004307DA"/>
    <w:rsid w:val="005E58D6"/>
    <w:rsid w:val="00616AFC"/>
    <w:rsid w:val="00623FEF"/>
    <w:rsid w:val="006D6065"/>
    <w:rsid w:val="00703F41"/>
    <w:rsid w:val="00727EA7"/>
    <w:rsid w:val="00734A9F"/>
    <w:rsid w:val="007419CC"/>
    <w:rsid w:val="00773D69"/>
    <w:rsid w:val="00780E01"/>
    <w:rsid w:val="00786EC0"/>
    <w:rsid w:val="007B1E06"/>
    <w:rsid w:val="007E1848"/>
    <w:rsid w:val="007F0D8B"/>
    <w:rsid w:val="0083336A"/>
    <w:rsid w:val="0087072B"/>
    <w:rsid w:val="008917EC"/>
    <w:rsid w:val="008B13C0"/>
    <w:rsid w:val="008F3A2C"/>
    <w:rsid w:val="00966329"/>
    <w:rsid w:val="0099787C"/>
    <w:rsid w:val="009A59BD"/>
    <w:rsid w:val="009A607F"/>
    <w:rsid w:val="009C7964"/>
    <w:rsid w:val="009E5A0C"/>
    <w:rsid w:val="009E72A0"/>
    <w:rsid w:val="009F1498"/>
    <w:rsid w:val="00A0208A"/>
    <w:rsid w:val="00A61E97"/>
    <w:rsid w:val="00A857C7"/>
    <w:rsid w:val="00AB6E88"/>
    <w:rsid w:val="00B1427D"/>
    <w:rsid w:val="00B22DF2"/>
    <w:rsid w:val="00B37299"/>
    <w:rsid w:val="00BE2ED3"/>
    <w:rsid w:val="00C04087"/>
    <w:rsid w:val="00C110EB"/>
    <w:rsid w:val="00C640E1"/>
    <w:rsid w:val="00C952AB"/>
    <w:rsid w:val="00D312E8"/>
    <w:rsid w:val="00D34011"/>
    <w:rsid w:val="00D51468"/>
    <w:rsid w:val="00DB2465"/>
    <w:rsid w:val="00E50FB1"/>
    <w:rsid w:val="00EB50E8"/>
    <w:rsid w:val="00EC2BDA"/>
    <w:rsid w:val="00EE0E2D"/>
    <w:rsid w:val="00EE28CE"/>
    <w:rsid w:val="00EF1F40"/>
    <w:rsid w:val="00F400B1"/>
    <w:rsid w:val="00F51004"/>
    <w:rsid w:val="00F72BC0"/>
    <w:rsid w:val="00FA0F29"/>
    <w:rsid w:val="00FA5CA4"/>
    <w:rsid w:val="00FB4006"/>
    <w:rsid w:val="00FB712A"/>
    <w:rsid w:val="00FC2729"/>
    <w:rsid w:val="00FD317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A12AD"/>
  <w15:docId w15:val="{19B1A6F5-D91A-4509-967B-DB54A2BDC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A61E97"/>
    <w:pPr>
      <w:keepNext/>
      <w:keepLines/>
      <w:bidi/>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paragraph" w:styleId="Heading2">
    <w:name w:val="heading 2"/>
    <w:basedOn w:val="Normal"/>
    <w:next w:val="Normal"/>
    <w:link w:val="Heading2Char"/>
    <w:uiPriority w:val="9"/>
    <w:semiHidden/>
    <w:unhideWhenUsed/>
    <w:qFormat/>
    <w:rsid w:val="007E184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A61E9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34A9F"/>
    <w:rPr>
      <w:b/>
      <w:bCs/>
    </w:rPr>
  </w:style>
  <w:style w:type="character" w:customStyle="1" w:styleId="Heading1Char">
    <w:name w:val="Heading 1 Char"/>
    <w:basedOn w:val="DefaultParagraphFont"/>
    <w:link w:val="Heading1"/>
    <w:uiPriority w:val="9"/>
    <w:rsid w:val="00A61E97"/>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A61E97"/>
    <w:rPr>
      <w:rFonts w:asciiTheme="majorHAnsi" w:eastAsiaTheme="majorEastAsia" w:hAnsiTheme="majorHAnsi" w:cstheme="majorBidi"/>
      <w:b/>
      <w:bCs/>
      <w:color w:val="4F81BD" w:themeColor="accent1"/>
      <w:lang w:val="en-GB"/>
    </w:rPr>
  </w:style>
  <w:style w:type="character" w:customStyle="1" w:styleId="Heading2Char">
    <w:name w:val="Heading 2 Char"/>
    <w:basedOn w:val="DefaultParagraphFont"/>
    <w:link w:val="Heading2"/>
    <w:uiPriority w:val="9"/>
    <w:semiHidden/>
    <w:rsid w:val="007E1848"/>
    <w:rPr>
      <w:rFonts w:asciiTheme="majorHAnsi" w:eastAsiaTheme="majorEastAsia" w:hAnsiTheme="majorHAnsi" w:cstheme="majorBidi"/>
      <w:b/>
      <w:bCs/>
      <w:color w:val="4F81BD" w:themeColor="accent1"/>
      <w:sz w:val="26"/>
      <w:szCs w:val="26"/>
      <w:lang w:val="en-GB"/>
    </w:rPr>
  </w:style>
  <w:style w:type="paragraph" w:styleId="ListParagraph">
    <w:name w:val="List Paragraph"/>
    <w:basedOn w:val="Normal"/>
    <w:link w:val="ListParagraphChar"/>
    <w:uiPriority w:val="34"/>
    <w:qFormat/>
    <w:rsid w:val="00BE2ED3"/>
    <w:pPr>
      <w:bidi/>
      <w:spacing w:after="160" w:line="259" w:lineRule="auto"/>
      <w:ind w:left="720"/>
      <w:contextualSpacing/>
    </w:pPr>
    <w:rPr>
      <w:lang w:val="en-US"/>
    </w:rPr>
  </w:style>
  <w:style w:type="character" w:customStyle="1" w:styleId="ListParagraphChar">
    <w:name w:val="List Paragraph Char"/>
    <w:link w:val="ListParagraph"/>
    <w:uiPriority w:val="34"/>
    <w:rsid w:val="00BE2ED3"/>
  </w:style>
  <w:style w:type="character" w:styleId="Hyperlink">
    <w:name w:val="Hyperlink"/>
    <w:basedOn w:val="DefaultParagraphFont"/>
    <w:uiPriority w:val="99"/>
    <w:unhideWhenUsed/>
    <w:rsid w:val="00DB2465"/>
    <w:rPr>
      <w:color w:val="0000FF" w:themeColor="hyperlink"/>
      <w:u w:val="single"/>
    </w:rPr>
  </w:style>
  <w:style w:type="paragraph" w:styleId="NormalWeb">
    <w:name w:val="Normal (Web)"/>
    <w:basedOn w:val="Normal"/>
    <w:uiPriority w:val="99"/>
    <w:semiHidden/>
    <w:unhideWhenUsed/>
    <w:rsid w:val="009A607F"/>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FC2729"/>
    <w:rPr>
      <w:color w:val="800080" w:themeColor="followedHyperlink"/>
      <w:u w:val="single"/>
    </w:rPr>
  </w:style>
  <w:style w:type="table" w:styleId="TableGrid">
    <w:name w:val="Table Grid"/>
    <w:basedOn w:val="TableNormal"/>
    <w:uiPriority w:val="59"/>
    <w:rsid w:val="00C952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395950">
      <w:bodyDiv w:val="1"/>
      <w:marLeft w:val="0"/>
      <w:marRight w:val="0"/>
      <w:marTop w:val="0"/>
      <w:marBottom w:val="0"/>
      <w:divBdr>
        <w:top w:val="none" w:sz="0" w:space="0" w:color="auto"/>
        <w:left w:val="none" w:sz="0" w:space="0" w:color="auto"/>
        <w:bottom w:val="none" w:sz="0" w:space="0" w:color="auto"/>
        <w:right w:val="none" w:sz="0" w:space="0" w:color="auto"/>
      </w:divBdr>
    </w:div>
    <w:div w:id="236599429">
      <w:bodyDiv w:val="1"/>
      <w:marLeft w:val="0"/>
      <w:marRight w:val="0"/>
      <w:marTop w:val="0"/>
      <w:marBottom w:val="0"/>
      <w:divBdr>
        <w:top w:val="none" w:sz="0" w:space="0" w:color="auto"/>
        <w:left w:val="none" w:sz="0" w:space="0" w:color="auto"/>
        <w:bottom w:val="none" w:sz="0" w:space="0" w:color="auto"/>
        <w:right w:val="none" w:sz="0" w:space="0" w:color="auto"/>
      </w:divBdr>
    </w:div>
    <w:div w:id="303966874">
      <w:bodyDiv w:val="1"/>
      <w:marLeft w:val="0"/>
      <w:marRight w:val="0"/>
      <w:marTop w:val="0"/>
      <w:marBottom w:val="0"/>
      <w:divBdr>
        <w:top w:val="none" w:sz="0" w:space="0" w:color="auto"/>
        <w:left w:val="none" w:sz="0" w:space="0" w:color="auto"/>
        <w:bottom w:val="none" w:sz="0" w:space="0" w:color="auto"/>
        <w:right w:val="none" w:sz="0" w:space="0" w:color="auto"/>
      </w:divBdr>
    </w:div>
    <w:div w:id="357046868">
      <w:bodyDiv w:val="1"/>
      <w:marLeft w:val="0"/>
      <w:marRight w:val="0"/>
      <w:marTop w:val="0"/>
      <w:marBottom w:val="0"/>
      <w:divBdr>
        <w:top w:val="none" w:sz="0" w:space="0" w:color="auto"/>
        <w:left w:val="none" w:sz="0" w:space="0" w:color="auto"/>
        <w:bottom w:val="none" w:sz="0" w:space="0" w:color="auto"/>
        <w:right w:val="none" w:sz="0" w:space="0" w:color="auto"/>
      </w:divBdr>
    </w:div>
    <w:div w:id="395782414">
      <w:bodyDiv w:val="1"/>
      <w:marLeft w:val="0"/>
      <w:marRight w:val="0"/>
      <w:marTop w:val="0"/>
      <w:marBottom w:val="0"/>
      <w:divBdr>
        <w:top w:val="none" w:sz="0" w:space="0" w:color="auto"/>
        <w:left w:val="none" w:sz="0" w:space="0" w:color="auto"/>
        <w:bottom w:val="none" w:sz="0" w:space="0" w:color="auto"/>
        <w:right w:val="none" w:sz="0" w:space="0" w:color="auto"/>
      </w:divBdr>
    </w:div>
    <w:div w:id="414522124">
      <w:bodyDiv w:val="1"/>
      <w:marLeft w:val="0"/>
      <w:marRight w:val="0"/>
      <w:marTop w:val="0"/>
      <w:marBottom w:val="0"/>
      <w:divBdr>
        <w:top w:val="none" w:sz="0" w:space="0" w:color="auto"/>
        <w:left w:val="none" w:sz="0" w:space="0" w:color="auto"/>
        <w:bottom w:val="none" w:sz="0" w:space="0" w:color="auto"/>
        <w:right w:val="none" w:sz="0" w:space="0" w:color="auto"/>
      </w:divBdr>
    </w:div>
    <w:div w:id="448554622">
      <w:bodyDiv w:val="1"/>
      <w:marLeft w:val="0"/>
      <w:marRight w:val="0"/>
      <w:marTop w:val="0"/>
      <w:marBottom w:val="0"/>
      <w:divBdr>
        <w:top w:val="none" w:sz="0" w:space="0" w:color="auto"/>
        <w:left w:val="none" w:sz="0" w:space="0" w:color="auto"/>
        <w:bottom w:val="none" w:sz="0" w:space="0" w:color="auto"/>
        <w:right w:val="none" w:sz="0" w:space="0" w:color="auto"/>
      </w:divBdr>
    </w:div>
    <w:div w:id="462162635">
      <w:bodyDiv w:val="1"/>
      <w:marLeft w:val="0"/>
      <w:marRight w:val="0"/>
      <w:marTop w:val="0"/>
      <w:marBottom w:val="0"/>
      <w:divBdr>
        <w:top w:val="none" w:sz="0" w:space="0" w:color="auto"/>
        <w:left w:val="none" w:sz="0" w:space="0" w:color="auto"/>
        <w:bottom w:val="none" w:sz="0" w:space="0" w:color="auto"/>
        <w:right w:val="none" w:sz="0" w:space="0" w:color="auto"/>
      </w:divBdr>
    </w:div>
    <w:div w:id="468935927">
      <w:bodyDiv w:val="1"/>
      <w:marLeft w:val="0"/>
      <w:marRight w:val="0"/>
      <w:marTop w:val="0"/>
      <w:marBottom w:val="0"/>
      <w:divBdr>
        <w:top w:val="none" w:sz="0" w:space="0" w:color="auto"/>
        <w:left w:val="none" w:sz="0" w:space="0" w:color="auto"/>
        <w:bottom w:val="none" w:sz="0" w:space="0" w:color="auto"/>
        <w:right w:val="none" w:sz="0" w:space="0" w:color="auto"/>
      </w:divBdr>
    </w:div>
    <w:div w:id="504710967">
      <w:bodyDiv w:val="1"/>
      <w:marLeft w:val="0"/>
      <w:marRight w:val="0"/>
      <w:marTop w:val="0"/>
      <w:marBottom w:val="0"/>
      <w:divBdr>
        <w:top w:val="none" w:sz="0" w:space="0" w:color="auto"/>
        <w:left w:val="none" w:sz="0" w:space="0" w:color="auto"/>
        <w:bottom w:val="none" w:sz="0" w:space="0" w:color="auto"/>
        <w:right w:val="none" w:sz="0" w:space="0" w:color="auto"/>
      </w:divBdr>
    </w:div>
    <w:div w:id="613289749">
      <w:bodyDiv w:val="1"/>
      <w:marLeft w:val="0"/>
      <w:marRight w:val="0"/>
      <w:marTop w:val="0"/>
      <w:marBottom w:val="0"/>
      <w:divBdr>
        <w:top w:val="none" w:sz="0" w:space="0" w:color="auto"/>
        <w:left w:val="none" w:sz="0" w:space="0" w:color="auto"/>
        <w:bottom w:val="none" w:sz="0" w:space="0" w:color="auto"/>
        <w:right w:val="none" w:sz="0" w:space="0" w:color="auto"/>
      </w:divBdr>
    </w:div>
    <w:div w:id="730423150">
      <w:bodyDiv w:val="1"/>
      <w:marLeft w:val="0"/>
      <w:marRight w:val="0"/>
      <w:marTop w:val="0"/>
      <w:marBottom w:val="0"/>
      <w:divBdr>
        <w:top w:val="none" w:sz="0" w:space="0" w:color="auto"/>
        <w:left w:val="none" w:sz="0" w:space="0" w:color="auto"/>
        <w:bottom w:val="none" w:sz="0" w:space="0" w:color="auto"/>
        <w:right w:val="none" w:sz="0" w:space="0" w:color="auto"/>
      </w:divBdr>
    </w:div>
    <w:div w:id="743374995">
      <w:bodyDiv w:val="1"/>
      <w:marLeft w:val="0"/>
      <w:marRight w:val="0"/>
      <w:marTop w:val="0"/>
      <w:marBottom w:val="0"/>
      <w:divBdr>
        <w:top w:val="none" w:sz="0" w:space="0" w:color="auto"/>
        <w:left w:val="none" w:sz="0" w:space="0" w:color="auto"/>
        <w:bottom w:val="none" w:sz="0" w:space="0" w:color="auto"/>
        <w:right w:val="none" w:sz="0" w:space="0" w:color="auto"/>
      </w:divBdr>
    </w:div>
    <w:div w:id="755593471">
      <w:bodyDiv w:val="1"/>
      <w:marLeft w:val="0"/>
      <w:marRight w:val="0"/>
      <w:marTop w:val="0"/>
      <w:marBottom w:val="0"/>
      <w:divBdr>
        <w:top w:val="none" w:sz="0" w:space="0" w:color="auto"/>
        <w:left w:val="none" w:sz="0" w:space="0" w:color="auto"/>
        <w:bottom w:val="none" w:sz="0" w:space="0" w:color="auto"/>
        <w:right w:val="none" w:sz="0" w:space="0" w:color="auto"/>
      </w:divBdr>
    </w:div>
    <w:div w:id="816653010">
      <w:bodyDiv w:val="1"/>
      <w:marLeft w:val="0"/>
      <w:marRight w:val="0"/>
      <w:marTop w:val="0"/>
      <w:marBottom w:val="0"/>
      <w:divBdr>
        <w:top w:val="none" w:sz="0" w:space="0" w:color="auto"/>
        <w:left w:val="none" w:sz="0" w:space="0" w:color="auto"/>
        <w:bottom w:val="none" w:sz="0" w:space="0" w:color="auto"/>
        <w:right w:val="none" w:sz="0" w:space="0" w:color="auto"/>
      </w:divBdr>
      <w:divsChild>
        <w:div w:id="1521102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1304402">
      <w:bodyDiv w:val="1"/>
      <w:marLeft w:val="0"/>
      <w:marRight w:val="0"/>
      <w:marTop w:val="0"/>
      <w:marBottom w:val="0"/>
      <w:divBdr>
        <w:top w:val="none" w:sz="0" w:space="0" w:color="auto"/>
        <w:left w:val="none" w:sz="0" w:space="0" w:color="auto"/>
        <w:bottom w:val="none" w:sz="0" w:space="0" w:color="auto"/>
        <w:right w:val="none" w:sz="0" w:space="0" w:color="auto"/>
      </w:divBdr>
    </w:div>
    <w:div w:id="977341929">
      <w:bodyDiv w:val="1"/>
      <w:marLeft w:val="0"/>
      <w:marRight w:val="0"/>
      <w:marTop w:val="0"/>
      <w:marBottom w:val="0"/>
      <w:divBdr>
        <w:top w:val="none" w:sz="0" w:space="0" w:color="auto"/>
        <w:left w:val="none" w:sz="0" w:space="0" w:color="auto"/>
        <w:bottom w:val="none" w:sz="0" w:space="0" w:color="auto"/>
        <w:right w:val="none" w:sz="0" w:space="0" w:color="auto"/>
      </w:divBdr>
    </w:div>
    <w:div w:id="1046872738">
      <w:bodyDiv w:val="1"/>
      <w:marLeft w:val="0"/>
      <w:marRight w:val="0"/>
      <w:marTop w:val="0"/>
      <w:marBottom w:val="0"/>
      <w:divBdr>
        <w:top w:val="none" w:sz="0" w:space="0" w:color="auto"/>
        <w:left w:val="none" w:sz="0" w:space="0" w:color="auto"/>
        <w:bottom w:val="none" w:sz="0" w:space="0" w:color="auto"/>
        <w:right w:val="none" w:sz="0" w:space="0" w:color="auto"/>
      </w:divBdr>
    </w:div>
    <w:div w:id="1127968690">
      <w:bodyDiv w:val="1"/>
      <w:marLeft w:val="0"/>
      <w:marRight w:val="0"/>
      <w:marTop w:val="0"/>
      <w:marBottom w:val="0"/>
      <w:divBdr>
        <w:top w:val="none" w:sz="0" w:space="0" w:color="auto"/>
        <w:left w:val="none" w:sz="0" w:space="0" w:color="auto"/>
        <w:bottom w:val="none" w:sz="0" w:space="0" w:color="auto"/>
        <w:right w:val="none" w:sz="0" w:space="0" w:color="auto"/>
      </w:divBdr>
    </w:div>
    <w:div w:id="1159005551">
      <w:bodyDiv w:val="1"/>
      <w:marLeft w:val="0"/>
      <w:marRight w:val="0"/>
      <w:marTop w:val="0"/>
      <w:marBottom w:val="0"/>
      <w:divBdr>
        <w:top w:val="none" w:sz="0" w:space="0" w:color="auto"/>
        <w:left w:val="none" w:sz="0" w:space="0" w:color="auto"/>
        <w:bottom w:val="none" w:sz="0" w:space="0" w:color="auto"/>
        <w:right w:val="none" w:sz="0" w:space="0" w:color="auto"/>
      </w:divBdr>
    </w:div>
    <w:div w:id="1290433695">
      <w:bodyDiv w:val="1"/>
      <w:marLeft w:val="0"/>
      <w:marRight w:val="0"/>
      <w:marTop w:val="0"/>
      <w:marBottom w:val="0"/>
      <w:divBdr>
        <w:top w:val="none" w:sz="0" w:space="0" w:color="auto"/>
        <w:left w:val="none" w:sz="0" w:space="0" w:color="auto"/>
        <w:bottom w:val="none" w:sz="0" w:space="0" w:color="auto"/>
        <w:right w:val="none" w:sz="0" w:space="0" w:color="auto"/>
      </w:divBdr>
    </w:div>
    <w:div w:id="1369989370">
      <w:bodyDiv w:val="1"/>
      <w:marLeft w:val="0"/>
      <w:marRight w:val="0"/>
      <w:marTop w:val="0"/>
      <w:marBottom w:val="0"/>
      <w:divBdr>
        <w:top w:val="none" w:sz="0" w:space="0" w:color="auto"/>
        <w:left w:val="none" w:sz="0" w:space="0" w:color="auto"/>
        <w:bottom w:val="none" w:sz="0" w:space="0" w:color="auto"/>
        <w:right w:val="none" w:sz="0" w:space="0" w:color="auto"/>
      </w:divBdr>
    </w:div>
    <w:div w:id="1587886806">
      <w:bodyDiv w:val="1"/>
      <w:marLeft w:val="0"/>
      <w:marRight w:val="0"/>
      <w:marTop w:val="0"/>
      <w:marBottom w:val="0"/>
      <w:divBdr>
        <w:top w:val="none" w:sz="0" w:space="0" w:color="auto"/>
        <w:left w:val="none" w:sz="0" w:space="0" w:color="auto"/>
        <w:bottom w:val="none" w:sz="0" w:space="0" w:color="auto"/>
        <w:right w:val="none" w:sz="0" w:space="0" w:color="auto"/>
      </w:divBdr>
    </w:div>
    <w:div w:id="1592469381">
      <w:bodyDiv w:val="1"/>
      <w:marLeft w:val="0"/>
      <w:marRight w:val="0"/>
      <w:marTop w:val="0"/>
      <w:marBottom w:val="0"/>
      <w:divBdr>
        <w:top w:val="none" w:sz="0" w:space="0" w:color="auto"/>
        <w:left w:val="none" w:sz="0" w:space="0" w:color="auto"/>
        <w:bottom w:val="none" w:sz="0" w:space="0" w:color="auto"/>
        <w:right w:val="none" w:sz="0" w:space="0" w:color="auto"/>
      </w:divBdr>
    </w:div>
    <w:div w:id="1601789113">
      <w:bodyDiv w:val="1"/>
      <w:marLeft w:val="0"/>
      <w:marRight w:val="0"/>
      <w:marTop w:val="0"/>
      <w:marBottom w:val="0"/>
      <w:divBdr>
        <w:top w:val="none" w:sz="0" w:space="0" w:color="auto"/>
        <w:left w:val="none" w:sz="0" w:space="0" w:color="auto"/>
        <w:bottom w:val="none" w:sz="0" w:space="0" w:color="auto"/>
        <w:right w:val="none" w:sz="0" w:space="0" w:color="auto"/>
      </w:divBdr>
    </w:div>
    <w:div w:id="1671905001">
      <w:bodyDiv w:val="1"/>
      <w:marLeft w:val="0"/>
      <w:marRight w:val="0"/>
      <w:marTop w:val="0"/>
      <w:marBottom w:val="0"/>
      <w:divBdr>
        <w:top w:val="none" w:sz="0" w:space="0" w:color="auto"/>
        <w:left w:val="none" w:sz="0" w:space="0" w:color="auto"/>
        <w:bottom w:val="none" w:sz="0" w:space="0" w:color="auto"/>
        <w:right w:val="none" w:sz="0" w:space="0" w:color="auto"/>
      </w:divBdr>
    </w:div>
    <w:div w:id="1702390048">
      <w:bodyDiv w:val="1"/>
      <w:marLeft w:val="0"/>
      <w:marRight w:val="0"/>
      <w:marTop w:val="0"/>
      <w:marBottom w:val="0"/>
      <w:divBdr>
        <w:top w:val="none" w:sz="0" w:space="0" w:color="auto"/>
        <w:left w:val="none" w:sz="0" w:space="0" w:color="auto"/>
        <w:bottom w:val="none" w:sz="0" w:space="0" w:color="auto"/>
        <w:right w:val="none" w:sz="0" w:space="0" w:color="auto"/>
      </w:divBdr>
    </w:div>
    <w:div w:id="1837840060">
      <w:bodyDiv w:val="1"/>
      <w:marLeft w:val="0"/>
      <w:marRight w:val="0"/>
      <w:marTop w:val="0"/>
      <w:marBottom w:val="0"/>
      <w:divBdr>
        <w:top w:val="none" w:sz="0" w:space="0" w:color="auto"/>
        <w:left w:val="none" w:sz="0" w:space="0" w:color="auto"/>
        <w:bottom w:val="none" w:sz="0" w:space="0" w:color="auto"/>
        <w:right w:val="none" w:sz="0" w:space="0" w:color="auto"/>
      </w:divBdr>
    </w:div>
    <w:div w:id="1865246977">
      <w:bodyDiv w:val="1"/>
      <w:marLeft w:val="0"/>
      <w:marRight w:val="0"/>
      <w:marTop w:val="0"/>
      <w:marBottom w:val="0"/>
      <w:divBdr>
        <w:top w:val="none" w:sz="0" w:space="0" w:color="auto"/>
        <w:left w:val="none" w:sz="0" w:space="0" w:color="auto"/>
        <w:bottom w:val="none" w:sz="0" w:space="0" w:color="auto"/>
        <w:right w:val="none" w:sz="0" w:space="0" w:color="auto"/>
      </w:divBdr>
    </w:div>
    <w:div w:id="1944026769">
      <w:bodyDiv w:val="1"/>
      <w:marLeft w:val="0"/>
      <w:marRight w:val="0"/>
      <w:marTop w:val="0"/>
      <w:marBottom w:val="0"/>
      <w:divBdr>
        <w:top w:val="none" w:sz="0" w:space="0" w:color="auto"/>
        <w:left w:val="none" w:sz="0" w:space="0" w:color="auto"/>
        <w:bottom w:val="none" w:sz="0" w:space="0" w:color="auto"/>
        <w:right w:val="none" w:sz="0" w:space="0" w:color="auto"/>
      </w:divBdr>
    </w:div>
    <w:div w:id="2074769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b-ir.bolton.ac.uk/esploro/outputs/doctoral/An-empirical-investigation-of-the-effects/9944720608841" TargetMode="External"/><Relationship Id="rId13" Type="http://schemas.openxmlformats.org/officeDocument/2006/relationships/hyperlink" Target="https://doi.org/10.1108/MSAR-06-2024-0052" TargetMode="External"/><Relationship Id="rId18" Type="http://schemas.openxmlformats.org/officeDocument/2006/relationships/hyperlink" Target="https://doi.org/10.58812/esiscs.v1i02.180" TargetMode="External"/><Relationship Id="rId3" Type="http://schemas.openxmlformats.org/officeDocument/2006/relationships/settings" Target="settings.xml"/><Relationship Id="rId21" Type="http://schemas.openxmlformats.org/officeDocument/2006/relationships/hyperlink" Target="https://doi.org/10.1108/IJSHE-10-2021-0439" TargetMode="External"/><Relationship Id="rId7" Type="http://schemas.openxmlformats.org/officeDocument/2006/relationships/hyperlink" Target="https://doi.org/10.1108/INMR-06-2018-0039" TargetMode="External"/><Relationship Id="rId12" Type="http://schemas.openxmlformats.org/officeDocument/2006/relationships/hyperlink" Target="https://doi.org/10.1007/s10997-022-09628-7" TargetMode="External"/><Relationship Id="rId17" Type="http://schemas.openxmlformats.org/officeDocument/2006/relationships/hyperlink" Target="https://doi.org/10.55214/25768484.v8i6.3361" TargetMode="External"/><Relationship Id="rId2" Type="http://schemas.openxmlformats.org/officeDocument/2006/relationships/styles" Target="styles.xml"/><Relationship Id="rId16" Type="http://schemas.openxmlformats.org/officeDocument/2006/relationships/hyperlink" Target="https://doi.org/10.3390/su14095113" TargetMode="External"/><Relationship Id="rId20" Type="http://schemas.openxmlformats.org/officeDocument/2006/relationships/hyperlink" Target="https://doi.org/10.3390/su16156690" TargetMode="External"/><Relationship Id="rId1" Type="http://schemas.openxmlformats.org/officeDocument/2006/relationships/numbering" Target="numbering.xml"/><Relationship Id="rId6" Type="http://schemas.openxmlformats.org/officeDocument/2006/relationships/hyperlink" Target="https://doi.org/10.3389/feduc.2025.1737185" TargetMode="External"/><Relationship Id="rId11" Type="http://schemas.openxmlformats.org/officeDocument/2006/relationships/hyperlink" Target="https://doi.org/10.54660/JFMR.2022.3.1.567-578" TargetMode="External"/><Relationship Id="rId5" Type="http://schemas.openxmlformats.org/officeDocument/2006/relationships/hyperlink" Target="https://www.gcc-sg.org/ar/JointGulf/Cooperation/Pages/default.aspx" TargetMode="External"/><Relationship Id="rId15" Type="http://schemas.openxmlformats.org/officeDocument/2006/relationships/hyperlink" Target="https://doi.org/10.3390/su15054308" TargetMode="External"/><Relationship Id="rId23" Type="http://schemas.openxmlformats.org/officeDocument/2006/relationships/theme" Target="theme/theme1.xml"/><Relationship Id="rId10" Type="http://schemas.openxmlformats.org/officeDocument/2006/relationships/hyperlink" Target="https://doi.org/10.70508/dwynbc96" TargetMode="External"/><Relationship Id="rId19" Type="http://schemas.openxmlformats.org/officeDocument/2006/relationships/hyperlink" Target="https://doi.org/10.3390/businesses5010002" TargetMode="External"/><Relationship Id="rId4" Type="http://schemas.openxmlformats.org/officeDocument/2006/relationships/webSettings" Target="webSettings.xml"/><Relationship Id="rId9" Type="http://schemas.openxmlformats.org/officeDocument/2006/relationships/hyperlink" Target="https://doi.org/10.3390/su151813344" TargetMode="External"/><Relationship Id="rId14" Type="http://schemas.openxmlformats.org/officeDocument/2006/relationships/hyperlink" Target="https://doi.org/10.32752/1993-6788-2024-1-274-6-13"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79</Pages>
  <Words>15296</Words>
  <Characters>87190</Characters>
  <Application>Microsoft Office Word</Application>
  <DocSecurity>0</DocSecurity>
  <Lines>726</Lines>
  <Paragraphs>204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102282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Mona Almutairi</cp:lastModifiedBy>
  <cp:revision>56</cp:revision>
  <cp:lastPrinted>2025-11-25T22:44:00Z</cp:lastPrinted>
  <dcterms:created xsi:type="dcterms:W3CDTF">2025-10-25T17:14:00Z</dcterms:created>
  <dcterms:modified xsi:type="dcterms:W3CDTF">2026-04-04T15:56:00Z</dcterms:modified>
</cp:coreProperties>
</file>